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07"/>
        <w:rPr>
          <w:rFonts w:hint="eastAsia"/>
          <w:color w:val="000000"/>
        </w:rPr>
      </w:pPr>
      <w:r>
        <w:rPr>
          <w:rFonts w:hint="eastAsia"/>
          <w:color w:val="000000"/>
        </w:rPr>
      </w:r>
      <w:r/>
    </w:p>
    <w:p>
      <w:pPr>
        <w:pStyle w:val="1018"/>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28"/>
        <w:ind w:firstLine="1506"/>
        <w:rPr>
          <w:rFonts w:hint="eastAsia" w:eastAsia="宋体"/>
          <w:b/>
          <w:color w:val="000000"/>
          <w:sz w:val="30"/>
          <w:szCs w:val="30"/>
          <w:u w:val="single"/>
          <w:lang w:eastAsia="zh-CN"/>
        </w:rPr>
      </w:pPr>
      <w:r>
        <w:rPr>
          <w:rFonts w:hint="eastAsia"/>
          <w:b/>
          <w:color w:val="000000"/>
          <w:sz w:val="30"/>
          <w:szCs w:val="30"/>
        </w:rPr>
        <w:t xml:space="preserve">项目名称：</w:t>
      </w:r>
      <w:r>
        <w:rPr>
          <w:rFonts w:hint="eastAsia"/>
          <w:b/>
          <w:color w:val="000000"/>
          <w:sz w:val="30"/>
          <w:szCs w:val="30"/>
          <w:lang w:eastAsia="zh-CN"/>
        </w:rPr>
        <w:t xml:space="preserve">智慧南京时空大数据平台及北斗定位服务升级基础设施采购</w:t>
      </w:r>
      <w:r>
        <w:rPr>
          <w:rFonts w:hint="eastAsia" w:eastAsia="宋体"/>
          <w:b/>
          <w:color w:val="000000"/>
          <w:sz w:val="30"/>
          <w:szCs w:val="30"/>
          <w:u w:val="single"/>
          <w:lang w:eastAsia="zh-CN"/>
        </w:rPr>
      </w:r>
      <w:r/>
    </w:p>
    <w:p>
      <w:pPr>
        <w:pStyle w:val="928"/>
        <w:ind w:firstLine="1506"/>
        <w:rPr>
          <w:rFonts w:hint="eastAsia"/>
          <w:b/>
          <w:color w:val="000000"/>
          <w:sz w:val="30"/>
          <w:szCs w:val="30"/>
        </w:rPr>
      </w:pPr>
      <w:r>
        <w:rPr>
          <w:rFonts w:hint="eastAsia"/>
          <w:b/>
          <w:color w:val="000000"/>
          <w:sz w:val="30"/>
          <w:szCs w:val="30"/>
        </w:rPr>
        <w:t xml:space="preserve">项目编号：JSZC-320100-JZCG-G2026-0065</w:t>
      </w:r>
      <w:r>
        <w:rPr>
          <w:rFonts w:hint="eastAsia"/>
          <w:b/>
          <w:color w:val="000000"/>
          <w:sz w:val="30"/>
          <w:szCs w:val="30"/>
        </w:rPr>
      </w:r>
      <w:r/>
    </w:p>
    <w:p>
      <w:pPr>
        <w:pStyle w:val="92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8"/>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28"/>
        <w:jc w:val="center"/>
        <w:rPr>
          <w:rFonts w:hint="eastAsia"/>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4</w:t>
      </w:r>
      <w:r>
        <w:rPr>
          <w:rFonts w:hint="eastAsia"/>
          <w:b/>
          <w:color w:val="000000"/>
          <w:sz w:val="32"/>
          <w:szCs w:val="32"/>
        </w:rPr>
        <w:t xml:space="preserve">月</w:t>
      </w:r>
      <w:r>
        <w:rPr>
          <w:rFonts w:hint="eastAsia"/>
          <w:b/>
          <w:color w:val="000000"/>
          <w:sz w:val="32"/>
          <w:szCs w:val="32"/>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8"/>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928"/>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rPr>
          <w:rFonts w:hint="eastAsia" w:ascii="黑体" w:hAnsi="宋体" w:eastAsia="黑体"/>
          <w:color w:val="000000"/>
          <w:sz w:val="36"/>
          <w:szCs w:val="21"/>
          <w:lang w:val="en-US" w:eastAsia="zh-CN"/>
        </w:rPr>
        <w:t xml:space="preserve">3</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rPr>
        <w:t xml:space="preserve">1</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rPr>
        <w:t xml:space="preserve">1</w:t>
      </w:r>
      <w:r>
        <w:rPr>
          <w:rFonts w:hint="eastAsia" w:ascii="黑体" w:hAnsi="宋体" w:eastAsia="黑体"/>
          <w:color w:val="000000"/>
          <w:sz w:val="36"/>
          <w:szCs w:val="21"/>
          <w:lang w:val="en-US" w:eastAsia="zh-CN"/>
        </w:rPr>
        <w:t xml:space="preserve">9</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rPr>
          <w:rFonts w:hint="eastAsia" w:ascii="黑体" w:hAnsi="宋体" w:eastAsia="黑体"/>
          <w:color w:val="000000"/>
          <w:sz w:val="36"/>
          <w:szCs w:val="21"/>
        </w:rPr>
        <w:t xml:space="preserve">2</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rPr>
        <w:t xml:space="preserve">27</w:t>
      </w:r>
      <w:r>
        <w:rPr>
          <w:rFonts w:hint="eastAsia" w:ascii="黑体" w:hAnsi="宋体" w:eastAsia="黑体"/>
          <w:color w:val="000000"/>
          <w:sz w:val="36"/>
          <w:szCs w:val="21"/>
        </w:rPr>
      </w:r>
      <w:r/>
    </w:p>
    <w:p>
      <w:pPr>
        <w:pStyle w:val="928"/>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928"/>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928"/>
        <w:ind w:firstLine="480"/>
        <w:spacing w:line="252" w:lineRule="auto"/>
        <w:rPr>
          <w:rFonts w:ascii="宋体" w:hAnsi="宋体"/>
          <w:color w:val="000000"/>
          <w:sz w:val="24"/>
          <w:szCs w:val="24"/>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ascii="宋体" w:hAnsi="宋体"/>
          <w:color w:val="000000"/>
          <w:sz w:val="24"/>
          <w:szCs w:val="24"/>
        </w:rPr>
        <w:t xml:space="preserve">受南京市规划和自然资源局（采购单位）委托，南京市公共资源交易中心（以下简称“交易中心”）就</w:t>
      </w:r>
      <w:r>
        <w:rPr>
          <w:rFonts w:hint="eastAsia" w:ascii="宋体" w:hAnsi="宋体"/>
          <w:color w:val="000000"/>
          <w:sz w:val="24"/>
          <w:szCs w:val="24"/>
          <w:lang w:eastAsia="zh-CN"/>
        </w:rPr>
        <w:t xml:space="preserve">智慧南京时空大数据平台及北斗定位服务升级基础设施</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ascii="宋体" w:hAnsi="宋体"/>
          <w:color w:val="000000"/>
          <w:sz w:val="24"/>
          <w:szCs w:val="24"/>
        </w:rPr>
      </w:pPr>
      <w:r/>
      <w:bookmarkEnd w:id="11"/>
      <w:r/>
      <w:bookmarkStart w:id="12" w:name="_Toc35393622"/>
      <w:r/>
      <w:bookmarkStart w:id="13" w:name="_Toc35393791"/>
      <w:r/>
      <w:bookmarkStart w:id="14" w:name="_Toc28359003"/>
      <w:r/>
      <w:bookmarkStart w:id="15" w:name="_Toc38985264"/>
      <w:r/>
      <w:bookmarkStart w:id="16" w:name="_Toc28359080"/>
      <w:r>
        <w:rPr>
          <w:rFonts w:hint="eastAsia" w:ascii="宋体" w:hAnsi="宋体"/>
          <w:color w:val="000000"/>
          <w:sz w:val="24"/>
          <w:szCs w:val="24"/>
        </w:rPr>
        <w:t xml:space="preserve">1.项目编号：JSZC-320100-JZCG-G2026-0065</w:t>
      </w:r>
      <w:r>
        <w:rPr>
          <w:rFonts w:hint="eastAsia" w:ascii="宋体" w:hAnsi="宋体"/>
          <w:color w:val="000000"/>
          <w:sz w:val="24"/>
          <w:szCs w:val="24"/>
        </w:rPr>
        <w:t xml:space="preserve"> </w:t>
      </w:r>
      <w:r>
        <w:rPr>
          <w:rFonts w:ascii="宋体" w:hAnsi="宋体"/>
          <w:color w:val="000000"/>
          <w:sz w:val="24"/>
          <w:szCs w:val="24"/>
        </w:rPr>
      </w:r>
      <w:r/>
    </w:p>
    <w:p>
      <w:pPr>
        <w:pStyle w:val="928"/>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智慧南京时空大数据平台及北斗定位服务升级基础设施采购</w:t>
      </w:r>
      <w:r>
        <w:rPr>
          <w:rFonts w:hint="eastAsia" w:ascii="宋体" w:hAnsi="宋体" w:eastAsia="宋体"/>
          <w:color w:val="000000"/>
          <w:sz w:val="24"/>
          <w:szCs w:val="24"/>
          <w:lang w:eastAsia="zh-CN"/>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3.预算金额：89.69万元</w:t>
      </w:r>
      <w:r>
        <w:rPr>
          <w:rFonts w:ascii="宋体" w:hAnsi="宋体"/>
          <w:color w:val="000000"/>
          <w:sz w:val="24"/>
          <w:szCs w:val="24"/>
        </w:rPr>
      </w:r>
      <w:r/>
    </w:p>
    <w:p>
      <w:pPr>
        <w:pStyle w:val="928"/>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4.最高限价：89.69万元</w:t>
      </w:r>
      <w:r>
        <w:rPr>
          <w:rFonts w:hint="eastAsia" w:ascii="宋体" w:hAnsi="宋体" w:cs="宋体"/>
          <w:color w:val="000000"/>
          <w:sz w:val="24"/>
          <w:szCs w:val="24"/>
          <w:highlight w:val="yellow"/>
        </w:rPr>
      </w:r>
      <w:r/>
    </w:p>
    <w:p>
      <w:pPr>
        <w:pStyle w:val="928"/>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为提升智慧南京时空大数据平台和北斗高精度定位服务能力，通过采购国产化服务器、操作系统、交换机、单向光闸和防火墙等设备，构建信创合规的软硬件基础设施环境，进一步提升系统的安全性、可靠性和稳定性。</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6.合同履行期限：自合同签订之日起至2026年12月31日。</w:t>
      </w:r>
      <w:r>
        <w:rPr>
          <w:rFonts w:hint="eastAsia" w:ascii="宋体" w:hAnsi="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hint="eastAsia" w:ascii="宋体" w:hAnsi="宋体" w:cs="宋体"/>
          <w:color w:val="000000"/>
          <w:sz w:val="24"/>
          <w:szCs w:val="24"/>
        </w:rPr>
      </w:r>
      <w:r/>
    </w:p>
    <w:p>
      <w:pPr>
        <w:pStyle w:val="928"/>
        <w:ind w:firstLine="480"/>
        <w:spacing w:line="252" w:lineRule="auto"/>
        <w:rPr>
          <w:rFonts w:hint="eastAsia"/>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w:t>
      </w:r>
      <w:r>
        <w:rPr>
          <w:rFonts w:hint="eastAsia" w:ascii="宋体" w:hAnsi="宋体"/>
          <w:color w:val="000000"/>
          <w:sz w:val="24"/>
          <w:szCs w:val="24"/>
        </w:rPr>
        <w:t xml:space="preserve">不接受</w:t>
      </w:r>
      <w:r>
        <w:rPr>
          <w:rFonts w:hint="eastAsia" w:ascii="宋体" w:hAnsi="宋体"/>
          <w:color w:val="000000"/>
          <w:sz w:val="24"/>
          <w:szCs w:val="24"/>
        </w:rPr>
        <w:t xml:space="preserve">进口产品投标。</w:t>
      </w:r>
      <w:r>
        <w:rPr>
          <w:rFonts w:hint="eastAsia"/>
          <w:color w:val="000000"/>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s="宋体"/>
          <w:color w:val="000000"/>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28"/>
        <w:ind w:firstLine="480"/>
        <w:spacing w:line="252" w:lineRule="auto"/>
        <w:rPr>
          <w:rFonts w:hint="eastAsia" w:ascii="宋体" w:hAnsi="宋体" w:eastAsia="宋体" w:cs="Times New Roman"/>
          <w:color w:val="000000"/>
          <w:sz w:val="24"/>
          <w:szCs w:val="24"/>
          <w:lang w:val="zh-CN"/>
        </w:rPr>
      </w:pPr>
      <w:r>
        <w:rPr>
          <w:rFonts w:hint="eastAsia" w:ascii="宋体" w:hAnsi="宋体"/>
          <w:color w:val="000000"/>
          <w:sz w:val="24"/>
          <w:szCs w:val="24"/>
        </w:rPr>
        <w:t xml:space="preserve">1.</w:t>
      </w:r>
      <w:r>
        <w:rPr>
          <w:rFonts w:hint="eastAsia" w:ascii="宋体" w:hAnsi="宋体" w:eastAsia="宋体" w:cs="Times New Roman"/>
          <w:color w:val="000000"/>
          <w:sz w:val="24"/>
          <w:szCs w:val="24"/>
          <w:lang w:val="zh-CN"/>
        </w:rPr>
        <w:t xml:space="preserve">1供应商信用承诺函（格式见第六章）。</w:t>
      </w:r>
      <w:r>
        <w:rPr>
          <w:rFonts w:hint="eastAsia" w:ascii="宋体" w:hAnsi="宋体" w:eastAsia="宋体" w:cs="Times New Roman"/>
          <w:color w:val="000000"/>
          <w:sz w:val="24"/>
          <w:szCs w:val="24"/>
          <w:lang w:val="zh-CN"/>
        </w:rPr>
      </w:r>
      <w:r/>
    </w:p>
    <w:p>
      <w:pPr>
        <w:pStyle w:val="928"/>
        <w:ind w:firstLine="480"/>
        <w:spacing w:line="252"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2.落实政府采购政策需满足的资格要求：无。</w:t>
      </w:r>
      <w:r>
        <w:rPr>
          <w:rFonts w:hint="eastAsia" w:ascii="宋体" w:hAnsi="宋体" w:eastAsia="宋体" w:cs="Times New Roman"/>
          <w:color w:val="000000"/>
          <w:sz w:val="24"/>
          <w:szCs w:val="24"/>
          <w:lang w:val="zh-CN"/>
        </w:rPr>
      </w:r>
      <w:r/>
    </w:p>
    <w:p>
      <w:pPr>
        <w:pStyle w:val="928"/>
        <w:ind w:firstLine="480"/>
        <w:spacing w:line="252"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（二）本项目特定资格要求：</w:t>
      </w:r>
      <w:r>
        <w:rPr>
          <w:rFonts w:hint="eastAsia" w:ascii="宋体" w:hAnsi="宋体" w:eastAsia="宋体" w:cs="Times New Roman"/>
          <w:color w:val="000000"/>
          <w:sz w:val="24"/>
          <w:szCs w:val="24"/>
          <w:highlight w:val="none"/>
          <w:lang w:val="zh-CN"/>
        </w:rPr>
        <w:t xml:space="preserve">无。</w:t>
      </w:r>
      <w:r>
        <w:rPr>
          <w:rFonts w:hint="eastAsia" w:ascii="宋体" w:hAnsi="宋体" w:eastAsia="宋体" w:cs="Times New Roman"/>
          <w:color w:val="000000"/>
          <w:sz w:val="24"/>
          <w:szCs w:val="24"/>
          <w:lang w:val="zh-CN"/>
        </w:rPr>
      </w:r>
      <w:r/>
    </w:p>
    <w:p>
      <w:pPr>
        <w:pStyle w:val="928"/>
        <w:ind w:firstLine="480"/>
        <w:spacing w:line="252"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（三）拒绝下述供应商参加本次采购活动</w:t>
      </w:r>
      <w:r>
        <w:rPr>
          <w:rFonts w:hint="eastAsia" w:ascii="宋体" w:hAnsi="宋体" w:eastAsia="宋体" w:cs="Times New Roman"/>
          <w:color w:val="000000"/>
          <w:sz w:val="24"/>
          <w:szCs w:val="24"/>
          <w:lang w:val="zh-CN"/>
        </w:rPr>
      </w:r>
      <w:r/>
    </w:p>
    <w:p>
      <w:pPr>
        <w:pStyle w:val="928"/>
        <w:ind w:firstLine="480"/>
        <w:spacing w:line="252" w:lineRule="auto"/>
        <w:rPr>
          <w:rFonts w:hint="eastAsia" w:ascii="宋体" w:hAnsi="宋体"/>
          <w:color w:val="000000"/>
          <w:sz w:val="24"/>
          <w:szCs w:val="24"/>
        </w:rPr>
      </w:pPr>
      <w:r>
        <w:rPr>
          <w:rFonts w:hint="eastAsia" w:ascii="宋体" w:hAnsi="宋体" w:eastAsia="宋体" w:cs="Times New Roman"/>
          <w:color w:val="000000"/>
          <w:sz w:val="24"/>
          <w:szCs w:val="24"/>
          <w:lang w:val="zh-CN"/>
        </w:rPr>
        <w:t xml:space="preserve">1.单位负责人为同一人或者存在直接控股、管理关系的不同供</w:t>
      </w:r>
      <w:r>
        <w:rPr>
          <w:rFonts w:hint="eastAsia" w:ascii="宋体" w:hAnsi="宋体"/>
          <w:color w:val="000000"/>
          <w:sz w:val="24"/>
          <w:szCs w:val="24"/>
        </w:rPr>
        <w:t xml:space="preserve">应商，不得参加同一合同项下的政府采购活动。</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28"/>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bCs/>
          <w:color w:val="000000"/>
          <w:sz w:val="24"/>
          <w:szCs w:val="24"/>
          <w:u w:val="single"/>
        </w:rPr>
      </w:pPr>
      <w:r/>
      <w:bookmarkStart w:id="27" w:name="_Toc35393625"/>
      <w:r/>
      <w:bookmarkStart w:id="28" w:name="_Toc28359007"/>
      <w:r/>
      <w:bookmarkStart w:id="29" w:name="_Toc28359084"/>
      <w:r/>
      <w:bookmarkStart w:id="30" w:name="_Toc35393794"/>
      <w:r/>
      <w:bookmarkStart w:id="31" w:name="_Toc38985267"/>
      <w:r>
        <w:rPr>
          <w:rFonts w:hint="eastAsia" w:ascii="宋体" w:hAnsi="宋体" w:cs="宋体"/>
          <w:color w:val="000000"/>
          <w:sz w:val="24"/>
          <w:szCs w:val="24"/>
        </w:rPr>
        <w:t xml:space="preserve">1.提交投标文件截止时间、开标时间</w:t>
      </w:r>
      <w:r>
        <w:rPr>
          <w:rFonts w:hint="eastAsia" w:ascii="Times New Roman" w:hAnsi="Times New Roman" w:eastAsia="Times New Roman" w:cs="Times New Roman"/>
          <w:color w:val="000000"/>
          <w:sz w:val="24"/>
          <w:szCs w:val="24"/>
        </w:rPr>
        <w:t xml:space="preserve">：</w:t>
      </w:r>
      <w:r>
        <w:rPr>
          <w:rFonts w:hint="eastAsia" w:ascii="Times New Roman" w:hAnsi="Times New Roman" w:cs="Times New Roman"/>
          <w:b/>
          <w:bCs/>
          <w:color w:val="000000"/>
          <w:sz w:val="24"/>
          <w:szCs w:val="24"/>
        </w:rPr>
        <w:t xml:space="preserve">20</w:t>
      </w:r>
      <w:r>
        <w:rPr>
          <w:rFonts w:hint="eastAsia" w:ascii="Times New Roman" w:hAnsi="Times New Roman" w:cs="Times New Roman"/>
          <w:b/>
          <w:bCs/>
          <w:color w:val="000000"/>
          <w:sz w:val="24"/>
          <w:szCs w:val="24"/>
        </w:rPr>
        <w:t xml:space="preserve">26</w:t>
      </w:r>
      <w:r>
        <w:rPr>
          <w:rFonts w:hint="eastAsia" w:ascii="Times New Roman" w:hAnsi="Times New Roman" w:eastAsia="Times New Roman" w:cs="Times New Roman"/>
          <w:b/>
          <w:bCs/>
          <w:color w:val="000000"/>
          <w:sz w:val="24"/>
          <w:szCs w:val="24"/>
        </w:rPr>
        <w:t xml:space="preserve">年4</w:t>
      </w:r>
      <w:r>
        <w:rPr>
          <w:rFonts w:hint="eastAsia" w:ascii="Times New Roman" w:hAnsi="Times New Roman" w:eastAsia="Times New Roman" w:cs="Times New Roman"/>
          <w:b/>
          <w:bCs/>
          <w:color w:val="000000"/>
          <w:sz w:val="24"/>
          <w:szCs w:val="24"/>
        </w:rPr>
        <w:t xml:space="preserve">月</w:t>
      </w:r>
      <w:r>
        <w:rPr>
          <w:rFonts w:hint="eastAsia" w:ascii="Times New Roman" w:hAnsi="Times New Roman" w:cs="Times New Roman"/>
          <w:b/>
          <w:bCs/>
          <w:color w:val="000000"/>
          <w:sz w:val="24"/>
          <w:szCs w:val="24"/>
        </w:rPr>
        <w:t xml:space="preserve">30</w:t>
      </w:r>
      <w:r>
        <w:rPr>
          <w:rFonts w:hint="eastAsia" w:ascii="Times New Roman" w:hAnsi="Times New Roman" w:eastAsia="Times New Roman" w:cs="Times New Roman"/>
          <w:b/>
          <w:bCs/>
          <w:color w:val="000000"/>
          <w:sz w:val="24"/>
          <w:szCs w:val="24"/>
        </w:rPr>
        <w:t xml:space="preserve">日</w:t>
      </w:r>
      <w:r>
        <w:rPr>
          <w:rFonts w:hint="eastAsia" w:ascii="Times New Roman" w:hAnsi="Times New Roman" w:cs="Times New Roman"/>
          <w:b/>
          <w:bCs/>
          <w:color w:val="000000"/>
          <w:sz w:val="24"/>
          <w:szCs w:val="24"/>
        </w:rPr>
        <w:t xml:space="preserve">09</w:t>
      </w:r>
      <w:r>
        <w:rPr>
          <w:rFonts w:hint="eastAsia" w:ascii="Times New Roman" w:hAnsi="Times New Roman" w:eastAsia="Times New Roman" w:cs="Times New Roman"/>
          <w:b/>
          <w:bCs/>
          <w:color w:val="000000"/>
          <w:sz w:val="24"/>
          <w:szCs w:val="24"/>
        </w:rPr>
        <w:t xml:space="preserve">时30</w:t>
      </w:r>
      <w:r>
        <w:rPr>
          <w:rFonts w:hint="eastAsia" w:ascii="Times New Roman" w:hAnsi="Times New Roman" w:eastAsia="Times New Roman" w:cs="Times New Roman"/>
          <w:b/>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928"/>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31"/>
        <w:ind w:firstLine="498"/>
        <w:spacing w:before="145" w:after="145" w:line="252" w:lineRule="auto"/>
        <w:rPr>
          <w:rFonts w:hint="eastAsia"/>
          <w:color w:val="000000"/>
        </w:rPr>
      </w:pPr>
      <w:r>
        <w:rPr>
          <w:rFonts w:hint="eastAsia"/>
          <w:color w:val="000000"/>
        </w:rPr>
        <w:t xml:space="preserve">六、其他事宜</w:t>
      </w:r>
      <w:bookmarkEnd w:id="32"/>
      <w:r/>
      <w:bookmarkEnd w:id="33"/>
      <w:r/>
      <w:bookmarkEnd w:id="34"/>
      <w:r>
        <w:rPr>
          <w:rFonts w:hint="eastAsia"/>
          <w:color w:val="000000"/>
        </w:rPr>
      </w:r>
      <w:r/>
    </w:p>
    <w:p>
      <w:pPr>
        <w:pStyle w:val="928"/>
        <w:ind w:firstLine="480"/>
        <w:spacing w:line="252" w:lineRule="auto"/>
        <w:tabs>
          <w:tab w:val="left" w:pos="900" w:leader="none"/>
        </w:tabs>
        <w:rPr>
          <w:rFonts w:hint="eastAsia" w:ascii="宋体" w:hAnsi="宋体"/>
          <w:bCs/>
          <w:color w:val="000000"/>
          <w:sz w:val="24"/>
          <w:szCs w:val="24"/>
        </w:rPr>
      </w:pPr>
      <w:r/>
      <w:bookmarkStart w:id="35" w:name="_Toc35393796"/>
      <w:r/>
      <w:bookmarkStart w:id="36" w:name="_Toc35393627"/>
      <w:r/>
      <w:bookmarkStart w:id="37" w:name="_Toc38985269"/>
      <w:r/>
      <w:bookmarkStart w:id="38" w:name="_Toc28359085"/>
      <w:r/>
      <w:bookmarkStart w:id="39"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28"/>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928"/>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928"/>
        <w:ind w:firstLine="480"/>
        <w:spacing w:line="252" w:lineRule="auto"/>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钟主任</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中山路</w:t>
      </w:r>
      <w:r>
        <w:rPr>
          <w:rFonts w:hint="eastAsia" w:ascii="宋体" w:hAnsi="宋体" w:cs="宋体"/>
          <w:color w:val="000000"/>
          <w:sz w:val="24"/>
          <w:szCs w:val="24"/>
        </w:rPr>
        <w:t xml:space="preserve">路</w:t>
      </w:r>
      <w:r>
        <w:rPr>
          <w:rFonts w:hint="eastAsia" w:ascii="宋体" w:hAnsi="宋体"/>
          <w:color w:val="000000"/>
          <w:sz w:val="24"/>
          <w:szCs w:val="24"/>
        </w:rPr>
        <w:t xml:space="preserve">171</w:t>
      </w:r>
      <w:r>
        <w:rPr>
          <w:rFonts w:hint="eastAsia" w:ascii="宋体" w:hAnsi="宋体" w:cs="宋体"/>
          <w:color w:val="000000"/>
          <w:sz w:val="24"/>
          <w:szCs w:val="24"/>
        </w:rPr>
        <w:t xml:space="preserve">号，</w:t>
      </w:r>
      <w:r>
        <w:rPr>
          <w:rFonts w:hint="eastAsia" w:ascii="宋体" w:hAnsi="宋体"/>
          <w:color w:val="000000"/>
          <w:sz w:val="24"/>
        </w:rPr>
        <w:t xml:space="preserve">联系电话：</w:t>
      </w:r>
      <w:r>
        <w:rPr>
          <w:rFonts w:hint="eastAsia" w:ascii="宋体" w:hAnsi="宋体"/>
          <w:color w:val="000000"/>
          <w:sz w:val="24"/>
          <w:szCs w:val="24"/>
        </w:rPr>
        <w:t xml:space="preserve">025-89690919</w:t>
      </w:r>
      <w:r>
        <w:rPr>
          <w:rFonts w:hint="eastAsia" w:ascii="宋体" w:hAnsi="宋体"/>
          <w:color w:val="000000"/>
          <w:sz w:val="24"/>
        </w:rPr>
        <w:t xml:space="preserve">。</w:t>
      </w:r>
      <w:r>
        <w:rPr>
          <w:rFonts w:ascii="宋体" w:hAnsi="宋体"/>
          <w:color w:val="000000"/>
          <w:sz w:val="24"/>
        </w:rPr>
      </w:r>
      <w:r/>
    </w:p>
    <w:p>
      <w:pPr>
        <w:pStyle w:val="928"/>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lang w:val="zh-CN"/>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称：南京市规划和自然资源局</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南京市鼓楼区中山路171号 </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钟主任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025-89690919 </w:t>
      </w:r>
      <w:bookmarkStart w:id="40" w:name="_Toc28359009"/>
      <w:r/>
      <w:bookmarkStart w:id="41" w:name="_Toc28359086"/>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南京市建邺区江东中路265号  </w:t>
      </w:r>
      <w:r>
        <w:rPr>
          <w:rFonts w:hint="eastAsia" w:ascii="宋体" w:hAnsi="宋体"/>
          <w:color w:val="000000"/>
          <w:sz w:val="24"/>
          <w:szCs w:val="24"/>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孙先生</w:t>
      </w:r>
      <w:r>
        <w:rPr>
          <w:rFonts w:ascii="宋体" w:hAnsi="宋体"/>
          <w:color w:val="000000"/>
          <w:sz w:val="24"/>
          <w:szCs w:val="24"/>
        </w:rPr>
      </w:r>
      <w:r/>
    </w:p>
    <w:p>
      <w:pPr>
        <w:pStyle w:val="928"/>
        <w:ind w:firstLine="480"/>
        <w:spacing w:line="252" w:lineRule="auto"/>
        <w:rPr>
          <w:rFonts w:hint="eastAsia"/>
          <w:color w:val="000000"/>
        </w:rPr>
      </w:pPr>
      <w:r>
        <w:rPr>
          <w:rFonts w:hint="eastAsia" w:ascii="宋体" w:hAnsi="宋体"/>
          <w:color w:val="000000"/>
          <w:sz w:val="24"/>
          <w:szCs w:val="24"/>
        </w:rPr>
        <w:t xml:space="preserve">联系电话：</w:t>
      </w:r>
      <w:r>
        <w:rPr>
          <w:rFonts w:hint="eastAsia" w:ascii="宋体" w:hAnsi="宋体"/>
          <w:color w:val="000000"/>
          <w:sz w:val="24"/>
          <w:szCs w:val="24"/>
        </w:rPr>
        <w:t xml:space="preserve">025-68505990 </w:t>
      </w:r>
      <w:r>
        <w:rPr>
          <w:rFonts w:hint="eastAsia"/>
          <w:color w:val="000000"/>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120614214"/>
      <w:r/>
      <w:bookmarkStart w:id="50" w:name="_Toc513029203"/>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color w:val="000000"/>
        </w:rPr>
        <w:t xml:space="preserve">1</w:t>
      </w:r>
      <w:bookmarkEnd w:id="57"/>
      <w:r>
        <w:rPr>
          <w:rFonts w:hint="eastAsia" w:ascii="方正楷体_GBK" w:hAnsi="方正楷体_GBK" w:eastAsia="方正楷体_GBK" w:cs="方正楷体_GBK"/>
          <w:color w:val="000000"/>
        </w:rPr>
        <w:t xml:space="preserve">.招标方式</w:t>
      </w:r>
      <w:bookmarkEnd w:id="58"/>
      <w:r/>
      <w:bookmarkEnd w:id="59"/>
      <w:r/>
      <w:bookmarkEnd w:id="60"/>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61" w:name="_Toc16938521"/>
      <w:r/>
      <w:bookmarkStart w:id="62" w:name="_Toc20823277"/>
      <w:r/>
      <w:bookmarkStart w:id="63" w:name="_Toc513029205"/>
      <w:r>
        <w:rPr>
          <w:rFonts w:hint="eastAsia" w:ascii="方正楷体_GBK" w:hAnsi="方正楷体_GBK" w:eastAsia="方正楷体_GBK" w:cs="方正楷体_GBK"/>
          <w:color w:val="000000"/>
        </w:rPr>
        <w:t xml:space="preserve">2.合格的投标人</w:t>
      </w:r>
      <w:bookmarkEnd w:id="61"/>
      <w:r/>
      <w:bookmarkEnd w:id="62"/>
      <w:r/>
      <w:bookmarkEnd w:id="63"/>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64" w:name="_Toc513029206"/>
      <w:r/>
      <w:bookmarkStart w:id="65" w:name="_Toc20823278"/>
      <w:r/>
      <w:bookmarkStart w:id="66" w:name="_Toc16938522"/>
      <w:r>
        <w:rPr>
          <w:rFonts w:hint="eastAsia" w:ascii="方正楷体_GBK" w:hAnsi="方正楷体_GBK" w:eastAsia="方正楷体_GBK" w:cs="方正楷体_GBK"/>
          <w:color w:val="000000"/>
        </w:rPr>
        <w:t xml:space="preserve">3.适用法律</w:t>
      </w:r>
      <w:bookmarkEnd w:id="64"/>
      <w:r/>
      <w:bookmarkEnd w:id="65"/>
      <w:r/>
      <w:bookmarkEnd w:id="66"/>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color w:val="000000"/>
        </w:rPr>
        <w:t xml:space="preserve">4.投标费用</w:t>
      </w:r>
      <w:bookmarkEnd w:id="67"/>
      <w:r/>
      <w:bookmarkEnd w:id="68"/>
      <w:r/>
      <w:bookmarkEnd w:id="69"/>
      <w:r/>
      <w:bookmarkEnd w:id="70"/>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75" w:name="_Toc16938526"/>
      <w:r/>
      <w:bookmarkStart w:id="76" w:name="_Toc20823282"/>
      <w:r/>
      <w:bookmarkStart w:id="77" w:name="_Toc513029210"/>
      <w:r>
        <w:rPr>
          <w:rFonts w:hint="eastAsia" w:ascii="方正楷体_GBK" w:hAnsi="方正楷体_GBK" w:eastAsia="方正楷体_GBK" w:cs="方正楷体_GBK"/>
          <w:color w:val="000000"/>
        </w:rPr>
        <w:t xml:space="preserve">6.招标文件构成</w:t>
      </w:r>
      <w:bookmarkEnd w:id="75"/>
      <w:r/>
      <w:bookmarkEnd w:id="76"/>
      <w:r/>
      <w:bookmarkEnd w:id="77"/>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78" w:name="_Toc20823283"/>
      <w:r/>
      <w:bookmarkStart w:id="79" w:name="_Toc16938527"/>
      <w:r/>
      <w:bookmarkStart w:id="80" w:name="_Toc462564070"/>
      <w:r/>
      <w:bookmarkStart w:id="81" w:name="_Toc513029211"/>
      <w:r>
        <w:rPr>
          <w:rFonts w:hint="eastAsia" w:ascii="方正楷体_GBK" w:hAnsi="方正楷体_GBK" w:eastAsia="方正楷体_GBK" w:cs="方正楷体_GBK"/>
          <w:color w:val="000000"/>
        </w:rPr>
        <w:t xml:space="preserve">7.招标文件的澄清</w:t>
      </w:r>
      <w:bookmarkEnd w:id="78"/>
      <w:r/>
      <w:bookmarkEnd w:id="79"/>
      <w:r/>
      <w:bookmarkEnd w:id="80"/>
      <w:r/>
      <w:bookmarkEnd w:id="81"/>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color w:val="000000"/>
        </w:rPr>
        <w:t xml:space="preserve">8.招标文件的修改</w:t>
      </w:r>
      <w:bookmarkEnd w:id="82"/>
      <w:r/>
      <w:bookmarkEnd w:id="83"/>
      <w:r/>
      <w:bookmarkEnd w:id="84"/>
      <w:r/>
      <w:bookmarkEnd w:id="85"/>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bookmarkStart w:id="86" w:name="_Toc20823285"/>
      <w:r/>
      <w:bookmarkStart w:id="87" w:name="_Toc16938529"/>
      <w:r/>
      <w:bookmarkStart w:id="88" w:name="_Toc513029213"/>
      <w:r/>
      <w:bookmarkStart w:id="89" w:name="_Toc120614216"/>
      <w:r/>
      <w:bookmarkStart w:id="90" w:name="_Toc462564072"/>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color w:val="000000"/>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95" w:name="_Toc462564074"/>
      <w:r/>
      <w:bookmarkStart w:id="96" w:name="_Toc16938531"/>
      <w:r/>
      <w:bookmarkStart w:id="97" w:name="_Toc20823287"/>
      <w:r/>
      <w:bookmarkStart w:id="98" w:name="_Toc513029215"/>
      <w:r>
        <w:rPr>
          <w:rFonts w:hint="eastAsia" w:ascii="方正楷体_GBK" w:hAnsi="方正楷体_GBK" w:eastAsia="方正楷体_GBK" w:cs="方正楷体_GBK"/>
          <w:color w:val="000000"/>
        </w:rPr>
        <w:t xml:space="preserve">10.投标文件构成</w:t>
      </w:r>
      <w:bookmarkEnd w:id="95"/>
      <w:r/>
      <w:bookmarkEnd w:id="96"/>
      <w:r/>
      <w:bookmarkEnd w:id="97"/>
      <w:r/>
      <w:bookmarkEnd w:id="98"/>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color w:val="000000"/>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bookmarkEnd w:id="104"/>
      <w:r/>
      <w:bookmarkEnd w:id="105"/>
      <w:r/>
      <w:bookmarkEnd w:id="106"/>
      <w:r/>
      <w:bookmarkStart w:id="108" w:name="_Toc49090508"/>
      <w:r/>
      <w:bookmarkStart w:id="109" w:name="_Toc14577355"/>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09"/>
      <w:r/>
      <w:bookmarkStart w:id="110" w:name="_Hlt26670373"/>
      <w:r/>
      <w:bookmarkEnd w:id="110"/>
      <w:r>
        <w:rPr>
          <w:rFonts w:hint="eastAsia" w:ascii="方正楷体_GBK" w:hAnsi="方正楷体_GBK" w:eastAsia="方正楷体_GBK" w:cs="方正楷体_GBK"/>
          <w:color w:val="000000"/>
        </w:rPr>
        <w:t xml:space="preserve">表</w:t>
      </w:r>
      <w:bookmarkEnd w:id="108"/>
      <w:r>
        <w:rPr>
          <w:rFonts w:hint="eastAsia" w:ascii="方正楷体_GBK" w:hAnsi="方正楷体_GBK" w:eastAsia="方正楷体_GBK" w:cs="方正楷体_GBK"/>
          <w:color w:val="000000"/>
        </w:rPr>
        <w:t xml:space="preserve">（如有）</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12.1 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bookmarkStart w:id="113" w:name="_Hlt26954842"/>
      <w:r/>
      <w:bookmarkEnd w:id="113"/>
      <w:r/>
      <w:bookmarkStart w:id="114" w:name="_Hlt26954848"/>
      <w:r/>
      <w:bookmarkEnd w:id="114"/>
      <w:r/>
      <w:bookmarkStart w:id="115" w:name="_Hlt26670403"/>
      <w:r/>
      <w:bookmarkEnd w:id="115"/>
      <w:r/>
      <w:bookmarkStart w:id="116" w:name="_Hlt26670425"/>
      <w:r/>
      <w:bookmarkEnd w:id="116"/>
      <w:r/>
      <w:bookmarkStart w:id="117" w:name="_Hlt26954731"/>
      <w:r/>
      <w:bookmarkEnd w:id="117"/>
      <w:r/>
      <w:bookmarkStart w:id="118" w:name="_Hlt26954844"/>
      <w:r/>
      <w:bookmarkEnd w:id="118"/>
      <w:r/>
      <w:bookmarkStart w:id="119" w:name="_Hlt26670482"/>
      <w:r/>
      <w:bookmarkEnd w:id="119"/>
      <w:r/>
      <w:bookmarkStart w:id="120" w:name="_Hlt26954846"/>
      <w:r/>
      <w:bookmarkEnd w:id="120"/>
      <w:r/>
      <w:bookmarkStart w:id="121" w:name="_Hlt26668983"/>
      <w:r/>
      <w:bookmarkEnd w:id="121"/>
      <w:r/>
      <w:bookmarkStart w:id="122" w:name="_Hlt26670486"/>
      <w:r/>
      <w:bookmarkEnd w:id="122"/>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23" w:name="_Toc49090510"/>
      <w:r/>
      <w:bookmarkStart w:id="124" w:name="_Toc14577359"/>
      <w:r>
        <w:rPr>
          <w:rFonts w:hint="eastAsia" w:ascii="方正楷体_GBK" w:hAnsi="方正楷体_GBK" w:eastAsia="方正楷体_GBK" w:cs="方正楷体_GBK"/>
          <w:color w:val="000000"/>
        </w:rPr>
        <w:t xml:space="preserve">14.投标函和开标一览表及核心产品品牌一览表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000000"/>
        </w:rPr>
        <w:t xml:space="preserve">15.投标有效期</w:t>
      </w:r>
      <w:bookmarkEnd w:id="128"/>
      <w:r/>
      <w:bookmarkEnd w:id="129"/>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20823296"/>
      <w:r/>
      <w:bookmarkStart w:id="134" w:name="_Toc16938540"/>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136" w:name="_Toc20823297"/>
      <w:r/>
      <w:bookmarkStart w:id="137" w:name="_Toc462564084"/>
      <w:r/>
      <w:bookmarkStart w:id="138" w:name="_Toc16938541"/>
      <w:r/>
      <w:bookmarkStart w:id="139" w:name="_Toc513029225"/>
      <w:r>
        <w:rPr>
          <w:rFonts w:hint="eastAsia" w:ascii="方正楷体_GBK" w:hAnsi="方正楷体_GBK" w:eastAsia="方正楷体_GBK" w:cs="方正楷体_GBK"/>
          <w:color w:val="000000"/>
        </w:rPr>
        <w:t xml:space="preserve">17.投标文件</w:t>
      </w:r>
      <w:bookmarkEnd w:id="136"/>
      <w:r/>
      <w:bookmarkEnd w:id="137"/>
      <w:r/>
      <w:bookmarkEnd w:id="138"/>
      <w:r/>
      <w:bookmarkEnd w:id="139"/>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color w:val="000000"/>
          <w:sz w:val="24"/>
          <w:lang w:val="zh-CN"/>
        </w:rPr>
      </w:r>
      <w:r/>
    </w:p>
    <w:p>
      <w:pPr>
        <w:pStyle w:val="928"/>
        <w:ind w:firstLine="420"/>
        <w:rPr>
          <w:rFonts w:hint="eastAsia" w:ascii="宋体" w:hAnsi="宋体"/>
          <w:color w:val="000000"/>
          <w:sz w:val="24"/>
          <w:lang w:val="zh-CN"/>
        </w:rPr>
      </w:pPr>
      <w:r/>
      <w:bookmarkEnd w:id="140"/>
      <w:r/>
      <w:bookmarkEnd w:id="141"/>
      <w:r/>
      <w:bookmarkEnd w:id="142"/>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43" w:name="_Toc513029227"/>
      <w:r/>
      <w:bookmarkStart w:id="144" w:name="_Toc20823299"/>
      <w:r/>
      <w:bookmarkStart w:id="145" w:name="_Toc16938543"/>
      <w:r>
        <w:rPr>
          <w:rFonts w:hint="eastAsia" w:ascii="方正楷体_GBK" w:hAnsi="方正楷体_GBK" w:eastAsia="方正楷体_GBK" w:cs="方正楷体_GBK"/>
          <w:color w:val="000000"/>
        </w:rPr>
        <w:t xml:space="preserve">18.投标文件</w:t>
      </w:r>
      <w:bookmarkEnd w:id="143"/>
      <w:r/>
      <w:bookmarkEnd w:id="144"/>
      <w:r/>
      <w:bookmarkEnd w:id="145"/>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46" w:name="_Toc16938544"/>
      <w:r/>
      <w:bookmarkStart w:id="147" w:name="_Toc513029228"/>
      <w:r/>
      <w:bookmarkStart w:id="148" w:name="_Toc20823300"/>
      <w:r>
        <w:rPr>
          <w:rFonts w:hint="eastAsia" w:ascii="方正楷体_GBK" w:hAnsi="方正楷体_GBK" w:eastAsia="方正楷体_GBK" w:cs="方正楷体_GBK"/>
          <w:color w:val="000000"/>
        </w:rPr>
        <w:t xml:space="preserve">19.投标文件的撤回和修改</w:t>
      </w:r>
      <w:bookmarkEnd w:id="146"/>
      <w:r/>
      <w:bookmarkEnd w:id="147"/>
      <w:r/>
      <w:bookmarkEnd w:id="148"/>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20823301"/>
      <w:r/>
      <w:bookmarkStart w:id="150" w:name="_Toc120614218"/>
      <w:r/>
      <w:bookmarkStart w:id="151" w:name="_Toc513029229"/>
      <w:r/>
      <w:bookmarkStart w:id="152" w:name="_Toc16938545"/>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153" w:name="_Toc20823302"/>
      <w:r/>
      <w:bookmarkStart w:id="154" w:name="_Toc16938546"/>
      <w:r/>
      <w:bookmarkStart w:id="155" w:name="_Toc513029230"/>
      <w:r>
        <w:rPr>
          <w:rFonts w:hint="eastAsia" w:ascii="方正楷体_GBK" w:hAnsi="方正楷体_GBK" w:eastAsia="方正楷体_GBK" w:cs="方正楷体_GBK"/>
          <w:color w:val="000000"/>
        </w:rPr>
        <w:t xml:space="preserve">20.开标</w:t>
      </w:r>
      <w:bookmarkEnd w:id="153"/>
      <w:r/>
      <w:bookmarkEnd w:id="154"/>
      <w:r/>
      <w:bookmarkEnd w:id="155"/>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56" w:name="_Toc513029231"/>
      <w:r/>
      <w:bookmarkStart w:id="157" w:name="_Toc20823303"/>
      <w:r/>
      <w:bookmarkStart w:id="158" w:name="_Toc16938547"/>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bookmarkEnd w:id="156"/>
      <w:r/>
      <w:bookmarkEnd w:id="157"/>
      <w:r/>
      <w:bookmarkEnd w:id="158"/>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59" w:name="_Toc513029232"/>
      <w:r/>
      <w:bookmarkStart w:id="160" w:name="_Toc16938548"/>
      <w:r/>
      <w:bookmarkStart w:id="161" w:name="_Toc20823304"/>
      <w:r>
        <w:rPr>
          <w:rFonts w:hint="eastAsia" w:ascii="方正楷体_GBK" w:hAnsi="方正楷体_GBK" w:eastAsia="方正楷体_GBK" w:cs="方正楷体_GBK"/>
          <w:color w:val="000000"/>
        </w:rPr>
        <w:t xml:space="preserve">23.投标文件的澄清</w:t>
      </w:r>
      <w:bookmarkEnd w:id="159"/>
      <w:r/>
      <w:bookmarkEnd w:id="160"/>
      <w:r/>
      <w:bookmarkEnd w:id="161"/>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Start w:id="162" w:name="_Toc20823305"/>
      <w:r/>
      <w:bookmarkStart w:id="163" w:name="_Toc513029233"/>
      <w:r/>
      <w:bookmarkStart w:id="164" w:name="_Toc16938549"/>
      <w:r>
        <w:rPr>
          <w:rFonts w:hint="eastAsia" w:ascii="方正楷体_GBK" w:hAnsi="方正楷体_GBK" w:eastAsia="方正楷体_GBK" w:cs="方正楷体_GBK"/>
          <w:color w:val="000000"/>
        </w:rPr>
        <w:t xml:space="preserve">24.投标文件的</w:t>
      </w:r>
      <w:bookmarkEnd w:id="162"/>
      <w:r/>
      <w:bookmarkEnd w:id="163"/>
      <w:r/>
      <w:bookmarkEnd w:id="164"/>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928"/>
        <w:ind w:firstLine="420"/>
        <w:rPr>
          <w:rFonts w:hint="eastAsia" w:ascii="宋体" w:hAnsi="宋体"/>
          <w:color w:val="000000"/>
          <w:sz w:val="24"/>
          <w:lang w:val="zh-CN"/>
        </w:rPr>
      </w:pPr>
      <w:r/>
      <w:bookmarkStart w:id="165" w:name="_Toc513029234"/>
      <w:r/>
      <w:bookmarkStart w:id="166" w:name="_Toc20823306"/>
      <w:r/>
      <w:bookmarkStart w:id="167"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异常低价投标审查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lang w:val="zh-CN"/>
        </w:rPr>
        <w:t xml:space="preserve">55%</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szCs w:val="24"/>
        </w:rPr>
      </w:pPr>
      <w:r>
        <w:rPr>
          <w:rFonts w:hint="eastAsia" w:ascii="宋体" w:hAnsi="宋体"/>
          <w:color w:val="000000"/>
          <w:sz w:val="24"/>
          <w:lang w:val="zh-CN"/>
        </w:rPr>
        <w:t xml:space="preserve">（4）评委会基于专业判断，认为供应商报价过低，有可能影响产品质量或者不能诚信履约的其他情形。</w:t>
      </w:r>
      <w:r>
        <w:rPr>
          <w:rFonts w:hint="eastAsia" w:ascii="宋体" w:hAnsi="宋体"/>
          <w:color w:val="000000"/>
          <w:sz w:val="24"/>
          <w:szCs w:val="24"/>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68"/>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5"/>
      <w:r/>
      <w:bookmarkEnd w:id="166"/>
      <w:r/>
      <w:bookmarkEnd w:id="167"/>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bookmarkStart w:id="169" w:name="_Toc20823307"/>
      <w:r/>
      <w:bookmarkStart w:id="170" w:name="_Toc16938551"/>
      <w:r/>
      <w:bookmarkStart w:id="171" w:name="_Toc120614219"/>
      <w:r/>
      <w:bookmarkStart w:id="172"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25.1.10 评委会</w:t>
      </w:r>
      <w:r>
        <w:rPr>
          <w:rFonts w:hint="eastAsia" w:ascii="宋体" w:hAnsi="宋体"/>
          <w:color w:val="000000"/>
          <w:sz w:val="24"/>
          <w:szCs w:val="21"/>
        </w:rPr>
        <w:t xml:space="preserve">按照本招标文件规定对投标人进行异常低价投标审查后，认为投标人不能证明其报价合理性的。</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25.1.12 投标文件未按照招标文件要求加盖电子公章。</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25.2.5 因苏采云系统故障造成开标不成功。</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lang w:val="zh-CN"/>
        </w:rPr>
      </w:r>
      <w:r/>
    </w:p>
    <w:p>
      <w:pPr>
        <w:pStyle w:val="928"/>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rPr>
          <w:rFonts w:ascii="宋体" w:hAnsi="宋体"/>
          <w:b/>
          <w:bCs/>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Start w:id="173" w:name="_Toc513029238"/>
      <w:r/>
      <w:bookmarkStart w:id="174" w:name="_Toc20823310"/>
      <w:r/>
      <w:bookmarkStart w:id="175" w:name="_Toc16938554"/>
      <w:r>
        <w:rPr>
          <w:rFonts w:hint="eastAsia" w:ascii="方正楷体_GBK" w:hAnsi="方正楷体_GBK" w:eastAsia="方正楷体_GBK" w:cs="方正楷体_GBK"/>
          <w:color w:val="000000"/>
        </w:rPr>
        <w:t xml:space="preserve">2</w:t>
      </w:r>
      <w:bookmarkEnd w:id="173"/>
      <w:r>
        <w:rPr>
          <w:rFonts w:hint="eastAsia" w:ascii="方正楷体_GBK" w:hAnsi="方正楷体_GBK" w:eastAsia="方正楷体_GBK" w:cs="方正楷体_GBK"/>
          <w:color w:val="000000"/>
        </w:rPr>
        <w:t xml:space="preserve">6.确定</w:t>
      </w:r>
      <w:bookmarkEnd w:id="174"/>
      <w:r/>
      <w:bookmarkEnd w:id="175"/>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928"/>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rPr>
          <w:rFonts w:hint="eastAsia" w:ascii="宋体" w:hAnsi="宋体"/>
          <w:color w:val="000000"/>
          <w:sz w:val="24"/>
          <w:lang w:val="zh-CN"/>
        </w:rPr>
      </w:r>
      <w:r/>
    </w:p>
    <w:p>
      <w:pPr>
        <w:pStyle w:val="928"/>
        <w:ind w:firstLine="420"/>
        <w:rPr>
          <w:rFonts w:hint="eastAsia" w:ascii="宋体" w:hAnsi="宋体"/>
          <w:b/>
          <w:bCs/>
          <w:color w:val="000000"/>
          <w:sz w:val="24"/>
          <w:lang w:val="zh-CN"/>
        </w:rPr>
      </w:pPr>
      <w:r/>
      <w:bookmarkStart w:id="176"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End w:id="176"/>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28"/>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bookmarkEnd w:id="181"/>
      <w:r/>
      <w:bookmarkEnd w:id="182"/>
      <w:r/>
      <w:bookmarkEnd w:id="183"/>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28"/>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2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28"/>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供应商根据质疑事项向相应的质疑答复主体提出质疑，具体详见采购文件第一章。由采购人负责答复的质疑，采购人将《质疑答复函》抄送交易中心。</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3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38.1 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928"/>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28"/>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928"/>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28"/>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928"/>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28"/>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1007"/>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28"/>
        <w:rPr>
          <w:rFonts w:hint="eastAsia" w:ascii="宋体" w:hAnsi="宋体"/>
          <w:color w:val="000000"/>
          <w:sz w:val="24"/>
          <w:lang w:val="zh-CN"/>
        </w:rPr>
      </w:pPr>
      <w:r>
        <w:rPr>
          <w:rFonts w:hint="eastAsia" w:ascii="宋体" w:hAnsi="宋体"/>
          <w:color w:val="000000"/>
          <w:sz w:val="24"/>
          <w:lang w:val="zh-CN"/>
        </w:rPr>
      </w:r>
      <w:r/>
    </w:p>
    <w:p>
      <w:pPr>
        <w:pStyle w:val="1007"/>
        <w:ind w:left="0"/>
        <w:jc w:val="center"/>
        <w:rPr>
          <w:rFonts w:hint="eastAsia" w:ascii="黑体" w:hAnsi="Times New Roman" w:eastAsia="黑体" w:cs="Times New Roman"/>
          <w:color w:val="000000"/>
          <w:sz w:val="44"/>
          <w:szCs w:val="44"/>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28"/>
        <w:ind w:firstLine="480"/>
        <w:spacing w:line="264" w:lineRule="auto"/>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928"/>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928"/>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928"/>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28"/>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28"/>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28"/>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rPr>
        <w:t xml:space="preserve">甲方指定地点。</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28"/>
        <w:rPr>
          <w:rFonts w:hint="eastAsia"/>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69"/>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Ansi="宋体"/>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28"/>
        <w:spacing w:line="264" w:lineRule="auto"/>
        <w:rPr>
          <w:rFonts w:ascii="宋体" w:hAnsi="宋体" w:cs="Courier New"/>
          <w:color w:val="000000"/>
          <w:sz w:val="24"/>
          <w:szCs w:val="24"/>
        </w:rPr>
        <w:outlineLvl w:val="3"/>
      </w:pPr>
      <w:r>
        <w:rPr>
          <w:rFonts w:hint="eastAsia" w:ascii="宋体" w:hAnsi="宋体" w:cs="Courier New"/>
          <w:color w:val="000000"/>
          <w:sz w:val="24"/>
          <w:szCs w:val="24"/>
        </w:rPr>
        <w:t xml:space="preserve">6.1 </w:t>
      </w:r>
      <w:r>
        <w:rPr>
          <w:rFonts w:hint="eastAsia" w:ascii="宋体" w:hAnsi="宋体" w:cs="Courier New"/>
          <w:color w:val="000000"/>
          <w:sz w:val="24"/>
          <w:szCs w:val="24"/>
        </w:rPr>
        <w:t xml:space="preserve">本项目乙方无需缴纳履约保证金。</w:t>
      </w:r>
      <w:r>
        <w:rPr>
          <w:rFonts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69"/>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8.1.1</w:t>
      </w:r>
      <w:r>
        <w:rPr>
          <w:rFonts w:hint="eastAsia" w:hAnsi="宋体"/>
          <w:color w:val="000000"/>
          <w:sz w:val="24"/>
          <w:szCs w:val="24"/>
        </w:rPr>
        <w:t xml:space="preserve"> 合同签订后，甲方支付合同总价款的30%作为预付款。</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8.1.</w:t>
      </w:r>
      <w:r>
        <w:rPr>
          <w:rFonts w:hAnsi="宋体"/>
          <w:color w:val="000000"/>
          <w:sz w:val="24"/>
          <w:szCs w:val="24"/>
        </w:rPr>
        <w:t xml:space="preserve">2</w:t>
      </w:r>
      <w:r>
        <w:rPr>
          <w:rFonts w:hint="eastAsia" w:hAnsi="宋体"/>
          <w:color w:val="000000"/>
          <w:sz w:val="24"/>
          <w:szCs w:val="24"/>
        </w:rPr>
        <w:t xml:space="preserve"> 货物全部到货安装</w:t>
      </w:r>
      <w:r>
        <w:rPr>
          <w:rFonts w:hint="eastAsia" w:hAnsi="宋体"/>
          <w:color w:val="000000"/>
          <w:sz w:val="24"/>
          <w:szCs w:val="24"/>
        </w:rPr>
        <w:t xml:space="preserve">并通过甲方初步验收后</w:t>
      </w:r>
      <w:r>
        <w:rPr>
          <w:rFonts w:hint="eastAsia" w:hAnsi="宋体"/>
          <w:color w:val="000000"/>
          <w:sz w:val="24"/>
          <w:szCs w:val="24"/>
        </w:rPr>
        <w:t xml:space="preserve">，甲方支付合同总价款的</w:t>
      </w:r>
      <w:r>
        <w:rPr>
          <w:rFonts w:hAnsi="宋体"/>
          <w:color w:val="000000"/>
          <w:sz w:val="24"/>
          <w:szCs w:val="24"/>
        </w:rPr>
        <w:t xml:space="preserve">4</w:t>
      </w:r>
      <w:r>
        <w:rPr>
          <w:rFonts w:hint="eastAsia" w:hAnsi="宋体"/>
          <w:color w:val="000000"/>
          <w:sz w:val="24"/>
          <w:szCs w:val="24"/>
        </w:rPr>
        <w:t xml:space="preserve">0%。</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8.1.</w:t>
      </w:r>
      <w:r>
        <w:rPr>
          <w:rFonts w:hAnsi="宋体"/>
          <w:color w:val="000000"/>
          <w:sz w:val="24"/>
          <w:szCs w:val="24"/>
        </w:rPr>
        <w:t xml:space="preserve">3</w:t>
      </w:r>
      <w:r>
        <w:rPr>
          <w:rFonts w:hint="eastAsia" w:hAnsi="宋体"/>
          <w:color w:val="000000"/>
          <w:sz w:val="24"/>
          <w:szCs w:val="24"/>
        </w:rPr>
        <w:t xml:space="preserve"> 项目终验合格后，甲方支付合同剩余款项。</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8.1.4 满足合同约定支付条件的，甲方收到乙方发票后10个工作日内，将资金支付到合同约定的乙方账户。 </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69"/>
        <w:spacing w:line="264"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rPr>
          <w:rFonts w:hint="eastAsia" w:hAnsi="宋体"/>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color w:val="000000"/>
          <w:sz w:val="24"/>
          <w:szCs w:val="24"/>
        </w:rPr>
        <w:t xml:space="preserve">的，应向乙方偿付拒收货物总价款</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928"/>
        <w:spacing w:line="264" w:lineRule="auto"/>
        <w:rPr>
          <w:rFonts w:hint="eastAsia"/>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92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69"/>
        <w:spacing w:before="120" w:after="120" w:line="264" w:lineRule="auto"/>
        <w:rPr>
          <w:rFonts w:hint="eastAsia" w:hAnsi="宋体"/>
          <w:color w:val="000000"/>
          <w:sz w:val="24"/>
          <w:szCs w:val="24"/>
        </w:rPr>
      </w:pPr>
      <w:r/>
      <w:bookmarkEnd w:id="184"/>
      <w:r/>
      <w:bookmarkEnd w:id="185"/>
      <w:r/>
      <w:bookmarkEnd w:id="186"/>
      <w:r/>
      <w:bookmarkStart w:id="193" w:name="_Hlt16619369"/>
      <w:r/>
      <w:bookmarkEnd w:id="193"/>
      <w:r>
        <w:rPr>
          <w:rFonts w:hint="eastAsia" w:hAnsi="宋体"/>
          <w:color w:val="000000"/>
          <w:sz w:val="24"/>
          <w:szCs w:val="24"/>
        </w:rPr>
        <w:t xml:space="preserve">  </w:t>
      </w:r>
      <w:r>
        <w:rPr>
          <w:rFonts w:hint="eastAsia" w:hAnsi="宋体"/>
          <w:color w:val="000000"/>
          <w:sz w:val="24"/>
          <w:szCs w:val="24"/>
        </w:rPr>
      </w:r>
      <w:r/>
    </w:p>
    <w:p>
      <w:pPr>
        <w:pStyle w:val="969"/>
        <w:spacing w:before="120" w:after="120" w:line="264" w:lineRule="auto"/>
        <w:rPr>
          <w:rFonts w:hint="eastAsia" w:hAnsi="宋体"/>
          <w:color w:val="000000"/>
          <w:sz w:val="24"/>
          <w:szCs w:val="24"/>
        </w:rPr>
      </w:pPr>
      <w:r>
        <w:rPr>
          <w:rFonts w:hint="eastAsia" w:hAnsi="宋体"/>
          <w:color w:val="000000"/>
          <w:sz w:val="24"/>
          <w:szCs w:val="24"/>
        </w:rPr>
        <w:t xml:space="preserve">甲  方：（公章）                       乙  方：（公章） </w:t>
      </w:r>
      <w:r>
        <w:rPr>
          <w:rFonts w:hint="eastAsia" w:hAnsi="宋体"/>
          <w:color w:val="000000"/>
          <w:sz w:val="24"/>
          <w:szCs w:val="24"/>
        </w:rPr>
      </w:r>
      <w:r/>
    </w:p>
    <w:p>
      <w:pPr>
        <w:pStyle w:val="969"/>
        <w:spacing w:before="120" w:after="120" w:line="264" w:lineRule="auto"/>
        <w:rPr>
          <w:rFonts w:hint="eastAsia" w:hAnsi="宋体"/>
          <w:color w:val="000000"/>
          <w:sz w:val="24"/>
          <w:szCs w:val="24"/>
        </w:rPr>
      </w:pPr>
      <w:r>
        <w:rPr>
          <w:rFonts w:hint="eastAsia" w:hAnsi="宋体"/>
          <w:color w:val="000000"/>
          <w:sz w:val="24"/>
          <w:szCs w:val="24"/>
        </w:rPr>
        <w:t xml:space="preserve">地  址：                               地  址： </w:t>
      </w:r>
      <w:r>
        <w:rPr>
          <w:rFonts w:hint="eastAsia" w:hAnsi="宋体"/>
          <w:color w:val="000000"/>
          <w:sz w:val="24"/>
          <w:szCs w:val="24"/>
        </w:rPr>
      </w:r>
      <w:r/>
    </w:p>
    <w:p>
      <w:pPr>
        <w:pStyle w:val="969"/>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rPr>
          <w:rFonts w:hint="eastAsia" w:hAnsi="宋体"/>
          <w:color w:val="000000"/>
          <w:sz w:val="24"/>
          <w:szCs w:val="24"/>
        </w:rPr>
      </w:r>
      <w:r/>
    </w:p>
    <w:p>
      <w:pPr>
        <w:pStyle w:val="969"/>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69"/>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69"/>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      </w:t>
      </w:r>
      <w:r>
        <w:rPr>
          <w:rFonts w:hint="eastAsia" w:hAnsi="宋体"/>
          <w:color w:val="000000"/>
          <w:sz w:val="24"/>
          <w:szCs w:val="24"/>
        </w:rPr>
      </w:r>
      <w:r/>
    </w:p>
    <w:p>
      <w:pPr>
        <w:pStyle w:val="928"/>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928"/>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pStyle w:val="928"/>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rPr>
          <w:rFonts w:hint="eastAsia" w:ascii="方正小标宋简体" w:hAnsi="方正小标宋简体" w:eastAsia="方正小标宋简体" w:cs="方正小标宋简体"/>
          <w:bCs/>
          <w:color w:val="000000"/>
          <w:sz w:val="32"/>
          <w:szCs w:val="32"/>
        </w:rPr>
      </w:r>
      <w:r/>
    </w:p>
    <w:p>
      <w:pPr>
        <w:pStyle w:val="969"/>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928"/>
        <w:ind w:firstLine="480"/>
        <w:spacing w:line="288" w:lineRule="auto"/>
        <w:rPr>
          <w:rFonts w:hint="eastAsia" w:ascii="宋体" w:hAnsi="宋体"/>
          <w:color w:val="000000"/>
          <w:sz w:val="24"/>
          <w:szCs w:val="24"/>
        </w:rPr>
      </w:pPr>
      <w:r>
        <w:rPr>
          <w:rFonts w:hint="eastAsia" w:ascii="宋体" w:hAnsi="宋体"/>
          <w:color w:val="000000"/>
          <w:sz w:val="24"/>
          <w:szCs w:val="24"/>
        </w:rPr>
        <w:t xml:space="preserve">为提升智慧南京时空大数据平台和北斗高精度定位服务能力，通过采购国产化服务器、操作系统、交换机、单向光闸和防火墙等设备，构建信创合规的软硬件基础设施环境，进一步提升系统的安全性、可靠性和稳定性。</w:t>
      </w:r>
      <w:r>
        <w:rPr>
          <w:rFonts w:hint="eastAsia" w:ascii="宋体" w:hAnsi="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40"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7"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613"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政府强制采购节能产品</w:t>
            </w:r>
            <w:r>
              <w:rPr>
                <w:rFonts w:hint="eastAsia" w:ascii="宋体" w:hAnsi="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应用服务器1</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45000</w:t>
            </w:r>
            <w:r>
              <w:rPr>
                <w:rFonts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否</w:t>
            </w:r>
            <w:r>
              <w:rPr>
                <w:rFonts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应用服务器2</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60000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应用服务器3</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30000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应用服务器4</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56500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单向光闸</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170000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核心交换机</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18200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7</w:t>
            </w:r>
            <w:r>
              <w:rPr>
                <w:rFonts w:hint="eastAsia" w:ascii="宋体" w:hAnsi="宋体" w:cs="宋体"/>
                <w:bCs/>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防火墙</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62000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否</w:t>
            </w:r>
            <w:r>
              <w:rPr>
                <w:rFonts w:hint="eastAsia" w:ascii="宋体" w:hAnsi="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操作系统</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5000</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否</w:t>
            </w:r>
            <w:r>
              <w:rPr>
                <w:rFonts w:hint="eastAsia" w:ascii="宋体" w:hAnsi="宋体"/>
                <w:bCs/>
                <w:color w:val="000000"/>
                <w:sz w:val="24"/>
                <w:szCs w:val="24"/>
              </w:rPr>
            </w:r>
            <w:r/>
          </w:p>
        </w:tc>
      </w:tr>
      <w:tr>
        <w:trPr>
          <w:trHeight w:val="414"/>
        </w:trPr>
        <w:tc>
          <w:tcPr>
            <w:tcW w:w="332" w:type="dxa"/>
            <w:vAlign w:val="center"/>
            <w:textDirection w:val="lrTb"/>
            <w:noWrap w:val="false"/>
          </w:tcPr>
          <w:p>
            <w:pPr>
              <w:pStyle w:val="928"/>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19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集成服务</w:t>
            </w:r>
            <w:r>
              <w:rPr>
                <w:rFonts w:hint="eastAsia" w:ascii="宋体" w:hAnsi="宋体" w:cs="宋体"/>
                <w:bCs/>
                <w:color w:val="000000"/>
                <w:sz w:val="24"/>
                <w:szCs w:val="24"/>
              </w:rPr>
            </w:r>
            <w:r/>
          </w:p>
        </w:tc>
        <w:tc>
          <w:tcPr>
            <w:tcW w:w="72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105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195"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3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19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52" w:type="dxa"/>
            <w:vAlign w:val="center"/>
            <w:textDirection w:val="lrTb"/>
            <w:noWrap w:val="false"/>
          </w:tcPr>
          <w:p>
            <w:pPr>
              <w:pStyle w:val="928"/>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w:t>
            </w:r>
            <w:r>
              <w:rPr>
                <w:rFonts w:hint="eastAsia" w:ascii="宋体" w:hAnsi="宋体"/>
                <w:bCs/>
                <w:color w:val="000000"/>
                <w:sz w:val="24"/>
                <w:szCs w:val="24"/>
              </w:rPr>
            </w:r>
            <w:r/>
          </w:p>
        </w:tc>
      </w:tr>
    </w:tbl>
    <w:p>
      <w:pPr>
        <w:pStyle w:val="92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28"/>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rPr>
          <w:rFonts w:hint="eastAsia" w:ascii="宋体" w:hAnsi="宋体" w:cs="宋体"/>
          <w:bCs/>
          <w:color w:val="000000"/>
          <w:sz w:val="24"/>
          <w:szCs w:val="24"/>
        </w:rPr>
      </w:r>
      <w:r/>
    </w:p>
    <w:p>
      <w:pPr>
        <w:pStyle w:val="928"/>
        <w:ind w:firstLine="480"/>
        <w:spacing w:line="264" w:lineRule="auto"/>
        <w:rPr>
          <w:rFonts w:hint="eastAsia"/>
          <w:color w:val="000000"/>
          <w:sz w:val="24"/>
          <w:szCs w:val="24"/>
          <w:lang w:bidi="ar"/>
        </w:rPr>
      </w:pPr>
      <w:r>
        <w:rPr>
          <w:rFonts w:hint="eastAsia" w:ascii="宋体" w:hAnsi="宋体" w:cs="宋体"/>
          <w:bCs/>
          <w:color w:val="000000"/>
          <w:sz w:val="24"/>
          <w:szCs w:val="24"/>
        </w:rPr>
        <w:t xml:space="preserve">（1）</w:t>
      </w:r>
      <w:r>
        <w:rPr>
          <w:rFonts w:hint="eastAsia"/>
          <w:color w:val="000000"/>
          <w:sz w:val="24"/>
          <w:szCs w:val="24"/>
          <w:lang w:bidi="ar"/>
        </w:rPr>
        <w:t xml:space="preserve">应用服务器1</w:t>
      </w:r>
      <w:r>
        <w:rPr>
          <w:rFonts w:hint="eastAsia"/>
          <w:color w:val="000000"/>
          <w:sz w:val="24"/>
          <w:szCs w:val="24"/>
          <w:lang w:bidi="ar"/>
        </w:rPr>
      </w:r>
      <w:r/>
    </w:p>
    <w:tbl>
      <w:tblPr>
        <w:tblW w:w="49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8"/>
        <w:gridCol w:w="1580"/>
        <w:gridCol w:w="7417"/>
      </w:tblGrid>
      <w:tr>
        <w:trPr/>
        <w:tc>
          <w:tcPr>
            <w:shd w:val="clear" w:color="auto" w:fill="f1f1f1"/>
            <w:tcW w:w="341"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818"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3841"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rHeight w:val="108"/>
        </w:trPr>
        <w:tc>
          <w:tcPr>
            <w:shd w:val="clear" w:color="auto" w:fill="ffffff"/>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shd w:val="clear" w:color="auto" w:fill="ffffff"/>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shd w:val="clear" w:color="auto" w:fill="ffffff"/>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≥2U机架式，非OEM产品。</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≥2颗国产ARM架构处理器，单颗处理器主频≥2.6GHz，单颗处理器≥32个核心。</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≥64GB内存容量。</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≥1个独立RAID 卡，支持RAID0/1等，支持掉电保护。</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≥4*GE电口、≥2*10GE光口，满配多模光模块。</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≥2个960GB SATA固态硬盘、≥3个8TB SATA 7.2K 3.5英寸机械硬盘。</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冗余电源。</w:t>
            </w:r>
            <w:r>
              <w:rPr>
                <w:color w:val="000000"/>
                <w:szCs w:val="21"/>
                <w:lang w:bidi="ar"/>
              </w:rPr>
            </w:r>
            <w:r/>
          </w:p>
        </w:tc>
      </w:tr>
      <w:tr>
        <w:trPr/>
        <w:tc>
          <w:tcPr>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关键部件</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▲CPU符合安全可靠测评等级Ⅱ级或以上要求；(提供证明材料，如白皮书、彩页、手册、官网截图、具有CMA标识的检测报告等）</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CPU芯片符合GM/T 0008的相关规定，或芯片密码模块应符合GB/T 37092或GM/T 0028的相关规定。</w:t>
            </w:r>
            <w:r>
              <w:rPr>
                <w:color w:val="000000"/>
                <w:szCs w:val="21"/>
                <w:lang w:bidi="ar"/>
              </w:rPr>
            </w:r>
            <w:r/>
          </w:p>
        </w:tc>
      </w:tr>
      <w:tr>
        <w:trPr/>
        <w:tc>
          <w:tcPr>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内存规格</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支持多个内存接口通道，每个通道可支持1DPC或2DPC。</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可支持的内存数量≥16个。</w:t>
            </w:r>
            <w:r>
              <w:rPr>
                <w:color w:val="000000"/>
                <w:szCs w:val="21"/>
                <w:lang w:bidi="ar"/>
              </w:rPr>
            </w:r>
            <w:r/>
          </w:p>
        </w:tc>
      </w:tr>
      <w:tr>
        <w:trPr/>
        <w:tc>
          <w:tcPr>
            <w:tcW w:w="341"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818" w:type="dxa"/>
            <w:vAlign w:val="center"/>
            <w:textDirection w:val="lrTb"/>
            <w:noWrap w:val="false"/>
          </w:tcPr>
          <w:p>
            <w:pPr>
              <w:pStyle w:val="928"/>
              <w:jc w:val="center"/>
              <w:rPr>
                <w:color w:val="000000"/>
                <w:szCs w:val="21"/>
                <w:lang w:bidi="ar"/>
              </w:rPr>
            </w:pPr>
            <w:r>
              <w:rPr>
                <w:rFonts w:hint="eastAsia"/>
                <w:color w:val="000000"/>
                <w:szCs w:val="21"/>
                <w:lang w:bidi="ar"/>
              </w:rPr>
              <w:t xml:space="preserve">存储规格</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可支持的硬盘数量≥12块。</w:t>
            </w:r>
            <w:r>
              <w:rPr>
                <w:color w:val="000000"/>
                <w:szCs w:val="21"/>
                <w:lang w:bidi="ar"/>
              </w:rPr>
            </w:r>
            <w:r/>
          </w:p>
        </w:tc>
      </w:tr>
      <w:tr>
        <w:trPr/>
        <w:tc>
          <w:tcPr>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内部接口</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支持SAS、SATA存储接口。</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符合PCIe 4.0或以上的高速串行计算机扩展总线标准。</w:t>
            </w:r>
            <w:r>
              <w:rPr>
                <w:color w:val="000000"/>
                <w:szCs w:val="21"/>
                <w:lang w:bidi="ar"/>
              </w:rPr>
            </w:r>
            <w:r/>
          </w:p>
        </w:tc>
      </w:tr>
      <w:tr>
        <w:trPr/>
        <w:tc>
          <w:tcPr>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6</w:t>
            </w:r>
            <w:r>
              <w:rPr>
                <w:rFonts w:hint="eastAsia"/>
                <w:color w:val="000000"/>
                <w:szCs w:val="21"/>
                <w:lang w:bidi="ar"/>
              </w:rPr>
            </w:r>
            <w:r/>
          </w:p>
        </w:tc>
        <w:tc>
          <w:tcPr>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外部接口</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≥1个VGA接口。</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≥2个USB 3.0接口。</w:t>
            </w:r>
            <w:r>
              <w:rPr>
                <w:color w:val="000000"/>
                <w:szCs w:val="21"/>
                <w:lang w:bidi="ar"/>
              </w:rPr>
            </w:r>
            <w:r/>
          </w:p>
        </w:tc>
      </w:tr>
      <w:tr>
        <w:trPr/>
        <w:tc>
          <w:tcPr>
            <w:tcW w:w="341"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7</w:t>
            </w:r>
            <w:r>
              <w:rPr>
                <w:rFonts w:hint="eastAsia"/>
                <w:color w:val="000000"/>
                <w:szCs w:val="21"/>
                <w:lang w:bidi="ar"/>
              </w:rPr>
            </w:r>
            <w:r/>
          </w:p>
        </w:tc>
        <w:tc>
          <w:tcPr>
            <w:tcW w:w="818" w:type="dxa"/>
            <w:vAlign w:val="center"/>
            <w:textDirection w:val="lrTb"/>
            <w:noWrap w:val="false"/>
          </w:tcPr>
          <w:p>
            <w:pPr>
              <w:pStyle w:val="928"/>
              <w:jc w:val="center"/>
              <w:rPr>
                <w:color w:val="000000"/>
                <w:szCs w:val="21"/>
                <w:lang w:bidi="ar"/>
              </w:rPr>
            </w:pPr>
            <w:r>
              <w:rPr>
                <w:rFonts w:hint="eastAsia"/>
                <w:color w:val="000000"/>
                <w:szCs w:val="21"/>
                <w:lang w:bidi="ar"/>
              </w:rPr>
              <w:t xml:space="preserve">电源功能</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整机电源模块应具备热插拔功能。</w:t>
            </w:r>
            <w:r>
              <w:rPr>
                <w:color w:val="000000"/>
                <w:szCs w:val="21"/>
                <w:lang w:bidi="ar"/>
              </w:rPr>
            </w:r>
            <w:r/>
          </w:p>
        </w:tc>
      </w:tr>
      <w:tr>
        <w:trPr/>
        <w:tc>
          <w:tcPr>
            <w:tcW w:w="341"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8</w:t>
            </w:r>
            <w:r>
              <w:rPr>
                <w:rFonts w:hint="eastAsia"/>
                <w:color w:val="000000"/>
                <w:szCs w:val="21"/>
                <w:lang w:bidi="ar"/>
              </w:rPr>
            </w:r>
            <w:r/>
          </w:p>
        </w:tc>
        <w:tc>
          <w:tcPr>
            <w:tcW w:w="818"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管理功能</w:t>
            </w: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集成系统管理处理器支持：自动服务器 重启、风扇监视和控制、电源监控、温度 监控、启动/关闭、按序重启、本地固件 更新、错误日志，可通过可视化工具提供系统未来状况的可视显示；具有图形管理界面及其他高级管理功能。</w:t>
            </w:r>
            <w:r>
              <w:rPr>
                <w:color w:val="000000"/>
                <w:szCs w:val="21"/>
                <w:lang w:bidi="ar"/>
              </w:rPr>
            </w:r>
            <w:r/>
          </w:p>
        </w:tc>
      </w:tr>
      <w:tr>
        <w:trPr/>
        <w:tc>
          <w:tcPr>
            <w:tcW w:w="34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18"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41"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支持自研集中管理系统，能够提供内存自愈上告，可通过钉钉或微信上报故障信息。(提供证明材料，如白皮书、彩页、手册、官网截图、具有CMA标识的检测报告等）</w:t>
            </w:r>
            <w:r>
              <w:rPr>
                <w:color w:val="000000"/>
                <w:szCs w:val="21"/>
                <w:lang w:bidi="ar"/>
              </w:rPr>
            </w:r>
            <w:r/>
          </w:p>
        </w:tc>
      </w:tr>
    </w:tbl>
    <w:p>
      <w:pPr>
        <w:pStyle w:val="928"/>
        <w:ind w:firstLine="480"/>
        <w:spacing w:line="264" w:lineRule="auto"/>
        <w:rPr>
          <w:rFonts w:hint="eastAsia"/>
          <w:color w:val="000000"/>
          <w:sz w:val="24"/>
          <w:szCs w:val="24"/>
          <w:lang w:bidi="ar"/>
        </w:rPr>
      </w:pPr>
      <w:r>
        <w:rPr>
          <w:rFonts w:hint="eastAsia"/>
          <w:color w:val="000000"/>
          <w:sz w:val="24"/>
          <w:szCs w:val="24"/>
          <w:lang w:bidi="ar"/>
        </w:rPr>
        <w:t xml:space="preserve">（2）应用服务器2</w:t>
      </w:r>
      <w:r>
        <w:rPr>
          <w:rFonts w:hint="eastAsia"/>
          <w:color w:val="000000"/>
          <w:sz w:val="24"/>
          <w:szCs w:val="24"/>
          <w:lang w:bidi="ar"/>
        </w:rPr>
      </w:r>
      <w:r/>
    </w:p>
    <w:tbl>
      <w:tblPr>
        <w:tblW w:w="9709"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1573"/>
        <w:gridCol w:w="7473"/>
      </w:tblGrid>
      <w:tr>
        <w:trPr/>
        <w:tc>
          <w:tcPr>
            <w:shd w:val="clear" w:color="auto" w:fill="f1f1f1"/>
            <w:tcW w:w="663"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157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747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shd w:val="clear" w:color="auto" w:fill="ffffff"/>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shd w:val="clear" w:color="auto" w:fill="ffffff"/>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shd w:val="clear" w:color="auto" w:fill="ffffff"/>
            <w:tcW w:w="7473"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2U机架式，非OEM产品。</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≥2颗国产ARM架构处理器，单颗处理器主频≥2.</w:t>
            </w:r>
            <w:r>
              <w:rPr>
                <w:rFonts w:hint="eastAsia"/>
                <w:color w:val="000000"/>
                <w:szCs w:val="21"/>
                <w:lang w:bidi="ar"/>
              </w:rPr>
              <w:t xml:space="preserve">6</w:t>
            </w:r>
            <w:r>
              <w:rPr>
                <w:color w:val="000000"/>
                <w:szCs w:val="21"/>
                <w:lang w:bidi="ar"/>
              </w:rPr>
              <w:t xml:space="preserve">GHz，单颗处理器≥</w:t>
            </w:r>
            <w:r>
              <w:rPr>
                <w:rFonts w:hint="eastAsia"/>
                <w:color w:val="000000"/>
                <w:szCs w:val="21"/>
                <w:lang w:bidi="ar"/>
              </w:rPr>
              <w:t xml:space="preserve">64</w:t>
            </w:r>
            <w:r>
              <w:rPr>
                <w:color w:val="000000"/>
                <w:szCs w:val="21"/>
                <w:lang w:bidi="ar"/>
              </w:rPr>
              <w:t xml:space="preserve">个核心</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256</w:t>
            </w:r>
            <w:r>
              <w:rPr>
                <w:color w:val="000000"/>
                <w:szCs w:val="21"/>
                <w:lang w:bidi="ar"/>
              </w:rPr>
              <w:t xml:space="preserve">GB内存容量</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1</w:t>
            </w:r>
            <w:r>
              <w:rPr>
                <w:color w:val="000000"/>
                <w:szCs w:val="21"/>
                <w:lang w:bidi="ar"/>
              </w:rPr>
              <w:t xml:space="preserve">个独立RAID 卡，支持RAID0/1等，</w:t>
            </w:r>
            <w:r>
              <w:rPr>
                <w:rFonts w:hint="eastAsia"/>
                <w:color w:val="000000"/>
                <w:szCs w:val="21"/>
                <w:lang w:bidi="ar"/>
              </w:rPr>
              <w:t xml:space="preserve">支持</w:t>
            </w:r>
            <w:r>
              <w:rPr>
                <w:color w:val="000000"/>
                <w:szCs w:val="21"/>
                <w:lang w:bidi="ar"/>
              </w:rPr>
              <w:t xml:space="preserve">掉电保护</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≥4*GE电口</w:t>
            </w:r>
            <w:r>
              <w:rPr>
                <w:rFonts w:hint="eastAsia"/>
                <w:color w:val="000000"/>
                <w:szCs w:val="21"/>
                <w:lang w:bidi="ar"/>
              </w:rPr>
              <w:t xml:space="preserve">、</w:t>
            </w:r>
            <w:r>
              <w:rPr>
                <w:color w:val="000000"/>
                <w:szCs w:val="21"/>
                <w:lang w:bidi="ar"/>
              </w:rPr>
              <w:t xml:space="preserve">≥</w:t>
            </w:r>
            <w:r>
              <w:rPr>
                <w:rFonts w:hint="eastAsia"/>
                <w:color w:val="000000"/>
                <w:szCs w:val="21"/>
                <w:lang w:bidi="ar"/>
              </w:rPr>
              <w:t xml:space="preserve">2</w:t>
            </w:r>
            <w:r>
              <w:rPr>
                <w:color w:val="000000"/>
                <w:szCs w:val="21"/>
                <w:lang w:bidi="ar"/>
              </w:rPr>
              <w:t xml:space="preserve">*10GE光口，</w:t>
            </w:r>
            <w:r>
              <w:rPr>
                <w:rFonts w:hint="eastAsia"/>
                <w:color w:val="000000"/>
                <w:szCs w:val="21"/>
                <w:lang w:bidi="ar"/>
              </w:rPr>
              <w:t xml:space="preserve">满配多模</w:t>
            </w:r>
            <w:r>
              <w:rPr>
                <w:color w:val="000000"/>
                <w:szCs w:val="21"/>
                <w:lang w:bidi="ar"/>
              </w:rPr>
              <w:t xml:space="preserve">光模块</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2个960GB SATA固态硬盘、</w:t>
            </w:r>
            <w:r>
              <w:rPr>
                <w:color w:val="000000"/>
                <w:szCs w:val="21"/>
                <w:lang w:bidi="ar"/>
              </w:rPr>
              <w:t xml:space="preserve">≥</w:t>
            </w:r>
            <w:r>
              <w:rPr>
                <w:rFonts w:hint="eastAsia"/>
                <w:color w:val="000000"/>
                <w:szCs w:val="21"/>
                <w:lang w:bidi="ar"/>
              </w:rPr>
              <w:t xml:space="preserve">1个8TB SATA 7.2K 3.5英寸机械硬盘。</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rFonts w:hint="eastAsia"/>
                <w:color w:val="000000"/>
                <w:szCs w:val="21"/>
                <w:lang w:bidi="ar"/>
              </w:rPr>
              <w:t xml:space="preserve">冗余电源。</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关键部件</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rFonts w:hint="eastAsia"/>
                <w:color w:val="000000"/>
                <w:szCs w:val="21"/>
                <w:lang w:bidi="ar"/>
              </w:rPr>
              <w:t xml:space="preserve">▲CPU符合安全可靠测评等级Ⅱ级或以上要求。(提供证明材料，如白皮书、彩页、手册、官网截图、具有CMA标识的检测报告等）</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CPU芯片符合GM/T 0008的相关规定，或芯片密码模块应符合GB/T 37092或GM/T</w:t>
            </w:r>
            <w:r>
              <w:rPr>
                <w:rFonts w:hint="eastAsia"/>
                <w:color w:val="000000"/>
                <w:szCs w:val="21"/>
                <w:lang w:bidi="ar"/>
              </w:rPr>
              <w:t xml:space="preserve"> </w:t>
            </w:r>
            <w:r>
              <w:rPr>
                <w:color w:val="000000"/>
                <w:szCs w:val="21"/>
                <w:lang w:bidi="ar"/>
              </w:rPr>
              <w:t xml:space="preserve">0028的相关规定</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内存规格</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支持多个内存接口通道，每个通道可支持1DPC或2DPC</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可支持的</w:t>
            </w:r>
            <w:r>
              <w:rPr>
                <w:rFonts w:hint="eastAsia"/>
                <w:color w:val="000000"/>
                <w:szCs w:val="21"/>
                <w:lang w:bidi="ar"/>
              </w:rPr>
              <w:t xml:space="preserve">内存</w:t>
            </w:r>
            <w:r>
              <w:rPr>
                <w:color w:val="000000"/>
                <w:szCs w:val="21"/>
                <w:lang w:bidi="ar"/>
              </w:rPr>
              <w:t xml:space="preserve">数量≥</w:t>
            </w:r>
            <w:r>
              <w:rPr>
                <w:rFonts w:hint="eastAsia"/>
                <w:color w:val="000000"/>
                <w:szCs w:val="21"/>
                <w:lang w:bidi="ar"/>
              </w:rPr>
              <w:t xml:space="preserve">16个。</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存储规格</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可支持的硬盘数量≥</w:t>
            </w:r>
            <w:r>
              <w:rPr>
                <w:rFonts w:hint="eastAsia"/>
                <w:color w:val="000000"/>
                <w:szCs w:val="21"/>
                <w:lang w:bidi="ar"/>
              </w:rPr>
              <w:t xml:space="preserve">12</w:t>
            </w:r>
            <w:r>
              <w:rPr>
                <w:color w:val="000000"/>
                <w:szCs w:val="21"/>
                <w:lang w:bidi="ar"/>
              </w:rPr>
              <w:t xml:space="preserve">块</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内部接口</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支持SAS、SATA存储接口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符合PCIe</w:t>
            </w:r>
            <w:r>
              <w:rPr>
                <w:rFonts w:hint="eastAsia"/>
                <w:color w:val="000000"/>
                <w:szCs w:val="21"/>
                <w:lang w:bidi="ar"/>
              </w:rPr>
              <w:t xml:space="preserve"> </w:t>
            </w:r>
            <w:r>
              <w:rPr>
                <w:color w:val="000000"/>
                <w:szCs w:val="21"/>
                <w:lang w:bidi="ar"/>
              </w:rPr>
              <w:t xml:space="preserve">4.0或以上的高速串行计算机扩展总线标准</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6</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外部接口</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≥1个VGA接口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≥2个USB 3.0接口</w:t>
            </w:r>
            <w:r>
              <w:rPr>
                <w:rFonts w:hint="eastAsia"/>
                <w:color w:val="000000"/>
                <w:szCs w:val="21"/>
                <w:lang w:bidi="ar"/>
              </w:rPr>
              <w:t xml:space="preserve">。</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7</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电源功能</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color w:val="000000"/>
                <w:szCs w:val="21"/>
                <w:lang w:bidi="ar"/>
              </w:rPr>
              <w:t xml:space="preserve">整机电源模块应具备热插拔功能</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8</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管理功能</w:t>
            </w:r>
            <w:r>
              <w:rPr>
                <w:color w:val="000000"/>
                <w:szCs w:val="21"/>
                <w:lang w:bidi="ar"/>
              </w:rPr>
            </w:r>
            <w:r/>
          </w:p>
        </w:tc>
        <w:tc>
          <w:tcPr>
            <w:tcW w:w="7473" w:type="dxa"/>
            <w:vAlign w:val="center"/>
            <w:textDirection w:val="lrTb"/>
            <w:noWrap w:val="false"/>
          </w:tcPr>
          <w:p>
            <w:pPr>
              <w:pStyle w:val="928"/>
              <w:jc w:val="left"/>
              <w:rPr>
                <w:color w:val="000000"/>
                <w:szCs w:val="21"/>
                <w:lang w:bidi="ar"/>
              </w:rPr>
            </w:pPr>
            <w:r>
              <w:rPr>
                <w:rFonts w:hint="eastAsia"/>
                <w:color w:val="000000"/>
                <w:szCs w:val="21"/>
                <w:lang w:bidi="ar"/>
              </w:rPr>
              <w:t xml:space="preserve">集成系统管理处理器支持：自动服务器 重启、风扇监视和控制、电源监控、温度 监控、启动/关闭、按序重启、本地固件 更新、错误日志，可通过可视化工具提供系统未来状况的可视显示；具有图形管理界面及其他高级管理功能。</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73"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支持自研集中管理系统，能够提供内存自愈上告，可通过钉钉或微信上报故障信息。(提供证明材料，如白皮书、彩页、手册、官网截图、具有CMA标识的检测报告等）</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（3）应用服务器3</w:t>
      </w:r>
      <w:r>
        <w:rPr>
          <w:rFonts w:hint="eastAsia"/>
          <w:color w:val="000000"/>
          <w:sz w:val="24"/>
          <w:szCs w:val="24"/>
          <w:lang w:bidi="ar"/>
        </w:rPr>
      </w:r>
      <w:r/>
    </w:p>
    <w:tbl>
      <w:tblPr>
        <w:tblW w:w="972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1573"/>
        <w:gridCol w:w="7491"/>
      </w:tblGrid>
      <w:tr>
        <w:trPr>
          <w:tblHeader/>
        </w:trPr>
        <w:tc>
          <w:tcPr>
            <w:shd w:val="clear" w:color="auto" w:fill="f1f1f1"/>
            <w:tcW w:w="663"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157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7491"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shd w:val="clear" w:color="auto" w:fill="ffffff"/>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shd w:val="clear" w:color="auto" w:fill="ffffff"/>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shd w:val="clear" w:color="auto" w:fill="ffffff"/>
            <w:tcW w:w="7491"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2U机架式，非OEM产品。</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≥2颗国产ARM架构处理器，单颗处理器主频≥2.</w:t>
            </w:r>
            <w:r>
              <w:rPr>
                <w:rFonts w:hint="eastAsia"/>
                <w:color w:val="000000"/>
                <w:szCs w:val="21"/>
                <w:lang w:bidi="ar"/>
              </w:rPr>
              <w:t xml:space="preserve">6</w:t>
            </w:r>
            <w:r>
              <w:rPr>
                <w:color w:val="000000"/>
                <w:szCs w:val="21"/>
                <w:lang w:bidi="ar"/>
              </w:rPr>
              <w:t xml:space="preserve">GHz，单颗处理器≥32个核心</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64</w:t>
            </w:r>
            <w:r>
              <w:rPr>
                <w:color w:val="000000"/>
                <w:szCs w:val="21"/>
                <w:lang w:bidi="ar"/>
              </w:rPr>
              <w:t xml:space="preserve">GB内存容量</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1</w:t>
            </w:r>
            <w:r>
              <w:rPr>
                <w:color w:val="000000"/>
                <w:szCs w:val="21"/>
                <w:lang w:bidi="ar"/>
              </w:rPr>
              <w:t xml:space="preserve">个独立RAID 卡，支持RAID0/1等，</w:t>
            </w:r>
            <w:r>
              <w:rPr>
                <w:rFonts w:hint="eastAsia"/>
                <w:color w:val="000000"/>
                <w:szCs w:val="21"/>
                <w:lang w:bidi="ar"/>
              </w:rPr>
              <w:t xml:space="preserve">支持</w:t>
            </w:r>
            <w:r>
              <w:rPr>
                <w:color w:val="000000"/>
                <w:szCs w:val="21"/>
                <w:lang w:bidi="ar"/>
              </w:rPr>
              <w:t xml:space="preserve">掉电保护</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≥4*GE电口</w:t>
            </w:r>
            <w:r>
              <w:rPr>
                <w:rFonts w:hint="eastAsia"/>
                <w:color w:val="000000"/>
                <w:szCs w:val="21"/>
                <w:lang w:bidi="ar"/>
              </w:rPr>
              <w:t xml:space="preserve">、</w:t>
            </w:r>
            <w:r>
              <w:rPr>
                <w:color w:val="000000"/>
                <w:szCs w:val="21"/>
                <w:lang w:bidi="ar"/>
              </w:rPr>
              <w:t xml:space="preserve">≥</w:t>
            </w:r>
            <w:r>
              <w:rPr>
                <w:rFonts w:hint="eastAsia"/>
                <w:color w:val="000000"/>
                <w:szCs w:val="21"/>
                <w:lang w:bidi="ar"/>
              </w:rPr>
              <w:t xml:space="preserve">2</w:t>
            </w:r>
            <w:r>
              <w:rPr>
                <w:color w:val="000000"/>
                <w:szCs w:val="21"/>
                <w:lang w:bidi="ar"/>
              </w:rPr>
              <w:t xml:space="preserve">*10GE光口，</w:t>
            </w:r>
            <w:r>
              <w:rPr>
                <w:rFonts w:hint="eastAsia"/>
                <w:color w:val="000000"/>
                <w:szCs w:val="21"/>
                <w:lang w:bidi="ar"/>
              </w:rPr>
              <w:t xml:space="preserve">满配多模</w:t>
            </w:r>
            <w:r>
              <w:rPr>
                <w:color w:val="000000"/>
                <w:szCs w:val="21"/>
                <w:lang w:bidi="ar"/>
              </w:rPr>
              <w:t xml:space="preserve">光模块</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1个8TB SATA 7.2K 3.5英寸机械硬盘。</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rFonts w:hint="eastAsia"/>
                <w:color w:val="000000"/>
                <w:szCs w:val="21"/>
                <w:lang w:bidi="ar"/>
              </w:rPr>
              <w:t xml:space="preserve">冗余电源。</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关键部件</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rFonts w:hint="eastAsia"/>
                <w:color w:val="000000"/>
                <w:szCs w:val="21"/>
                <w:lang w:bidi="ar"/>
              </w:rPr>
              <w:t xml:space="preserve">▲CPU符合安全可靠测评等级Ⅱ级或以上要求；(提供证明材料，如白皮书、彩页、手册、官网截图、具有CMA标识的检测报告等）</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CPU芯片符合GM/T 0008的相关规定，或芯片密码模块应符合GB/T 37092或GM/T</w:t>
            </w:r>
            <w:r>
              <w:rPr>
                <w:rFonts w:hint="eastAsia"/>
                <w:color w:val="000000"/>
                <w:szCs w:val="21"/>
                <w:lang w:bidi="ar"/>
              </w:rPr>
              <w:t xml:space="preserve"> </w:t>
            </w:r>
            <w:r>
              <w:rPr>
                <w:color w:val="000000"/>
                <w:szCs w:val="21"/>
                <w:lang w:bidi="ar"/>
              </w:rPr>
              <w:t xml:space="preserve">0028的相关规定</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内存规格</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支持多个内存接口通道，每个通道可支持1DPC或2DPC</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可支持的</w:t>
            </w:r>
            <w:r>
              <w:rPr>
                <w:rFonts w:hint="eastAsia"/>
                <w:color w:val="000000"/>
                <w:szCs w:val="21"/>
                <w:lang w:bidi="ar"/>
              </w:rPr>
              <w:t xml:space="preserve">内存</w:t>
            </w:r>
            <w:r>
              <w:rPr>
                <w:color w:val="000000"/>
                <w:szCs w:val="21"/>
                <w:lang w:bidi="ar"/>
              </w:rPr>
              <w:t xml:space="preserve">数量≥</w:t>
            </w:r>
            <w:r>
              <w:rPr>
                <w:rFonts w:hint="eastAsia"/>
                <w:color w:val="000000"/>
                <w:szCs w:val="21"/>
                <w:lang w:bidi="ar"/>
              </w:rPr>
              <w:t xml:space="preserve">16个。</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存储规格</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可支持的硬盘数量≥</w:t>
            </w:r>
            <w:r>
              <w:rPr>
                <w:rFonts w:hint="eastAsia"/>
                <w:color w:val="000000"/>
                <w:szCs w:val="21"/>
                <w:lang w:bidi="ar"/>
              </w:rPr>
              <w:t xml:space="preserve">12</w:t>
            </w:r>
            <w:r>
              <w:rPr>
                <w:color w:val="000000"/>
                <w:szCs w:val="21"/>
                <w:lang w:bidi="ar"/>
              </w:rPr>
              <w:t xml:space="preserve">块</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内部接口</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支持SAS、SATA存储接口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符合PCIe</w:t>
            </w:r>
            <w:r>
              <w:rPr>
                <w:rFonts w:hint="eastAsia"/>
                <w:color w:val="000000"/>
                <w:szCs w:val="21"/>
                <w:lang w:bidi="ar"/>
              </w:rPr>
              <w:t xml:space="preserve"> </w:t>
            </w:r>
            <w:r>
              <w:rPr>
                <w:color w:val="000000"/>
                <w:szCs w:val="21"/>
                <w:lang w:bidi="ar"/>
              </w:rPr>
              <w:t xml:space="preserve">4.0或以上的高速串行计算机扩展总线标准</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6</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外部接口</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≥1个VGA接口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≥2个USB 3.0接口</w:t>
            </w:r>
            <w:r>
              <w:rPr>
                <w:rFonts w:hint="eastAsia"/>
                <w:color w:val="000000"/>
                <w:szCs w:val="21"/>
                <w:lang w:bidi="ar"/>
              </w:rPr>
              <w:t xml:space="preserve">。</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7</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电源功能</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color w:val="000000"/>
                <w:szCs w:val="21"/>
                <w:lang w:bidi="ar"/>
              </w:rPr>
              <w:t xml:space="preserve">整机电源模块应具备热插拔功能</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8</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管理功能</w:t>
            </w:r>
            <w:r>
              <w:rPr>
                <w:color w:val="000000"/>
                <w:szCs w:val="21"/>
                <w:lang w:bidi="ar"/>
              </w:rPr>
            </w:r>
            <w:r/>
          </w:p>
        </w:tc>
        <w:tc>
          <w:tcPr>
            <w:tcW w:w="7491" w:type="dxa"/>
            <w:vAlign w:val="center"/>
            <w:textDirection w:val="lrTb"/>
            <w:noWrap w:val="false"/>
          </w:tcPr>
          <w:p>
            <w:pPr>
              <w:pStyle w:val="928"/>
              <w:jc w:val="left"/>
              <w:rPr>
                <w:color w:val="000000"/>
                <w:szCs w:val="21"/>
                <w:lang w:bidi="ar"/>
              </w:rPr>
            </w:pPr>
            <w:r>
              <w:rPr>
                <w:rFonts w:hint="eastAsia"/>
                <w:color w:val="000000"/>
                <w:szCs w:val="21"/>
                <w:lang w:bidi="ar"/>
              </w:rPr>
              <w:t xml:space="preserve">集成系统管理处理器支持：自动服务器 重启、风扇监视和控制、电源监控、温度 监控、启动/关闭、按序重启、本地固件 更新、错误日志，可通过可视化工具提供系统未来状况的可视显示；具有图形管理界面及其他高级管理功能。</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91"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支持自研集中管理系统，能够提供内存自愈上告，可通过钉钉或微信上报故障信息。(提供证明材料，如白皮书、彩页、手册、官网截图、具有CMA标识的检测报告等）</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（4）应用服务器4</w:t>
      </w:r>
      <w:r>
        <w:rPr>
          <w:rFonts w:hint="eastAsia"/>
          <w:color w:val="000000"/>
          <w:sz w:val="24"/>
          <w:szCs w:val="24"/>
          <w:lang w:bidi="ar"/>
        </w:rPr>
      </w:r>
      <w:r/>
    </w:p>
    <w:tbl>
      <w:tblPr>
        <w:tblW w:w="9718"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1573"/>
        <w:gridCol w:w="7482"/>
      </w:tblGrid>
      <w:tr>
        <w:trPr/>
        <w:tc>
          <w:tcPr>
            <w:shd w:val="clear" w:color="auto" w:fill="f1f1f1"/>
            <w:tcW w:w="663"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157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7482"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shd w:val="clear" w:color="auto" w:fill="ffffff"/>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shd w:val="clear" w:color="auto" w:fill="ffffff"/>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shd w:val="clear" w:color="auto" w:fill="ffffff"/>
            <w:tcW w:w="7482"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2U机架式，非OEM品牌。</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≥2颗国产ARM架构处理器，单颗处理器主频≥2.</w:t>
            </w:r>
            <w:r>
              <w:rPr>
                <w:rFonts w:hint="eastAsia"/>
                <w:color w:val="000000"/>
                <w:szCs w:val="21"/>
                <w:lang w:bidi="ar"/>
              </w:rPr>
              <w:t xml:space="preserve">6</w:t>
            </w:r>
            <w:r>
              <w:rPr>
                <w:color w:val="000000"/>
                <w:szCs w:val="21"/>
                <w:lang w:bidi="ar"/>
              </w:rPr>
              <w:t xml:space="preserve">GHz，单颗处理器≥32个核心</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128</w:t>
            </w:r>
            <w:r>
              <w:rPr>
                <w:color w:val="000000"/>
                <w:szCs w:val="21"/>
                <w:lang w:bidi="ar"/>
              </w:rPr>
              <w:t xml:space="preserve">GB内存容量</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1</w:t>
            </w:r>
            <w:r>
              <w:rPr>
                <w:color w:val="000000"/>
                <w:szCs w:val="21"/>
                <w:lang w:bidi="ar"/>
              </w:rPr>
              <w:t xml:space="preserve">个独立RAID 卡，支持RAID0/1等，</w:t>
            </w:r>
            <w:r>
              <w:rPr>
                <w:rFonts w:hint="eastAsia"/>
                <w:color w:val="000000"/>
                <w:szCs w:val="21"/>
                <w:lang w:bidi="ar"/>
              </w:rPr>
              <w:t xml:space="preserve">支持</w:t>
            </w:r>
            <w:r>
              <w:rPr>
                <w:color w:val="000000"/>
                <w:szCs w:val="21"/>
                <w:lang w:bidi="ar"/>
              </w:rPr>
              <w:t xml:space="preserve">掉电保护</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≥4*GE电口</w:t>
            </w:r>
            <w:r>
              <w:rPr>
                <w:rFonts w:hint="eastAsia"/>
                <w:color w:val="000000"/>
                <w:szCs w:val="21"/>
                <w:lang w:bidi="ar"/>
              </w:rPr>
              <w:t xml:space="preserve">、</w:t>
            </w:r>
            <w:r>
              <w:rPr>
                <w:color w:val="000000"/>
                <w:szCs w:val="21"/>
                <w:lang w:bidi="ar"/>
              </w:rPr>
              <w:t xml:space="preserve">≥</w:t>
            </w:r>
            <w:r>
              <w:rPr>
                <w:rFonts w:hint="eastAsia"/>
                <w:color w:val="000000"/>
                <w:szCs w:val="21"/>
                <w:lang w:bidi="ar"/>
              </w:rPr>
              <w:t xml:space="preserve">2</w:t>
            </w:r>
            <w:r>
              <w:rPr>
                <w:color w:val="000000"/>
                <w:szCs w:val="21"/>
                <w:lang w:bidi="ar"/>
              </w:rPr>
              <w:t xml:space="preserve">*10GE光口，</w:t>
            </w:r>
            <w:r>
              <w:rPr>
                <w:rFonts w:hint="eastAsia"/>
                <w:color w:val="000000"/>
                <w:szCs w:val="21"/>
                <w:lang w:bidi="ar"/>
              </w:rPr>
              <w:t xml:space="preserve">满配多模</w:t>
            </w:r>
            <w:r>
              <w:rPr>
                <w:color w:val="000000"/>
                <w:szCs w:val="21"/>
                <w:lang w:bidi="ar"/>
              </w:rPr>
              <w:t xml:space="preserve">光模块</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w:t>
            </w:r>
            <w:r>
              <w:rPr>
                <w:rFonts w:hint="eastAsia"/>
                <w:color w:val="000000"/>
                <w:szCs w:val="21"/>
                <w:lang w:bidi="ar"/>
              </w:rPr>
              <w:t xml:space="preserve">2个960GB SATA固态硬盘、</w:t>
            </w:r>
            <w:r>
              <w:rPr>
                <w:color w:val="000000"/>
                <w:szCs w:val="21"/>
                <w:lang w:bidi="ar"/>
              </w:rPr>
              <w:t xml:space="preserve">≥</w:t>
            </w:r>
            <w:r>
              <w:rPr>
                <w:rFonts w:hint="eastAsia"/>
                <w:color w:val="000000"/>
                <w:szCs w:val="21"/>
                <w:lang w:bidi="ar"/>
              </w:rPr>
              <w:t xml:space="preserve">5个8TB SATA 7.2K 3.5英寸机械硬盘。</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rFonts w:hint="eastAsia"/>
                <w:color w:val="000000"/>
                <w:szCs w:val="21"/>
                <w:lang w:bidi="ar"/>
              </w:rPr>
              <w:t xml:space="preserve">冗余电源。</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关键部件</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rFonts w:hint="eastAsia"/>
                <w:color w:val="000000"/>
                <w:szCs w:val="21"/>
                <w:lang w:bidi="ar"/>
              </w:rPr>
              <w:t xml:space="preserve">▲CPU符合安全可靠测评等级Ⅱ级或以上要求；(提供证明材料，如白皮书、彩页、手册、官网截图、具有CMA标识的检测报告等）</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CPU芯片符合GM/T 0008的相关规定，或芯片密码模块应符合GB/T 37092或GM/T</w:t>
            </w:r>
            <w:r>
              <w:rPr>
                <w:rFonts w:hint="eastAsia"/>
                <w:color w:val="000000"/>
                <w:szCs w:val="21"/>
                <w:lang w:bidi="ar"/>
              </w:rPr>
              <w:t xml:space="preserve"> </w:t>
            </w:r>
            <w:r>
              <w:rPr>
                <w:color w:val="000000"/>
                <w:szCs w:val="21"/>
                <w:lang w:bidi="ar"/>
              </w:rPr>
              <w:t xml:space="preserve">0028的相关规定</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内存规格</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支持多个内存接口通道，每个通道可支持1DPC或2DPC</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可支持的</w:t>
            </w:r>
            <w:r>
              <w:rPr>
                <w:rFonts w:hint="eastAsia"/>
                <w:color w:val="000000"/>
                <w:szCs w:val="21"/>
                <w:lang w:bidi="ar"/>
              </w:rPr>
              <w:t xml:space="preserve">内存</w:t>
            </w:r>
            <w:r>
              <w:rPr>
                <w:color w:val="000000"/>
                <w:szCs w:val="21"/>
                <w:lang w:bidi="ar"/>
              </w:rPr>
              <w:t xml:space="preserve">数量≥</w:t>
            </w:r>
            <w:r>
              <w:rPr>
                <w:rFonts w:hint="eastAsia"/>
                <w:color w:val="000000"/>
                <w:szCs w:val="21"/>
                <w:lang w:bidi="ar"/>
              </w:rPr>
              <w:t xml:space="preserve">16个。</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存储规格</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可支持的硬盘数量≥</w:t>
            </w:r>
            <w:r>
              <w:rPr>
                <w:rFonts w:hint="eastAsia"/>
                <w:color w:val="000000"/>
                <w:szCs w:val="21"/>
                <w:lang w:bidi="ar"/>
              </w:rPr>
              <w:t xml:space="preserve">12</w:t>
            </w:r>
            <w:r>
              <w:rPr>
                <w:color w:val="000000"/>
                <w:szCs w:val="21"/>
                <w:lang w:bidi="ar"/>
              </w:rPr>
              <w:t xml:space="preserve">块</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内部接口</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支持SAS、SATA存储接口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符合PCIe</w:t>
            </w:r>
            <w:r>
              <w:rPr>
                <w:rFonts w:hint="eastAsia"/>
                <w:color w:val="000000"/>
                <w:szCs w:val="21"/>
                <w:lang w:bidi="ar"/>
              </w:rPr>
              <w:t xml:space="preserve"> </w:t>
            </w:r>
            <w:r>
              <w:rPr>
                <w:color w:val="000000"/>
                <w:szCs w:val="21"/>
                <w:lang w:bidi="ar"/>
              </w:rPr>
              <w:t xml:space="preserve">4.0或以上的高速串行计算机扩展总线标准</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6</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color w:val="000000"/>
                <w:szCs w:val="21"/>
                <w:lang w:bidi="ar"/>
              </w:rPr>
              <w:t xml:space="preserve">外部接口</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≥1个VGA接口</w:t>
            </w:r>
            <w:r>
              <w:rPr>
                <w:rFonts w:hint="eastAsia"/>
                <w:color w:val="000000"/>
                <w:szCs w:val="21"/>
                <w:lang w:bidi="ar"/>
              </w:rPr>
              <w:t xml:space="preserve">。</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≥2个USB 3.0接口</w:t>
            </w:r>
            <w:r>
              <w:rPr>
                <w:rFonts w:hint="eastAsia"/>
                <w:color w:val="000000"/>
                <w:szCs w:val="21"/>
                <w:lang w:bidi="ar"/>
              </w:rPr>
              <w:t xml:space="preserve">。</w:t>
            </w:r>
            <w:r>
              <w:rPr>
                <w:color w:val="000000"/>
                <w:szCs w:val="21"/>
                <w:lang w:bidi="ar"/>
              </w:rPr>
            </w:r>
            <w:r/>
          </w:p>
        </w:tc>
      </w:tr>
      <w:tr>
        <w:trPr/>
        <w:tc>
          <w:tcPr>
            <w:tcW w:w="663"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7</w:t>
            </w:r>
            <w:r>
              <w:rPr>
                <w:rFonts w:hint="eastAsia"/>
                <w:color w:val="000000"/>
                <w:szCs w:val="21"/>
                <w:lang w:bidi="ar"/>
              </w:rPr>
            </w:r>
            <w:r/>
          </w:p>
        </w:tc>
        <w:tc>
          <w:tcPr>
            <w:tcW w:w="1573" w:type="dxa"/>
            <w:vAlign w:val="center"/>
            <w:textDirection w:val="lrTb"/>
            <w:noWrap w:val="false"/>
          </w:tcPr>
          <w:p>
            <w:pPr>
              <w:pStyle w:val="928"/>
              <w:jc w:val="center"/>
              <w:rPr>
                <w:color w:val="000000"/>
                <w:szCs w:val="21"/>
                <w:lang w:bidi="ar"/>
              </w:rPr>
            </w:pPr>
            <w:r>
              <w:rPr>
                <w:color w:val="000000"/>
                <w:szCs w:val="21"/>
                <w:lang w:bidi="ar"/>
              </w:rPr>
              <w:t xml:space="preserve">电源功能</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color w:val="000000"/>
                <w:szCs w:val="21"/>
                <w:lang w:bidi="ar"/>
              </w:rPr>
              <w:t xml:space="preserve">整机电源模块应具备热插拔功能</w:t>
            </w:r>
            <w:r>
              <w:rPr>
                <w:rFonts w:hint="eastAsia"/>
                <w:color w:val="000000"/>
                <w:szCs w:val="21"/>
                <w:lang w:bidi="ar"/>
              </w:rPr>
              <w:t xml:space="preserve">。</w:t>
            </w:r>
            <w:r>
              <w:rPr>
                <w:color w:val="000000"/>
                <w:szCs w:val="21"/>
                <w:lang w:bidi="ar"/>
              </w:rPr>
            </w:r>
            <w:r/>
          </w:p>
        </w:tc>
      </w:tr>
      <w:tr>
        <w:trPr/>
        <w:tc>
          <w:tcPr>
            <w:tcW w:w="663"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8</w:t>
            </w:r>
            <w:r>
              <w:rPr>
                <w:rFonts w:hint="eastAsia"/>
                <w:color w:val="000000"/>
                <w:szCs w:val="21"/>
                <w:lang w:bidi="ar"/>
              </w:rPr>
            </w:r>
            <w:r/>
          </w:p>
        </w:tc>
        <w:tc>
          <w:tcPr>
            <w:tcW w:w="1573"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管理功能</w:t>
            </w:r>
            <w:r>
              <w:rPr>
                <w:color w:val="000000"/>
                <w:szCs w:val="21"/>
                <w:lang w:bidi="ar"/>
              </w:rPr>
            </w:r>
            <w:r/>
          </w:p>
        </w:tc>
        <w:tc>
          <w:tcPr>
            <w:tcW w:w="7482" w:type="dxa"/>
            <w:vAlign w:val="center"/>
            <w:textDirection w:val="lrTb"/>
            <w:noWrap w:val="false"/>
          </w:tcPr>
          <w:p>
            <w:pPr>
              <w:pStyle w:val="928"/>
              <w:jc w:val="left"/>
              <w:rPr>
                <w:color w:val="000000"/>
                <w:szCs w:val="21"/>
                <w:lang w:bidi="ar"/>
              </w:rPr>
            </w:pPr>
            <w:r>
              <w:rPr>
                <w:rFonts w:hint="eastAsia"/>
                <w:color w:val="000000"/>
                <w:szCs w:val="21"/>
                <w:lang w:bidi="ar"/>
              </w:rPr>
              <w:t xml:space="preserve">集成系统管理处理器支持：自动服务器 重启、风扇监视和控制、电源监控、温度 监控、启动/关闭、按序重启、本地固件 更新、错误日志，可通过可视化工具提供系统未来状况的可视显示；具有图形管理界面及其他高级管理功能。</w:t>
            </w:r>
            <w:r>
              <w:rPr>
                <w:color w:val="000000"/>
                <w:szCs w:val="21"/>
                <w:lang w:bidi="ar"/>
              </w:rPr>
            </w:r>
            <w:r/>
          </w:p>
        </w:tc>
      </w:tr>
      <w:tr>
        <w:trPr/>
        <w:tc>
          <w:tcPr>
            <w:tcW w:w="66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1573"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7482"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支持自研集中管理系统，能够提供内存自愈上告，可通过钉钉或微信上报故障信息。(提供证明材料，如白皮书、彩页、手册、官网截图、具有CMA标识的检测报告等）</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（5）单向光闸</w:t>
      </w:r>
      <w:r>
        <w:rPr>
          <w:rFonts w:hint="eastAsia"/>
          <w:color w:val="000000"/>
          <w:sz w:val="24"/>
          <w:szCs w:val="24"/>
          <w:lang w:bidi="ar"/>
        </w:rPr>
      </w:r>
      <w:r/>
    </w:p>
    <w:tbl>
      <w:tblPr>
        <w:tblW w:w="4909"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67"/>
        <w:gridCol w:w="7490"/>
      </w:tblGrid>
      <w:tr>
        <w:trPr>
          <w:tblHeader/>
        </w:trPr>
        <w:tc>
          <w:tcPr>
            <w:shd w:val="clear" w:color="auto" w:fill="f1f1f1"/>
            <w:tcW w:w="370"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801" w:type="dxa"/>
            <w:vAlign w:val="center"/>
            <w:textDirection w:val="lrTb"/>
            <w:noWrap w:val="false"/>
          </w:tcPr>
          <w:p>
            <w:pPr>
              <w:pStyle w:val="928"/>
              <w:jc w:val="center"/>
              <w:spacing w:line="264" w:lineRule="auto"/>
              <w:rPr>
                <w:color w:val="000000"/>
                <w:sz w:val="24"/>
                <w:szCs w:val="24"/>
                <w:lang w:bidi="ar"/>
              </w:rPr>
            </w:pPr>
            <w:r>
              <w:rPr>
                <w:rFonts w:hint="eastAsia" w:ascii="宋体" w:hAnsi="宋体" w:cs="宋体"/>
                <w:b/>
                <w:color w:val="000000"/>
                <w:sz w:val="24"/>
                <w:szCs w:val="24"/>
              </w:rPr>
              <w:t xml:space="preserve">指标项</w:t>
            </w:r>
            <w:r>
              <w:rPr>
                <w:color w:val="000000"/>
                <w:sz w:val="24"/>
                <w:szCs w:val="24"/>
                <w:lang w:bidi="ar"/>
              </w:rPr>
            </w:r>
            <w:r/>
          </w:p>
        </w:tc>
        <w:tc>
          <w:tcPr>
            <w:shd w:val="clear" w:color="auto" w:fill="f1f1f1"/>
            <w:tcW w:w="3828" w:type="dxa"/>
            <w:vAlign w:val="center"/>
            <w:textDirection w:val="lrTb"/>
            <w:noWrap w:val="false"/>
          </w:tcPr>
          <w:p>
            <w:pPr>
              <w:pStyle w:val="928"/>
              <w:jc w:val="center"/>
              <w:spacing w:line="264" w:lineRule="auto"/>
              <w:rPr>
                <w:color w:val="000000"/>
                <w:sz w:val="24"/>
                <w:szCs w:val="24"/>
                <w:lang w:bidi="ar"/>
              </w:rPr>
            </w:pPr>
            <w:r>
              <w:rPr>
                <w:rFonts w:hint="eastAsia" w:ascii="宋体" w:hAnsi="宋体" w:cs="宋体"/>
                <w:b/>
                <w:color w:val="000000"/>
                <w:sz w:val="24"/>
                <w:szCs w:val="24"/>
              </w:rPr>
              <w:t xml:space="preserve">功能、性能、配置要求不低于以下要求</w:t>
            </w:r>
            <w:r>
              <w:rPr>
                <w:color w:val="000000"/>
                <w:sz w:val="24"/>
                <w:szCs w:val="24"/>
                <w:lang w:bidi="ar"/>
              </w:rPr>
            </w:r>
            <w:r/>
          </w:p>
        </w:tc>
      </w:tr>
      <w:tr>
        <w:trPr/>
        <w:tc>
          <w:tcPr>
            <w:tcW w:w="370"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tcW w:w="801" w:type="dxa"/>
            <w:vAlign w:val="center"/>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2U，采用国产化CPU和操作系统，内外端机各配置</w:t>
            </w:r>
            <w:r>
              <w:rPr>
                <w:color w:val="000000"/>
                <w:szCs w:val="21"/>
                <w:lang w:bidi="ar"/>
              </w:rPr>
              <w:t xml:space="preserve">≥</w:t>
            </w:r>
            <w:r>
              <w:rPr>
                <w:rFonts w:hint="eastAsia"/>
                <w:color w:val="000000"/>
                <w:szCs w:val="21"/>
                <w:lang w:bidi="ar"/>
              </w:rPr>
              <w:t xml:space="preserve">1T硬盘+64G mSATA，内外端机各配置</w:t>
            </w:r>
            <w:r>
              <w:rPr>
                <w:color w:val="000000"/>
                <w:szCs w:val="21"/>
                <w:lang w:bidi="ar"/>
              </w:rPr>
              <w:t xml:space="preserve">≥</w:t>
            </w:r>
            <w:r>
              <w:rPr>
                <w:rFonts w:hint="eastAsia"/>
                <w:color w:val="000000"/>
                <w:szCs w:val="21"/>
                <w:lang w:bidi="ar"/>
              </w:rPr>
              <w:t xml:space="preserve">16G内存,内外端双侧液晶屏；内端机</w:t>
            </w:r>
            <w:r>
              <w:rPr>
                <w:color w:val="000000"/>
                <w:szCs w:val="21"/>
                <w:lang w:bidi="ar"/>
              </w:rPr>
              <w:t xml:space="preserve">≥</w:t>
            </w:r>
            <w:r>
              <w:rPr>
                <w:rFonts w:hint="eastAsia"/>
                <w:color w:val="000000"/>
                <w:szCs w:val="21"/>
                <w:lang w:bidi="ar"/>
              </w:rPr>
              <w:t xml:space="preserve">10个10/100/1000Base-T接口（含1个MAN口和1个HA口），</w:t>
            </w:r>
            <w:r>
              <w:rPr>
                <w:color w:val="000000"/>
                <w:szCs w:val="21"/>
                <w:lang w:bidi="ar"/>
              </w:rPr>
              <w:t xml:space="preserve">≥</w:t>
            </w:r>
            <w:r>
              <w:rPr>
                <w:rFonts w:hint="eastAsia"/>
                <w:color w:val="000000"/>
                <w:szCs w:val="21"/>
                <w:lang w:bidi="ar"/>
              </w:rPr>
              <w:t xml:space="preserve">8个千兆光口插槽，</w:t>
            </w:r>
            <w:r>
              <w:rPr>
                <w:color w:val="000000"/>
                <w:szCs w:val="21"/>
                <w:lang w:bidi="ar"/>
              </w:rPr>
              <w:t xml:space="preserve">≥</w:t>
            </w:r>
            <w:r>
              <w:rPr>
                <w:rFonts w:hint="eastAsia"/>
                <w:color w:val="000000"/>
                <w:szCs w:val="21"/>
                <w:lang w:bidi="ar"/>
              </w:rPr>
              <w:t xml:space="preserve">1个扩展插槽；外端机</w:t>
            </w:r>
            <w:r>
              <w:rPr>
                <w:color w:val="000000"/>
                <w:szCs w:val="21"/>
                <w:lang w:bidi="ar"/>
              </w:rPr>
              <w:t xml:space="preserve">≥</w:t>
            </w:r>
            <w:r>
              <w:rPr>
                <w:rFonts w:hint="eastAsia"/>
                <w:color w:val="000000"/>
                <w:szCs w:val="21"/>
                <w:lang w:bidi="ar"/>
              </w:rPr>
              <w:t xml:space="preserve">10个10/100/1000Base-T接口（含1个MAN口和1个HA口），</w:t>
            </w:r>
            <w:r>
              <w:rPr>
                <w:color w:val="000000"/>
                <w:szCs w:val="21"/>
                <w:lang w:bidi="ar"/>
              </w:rPr>
              <w:t xml:space="preserve">≥</w:t>
            </w:r>
            <w:r>
              <w:rPr>
                <w:rFonts w:hint="eastAsia"/>
                <w:color w:val="000000"/>
                <w:szCs w:val="21"/>
                <w:lang w:bidi="ar"/>
              </w:rPr>
              <w:t xml:space="preserve">8个千兆光口插槽，</w:t>
            </w:r>
            <w:r>
              <w:rPr>
                <w:color w:val="000000"/>
                <w:szCs w:val="21"/>
                <w:lang w:bidi="ar"/>
              </w:rPr>
              <w:t xml:space="preserve">≥</w:t>
            </w:r>
            <w:r>
              <w:rPr>
                <w:rFonts w:hint="eastAsia"/>
                <w:color w:val="000000"/>
                <w:szCs w:val="21"/>
                <w:lang w:bidi="ar"/>
              </w:rPr>
              <w:t xml:space="preserve">1个扩展插槽，冗余电源。网络吞吐量</w:t>
            </w:r>
            <w:r>
              <w:rPr>
                <w:color w:val="000000"/>
                <w:szCs w:val="21"/>
                <w:lang w:bidi="ar"/>
              </w:rPr>
              <w:t xml:space="preserve">≥</w:t>
            </w:r>
            <w:r>
              <w:rPr>
                <w:rFonts w:hint="eastAsia"/>
                <w:color w:val="000000"/>
                <w:szCs w:val="21"/>
                <w:lang w:bidi="ar"/>
              </w:rPr>
              <w:t xml:space="preserve">800Mbps；默认包含单向文件传输模块、单向数据库同步模块、单向数据传输模块、邮件转发模块、安全防护模块、日志审计模块等。</w:t>
            </w:r>
            <w:r>
              <w:rPr>
                <w:color w:val="000000"/>
                <w:szCs w:val="21"/>
                <w:lang w:bidi="ar"/>
              </w:rPr>
            </w:r>
            <w:r/>
          </w:p>
        </w:tc>
      </w:tr>
      <w:tr>
        <w:trPr/>
        <w:tc>
          <w:tcPr>
            <w:tcW w:w="370"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801" w:type="dxa"/>
            <w:vAlign w:val="center"/>
            <w:textDirection w:val="lrTb"/>
            <w:noWrap w:val="false"/>
          </w:tcPr>
          <w:p>
            <w:pPr>
              <w:pStyle w:val="928"/>
              <w:jc w:val="center"/>
              <w:rPr>
                <w:color w:val="000000"/>
                <w:szCs w:val="21"/>
                <w:lang w:bidi="ar"/>
              </w:rPr>
            </w:pPr>
            <w:r>
              <w:rPr>
                <w:rFonts w:hint="eastAsia"/>
                <w:color w:val="000000"/>
                <w:szCs w:val="21"/>
                <w:lang w:bidi="ar"/>
              </w:rPr>
              <w:t xml:space="preserve">系统架构</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以光信号的单向传输特性为原理，以物理单向硬件隔离的方式，有效地隔断内外网络间的反向物理连接，保证数据信号的单向无反馈传输。系统内核嵌入绑定基于光隔离技术的私有单向数据摆渡协议，单向数据摆渡依赖专用单向协议，不可编程。</w:t>
            </w:r>
            <w:r>
              <w:rPr>
                <w:color w:val="000000"/>
                <w:szCs w:val="21"/>
                <w:lang w:bidi="ar"/>
              </w:rPr>
            </w:r>
            <w:r/>
          </w:p>
        </w:tc>
      </w:tr>
      <w:tr>
        <w:trPr/>
        <w:tc>
          <w:tcPr>
            <w:tcW w:w="370"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801"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文件交换</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支持自动在隔离环境下从外网向内网服务器进行单向的文件摆渡，支持专用客户端方式和无客户端方式。</w:t>
            </w:r>
            <w:r>
              <w:rPr>
                <w:color w:val="000000"/>
                <w:szCs w:val="21"/>
                <w:lang w:bidi="ar"/>
              </w:rPr>
            </w:r>
            <w:r/>
          </w:p>
        </w:tc>
      </w:tr>
      <w:tr>
        <w:trPr>
          <w:trHeight w:val="728"/>
        </w:trPr>
        <w:tc>
          <w:tcPr>
            <w:tcW w:w="370"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0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支持任务单独启停管理，不影响其他的文件同步任务运行；支持优先级配置，保证重要文件任务优先传输。(提供证明材料，如白皮书、彩页、手册、官网截图、具有CMA标识的检测报告等）</w:t>
            </w:r>
            <w:r>
              <w:rPr>
                <w:color w:val="000000"/>
                <w:szCs w:val="21"/>
                <w:lang w:bidi="ar"/>
              </w:rPr>
            </w:r>
            <w:r/>
          </w:p>
        </w:tc>
      </w:tr>
      <w:tr>
        <w:trPr/>
        <w:tc>
          <w:tcPr>
            <w:tcW w:w="370"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801"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数据库同步</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支持自动在隔离环境下从外网向内网进行单向数据库同步，通过系统的数据库同步模块，能够把外网的数据库记录同步到内网的数据库服务器上。</w:t>
            </w:r>
            <w:r>
              <w:rPr>
                <w:color w:val="000000"/>
                <w:szCs w:val="21"/>
                <w:lang w:bidi="ar"/>
              </w:rPr>
            </w:r>
            <w:r/>
          </w:p>
        </w:tc>
      </w:tr>
      <w:tr>
        <w:trPr/>
        <w:tc>
          <w:tcPr>
            <w:tcW w:w="370"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0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支持同构、异构数据库之间的同步，同步可具体设置到字段级别。</w:t>
            </w:r>
            <w:r>
              <w:rPr>
                <w:color w:val="000000"/>
                <w:szCs w:val="21"/>
                <w:lang w:bidi="ar"/>
              </w:rPr>
            </w:r>
            <w:r/>
          </w:p>
        </w:tc>
      </w:tr>
      <w:tr>
        <w:trPr/>
        <w:tc>
          <w:tcPr>
            <w:tcW w:w="370"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801"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数据传输</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支持单向自定义TCP/UDP应用传输，支持自定义TCP/UDP端口号。</w:t>
            </w:r>
            <w:r>
              <w:rPr>
                <w:color w:val="000000"/>
                <w:szCs w:val="21"/>
                <w:lang w:bidi="ar"/>
              </w:rPr>
            </w:r>
            <w:r/>
          </w:p>
        </w:tc>
      </w:tr>
      <w:tr>
        <w:trPr/>
        <w:tc>
          <w:tcPr>
            <w:tcW w:w="370"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0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单向自定义TCP/UDP传输功能支持应用层数据内容白名单控制，支持通过用户自定义的ASCII字符串或十六进制或正则表达式格式绑定用户自定义TCP/UDP应用的数据特征，实现单向数据传输的内容可控性。(提供证明材料，如白皮书、彩页、手册、官网截图、具有CMA标识的检测报告等）</w:t>
            </w:r>
            <w:r>
              <w:rPr>
                <w:color w:val="000000"/>
                <w:szCs w:val="21"/>
                <w:lang w:bidi="ar"/>
              </w:rPr>
            </w:r>
            <w:r/>
          </w:p>
        </w:tc>
      </w:tr>
      <w:tr>
        <w:trPr/>
        <w:tc>
          <w:tcPr>
            <w:tcW w:w="370"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6</w:t>
            </w:r>
            <w:r>
              <w:rPr>
                <w:rFonts w:hint="eastAsia"/>
                <w:color w:val="000000"/>
                <w:szCs w:val="21"/>
                <w:lang w:bidi="ar"/>
              </w:rPr>
            </w:r>
            <w:r/>
          </w:p>
        </w:tc>
        <w:tc>
          <w:tcPr>
            <w:tcW w:w="801" w:type="dxa"/>
            <w:vAlign w:val="center"/>
            <w:textDirection w:val="lrTb"/>
            <w:noWrap w:val="false"/>
          </w:tcPr>
          <w:p>
            <w:pPr>
              <w:pStyle w:val="928"/>
              <w:jc w:val="center"/>
              <w:rPr>
                <w:color w:val="000000"/>
                <w:szCs w:val="21"/>
                <w:lang w:bidi="ar"/>
              </w:rPr>
            </w:pPr>
            <w:r>
              <w:rPr>
                <w:rFonts w:hint="eastAsia"/>
                <w:color w:val="000000"/>
                <w:szCs w:val="21"/>
                <w:lang w:bidi="ar"/>
              </w:rPr>
              <w:t xml:space="preserve">内容审查</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支持基于数据字典的敏感数据内容过滤，用户可手动编写字典文件。</w:t>
            </w:r>
            <w:r>
              <w:rPr>
                <w:color w:val="000000"/>
                <w:szCs w:val="21"/>
                <w:lang w:bidi="ar"/>
              </w:rPr>
            </w:r>
            <w:r/>
          </w:p>
        </w:tc>
      </w:tr>
      <w:tr>
        <w:trPr/>
        <w:tc>
          <w:tcPr>
            <w:tcW w:w="370" w:type="dxa"/>
            <w:vAlign w:val="center"/>
            <w:vMerge w:val="restart"/>
            <w:textDirection w:val="lrTb"/>
            <w:noWrap w:val="false"/>
          </w:tcPr>
          <w:p>
            <w:pPr>
              <w:pStyle w:val="928"/>
              <w:jc w:val="center"/>
              <w:rPr>
                <w:rFonts w:hint="eastAsia"/>
                <w:color w:val="000000"/>
                <w:szCs w:val="21"/>
                <w:lang w:bidi="ar"/>
              </w:rPr>
            </w:pPr>
            <w:r>
              <w:rPr>
                <w:rFonts w:hint="eastAsia"/>
                <w:color w:val="000000"/>
                <w:szCs w:val="21"/>
                <w:lang w:bidi="ar"/>
              </w:rPr>
              <w:t xml:space="preserve">7</w:t>
            </w:r>
            <w:r>
              <w:rPr>
                <w:rFonts w:hint="eastAsia"/>
                <w:color w:val="000000"/>
                <w:szCs w:val="21"/>
                <w:lang w:bidi="ar"/>
              </w:rPr>
            </w:r>
            <w:r/>
          </w:p>
        </w:tc>
        <w:tc>
          <w:tcPr>
            <w:tcW w:w="801" w:type="dxa"/>
            <w:vAlign w:val="center"/>
            <w:vMerge w:val="restart"/>
            <w:textDirection w:val="lrTb"/>
            <w:noWrap w:val="false"/>
          </w:tcPr>
          <w:p>
            <w:pPr>
              <w:pStyle w:val="928"/>
              <w:jc w:val="center"/>
              <w:rPr>
                <w:color w:val="000000"/>
                <w:szCs w:val="21"/>
                <w:lang w:bidi="ar"/>
              </w:rPr>
            </w:pPr>
            <w:r>
              <w:rPr>
                <w:rFonts w:hint="eastAsia"/>
                <w:color w:val="000000"/>
                <w:szCs w:val="21"/>
                <w:lang w:bidi="ar"/>
              </w:rPr>
              <w:t xml:space="preserve">合规要求</w:t>
            </w: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▲提供产品的《网络安全专用产品安全检测证书》。</w:t>
            </w:r>
            <w:r>
              <w:rPr>
                <w:color w:val="000000"/>
                <w:szCs w:val="21"/>
                <w:lang w:bidi="ar"/>
              </w:rPr>
            </w:r>
            <w:r/>
          </w:p>
        </w:tc>
      </w:tr>
      <w:tr>
        <w:trPr/>
        <w:tc>
          <w:tcPr>
            <w:tcW w:w="370"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801" w:type="dxa"/>
            <w:vAlign w:val="center"/>
            <w:vMerge w:val="continue"/>
            <w:textDirection w:val="lrTb"/>
            <w:noWrap w:val="false"/>
          </w:tcPr>
          <w:p>
            <w:pPr>
              <w:pStyle w:val="928"/>
              <w:jc w:val="center"/>
              <w:rPr>
                <w:color w:val="000000"/>
                <w:szCs w:val="21"/>
                <w:lang w:bidi="ar"/>
              </w:rPr>
            </w:pPr>
            <w:r>
              <w:rPr>
                <w:color w:val="000000"/>
                <w:szCs w:val="21"/>
                <w:lang w:bidi="ar"/>
              </w:rPr>
            </w:r>
            <w:r/>
          </w:p>
        </w:tc>
        <w:tc>
          <w:tcPr>
            <w:tcW w:w="3828" w:type="dxa"/>
            <w:vAlign w:val="center"/>
            <w:textDirection w:val="lrTb"/>
            <w:noWrap w:val="false"/>
          </w:tcPr>
          <w:p>
            <w:pPr>
              <w:pStyle w:val="928"/>
              <w:jc w:val="left"/>
              <w:rPr>
                <w:color w:val="000000"/>
                <w:szCs w:val="21"/>
                <w:lang w:bidi="ar"/>
              </w:rPr>
            </w:pPr>
            <w:r>
              <w:rPr>
                <w:rFonts w:hint="eastAsia"/>
                <w:color w:val="000000"/>
                <w:szCs w:val="21"/>
                <w:lang w:bidi="ar"/>
              </w:rPr>
              <w:t xml:space="preserve">▲提供产品的《信息技术产品适配性证书（信创版）》。</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（6）核心交换机</w:t>
      </w:r>
      <w:r>
        <w:rPr>
          <w:rFonts w:hint="eastAsia"/>
          <w:color w:val="000000"/>
          <w:sz w:val="24"/>
          <w:szCs w:val="24"/>
          <w:lang w:bidi="ar"/>
        </w:rPr>
      </w:r>
      <w:r/>
    </w:p>
    <w:tbl>
      <w:tblPr>
        <w:tblW w:w="4909"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563"/>
        <w:gridCol w:w="7500"/>
      </w:tblGrid>
      <w:tr>
        <w:trPr>
          <w:tblHeader/>
        </w:trPr>
        <w:tc>
          <w:tcPr>
            <w:shd w:val="clear" w:color="auto" w:fill="f1f1f1"/>
            <w:tcW w:w="367" w:type="dxa"/>
            <w:vAlign w:val="top"/>
            <w:textDirection w:val="lrTb"/>
            <w:noWrap w:val="false"/>
          </w:tcPr>
          <w:p>
            <w:pPr>
              <w:pStyle w:val="928"/>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799" w:type="dxa"/>
            <w:vAlign w:val="top"/>
            <w:textDirection w:val="lrTb"/>
            <w:noWrap w:val="false"/>
          </w:tcPr>
          <w:p>
            <w:pPr>
              <w:pStyle w:val="928"/>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3834" w:type="dxa"/>
            <w:vAlign w:val="top"/>
            <w:textDirection w:val="lrTb"/>
            <w:noWrap w:val="false"/>
          </w:tcPr>
          <w:p>
            <w:pPr>
              <w:pStyle w:val="928"/>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tcW w:w="367" w:type="dxa"/>
            <w:vAlign w:val="top"/>
            <w:vMerge w:val="restart"/>
            <w:textDirection w:val="lrTb"/>
            <w:noWrap w:val="false"/>
          </w:tcPr>
          <w:p>
            <w:pPr>
              <w:pStyle w:val="928"/>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tcW w:w="799" w:type="dxa"/>
            <w:vAlign w:val="top"/>
            <w:vMerge w:val="restart"/>
            <w:textDirection w:val="lrTb"/>
            <w:noWrap w:val="false"/>
          </w:tcPr>
          <w:p>
            <w:pPr>
              <w:pStyle w:val="928"/>
              <w:rPr>
                <w:color w:val="000000"/>
                <w:szCs w:val="21"/>
                <w:lang w:bidi="ar"/>
              </w:rPr>
            </w:pPr>
            <w:r>
              <w:rPr>
                <w:rFonts w:hint="eastAsia"/>
                <w:color w:val="000000"/>
                <w:szCs w:val="21"/>
                <w:lang w:bidi="ar"/>
              </w:rPr>
              <w:t xml:space="preserve">★基本要求</w:t>
            </w:r>
            <w:r>
              <w:rPr>
                <w:color w:val="000000"/>
                <w:szCs w:val="21"/>
                <w:lang w:bidi="ar"/>
              </w:rPr>
            </w:r>
            <w:r/>
          </w:p>
        </w:tc>
        <w:tc>
          <w:tcPr>
            <w:tcW w:w="3834" w:type="dxa"/>
            <w:vAlign w:val="top"/>
            <w:textDirection w:val="lrTb"/>
            <w:noWrap w:val="false"/>
          </w:tcPr>
          <w:p>
            <w:pPr>
              <w:pStyle w:val="928"/>
              <w:rPr>
                <w:color w:val="000000"/>
                <w:szCs w:val="21"/>
                <w:lang w:bidi="ar"/>
              </w:rPr>
            </w:pPr>
            <w:r>
              <w:rPr>
                <w:rFonts w:hint="eastAsia"/>
                <w:color w:val="000000"/>
                <w:szCs w:val="21"/>
                <w:lang w:bidi="ar"/>
              </w:rPr>
              <w:t xml:space="preserve">≥24个10GE SFP+接口，≥6个40GE QSFP接口。</w:t>
            </w:r>
            <w:r>
              <w:rPr>
                <w:color w:val="000000"/>
                <w:szCs w:val="21"/>
                <w:lang w:bidi="ar"/>
              </w:rPr>
            </w:r>
            <w:r/>
          </w:p>
        </w:tc>
      </w:tr>
      <w:tr>
        <w:trPr/>
        <w:tc>
          <w:tcPr>
            <w:tcW w:w="367" w:type="dxa"/>
            <w:vAlign w:val="top"/>
            <w:vMerge w:val="continue"/>
            <w:textDirection w:val="lrTb"/>
            <w:noWrap w:val="false"/>
          </w:tcPr>
          <w:p>
            <w:pPr>
              <w:pStyle w:val="928"/>
              <w:rPr>
                <w:color w:val="000000"/>
                <w:szCs w:val="21"/>
                <w:lang w:bidi="ar"/>
              </w:rPr>
            </w:pPr>
            <w:r>
              <w:rPr>
                <w:color w:val="000000"/>
                <w:szCs w:val="21"/>
                <w:lang w:bidi="ar"/>
              </w:rPr>
            </w:r>
            <w:r/>
          </w:p>
        </w:tc>
        <w:tc>
          <w:tcPr>
            <w:tcW w:w="799" w:type="dxa"/>
            <w:vAlign w:val="top"/>
            <w:vMerge w:val="continue"/>
            <w:textDirection w:val="lrTb"/>
            <w:noWrap w:val="false"/>
          </w:tcPr>
          <w:p>
            <w:pPr>
              <w:pStyle w:val="928"/>
              <w:rPr>
                <w:color w:val="000000"/>
                <w:szCs w:val="21"/>
                <w:lang w:bidi="ar"/>
              </w:rPr>
            </w:pPr>
            <w:r>
              <w:rPr>
                <w:color w:val="000000"/>
                <w:szCs w:val="21"/>
                <w:lang w:bidi="ar"/>
              </w:rPr>
            </w:r>
            <w:r/>
          </w:p>
        </w:tc>
        <w:tc>
          <w:tcPr>
            <w:tcW w:w="3834" w:type="dxa"/>
            <w:vAlign w:val="top"/>
            <w:textDirection w:val="lrTb"/>
            <w:noWrap w:val="false"/>
          </w:tcPr>
          <w:p>
            <w:pPr>
              <w:pStyle w:val="928"/>
              <w:rPr>
                <w:color w:val="000000"/>
                <w:szCs w:val="21"/>
                <w:lang w:bidi="ar"/>
              </w:rPr>
            </w:pPr>
            <w:r>
              <w:rPr>
                <w:rFonts w:hint="eastAsia"/>
                <w:color w:val="000000"/>
                <w:szCs w:val="21"/>
                <w:lang w:bidi="ar"/>
              </w:rPr>
              <w:t xml:space="preserve">交换容量≥2.56Tbps，包转发率≥792Mpps。</w:t>
            </w:r>
            <w:r>
              <w:rPr>
                <w:color w:val="000000"/>
                <w:szCs w:val="21"/>
                <w:lang w:bidi="ar"/>
              </w:rPr>
            </w:r>
            <w:r/>
          </w:p>
        </w:tc>
      </w:tr>
      <w:tr>
        <w:trPr/>
        <w:tc>
          <w:tcPr>
            <w:tcW w:w="367" w:type="dxa"/>
            <w:vAlign w:val="top"/>
            <w:vMerge w:val="continue"/>
            <w:textDirection w:val="lrTb"/>
            <w:noWrap w:val="false"/>
          </w:tcPr>
          <w:p>
            <w:pPr>
              <w:pStyle w:val="928"/>
              <w:rPr>
                <w:color w:val="000000"/>
                <w:szCs w:val="21"/>
                <w:lang w:bidi="ar"/>
              </w:rPr>
            </w:pPr>
            <w:r>
              <w:rPr>
                <w:color w:val="000000"/>
                <w:szCs w:val="21"/>
                <w:lang w:bidi="ar"/>
              </w:rPr>
            </w:r>
            <w:r/>
          </w:p>
        </w:tc>
        <w:tc>
          <w:tcPr>
            <w:tcW w:w="799" w:type="dxa"/>
            <w:vAlign w:val="top"/>
            <w:vMerge w:val="continue"/>
            <w:textDirection w:val="lrTb"/>
            <w:noWrap w:val="false"/>
          </w:tcPr>
          <w:p>
            <w:pPr>
              <w:pStyle w:val="928"/>
              <w:rPr>
                <w:color w:val="000000"/>
                <w:szCs w:val="21"/>
                <w:lang w:bidi="ar"/>
              </w:rPr>
            </w:pPr>
            <w:r>
              <w:rPr>
                <w:color w:val="000000"/>
                <w:szCs w:val="21"/>
                <w:lang w:bidi="ar"/>
              </w:rPr>
            </w:r>
            <w:r/>
          </w:p>
        </w:tc>
        <w:tc>
          <w:tcPr>
            <w:tcW w:w="3834" w:type="dxa"/>
            <w:vAlign w:val="top"/>
            <w:textDirection w:val="lrTb"/>
            <w:noWrap w:val="false"/>
          </w:tcPr>
          <w:p>
            <w:pPr>
              <w:pStyle w:val="928"/>
              <w:rPr>
                <w:color w:val="000000"/>
                <w:szCs w:val="21"/>
                <w:lang w:bidi="ar"/>
              </w:rPr>
            </w:pPr>
            <w:r>
              <w:rPr>
                <w:rFonts w:hint="eastAsia"/>
                <w:color w:val="000000"/>
                <w:szCs w:val="21"/>
                <w:lang w:bidi="ar"/>
              </w:rPr>
              <w:t xml:space="preserve">提供≥1个堆叠线缆、8个10GE SFP+多模光模块。</w:t>
            </w:r>
            <w:r>
              <w:rPr>
                <w:color w:val="000000"/>
                <w:szCs w:val="21"/>
                <w:lang w:bidi="ar"/>
              </w:rPr>
            </w:r>
            <w:r/>
          </w:p>
        </w:tc>
      </w:tr>
      <w:tr>
        <w:trPr/>
        <w:tc>
          <w:tcPr>
            <w:tcW w:w="367" w:type="dxa"/>
            <w:vAlign w:val="top"/>
            <w:textDirection w:val="lrTb"/>
            <w:noWrap w:val="false"/>
          </w:tcPr>
          <w:p>
            <w:pPr>
              <w:pStyle w:val="928"/>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799" w:type="dxa"/>
            <w:vAlign w:val="top"/>
            <w:textDirection w:val="lrTb"/>
            <w:noWrap w:val="false"/>
          </w:tcPr>
          <w:p>
            <w:pPr>
              <w:pStyle w:val="928"/>
              <w:rPr>
                <w:color w:val="000000"/>
                <w:szCs w:val="21"/>
                <w:lang w:bidi="ar"/>
              </w:rPr>
            </w:pPr>
            <w:r>
              <w:rPr>
                <w:rFonts w:hint="eastAsia"/>
                <w:color w:val="000000"/>
                <w:szCs w:val="21"/>
                <w:lang w:bidi="ar"/>
              </w:rPr>
              <w:t xml:space="preserve">功能要求</w:t>
            </w:r>
            <w:r>
              <w:rPr>
                <w:color w:val="000000"/>
                <w:szCs w:val="21"/>
                <w:lang w:bidi="ar"/>
              </w:rPr>
            </w:r>
            <w:r/>
          </w:p>
        </w:tc>
        <w:tc>
          <w:tcPr>
            <w:tcW w:w="3834" w:type="dxa"/>
            <w:vAlign w:val="top"/>
            <w:textDirection w:val="lrTb"/>
            <w:noWrap w:val="false"/>
          </w:tcPr>
          <w:p>
            <w:pPr>
              <w:pStyle w:val="928"/>
              <w:rPr>
                <w:color w:val="000000"/>
                <w:szCs w:val="21"/>
                <w:lang w:bidi="ar"/>
              </w:rPr>
            </w:pPr>
            <w:r>
              <w:rPr>
                <w:rFonts w:hint="eastAsia"/>
                <w:color w:val="000000"/>
                <w:szCs w:val="21"/>
                <w:lang w:bidi="ar"/>
              </w:rPr>
              <w:t xml:space="preserve">支持设备虚拟化。支持RIP、OSPF、ISIS、BGP路由协。</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（7）防火墙</w:t>
      </w:r>
      <w:r>
        <w:rPr>
          <w:rFonts w:hint="eastAsia"/>
          <w:color w:val="000000"/>
          <w:sz w:val="24"/>
          <w:szCs w:val="24"/>
          <w:lang w:bidi="ar"/>
        </w:rPr>
      </w:r>
      <w:r/>
    </w:p>
    <w:tbl>
      <w:tblPr>
        <w:tblW w:w="4918" w:type="pct"/>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54"/>
        <w:gridCol w:w="7500"/>
      </w:tblGrid>
      <w:tr>
        <w:trPr>
          <w:tblHeader/>
        </w:trPr>
        <w:tc>
          <w:tcPr>
            <w:shd w:val="clear" w:color="auto" w:fill="f1f1f1"/>
            <w:tcW w:w="380" w:type="dxa"/>
            <w:vAlign w:val="top"/>
            <w:textDirection w:val="lrTb"/>
            <w:noWrap w:val="false"/>
          </w:tcPr>
          <w:p>
            <w:pPr>
              <w:pStyle w:val="928"/>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793" w:type="dxa"/>
            <w:vAlign w:val="top"/>
            <w:textDirection w:val="lrTb"/>
            <w:noWrap w:val="false"/>
          </w:tcPr>
          <w:p>
            <w:pPr>
              <w:pStyle w:val="928"/>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3827" w:type="dxa"/>
            <w:vAlign w:val="top"/>
            <w:textDirection w:val="lrTb"/>
            <w:noWrap w:val="false"/>
          </w:tcPr>
          <w:p>
            <w:pPr>
              <w:pStyle w:val="928"/>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rPr>
                <w:rFonts w:hint="eastAsia" w:ascii="宋体" w:hAnsi="宋体" w:cs="宋体"/>
                <w:b/>
                <w:color w:val="000000"/>
                <w:sz w:val="24"/>
                <w:szCs w:val="24"/>
              </w:rPr>
            </w:r>
            <w:r/>
          </w:p>
        </w:tc>
      </w:tr>
      <w:tr>
        <w:trPr/>
        <w:tc>
          <w:tcPr>
            <w:tcW w:w="380" w:type="dxa"/>
            <w:vAlign w:val="top"/>
            <w:textDirection w:val="lrTb"/>
            <w:noWrap w:val="false"/>
          </w:tcPr>
          <w:p>
            <w:pPr>
              <w:pStyle w:val="928"/>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tcW w:w="793" w:type="dxa"/>
            <w:vAlign w:val="top"/>
            <w:textDirection w:val="lrTb"/>
            <w:noWrap w:val="false"/>
          </w:tcPr>
          <w:p>
            <w:pPr>
              <w:pStyle w:val="928"/>
              <w:rPr>
                <w:color w:val="000000"/>
                <w:szCs w:val="21"/>
                <w:lang w:bidi="ar"/>
              </w:rPr>
            </w:pPr>
            <w:r>
              <w:rPr>
                <w:rFonts w:hint="eastAsia"/>
                <w:color w:val="000000"/>
                <w:szCs w:val="21"/>
                <w:lang w:bidi="ar"/>
              </w:rPr>
              <w:t xml:space="preserve">★基本要求</w:t>
            </w: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≥1U，采用国产化CPU和操作系统，内存≥16G，系统盘≥32G板载EMMC，硬盘≥512G SSD，≥10个千兆电口(含1个MGMT口，1个HA口)，≥6个千兆光插槽，≥2个万兆光插槽，固化双电源，≥2个扩展槽位，防火墙吞吐≥4G，并发连接≥160万；默认包含应用识别功能，≥3年I</w:t>
            </w:r>
            <w:r>
              <w:rPr>
                <w:color w:val="000000"/>
                <w:szCs w:val="21"/>
                <w:lang w:bidi="ar"/>
              </w:rPr>
              <w:t xml:space="preserve">PS</w:t>
            </w:r>
            <w:r>
              <w:rPr>
                <w:rFonts w:hint="eastAsia"/>
                <w:color w:val="000000"/>
                <w:szCs w:val="21"/>
                <w:lang w:bidi="ar"/>
              </w:rPr>
              <w:t xml:space="preserve">、</w:t>
            </w:r>
            <w:r>
              <w:rPr>
                <w:color w:val="000000"/>
                <w:szCs w:val="21"/>
                <w:lang w:bidi="ar"/>
              </w:rPr>
              <w:t xml:space="preserve">AV</w:t>
            </w:r>
            <w:r>
              <w:rPr>
                <w:rFonts w:hint="eastAsia"/>
                <w:color w:val="000000"/>
                <w:szCs w:val="21"/>
                <w:lang w:bidi="ar"/>
              </w:rPr>
              <w:t xml:space="preserve">规则库升级授权。</w:t>
            </w:r>
            <w:r>
              <w:rPr>
                <w:color w:val="000000"/>
                <w:szCs w:val="21"/>
                <w:lang w:bidi="ar"/>
              </w:rPr>
            </w:r>
            <w:r/>
          </w:p>
        </w:tc>
      </w:tr>
      <w:tr>
        <w:trPr/>
        <w:tc>
          <w:tcPr>
            <w:tcW w:w="380" w:type="dxa"/>
            <w:vAlign w:val="top"/>
            <w:vMerge w:val="restart"/>
            <w:textDirection w:val="lrTb"/>
            <w:noWrap w:val="false"/>
          </w:tcPr>
          <w:p>
            <w:pPr>
              <w:pStyle w:val="928"/>
              <w:rPr>
                <w:rFonts w:hint="eastAsia"/>
                <w:color w:val="000000"/>
                <w:szCs w:val="21"/>
                <w:lang w:bidi="ar"/>
              </w:rPr>
            </w:pPr>
            <w:r>
              <w:rPr>
                <w:rFonts w:hint="eastAsia"/>
                <w:color w:val="000000"/>
                <w:szCs w:val="21"/>
                <w:lang w:bidi="ar"/>
              </w:rPr>
              <w:t xml:space="preserve">2</w:t>
            </w:r>
            <w:r>
              <w:rPr>
                <w:rFonts w:hint="eastAsia"/>
                <w:color w:val="000000"/>
                <w:szCs w:val="21"/>
                <w:lang w:bidi="ar"/>
              </w:rPr>
            </w:r>
            <w:r/>
          </w:p>
        </w:tc>
        <w:tc>
          <w:tcPr>
            <w:tcW w:w="793" w:type="dxa"/>
            <w:vAlign w:val="top"/>
            <w:vMerge w:val="restart"/>
            <w:textDirection w:val="lrTb"/>
            <w:noWrap w:val="false"/>
          </w:tcPr>
          <w:p>
            <w:pPr>
              <w:pStyle w:val="928"/>
              <w:rPr>
                <w:color w:val="000000"/>
                <w:szCs w:val="21"/>
                <w:lang w:bidi="ar"/>
              </w:rPr>
            </w:pPr>
            <w:r>
              <w:rPr>
                <w:rFonts w:hint="eastAsia"/>
                <w:color w:val="000000"/>
                <w:szCs w:val="21"/>
                <w:lang w:bidi="ar"/>
              </w:rPr>
              <w:t xml:space="preserve">网络接入</w:t>
            </w: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支持路由、交换、虚拟线、监听、混合工作模式</w:t>
            </w:r>
            <w:r>
              <w:rPr>
                <w:color w:val="000000"/>
                <w:szCs w:val="21"/>
                <w:lang w:bidi="ar"/>
              </w:rPr>
            </w:r>
            <w:r/>
          </w:p>
        </w:tc>
      </w:tr>
      <w:tr>
        <w:trPr/>
        <w:tc>
          <w:tcPr>
            <w:tcW w:w="380" w:type="dxa"/>
            <w:vAlign w:val="top"/>
            <w:vMerge w:val="continue"/>
            <w:textDirection w:val="lrTb"/>
            <w:noWrap w:val="false"/>
          </w:tcPr>
          <w:p>
            <w:pPr>
              <w:pStyle w:val="928"/>
              <w:rPr>
                <w:color w:val="000000"/>
                <w:szCs w:val="21"/>
                <w:lang w:bidi="ar"/>
              </w:rPr>
            </w:pPr>
            <w:r>
              <w:rPr>
                <w:color w:val="000000"/>
                <w:szCs w:val="21"/>
                <w:lang w:bidi="ar"/>
              </w:rPr>
            </w:r>
            <w:r/>
          </w:p>
        </w:tc>
        <w:tc>
          <w:tcPr>
            <w:tcW w:w="793" w:type="dxa"/>
            <w:vAlign w:val="top"/>
            <w:vMerge w:val="continue"/>
            <w:textDirection w:val="lrTb"/>
            <w:noWrap w:val="false"/>
          </w:tcPr>
          <w:p>
            <w:pPr>
              <w:pStyle w:val="928"/>
              <w:rPr>
                <w:color w:val="000000"/>
                <w:szCs w:val="21"/>
                <w:lang w:bidi="ar"/>
              </w:rPr>
            </w:pP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支持手动和LACP链路聚合，可根据源/目的MAC、源/目的IP、源/目的端口、五元组、端口轮询等条件提供不少于10种链路负载算法</w:t>
            </w:r>
            <w:r>
              <w:rPr>
                <w:color w:val="000000"/>
                <w:szCs w:val="21"/>
                <w:lang w:bidi="ar"/>
              </w:rPr>
            </w:r>
            <w:r/>
          </w:p>
        </w:tc>
      </w:tr>
      <w:tr>
        <w:trPr/>
        <w:tc>
          <w:tcPr>
            <w:tcW w:w="380" w:type="dxa"/>
            <w:vAlign w:val="top"/>
            <w:vMerge w:val="restart"/>
            <w:textDirection w:val="lrTb"/>
            <w:noWrap w:val="false"/>
          </w:tcPr>
          <w:p>
            <w:pPr>
              <w:pStyle w:val="928"/>
              <w:rPr>
                <w:rFonts w:hint="eastAsia"/>
                <w:color w:val="000000"/>
                <w:szCs w:val="21"/>
                <w:lang w:bidi="ar"/>
              </w:rPr>
            </w:pPr>
            <w:r>
              <w:rPr>
                <w:rFonts w:hint="eastAsia"/>
                <w:color w:val="000000"/>
                <w:szCs w:val="21"/>
                <w:lang w:bidi="ar"/>
              </w:rPr>
              <w:t xml:space="preserve">3</w:t>
            </w:r>
            <w:r>
              <w:rPr>
                <w:rFonts w:hint="eastAsia"/>
                <w:color w:val="000000"/>
                <w:szCs w:val="21"/>
                <w:lang w:bidi="ar"/>
              </w:rPr>
            </w:r>
            <w:r/>
          </w:p>
        </w:tc>
        <w:tc>
          <w:tcPr>
            <w:tcW w:w="793" w:type="dxa"/>
            <w:vAlign w:val="top"/>
            <w:vMerge w:val="restart"/>
            <w:textDirection w:val="lrTb"/>
            <w:noWrap w:val="false"/>
          </w:tcPr>
          <w:p>
            <w:pPr>
              <w:pStyle w:val="928"/>
              <w:rPr>
                <w:color w:val="000000"/>
                <w:szCs w:val="21"/>
                <w:lang w:bidi="ar"/>
              </w:rPr>
            </w:pPr>
            <w:r>
              <w:rPr>
                <w:rFonts w:hint="eastAsia"/>
                <w:color w:val="000000"/>
                <w:szCs w:val="21"/>
                <w:lang w:bidi="ar"/>
              </w:rPr>
              <w:t xml:space="preserve">访问控制</w:t>
            </w: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一体化安全策略配置，可以通过一条策略实现五元组、源MAC、源地区、目的地区、域名、应用、服务、时间、长连接、并发会话、WEB认证、IPS、AV、URL过滤、高级威胁防护、WAF、邮件安全、数据过滤、文件过滤、僵木蠕防御、审计、防代理、威胁情报等功能配置,简化用户管理</w:t>
            </w:r>
            <w:r>
              <w:rPr>
                <w:color w:val="000000"/>
                <w:szCs w:val="21"/>
                <w:lang w:bidi="ar"/>
              </w:rPr>
            </w:r>
            <w:r/>
          </w:p>
        </w:tc>
      </w:tr>
      <w:tr>
        <w:trPr/>
        <w:tc>
          <w:tcPr>
            <w:tcW w:w="380" w:type="dxa"/>
            <w:vAlign w:val="top"/>
            <w:vMerge w:val="continue"/>
            <w:textDirection w:val="lrTb"/>
            <w:noWrap w:val="false"/>
          </w:tcPr>
          <w:p>
            <w:pPr>
              <w:pStyle w:val="928"/>
              <w:rPr>
                <w:color w:val="000000"/>
                <w:szCs w:val="21"/>
                <w:lang w:bidi="ar"/>
              </w:rPr>
            </w:pPr>
            <w:r>
              <w:rPr>
                <w:color w:val="000000"/>
                <w:szCs w:val="21"/>
                <w:lang w:bidi="ar"/>
              </w:rPr>
            </w:r>
            <w:r/>
          </w:p>
        </w:tc>
        <w:tc>
          <w:tcPr>
            <w:tcW w:w="793" w:type="dxa"/>
            <w:vAlign w:val="top"/>
            <w:vMerge w:val="continue"/>
            <w:textDirection w:val="lrTb"/>
            <w:noWrap w:val="false"/>
          </w:tcPr>
          <w:p>
            <w:pPr>
              <w:pStyle w:val="928"/>
              <w:rPr>
                <w:color w:val="000000"/>
                <w:szCs w:val="21"/>
                <w:lang w:bidi="ar"/>
              </w:rPr>
            </w:pP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进行重复对象分析，可以对已配置的部分资源项（地址、地址组、服务、服务组、时间、时间组）进行重复性检测。(提供证明材料，如白皮书、彩页、手册、官网截图、具有CMA标识的关于“重复对象分析”功能的检测报告等）</w:t>
            </w:r>
            <w:r>
              <w:rPr>
                <w:color w:val="000000"/>
                <w:szCs w:val="21"/>
                <w:lang w:bidi="ar"/>
              </w:rPr>
            </w:r>
            <w:r/>
          </w:p>
        </w:tc>
      </w:tr>
      <w:tr>
        <w:trPr/>
        <w:tc>
          <w:tcPr>
            <w:tcW w:w="380" w:type="dxa"/>
            <w:vAlign w:val="top"/>
            <w:vMerge w:val="continue"/>
            <w:textDirection w:val="lrTb"/>
            <w:noWrap w:val="false"/>
          </w:tcPr>
          <w:p>
            <w:pPr>
              <w:pStyle w:val="928"/>
              <w:rPr>
                <w:color w:val="000000"/>
                <w:szCs w:val="21"/>
                <w:lang w:bidi="ar"/>
              </w:rPr>
            </w:pPr>
            <w:r>
              <w:rPr>
                <w:color w:val="000000"/>
                <w:szCs w:val="21"/>
                <w:lang w:bidi="ar"/>
              </w:rPr>
            </w:r>
            <w:r/>
          </w:p>
        </w:tc>
        <w:tc>
          <w:tcPr>
            <w:tcW w:w="793" w:type="dxa"/>
            <w:vAlign w:val="top"/>
            <w:vMerge w:val="continue"/>
            <w:textDirection w:val="lrTb"/>
            <w:noWrap w:val="false"/>
          </w:tcPr>
          <w:p>
            <w:pPr>
              <w:pStyle w:val="928"/>
              <w:rPr>
                <w:color w:val="000000"/>
                <w:szCs w:val="21"/>
                <w:lang w:bidi="ar"/>
              </w:rPr>
            </w:pP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提供策略变更信息管理功能，支持查看变更策略、变更动作、变更时间、修改人、登陆IP，支持对变更前后的策略进行直观对比，并能一键还原配置</w:t>
            </w:r>
            <w:r>
              <w:rPr>
                <w:color w:val="000000"/>
                <w:szCs w:val="21"/>
                <w:lang w:bidi="ar"/>
              </w:rPr>
            </w:r>
            <w:r/>
          </w:p>
        </w:tc>
      </w:tr>
      <w:tr>
        <w:trPr/>
        <w:tc>
          <w:tcPr>
            <w:tcW w:w="380" w:type="dxa"/>
            <w:vAlign w:val="top"/>
            <w:vMerge w:val="restart"/>
            <w:textDirection w:val="lrTb"/>
            <w:noWrap w:val="false"/>
          </w:tcPr>
          <w:p>
            <w:pPr>
              <w:pStyle w:val="928"/>
              <w:rPr>
                <w:rFonts w:hint="eastAsia"/>
                <w:color w:val="000000"/>
                <w:szCs w:val="21"/>
                <w:lang w:bidi="ar"/>
              </w:rPr>
            </w:pPr>
            <w:r>
              <w:rPr>
                <w:rFonts w:hint="eastAsia"/>
                <w:color w:val="000000"/>
                <w:szCs w:val="21"/>
                <w:lang w:bidi="ar"/>
              </w:rPr>
              <w:t xml:space="preserve">4</w:t>
            </w:r>
            <w:r>
              <w:rPr>
                <w:rFonts w:hint="eastAsia"/>
                <w:color w:val="000000"/>
                <w:szCs w:val="21"/>
                <w:lang w:bidi="ar"/>
              </w:rPr>
            </w:r>
            <w:r/>
          </w:p>
        </w:tc>
        <w:tc>
          <w:tcPr>
            <w:tcW w:w="793" w:type="dxa"/>
            <w:vAlign w:val="top"/>
            <w:vMerge w:val="restart"/>
            <w:textDirection w:val="lrTb"/>
            <w:noWrap w:val="false"/>
          </w:tcPr>
          <w:p>
            <w:pPr>
              <w:pStyle w:val="928"/>
              <w:rPr>
                <w:color w:val="000000"/>
                <w:szCs w:val="21"/>
                <w:lang w:bidi="ar"/>
              </w:rPr>
            </w:pPr>
            <w:r>
              <w:rPr>
                <w:rFonts w:hint="eastAsia"/>
                <w:color w:val="000000"/>
                <w:szCs w:val="21"/>
                <w:lang w:bidi="ar"/>
              </w:rPr>
              <w:t xml:space="preserve">安全防护</w:t>
            </w: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支持针对IP、ICMP、TCP、UDP、DNS、HTTP、HTTPS、SIP、NTP等协议进行DDOS防护。(提供证明材料，如白皮书、彩页、手册、官网截图、具有CMA标识的关于“SIP、NTP、DNS FLOOD攻击防护”功能的检测报告等）</w:t>
            </w:r>
            <w:r>
              <w:rPr>
                <w:color w:val="000000"/>
                <w:szCs w:val="21"/>
                <w:lang w:bidi="ar"/>
              </w:rPr>
            </w:r>
            <w:r/>
          </w:p>
        </w:tc>
      </w:tr>
      <w:tr>
        <w:trPr/>
        <w:tc>
          <w:tcPr>
            <w:tcW w:w="380" w:type="dxa"/>
            <w:vAlign w:val="top"/>
            <w:vMerge w:val="continue"/>
            <w:textDirection w:val="lrTb"/>
            <w:noWrap w:val="false"/>
          </w:tcPr>
          <w:p>
            <w:pPr>
              <w:pStyle w:val="928"/>
              <w:rPr>
                <w:color w:val="000000"/>
                <w:szCs w:val="21"/>
                <w:lang w:bidi="ar"/>
              </w:rPr>
            </w:pPr>
            <w:r>
              <w:rPr>
                <w:color w:val="000000"/>
                <w:szCs w:val="21"/>
                <w:lang w:bidi="ar"/>
              </w:rPr>
            </w:r>
            <w:r/>
          </w:p>
        </w:tc>
        <w:tc>
          <w:tcPr>
            <w:tcW w:w="793" w:type="dxa"/>
            <w:vAlign w:val="top"/>
            <w:vMerge w:val="continue"/>
            <w:textDirection w:val="lrTb"/>
            <w:noWrap w:val="false"/>
          </w:tcPr>
          <w:p>
            <w:pPr>
              <w:pStyle w:val="928"/>
              <w:rPr>
                <w:color w:val="000000"/>
                <w:szCs w:val="21"/>
                <w:lang w:bidi="ar"/>
              </w:rPr>
            </w:pP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内置暴力破解检测引擎，支持检测telnet、ftp、mysql、smb、r</w:t>
            </w:r>
            <w:r>
              <w:rPr>
                <w:color w:val="000000"/>
                <w:szCs w:val="21"/>
                <w:lang w:bidi="ar"/>
              </w:rPr>
              <w:t xml:space="preserve">login</w:t>
            </w:r>
            <w:r>
              <w:rPr>
                <w:rFonts w:hint="eastAsia"/>
                <w:color w:val="000000"/>
                <w:szCs w:val="21"/>
                <w:lang w:bidi="ar"/>
              </w:rPr>
              <w:t xml:space="preserve">、ssh、rdp、</w:t>
            </w:r>
            <w:r>
              <w:rPr>
                <w:color w:val="000000"/>
                <w:szCs w:val="21"/>
                <w:lang w:bidi="ar"/>
              </w:rPr>
              <w:t xml:space="preserve">imap</w:t>
            </w:r>
            <w:r>
              <w:rPr>
                <w:rFonts w:hint="eastAsia"/>
                <w:color w:val="000000"/>
                <w:szCs w:val="21"/>
                <w:lang w:bidi="ar"/>
              </w:rPr>
              <w:t xml:space="preserve">、pop</w:t>
            </w:r>
            <w:r>
              <w:rPr>
                <w:color w:val="000000"/>
                <w:szCs w:val="21"/>
                <w:lang w:bidi="ar"/>
              </w:rPr>
              <w:t xml:space="preserve">3</w:t>
            </w:r>
            <w:r>
              <w:rPr>
                <w:rFonts w:hint="eastAsia"/>
                <w:color w:val="000000"/>
                <w:szCs w:val="21"/>
                <w:lang w:bidi="ar"/>
              </w:rPr>
              <w:t xml:space="preserve">、</w:t>
            </w:r>
            <w:r>
              <w:rPr>
                <w:color w:val="000000"/>
                <w:szCs w:val="21"/>
                <w:lang w:bidi="ar"/>
              </w:rPr>
              <w:t xml:space="preserve">smtp等</w:t>
            </w:r>
            <w:r>
              <w:rPr>
                <w:rFonts w:hint="eastAsia"/>
                <w:color w:val="000000"/>
                <w:szCs w:val="21"/>
                <w:lang w:bidi="ar"/>
              </w:rPr>
              <w:t xml:space="preserve">1</w:t>
            </w:r>
            <w:r>
              <w:rPr>
                <w:color w:val="000000"/>
                <w:szCs w:val="21"/>
                <w:lang w:bidi="ar"/>
              </w:rPr>
              <w:t xml:space="preserve">0种协议</w:t>
            </w:r>
            <w:r>
              <w:rPr>
                <w:rFonts w:hint="eastAsia"/>
                <w:color w:val="000000"/>
                <w:szCs w:val="21"/>
                <w:lang w:bidi="ar"/>
              </w:rPr>
              <w:t xml:space="preserve">，支持将暴力破解源IP添加到动态黑名单</w:t>
            </w:r>
            <w:r>
              <w:rPr>
                <w:color w:val="000000"/>
                <w:szCs w:val="21"/>
                <w:lang w:bidi="ar"/>
              </w:rPr>
            </w:r>
            <w:r/>
          </w:p>
        </w:tc>
      </w:tr>
      <w:tr>
        <w:trPr/>
        <w:tc>
          <w:tcPr>
            <w:tcW w:w="380" w:type="dxa"/>
            <w:vAlign w:val="top"/>
            <w:vMerge w:val="continue"/>
            <w:textDirection w:val="lrTb"/>
            <w:noWrap w:val="false"/>
          </w:tcPr>
          <w:p>
            <w:pPr>
              <w:pStyle w:val="928"/>
              <w:rPr>
                <w:color w:val="000000"/>
                <w:szCs w:val="21"/>
                <w:lang w:bidi="ar"/>
              </w:rPr>
            </w:pPr>
            <w:r>
              <w:rPr>
                <w:color w:val="000000"/>
                <w:szCs w:val="21"/>
                <w:lang w:bidi="ar"/>
              </w:rPr>
            </w:r>
            <w:r/>
          </w:p>
        </w:tc>
        <w:tc>
          <w:tcPr>
            <w:tcW w:w="793" w:type="dxa"/>
            <w:vAlign w:val="top"/>
            <w:vMerge w:val="continue"/>
            <w:textDirection w:val="lrTb"/>
            <w:noWrap w:val="false"/>
          </w:tcPr>
          <w:p>
            <w:pPr>
              <w:pStyle w:val="928"/>
              <w:rPr>
                <w:color w:val="000000"/>
                <w:szCs w:val="21"/>
                <w:lang w:bidi="ar"/>
              </w:rPr>
            </w:pP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▲支持独立的DNS安全模块，可对用户端进行DNS报文检查、DGA检测、DNS反射放大检测，可对服务端进行DNS报文检查、NX防御，</w:t>
            </w:r>
            <w:r>
              <w:rPr>
                <w:color w:val="000000"/>
                <w:szCs w:val="21"/>
                <w:lang w:bidi="ar"/>
              </w:rPr>
              <w:t xml:space="preserve">DNS安全模块能自动生成动态非法地址表</w:t>
            </w:r>
            <w:r>
              <w:rPr>
                <w:rFonts w:hint="eastAsia"/>
                <w:color w:val="000000"/>
                <w:szCs w:val="21"/>
                <w:lang w:bidi="ar"/>
              </w:rPr>
              <w:t xml:space="preserve">和动态非法域名表。(提供证明材料，如白皮书、彩页、手册、官网截图、具有CMA标识的关于</w:t>
            </w:r>
            <w:r>
              <w:rPr>
                <w:color w:val="000000"/>
                <w:szCs w:val="21"/>
                <w:lang w:bidi="ar"/>
              </w:rPr>
              <w:t xml:space="preserve">“DNS安全”的功能</w:t>
            </w:r>
            <w:r>
              <w:rPr>
                <w:rFonts w:hint="eastAsia"/>
                <w:color w:val="000000"/>
                <w:szCs w:val="21"/>
                <w:lang w:bidi="ar"/>
              </w:rPr>
              <w:t xml:space="preserve">的检测报告等）</w:t>
            </w:r>
            <w:r>
              <w:rPr>
                <w:color w:val="000000"/>
                <w:szCs w:val="21"/>
                <w:lang w:bidi="ar"/>
              </w:rPr>
            </w:r>
            <w:r/>
          </w:p>
        </w:tc>
      </w:tr>
      <w:tr>
        <w:trPr/>
        <w:tc>
          <w:tcPr>
            <w:tcW w:w="380" w:type="dxa"/>
            <w:vAlign w:val="top"/>
            <w:textDirection w:val="lrTb"/>
            <w:noWrap w:val="false"/>
          </w:tcPr>
          <w:p>
            <w:pPr>
              <w:pStyle w:val="928"/>
              <w:rPr>
                <w:rFonts w:hint="eastAsia"/>
                <w:color w:val="000000"/>
                <w:szCs w:val="21"/>
                <w:lang w:bidi="ar"/>
              </w:rPr>
            </w:pPr>
            <w:r>
              <w:rPr>
                <w:rFonts w:hint="eastAsia"/>
                <w:color w:val="000000"/>
                <w:szCs w:val="21"/>
                <w:lang w:bidi="ar"/>
              </w:rPr>
              <w:t xml:space="preserve">5</w:t>
            </w:r>
            <w:r>
              <w:rPr>
                <w:rFonts w:hint="eastAsia"/>
                <w:color w:val="000000"/>
                <w:szCs w:val="21"/>
                <w:lang w:bidi="ar"/>
              </w:rPr>
            </w:r>
            <w:r/>
          </w:p>
        </w:tc>
        <w:tc>
          <w:tcPr>
            <w:tcW w:w="793" w:type="dxa"/>
            <w:vAlign w:val="top"/>
            <w:textDirection w:val="lrTb"/>
            <w:noWrap w:val="false"/>
          </w:tcPr>
          <w:p>
            <w:pPr>
              <w:pStyle w:val="928"/>
              <w:rPr>
                <w:color w:val="000000"/>
                <w:szCs w:val="21"/>
                <w:lang w:bidi="ar"/>
              </w:rPr>
            </w:pPr>
            <w:r>
              <w:rPr>
                <w:rFonts w:hint="eastAsia"/>
                <w:color w:val="000000"/>
                <w:szCs w:val="21"/>
                <w:lang w:bidi="ar"/>
              </w:rPr>
              <w:t xml:space="preserve">合规要求</w:t>
            </w:r>
            <w:r>
              <w:rPr>
                <w:color w:val="000000"/>
                <w:szCs w:val="21"/>
                <w:lang w:bidi="ar"/>
              </w:rPr>
            </w:r>
            <w:r/>
          </w:p>
        </w:tc>
        <w:tc>
          <w:tcPr>
            <w:tcW w:w="3827" w:type="dxa"/>
            <w:vAlign w:val="top"/>
            <w:textDirection w:val="lrTb"/>
            <w:noWrap w:val="false"/>
          </w:tcPr>
          <w:p>
            <w:pPr>
              <w:pStyle w:val="928"/>
              <w:rPr>
                <w:color w:val="000000"/>
                <w:szCs w:val="21"/>
                <w:lang w:bidi="ar"/>
              </w:rPr>
            </w:pPr>
            <w:r>
              <w:rPr>
                <w:rFonts w:hint="eastAsia"/>
                <w:color w:val="000000"/>
                <w:szCs w:val="21"/>
                <w:lang w:bidi="ar"/>
              </w:rPr>
              <w:t xml:space="preserve">▲提供产品的《国家信息安全测评自主原创产品测评证书》。</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（8）操作系统</w:t>
      </w:r>
      <w:r>
        <w:rPr>
          <w:rFonts w:hint="eastAsia"/>
          <w:color w:val="000000"/>
          <w:sz w:val="24"/>
          <w:szCs w:val="24"/>
          <w:lang w:bidi="ar"/>
        </w:rPr>
      </w:r>
      <w:r/>
    </w:p>
    <w:tbl>
      <w:tblPr>
        <w:tblW w:w="4916" w:type="pct"/>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53"/>
        <w:gridCol w:w="7497"/>
      </w:tblGrid>
      <w:tr>
        <w:trPr>
          <w:tblHeader/>
        </w:trPr>
        <w:tc>
          <w:tcPr>
            <w:shd w:val="clear" w:color="auto" w:fill="f1f1f1"/>
            <w:tcW w:w="380"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79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3827"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tcW w:w="380"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tcW w:w="793" w:type="dxa"/>
            <w:vAlign w:val="center"/>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tcW w:w="3827" w:type="dxa"/>
            <w:vAlign w:val="center"/>
            <w:textDirection w:val="lrTb"/>
            <w:noWrap w:val="false"/>
          </w:tcPr>
          <w:p>
            <w:pPr>
              <w:pStyle w:val="928"/>
              <w:jc w:val="left"/>
              <w:rPr>
                <w:color w:val="000000"/>
                <w:szCs w:val="21"/>
                <w:lang w:bidi="ar"/>
              </w:rPr>
            </w:pPr>
            <w:r>
              <w:rPr>
                <w:rFonts w:hint="eastAsia"/>
                <w:color w:val="000000"/>
                <w:szCs w:val="21"/>
                <w:lang w:bidi="ar"/>
              </w:rPr>
              <w:t xml:space="preserve">支持国产化操作系统，支持国产自主CPU平台（飞腾、鲲鹏、龙芯、申威、海光、兆芯等国产CPU）。提供图形化管理工具和统一的管理平台，支持构建数据中心、高可用集群和负载均衡集群、虚拟化应用服务、分布式文件系统等。</w:t>
            </w:r>
            <w:r>
              <w:rPr>
                <w:color w:val="000000"/>
                <w:szCs w:val="21"/>
                <w:lang w:bidi="ar"/>
              </w:rPr>
            </w:r>
            <w:r/>
          </w:p>
        </w:tc>
      </w:tr>
    </w:tbl>
    <w:p>
      <w:pPr>
        <w:pStyle w:val="928"/>
        <w:spacing w:line="264" w:lineRule="auto"/>
        <w:rPr>
          <w:rFonts w:hint="eastAsia"/>
          <w:color w:val="000000"/>
          <w:sz w:val="24"/>
          <w:szCs w:val="24"/>
          <w:lang w:bidi="ar"/>
        </w:rPr>
      </w:pPr>
      <w:r>
        <w:rPr>
          <w:rFonts w:hint="eastAsia"/>
          <w:color w:val="000000"/>
          <w:sz w:val="24"/>
          <w:szCs w:val="24"/>
          <w:lang w:bidi="ar"/>
        </w:rPr>
        <w:t xml:space="preserve">（9）集成服务</w:t>
      </w:r>
      <w:r>
        <w:rPr>
          <w:rFonts w:hint="eastAsia"/>
          <w:color w:val="000000"/>
          <w:sz w:val="24"/>
          <w:szCs w:val="24"/>
          <w:lang w:bidi="ar"/>
        </w:rPr>
      </w:r>
      <w:r/>
    </w:p>
    <w:tbl>
      <w:tblPr>
        <w:tblW w:w="4915" w:type="pct"/>
        <w:tblInd w:w="-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553"/>
        <w:gridCol w:w="7488"/>
      </w:tblGrid>
      <w:tr>
        <w:trPr>
          <w:tblHeader/>
        </w:trPr>
        <w:tc>
          <w:tcPr>
            <w:shd w:val="clear" w:color="auto" w:fill="f1f1f1"/>
            <w:tcW w:w="384" w:type="dxa"/>
            <w:vAlign w:val="center"/>
            <w:textDirection w:val="lrTb"/>
            <w:noWrap w:val="false"/>
          </w:tcPr>
          <w:p>
            <w:pPr>
              <w:pStyle w:val="92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f1f1f1"/>
            <w:tcW w:w="79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指标项</w:t>
            </w:r>
            <w:r>
              <w:rPr>
                <w:color w:val="000000"/>
                <w:szCs w:val="21"/>
                <w:lang w:bidi="ar"/>
              </w:rPr>
            </w:r>
            <w:r/>
          </w:p>
        </w:tc>
        <w:tc>
          <w:tcPr>
            <w:shd w:val="clear" w:color="auto" w:fill="f1f1f1"/>
            <w:tcW w:w="3823" w:type="dxa"/>
            <w:vAlign w:val="center"/>
            <w:textDirection w:val="lrTb"/>
            <w:noWrap w:val="false"/>
          </w:tcPr>
          <w:p>
            <w:pPr>
              <w:pStyle w:val="928"/>
              <w:jc w:val="center"/>
              <w:spacing w:line="264" w:lineRule="auto"/>
              <w:rPr>
                <w:color w:val="000000"/>
                <w:szCs w:val="21"/>
                <w:lang w:bidi="ar"/>
              </w:rPr>
            </w:pPr>
            <w:r>
              <w:rPr>
                <w:rFonts w:hint="eastAsia" w:ascii="宋体" w:hAnsi="宋体" w:cs="宋体"/>
                <w:b/>
                <w:color w:val="000000"/>
                <w:sz w:val="24"/>
                <w:szCs w:val="24"/>
              </w:rPr>
              <w:t xml:space="preserve">功能、性能、配置要求不低于以下要求</w:t>
            </w:r>
            <w:r>
              <w:rPr>
                <w:color w:val="000000"/>
                <w:szCs w:val="21"/>
                <w:lang w:bidi="ar"/>
              </w:rPr>
            </w:r>
            <w:r/>
          </w:p>
        </w:tc>
      </w:tr>
      <w:tr>
        <w:trPr/>
        <w:tc>
          <w:tcPr>
            <w:tcW w:w="384" w:type="dxa"/>
            <w:vAlign w:val="center"/>
            <w:textDirection w:val="lrTb"/>
            <w:noWrap w:val="false"/>
          </w:tcPr>
          <w:p>
            <w:pPr>
              <w:pStyle w:val="928"/>
              <w:jc w:val="center"/>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c>
          <w:tcPr>
            <w:tcW w:w="793" w:type="dxa"/>
            <w:vAlign w:val="center"/>
            <w:textDirection w:val="lrTb"/>
            <w:noWrap w:val="false"/>
          </w:tcPr>
          <w:p>
            <w:pPr>
              <w:pStyle w:val="928"/>
              <w:jc w:val="center"/>
              <w:rPr>
                <w:color w:val="000000"/>
                <w:szCs w:val="21"/>
                <w:lang w:bidi="ar"/>
              </w:rPr>
            </w:pPr>
            <w:r>
              <w:rPr>
                <w:rFonts w:hint="eastAsia"/>
                <w:color w:val="000000"/>
                <w:szCs w:val="21"/>
                <w:lang w:bidi="ar"/>
              </w:rPr>
              <w:t xml:space="preserve">基本要求</w:t>
            </w:r>
            <w:r>
              <w:rPr>
                <w:color w:val="000000"/>
                <w:szCs w:val="21"/>
                <w:lang w:bidi="ar"/>
              </w:rPr>
            </w:r>
            <w:r/>
          </w:p>
        </w:tc>
        <w:tc>
          <w:tcPr>
            <w:tcW w:w="3823" w:type="dxa"/>
            <w:vAlign w:val="center"/>
            <w:textDirection w:val="lrTb"/>
            <w:noWrap w:val="false"/>
          </w:tcPr>
          <w:p>
            <w:pPr>
              <w:pStyle w:val="928"/>
              <w:jc w:val="left"/>
              <w:rPr>
                <w:color w:val="000000"/>
                <w:szCs w:val="21"/>
                <w:lang w:bidi="ar"/>
              </w:rPr>
            </w:pPr>
            <w:r>
              <w:rPr>
                <w:rFonts w:hint="eastAsia"/>
                <w:color w:val="000000"/>
                <w:szCs w:val="21"/>
                <w:lang w:bidi="ar"/>
              </w:rPr>
              <w:t xml:space="preserve">负责项目相关设备的安装调试交付。负责提供项目相关设备安装所需的跳线、标签等辅材。</w:t>
            </w:r>
            <w:r>
              <w:rPr>
                <w:color w:val="000000"/>
                <w:szCs w:val="21"/>
                <w:lang w:bidi="ar"/>
              </w:rPr>
            </w:r>
            <w:r/>
          </w:p>
        </w:tc>
      </w:tr>
    </w:tbl>
    <w:p>
      <w:pPr>
        <w:pStyle w:val="928"/>
        <w:ind w:firstLine="480"/>
        <w:spacing w:line="264" w:lineRule="auto"/>
        <w:rPr>
          <w:rFonts w:hint="eastAsia" w:ascii="宋体" w:hAnsi="宋体" w:cs="宋体"/>
          <w:color w:val="000000"/>
          <w:sz w:val="24"/>
          <w:szCs w:val="24"/>
        </w:rPr>
      </w:pPr>
      <w:r>
        <w:rPr>
          <w:rFonts w:hint="eastAsia" w:ascii="宋体" w:hAnsi="宋体"/>
          <w:color w:val="000000"/>
          <w:sz w:val="24"/>
        </w:rPr>
        <w:t xml:space="preserve">★</w:t>
      </w: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r>
        <w:rPr>
          <w:rFonts w:hint="eastAsia" w:ascii="宋体" w:hAnsi="宋体" w:cs="宋体"/>
          <w:color w:val="000000"/>
          <w:sz w:val="24"/>
          <w:szCs w:val="24"/>
        </w:rPr>
      </w:r>
      <w:r/>
    </w:p>
    <w:p>
      <w:pPr>
        <w:pStyle w:val="928"/>
        <w:rPr>
          <w:rFonts w:hint="eastAsia"/>
          <w:color w:val="000000"/>
        </w:rPr>
      </w:pPr>
      <w:r>
        <w:rPr>
          <w:rFonts w:hint="eastAsia"/>
          <w:color w:val="000000"/>
        </w:rPr>
      </w:r>
      <w:r/>
    </w:p>
    <w:p>
      <w:pPr>
        <w:pStyle w:val="928"/>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2.服务要求</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（1）质保期：</w:t>
      </w:r>
      <w:r>
        <w:rPr>
          <w:rFonts w:ascii="宋体" w:hAnsi="宋体" w:cs="宋体"/>
          <w:color w:val="000000"/>
          <w:sz w:val="24"/>
          <w:szCs w:val="24"/>
        </w:rPr>
        <w:t xml:space="preserve">3</w:t>
      </w:r>
      <w:r>
        <w:rPr>
          <w:rFonts w:hint="eastAsia" w:ascii="宋体" w:hAnsi="宋体" w:cs="宋体"/>
          <w:color w:val="000000"/>
          <w:sz w:val="24"/>
          <w:szCs w:val="24"/>
        </w:rPr>
        <w:t xml:space="preserve">年（自验收合格之日起，进入质保期）。</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服务响应：质保期内，本合同项目所有设备部署发生任何非人为故障，由中标供应商负责恢复。故障报修的响应时间为即时，到达现场的时间为2小时，小型故障恢复时间为4个小时，严重故障恢复时间为24小时内，并及时有效的提供解决方案。</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）技术支持：质保期内，对采购人提出的合理服务要求，中标供应商需即时进行电话、邮件及远程网络支持。</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）数据保障：中标供应商需协助采购人编制数据备份/恢复方案，根据业务特性和数据量协助采购人制定针对性的备份/恢复策略。</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3.实施团队要求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需组成专业的项目实施团队。团队人员不得少于5人，组成人员包括项目管理人员和项目实施人员。其中项目经理1人，负责整个项目的管理；技术负责人1人，负责项目技术细节管理；除项目经理和技术负责人外，项目组成员不少于3名。项目组人员需提供人员名单。</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付款条件</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1</w:t>
      </w:r>
      <w:r>
        <w:rPr>
          <w:rFonts w:ascii="宋体" w:hAnsi="宋体" w:cs="宋体"/>
          <w:bCs/>
          <w:color w:val="000000"/>
          <w:sz w:val="24"/>
          <w:szCs w:val="24"/>
        </w:rPr>
        <w:t xml:space="preserve">8</w:t>
      </w:r>
      <w:r>
        <w:rPr>
          <w:rFonts w:hint="eastAsia" w:ascii="宋体" w:hAnsi="宋体" w:cs="宋体"/>
          <w:bCs/>
          <w:color w:val="000000"/>
          <w:sz w:val="24"/>
          <w:szCs w:val="24"/>
        </w:rPr>
        <w:t xml:space="preserve">0天</w:t>
      </w:r>
      <w:r>
        <w:rPr>
          <w:rFonts w:ascii="宋体" w:hAnsi="宋体" w:cs="宋体"/>
          <w:color w:val="000000"/>
          <w:sz w:val="24"/>
          <w:szCs w:val="24"/>
        </w:rPr>
        <w:t xml:space="preserve">内</w:t>
      </w:r>
      <w:r>
        <w:rPr>
          <w:rFonts w:hint="eastAsia" w:ascii="宋体" w:hAnsi="宋体" w:cs="宋体"/>
          <w:color w:val="000000"/>
          <w:sz w:val="24"/>
          <w:szCs w:val="24"/>
        </w:rPr>
        <w:t xml:space="preserve">完成货物交付</w:t>
      </w:r>
      <w:r>
        <w:rPr>
          <w:rFonts w:ascii="宋体" w:hAnsi="宋体" w:cs="宋体"/>
          <w:color w:val="000000"/>
          <w:sz w:val="24"/>
          <w:szCs w:val="24"/>
        </w:rPr>
        <w:t xml:space="preserve">安装调试</w:t>
      </w:r>
      <w:r>
        <w:rPr>
          <w:rFonts w:hint="eastAsia" w:ascii="宋体" w:hAnsi="宋体" w:cs="宋体"/>
          <w:color w:val="000000"/>
          <w:sz w:val="24"/>
          <w:szCs w:val="24"/>
        </w:rPr>
        <w:t xml:space="preserve">，2026年12月31日前完成项目整体交付验收。</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6.</w:t>
      </w:r>
      <w:bookmarkStart w:id="196" w:name="OLE_LINK1"/>
      <w:r>
        <w:rPr>
          <w:rFonts w:hint="eastAsia" w:ascii="宋体" w:hAnsi="宋体" w:cs="宋体"/>
          <w:bCs/>
          <w:color w:val="000000"/>
          <w:sz w:val="24"/>
          <w:szCs w:val="24"/>
        </w:rPr>
        <w:t xml:space="preserve">其他要求</w:t>
      </w:r>
      <w:r>
        <w:rPr>
          <w:rFonts w:hint="eastAsia" w:ascii="宋体" w:hAnsi="宋体" w:cs="宋体"/>
          <w:bCs/>
          <w:color w:val="000000"/>
          <w:sz w:val="24"/>
          <w:szCs w:val="24"/>
        </w:rPr>
      </w:r>
      <w:r/>
    </w:p>
    <w:p>
      <w:pPr>
        <w:pStyle w:val="928"/>
        <w:ind w:firstLine="480"/>
        <w:spacing w:line="264" w:lineRule="auto"/>
        <w:rPr>
          <w:rFonts w:hint="eastAsia" w:ascii="宋体" w:hAnsi="宋体" w:cs="宋体"/>
          <w:color w:val="000000"/>
          <w:sz w:val="24"/>
          <w:szCs w:val="24"/>
        </w:rPr>
      </w:pPr>
      <w:r/>
      <w:bookmarkEnd w:id="196"/>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2.技术、3.服务</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928"/>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lang w:val="zh-CN"/>
        </w:rPr>
      </w:r>
      <w:r/>
    </w:p>
    <w:p>
      <w:pPr>
        <w:pStyle w:val="928"/>
        <w:ind w:firstLine="420"/>
        <w:rPr>
          <w:rFonts w:hint="eastAsia" w:ascii="宋体" w:hAnsi="宋体"/>
          <w:color w:val="000000"/>
          <w:sz w:val="24"/>
          <w:szCs w:val="24"/>
        </w:rPr>
      </w:pPr>
      <w:r>
        <w:rPr>
          <w:rFonts w:hint="eastAsia" w:ascii="宋体" w:hAnsi="宋体"/>
          <w:color w:val="000000"/>
          <w:sz w:val="24"/>
          <w:szCs w:val="24"/>
        </w:rPr>
        <w:t xml:space="preserve">2.如本</w:t>
      </w:r>
      <w:r>
        <w:rPr>
          <w:rFonts w:hint="eastAsia" w:ascii="宋体" w:hAnsi="宋体"/>
          <w:color w:val="000000"/>
          <w:sz w:val="24"/>
          <w:szCs w:val="24"/>
          <w:lang w:val="zh-CN"/>
        </w:rPr>
        <w:t xml:space="preserve">项目或者</w:t>
      </w:r>
      <w:r>
        <w:rPr>
          <w:rFonts w:hint="eastAsia" w:ascii="宋体" w:hAnsi="宋体"/>
          <w:color w:val="000000"/>
          <w:sz w:val="24"/>
          <w:szCs w:val="24"/>
        </w:rPr>
        <w:t xml:space="preserve">其中</w:t>
      </w:r>
      <w:r>
        <w:rPr>
          <w:rFonts w:hint="eastAsia" w:ascii="宋体" w:hAnsi="宋体"/>
          <w:color w:val="000000"/>
          <w:sz w:val="24"/>
          <w:szCs w:val="24"/>
          <w:lang w:val="zh-CN"/>
        </w:rPr>
        <w:t xml:space="preserve">采购包中含有多种产品，供应商为</w:t>
      </w:r>
      <w:r>
        <w:rPr>
          <w:rFonts w:hint="eastAsia" w:ascii="宋体" w:hAnsi="宋体"/>
          <w:color w:val="000000"/>
          <w:sz w:val="24"/>
          <w:szCs w:val="24"/>
        </w:rPr>
        <w:t xml:space="preserve">本</w:t>
      </w:r>
      <w:r>
        <w:rPr>
          <w:rFonts w:hint="eastAsia" w:ascii="宋体" w:hAnsi="宋体"/>
          <w:color w:val="000000"/>
          <w:sz w:val="24"/>
          <w:szCs w:val="24"/>
          <w:lang w:val="zh-CN"/>
        </w:rPr>
        <w:t xml:space="preserve">项目或者</w:t>
      </w:r>
      <w:r>
        <w:rPr>
          <w:rFonts w:hint="eastAsia" w:ascii="宋体" w:hAnsi="宋体"/>
          <w:color w:val="000000"/>
          <w:sz w:val="24"/>
          <w:szCs w:val="24"/>
        </w:rPr>
        <w:t xml:space="preserve">其中</w:t>
      </w:r>
      <w:r>
        <w:rPr>
          <w:rFonts w:hint="eastAsia" w:ascii="宋体" w:hAnsi="宋体"/>
          <w:color w:val="000000"/>
          <w:sz w:val="24"/>
          <w:szCs w:val="24"/>
          <w:lang w:val="zh-CN"/>
        </w:rPr>
        <w:t xml:space="preserve">采购包提供的符合本国产品标准的产品成本之和占该供应商提供的全部产品成本之和的比例达到80%以上时，依法</w:t>
      </w:r>
      <w:r>
        <w:rPr>
          <w:rFonts w:hint="eastAsia" w:ascii="宋体" w:hAnsi="宋体"/>
          <w:color w:val="000000"/>
          <w:sz w:val="24"/>
          <w:szCs w:val="24"/>
        </w:rPr>
        <w:t xml:space="preserve">对该供应商提供的全部产品给予价格评审优惠，即对该供应商提供的全部产品的总报价给予20%的价格扣除，用扣除后的价格参与评审。</w:t>
      </w:r>
      <w:r>
        <w:rPr>
          <w:rFonts w:hint="eastAsia" w:ascii="宋体" w:hAnsi="宋体"/>
          <w:color w:val="000000"/>
          <w:sz w:val="24"/>
          <w:szCs w:val="24"/>
        </w:rPr>
      </w:r>
      <w:r/>
    </w:p>
    <w:p>
      <w:pPr>
        <w:pStyle w:val="928"/>
        <w:ind w:firstLine="420"/>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rPr>
      </w:r>
      <w:r/>
    </w:p>
    <w:p>
      <w:pPr>
        <w:pStyle w:val="928"/>
        <w:ind w:firstLine="420"/>
        <w:rPr>
          <w:rFonts w:hint="eastAsia" w:ascii="宋体" w:hAnsi="宋体"/>
          <w:color w:val="000000"/>
          <w:sz w:val="24"/>
          <w:szCs w:val="24"/>
        </w:rPr>
      </w:pPr>
      <w:r>
        <w:rPr>
          <w:rFonts w:hint="eastAsia" w:ascii="宋体" w:hAnsi="宋体"/>
          <w:color w:val="000000"/>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供应商需在《声明函》中填写比例数值</w:t>
      </w:r>
      <w:r>
        <w:rPr>
          <w:rFonts w:hint="eastAsia" w:ascii="宋体" w:hAnsi="宋体"/>
          <w:color w:val="000000"/>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szCs w:val="24"/>
        </w:rPr>
      </w:r>
      <w:r/>
    </w:p>
    <w:p>
      <w:pPr>
        <w:pStyle w:val="928"/>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5.</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928"/>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928"/>
        <w:ind w:firstLine="480"/>
        <w:spacing w:line="264" w:lineRule="auto"/>
        <w:rPr>
          <w:rFonts w:hint="eastAsia"/>
          <w:color w:val="000000"/>
          <w:sz w:val="24"/>
          <w:szCs w:val="24"/>
        </w:rPr>
      </w:pPr>
      <w:r>
        <w:rPr>
          <w:rFonts w:hint="eastAsia" w:ascii="黑体" w:hAnsi="黑体" w:eastAsia="黑体" w:cs="黑体"/>
          <w:color w:val="000000"/>
          <w:sz w:val="24"/>
          <w:szCs w:val="24"/>
        </w:rPr>
        <w:t xml:space="preserve">四、评标标准</w:t>
      </w:r>
      <w:r>
        <w:rPr>
          <w:rFonts w:hint="eastAsia"/>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center"/>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928"/>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rPr>
                <w:rFonts w:hint="eastAsia" w:ascii="宋体" w:hAnsi="宋体" w:cs="宋体"/>
                <w:color w:val="000000"/>
                <w:szCs w:val="21"/>
              </w:rPr>
            </w:r>
            <w:r/>
          </w:p>
        </w:tc>
      </w:tr>
      <w:tr>
        <w:trPr>
          <w:trHeight w:val="1030"/>
        </w:trPr>
        <w:tc>
          <w:tcPr>
            <w:tcW w:w="519"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rPr>
                <w:rFonts w:hint="eastAsia" w:ascii="宋体" w:hAnsi="宋体" w:cs="宋体"/>
                <w:color w:val="000000"/>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rPr>
                <w:rFonts w:hint="eastAsia" w:ascii="宋体" w:hAnsi="宋体" w:cs="宋体"/>
                <w:color w:val="000000"/>
                <w:szCs w:val="21"/>
              </w:rPr>
            </w:r>
            <w:r/>
          </w:p>
        </w:tc>
        <w:tc>
          <w:tcPr>
            <w:tcW w:w="6330" w:type="dxa"/>
            <w:vAlign w:val="center"/>
            <w:textDirection w:val="lrTb"/>
            <w:noWrap w:val="false"/>
          </w:tcPr>
          <w:p>
            <w:pPr>
              <w:pStyle w:val="928"/>
              <w:jc w:val="left"/>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rPr>
                <w:rFonts w:hint="eastAsia" w:ascii="宋体" w:hAnsi="宋体" w:cs="宋体"/>
                <w:color w:val="000000"/>
                <w:szCs w:val="21"/>
              </w:rPr>
            </w:r>
            <w:r/>
          </w:p>
        </w:tc>
        <w:tc>
          <w:tcPr>
            <w:tcW w:w="6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W w:w="900"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r>
      <w:tr>
        <w:trPr>
          <w:trHeight w:val="460"/>
        </w:trPr>
        <w:tc>
          <w:tcPr>
            <w:gridSpan w:val="5"/>
            <w:tcW w:w="9575" w:type="dxa"/>
            <w:vAlign w:val="top"/>
            <w:textDirection w:val="lrTb"/>
            <w:noWrap w:val="false"/>
          </w:tcPr>
          <w:p>
            <w:pPr>
              <w:pStyle w:val="928"/>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rPr>
                <w:rFonts w:hint="eastAsia" w:ascii="宋体" w:hAnsi="宋体" w:cs="宋体"/>
                <w:color w:val="000000"/>
                <w:szCs w:val="21"/>
              </w:rPr>
            </w:r>
            <w:r/>
          </w:p>
        </w:tc>
      </w:tr>
      <w:tr>
        <w:trPr>
          <w:trHeight w:val="891"/>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2.1</w:t>
            </w:r>
            <w:r>
              <w:rPr>
                <w:rFonts w:hint="eastAsia"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产品技术参数</w:t>
            </w:r>
            <w:r>
              <w:rPr>
                <w:rFonts w:hint="eastAsia" w:ascii="宋体" w:hAnsi="宋体" w:cs="宋体"/>
                <w:color w:val="000000"/>
                <w:spacing w:val="-2"/>
                <w:szCs w:val="21"/>
              </w:rPr>
            </w:r>
            <w:r/>
          </w:p>
        </w:tc>
        <w:tc>
          <w:tcPr>
            <w:tcW w:w="6330" w:type="dxa"/>
            <w:vAlign w:val="center"/>
            <w:textDirection w:val="lrTb"/>
            <w:noWrap w:val="false"/>
          </w:tcPr>
          <w:p>
            <w:pPr>
              <w:pStyle w:val="928"/>
              <w:spacing w:line="264" w:lineRule="auto"/>
              <w:rPr>
                <w:rFonts w:ascii="宋体" w:hAnsi="宋体" w:cs="宋体"/>
                <w:color w:val="000000"/>
                <w:spacing w:val="1"/>
                <w:szCs w:val="21"/>
              </w:rPr>
            </w:pPr>
            <w:r>
              <w:rPr>
                <w:rFonts w:hint="eastAsia" w:ascii="宋体" w:hAnsi="宋体" w:cs="宋体"/>
                <w:color w:val="000000"/>
                <w:szCs w:val="21"/>
              </w:rPr>
              <w:t xml:space="preserve">产品技术参数全部满足招标要求的得满分，打★指标为必须满足项，如有负偏离将作为无效投标，</w:t>
            </w:r>
            <w:r>
              <w:rPr>
                <w:rFonts w:hint="eastAsia" w:ascii="宋体" w:hAnsi="宋体" w:cs="宋体"/>
                <w:color w:val="000000"/>
                <w:szCs w:val="21"/>
              </w:rPr>
              <w:t xml:space="preserve">打▲指标为重要指标（共计10项），有1项负偏离扣0.8分；其余指标（共计60项）有1项负偏离扣0.2分。</w:t>
            </w:r>
            <w:r>
              <w:rPr>
                <w:rFonts w:ascii="宋体" w:hAnsi="宋体" w:cs="宋体"/>
                <w:color w:val="000000"/>
                <w:spacing w:val="1"/>
                <w:szCs w:val="21"/>
              </w:rPr>
            </w:r>
            <w:r/>
          </w:p>
        </w:tc>
        <w:tc>
          <w:tcPr>
            <w:tcW w:w="647" w:type="dxa"/>
            <w:vAlign w:val="center"/>
            <w:textDirection w:val="lrTb"/>
            <w:noWrap w:val="false"/>
          </w:tcPr>
          <w:p>
            <w:pPr>
              <w:pStyle w:val="928"/>
              <w:jc w:val="center"/>
              <w:spacing w:before="68" w:line="264" w:lineRule="auto"/>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2.2</w:t>
            </w:r>
            <w:r>
              <w:rPr>
                <w:rFonts w:hint="eastAsia" w:ascii="宋体" w:hAnsi="宋体" w:cs="宋体"/>
                <w:color w:val="000000"/>
                <w:spacing w:val="-2"/>
                <w:szCs w:val="21"/>
              </w:rPr>
            </w:r>
            <w:r/>
          </w:p>
        </w:tc>
        <w:tc>
          <w:tcPr>
            <w:tcW w:w="1179" w:type="dxa"/>
            <w:vAlign w:val="center"/>
            <w:textDirection w:val="lrTb"/>
            <w:noWrap w:val="false"/>
          </w:tcPr>
          <w:p>
            <w:pPr>
              <w:pStyle w:val="928"/>
              <w:jc w:val="left"/>
              <w:spacing w:line="264" w:lineRule="auto"/>
              <w:rPr>
                <w:rFonts w:hint="eastAsia" w:ascii="宋体" w:hAnsi="宋体" w:cs="宋体"/>
                <w:color w:val="000000"/>
                <w:szCs w:val="21"/>
              </w:rPr>
            </w:pPr>
            <w:r>
              <w:rPr>
                <w:rFonts w:hint="eastAsia" w:ascii="宋体" w:hAnsi="宋体" w:cs="宋体"/>
                <w:color w:val="000000"/>
                <w:szCs w:val="21"/>
              </w:rPr>
              <w:t xml:space="preserve">项目实施方案</w:t>
            </w:r>
            <w:r>
              <w:rPr>
                <w:rFonts w:hint="eastAsia" w:ascii="宋体" w:hAnsi="宋体" w:cs="宋体"/>
                <w:color w:val="000000"/>
                <w:szCs w:val="21"/>
              </w:rPr>
            </w:r>
            <w:r/>
          </w:p>
        </w:tc>
        <w:tc>
          <w:tcPr>
            <w:tcW w:w="6330" w:type="dxa"/>
            <w:vAlign w:val="center"/>
            <w:textDirection w:val="lrTb"/>
            <w:noWrap w:val="false"/>
          </w:tcPr>
          <w:p>
            <w:pPr>
              <w:pStyle w:val="928"/>
              <w:spacing w:line="264" w:lineRule="auto"/>
              <w:rPr>
                <w:rFonts w:hint="eastAsia"/>
                <w:color w:val="000000"/>
              </w:rPr>
            </w:pPr>
            <w:r>
              <w:rPr>
                <w:rFonts w:hint="eastAsia"/>
                <w:color w:val="000000"/>
              </w:rPr>
              <w:t xml:space="preserve">评委根据投标人提供的项目实施方案综合评分，包括：1.实施组织架构；2.进度计划安排；3.质量管理措施。以上每项内容逐条阐述。</w:t>
            </w:r>
            <w:r>
              <w:rPr>
                <w:rFonts w:hint="eastAsia"/>
                <w:color w:val="000000"/>
              </w:rPr>
            </w:r>
            <w:r/>
          </w:p>
          <w:p>
            <w:pPr>
              <w:pStyle w:val="928"/>
              <w:spacing w:line="264" w:lineRule="auto"/>
              <w:rPr>
                <w:rFonts w:hint="eastAsia"/>
                <w:color w:val="000000"/>
              </w:rPr>
            </w:pPr>
            <w:r>
              <w:rPr>
                <w:rFonts w:hint="eastAsia"/>
                <w:color w:val="000000"/>
              </w:rPr>
              <w:t xml:space="preserve">方案内容对项目内容及要求理解透彻，针对性强，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rPr>
            </w:r>
            <w:r/>
          </w:p>
          <w:p>
            <w:pPr>
              <w:pStyle w:val="928"/>
              <w:spacing w:line="264" w:lineRule="auto"/>
              <w:rPr>
                <w:color w:val="000000"/>
              </w:rPr>
            </w:pPr>
            <w:r>
              <w:rPr>
                <w:rFonts w:hint="eastAsia"/>
                <w:color w:val="000000"/>
              </w:rPr>
              <w:t xml:space="preserve">上述每项内容符合的，得2分；每项内容部分符合的，得1分；每项内容不符合或未提供内容的，不得分。</w:t>
            </w:r>
            <w:r>
              <w:rPr>
                <w:color w:val="000000"/>
              </w:rPr>
            </w:r>
            <w:r/>
          </w:p>
        </w:tc>
        <w:tc>
          <w:tcPr>
            <w:tcW w:w="647" w:type="dxa"/>
            <w:vAlign w:val="center"/>
            <w:textDirection w:val="lrTb"/>
            <w:noWrap w:val="false"/>
          </w:tcPr>
          <w:p>
            <w:pPr>
              <w:pStyle w:val="928"/>
              <w:jc w:val="center"/>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2.3</w:t>
            </w:r>
            <w:r>
              <w:rPr>
                <w:rFonts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项目保障方案</w:t>
            </w:r>
            <w:r>
              <w:rPr>
                <w:rFonts w:hint="eastAsia" w:ascii="宋体" w:hAnsi="宋体" w:cs="宋体"/>
                <w:color w:val="000000"/>
                <w:szCs w:val="21"/>
              </w:rPr>
            </w:r>
            <w:r/>
          </w:p>
        </w:tc>
        <w:tc>
          <w:tcPr>
            <w:tcW w:w="6330" w:type="dxa"/>
            <w:vAlign w:val="center"/>
            <w:textDirection w:val="lrTb"/>
            <w:noWrap w:val="false"/>
          </w:tcPr>
          <w:p>
            <w:pPr>
              <w:pStyle w:val="1048"/>
              <w:rPr>
                <w:rFonts w:hint="eastAsia"/>
                <w:color w:val="000000"/>
                <w:sz w:val="21"/>
                <w:szCs w:val="21"/>
                <w:lang w:val="en-US" w:bidi="ar-SA"/>
              </w:rPr>
            </w:pPr>
            <w:r>
              <w:rPr>
                <w:rFonts w:hint="eastAsia"/>
                <w:color w:val="000000"/>
                <w:sz w:val="21"/>
                <w:szCs w:val="21"/>
                <w:lang w:val="en-US" w:bidi="ar-SA"/>
              </w:rPr>
              <w:t xml:space="preserve">评委根据投标人提供的项目保障方案综合评分，包含：1.服务保障措施；2.质量保障措施；3.安全保密措施。以上每项内容逐条阐述。</w:t>
            </w:r>
            <w:r>
              <w:rPr>
                <w:rFonts w:hint="eastAsia"/>
                <w:color w:val="000000"/>
                <w:sz w:val="21"/>
                <w:szCs w:val="21"/>
                <w:lang w:val="en-US" w:bidi="ar-SA"/>
              </w:rPr>
            </w:r>
            <w:r/>
          </w:p>
          <w:p>
            <w:pPr>
              <w:pStyle w:val="928"/>
              <w:spacing w:line="264" w:lineRule="auto"/>
              <w:rPr>
                <w:rFonts w:hint="eastAsia"/>
                <w:color w:val="000000"/>
              </w:rPr>
            </w:pPr>
            <w:r>
              <w:rPr>
                <w:rFonts w:hint="eastAsia"/>
                <w:color w:val="000000"/>
              </w:rPr>
              <w:t xml:space="preserve">方案内容对项目内容及要求理解透彻，针对性强，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rPr>
            </w:r>
            <w:r/>
          </w:p>
          <w:p>
            <w:pPr>
              <w:pStyle w:val="928"/>
              <w:spacing w:line="264" w:lineRule="auto"/>
              <w:rPr>
                <w:rFonts w:hint="eastAsia" w:ascii="宋体" w:hAnsi="宋体" w:cs="宋体"/>
                <w:color w:val="000000"/>
                <w:szCs w:val="21"/>
              </w:rPr>
            </w:pPr>
            <w:r>
              <w:rPr>
                <w:rFonts w:hint="eastAsia"/>
                <w:color w:val="000000"/>
              </w:rPr>
              <w:t xml:space="preserve">上述每项内容符合的，得2分；每项内容部分符合的，得1分；每项内容不符合或未提供内容的，不得分。</w:t>
            </w:r>
            <w:r>
              <w:rPr>
                <w:rFonts w:hint="eastAsia" w:ascii="宋体" w:hAnsi="宋体" w:cs="宋体"/>
                <w:color w:val="000000"/>
                <w:szCs w:val="21"/>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472"/>
        </w:trPr>
        <w:tc>
          <w:tcPr>
            <w:gridSpan w:val="5"/>
            <w:tcW w:w="9575" w:type="dxa"/>
            <w:vAlign w:val="center"/>
            <w:textDirection w:val="lrTb"/>
            <w:noWrap w:val="false"/>
          </w:tcPr>
          <w:p>
            <w:pPr>
              <w:pStyle w:val="928"/>
              <w:spacing w:before="68" w:line="264" w:lineRule="auto"/>
              <w:rPr>
                <w:rFonts w:hint="eastAsia" w:ascii="宋体" w:hAnsi="宋体" w:cs="宋体"/>
                <w:color w:val="000000"/>
                <w:szCs w:val="21"/>
              </w:rPr>
            </w:pPr>
            <w:r>
              <w:rPr>
                <w:rFonts w:hint="eastAsia" w:ascii="宋体" w:hAnsi="宋体" w:cs="宋体"/>
                <w:b/>
                <w:bCs/>
                <w:color w:val="000000"/>
                <w:spacing w:val="-3"/>
                <w:szCs w:val="21"/>
              </w:rPr>
              <w:t xml:space="preserve">3.服务</w:t>
            </w:r>
            <w:r>
              <w:rPr>
                <w:rFonts w:hint="eastAsia" w:ascii="宋体" w:hAnsi="宋体" w:cs="宋体"/>
                <w:color w:val="000000"/>
                <w:szCs w:val="21"/>
              </w:rPr>
            </w:r>
            <w:r/>
          </w:p>
        </w:tc>
      </w:tr>
      <w:tr>
        <w:trPr>
          <w:trHeight w:val="1083"/>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3.1</w:t>
            </w:r>
            <w:r>
              <w:rPr>
                <w:rFonts w:hint="eastAsia"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ascii="宋体" w:hAnsi="宋体" w:cs="宋体"/>
                <w:color w:val="000000"/>
                <w:szCs w:val="21"/>
              </w:rPr>
            </w:pPr>
            <w:r>
              <w:rPr>
                <w:rFonts w:hint="eastAsia" w:ascii="宋体" w:hAnsi="宋体" w:cs="宋体"/>
                <w:color w:val="000000"/>
                <w:szCs w:val="21"/>
              </w:rPr>
              <w:t xml:space="preserve">售后服务方案</w:t>
            </w:r>
            <w:r>
              <w:rPr>
                <w:rFonts w:ascii="宋体" w:hAnsi="宋体" w:cs="宋体"/>
                <w:color w:val="000000"/>
                <w:szCs w:val="21"/>
              </w:rPr>
            </w:r>
            <w:r/>
          </w:p>
        </w:tc>
        <w:tc>
          <w:tcPr>
            <w:tcW w:w="6330" w:type="dxa"/>
            <w:vAlign w:val="center"/>
            <w:textDirection w:val="lrTb"/>
            <w:noWrap w:val="false"/>
          </w:tcPr>
          <w:p>
            <w:pPr>
              <w:pStyle w:val="1048"/>
              <w:rPr>
                <w:rFonts w:hint="eastAsia"/>
                <w:color w:val="000000"/>
                <w:sz w:val="21"/>
                <w:szCs w:val="21"/>
                <w:lang w:val="en-US" w:bidi="ar-SA"/>
              </w:rPr>
            </w:pPr>
            <w:r>
              <w:rPr>
                <w:rFonts w:hint="eastAsia"/>
                <w:color w:val="000000"/>
                <w:sz w:val="21"/>
                <w:szCs w:val="21"/>
                <w:lang w:val="en-US" w:bidi="ar-SA"/>
              </w:rPr>
              <w:t xml:space="preserve">评委根据投标人提供的售后服务方案综合评分，包含：1.售后服务方式；2.服务团队与资源保障；3.应急响应措施。以上每项内容逐条阐述。</w:t>
            </w:r>
            <w:r>
              <w:rPr>
                <w:rFonts w:hint="eastAsia"/>
                <w:color w:val="000000"/>
                <w:sz w:val="21"/>
                <w:szCs w:val="21"/>
                <w:lang w:val="en-US" w:bidi="ar-SA"/>
              </w:rPr>
            </w:r>
            <w:r/>
          </w:p>
          <w:p>
            <w:pPr>
              <w:pStyle w:val="928"/>
              <w:spacing w:line="264" w:lineRule="auto"/>
              <w:rPr>
                <w:rFonts w:hint="eastAsia"/>
                <w:color w:val="000000"/>
              </w:rPr>
            </w:pPr>
            <w:r>
              <w:rPr>
                <w:rFonts w:hint="eastAsia"/>
                <w:color w:val="000000"/>
              </w:rPr>
              <w:t xml:space="preserve">方案完善全面，内容规范科学，实用有效，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rPr>
            </w:r>
            <w:r/>
          </w:p>
          <w:p>
            <w:pPr>
              <w:pStyle w:val="1048"/>
              <w:spacing w:line="264" w:lineRule="auto"/>
              <w:rPr>
                <w:rFonts w:hint="eastAsia"/>
                <w:color w:val="000000"/>
                <w:sz w:val="21"/>
                <w:szCs w:val="21"/>
                <w:lang w:bidi="ar-SA"/>
              </w:rPr>
            </w:pPr>
            <w:r>
              <w:rPr>
                <w:rFonts w:hint="eastAsia" w:ascii="Times New Roman" w:hAnsi="Times New Roman" w:cs="Times New Roman"/>
                <w:color w:val="000000"/>
                <w:sz w:val="21"/>
                <w:lang w:val="en-US" w:bidi="ar-SA"/>
              </w:rPr>
              <w:t xml:space="preserve">上述每项内容符合的，得2分；每项内容部分符合的，得1分；每项内容不符合或未提供内容的，不得分。</w:t>
            </w:r>
            <w:r>
              <w:rPr>
                <w:rFonts w:hint="eastAsia"/>
                <w:color w:val="000000"/>
                <w:sz w:val="21"/>
                <w:szCs w:val="21"/>
                <w:lang w:bidi="ar-SA"/>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238"/>
        </w:trPr>
        <w:tc>
          <w:tcPr>
            <w:tcW w:w="519" w:type="dxa"/>
            <w:vAlign w:val="center"/>
            <w:textDirection w:val="lrTb"/>
            <w:noWrap w:val="false"/>
          </w:tcPr>
          <w:p>
            <w:pPr>
              <w:pStyle w:val="928"/>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3.2</w:t>
            </w:r>
            <w:r>
              <w:rPr>
                <w:rFonts w:ascii="宋体" w:hAnsi="宋体" w:cs="宋体"/>
                <w:color w:val="000000"/>
                <w:spacing w:val="-2"/>
                <w:szCs w:val="21"/>
              </w:rPr>
            </w:r>
            <w:r/>
          </w:p>
        </w:tc>
        <w:tc>
          <w:tcPr>
            <w:tcW w:w="1179" w:type="dxa"/>
            <w:vAlign w:val="center"/>
            <w:textDirection w:val="lrTb"/>
            <w:noWrap w:val="false"/>
          </w:tcPr>
          <w:p>
            <w:pPr>
              <w:pStyle w:val="928"/>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培训方案</w:t>
            </w:r>
            <w:r>
              <w:rPr>
                <w:rFonts w:hint="eastAsia" w:ascii="宋体" w:hAnsi="宋体" w:cs="宋体"/>
                <w:color w:val="000000"/>
                <w:szCs w:val="21"/>
              </w:rPr>
            </w:r>
            <w:r/>
          </w:p>
        </w:tc>
        <w:tc>
          <w:tcPr>
            <w:tcW w:w="6330" w:type="dxa"/>
            <w:vAlign w:val="center"/>
            <w:textDirection w:val="lrTb"/>
            <w:noWrap w:val="false"/>
          </w:tcPr>
          <w:p>
            <w:pPr>
              <w:pStyle w:val="1048"/>
              <w:rPr>
                <w:rFonts w:hint="eastAsia"/>
                <w:color w:val="000000"/>
                <w:sz w:val="21"/>
                <w:szCs w:val="21"/>
                <w:lang w:val="en-US" w:bidi="ar-SA"/>
              </w:rPr>
            </w:pPr>
            <w:r>
              <w:rPr>
                <w:rFonts w:hint="eastAsia"/>
                <w:color w:val="000000"/>
                <w:sz w:val="21"/>
                <w:szCs w:val="21"/>
                <w:lang w:val="en-US" w:bidi="ar-SA"/>
              </w:rPr>
              <w:t xml:space="preserve">评委根据投标人提供的售后服务方案综合评分，包含：1.培训计划；2.培训方式和内容；3.培训师资力量。以上每项内容逐条阐述。</w:t>
            </w:r>
            <w:r>
              <w:rPr>
                <w:rFonts w:hint="eastAsia"/>
                <w:color w:val="000000"/>
                <w:sz w:val="21"/>
                <w:szCs w:val="21"/>
                <w:lang w:val="en-US" w:bidi="ar-SA"/>
              </w:rPr>
            </w:r>
            <w:r/>
          </w:p>
          <w:p>
            <w:pPr>
              <w:pStyle w:val="928"/>
              <w:spacing w:line="264" w:lineRule="auto"/>
              <w:rPr>
                <w:rFonts w:hint="eastAsia"/>
                <w:color w:val="000000"/>
              </w:rPr>
            </w:pPr>
            <w:r>
              <w:rPr>
                <w:rFonts w:hint="eastAsia"/>
                <w:color w:val="000000"/>
              </w:rPr>
              <w:t xml:space="preserve">方案完善全面，培训安排实用有效，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rPr>
            </w:r>
            <w:r/>
          </w:p>
          <w:p>
            <w:pPr>
              <w:pStyle w:val="1048"/>
              <w:spacing w:line="264" w:lineRule="auto"/>
              <w:rPr>
                <w:rFonts w:hint="eastAsia"/>
                <w:color w:val="000000"/>
                <w:sz w:val="21"/>
                <w:szCs w:val="21"/>
                <w:lang w:val="en-US" w:bidi="ar-SA"/>
              </w:rPr>
            </w:pPr>
            <w:r>
              <w:rPr>
                <w:rFonts w:hint="eastAsia" w:ascii="Times New Roman" w:hAnsi="Times New Roman" w:cs="Times New Roman"/>
                <w:color w:val="000000"/>
                <w:sz w:val="21"/>
                <w:lang w:val="en-US" w:bidi="ar-SA"/>
              </w:rPr>
              <w:t xml:space="preserve">上述每项内容符合的，得2分；每项内容部分符合的，得1分；每项内容不符合或未提供内容的，不得分。</w:t>
            </w:r>
            <w:r>
              <w:rPr>
                <w:rFonts w:hint="eastAsia"/>
                <w:color w:val="000000"/>
                <w:sz w:val="21"/>
                <w:szCs w:val="21"/>
                <w:lang w:val="en-US" w:bidi="ar-SA"/>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rPr>
                <w:rFonts w:hint="eastAsia" w:ascii="宋体" w:hAnsi="宋体" w:cs="宋体"/>
                <w:color w:val="000000"/>
                <w:spacing w:val="-6"/>
                <w:szCs w:val="21"/>
              </w:rPr>
            </w:r>
            <w:r/>
          </w:p>
        </w:tc>
      </w:tr>
      <w:tr>
        <w:trPr>
          <w:trHeight w:val="455"/>
        </w:trPr>
        <w:tc>
          <w:tcPr>
            <w:gridSpan w:val="5"/>
            <w:tcW w:w="9575"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b/>
                <w:bCs/>
                <w:color w:val="000000"/>
                <w:spacing w:val="-3"/>
                <w:szCs w:val="21"/>
              </w:rPr>
              <w:t xml:space="preserve">4.业绩</w:t>
            </w:r>
            <w:r>
              <w:rPr>
                <w:rFonts w:hint="eastAsia" w:ascii="宋体" w:hAnsi="宋体" w:cs="宋体"/>
                <w:color w:val="000000"/>
                <w:szCs w:val="21"/>
              </w:rPr>
            </w:r>
            <w:r/>
          </w:p>
        </w:tc>
      </w:tr>
      <w:tr>
        <w:trPr>
          <w:trHeight w:val="10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rPr>
                <w:rFonts w:hint="eastAsia" w:ascii="宋体" w:hAnsi="宋体" w:cs="宋体"/>
                <w:color w:val="000000"/>
                <w:spacing w:val="-2"/>
                <w:szCs w:val="21"/>
              </w:rPr>
            </w:r>
            <w:r/>
          </w:p>
        </w:tc>
        <w:tc>
          <w:tcPr>
            <w:tcW w:w="1179" w:type="dxa"/>
            <w:vAlign w:val="center"/>
            <w:textDirection w:val="lrTb"/>
            <w:noWrap w:val="false"/>
          </w:tcPr>
          <w:p>
            <w:pPr>
              <w:pStyle w:val="928"/>
              <w:spacing w:before="69" w:line="264" w:lineRule="auto"/>
              <w:rPr>
                <w:rFonts w:hint="eastAsia"/>
                <w:color w:val="000000"/>
                <w:szCs w:val="21"/>
              </w:rPr>
            </w:pPr>
            <w:r>
              <w:rPr>
                <w:rFonts w:hint="eastAsia" w:ascii="宋体" w:hAnsi="宋体" w:cs="宋体"/>
                <w:color w:val="000000"/>
                <w:spacing w:val="-1"/>
                <w:szCs w:val="21"/>
              </w:rPr>
              <w:t xml:space="preserve">投标人业绩</w:t>
            </w:r>
            <w:r>
              <w:rPr>
                <w:rFonts w:hint="eastAsia"/>
                <w:color w:val="000000"/>
                <w:szCs w:val="21"/>
              </w:rPr>
            </w:r>
            <w:r/>
          </w:p>
        </w:tc>
        <w:tc>
          <w:tcPr>
            <w:tcW w:w="6330" w:type="dxa"/>
            <w:vAlign w:val="center"/>
            <w:textDirection w:val="lrTb"/>
            <w:noWrap w:val="false"/>
          </w:tcPr>
          <w:p>
            <w:pPr>
              <w:pStyle w:val="928"/>
              <w:spacing w:line="264" w:lineRule="auto"/>
              <w:rPr>
                <w:rFonts w:ascii="宋体" w:hAnsi="宋体" w:cs="宋体"/>
                <w:color w:val="000000"/>
                <w:szCs w:val="21"/>
                <w:lang w:bidi="zh-CN"/>
              </w:rPr>
            </w:pPr>
            <w:r>
              <w:rPr>
                <w:rFonts w:hint="eastAsia" w:ascii="宋体" w:hAnsi="宋体" w:cs="宋体"/>
                <w:color w:val="000000"/>
                <w:szCs w:val="21"/>
              </w:rPr>
              <w:t xml:space="preserve">投标人提供2022年以来类似项目业绩（至少包含服务器），每提供1个得1分，最多得3分。（时间以合同签订时间为准，提供有效合同，合同需体现双方盖章、签订时间、关键页等相应内容）</w:t>
            </w:r>
            <w:r>
              <w:rPr>
                <w:rFonts w:ascii="宋体" w:hAnsi="宋体" w:cs="宋体"/>
                <w:color w:val="000000"/>
                <w:szCs w:val="21"/>
                <w:lang w:bidi="zh-CN"/>
              </w:rPr>
            </w:r>
            <w:r/>
          </w:p>
        </w:tc>
        <w:tc>
          <w:tcPr>
            <w:tcW w:w="6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269"/>
        </w:trPr>
        <w:tc>
          <w:tcPr>
            <w:gridSpan w:val="5"/>
            <w:tcW w:w="9575" w:type="dxa"/>
            <w:vAlign w:val="top"/>
            <w:textDirection w:val="lrTb"/>
            <w:noWrap w:val="false"/>
          </w:tcPr>
          <w:p>
            <w:pPr>
              <w:pStyle w:val="928"/>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5.履约能力</w:t>
            </w:r>
            <w:r>
              <w:rPr>
                <w:rFonts w:hint="eastAsia" w:ascii="宋体" w:hAnsi="宋体" w:cs="宋体"/>
                <w:color w:val="000000"/>
                <w:szCs w:val="21"/>
              </w:rPr>
            </w:r>
            <w:r/>
          </w:p>
        </w:tc>
      </w:tr>
      <w:tr>
        <w:trPr>
          <w:trHeight w:val="387"/>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rPr>
                <w:rFonts w:hint="eastAsia" w:ascii="宋体" w:hAnsi="宋体" w:cs="宋体"/>
                <w:color w:val="000000"/>
                <w:spacing w:val="-2"/>
                <w:szCs w:val="21"/>
              </w:rPr>
            </w:r>
            <w:r/>
          </w:p>
        </w:tc>
        <w:tc>
          <w:tcPr>
            <w:tcW w:w="1179" w:type="dxa"/>
            <w:vAlign w:val="center"/>
            <w:textDirection w:val="lrTb"/>
            <w:noWrap w:val="false"/>
          </w:tcPr>
          <w:p>
            <w:pPr>
              <w:pStyle w:val="928"/>
              <w:jc w:val="left"/>
              <w:spacing w:line="264" w:lineRule="auto"/>
              <w:rPr>
                <w:rFonts w:hint="eastAsia" w:ascii="宋体" w:hAnsi="宋体" w:cs="宋体"/>
                <w:color w:val="000000"/>
                <w:szCs w:val="21"/>
              </w:rPr>
            </w:pPr>
            <w:r>
              <w:rPr>
                <w:rFonts w:hint="eastAsia" w:ascii="宋体" w:hAnsi="宋体" w:cs="宋体"/>
                <w:color w:val="000000"/>
                <w:szCs w:val="21"/>
              </w:rPr>
              <w:t xml:space="preserve">数据安全保障</w:t>
            </w:r>
            <w:r>
              <w:rPr>
                <w:rFonts w:hint="eastAsia" w:ascii="宋体" w:hAnsi="宋体" w:cs="宋体"/>
                <w:color w:val="000000"/>
                <w:szCs w:val="21"/>
              </w:rPr>
            </w:r>
            <w:r/>
          </w:p>
        </w:tc>
        <w:tc>
          <w:tcPr>
            <w:tcW w:w="6330"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为保证项目服务实施过程的安全性，避免在交付、更新/升级、数据迁移过程中存在未知的</w:t>
            </w:r>
            <w:r>
              <w:rPr>
                <w:rFonts w:hint="eastAsia" w:ascii="宋体" w:hAnsi="宋体" w:eastAsia="宋体" w:cs="宋体"/>
                <w:color w:val="000000"/>
                <w:szCs w:val="21"/>
              </w:rPr>
              <w:t xml:space="preserve">数据安全风险，防止恢复过程中数据泄露，供应商需提供合规机构的数据恢复服务，投标人承诺签订合同时提供</w:t>
            </w:r>
            <w:r>
              <w:rPr>
                <w:rFonts w:hint="eastAsia" w:ascii="宋体" w:hAnsi="宋体" w:eastAsia="宋体" w:cs="宋体"/>
                <w:color w:val="000000"/>
                <w:szCs w:val="21"/>
                <w:highlight w:val="none"/>
              </w:rPr>
              <w:t xml:space="preserve">国家级合规数据恢复机构</w:t>
            </w:r>
            <w:r>
              <w:rPr>
                <w:rFonts w:hint="eastAsia" w:ascii="宋体" w:hAnsi="宋体" w:eastAsia="宋体" w:cs="宋体"/>
                <w:color w:val="000000"/>
                <w:szCs w:val="21"/>
              </w:rPr>
              <w:t xml:space="preserve">出具的针对本次项目的数据恢复服</w:t>
            </w:r>
            <w:r>
              <w:rPr>
                <w:rFonts w:hint="eastAsia" w:ascii="宋体" w:hAnsi="宋体" w:cs="宋体"/>
                <w:color w:val="000000"/>
                <w:szCs w:val="21"/>
              </w:rPr>
              <w:t xml:space="preserve">务承诺函的得5分，未提供的不得分。（提供承诺函，格式自拟）</w:t>
            </w:r>
            <w:r>
              <w:rPr>
                <w:rFonts w:hint="eastAsia" w:ascii="宋体" w:hAnsi="宋体" w:cs="宋体"/>
                <w:color w:val="000000"/>
                <w:szCs w:val="21"/>
              </w:rPr>
            </w:r>
            <w:r/>
          </w:p>
        </w:tc>
        <w:tc>
          <w:tcPr>
            <w:tcW w:w="647" w:type="dxa"/>
            <w:vAlign w:val="center"/>
            <w:textDirection w:val="lrTb"/>
            <w:noWrap w:val="false"/>
          </w:tcPr>
          <w:p>
            <w:pPr>
              <w:pStyle w:val="928"/>
              <w:jc w:val="center"/>
              <w:spacing w:before="68" w:line="264"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383"/>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5.2</w:t>
            </w:r>
            <w:r>
              <w:rPr>
                <w:rFonts w:hint="eastAsia" w:ascii="宋体" w:hAnsi="宋体" w:cs="宋体"/>
                <w:color w:val="000000"/>
                <w:spacing w:val="-2"/>
                <w:szCs w:val="21"/>
              </w:rPr>
            </w:r>
            <w:r/>
          </w:p>
        </w:tc>
        <w:tc>
          <w:tcPr>
            <w:tcW w:w="1179"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项目经理</w:t>
            </w:r>
            <w:r>
              <w:rPr>
                <w:rFonts w:hint="eastAsia" w:ascii="宋体" w:hAnsi="宋体" w:cs="宋体"/>
                <w:color w:val="000000"/>
                <w:szCs w:val="21"/>
              </w:rPr>
            </w:r>
            <w:r/>
          </w:p>
        </w:tc>
        <w:tc>
          <w:tcPr>
            <w:tcW w:w="6330" w:type="dxa"/>
            <w:vAlign w:val="center"/>
            <w:textDirection w:val="lrTb"/>
            <w:noWrap w:val="false"/>
          </w:tcPr>
          <w:p>
            <w:pPr>
              <w:pStyle w:val="928"/>
              <w:spacing w:line="264" w:lineRule="auto"/>
              <w:rPr>
                <w:rFonts w:ascii="宋体" w:hAnsi="宋体" w:cs="宋体"/>
                <w:color w:val="000000"/>
                <w:szCs w:val="21"/>
              </w:rPr>
            </w:pPr>
            <w:r>
              <w:rPr>
                <w:rFonts w:hint="eastAsia" w:ascii="宋体" w:hAnsi="宋体" w:cs="宋体"/>
                <w:color w:val="000000"/>
                <w:szCs w:val="21"/>
              </w:rPr>
              <w:t xml:space="preserve">投标人拟投入本项目的项目经理具有系统集成项目管理工程师证书、网络安全能力认证（CCSC）证书，每提供一项得3分，最多得6分。提供项目经理的有效证书（证书应能反映相关信息）以及由投标人为其缴纳2025年10月以来任意一个月的社保证明材料，否则不得分。</w:t>
            </w:r>
            <w:r>
              <w:rPr>
                <w:rFonts w:ascii="宋体" w:hAnsi="宋体" w:cs="宋体"/>
                <w:color w:val="000000"/>
                <w:szCs w:val="21"/>
              </w:rPr>
            </w:r>
            <w:r/>
          </w:p>
        </w:tc>
        <w:tc>
          <w:tcPr>
            <w:tcW w:w="647" w:type="dxa"/>
            <w:vAlign w:val="center"/>
            <w:textDirection w:val="lrTb"/>
            <w:noWrap w:val="false"/>
          </w:tcPr>
          <w:p>
            <w:pPr>
              <w:pStyle w:val="928"/>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383"/>
        </w:trPr>
        <w:tc>
          <w:tcPr>
            <w:tcW w:w="519" w:type="dxa"/>
            <w:vAlign w:val="center"/>
            <w:textDirection w:val="lrTb"/>
            <w:noWrap w:val="false"/>
          </w:tcPr>
          <w:p>
            <w:pPr>
              <w:pStyle w:val="928"/>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5.3</w:t>
            </w:r>
            <w:r>
              <w:rPr>
                <w:rFonts w:ascii="宋体" w:hAnsi="宋体" w:cs="宋体"/>
                <w:color w:val="000000"/>
                <w:spacing w:val="-2"/>
                <w:szCs w:val="21"/>
              </w:rPr>
            </w:r>
            <w:r/>
          </w:p>
        </w:tc>
        <w:tc>
          <w:tcPr>
            <w:tcW w:w="1179"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技术负责人</w:t>
            </w:r>
            <w:r>
              <w:rPr>
                <w:rFonts w:hint="eastAsia" w:ascii="宋体" w:hAnsi="宋体" w:cs="宋体"/>
                <w:color w:val="000000"/>
                <w:szCs w:val="21"/>
              </w:rPr>
            </w:r>
            <w:r/>
          </w:p>
        </w:tc>
        <w:tc>
          <w:tcPr>
            <w:tcW w:w="6330"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投标人拟投入本项目技术负责人具有信息系统项目管理师证书、CISAW信息安全保障人员证书的，每提供一项得3分，最多得6分。提供技术负责人的有效证书（证书应能反映相关信息）以及由投标人为其缴纳2025年10月以来任意一个月的社保证明材料，否则不得分。</w:t>
            </w:r>
            <w:r>
              <w:rPr>
                <w:rFonts w:hint="eastAsia" w:ascii="宋体" w:hAnsi="宋体" w:cs="宋体"/>
                <w:color w:val="000000"/>
                <w:szCs w:val="21"/>
              </w:rPr>
            </w:r>
            <w:r/>
          </w:p>
        </w:tc>
        <w:tc>
          <w:tcPr>
            <w:tcW w:w="647" w:type="dxa"/>
            <w:vAlign w:val="center"/>
            <w:textDirection w:val="lrTb"/>
            <w:noWrap w:val="false"/>
          </w:tcPr>
          <w:p>
            <w:pPr>
              <w:pStyle w:val="928"/>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pacing w:val="-6"/>
                <w:szCs w:val="21"/>
              </w:rPr>
            </w:r>
            <w:r/>
          </w:p>
        </w:tc>
      </w:tr>
      <w:tr>
        <w:trPr>
          <w:trHeight w:val="383"/>
        </w:trPr>
        <w:tc>
          <w:tcPr>
            <w:tcW w:w="519" w:type="dxa"/>
            <w:vAlign w:val="center"/>
            <w:textDirection w:val="lrTb"/>
            <w:noWrap w:val="false"/>
          </w:tcPr>
          <w:p>
            <w:pPr>
              <w:pStyle w:val="928"/>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5.4</w:t>
            </w:r>
            <w:r>
              <w:rPr>
                <w:rFonts w:ascii="宋体" w:hAnsi="宋体" w:cs="宋体"/>
                <w:color w:val="000000"/>
                <w:spacing w:val="-2"/>
                <w:szCs w:val="21"/>
              </w:rPr>
            </w:r>
            <w:r/>
          </w:p>
        </w:tc>
        <w:tc>
          <w:tcPr>
            <w:tcW w:w="1179"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项目组成员</w:t>
            </w:r>
            <w:r>
              <w:rPr>
                <w:rFonts w:hint="eastAsia" w:ascii="宋体" w:hAnsi="宋体" w:cs="宋体"/>
                <w:color w:val="000000"/>
                <w:szCs w:val="21"/>
              </w:rPr>
            </w:r>
            <w:r/>
          </w:p>
        </w:tc>
        <w:tc>
          <w:tcPr>
            <w:tcW w:w="6330"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投标人拟投入本项目的项目团队成员(项目经理和技术负责人除外)满足以下要求的（一人同时具有多证不重复得分）：</w:t>
            </w:r>
            <w:r>
              <w:rPr>
                <w:rFonts w:hint="eastAsia" w:ascii="宋体" w:hAnsi="宋体" w:cs="宋体"/>
                <w:color w:val="000000"/>
                <w:szCs w:val="21"/>
              </w:rPr>
            </w:r>
            <w:r/>
          </w:p>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具有网络工程师、注册信息安全专业人员（CISP）证书。每有一类证书得1分，最高得2分。</w:t>
            </w:r>
            <w:r>
              <w:rPr>
                <w:rFonts w:hint="eastAsia" w:ascii="宋体" w:hAnsi="宋体" w:cs="宋体"/>
                <w:color w:val="000000"/>
                <w:szCs w:val="21"/>
              </w:rPr>
            </w:r>
            <w:r/>
          </w:p>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提供项目组成员的有效证书（证书应能反映相关信息）以及由投标人为其缴纳2025年10月以来任意一个月的社保证明材料，否则不得分。</w:t>
            </w:r>
            <w:r>
              <w:rPr>
                <w:rFonts w:hint="eastAsia" w:ascii="宋体" w:hAnsi="宋体" w:cs="宋体"/>
                <w:color w:val="000000"/>
                <w:szCs w:val="21"/>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pacing w:val="-6"/>
                <w:szCs w:val="21"/>
              </w:rPr>
            </w:r>
            <w:r/>
          </w:p>
        </w:tc>
      </w:tr>
      <w:tr>
        <w:trPr>
          <w:trHeight w:val="374"/>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5.5</w:t>
            </w:r>
            <w:r>
              <w:rPr>
                <w:rFonts w:hint="eastAsia" w:ascii="宋体" w:hAnsi="宋体" w:cs="宋体"/>
                <w:color w:val="000000"/>
                <w:spacing w:val="-2"/>
                <w:szCs w:val="21"/>
              </w:rPr>
            </w:r>
            <w:r/>
          </w:p>
        </w:tc>
        <w:tc>
          <w:tcPr>
            <w:tcW w:w="117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本地化服务</w:t>
            </w:r>
            <w:r>
              <w:rPr>
                <w:rFonts w:hint="eastAsia" w:ascii="宋体" w:hAnsi="宋体" w:cs="宋体"/>
                <w:color w:val="000000"/>
                <w:spacing w:val="-2"/>
                <w:szCs w:val="21"/>
              </w:rPr>
            </w:r>
            <w:r/>
          </w:p>
        </w:tc>
        <w:tc>
          <w:tcPr>
            <w:tcW w:w="6330"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投标人具有本地化服务能力的，得 2分。</w:t>
            </w:r>
            <w:r>
              <w:rPr>
                <w:rFonts w:hint="eastAsia" w:ascii="宋体" w:hAnsi="宋体" w:cs="宋体"/>
                <w:color w:val="000000"/>
                <w:szCs w:val="21"/>
              </w:rPr>
            </w:r>
            <w:r/>
          </w:p>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（注：需提供承诺书或其他有效证明材料，承诺书格式自拟，未提供或未按要求提供不得分。）</w:t>
            </w:r>
            <w:r>
              <w:rPr>
                <w:rFonts w:hint="eastAsia" w:ascii="宋体" w:hAnsi="宋体" w:cs="宋体"/>
                <w:color w:val="000000"/>
                <w:szCs w:val="21"/>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pacing w:val="-6"/>
                <w:szCs w:val="21"/>
              </w:rPr>
            </w:r>
            <w:r/>
          </w:p>
        </w:tc>
      </w:tr>
      <w:tr>
        <w:trPr>
          <w:trHeight w:val="431"/>
        </w:trPr>
        <w:tc>
          <w:tcPr>
            <w:gridSpan w:val="5"/>
            <w:tcW w:w="9575" w:type="dxa"/>
            <w:vAlign w:val="center"/>
            <w:textDirection w:val="lrTb"/>
            <w:noWrap w:val="false"/>
          </w:tcPr>
          <w:p>
            <w:pPr>
              <w:pStyle w:val="928"/>
              <w:spacing w:before="68" w:line="264" w:lineRule="auto"/>
              <w:rPr>
                <w:rFonts w:hint="eastAsia" w:ascii="宋体" w:hAnsi="宋体" w:cs="宋体"/>
                <w:color w:val="000000"/>
                <w:spacing w:val="-6"/>
                <w:szCs w:val="21"/>
              </w:rPr>
            </w:pPr>
            <w:r>
              <w:rPr>
                <w:rFonts w:hint="eastAsia" w:ascii="宋体" w:hAnsi="宋体" w:cs="宋体"/>
                <w:b/>
                <w:bCs/>
                <w:color w:val="000000"/>
                <w:spacing w:val="-3"/>
                <w:szCs w:val="21"/>
              </w:rPr>
              <w:t xml:space="preserve">6.环境标志产品</w:t>
            </w:r>
            <w:r>
              <w:rPr>
                <w:rFonts w:hint="eastAsia" w:ascii="宋体" w:hAnsi="宋体" w:cs="宋体"/>
                <w:color w:val="000000"/>
                <w:spacing w:val="-6"/>
                <w:szCs w:val="21"/>
              </w:rPr>
            </w:r>
            <w:r/>
          </w:p>
        </w:tc>
      </w:tr>
      <w:tr>
        <w:trPr>
          <w:trHeight w:val="676"/>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6.1</w:t>
            </w:r>
            <w:r>
              <w:rPr>
                <w:rFonts w:hint="eastAsia" w:ascii="宋体" w:hAnsi="宋体" w:cs="宋体"/>
                <w:color w:val="000000"/>
                <w:spacing w:val="-2"/>
                <w:szCs w:val="21"/>
              </w:rPr>
            </w:r>
            <w:r/>
          </w:p>
        </w:tc>
        <w:tc>
          <w:tcPr>
            <w:tcW w:w="1179" w:type="dxa"/>
            <w:vAlign w:val="center"/>
            <w:textDirection w:val="lrTb"/>
            <w:noWrap w:val="false"/>
          </w:tcPr>
          <w:p>
            <w:pPr>
              <w:pStyle w:val="928"/>
              <w:spacing w:before="69" w:line="264" w:lineRule="auto"/>
              <w:rPr>
                <w:rFonts w:ascii="宋体" w:hAnsi="宋体" w:cs="宋体"/>
                <w:color w:val="000000"/>
                <w:spacing w:val="-1"/>
                <w:szCs w:val="21"/>
              </w:rPr>
            </w:pPr>
            <w:r>
              <w:rPr>
                <w:rFonts w:hint="eastAsia" w:ascii="宋体" w:hAnsi="宋体" w:cs="宋体"/>
                <w:color w:val="000000"/>
                <w:spacing w:val="-1"/>
                <w:szCs w:val="21"/>
              </w:rPr>
              <w:t xml:space="preserve">环境标志产品</w:t>
            </w:r>
            <w:r>
              <w:rPr>
                <w:rFonts w:ascii="宋体" w:hAnsi="宋体" w:cs="宋体"/>
                <w:color w:val="000000"/>
                <w:spacing w:val="-1"/>
                <w:szCs w:val="21"/>
              </w:rPr>
            </w:r>
            <w:r/>
          </w:p>
        </w:tc>
        <w:tc>
          <w:tcPr>
            <w:tcW w:w="6330" w:type="dxa"/>
            <w:vAlign w:val="center"/>
            <w:textDirection w:val="lrTb"/>
            <w:noWrap w:val="false"/>
          </w:tcPr>
          <w:p>
            <w:pPr>
              <w:pStyle w:val="928"/>
              <w:spacing w:line="264" w:lineRule="auto"/>
              <w:rPr>
                <w:rFonts w:hint="eastAsia" w:ascii="宋体" w:hAnsi="宋体" w:cs="宋体"/>
                <w:color w:val="000000"/>
                <w:szCs w:val="21"/>
              </w:rPr>
            </w:pPr>
            <w:r>
              <w:rPr>
                <w:rFonts w:hint="eastAsia" w:ascii="宋体" w:hAnsi="宋体" w:cs="宋体"/>
                <w:color w:val="000000"/>
                <w:szCs w:val="21"/>
              </w:rPr>
              <w:t xml:space="preserve">投标产品属于财政部、生态环境部公布的《环境</w:t>
            </w:r>
            <w:r>
              <w:rPr>
                <w:rFonts w:ascii="宋体" w:hAnsi="宋体" w:cs="宋体"/>
                <w:color w:val="000000"/>
                <w:szCs w:val="21"/>
              </w:rPr>
              <w:t xml:space="preserve">标志产品品目清单</w:t>
            </w:r>
            <w:r>
              <w:rPr>
                <w:rFonts w:hint="eastAsia" w:ascii="宋体" w:hAnsi="宋体" w:cs="宋体"/>
                <w:color w:val="000000"/>
                <w:szCs w:val="21"/>
              </w:rPr>
              <w:t xml:space="preserve">》</w:t>
            </w:r>
            <w:r>
              <w:rPr>
                <w:rFonts w:ascii="宋体" w:hAnsi="宋体" w:cs="宋体"/>
                <w:color w:val="000000"/>
                <w:szCs w:val="21"/>
              </w:rPr>
              <w:t xml:space="preserve">（财库〔2019〕1</w:t>
            </w:r>
            <w:r>
              <w:rPr>
                <w:rFonts w:hint="eastAsia" w:ascii="宋体" w:hAnsi="宋体" w:cs="宋体"/>
                <w:color w:val="000000"/>
                <w:szCs w:val="21"/>
              </w:rPr>
              <w:t xml:space="preserve">8</w:t>
            </w:r>
            <w:r>
              <w:rPr>
                <w:rFonts w:ascii="宋体" w:hAnsi="宋体" w:cs="宋体"/>
                <w:color w:val="000000"/>
                <w:szCs w:val="21"/>
              </w:rPr>
              <w:t xml:space="preserve">号）</w:t>
            </w:r>
            <w:r>
              <w:rPr>
                <w:rFonts w:hint="eastAsia" w:ascii="宋体" w:hAnsi="宋体" w:cs="宋体"/>
                <w:color w:val="000000"/>
                <w:szCs w:val="21"/>
              </w:rPr>
              <w:t xml:space="preserve">范围内的，投标人提供国家确定的认证机构出具的、处于有效期内的该环境标志产品认证证书的，有1个得1分，最多得2分。</w:t>
            </w:r>
            <w:r>
              <w:rPr>
                <w:rFonts w:hint="eastAsia" w:ascii="宋体" w:hAnsi="宋体" w:cs="宋体"/>
                <w:color w:val="000000"/>
                <w:szCs w:val="21"/>
              </w:rPr>
            </w:r>
            <w:r/>
          </w:p>
        </w:tc>
        <w:tc>
          <w:tcPr>
            <w:tcW w:w="6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客观分</w:t>
            </w:r>
            <w:r>
              <w:rPr>
                <w:rFonts w:hint="eastAsia" w:ascii="宋体" w:hAnsi="宋体" w:cs="宋体"/>
                <w:color w:val="000000"/>
                <w:spacing w:val="-6"/>
                <w:szCs w:val="21"/>
              </w:rPr>
            </w:r>
            <w:r/>
          </w:p>
        </w:tc>
      </w:tr>
      <w:tr>
        <w:trPr>
          <w:trHeight w:val="464"/>
        </w:trPr>
        <w:tc>
          <w:tcPr>
            <w:tcW w:w="519"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rPr>
                <w:rFonts w:hint="eastAsia" w:ascii="宋体" w:hAnsi="宋体" w:cs="宋体"/>
                <w:color w:val="000000"/>
                <w:szCs w:val="21"/>
              </w:rPr>
            </w:r>
            <w:r/>
          </w:p>
        </w:tc>
        <w:tc>
          <w:tcPr>
            <w:gridSpan w:val="2"/>
            <w:tcW w:w="7509" w:type="dxa"/>
            <w:vAlign w:val="center"/>
            <w:textDirection w:val="lrTb"/>
            <w:noWrap w:val="false"/>
          </w:tcPr>
          <w:p>
            <w:pPr>
              <w:pStyle w:val="928"/>
              <w:ind w:left="172"/>
              <w:jc w:val="center"/>
              <w:spacing w:before="123" w:line="264" w:lineRule="auto"/>
              <w:rPr>
                <w:rFonts w:hint="eastAsia" w:ascii="宋体" w:hAnsi="宋体" w:cs="宋体"/>
                <w:color w:val="000000"/>
                <w:spacing w:val="-2"/>
                <w:szCs w:val="21"/>
              </w:rPr>
            </w:pPr>
            <w:r>
              <w:rPr>
                <w:rFonts w:hint="eastAsia" w:ascii="宋体" w:hAnsi="宋体" w:cs="宋体"/>
                <w:color w:val="000000"/>
                <w:spacing w:val="-2"/>
                <w:szCs w:val="21"/>
              </w:rPr>
            </w:r>
            <w:r/>
          </w:p>
        </w:tc>
        <w:tc>
          <w:tcPr>
            <w:gridSpan w:val="2"/>
            <w:tcW w:w="1547"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rPr>
                <w:rFonts w:hint="eastAsia" w:ascii="宋体" w:hAnsi="宋体" w:cs="宋体"/>
                <w:color w:val="000000"/>
                <w:szCs w:val="21"/>
              </w:rPr>
            </w:r>
            <w:r/>
          </w:p>
        </w:tc>
      </w:tr>
    </w:tbl>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28"/>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120614282"/>
      <w:r/>
      <w:bookmarkStart w:id="201" w:name="_Toc26554094"/>
      <w:r/>
      <w:bookmarkStart w:id="202" w:name="_Toc49090576"/>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2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Cs w:val="21"/>
        </w:rPr>
      </w:pPr>
      <w:r>
        <w:rPr>
          <w:rFonts w:ascii="宋体" w:hAnsi="宋体"/>
          <w:color w:val="000000"/>
          <w:szCs w:val="21"/>
        </w:rPr>
      </w:r>
      <w:r/>
    </w:p>
    <w:p>
      <w:pPr>
        <w:pStyle w:val="928"/>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928"/>
        <w:ind w:firstLine="560"/>
        <w:spacing w:line="600" w:lineRule="exact"/>
        <w:rPr>
          <w:rFonts w:hint="eastAsia" w:ascii="宋体" w:hAnsi="宋体" w:cs="宋体"/>
          <w:color w:val="000000"/>
          <w:sz w:val="28"/>
          <w:szCs w:val="28"/>
        </w:rPr>
      </w:pPr>
      <w:r/>
      <w:bookmarkStart w:id="203" w:name="_Toc120614284"/>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1045"/>
        <w:rPr>
          <w:color w:val="000000"/>
          <w:sz w:val="24"/>
        </w:rPr>
      </w:pPr>
      <w:r>
        <w:rPr>
          <w:color w:val="000000"/>
          <w:sz w:val="24"/>
        </w:rPr>
      </w:r>
      <w:r/>
    </w:p>
    <w:p>
      <w:pPr>
        <w:pStyle w:val="1045"/>
        <w:rPr>
          <w:color w:val="000000"/>
          <w:sz w:val="24"/>
        </w:rPr>
      </w:pPr>
      <w:r>
        <w:rPr>
          <w:color w:val="000000"/>
          <w:sz w:val="24"/>
        </w:rPr>
      </w:r>
      <w:r/>
    </w:p>
    <w:p>
      <w:pPr>
        <w:pStyle w:val="1045"/>
        <w:rPr>
          <w:color w:val="000000"/>
          <w:sz w:val="24"/>
        </w:rPr>
      </w:pPr>
      <w:r>
        <w:rPr>
          <w:color w:val="000000"/>
          <w:sz w:val="24"/>
        </w:rPr>
      </w:r>
      <w:r/>
    </w:p>
    <w:p>
      <w:pPr>
        <w:pStyle w:val="1045"/>
        <w:rPr>
          <w:color w:val="000000"/>
          <w:sz w:val="24"/>
        </w:rPr>
      </w:pPr>
      <w:r>
        <w:rPr>
          <w:color w:val="000000"/>
          <w:sz w:val="24"/>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2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highlight w:val="yellow"/>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highlight w:val="none"/>
        </w:rPr>
        <w:t xml:space="preserve">；</w:t>
      </w:r>
      <w:r>
        <w:rPr>
          <w:rFonts w:hint="eastAsia" w:ascii="宋体" w:hAnsi="宋体"/>
          <w:color w:val="000000"/>
          <w:sz w:val="24"/>
          <w:szCs w:val="24"/>
          <w:highlight w:val="yellow"/>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6"/>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16"/>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7"/>
        <w:rPr>
          <w:rFonts w:hint="eastAsia"/>
          <w:color w:val="000000"/>
          <w:lang w:eastAsia="zh-CN"/>
        </w:rPr>
      </w:pPr>
      <w:r>
        <w:rPr>
          <w:rFonts w:hint="eastAsia"/>
          <w:color w:val="000000"/>
          <w:lang w:eastAsia="zh-CN"/>
        </w:rPr>
      </w:r>
      <w:r/>
    </w:p>
    <w:p>
      <w:pPr>
        <w:pStyle w:val="928"/>
        <w:rPr>
          <w:rFonts w:hint="eastAsia"/>
          <w:color w:val="000000"/>
        </w:rPr>
      </w:pPr>
      <w:r>
        <w:rPr>
          <w:rFonts w:hint="eastAsia"/>
          <w:color w:val="000000"/>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928"/>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16"/>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16"/>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16"/>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16"/>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16"/>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16"/>
        <w:ind w:firstLine="480"/>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16"/>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16"/>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4" w:name="_Hlt26671380"/>
      <w:r/>
      <w:bookmarkEnd w:id="204"/>
      <w:r/>
      <w:bookmarkStart w:id="205" w:name="_Hlt26955070"/>
      <w:r/>
      <w:bookmarkEnd w:id="205"/>
      <w:r/>
      <w:bookmarkStart w:id="206" w:name="_格式3__银行出具的资信证明"/>
      <w:r/>
      <w:bookmarkEnd w:id="206"/>
      <w:r>
        <w:rPr>
          <w:rFonts w:hint="eastAsia"/>
          <w:color w:val="000000"/>
          <w:sz w:val="24"/>
          <w:szCs w:val="24"/>
        </w:rPr>
      </w:r>
      <w:r/>
    </w:p>
    <w:p>
      <w:pPr>
        <w:pStyle w:val="948"/>
        <w:rPr>
          <w:rFonts w:hint="eastAsia"/>
          <w:i/>
          <w:color w:val="000000"/>
          <w:sz w:val="24"/>
          <w:szCs w:val="24"/>
          <w:u w:val="single"/>
        </w:rPr>
      </w:pPr>
      <w:r>
        <w:rPr>
          <w:rFonts w:hint="eastAsia"/>
          <w:i/>
          <w:color w:val="000000"/>
          <w:sz w:val="24"/>
          <w:szCs w:val="24"/>
          <w:u w:val="single"/>
        </w:rPr>
      </w:r>
      <w:r/>
    </w:p>
    <w:p>
      <w:pPr>
        <w:pStyle w:val="948"/>
        <w:ind w:firstLine="0"/>
        <w:rPr>
          <w:rFonts w:hint="eastAsia"/>
          <w:color w:val="000000"/>
        </w:rPr>
      </w:pPr>
      <w:r>
        <w:rPr>
          <w:rFonts w:hint="eastAsia"/>
          <w:color w:val="000000"/>
        </w:rPr>
      </w:r>
      <w:r/>
    </w:p>
    <w:p>
      <w:pPr>
        <w:pStyle w:val="928"/>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928"/>
        <w:spacing w:line="460" w:lineRule="exact"/>
        <w:rPr>
          <w:rFonts w:hint="eastAsia" w:ascii="宋体" w:hAnsi="宋体"/>
          <w:bCs/>
          <w:color w:val="000000"/>
          <w:sz w:val="24"/>
        </w:rPr>
      </w:pPr>
      <w:r>
        <w:rPr>
          <w:rFonts w:hint="eastAsia" w:ascii="宋体" w:hAnsi="宋体"/>
          <w:bCs/>
          <w:color w:val="000000"/>
          <w:sz w:val="24"/>
        </w:rPr>
      </w:r>
      <w:r/>
    </w:p>
    <w:p>
      <w:pPr>
        <w:pStyle w:val="1045"/>
        <w:rPr>
          <w:rFonts w:hint="eastAsia"/>
          <w:bCs/>
          <w:color w:val="000000"/>
          <w:sz w:val="24"/>
        </w:rPr>
      </w:pPr>
      <w:r>
        <w:rPr>
          <w:rFonts w:hint="eastAsia"/>
          <w:bCs/>
          <w:color w:val="000000"/>
          <w:sz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928"/>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18"/>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18"/>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18"/>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18"/>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18"/>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2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928"/>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1018"/>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rPr>
          <w:rFonts w:ascii="宋体" w:hAnsi="宋体"/>
          <w:color w:val="000000"/>
          <w:sz w:val="24"/>
          <w:szCs w:val="24"/>
        </w:rPr>
      </w:pPr>
      <w:r>
        <w:rPr>
          <w:rFonts w:ascii="宋体" w:hAnsi="宋体"/>
          <w:color w:val="000000"/>
          <w:sz w:val="24"/>
          <w:szCs w:val="24"/>
        </w:rPr>
      </w:r>
      <w:r/>
    </w:p>
    <w:p>
      <w:pPr>
        <w:pStyle w:val="928"/>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28"/>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28"/>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0"/>
        <w:ind w:firstLine="640"/>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40"/>
        <w:ind w:firstLine="640"/>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28"/>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序号</w:t>
            </w:r>
            <w:r>
              <w:rPr>
                <w:rFonts w:hint="eastAsia" w:ascii="宋体" w:hAnsi="宋体"/>
                <w:color w:val="000000"/>
                <w:sz w:val="24"/>
                <w:szCs w:val="24"/>
              </w:rPr>
            </w:r>
            <w:r/>
          </w:p>
        </w:tc>
        <w:tc>
          <w:tcPr>
            <w:tcW w:w="3753" w:type="dxa"/>
            <w:vAlign w:val="center"/>
            <w:textDirection w:val="lrTb"/>
            <w:noWrap w:val="false"/>
          </w:tcPr>
          <w:p>
            <w:pPr>
              <w:pStyle w:val="928"/>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产品名称</w:t>
            </w:r>
            <w:r>
              <w:rPr>
                <w:rFonts w:hint="eastAsia" w:ascii="宋体" w:hAnsi="宋体"/>
                <w:color w:val="000000"/>
                <w:sz w:val="24"/>
                <w:szCs w:val="24"/>
              </w:rPr>
            </w:r>
            <w:r/>
          </w:p>
        </w:tc>
        <w:tc>
          <w:tcPr>
            <w:tcW w:w="2158" w:type="dxa"/>
            <w:vAlign w:val="center"/>
            <w:textDirection w:val="lrTb"/>
            <w:noWrap w:val="false"/>
          </w:tcPr>
          <w:p>
            <w:pPr>
              <w:pStyle w:val="928"/>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产品品牌</w:t>
            </w:r>
            <w:r>
              <w:rPr>
                <w:rFonts w:hint="eastAsia" w:ascii="宋体" w:hAnsi="宋体"/>
                <w:color w:val="000000"/>
                <w:sz w:val="24"/>
                <w:szCs w:val="24"/>
              </w:rPr>
            </w:r>
            <w:r/>
          </w:p>
        </w:tc>
        <w:tc>
          <w:tcPr>
            <w:tcW w:w="2601" w:type="dxa"/>
            <w:vAlign w:val="center"/>
            <w:textDirection w:val="lrTb"/>
            <w:noWrap w:val="false"/>
          </w:tcPr>
          <w:p>
            <w:pPr>
              <w:pStyle w:val="928"/>
              <w:jc w:val="center"/>
              <w:spacing w:line="0" w:lineRule="atLeast"/>
              <w:widowControl/>
              <w:rPr>
                <w:rFonts w:hint="eastAsia" w:ascii="宋体" w:hAnsi="宋体"/>
                <w:color w:val="000000"/>
                <w:sz w:val="24"/>
                <w:szCs w:val="24"/>
              </w:rPr>
              <w:framePr w:vAnchor="page" w:hAnchor="page" w:xAlign="center" w:y="133"/>
            </w:pPr>
            <w:r>
              <w:rPr>
                <w:rFonts w:hint="eastAsia" w:ascii="宋体" w:hAnsi="宋体"/>
                <w:color w:val="000000"/>
                <w:sz w:val="24"/>
                <w:szCs w:val="24"/>
              </w:rPr>
              <w:t xml:space="preserve">规格或型号</w:t>
            </w:r>
            <w:r>
              <w:rPr>
                <w:rFonts w:hint="eastAsia" w:ascii="宋体" w:hAnsi="宋体"/>
                <w:color w:val="000000"/>
                <w:sz w:val="24"/>
                <w:szCs w:val="24"/>
              </w:rPr>
            </w:r>
            <w:r/>
          </w:p>
        </w:tc>
      </w:tr>
      <w:tr>
        <w:trPr>
          <w:trHeight w:val="963"/>
        </w:trPr>
        <w:tc>
          <w:tcPr>
            <w:tcW w:w="1251" w:type="dxa"/>
            <w:vAlign w:val="center"/>
            <w:textDirection w:val="lrTb"/>
            <w:noWrap w:val="false"/>
          </w:tcPr>
          <w:p>
            <w:pPr>
              <w:pStyle w:val="928"/>
              <w:jc w:val="center"/>
              <w:spacing w:line="0" w:lineRule="atLeast"/>
              <w:rPr>
                <w:rFonts w:hint="eastAsia" w:ascii="宋体" w:hAnsi="宋体"/>
                <w:color w:val="000000"/>
                <w:sz w:val="24"/>
                <w:szCs w:val="24"/>
                <w:lang w:val="zh-CN"/>
              </w:rPr>
              <w:framePr w:vAnchor="page" w:hAnchor="page" w:xAlign="center" w:y="133"/>
            </w:pPr>
            <w:r>
              <w:rPr>
                <w:rFonts w:ascii="宋体" w:hAnsi="宋体" w:cs="宋体"/>
                <w:color w:val="000000"/>
                <w:szCs w:val="21"/>
                <w:lang w:val="zh-CN"/>
              </w:rPr>
              <w:t xml:space="preserve">1</w:t>
            </w:r>
            <w:r>
              <w:rPr>
                <w:rFonts w:hint="eastAsia" w:ascii="宋体" w:hAnsi="宋体"/>
                <w:color w:val="000000"/>
                <w:sz w:val="24"/>
                <w:szCs w:val="24"/>
                <w:lang w:val="zh-CN"/>
              </w:rPr>
            </w:r>
            <w:r/>
          </w:p>
        </w:tc>
        <w:tc>
          <w:tcPr>
            <w:tcW w:w="3753" w:type="dxa"/>
            <w:vAlign w:val="center"/>
            <w:textDirection w:val="lrTb"/>
            <w:noWrap w:val="false"/>
          </w:tcPr>
          <w:p>
            <w:pPr>
              <w:pStyle w:val="928"/>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158" w:type="dxa"/>
            <w:vAlign w:val="top"/>
            <w:textDirection w:val="lrTb"/>
            <w:noWrap w:val="false"/>
          </w:tcPr>
          <w:p>
            <w:pPr>
              <w:pStyle w:val="928"/>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601" w:type="dxa"/>
            <w:vAlign w:val="top"/>
            <w:textDirection w:val="lrTb"/>
            <w:noWrap w:val="false"/>
          </w:tcPr>
          <w:p>
            <w:pPr>
              <w:pStyle w:val="928"/>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r>
    </w:tbl>
    <w:p>
      <w:pPr>
        <w:pStyle w:val="928"/>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928"/>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rPr>
          <w:rFonts w:hint="eastAsia" w:ascii="宋体" w:hAnsi="宋体"/>
          <w:color w:val="000000"/>
          <w:sz w:val="24"/>
          <w:szCs w:val="24"/>
          <w:lang w:val="zh-CN"/>
        </w:rPr>
      </w:r>
      <w:r/>
    </w:p>
    <w:p>
      <w:pPr>
        <w:pStyle w:val="928"/>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rPr>
          <w:rFonts w:hint="eastAsia" w:ascii="宋体" w:hAnsi="宋体"/>
          <w:b/>
          <w:bCs/>
          <w:color w:val="000000"/>
          <w:sz w:val="24"/>
          <w:szCs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rPr>
          <w:rFonts w:hint="eastAsia" w:ascii="黑体" w:hAnsi="黑体" w:eastAsia="黑体"/>
          <w:color w:val="000000"/>
          <w:sz w:val="32"/>
          <w:szCs w:val="32"/>
        </w:rPr>
      </w:r>
      <w:r/>
    </w:p>
    <w:p>
      <w:pPr>
        <w:pStyle w:val="92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928"/>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28"/>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603"/>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bl>
    <w:p>
      <w:pPr>
        <w:pStyle w:val="928"/>
        <w:rPr>
          <w:rFonts w:hint="eastAsia" w:ascii="宋体" w:hAnsi="宋体"/>
          <w:color w:val="000000"/>
          <w:sz w:val="24"/>
          <w:szCs w:val="24"/>
        </w:rPr>
      </w:pP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93"/>
        <w:ind w:firstLine="480"/>
        <w:jc w:val="both"/>
        <w:spacing w:before="0" w:beforeAutospacing="0" w:after="0" w:afterAutospacing="0" w:line="360" w:lineRule="auto"/>
        <w:rPr>
          <w:color w:val="000000"/>
        </w:rPr>
      </w:pPr>
      <w:r>
        <w:rPr>
          <w:color w:val="000000"/>
        </w:rPr>
        <w:t xml:space="preserve">备注： </w:t>
      </w:r>
      <w:r>
        <w:rPr>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color w:val="000000"/>
        </w:rPr>
        <w:t xml:space="preserve">“项目清单”中分项仅为一项的，此表无需提供。</w:t>
      </w:r>
      <w:r>
        <w:rPr>
          <w:rFonts w:hint="eastAsia"/>
          <w:color w:val="000000"/>
        </w:rPr>
      </w:r>
      <w:r/>
    </w:p>
    <w:p>
      <w:pPr>
        <w:pStyle w:val="993"/>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928"/>
        <w:spacing w:line="480" w:lineRule="exact"/>
        <w:rPr>
          <w:rFonts w:ascii="宋体" w:hAnsi="宋体"/>
          <w:color w:val="000000"/>
          <w:sz w:val="24"/>
          <w:szCs w:val="24"/>
        </w:rPr>
      </w:pPr>
      <w:r>
        <w:rPr>
          <w:rFonts w:ascii="宋体" w:hAnsi="宋体"/>
          <w:color w:val="000000"/>
          <w:sz w:val="24"/>
          <w:szCs w:val="24"/>
        </w:rPr>
      </w:r>
      <w:r/>
    </w:p>
    <w:p>
      <w:pPr>
        <w:pStyle w:val="928"/>
        <w:rPr>
          <w:rFonts w:ascii="宋体" w:hAnsi="宋体"/>
          <w:color w:val="000000"/>
          <w:sz w:val="24"/>
          <w:szCs w:val="24"/>
        </w:rPr>
      </w:pPr>
      <w:r>
        <w:rPr>
          <w:rFonts w:ascii="宋体" w:hAnsi="宋体"/>
          <w:color w:val="000000"/>
          <w:sz w:val="24"/>
          <w:szCs w:val="24"/>
        </w:rPr>
      </w:r>
      <w:r/>
    </w:p>
    <w:p>
      <w:pPr>
        <w:pStyle w:val="928"/>
        <w:rPr>
          <w:rFonts w:ascii="宋体" w:hAnsi="宋体"/>
          <w:color w:val="000000"/>
          <w:sz w:val="24"/>
          <w:szCs w:val="24"/>
        </w:rPr>
      </w:pPr>
      <w:r>
        <w:rPr>
          <w:rFonts w:ascii="宋体" w:hAnsi="宋体"/>
          <w:color w:val="000000"/>
          <w:sz w:val="24"/>
          <w:szCs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rPr>
          <w:rFonts w:hint="eastAsia" w:ascii="黑体" w:hAnsi="黑体" w:eastAsia="黑体"/>
          <w:color w:val="000000"/>
          <w:sz w:val="32"/>
          <w:szCs w:val="32"/>
        </w:rPr>
      </w:r>
      <w:r/>
    </w:p>
    <w:p>
      <w:pPr>
        <w:pStyle w:val="928"/>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93"/>
        <w:ind w:firstLine="480"/>
        <w:jc w:val="both"/>
        <w:spacing w:before="0" w:beforeAutospacing="0" w:after="0" w:afterAutospacing="0"/>
        <w:rPr>
          <w:color w:val="000000"/>
        </w:rPr>
      </w:pPr>
      <w:r>
        <w:rPr>
          <w:color w:val="000000"/>
        </w:rPr>
      </w:r>
      <w:r/>
    </w:p>
    <w:p>
      <w:pPr>
        <w:pStyle w:val="993"/>
        <w:ind w:firstLine="480"/>
        <w:jc w:val="both"/>
        <w:spacing w:before="0" w:beforeAutospacing="0" w:after="0" w:afterAutospacing="0" w:line="360" w:lineRule="auto"/>
        <w:rPr>
          <w:color w:val="000000"/>
        </w:rPr>
      </w:pPr>
      <w:r>
        <w:rPr>
          <w:color w:val="000000"/>
        </w:rPr>
        <w:t xml:space="preserve">备注： </w:t>
      </w:r>
      <w:r>
        <w:rPr>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rPr>
          <w:rFonts w:hint="eastAsia"/>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color w:val="000000"/>
        </w:rPr>
      </w:pPr>
      <w:r>
        <w:rPr>
          <w:rFonts w:hint="eastAsia"/>
          <w:color w:val="000000"/>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rPr>
          <w:rFonts w:hint="eastAsia" w:ascii="黑体" w:hAnsi="黑体" w:eastAsia="黑体"/>
          <w:color w:val="000000"/>
          <w:sz w:val="32"/>
          <w:szCs w:val="32"/>
        </w:rPr>
      </w:r>
      <w:r/>
    </w:p>
    <w:p>
      <w:pPr>
        <w:pStyle w:val="928"/>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3"/>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28"/>
        <w:spacing w:line="480" w:lineRule="auto"/>
        <w:rPr>
          <w:rFonts w:hint="eastAsia" w:ascii="宋体" w:hAnsi="宋体"/>
          <w:color w:val="000000"/>
          <w:sz w:val="24"/>
          <w:szCs w:val="21"/>
        </w:rPr>
      </w:pPr>
      <w:r>
        <w:rPr>
          <w:rFonts w:hint="eastAsia" w:ascii="宋体" w:hAnsi="宋体"/>
          <w:color w:val="000000"/>
          <w:sz w:val="24"/>
          <w:szCs w:val="21"/>
        </w:rPr>
      </w:r>
      <w:r/>
    </w:p>
    <w:p>
      <w:pPr>
        <w:pStyle w:val="92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0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color w:val="000000"/>
        </w:rPr>
      </w:pPr>
      <w:r>
        <w:rPr>
          <w:rFonts w:hint="eastAsia"/>
          <w:color w:val="000000"/>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928"/>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rPr>
          <w:rFonts w:hint="eastAsia" w:ascii="宋体" w:hAnsi="宋体"/>
          <w:color w:val="000000"/>
          <w:sz w:val="24"/>
          <w:szCs w:val="24"/>
        </w:rPr>
      </w:r>
      <w:r/>
    </w:p>
    <w:p>
      <w:pPr>
        <w:pStyle w:val="928"/>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28"/>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28"/>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07"/>
        <w:spacing w:line="336" w:lineRule="auto"/>
        <w:rPr>
          <w:rFonts w:hint="eastAsia" w:ascii="宋体" w:hAnsi="宋体"/>
          <w:color w:val="000000"/>
          <w:sz w:val="24"/>
          <w:szCs w:val="24"/>
        </w:rPr>
      </w:pPr>
      <w:r>
        <w:rPr>
          <w:rFonts w:hint="eastAsia" w:ascii="宋体" w:hAnsi="宋体"/>
          <w:color w:val="000000"/>
          <w:sz w:val="24"/>
          <w:szCs w:val="24"/>
        </w:rPr>
      </w:r>
      <w:r/>
    </w:p>
    <w:p>
      <w:pPr>
        <w:pStyle w:val="928"/>
        <w:spacing w:line="336" w:lineRule="auto"/>
        <w:rPr>
          <w:rFonts w:hint="eastAsia"/>
          <w:color w:val="000000"/>
        </w:rPr>
      </w:pPr>
      <w:r>
        <w:rPr>
          <w:rFonts w:hint="eastAsia"/>
          <w:color w:val="000000"/>
        </w:rPr>
      </w:r>
      <w:r/>
    </w:p>
    <w:p>
      <w:pPr>
        <w:pStyle w:val="928"/>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36"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336" w:lineRule="auto"/>
        <w:rPr>
          <w:rFonts w:hint="eastAsia" w:ascii="宋体" w:hAnsi="宋体"/>
          <w:color w:val="000000"/>
          <w:sz w:val="24"/>
          <w:szCs w:val="24"/>
        </w:rPr>
      </w:pPr>
      <w:r>
        <w:rPr>
          <w:rFonts w:hint="eastAsia" w:ascii="宋体" w:hAnsi="宋体"/>
          <w:color w:val="000000"/>
          <w:sz w:val="24"/>
          <w:szCs w:val="24"/>
        </w:rPr>
      </w:r>
      <w:r/>
    </w:p>
    <w:p>
      <w:pPr>
        <w:pStyle w:val="928"/>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rPr>
          <w:rFonts w:hint="eastAsia" w:ascii="宋体" w:hAnsi="宋体"/>
          <w:color w:val="000000"/>
          <w:sz w:val="24"/>
          <w:szCs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07"/>
        <w:rPr>
          <w:rFonts w:hint="eastAsia" w:ascii="宋体" w:hAnsi="宋体"/>
          <w:color w:val="000000"/>
          <w:sz w:val="24"/>
          <w:szCs w:val="24"/>
        </w:rPr>
      </w:pPr>
      <w:r>
        <w:rPr>
          <w:rFonts w:hint="eastAsia" w:ascii="宋体" w:hAnsi="宋体"/>
          <w:color w:val="000000"/>
          <w:sz w:val="24"/>
          <w:szCs w:val="24"/>
        </w:rPr>
      </w:r>
      <w:r/>
    </w:p>
    <w:p>
      <w:pPr>
        <w:pStyle w:val="928"/>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588" w:lineRule="exact"/>
        <w:rPr>
          <w:rFonts w:hint="eastAsia" w:ascii="宋体" w:hAnsi="宋体"/>
          <w:color w:val="000000"/>
          <w:sz w:val="24"/>
        </w:rPr>
      </w:pP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928"/>
        <w:ind w:firstLine="480"/>
        <w:spacing w:line="480" w:lineRule="exact"/>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928"/>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45"/>
        <w:rPr>
          <w:color w:val="000000"/>
        </w:rPr>
      </w:pPr>
      <w:r>
        <w:rPr>
          <w:color w:val="000000"/>
        </w:rPr>
      </w:r>
      <w:r/>
    </w:p>
    <w:p>
      <w:pPr>
        <w:pStyle w:val="928"/>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十二、关于符合本国产品标准的声明函</w:t>
      </w:r>
      <w:r>
        <w:rPr>
          <w:rFonts w:hint="eastAsia" w:ascii="宋体" w:hAnsi="宋体"/>
          <w:color w:val="000000"/>
          <w:sz w:val="24"/>
        </w:rPr>
      </w:r>
      <w:r/>
    </w:p>
    <w:p>
      <w:pPr>
        <w:ind w:left="0" w:right="0" w:firstLine="420"/>
        <w:jc w:val="center"/>
        <w:spacing w:before="210" w:after="0" w:line="315" w:lineRule="atLeast"/>
        <w:rPr>
          <w:rFonts w:ascii="Arial" w:hAnsi="Arial" w:eastAsia="Arial" w:cs="Arial"/>
          <w:color w:val="000000"/>
          <w:sz w:val="32"/>
          <w:szCs w:val="32"/>
        </w:rPr>
        <w:pBdr>
          <w:top w:val="none" w:color="000000" w:sz="4" w:space="0"/>
          <w:left w:val="none" w:color="000000" w:sz="4" w:space="0"/>
          <w:bottom w:val="none" w:color="000000" w:sz="4" w:space="0"/>
          <w:right w:val="none" w:color="000000" w:sz="4" w:space="0"/>
        </w:pBd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sz w:val="22"/>
        </w:rPr>
      </w:r>
      <w:r/>
    </w:p>
    <w:p>
      <w:pPr>
        <w:ind w:left="0" w:right="0" w:firstLine="420"/>
        <w:jc w:val="both"/>
        <w:spacing w:before="210" w:after="0" w:line="315" w:lineRule="atLeast"/>
        <w:rPr>
          <w:sz w:val="22"/>
          <w:szCs w:val="22"/>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（如有，可上传至“电子投标文件格式-价格折扣文件格式”）</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93"/>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93"/>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1003"/>
          <w:rFonts w:hint="eastAsia"/>
          <w:i w:val="0"/>
          <w:color w:val="000000"/>
          <w:u w:val="single"/>
          <w:shd w:val="clear" w:color="auto" w:fill="ffffff"/>
        </w:rPr>
        <w:t xml:space="preserve">（产品名称1）</w:t>
      </w:r>
      <w:r>
        <w:rPr>
          <w:rStyle w:val="1003"/>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1003"/>
          <w:rFonts w:hint="eastAsia"/>
          <w:i w:val="0"/>
          <w:color w:val="000000"/>
          <w:u w:val="single"/>
          <w:shd w:val="clear" w:color="auto" w:fill="ffffff"/>
        </w:rPr>
        <w:t xml:space="preserve">（厂名）</w:t>
      </w:r>
      <w:r>
        <w:rPr>
          <w:rStyle w:val="100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03"/>
          <w:rFonts w:hint="eastAsia"/>
          <w:i w:val="0"/>
          <w:strike/>
          <w:color w:val="000000"/>
          <w:u w:val="single"/>
          <w:shd w:val="clear" w:color="auto" w:fill="ffffff"/>
        </w:rPr>
        <w:t xml:space="preserve">（产品名称1）</w:t>
      </w:r>
      <w:r>
        <w:rPr>
          <w:rFonts w:hint="eastAsia"/>
          <w:strike/>
          <w:color w:val="000000"/>
          <w:shd w:val="clear" w:color="auto" w:fill="ffffff"/>
        </w:rPr>
        <w:t xml:space="preserve">的中国境内生产的组件成本占比≥</w:t>
      </w:r>
      <w:r>
        <w:rPr>
          <w:rStyle w:val="1003"/>
          <w:rFonts w:hint="eastAsia"/>
          <w:i w:val="0"/>
          <w:strike/>
          <w:color w:val="000000"/>
          <w:u w:val="single"/>
          <w:shd w:val="clear" w:color="auto" w:fill="ffffff"/>
        </w:rPr>
        <w:t xml:space="preserve">（规定比例）</w:t>
      </w:r>
      <w:r>
        <w:rPr>
          <w:rStyle w:val="1003"/>
          <w:rFonts w:hint="eastAsia"/>
          <w:i w:val="0"/>
          <w:color w:val="000000"/>
          <w:shd w:val="clear" w:color="auto" w:fill="ffffff"/>
          <w:vertAlign w:val="superscript"/>
        </w:rPr>
        <w:t xml:space="preserve">3</w:t>
      </w:r>
      <w:r>
        <w:rPr>
          <w:rFonts w:hint="eastAsia"/>
          <w:strike/>
          <w:color w:val="000000"/>
          <w:shd w:val="clear" w:color="auto" w:fill="ffffff"/>
        </w:rPr>
        <w:t xml:space="preserve">。</w:t>
      </w:r>
      <w:r>
        <w:rPr>
          <w:rStyle w:val="1003"/>
          <w:rFonts w:hint="eastAsia"/>
          <w:i w:val="0"/>
          <w:strike/>
          <w:color w:val="000000"/>
          <w:u w:val="single"/>
          <w:shd w:val="clear" w:color="auto" w:fill="ffffff"/>
        </w:rPr>
        <w:t xml:space="preserve">（产品名称1）</w:t>
      </w:r>
      <w:r>
        <w:rPr>
          <w:rFonts w:hint="eastAsia"/>
          <w:strike/>
          <w:color w:val="000000"/>
          <w:shd w:val="clear" w:color="auto" w:fill="ffffff"/>
        </w:rPr>
        <w:t xml:space="preserve">的</w:t>
      </w:r>
      <w:r>
        <w:rPr>
          <w:rStyle w:val="1003"/>
          <w:rFonts w:hint="eastAsia"/>
          <w:i w:val="0"/>
          <w:strike/>
          <w:color w:val="000000"/>
          <w:u w:val="single"/>
          <w:shd w:val="clear" w:color="auto" w:fill="ffffff"/>
        </w:rPr>
        <w:t xml:space="preserve">（关键组件）</w:t>
      </w:r>
      <w:r>
        <w:rPr>
          <w:rStyle w:val="1003"/>
          <w:rFonts w:hint="eastAsia"/>
          <w:i w:val="0"/>
          <w:color w:val="000000"/>
          <w:shd w:val="clear" w:color="auto" w:fill="ffffff"/>
          <w:vertAlign w:val="superscript"/>
        </w:rPr>
        <w:t xml:space="preserve">4</w:t>
      </w:r>
      <w:r>
        <w:rPr>
          <w:rFonts w:hint="eastAsia"/>
          <w:strike/>
          <w:color w:val="000000"/>
          <w:shd w:val="clear" w:color="auto" w:fill="ffffff"/>
        </w:rPr>
        <w:t xml:space="preserve">在中国境内生产。</w:t>
      </w:r>
      <w:r>
        <w:rPr>
          <w:rStyle w:val="1003"/>
          <w:rFonts w:hint="eastAsia"/>
          <w:i w:val="0"/>
          <w:strike/>
          <w:color w:val="000000"/>
          <w:u w:val="single"/>
          <w:shd w:val="clear" w:color="auto" w:fill="ffffff"/>
        </w:rPr>
        <w:t xml:space="preserve">（产品名称1）</w:t>
      </w:r>
      <w:r>
        <w:rPr>
          <w:rFonts w:hint="eastAsia"/>
          <w:strike/>
          <w:color w:val="000000"/>
          <w:shd w:val="clear" w:color="auto" w:fill="ffffff"/>
        </w:rPr>
        <w:t xml:space="preserve">的</w:t>
      </w:r>
      <w:r>
        <w:rPr>
          <w:rStyle w:val="1003"/>
          <w:rFonts w:hint="eastAsia"/>
          <w:i w:val="0"/>
          <w:strike/>
          <w:color w:val="000000"/>
          <w:u w:val="single"/>
          <w:shd w:val="clear" w:color="auto" w:fill="ffffff"/>
        </w:rPr>
        <w:t xml:space="preserve">（关键工序）</w:t>
      </w:r>
      <w:r>
        <w:rPr>
          <w:rStyle w:val="1003"/>
          <w:rFonts w:hint="eastAsia"/>
          <w:i w:val="0"/>
          <w:color w:val="000000"/>
          <w:shd w:val="clear" w:color="auto" w:fill="ffffff"/>
          <w:vertAlign w:val="superscript"/>
        </w:rPr>
        <w:t xml:space="preserve">5</w:t>
      </w:r>
      <w:r>
        <w:rPr>
          <w:rFonts w:hint="eastAsia"/>
          <w:strike/>
          <w:color w:val="000000"/>
          <w:shd w:val="clear" w:color="auto" w:fill="ffffff"/>
        </w:rPr>
        <w:t xml:space="preserve">在中国境内完成。</w:t>
      </w:r>
      <w:r>
        <w:rPr>
          <w:rFonts w:hint="eastAsia"/>
          <w:color w:val="000000"/>
        </w:rPr>
      </w:r>
      <w:r/>
    </w:p>
    <w:p>
      <w:pPr>
        <w:pStyle w:val="993"/>
        <w:ind w:firstLine="420"/>
        <w:spacing w:before="24" w:beforeAutospacing="0" w:after="24" w:afterAutospacing="0" w:line="360" w:lineRule="auto"/>
        <w:shd w:val="clear" w:color="auto" w:fill="ffffff"/>
        <w:rPr>
          <w:rFonts w:hint="eastAsia"/>
          <w:strike/>
          <w:color w:val="000000"/>
        </w:rPr>
      </w:pPr>
      <w:r>
        <w:rPr>
          <w:rFonts w:hint="eastAsia"/>
          <w:color w:val="000000"/>
          <w:shd w:val="clear" w:color="auto" w:fill="ffffff"/>
        </w:rPr>
        <w:t xml:space="preserve">2.</w:t>
      </w:r>
      <w:r>
        <w:rPr>
          <w:rStyle w:val="100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0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03"/>
          <w:rFonts w:hint="eastAsia"/>
          <w:i w:val="0"/>
          <w:strike/>
          <w:color w:val="000000"/>
          <w:u w:val="single"/>
          <w:shd w:val="clear" w:color="auto" w:fill="ffffff"/>
        </w:rPr>
        <w:t xml:space="preserve">（产品名称2）</w:t>
      </w:r>
      <w:r>
        <w:rPr>
          <w:rFonts w:hint="eastAsia"/>
          <w:strike/>
          <w:color w:val="000000"/>
          <w:shd w:val="clear" w:color="auto" w:fill="ffffff"/>
        </w:rPr>
        <w:t xml:space="preserve">的中国境内生产的组件成本占比≥</w:t>
      </w:r>
      <w:r>
        <w:rPr>
          <w:rStyle w:val="1003"/>
          <w:rFonts w:hint="eastAsia"/>
          <w:i w:val="0"/>
          <w:strike/>
          <w:color w:val="000000"/>
          <w:u w:val="single"/>
          <w:shd w:val="clear" w:color="auto" w:fill="ffffff"/>
        </w:rPr>
        <w:t xml:space="preserve">（规定比例）</w:t>
      </w:r>
      <w:r>
        <w:rPr>
          <w:rFonts w:hint="eastAsia"/>
          <w:strike/>
          <w:color w:val="000000"/>
          <w:shd w:val="clear" w:color="auto" w:fill="ffffff"/>
        </w:rPr>
        <w:t xml:space="preserve">。</w:t>
      </w:r>
      <w:r>
        <w:rPr>
          <w:rStyle w:val="1003"/>
          <w:rFonts w:hint="eastAsia"/>
          <w:i w:val="0"/>
          <w:strike/>
          <w:color w:val="000000"/>
          <w:u w:val="single"/>
          <w:shd w:val="clear" w:color="auto" w:fill="ffffff"/>
        </w:rPr>
        <w:t xml:space="preserve">（产品名称2）</w:t>
      </w:r>
      <w:r>
        <w:rPr>
          <w:rFonts w:hint="eastAsia"/>
          <w:strike/>
          <w:color w:val="000000"/>
          <w:shd w:val="clear" w:color="auto" w:fill="ffffff"/>
        </w:rPr>
        <w:t xml:space="preserve">的</w:t>
      </w:r>
      <w:r>
        <w:rPr>
          <w:rStyle w:val="1003"/>
          <w:rFonts w:hint="eastAsia"/>
          <w:i w:val="0"/>
          <w:strike/>
          <w:color w:val="000000"/>
          <w:u w:val="single"/>
          <w:shd w:val="clear" w:color="auto" w:fill="ffffff"/>
        </w:rPr>
        <w:t xml:space="preserve">（关键组件）</w:t>
      </w:r>
      <w:r>
        <w:rPr>
          <w:rFonts w:hint="eastAsia"/>
          <w:strike/>
          <w:color w:val="000000"/>
          <w:shd w:val="clear" w:color="auto" w:fill="ffffff"/>
        </w:rPr>
        <w:t xml:space="preserve">在中国境内生产。</w:t>
      </w:r>
      <w:r>
        <w:rPr>
          <w:rStyle w:val="1003"/>
          <w:rFonts w:hint="eastAsia"/>
          <w:i w:val="0"/>
          <w:strike/>
          <w:color w:val="000000"/>
          <w:u w:val="single"/>
          <w:shd w:val="clear" w:color="auto" w:fill="ffffff"/>
        </w:rPr>
        <w:t xml:space="preserve">（产品名称2）</w:t>
      </w:r>
      <w:r>
        <w:rPr>
          <w:rFonts w:hint="eastAsia"/>
          <w:strike/>
          <w:color w:val="000000"/>
          <w:shd w:val="clear" w:color="auto" w:fill="ffffff"/>
        </w:rPr>
        <w:t xml:space="preserve">的</w:t>
      </w:r>
      <w:r>
        <w:rPr>
          <w:rStyle w:val="1003"/>
          <w:rFonts w:hint="eastAsia"/>
          <w:i w:val="0"/>
          <w:strike/>
          <w:color w:val="000000"/>
          <w:u w:val="single"/>
          <w:shd w:val="clear" w:color="auto" w:fill="ffffff"/>
        </w:rPr>
        <w:t xml:space="preserve">（关键工序）</w:t>
      </w:r>
      <w:r>
        <w:rPr>
          <w:rFonts w:hint="eastAsia"/>
          <w:strike/>
          <w:color w:val="000000"/>
          <w:shd w:val="clear" w:color="auto" w:fill="ffffff"/>
        </w:rPr>
        <w:t xml:space="preserve">在中国境内完成。</w:t>
      </w:r>
      <w:r>
        <w:rPr>
          <w:rFonts w:hint="eastAsia"/>
          <w:strike/>
          <w:color w:val="000000"/>
        </w:rPr>
      </w:r>
      <w:r/>
    </w:p>
    <w:p>
      <w:pPr>
        <w:pStyle w:val="993"/>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93"/>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本采购包中提供的符合本国产品标准的产品成本之和占该采购包提供的全部产品成本之和的比例为</w:t>
      </w:r>
      <w:r>
        <w:rPr>
          <w:rFonts w:hint="eastAsia"/>
          <w:color w:val="000000"/>
          <w:u w:val="single"/>
          <w:shd w:val="clear" w:color="auto" w:fill="ffffff"/>
        </w:rPr>
        <w:t xml:space="preserve">   </w:t>
      </w:r>
      <w:r>
        <w:rPr>
          <w:rFonts w:hint="eastAsia"/>
          <w:color w:val="000000"/>
          <w:shd w:val="clear" w:color="auto" w:fill="ffffff"/>
        </w:rPr>
        <w:t xml:space="preserve">%。</w:t>
      </w:r>
      <w:r>
        <w:rPr>
          <w:rStyle w:val="1003"/>
          <w:color w:val="000000"/>
          <w:vertAlign w:val="superscript"/>
        </w:rPr>
        <w:t xml:space="preserve">6</w:t>
      </w:r>
      <w:r>
        <w:rPr>
          <w:rFonts w:hint="eastAsia"/>
          <w:color w:val="000000"/>
          <w:shd w:val="clear" w:color="auto" w:fill="ffffff"/>
        </w:rPr>
      </w:r>
      <w:r/>
    </w:p>
    <w:p>
      <w:pPr>
        <w:pStyle w:val="993"/>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93"/>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93"/>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93"/>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93"/>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93"/>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93"/>
        <w:ind w:firstLine="420"/>
        <w:spacing w:before="24" w:beforeAutospacing="0" w:after="24" w:afterAutospacing="0" w:line="360" w:lineRule="auto"/>
        <w:shd w:val="clear" w:color="auto" w:fill="ffffff"/>
        <w:rPr>
          <w:rFonts w:hint="eastAsia"/>
          <w:b/>
          <w:bCs/>
          <w:color w:val="000000"/>
          <w:sz w:val="21"/>
          <w:szCs w:val="21"/>
        </w:rPr>
      </w:pPr>
      <w:r>
        <w:rPr>
          <w:rFonts w:hint="eastAsia"/>
          <w:b/>
          <w:bCs/>
          <w:color w:val="000000"/>
          <w:sz w:val="21"/>
          <w:szCs w:val="21"/>
          <w:shd w:val="clear" w:color="auto" w:fill="ffffff"/>
        </w:rPr>
        <w:t xml:space="preserve">3.该产品的中国境内生产的组件成本占比相关要求实施前，“规定比例”栏可不填。</w:t>
      </w:r>
      <w:r>
        <w:rPr>
          <w:rFonts w:hint="eastAsia"/>
          <w:b/>
          <w:bCs/>
          <w:color w:val="000000"/>
          <w:sz w:val="21"/>
          <w:szCs w:val="21"/>
        </w:rPr>
      </w:r>
      <w:r/>
    </w:p>
    <w:p>
      <w:pPr>
        <w:pStyle w:val="993"/>
        <w:ind w:firstLine="420"/>
        <w:spacing w:before="24" w:beforeAutospacing="0" w:after="24" w:afterAutospacing="0" w:line="360" w:lineRule="auto"/>
        <w:shd w:val="clear" w:color="auto" w:fill="ffffff"/>
        <w:rPr>
          <w:rFonts w:hint="eastAsia"/>
          <w:b/>
          <w:bCs/>
          <w:color w:val="000000"/>
          <w:sz w:val="21"/>
          <w:szCs w:val="21"/>
          <w:shd w:val="clear" w:color="auto" w:fill="ffffff"/>
        </w:rPr>
      </w:pPr>
      <w:r>
        <w:rPr>
          <w:rFonts w:hint="eastAsia"/>
          <w:b/>
          <w:bCs/>
          <w:color w:val="000000"/>
          <w:sz w:val="21"/>
          <w:szCs w:val="21"/>
          <w:shd w:val="clear" w:color="auto" w:fill="ffffff"/>
        </w:rPr>
        <w:t xml:space="preserve">4.该产品的关键组件要求实施前，“关键组件”栏可不填。</w:t>
      </w:r>
      <w:r>
        <w:rPr>
          <w:rFonts w:hint="eastAsia"/>
          <w:b/>
          <w:bCs/>
          <w:color w:val="000000"/>
          <w:sz w:val="21"/>
          <w:szCs w:val="21"/>
          <w:shd w:val="clear" w:color="auto" w:fill="ffffff"/>
        </w:rPr>
      </w:r>
      <w:r/>
    </w:p>
    <w:p>
      <w:pPr>
        <w:pStyle w:val="993"/>
        <w:ind w:firstLine="420"/>
        <w:spacing w:before="24" w:beforeAutospacing="0" w:after="24" w:afterAutospacing="0" w:line="360" w:lineRule="auto"/>
        <w:shd w:val="clear" w:color="auto" w:fill="ffffff"/>
        <w:rPr>
          <w:rFonts w:hint="eastAsia"/>
          <w:b/>
          <w:bCs/>
          <w:color w:val="000000"/>
          <w:sz w:val="21"/>
          <w:szCs w:val="21"/>
          <w:shd w:val="clear" w:color="auto" w:fill="ffffff"/>
        </w:rPr>
      </w:pPr>
      <w:r>
        <w:rPr>
          <w:rFonts w:hint="eastAsia"/>
          <w:b/>
          <w:bCs/>
          <w:color w:val="000000"/>
          <w:sz w:val="21"/>
          <w:szCs w:val="21"/>
          <w:shd w:val="clear" w:color="auto" w:fill="ffffff"/>
        </w:rPr>
        <w:t xml:space="preserve">5.该产品的关键工序要求实施前，“关键工序”栏可不填。</w:t>
      </w:r>
      <w:r>
        <w:rPr>
          <w:rFonts w:hint="eastAsia"/>
          <w:b/>
          <w:bCs/>
          <w:color w:val="000000"/>
          <w:sz w:val="21"/>
          <w:szCs w:val="21"/>
          <w:shd w:val="clear" w:color="auto" w:fill="ffffff"/>
        </w:rPr>
      </w:r>
      <w:r/>
    </w:p>
    <w:p>
      <w:pPr>
        <w:pStyle w:val="993"/>
        <w:ind w:firstLine="420"/>
        <w:spacing w:before="24" w:beforeAutospacing="0" w:after="24" w:afterAutospacing="0" w:line="360" w:lineRule="auto"/>
        <w:shd w:val="clear" w:color="auto" w:fill="ffffff"/>
        <w:rPr>
          <w:color w:val="000000"/>
        </w:rPr>
      </w:pPr>
      <w:r>
        <w:rPr>
          <w:rFonts w:hint="eastAsia"/>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28"/>
        <w:jc w:val="center"/>
        <w:rPr>
          <w:rFonts w:hint="eastAsia" w:ascii="方正小标宋简体" w:hAnsi="方正小标宋简体" w:eastAsia="方正小标宋简体" w:cs="方正小标宋简体"/>
          <w:color w:val="000000"/>
          <w:sz w:val="32"/>
          <w:szCs w:val="32"/>
        </w:rPr>
      </w:pPr>
      <w:r>
        <w:rPr>
          <w:color w:val="000000"/>
        </w:rPr>
        <w:br w:type="page" w:clear="all"/>
      </w:r>
      <w:bookmarkEnd w:id="203"/>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28"/>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p>
      <w:pPr>
        <w:pStyle w:val="928"/>
        <w:spacing w:line="480" w:lineRule="exact"/>
        <w:rPr>
          <w:rFonts w:hint="eastAsia" w:ascii="宋体" w:hAnsi="宋体" w:cs="仿宋"/>
          <w:color w:val="000000"/>
          <w:sz w:val="24"/>
          <w:szCs w:val="24"/>
        </w:rPr>
      </w:pP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18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1800" cy="301572"/>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２０</w:t>
                          </w:r>
                          <w:r>
                            <w:rPr>
                              <w:rFonts w:ascii="宋体" w:hAnsi="宋体"/>
                            </w:rPr>
                            <w:fldChar w:fldCharType="end"/>
                          </w:r>
                          <w:r>
                            <w:rPr>
                              <w:rStyle w:val="1001"/>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1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２０</w:t>
                    </w:r>
                    <w:r>
                      <w:rPr>
                        <w:rFonts w:ascii="宋体" w:hAnsi="宋体"/>
                      </w:rPr>
                      <w:fldChar w:fldCharType="end"/>
                    </w:r>
                    <w:r>
                      <w:rPr>
                        <w:rStyle w:val="1001"/>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字符"/>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字符"/>
    <w:next w:val="944"/>
    <w:link w:val="940"/>
    <w:rPr>
      <w:rFonts w:ascii="宋体" w:hAnsi="宋体" w:eastAsia="宋体" w:cs="Times New Roman"/>
      <w:szCs w:val="20"/>
    </w:rPr>
  </w:style>
  <w:style w:type="character" w:styleId="945">
    <w:name w:val="标题 1 字符"/>
    <w:next w:val="945"/>
    <w:link w:val="929"/>
    <w:rPr>
      <w:rFonts w:ascii="楷体_GB2312" w:hAnsi="Times New Roman" w:eastAsia="楷体_GB2312" w:cs="Times New Roman"/>
      <w:sz w:val="28"/>
      <w:szCs w:val="28"/>
    </w:rPr>
  </w:style>
  <w:style w:type="character" w:styleId="946">
    <w:name w:val="标题 2 字符"/>
    <w:next w:val="946"/>
    <w:link w:val="930"/>
    <w:rPr>
      <w:rFonts w:ascii="Arial" w:hAnsi="Arial" w:eastAsia="幼圆" w:cs="Arial"/>
      <w:b/>
      <w:bCs/>
      <w:sz w:val="44"/>
      <w:szCs w:val="44"/>
    </w:rPr>
  </w:style>
  <w:style w:type="character" w:styleId="947">
    <w:name w:val="标题 3 字符"/>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字符"/>
    <w:next w:val="949"/>
    <w:link w:val="948"/>
    <w:rPr>
      <w:szCs w:val="21"/>
    </w:rPr>
  </w:style>
  <w:style w:type="character" w:styleId="950">
    <w:name w:val="标题 4 字符"/>
    <w:next w:val="950"/>
    <w:link w:val="932"/>
    <w:rPr>
      <w:rFonts w:ascii="Arial" w:hAnsi="Arial" w:eastAsia="黑体" w:cs="Arial"/>
      <w:b/>
      <w:bCs/>
      <w:sz w:val="28"/>
      <w:szCs w:val="28"/>
    </w:rPr>
  </w:style>
  <w:style w:type="character" w:styleId="951">
    <w:name w:val="标题 5 字符"/>
    <w:next w:val="951"/>
    <w:link w:val="933"/>
    <w:rPr>
      <w:rFonts w:ascii="宋体" w:hAnsi="Times New Roman" w:eastAsia="宋体" w:cs="Times New Roman"/>
      <w:color w:val="000000"/>
      <w:sz w:val="28"/>
      <w:szCs w:val="28"/>
    </w:rPr>
  </w:style>
  <w:style w:type="character" w:styleId="952">
    <w:name w:val="标题 6 字符"/>
    <w:next w:val="952"/>
    <w:link w:val="934"/>
    <w:rPr>
      <w:rFonts w:ascii="Arial" w:hAnsi="Arial" w:eastAsia="黑体" w:cs="Times New Roman"/>
      <w:b/>
      <w:bCs/>
      <w:sz w:val="24"/>
      <w:szCs w:val="24"/>
    </w:rPr>
  </w:style>
  <w:style w:type="character" w:styleId="953">
    <w:name w:val="标题 7 字符"/>
    <w:next w:val="953"/>
    <w:link w:val="935"/>
    <w:rPr>
      <w:rFonts w:ascii="Times New Roman" w:hAnsi="Times New Roman" w:eastAsia="宋体" w:cs="Times New Roman"/>
      <w:b/>
      <w:bCs/>
      <w:sz w:val="24"/>
      <w:szCs w:val="24"/>
    </w:rPr>
  </w:style>
  <w:style w:type="character" w:styleId="954">
    <w:name w:val="标题 8 字符"/>
    <w:next w:val="954"/>
    <w:link w:val="936"/>
    <w:rPr>
      <w:rFonts w:ascii="Arial" w:hAnsi="Arial" w:eastAsia="黑体" w:cs="Times New Roman"/>
      <w:sz w:val="24"/>
      <w:szCs w:val="24"/>
    </w:rPr>
  </w:style>
  <w:style w:type="character" w:styleId="955">
    <w:name w:val="标题 9 字符"/>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字符"/>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1">
    <w:name w:val="批注文字 字符"/>
    <w:next w:val="961"/>
    <w:link w:val="960"/>
    <w:rPr>
      <w:rFonts w:ascii="Calibri" w:hAnsi="Calibri" w:eastAsia="宋体" w:cs="Times New Roman"/>
      <w:sz w:val="21"/>
      <w:szCs w:val="24"/>
    </w:rPr>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字符"/>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字符"/>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字符"/>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字符"/>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字符"/>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字符"/>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字符"/>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字符"/>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字符"/>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字符"/>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60"/>
    <w:next w:val="960"/>
    <w:link w:val="996"/>
    <w:semiHidden/>
    <w:rPr>
      <w:rFonts w:ascii="Times New Roman" w:hAnsi="Times New Roman" w:eastAsia="宋体" w:cs="Times New Roman"/>
      <w:b/>
      <w:bCs/>
      <w:szCs w:val="21"/>
    </w:rPr>
  </w:style>
  <w:style w:type="character" w:styleId="996">
    <w:name w:val="批注主题 字符"/>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字符"/>
    <w:next w:val="998"/>
    <w:link w:val="997"/>
    <w:rPr>
      <w:rFonts w:ascii="仿宋_GB2312" w:hAnsi="Times New Roman" w:eastAsia="仿宋_GB2312" w:cs="Times New Roman"/>
      <w:sz w:val="30"/>
      <w:szCs w:val="3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character" w:styleId="1006">
    <w:name w:val="批注文字 字符1"/>
    <w:next w:val="1006"/>
    <w:link w:val="960"/>
    <w:uiPriority w:val="99"/>
    <w:semiHidden/>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font5 Char"/>
    <w:next w:val="1008"/>
    <w:link w:val="928"/>
    <w:rPr>
      <w:rFonts w:ascii="宋体" w:hAnsi="宋体" w:eastAsia="宋体"/>
      <w:sz w:val="28"/>
      <w:szCs w:val="28"/>
      <w:lang w:val="en-US" w:eastAsia="zh-CN" w:bidi="ar-SA"/>
    </w:rPr>
  </w:style>
  <w:style w:type="character" w:styleId="1009">
    <w:name w:val="二级目录 Char"/>
    <w:next w:val="1009"/>
    <w:link w:val="1010"/>
    <w:rPr>
      <w:b/>
      <w:sz w:val="30"/>
      <w:szCs w:val="28"/>
    </w:rPr>
  </w:style>
  <w:style w:type="paragraph" w:styleId="1010">
    <w:name w:val="二级目录"/>
    <w:next w:val="928"/>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8"/>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28"/>
    <w:next w:val="964"/>
    <w:link w:val="928"/>
    <w:pPr>
      <w:spacing w:after="120"/>
    </w:pPr>
    <w:rPr>
      <w:rFonts w:ascii="宋体" w:hAnsi="Arial" w:eastAsia="宋体" w:cs="Times New Roman"/>
      <w:bCs/>
      <w:iCs/>
      <w:szCs w:val="24"/>
    </w:rPr>
  </w:style>
  <w:style w:type="paragraph" w:styleId="1014">
    <w:name w:val="xl27"/>
    <w:basedOn w:val="928"/>
    <w:next w:val="101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 Char"/>
    <w:basedOn w:val="958"/>
    <w:next w:val="1017"/>
    <w:link w:val="928"/>
    <w:rPr>
      <w:rFonts w:ascii="Tahoma" w:hAnsi="Tahoma"/>
      <w:sz w:val="24"/>
      <w:szCs w:val="24"/>
    </w:rPr>
  </w:style>
  <w:style w:type="paragraph" w:styleId="1018">
    <w:name w:val="普通正文"/>
    <w:basedOn w:val="928"/>
    <w:next w:val="1018"/>
    <w:link w:val="928"/>
    <w:pPr>
      <w:ind w:firstLine="480"/>
      <w:jc w:val="left"/>
      <w:spacing w:before="120" w:after="120" w:line="360" w:lineRule="auto"/>
    </w:pPr>
    <w:rPr>
      <w:rFonts w:ascii="Arial" w:hAnsi="Arial" w:eastAsia="宋体" w:cs="Times New Roman"/>
      <w:sz w:val="24"/>
      <w:szCs w:val="24"/>
    </w:rPr>
  </w:style>
  <w:style w:type="paragraph" w:styleId="1019">
    <w:name w:val="table_lines"/>
    <w:basedOn w:val="928"/>
    <w:next w:val="1019"/>
    <w:link w:val="928"/>
    <w:pPr>
      <w:jc w:val="left"/>
      <w:widowControl/>
    </w:pPr>
    <w:rPr>
      <w:rFonts w:ascii="Times New Roman" w:hAnsi="Times New Roman" w:eastAsia="宋体" w:cs="Times New Roman"/>
      <w:sz w:val="20"/>
      <w:szCs w:val="20"/>
      <w:lang w:val="de-DE" w:eastAsia="de-DE"/>
    </w:rPr>
  </w:style>
  <w:style w:type="paragraph" w:styleId="1020">
    <w:name w:val="附录1"/>
    <w:next w:val="1020"/>
    <w:link w:val="928"/>
    <w:pPr>
      <w:numPr>
        <w:ilvl w:val="0"/>
        <w:numId w:val="2"/>
      </w:numPr>
      <w:spacing w:before="240" w:line="600" w:lineRule="atLeast"/>
      <w:tabs>
        <w:tab w:val="left" w:pos="907" w:leader="none"/>
      </w:tabs>
    </w:pPr>
    <w:rPr>
      <w:b/>
      <w:i/>
      <w:sz w:val="28"/>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eastAsia="宋体" w:cs="Times New Roman"/>
      <w:sz w:val="18"/>
      <w:szCs w:val="18"/>
    </w:rPr>
  </w:style>
  <w:style w:type="paragraph" w:styleId="1022">
    <w:name w:val=" Char Char Char Char"/>
    <w:basedOn w:val="958"/>
    <w:next w:val="1022"/>
    <w:link w:val="928"/>
    <w:pPr>
      <w:spacing w:line="360" w:lineRule="auto"/>
    </w:pPr>
    <w:rPr>
      <w:rFonts w:ascii="Tahoma" w:hAnsi="Tahoma"/>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5">
    <w:name w:val="普通 (Web)"/>
    <w:basedOn w:val="928"/>
    <w:next w:val="1025"/>
    <w:link w:val="928"/>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8"/>
    <w:next w:val="1026"/>
    <w:link w:val="928"/>
    <w:pPr>
      <w:spacing w:line="360" w:lineRule="auto"/>
    </w:pPr>
    <w:rPr>
      <w:rFonts w:ascii="Times New Roman" w:hAnsi="Times New Roman" w:eastAsia="宋体" w:cs="Times New Roman"/>
      <w:sz w:val="24"/>
      <w:szCs w:val="20"/>
    </w:rPr>
  </w:style>
  <w:style w:type="paragraph" w:styleId="1027">
    <w:name w:val="样式1"/>
    <w:basedOn w:val="928"/>
    <w:next w:val="1027"/>
    <w:link w:val="928"/>
    <w:pPr>
      <w:numPr>
        <w:ilvl w:val="0"/>
        <w:numId w:val="3"/>
      </w:numPr>
      <w:tabs>
        <w:tab w:val="left" w:pos="709" w:leader="none"/>
      </w:tabs>
    </w:pPr>
    <w:rPr>
      <w:rFonts w:ascii="宋体" w:hAnsi="宋体" w:eastAsia="宋体" w:cs="Times New Roman"/>
      <w:szCs w:val="21"/>
    </w:rPr>
  </w:style>
  <w:style w:type="paragraph" w:styleId="1028">
    <w:name w:val="font6"/>
    <w:basedOn w:val="928"/>
    <w:next w:val="1028"/>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8"/>
    <w:next w:val="1029"/>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2">
    <w:name w:val="xl24"/>
    <w:basedOn w:val="928"/>
    <w:next w:val="103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8"/>
    <w:next w:val="1033"/>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8"/>
    <w:next w:val="1034"/>
    <w:link w:val="928"/>
    <w:pPr>
      <w:jc w:val="left"/>
      <w:spacing w:after="160" w:line="240" w:lineRule="exact"/>
      <w:widowControl/>
    </w:pPr>
    <w:rPr>
      <w:rFonts w:ascii="Verdana" w:hAnsi="Verdana" w:eastAsia="宋体" w:cs="Times New Roman"/>
      <w:sz w:val="20"/>
      <w:szCs w:val="20"/>
      <w:lang w:eastAsia="en-US"/>
    </w:rPr>
  </w:style>
  <w:style w:type="paragraph" w:styleId="1035">
    <w:name w:val="xl28"/>
    <w:basedOn w:val="928"/>
    <w:next w:val="1035"/>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8"/>
    <w:next w:val="1036"/>
    <w:link w:val="928"/>
    <w:pPr>
      <w:jc w:val="left"/>
      <w:spacing w:after="160" w:line="240" w:lineRule="exact"/>
      <w:widowControl/>
    </w:pPr>
    <w:rPr>
      <w:rFonts w:ascii="Verdana" w:hAnsi="Verdana" w:eastAsia="宋体" w:cs="Times New Roman"/>
      <w:sz w:val="20"/>
      <w:szCs w:val="20"/>
      <w:lang w:eastAsia="en-US"/>
    </w:rPr>
  </w:style>
  <w:style w:type="paragraph" w:styleId="1037">
    <w:name w:val="xl30"/>
    <w:basedOn w:val="928"/>
    <w:next w:val="1037"/>
    <w:link w:val="928"/>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8"/>
    <w:next w:val="1038"/>
    <w:link w:val="928"/>
    <w:pPr>
      <w:spacing w:line="360" w:lineRule="auto"/>
    </w:pPr>
    <w:rPr>
      <w:rFonts w:ascii="Tahoma" w:hAnsi="Tahoma"/>
      <w:sz w:val="24"/>
      <w:szCs w:val="24"/>
    </w:rPr>
  </w:style>
  <w:style w:type="paragraph" w:styleId="1039">
    <w:name w:val="table_1stline"/>
    <w:basedOn w:val="928"/>
    <w:next w:val="1039"/>
    <w:link w:val="928"/>
    <w:pPr>
      <w:jc w:val="left"/>
      <w:spacing w:before="120"/>
      <w:widowControl/>
    </w:pPr>
    <w:rPr>
      <w:rFonts w:ascii="Times New Roman" w:hAnsi="Times New Roman" w:eastAsia="宋体" w:cs="Times New Roman"/>
      <w:bCs/>
      <w:sz w:val="20"/>
      <w:szCs w:val="20"/>
      <w:lang w:val="de-DE" w:eastAsia="de-DE"/>
    </w:rPr>
  </w:style>
  <w:style w:type="paragraph" w:styleId="1040">
    <w:name w:val="font5"/>
    <w:basedOn w:val="928"/>
    <w:next w:val="1040"/>
    <w:link w:val="928"/>
    <w:pPr>
      <w:jc w:val="left"/>
      <w:spacing w:before="100" w:beforeAutospacing="1" w:after="100" w:afterAutospacing="1"/>
      <w:widowControl/>
    </w:pPr>
    <w:rPr>
      <w:rFonts w:hint="eastAsia" w:ascii="宋体" w:hAnsi="宋体" w:eastAsia="宋体" w:cs="Times New Roman"/>
      <w:sz w:val="28"/>
      <w:szCs w:val="28"/>
    </w:rPr>
  </w:style>
  <w:style w:type="paragraph" w:styleId="1041">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name w:val="修订"/>
    <w:next w:val="1042"/>
    <w:link w:val="928"/>
    <w:uiPriority w:val="99"/>
    <w:semiHidden/>
    <w:rPr>
      <w:sz w:val="21"/>
      <w:szCs w:val="21"/>
      <w:lang w:val="en-US" w:eastAsia="zh-CN" w:bidi="ar-SA"/>
    </w:rPr>
  </w:style>
  <w:style w:type="paragraph" w:styleId="1043">
    <w:name w:val="无间隔"/>
    <w:next w:val="1043"/>
    <w:link w:val="928"/>
    <w:uiPriority w:val="99"/>
    <w:qFormat/>
    <w:pPr>
      <w:jc w:val="both"/>
      <w:widowControl w:val="off"/>
    </w:pPr>
    <w:rPr>
      <w:sz w:val="21"/>
      <w:szCs w:val="21"/>
      <w:lang w:val="en-US" w:eastAsia="zh-CN" w:bidi="ar-SA"/>
    </w:rPr>
  </w:style>
  <w:style w:type="table" w:styleId="1044">
    <w:name w:val="Table Normal"/>
    <w:next w:val="1044"/>
    <w:link w:val="928"/>
    <w:qFormat/>
    <w:rPr>
      <w:lang w:val="en-US" w:eastAsia="zh-CN" w:bidi="ar-SA"/>
    </w:rPr>
    <w:tblPr/>
  </w:style>
  <w:style w:type="paragraph" w:styleId="1045">
    <w:name w:val="正文文本12"/>
    <w:basedOn w:val="928"/>
    <w:next w:val="1045"/>
    <w:link w:val="928"/>
    <w:uiPriority w:val="1"/>
    <w:qFormat/>
    <w:pPr>
      <w:ind w:left="120"/>
    </w:pPr>
    <w:rPr>
      <w:rFonts w:ascii="宋体" w:hAnsi="宋体" w:eastAsia="宋体" w:cs="宋体"/>
      <w:sz w:val="21"/>
      <w:szCs w:val="21"/>
      <w:lang w:val="zh-CN" w:eastAsia="zh-CN" w:bidi="zh-CN"/>
    </w:r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Table Paragraph"/>
    <w:basedOn w:val="928"/>
    <w:next w:val="1048"/>
    <w:link w:val="928"/>
    <w:uiPriority w:val="1"/>
    <w:qFormat/>
    <w:pPr>
      <w:jc w:val="left"/>
    </w:pPr>
    <w:rPr>
      <w:rFonts w:ascii="宋体" w:hAnsi="宋体" w:eastAsia="宋体" w:cs="宋体"/>
      <w:sz w:val="22"/>
      <w:szCs w:val="22"/>
      <w:lang w:val="zh-CN" w:bidi="zh-CN"/>
    </w:rPr>
  </w:style>
  <w:style w:type="table" w:styleId="1049">
    <w:name w:val="网格型1"/>
    <w:basedOn w:val="1050"/>
    <w:next w:val="1049"/>
    <w:link w:val="928"/>
    <w:qFormat/>
    <w:pPr>
      <w:jc w:val="both"/>
      <w:widowControl w:val="off"/>
    </w:pPr>
    <w:tblPr/>
  </w:style>
  <w:style w:type="table" w:styleId="1050">
    <w:name w:val="普通表格1"/>
    <w:next w:val="1050"/>
    <w:link w:val="928"/>
    <w:uiPriority w:val="99"/>
    <w:unhideWhenUsed/>
    <w:qFormat/>
    <w:rPr>
      <w:lang w:val="en-US" w:eastAsia="zh-CN" w:bidi="ar-SA"/>
    </w:rPr>
    <w:tblPr/>
  </w:style>
  <w:style w:type="paragraph" w:styleId="1051">
    <w:name w:val="正文文本缩进1"/>
    <w:basedOn w:val="928"/>
    <w:next w:val="1052"/>
    <w:link w:val="928"/>
    <w:unhideWhenUsed/>
    <w:qFormat/>
    <w:pPr>
      <w:ind w:left="420"/>
      <w:spacing w:after="120"/>
    </w:pPr>
  </w:style>
  <w:style w:type="paragraph" w:styleId="1052">
    <w:name w:val="正文首行缩进 21"/>
    <w:basedOn w:val="1051"/>
    <w:next w:val="1052"/>
    <w:link w:val="928"/>
    <w:qFormat/>
    <w:pPr>
      <w:ind w:left="0" w:firstLine="420"/>
      <w:spacing w:after="0" w:line="360" w:lineRule="auto"/>
    </w:pPr>
    <w:rPr>
      <w:rFonts w:ascii="宋体" w:hAnsi="宋体"/>
      <w:sz w:val="20"/>
      <w:szCs w:val="20"/>
      <w:lang w:val="en-US" w:eastAsia="en-US"/>
    </w:rPr>
  </w:style>
  <w:style w:type="table" w:styleId="1053">
    <w:name w:val="Table Normal_0"/>
    <w:next w:val="1053"/>
    <w:link w:val="928"/>
    <w:qFormat/>
    <w:rPr>
      <w:lang w:val="en-US" w:eastAsia="zh-CN" w:bidi="ar-SA"/>
    </w:rPr>
    <w:tbl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2026-03-31T08:35:00Z</dcterms:created>
  <dcterms:modified xsi:type="dcterms:W3CDTF">2026-04-08T02:08:29Z</dcterms:modified>
</cp:coreProperties>
</file>