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双沟镇兴业路(发展大道-翔宇大道)给水迁改工程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pStyle w:val="2"/>
              <w:numPr>
                <w:ilvl w:val="0"/>
                <w:numId w:val="0"/>
              </w:numPr>
              <w:adjustRightInd w:val="0"/>
              <w:snapToGrid w:val="0"/>
              <w:spacing w:line="360" w:lineRule="auto"/>
              <w:ind w:leftChars="0" w:firstLine="640" w:firstLineChars="200"/>
              <w:rPr>
                <w:rFonts w:hint="default" w:ascii="Times New Roman" w:hAnsi="Times New Roman" w:eastAsia="宋体" w:cs="Times New Roman"/>
                <w:kern w:val="2"/>
                <w:sz w:val="28"/>
                <w:szCs w:val="24"/>
                <w:lang w:val="en-US" w:eastAsia="zh-CN" w:bidi="ar-SA"/>
              </w:rPr>
            </w:pPr>
            <w:r>
              <w:rPr>
                <w:rFonts w:hint="eastAsia" w:ascii="楷体" w:hAnsi="楷体" w:eastAsia="楷体" w:cs="Times New Roman"/>
                <w:kern w:val="0"/>
                <w:sz w:val="32"/>
                <w:szCs w:val="32"/>
                <w:lang w:val="en-US" w:eastAsia="zh-CN" w:bidi="ar-SA"/>
              </w:rPr>
              <w:t>双沟镇兴业路(发展大道-翔宇大道)给水迁改工程，地点位于睢宁县区域内。包含园林、市政等工程</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工程类别：三类工程。</w:t>
            </w:r>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bookmarkStart w:id="0" w:name="_GoBack"/>
            <w:bookmarkEnd w:id="0"/>
          </w:p>
          <w:p w14:paraId="232CF4B0">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1、工程量清单所含施工图内容。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5</w:t>
            </w:r>
            <w:r>
              <w:rPr>
                <w:rFonts w:hint="eastAsia" w:ascii="楷体" w:hAnsi="楷体" w:eastAsia="楷体"/>
                <w:bCs/>
                <w:sz w:val="32"/>
                <w:szCs w:val="32"/>
              </w:rPr>
              <w:t>]</w:t>
            </w:r>
            <w:r>
              <w:rPr>
                <w:rFonts w:hint="eastAsia" w:ascii="楷体" w:hAnsi="楷体" w:eastAsia="楷体"/>
                <w:bCs/>
                <w:sz w:val="32"/>
                <w:szCs w:val="32"/>
                <w:lang w:val="en-US" w:eastAsia="zh-CN"/>
              </w:rPr>
              <w:t>273</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26</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1</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，部分材料价格参照市场价格</w:t>
            </w:r>
            <w:r>
              <w:rPr>
                <w:rFonts w:hint="eastAsia" w:ascii="楷体" w:hAnsi="楷体" w:eastAsia="楷体" w:cs="Times New Roman"/>
                <w:sz w:val="32"/>
                <w:szCs w:val="32"/>
              </w:rPr>
              <w:t>。</w:t>
            </w:r>
          </w:p>
          <w:p w14:paraId="45D16A9B">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cs="Times New Roman"/>
                <w:sz w:val="32"/>
                <w:szCs w:val="32"/>
                <w:lang w:val="en-US" w:eastAsia="zh-CN"/>
              </w:rPr>
              <w:t>园林</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1.2</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5BDCA5ED">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cs="Times New Roman"/>
                <w:sz w:val="32"/>
                <w:szCs w:val="32"/>
                <w:lang w:val="en-US" w:eastAsia="zh-CN"/>
              </w:rPr>
              <w:t>园林</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0.21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0.21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cs="Times New Roman"/>
                <w:sz w:val="32"/>
                <w:szCs w:val="32"/>
                <w:lang w:val="en-US" w:eastAsia="zh-CN"/>
              </w:rPr>
              <w:t>园林</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0.3</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cs="Times New Roman"/>
                <w:sz w:val="32"/>
                <w:szCs w:val="32"/>
                <w:lang w:val="en-US" w:eastAsia="zh-CN"/>
              </w:rPr>
              <w:t>园林</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0.04</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r>
              <w:rPr>
                <w:rFonts w:hint="eastAsia" w:ascii="楷体" w:hAnsi="楷体" w:eastAsia="楷体"/>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0.03</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2765B74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lang w:val="en-US" w:eastAsia="zh-CN"/>
              </w:rPr>
              <w:t>智慧工地费用：</w:t>
            </w:r>
            <w:r>
              <w:rPr>
                <w:rFonts w:hint="eastAsia" w:ascii="楷体" w:hAnsi="楷体" w:eastAsia="楷体" w:cs="Times New Roman"/>
                <w:sz w:val="32"/>
                <w:szCs w:val="32"/>
                <w:lang w:val="en-US" w:eastAsia="zh-CN"/>
              </w:rPr>
              <w:t>土建</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0.02</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r>
              <w:rPr>
                <w:rFonts w:hint="eastAsia" w:ascii="楷体" w:hAnsi="楷体" w:eastAsia="楷体" w:cs="Times New Roman"/>
                <w:sz w:val="32"/>
                <w:szCs w:val="32"/>
                <w:lang w:val="en-US" w:eastAsia="zh-CN"/>
              </w:rPr>
              <w:t>市政</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0.06</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w:t>
            </w:r>
            <w:r>
              <w:rPr>
                <w:rFonts w:hint="eastAsia" w:ascii="楷体" w:hAnsi="楷体" w:eastAsia="楷体"/>
                <w:sz w:val="32"/>
                <w:szCs w:val="32"/>
                <w:lang w:val="en-US" w:eastAsia="zh-CN"/>
              </w:rPr>
              <w:t>金额</w:t>
            </w:r>
            <w:r>
              <w:rPr>
                <w:rFonts w:hint="eastAsia" w:ascii="楷体" w:hAnsi="楷体" w:eastAsia="楷体"/>
                <w:sz w:val="32"/>
                <w:szCs w:val="32"/>
              </w:rPr>
              <w:t>，材料暂估价见清单，结算时按时调整。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BCB5F0E"/>
    <w:rsid w:val="0C582B2E"/>
    <w:rsid w:val="0C5F7FE1"/>
    <w:rsid w:val="0EE56D9B"/>
    <w:rsid w:val="113E2C8D"/>
    <w:rsid w:val="1143569A"/>
    <w:rsid w:val="129B247A"/>
    <w:rsid w:val="12AF00B5"/>
    <w:rsid w:val="13D966C0"/>
    <w:rsid w:val="1522757A"/>
    <w:rsid w:val="19204F6E"/>
    <w:rsid w:val="1AC45A1B"/>
    <w:rsid w:val="1B2B5FD8"/>
    <w:rsid w:val="1DA91421"/>
    <w:rsid w:val="21B63AB6"/>
    <w:rsid w:val="21BA5301"/>
    <w:rsid w:val="22D252CA"/>
    <w:rsid w:val="235637B6"/>
    <w:rsid w:val="23C93E26"/>
    <w:rsid w:val="24765434"/>
    <w:rsid w:val="27296D3B"/>
    <w:rsid w:val="27CD76C5"/>
    <w:rsid w:val="2BB73D15"/>
    <w:rsid w:val="2E812C7B"/>
    <w:rsid w:val="2F446DEC"/>
    <w:rsid w:val="2F6B6C8D"/>
    <w:rsid w:val="30E02677"/>
    <w:rsid w:val="316A7758"/>
    <w:rsid w:val="328D7CDE"/>
    <w:rsid w:val="34617845"/>
    <w:rsid w:val="38EA64C2"/>
    <w:rsid w:val="3BD02620"/>
    <w:rsid w:val="3E265BB9"/>
    <w:rsid w:val="410B3801"/>
    <w:rsid w:val="43B014C4"/>
    <w:rsid w:val="453C1E8D"/>
    <w:rsid w:val="46DF5F06"/>
    <w:rsid w:val="48971A7F"/>
    <w:rsid w:val="48B36036"/>
    <w:rsid w:val="4ACE057E"/>
    <w:rsid w:val="4C611B94"/>
    <w:rsid w:val="57104644"/>
    <w:rsid w:val="5B08716C"/>
    <w:rsid w:val="5B8435BA"/>
    <w:rsid w:val="5DFB0BC0"/>
    <w:rsid w:val="60B9669A"/>
    <w:rsid w:val="64935D06"/>
    <w:rsid w:val="66CF0175"/>
    <w:rsid w:val="675377A6"/>
    <w:rsid w:val="6ADB3DE5"/>
    <w:rsid w:val="6AF92044"/>
    <w:rsid w:val="6B1B7A1C"/>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1077</Words>
  <Characters>1215</Characters>
  <Lines>7</Lines>
  <Paragraphs>2</Paragraphs>
  <TotalTime>106</TotalTime>
  <ScaleCrop>false</ScaleCrop>
  <LinksUpToDate>false</LinksUpToDate>
  <CharactersWithSpaces>1222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2026-03-16T09:13:00Z</cp:lastPrinted>
  <dcterms:modified xsi:type="dcterms:W3CDTF">2026-03-16T09:16:42Z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85F2CF1253E849AAAA39D74F1EDE85A8_12</vt:lpwstr>
  </property>
  <property fmtid="{D5CDD505-2E9C-101B-9397-08002B2CF9AE}" pid="4" name="KSOTemplateDocerSaveRecord">
    <vt:lpwstr>eyJoZGlkIjoiZDk5YjM4ZDkyODljMjdjNjBmYjFjZjlkMzE0Zjk4MTIiLCJ1c2VySWQiOiIxMTUxNDMxOTk5In0=</vt:lpwstr>
  </property>
</Properties>
</file>