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color w:val="auto"/>
          <w:sz w:val="72"/>
          <w:szCs w:val="72"/>
          <w:highlight w:val="none"/>
        </w:rPr>
      </w:pPr>
      <w:r>
        <w:rPr>
          <w:rFonts w:hint="eastAsia" w:ascii="宋体" w:hAnsi="宋体"/>
          <w:b/>
          <w:color w:val="auto"/>
          <w:sz w:val="72"/>
          <w:szCs w:val="72"/>
          <w:highlight w:val="none"/>
        </w:rPr>
      </w:r>
      <w:r/>
    </w:p>
    <w:p>
      <w:pPr>
        <w:jc w:val="center"/>
        <w:spacing w:line="360" w:lineRule="auto"/>
        <w:rPr>
          <w:rFonts w:hint="eastAsia" w:ascii="宋体" w:hAnsi="宋体"/>
          <w:b/>
          <w:color w:val="auto"/>
          <w:sz w:val="72"/>
          <w:szCs w:val="72"/>
          <w:highlight w:val="none"/>
        </w:rPr>
      </w:pPr>
      <w:r>
        <w:rPr>
          <w:rFonts w:hint="eastAsia" w:ascii="宋体" w:hAnsi="宋体"/>
          <w:b/>
          <w:color w:val="auto"/>
          <w:sz w:val="72"/>
          <w:szCs w:val="72"/>
          <w:highlight w:val="none"/>
        </w:rPr>
      </w:r>
      <w:r/>
    </w:p>
    <w:p>
      <w:pPr>
        <w:jc w:val="center"/>
        <w:spacing w:line="360" w:lineRule="auto"/>
        <w:rPr>
          <w:rFonts w:ascii="宋体" w:hAnsi="宋体"/>
          <w:b/>
          <w:color w:val="auto"/>
          <w:sz w:val="72"/>
          <w:szCs w:val="72"/>
          <w:highlight w:val="none"/>
        </w:rPr>
      </w:pPr>
      <w:r>
        <w:rPr>
          <w:rFonts w:hint="eastAsia" w:ascii="宋体" w:hAnsi="宋体"/>
          <w:b/>
          <w:color w:val="auto"/>
          <w:sz w:val="72"/>
          <w:szCs w:val="72"/>
          <w:highlight w:val="none"/>
          <w:lang w:val="en-US" w:eastAsia="zh-CN"/>
        </w:rPr>
        <w:t xml:space="preserve">苏州市相城区</w:t>
      </w:r>
      <w:r>
        <w:rPr>
          <w:rFonts w:hint="eastAsia" w:ascii="宋体" w:hAnsi="宋体"/>
          <w:b/>
          <w:color w:val="auto"/>
          <w:sz w:val="72"/>
          <w:szCs w:val="72"/>
          <w:highlight w:val="none"/>
        </w:rPr>
        <w:t xml:space="preserve">政府采购</w:t>
      </w:r>
      <w:r/>
    </w:p>
    <w:p>
      <w:pPr>
        <w:jc w:val="center"/>
        <w:spacing w:line="360" w:lineRule="auto"/>
        <w:tabs>
          <w:tab w:val="left" w:pos="8930" w:leader="none"/>
          <w:tab w:val="left" w:pos="9306" w:leader="none"/>
        </w:tabs>
        <w:rPr>
          <w:rFonts w:ascii="宋体" w:hAnsi="宋体"/>
          <w:b/>
          <w:color w:val="auto"/>
          <w:sz w:val="72"/>
          <w:szCs w:val="72"/>
          <w:highlight w:val="none"/>
        </w:rPr>
      </w:pPr>
      <w:r>
        <w:rPr>
          <w:rFonts w:hint="eastAsia" w:ascii="宋体" w:hAnsi="宋体" w:eastAsia="宋体"/>
          <w:b/>
          <w:color w:val="auto"/>
          <w:sz w:val="72"/>
          <w:szCs w:val="72"/>
          <w:highlight w:val="none"/>
        </w:rPr>
        <w:t xml:space="preserve">竞争性磋商文件</w:t>
      </w:r>
      <w:r/>
    </w:p>
    <w:p>
      <w:pPr>
        <w:spacing w:line="360" w:lineRule="auto"/>
        <w:rPr>
          <w:rFonts w:ascii="宋体" w:hAnsi="宋体"/>
          <w:bCs/>
          <w:color w:val="auto"/>
          <w:sz w:val="24"/>
          <w:highlight w:val="none"/>
        </w:rPr>
      </w:pPr>
      <w:r>
        <w:rPr>
          <w:rFonts w:ascii="宋体" w:hAnsi="宋体"/>
          <w:bCs/>
          <w:color w:val="auto"/>
          <w:sz w:val="24"/>
          <w:highlight w:val="none"/>
        </w:rPr>
      </w:r>
      <w:r/>
    </w:p>
    <w:p>
      <w:pPr>
        <w:ind w:firstLine="1205"/>
        <w:jc w:val="left"/>
        <w:keepLines w:val="0"/>
        <w:keepNext w:val="0"/>
        <w:pageBreakBefore w:val="0"/>
        <w:spacing w:before="75" w:beforeAutospacing="0" w:after="75" w:afterAutospacing="0" w:line="480" w:lineRule="auto"/>
        <w:widowControl/>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p>
      <w:pPr>
        <w:ind w:firstLine="1205"/>
        <w:jc w:val="left"/>
        <w:keepLines w:val="0"/>
        <w:keepNext w:val="0"/>
        <w:pageBreakBefore w:val="0"/>
        <w:spacing w:before="75" w:beforeAutospacing="0" w:after="75" w:afterAutospacing="0" w:line="480" w:lineRule="auto"/>
        <w:widowControl/>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p>
      <w:pPr>
        <w:ind w:firstLine="1205"/>
        <w:jc w:val="left"/>
        <w:keepLines w:val="0"/>
        <w:keepNext w:val="0"/>
        <w:pageBreakBefore w:val="0"/>
        <w:spacing w:before="75" w:beforeAutospacing="0" w:after="75" w:afterAutospacing="0" w:line="480" w:lineRule="auto"/>
        <w:widowControl/>
        <w:rPr>
          <w:rFonts w:hint="eastAsia" w:ascii="宋体" w:hAnsi="宋体" w:eastAsia="宋体" w:cs="宋体"/>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t xml:space="preserve">采购编号：</w:t>
      </w:r>
      <w:r>
        <w:rPr>
          <w:rFonts w:hint="eastAsia" w:ascii="宋体" w:hAnsi="宋体" w:cs="宋体"/>
          <w:b/>
          <w:color w:val="auto"/>
          <w:sz w:val="30"/>
          <w:szCs w:val="30"/>
          <w:highlight w:val="none"/>
          <w:u w:val="single"/>
          <w:lang w:val="en-US" w:eastAsia="zh-CN" w:bidi="ar-SA"/>
        </w:rPr>
        <w:t xml:space="preserve">JSZC-320507-SZRQ-C2026-0010</w:t>
      </w:r>
      <w:r/>
    </w:p>
    <w:p>
      <w:pPr>
        <w:ind w:left="2699" w:hanging="1506"/>
        <w:jc w:val="left"/>
        <w:keepLines w:val="0"/>
        <w:keepNext w:val="0"/>
        <w:pageBreakBefore w:val="0"/>
        <w:spacing w:before="75" w:beforeAutospacing="0" w:after="75" w:afterAutospacing="0" w:line="480" w:lineRule="auto"/>
        <w:widowControl/>
        <w:rPr>
          <w:rFonts w:hint="eastAsia" w:ascii="宋体" w:hAnsi="宋体" w:eastAsia="宋体" w:cs="sans-serif"/>
          <w:color w:val="auto"/>
          <w:sz w:val="24"/>
          <w:szCs w:val="24"/>
          <w:highlight w:val="none"/>
          <w:lang w:val="en-US" w:eastAsia="zh-CN" w:bidi="ar-SA"/>
        </w:rPr>
      </w:pPr>
      <w:r>
        <w:rPr>
          <w:rFonts w:hint="eastAsia" w:ascii="宋体" w:hAnsi="宋体" w:eastAsia="宋体" w:cs="宋体"/>
          <w:b/>
          <w:color w:val="auto"/>
          <w:sz w:val="30"/>
          <w:szCs w:val="30"/>
          <w:highlight w:val="none"/>
          <w:lang w:val="en-US" w:eastAsia="zh-CN" w:bidi="ar-SA"/>
        </w:rPr>
        <w:t xml:space="preserve">项目名称：</w:t>
      </w:r>
      <w:r>
        <w:rPr>
          <w:rFonts w:hint="eastAsia" w:ascii="宋体" w:hAnsi="宋体" w:cs="宋体"/>
          <w:b/>
          <w:color w:val="auto"/>
          <w:sz w:val="30"/>
          <w:szCs w:val="30"/>
          <w:highlight w:val="none"/>
          <w:u w:val="single"/>
          <w:lang w:val="en-US" w:eastAsia="zh-CN" w:bidi="ar-SA"/>
        </w:rPr>
        <w:t xml:space="preserve">2026年度黄埭镇政府及国有（集体）投资工程审计委托协审服务</w:t>
      </w:r>
      <w:r/>
    </w:p>
    <w:p>
      <w:pPr>
        <w:ind w:firstLine="1205"/>
        <w:jc w:val="left"/>
        <w:keepLines w:val="0"/>
        <w:keepNext w:val="0"/>
        <w:pageBreakBefore w:val="0"/>
        <w:spacing w:before="75" w:beforeAutospacing="0" w:after="75" w:afterAutospacing="0" w:line="480" w:lineRule="auto"/>
        <w:widowControl/>
        <w:rPr>
          <w:rFonts w:hint="eastAsia" w:ascii="宋体" w:hAnsi="宋体" w:eastAsia="宋体" w:cs="sans-serif"/>
          <w:color w:val="auto"/>
          <w:sz w:val="24"/>
          <w:szCs w:val="24"/>
          <w:highlight w:val="none"/>
          <w:lang w:val="en-US" w:eastAsia="zh-CN" w:bidi="ar-SA"/>
        </w:rPr>
      </w:pPr>
      <w:r>
        <w:rPr>
          <w:rFonts w:hint="eastAsia" w:ascii="宋体" w:hAnsi="宋体" w:eastAsia="宋体" w:cs="宋体"/>
          <w:b/>
          <w:color w:val="auto"/>
          <w:sz w:val="30"/>
          <w:szCs w:val="30"/>
          <w:highlight w:val="none"/>
          <w:lang w:val="en-US" w:eastAsia="zh-CN" w:bidi="ar-SA"/>
        </w:rPr>
        <w:t xml:space="preserve">采 购 人：</w:t>
      </w:r>
      <w:r>
        <w:rPr>
          <w:rFonts w:hint="eastAsia" w:ascii="宋体" w:hAnsi="宋体" w:cs="宋体"/>
          <w:b/>
          <w:color w:val="auto"/>
          <w:sz w:val="30"/>
          <w:szCs w:val="30"/>
          <w:highlight w:val="none"/>
          <w:u w:val="single"/>
          <w:lang w:val="en-US" w:eastAsia="zh-CN" w:bidi="ar-SA"/>
        </w:rPr>
        <w:t xml:space="preserve">苏州市相城区黄埭镇人民政府（苏州市相城区黄埭镇财政和资产监督管理办公室）</w:t>
      </w:r>
      <w:r/>
    </w:p>
    <w:p>
      <w:pPr>
        <w:ind w:firstLine="1205"/>
        <w:jc w:val="left"/>
        <w:keepLines w:val="0"/>
        <w:keepNext w:val="0"/>
        <w:pageBreakBefore w:val="0"/>
        <w:spacing w:before="75" w:beforeAutospacing="0" w:after="75" w:afterAutospacing="0" w:line="480" w:lineRule="auto"/>
        <w:widowControl/>
        <w:rPr>
          <w:rFonts w:hint="eastAsia" w:ascii="宋体" w:hAnsi="宋体" w:eastAsia="宋体" w:cs="宋体"/>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t xml:space="preserve">采购代理机构：</w:t>
      </w:r>
      <w:r>
        <w:rPr>
          <w:rFonts w:hint="eastAsia" w:ascii="宋体" w:hAnsi="宋体" w:eastAsia="宋体" w:cs="宋体"/>
          <w:b/>
          <w:color w:val="auto"/>
          <w:sz w:val="30"/>
          <w:szCs w:val="30"/>
          <w:highlight w:val="none"/>
          <w:u w:val="single"/>
          <w:lang w:val="en-US" w:eastAsia="zh-CN" w:bidi="ar-SA"/>
        </w:rPr>
        <w:t xml:space="preserve">苏州睿乔招投标咨询服务有限公司</w:t>
      </w:r>
      <w:r/>
    </w:p>
    <w:p>
      <w:pPr>
        <w:ind w:firstLine="1205"/>
        <w:jc w:val="left"/>
        <w:keepLines w:val="0"/>
        <w:keepNext w:val="0"/>
        <w:pageBreakBefore w:val="0"/>
        <w:spacing w:before="75" w:beforeAutospacing="0" w:after="75" w:afterAutospacing="0" w:line="480" w:lineRule="auto"/>
        <w:widowControl/>
        <w:rPr>
          <w:rFonts w:hint="eastAsia" w:ascii="宋体" w:hAnsi="宋体" w:eastAsia="宋体" w:cs="宋体"/>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t xml:space="preserve">采购类别：服务类</w:t>
      </w:r>
      <w:r/>
    </w:p>
    <w:p>
      <w:pPr>
        <w:jc w:val="left"/>
        <w:widowControl/>
        <w:rPr>
          <w:color w:val="auto"/>
          <w:highlight w:val="none"/>
        </w:rPr>
      </w:pPr>
      <w:r>
        <w:rPr>
          <w:color w:val="auto"/>
          <w:highlight w:val="none"/>
        </w:rPr>
      </w:r>
      <w:r/>
    </w:p>
    <w:p>
      <w:pPr>
        <w:jc w:val="center"/>
        <w:spacing w:line="360" w:lineRule="auto"/>
        <w:rPr>
          <w:rFonts w:ascii="宋体" w:hAnsi="宋体" w:eastAsia="宋体" w:cs="Times New Roman"/>
          <w:b/>
          <w:color w:val="auto"/>
          <w:sz w:val="32"/>
          <w:szCs w:val="32"/>
          <w:highlight w:val="none"/>
        </w:rPr>
      </w:pPr>
      <w:r>
        <w:rPr>
          <w:rFonts w:hint="eastAsia" w:ascii="宋体" w:hAnsi="宋体"/>
          <w:b/>
          <w:color w:val="auto"/>
          <w:sz w:val="30"/>
          <w:szCs w:val="30"/>
          <w:highlight w:val="none"/>
        </w:rPr>
        <w:br w:type="page" w:clear="all"/>
      </w:r>
      <w:r>
        <w:rPr>
          <w:rFonts w:hint="eastAsia" w:ascii="宋体" w:hAnsi="宋体" w:eastAsia="宋体" w:cs="Times New Roman"/>
          <w:b/>
          <w:color w:val="auto"/>
          <w:sz w:val="32"/>
          <w:szCs w:val="32"/>
          <w:highlight w:val="none"/>
        </w:rPr>
        <w:t xml:space="preserve">前附表</w:t>
      </w:r>
      <w:r/>
    </w:p>
    <w:tbl>
      <w:tblPr>
        <w:tblStyle w:val="733"/>
        <w:tblW w:w="962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21"/>
        <w:gridCol w:w="8507"/>
      </w:tblGrid>
      <w:tr>
        <w:trPr>
          <w:jc w:val="center"/>
          <w:trHeight w:val="495"/>
        </w:trPr>
        <w:tc>
          <w:tcPr>
            <w:tcW w:w="1121" w:type="dxa"/>
            <w:vAlign w:val="center"/>
            <w:textDirection w:val="lrTb"/>
            <w:noWrap w:val="false"/>
          </w:tcPr>
          <w:p>
            <w:pPr>
              <w:jc w:val="center"/>
              <w:spacing w:line="500" w:lineRule="exact"/>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条款号</w:t>
            </w:r>
            <w:r/>
          </w:p>
        </w:tc>
        <w:tc>
          <w:tcPr>
            <w:tcW w:w="8507" w:type="dxa"/>
            <w:vAlign w:val="center"/>
            <w:textDirection w:val="lrTb"/>
            <w:noWrap w:val="false"/>
          </w:tcPr>
          <w:p>
            <w:pPr>
              <w:jc w:val="center"/>
              <w:spacing w:line="360" w:lineRule="auto"/>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内容规定</w:t>
            </w:r>
            <w:r/>
          </w:p>
        </w:tc>
      </w:tr>
      <w:tr>
        <w:trPr>
          <w:jc w:val="center"/>
          <w:trHeight w:val="465"/>
        </w:trPr>
        <w:tc>
          <w:tcPr>
            <w:tcW w:w="1121" w:type="dxa"/>
            <w:vAlign w:val="center"/>
            <w:textDirection w:val="lrTb"/>
            <w:noWrap w:val="false"/>
          </w:tcPr>
          <w:p>
            <w:pPr>
              <w:jc w:val="center"/>
              <w:rPr>
                <w:rFonts w:ascii="宋体" w:hAnsi="宋体" w:eastAsia="宋体" w:cs="Times New Roman"/>
                <w:color w:val="auto"/>
                <w:sz w:val="24"/>
                <w:szCs w:val="22"/>
                <w:highlight w:val="none"/>
              </w:rPr>
            </w:pPr>
            <w:r>
              <w:rPr>
                <w:rFonts w:ascii="宋体" w:hAnsi="宋体" w:eastAsia="宋体" w:cs="Times New Roman"/>
                <w:color w:val="auto"/>
                <w:sz w:val="24"/>
                <w:szCs w:val="22"/>
                <w:highlight w:val="none"/>
              </w:rPr>
              <w:t xml:space="preserve">1</w:t>
            </w:r>
            <w:r/>
          </w:p>
        </w:tc>
        <w:tc>
          <w:tcPr>
            <w:tcW w:w="8507" w:type="dxa"/>
            <w:vAlign w:val="center"/>
            <w:textDirection w:val="lrTb"/>
            <w:noWrap w:val="false"/>
          </w:tcPr>
          <w:p>
            <w:pPr>
              <w:spacing w:line="360" w:lineRule="auto"/>
              <w:rPr>
                <w:rFonts w:hint="eastAsia" w:ascii="宋体" w:hAnsi="宋体" w:eastAsia="宋体" w:cs="Times New Roman"/>
                <w:color w:val="auto"/>
                <w:sz w:val="24"/>
                <w:szCs w:val="22"/>
                <w:highlight w:val="none"/>
                <w:lang w:eastAsia="zh-CN"/>
              </w:rPr>
            </w:pPr>
            <w:r>
              <w:rPr>
                <w:rFonts w:hint="eastAsia" w:ascii="宋体" w:hAnsi="宋体" w:eastAsia="宋体" w:cs="Times New Roman"/>
                <w:color w:val="auto"/>
                <w:sz w:val="24"/>
                <w:szCs w:val="22"/>
                <w:highlight w:val="none"/>
              </w:rPr>
              <w:t xml:space="preserve">采购内容：</w:t>
            </w:r>
            <w:r>
              <w:rPr>
                <w:rFonts w:hint="eastAsia" w:ascii="宋体" w:hAnsi="宋体" w:cs="Times New Roman"/>
                <w:color w:val="auto"/>
                <w:sz w:val="24"/>
                <w:szCs w:val="22"/>
                <w:highlight w:val="none"/>
                <w:lang w:val="en-US" w:eastAsia="zh-CN"/>
              </w:rPr>
              <w:t xml:space="preserve">2026年度黄埭镇政府及国有（集体）投资工程审计委托协审服务</w:t>
            </w:r>
            <w:r/>
          </w:p>
        </w:tc>
      </w:tr>
      <w:tr>
        <w:trPr>
          <w:jc w:val="center"/>
          <w:trHeight w:val="466"/>
        </w:trPr>
        <w:tc>
          <w:tcPr>
            <w:tcW w:w="1121" w:type="dxa"/>
            <w:vAlign w:val="center"/>
            <w:textDirection w:val="lrTb"/>
            <w:noWrap w:val="false"/>
          </w:tcPr>
          <w:p>
            <w:pPr>
              <w:jc w:val="center"/>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2</w:t>
            </w:r>
            <w:r/>
          </w:p>
        </w:tc>
        <w:tc>
          <w:tcPr>
            <w:tcW w:w="8507" w:type="dxa"/>
            <w:vAlign w:val="center"/>
            <w:textDirection w:val="lrTb"/>
            <w:noWrap w:val="false"/>
          </w:tcPr>
          <w:p>
            <w:pPr>
              <w:spacing w:line="360" w:lineRule="auto"/>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响应文件有效期为响应文件递交截止之日起四十五天（日历天）</w:t>
            </w:r>
            <w:r/>
          </w:p>
        </w:tc>
      </w:tr>
      <w:tr>
        <w:trPr>
          <w:jc w:val="center"/>
          <w:trHeight w:val="948"/>
        </w:trPr>
        <w:tc>
          <w:tcPr>
            <w:tcW w:w="1121" w:type="dxa"/>
            <w:vAlign w:val="center"/>
            <w:textDirection w:val="lrTb"/>
            <w:noWrap w:val="false"/>
          </w:tcPr>
          <w:p>
            <w:pPr>
              <w:jc w:val="center"/>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3</w:t>
            </w:r>
            <w:r/>
          </w:p>
        </w:tc>
        <w:tc>
          <w:tcPr>
            <w:tcW w:w="8507" w:type="dxa"/>
            <w:vAlign w:val="center"/>
            <w:textDirection w:val="lrTb"/>
            <w:noWrap w:val="false"/>
          </w:tcPr>
          <w:p>
            <w:pPr>
              <w:spacing w:line="360" w:lineRule="auto"/>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磋商保证金：根据《江苏省财政厅文件苏财购【2020】52号》相关规定，本项目无须支付保证金</w:t>
            </w:r>
            <w:r/>
          </w:p>
        </w:tc>
      </w:tr>
      <w:tr>
        <w:trPr>
          <w:jc w:val="center"/>
          <w:trHeight w:val="549"/>
        </w:trPr>
        <w:tc>
          <w:tcPr>
            <w:tcW w:w="1121" w:type="dxa"/>
            <w:vAlign w:val="center"/>
            <w:textDirection w:val="lrTb"/>
            <w:noWrap w:val="false"/>
          </w:tcPr>
          <w:p>
            <w:pPr>
              <w:jc w:val="center"/>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4</w:t>
            </w:r>
            <w:r/>
          </w:p>
        </w:tc>
        <w:tc>
          <w:tcPr>
            <w:tcW w:w="8507" w:type="dxa"/>
            <w:vAlign w:val="center"/>
            <w:textDirection w:val="lrTb"/>
            <w:noWrap w:val="false"/>
          </w:tcPr>
          <w:p>
            <w:pPr>
              <w:spacing w:line="360" w:lineRule="auto"/>
              <w:rPr>
                <w:rFonts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rPr>
              <w:t xml:space="preserve">磋商</w:t>
            </w:r>
            <w:r>
              <w:rPr>
                <w:rFonts w:hint="eastAsia" w:ascii="宋体" w:hAnsi="宋体" w:eastAsia="宋体" w:cs="Times New Roman"/>
                <w:color w:val="auto"/>
                <w:sz w:val="24"/>
                <w:szCs w:val="22"/>
                <w:highlight w:val="none"/>
                <w:lang w:val="en-US" w:eastAsia="zh-CN"/>
              </w:rPr>
              <w:t xml:space="preserve">响应</w:t>
            </w:r>
            <w:r>
              <w:rPr>
                <w:rFonts w:hint="eastAsia" w:ascii="宋体" w:hAnsi="宋体" w:eastAsia="宋体" w:cs="Times New Roman"/>
                <w:color w:val="auto"/>
                <w:sz w:val="24"/>
                <w:szCs w:val="22"/>
                <w:highlight w:val="none"/>
              </w:rPr>
              <w:t xml:space="preserve">文件：本项目采用电子响应文件，供应商按照采购文件要求制作上传电子响应文件，供应商无需提供纸质响应文件。</w:t>
            </w:r>
            <w:r/>
          </w:p>
        </w:tc>
      </w:tr>
      <w:tr>
        <w:trPr>
          <w:jc w:val="center"/>
          <w:trHeight w:val="1682"/>
        </w:trPr>
        <w:tc>
          <w:tcPr>
            <w:tcW w:w="1121" w:type="dxa"/>
            <w:vAlign w:val="center"/>
            <w:textDirection w:val="lrTb"/>
            <w:noWrap w:val="false"/>
          </w:tcPr>
          <w:p>
            <w:pPr>
              <w:jc w:val="center"/>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5</w:t>
            </w:r>
            <w:r/>
          </w:p>
        </w:tc>
        <w:tc>
          <w:tcPr>
            <w:tcW w:w="8507" w:type="dxa"/>
            <w:vAlign w:val="center"/>
            <w:textDirection w:val="lrTb"/>
            <w:noWrap w:val="false"/>
          </w:tcPr>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2"/>
                <w:highlight w:val="none"/>
                <w:lang w:val="en-US" w:eastAsia="zh-CN"/>
              </w:rPr>
              <w:t xml:space="preserve">截止时间</w:t>
            </w:r>
            <w:r>
              <w:rPr>
                <w:rFonts w:hint="eastAsia" w:ascii="宋体" w:hAnsi="宋体" w:eastAsia="宋体" w:cs="Times New Roman"/>
                <w:color w:val="auto"/>
                <w:sz w:val="24"/>
                <w:szCs w:val="22"/>
                <w:highlight w:val="none"/>
              </w:rPr>
              <w:t xml:space="preserve">：</w:t>
            </w:r>
            <w:r>
              <w:rPr>
                <w:rFonts w:hint="eastAsia" w:ascii="宋体" w:hAnsi="宋体" w:cs="Times New Roman"/>
                <w:color w:val="auto"/>
                <w:sz w:val="24"/>
                <w:szCs w:val="22"/>
                <w:highlight w:val="none"/>
                <w:lang w:eastAsia="zh-CN"/>
              </w:rPr>
              <w:t xml:space="preserve">2026年4月28日9:30</w:t>
            </w:r>
            <w:r>
              <w:rPr>
                <w:rFonts w:hint="eastAsia" w:ascii="宋体" w:hAnsi="宋体" w:eastAsia="宋体" w:cs="Times New Roman"/>
                <w:color w:val="auto"/>
                <w:sz w:val="24"/>
                <w:szCs w:val="24"/>
                <w:highlight w:val="none"/>
              </w:rPr>
              <w:t xml:space="preserve">（北京时间）</w:t>
            </w:r>
            <w:r/>
          </w:p>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磋商时间：</w:t>
            </w:r>
            <w:r>
              <w:rPr>
                <w:rFonts w:hint="eastAsia" w:ascii="宋体" w:hAnsi="宋体" w:cs="Times New Roman"/>
                <w:color w:val="auto"/>
                <w:sz w:val="24"/>
                <w:szCs w:val="24"/>
                <w:highlight w:val="none"/>
                <w:lang w:eastAsia="zh-CN"/>
              </w:rPr>
              <w:t xml:space="preserve">2026年4月28日9:30</w:t>
            </w:r>
            <w:r>
              <w:rPr>
                <w:rFonts w:hint="eastAsia" w:ascii="宋体" w:hAnsi="宋体" w:eastAsia="宋体" w:cs="Times New Roman"/>
                <w:color w:val="auto"/>
                <w:sz w:val="24"/>
                <w:szCs w:val="24"/>
                <w:highlight w:val="none"/>
              </w:rPr>
              <w:t xml:space="preserve">（北京时间）</w:t>
            </w:r>
            <w:r/>
          </w:p>
          <w:p>
            <w:pPr>
              <w:spacing w:line="360" w:lineRule="auto"/>
              <w:rPr>
                <w:rFonts w:hint="eastAsia" w:ascii="宋体" w:hAnsi="宋体" w:eastAsia="宋体" w:cs="Times New Roman"/>
                <w:b/>
                <w:bCs/>
                <w:color w:val="auto"/>
                <w:sz w:val="24"/>
                <w:szCs w:val="22"/>
                <w:highlight w:val="none"/>
              </w:rPr>
            </w:pPr>
            <w:r>
              <w:rPr>
                <w:rFonts w:hint="eastAsia" w:ascii="宋体" w:hAnsi="宋体" w:eastAsia="宋体" w:cs="Times New Roman"/>
                <w:b w:val="0"/>
                <w:bCs w:val="0"/>
                <w:color w:val="auto"/>
                <w:sz w:val="24"/>
                <w:szCs w:val="22"/>
                <w:highlight w:val="none"/>
              </w:rPr>
              <w:t xml:space="preserve">磋商地点：“苏采云”政府采购交易系统网上开标大厅。</w:t>
            </w:r>
            <w:r/>
          </w:p>
          <w:p>
            <w:pPr>
              <w:spacing w:line="360" w:lineRule="auto"/>
              <w:rPr>
                <w:rFonts w:ascii="Times New Roman" w:hAnsi="Times New Roman" w:eastAsia="宋体" w:cs="Times New Roman"/>
                <w:color w:val="auto"/>
                <w:szCs w:val="22"/>
                <w:highlight w:val="none"/>
              </w:rPr>
            </w:pPr>
            <w:r>
              <w:rPr>
                <w:rFonts w:hint="eastAsia" w:ascii="宋体" w:hAnsi="宋体" w:eastAsia="宋体" w:cs="Times New Roman"/>
                <w:b/>
                <w:bCs/>
                <w:color w:val="auto"/>
                <w:sz w:val="24"/>
                <w:szCs w:val="22"/>
                <w:highlight w:val="none"/>
                <w:lang w:val="en-US" w:eastAsia="zh-CN" w:bidi="ar-SA"/>
              </w:rPr>
              <w:t xml:space="preserve">本项目为不见面磋商项目，开启阶段供应商在【供应商解密】环节必须使用 CA证书解密电子响应文件，如在系统规定的解密时间内未能完成解密的视为放弃参与本项目。</w:t>
            </w:r>
            <w:r>
              <w:rPr>
                <w:rFonts w:hint="eastAsia" w:ascii="宋体" w:hAnsi="宋体" w:eastAsia="宋体" w:cs="Times New Roman"/>
                <w:b/>
                <w:bCs/>
                <w:color w:val="auto"/>
                <w:sz w:val="24"/>
                <w:szCs w:val="22"/>
                <w:highlight w:val="none"/>
              </w:rPr>
              <w:t xml:space="preserve">“苏采云”系统（网址：http://jszfcg.jsczt.cn/）</w:t>
            </w:r>
            <w:r/>
          </w:p>
        </w:tc>
      </w:tr>
      <w:tr>
        <w:trPr>
          <w:jc w:val="center"/>
          <w:trHeight w:val="1131"/>
        </w:trPr>
        <w:tc>
          <w:tcPr>
            <w:tcW w:w="1121" w:type="dxa"/>
            <w:vAlign w:val="center"/>
            <w:textDirection w:val="lrTb"/>
            <w:noWrap w:val="false"/>
          </w:tcPr>
          <w:p>
            <w:pPr>
              <w:jc w:val="center"/>
              <w:spacing w:line="360" w:lineRule="auto"/>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6</w:t>
            </w:r>
            <w:r/>
          </w:p>
        </w:tc>
        <w:tc>
          <w:tcPr>
            <w:tcW w:w="8507" w:type="dxa"/>
            <w:vAlign w:val="center"/>
            <w:textDirection w:val="lrTb"/>
            <w:noWrap w:val="false"/>
          </w:tcPr>
          <w:p>
            <w:pPr>
              <w:spacing w:line="360" w:lineRule="auto"/>
              <w:rPr>
                <w:rFonts w:hint="eastAsia" w:ascii="宋体" w:hAnsi="宋体" w:eastAsia="宋体" w:cs="Calibri"/>
                <w:bCs/>
                <w:color w:val="auto"/>
                <w:sz w:val="24"/>
                <w:highlight w:val="none"/>
                <w:lang w:val="en-US" w:eastAsia="zh-CN"/>
              </w:rPr>
            </w:pPr>
            <w:r>
              <w:rPr>
                <w:rFonts w:hint="eastAsia" w:ascii="宋体" w:hAnsi="宋体" w:eastAsia="宋体" w:cs="Calibri"/>
                <w:color w:val="auto"/>
                <w:sz w:val="24"/>
                <w:szCs w:val="22"/>
                <w:highlight w:val="none"/>
              </w:rPr>
              <w:t xml:space="preserve">成交服务费：</w:t>
            </w:r>
            <w:r>
              <w:rPr>
                <w:rFonts w:hint="eastAsia" w:ascii="宋体" w:hAnsi="宋体" w:eastAsia="宋体" w:cs="Calibri"/>
                <w:bCs/>
                <w:color w:val="auto"/>
                <w:sz w:val="24"/>
                <w:highlight w:val="none"/>
              </w:rPr>
              <w:t xml:space="preserve">根据苏财购告【2017】23号文件的规定收取成交</w:t>
            </w:r>
            <w:r>
              <w:rPr>
                <w:rFonts w:ascii="宋体" w:hAnsi="宋体" w:eastAsia="宋体" w:cs="Calibri"/>
                <w:color w:val="auto"/>
                <w:sz w:val="24"/>
                <w:highlight w:val="none"/>
              </w:rPr>
              <w:t xml:space="preserve">服务费。</w:t>
            </w:r>
            <w:r>
              <w:rPr>
                <w:rFonts w:ascii="宋体" w:hAnsi="宋体" w:eastAsia="宋体" w:cs="Calibri"/>
                <w:color w:val="auto"/>
                <w:sz w:val="24"/>
                <w:highlight w:val="none"/>
                <w:lang w:val="zh-CN"/>
              </w:rPr>
              <w:t xml:space="preserve">领取</w:t>
            </w:r>
            <w:r>
              <w:rPr>
                <w:rFonts w:hint="eastAsia" w:ascii="宋体" w:hAnsi="宋体" w:eastAsia="宋体" w:cs="Calibri"/>
                <w:color w:val="auto"/>
                <w:sz w:val="24"/>
                <w:highlight w:val="none"/>
                <w:lang w:val="en-US" w:eastAsia="zh-CN"/>
              </w:rPr>
              <w:t xml:space="preserve">成交</w:t>
            </w:r>
            <w:r>
              <w:rPr>
                <w:rFonts w:ascii="宋体" w:hAnsi="宋体" w:eastAsia="宋体" w:cs="Calibri"/>
                <w:color w:val="auto"/>
                <w:sz w:val="24"/>
                <w:highlight w:val="none"/>
                <w:lang w:val="zh-CN"/>
              </w:rPr>
              <w:t xml:space="preserve">通知书时</w:t>
            </w:r>
            <w:r>
              <w:rPr>
                <w:rFonts w:hint="eastAsia" w:ascii="宋体" w:hAnsi="宋体" w:eastAsia="宋体" w:cs="Calibri"/>
                <w:color w:val="auto"/>
                <w:sz w:val="24"/>
                <w:highlight w:val="none"/>
                <w:lang w:val="en-US" w:eastAsia="zh-CN"/>
              </w:rPr>
              <w:t xml:space="preserve">成交</w:t>
            </w:r>
            <w:r>
              <w:rPr>
                <w:rFonts w:ascii="宋体" w:hAnsi="宋体" w:eastAsia="宋体" w:cs="Calibri"/>
                <w:color w:val="auto"/>
                <w:sz w:val="24"/>
                <w:highlight w:val="none"/>
                <w:lang w:val="zh-CN"/>
              </w:rPr>
              <w:t xml:space="preserve">供应商向招标代理机构一次性付清。</w:t>
            </w:r>
            <w:r>
              <w:rPr>
                <w:rFonts w:hint="eastAsia" w:ascii="宋体" w:hAnsi="宋体" w:eastAsia="宋体" w:cs="Calibri"/>
                <w:color w:val="auto"/>
                <w:sz w:val="24"/>
                <w:highlight w:val="none"/>
                <w:lang w:val="zh-CN"/>
              </w:rPr>
              <w:t xml:space="preserve">由</w:t>
            </w:r>
            <w:r>
              <w:rPr>
                <w:rFonts w:hint="eastAsia" w:ascii="宋体" w:hAnsi="宋体" w:eastAsia="宋体" w:cs="Calibri"/>
                <w:color w:val="auto"/>
                <w:sz w:val="24"/>
                <w:highlight w:val="none"/>
                <w:lang w:val="en-US" w:eastAsia="zh-CN"/>
              </w:rPr>
              <w:t xml:space="preserve">成交</w:t>
            </w:r>
            <w:r>
              <w:rPr>
                <w:rFonts w:hint="eastAsia" w:ascii="宋体" w:hAnsi="宋体" w:eastAsia="宋体" w:cs="Calibri"/>
                <w:color w:val="auto"/>
                <w:sz w:val="24"/>
                <w:highlight w:val="none"/>
                <w:lang w:val="zh-CN"/>
              </w:rPr>
              <w:t xml:space="preserve">供应商支付，</w:t>
            </w:r>
            <w:r>
              <w:rPr>
                <w:rFonts w:hint="eastAsia" w:ascii="宋体" w:hAnsi="宋体" w:eastAsia="宋体" w:cs="Calibri"/>
                <w:bCs/>
                <w:color w:val="auto"/>
                <w:sz w:val="24"/>
                <w:highlight w:val="none"/>
              </w:rPr>
              <w:t xml:space="preserve">按照采购预算100万元以内1.5%、100～500万元以1.1%、500~1000万元以0.8%，差额定率累进法计算并支付</w:t>
            </w:r>
            <w:r>
              <w:rPr>
                <w:rFonts w:hint="eastAsia" w:ascii="宋体" w:hAnsi="宋体" w:eastAsia="宋体" w:cs="Calibri"/>
                <w:bCs/>
                <w:color w:val="auto"/>
                <w:sz w:val="24"/>
                <w:highlight w:val="none"/>
                <w:lang w:val="en-US" w:eastAsia="zh-CN"/>
              </w:rPr>
              <w:t xml:space="preserve">成交</w:t>
            </w:r>
            <w:r>
              <w:rPr>
                <w:rFonts w:hint="eastAsia" w:ascii="宋体" w:hAnsi="宋体" w:eastAsia="宋体" w:cs="Calibri"/>
                <w:bCs/>
                <w:color w:val="auto"/>
                <w:sz w:val="24"/>
                <w:highlight w:val="none"/>
              </w:rPr>
              <w:t xml:space="preserve">服务费。</w:t>
            </w:r>
            <w:r>
              <w:rPr>
                <w:rFonts w:hint="eastAsia" w:ascii="宋体" w:hAnsi="宋体" w:eastAsia="宋体" w:cs="Calibri"/>
                <w:color w:val="auto"/>
                <w:sz w:val="24"/>
                <w:highlight w:val="none"/>
                <w:lang w:val="zh-CN"/>
              </w:rPr>
              <w:t xml:space="preserve">由</w:t>
            </w:r>
            <w:r>
              <w:rPr>
                <w:rFonts w:hint="eastAsia" w:ascii="宋体" w:hAnsi="宋体" w:eastAsia="宋体" w:cs="Calibri"/>
                <w:color w:val="auto"/>
                <w:sz w:val="24"/>
                <w:highlight w:val="none"/>
                <w:lang w:val="en-US" w:eastAsia="zh-CN"/>
              </w:rPr>
              <w:t xml:space="preserve">成交</w:t>
            </w:r>
            <w:r>
              <w:rPr>
                <w:rFonts w:hint="eastAsia" w:ascii="宋体" w:hAnsi="宋体" w:eastAsia="宋体" w:cs="Calibri"/>
                <w:color w:val="auto"/>
                <w:sz w:val="24"/>
                <w:highlight w:val="none"/>
                <w:lang w:val="zh-CN"/>
              </w:rPr>
              <w:t xml:space="preserve">单位支付。</w:t>
            </w:r>
            <w:r>
              <w:rPr>
                <w:rFonts w:hint="eastAsia" w:ascii="宋体" w:hAnsi="宋体" w:eastAsia="宋体" w:cs="Calibri"/>
                <w:bCs/>
                <w:color w:val="auto"/>
                <w:sz w:val="24"/>
                <w:highlight w:val="none"/>
                <w:lang w:val="en-US" w:eastAsia="zh-CN"/>
              </w:rPr>
              <w:t xml:space="preserve">本项目代理服务费</w:t>
            </w:r>
            <w:r>
              <w:rPr>
                <w:rFonts w:hint="eastAsia" w:ascii="宋体" w:hAnsi="宋体" w:cs="Calibri"/>
                <w:bCs/>
                <w:color w:val="auto"/>
                <w:sz w:val="24"/>
                <w:highlight w:val="none"/>
                <w:lang w:val="en-US" w:eastAsia="zh-CN"/>
              </w:rPr>
              <w:t xml:space="preserve">按上述方法八折计收</w:t>
            </w:r>
            <w:r>
              <w:rPr>
                <w:rFonts w:hint="eastAsia" w:ascii="宋体" w:hAnsi="宋体" w:eastAsia="宋体" w:cs="Calibri"/>
                <w:bCs/>
                <w:color w:val="auto"/>
                <w:sz w:val="24"/>
                <w:highlight w:val="none"/>
                <w:lang w:val="en-US" w:eastAsia="zh-CN"/>
              </w:rPr>
              <w:t xml:space="preserve">：</w:t>
            </w:r>
            <w:r>
              <w:rPr>
                <w:rFonts w:hint="eastAsia" w:ascii="宋体" w:hAnsi="宋体" w:cs="Calibri"/>
                <w:bCs/>
                <w:color w:val="auto"/>
                <w:sz w:val="24"/>
                <w:highlight w:val="none"/>
                <w:lang w:val="en-US" w:eastAsia="zh-CN"/>
              </w:rPr>
              <w:t xml:space="preserve">第一标段：11585.60元；第二标段：11464.78元；第三标段：11074.18元</w:t>
            </w:r>
            <w:r>
              <w:rPr>
                <w:rFonts w:hint="eastAsia" w:ascii="宋体" w:hAnsi="宋体" w:eastAsia="宋体" w:cs="Calibri"/>
                <w:bCs/>
                <w:color w:val="auto"/>
                <w:sz w:val="24"/>
                <w:highlight w:val="none"/>
                <w:lang w:val="en-US" w:eastAsia="zh-CN"/>
              </w:rPr>
              <w:t xml:space="preserve">。</w:t>
            </w:r>
            <w:r/>
          </w:p>
          <w:p>
            <w:pPr>
              <w:spacing w:line="360" w:lineRule="auto"/>
              <w:rPr>
                <w:rFonts w:ascii="宋体" w:hAnsi="宋体" w:eastAsia="宋体" w:cs="Calibri"/>
                <w:color w:val="auto"/>
                <w:sz w:val="24"/>
                <w:highlight w:val="none"/>
              </w:rPr>
            </w:pPr>
            <w:r>
              <w:rPr>
                <w:rFonts w:hint="eastAsia" w:ascii="宋体" w:hAnsi="宋体" w:eastAsia="宋体" w:cs="Calibri"/>
                <w:color w:val="auto"/>
                <w:sz w:val="24"/>
                <w:highlight w:val="none"/>
              </w:rPr>
              <w:t xml:space="preserve">账户名：苏州睿乔招投标咨询服务有限公司</w:t>
            </w:r>
            <w:r/>
          </w:p>
          <w:p>
            <w:pPr>
              <w:spacing w:line="360" w:lineRule="auto"/>
              <w:rPr>
                <w:rFonts w:ascii="宋体" w:hAnsi="宋体" w:eastAsia="宋体" w:cs="Calibri"/>
                <w:color w:val="auto"/>
                <w:sz w:val="24"/>
                <w:highlight w:val="none"/>
              </w:rPr>
            </w:pPr>
            <w:r>
              <w:rPr>
                <w:rFonts w:hint="eastAsia" w:ascii="宋体" w:hAnsi="宋体" w:eastAsia="宋体" w:cs="Calibri"/>
                <w:color w:val="auto"/>
                <w:sz w:val="24"/>
                <w:highlight w:val="none"/>
              </w:rPr>
              <w:t xml:space="preserve">账  号：1102020209000937813</w:t>
            </w:r>
            <w:r/>
          </w:p>
          <w:p>
            <w:pPr>
              <w:jc w:val="left"/>
              <w:spacing w:line="360" w:lineRule="auto"/>
              <w:tabs>
                <w:tab w:val="left" w:pos="8930" w:leader="none"/>
                <w:tab w:val="left" w:pos="9306" w:leader="none"/>
              </w:tabs>
              <w:rPr>
                <w:rFonts w:ascii="宋体" w:hAnsi="宋体" w:eastAsia="宋体" w:cs="Calibri"/>
                <w:color w:val="auto"/>
                <w:sz w:val="24"/>
                <w:szCs w:val="22"/>
                <w:highlight w:val="none"/>
              </w:rPr>
            </w:pPr>
            <w:r>
              <w:rPr>
                <w:rFonts w:hint="eastAsia" w:ascii="宋体" w:hAnsi="宋体" w:eastAsia="宋体" w:cs="Calibri"/>
                <w:color w:val="auto"/>
                <w:sz w:val="24"/>
                <w:highlight w:val="none"/>
              </w:rPr>
              <w:t xml:space="preserve">开户行：中国工商银行苏州道前支行</w:t>
            </w:r>
            <w:r/>
          </w:p>
        </w:tc>
      </w:tr>
      <w:tr>
        <w:trPr>
          <w:jc w:val="center"/>
          <w:trHeight w:val="579"/>
        </w:trPr>
        <w:tc>
          <w:tcPr>
            <w:tcW w:w="1121" w:type="dxa"/>
            <w:vAlign w:val="center"/>
            <w:textDirection w:val="lrTb"/>
            <w:noWrap w:val="false"/>
          </w:tcPr>
          <w:p>
            <w:pPr>
              <w:jc w:val="center"/>
              <w:spacing w:line="360" w:lineRule="auto"/>
              <w:rPr>
                <w:rFonts w:hint="eastAsia" w:ascii="宋体" w:hAnsi="宋体" w:eastAsia="宋体" w:cs="Times New Roman"/>
                <w:color w:val="auto"/>
                <w:sz w:val="24"/>
                <w:szCs w:val="22"/>
                <w:highlight w:val="none"/>
                <w:lang w:eastAsia="zh-CN"/>
              </w:rPr>
            </w:pPr>
            <w:r>
              <w:rPr>
                <w:rFonts w:hint="eastAsia" w:ascii="宋体" w:hAnsi="宋体" w:eastAsia="宋体" w:cs="Times New Roman"/>
                <w:color w:val="auto"/>
                <w:sz w:val="24"/>
                <w:szCs w:val="22"/>
                <w:highlight w:val="none"/>
                <w:lang w:val="en-US" w:eastAsia="zh-CN"/>
              </w:rPr>
              <w:t xml:space="preserve">7</w:t>
            </w:r>
            <w:r/>
          </w:p>
        </w:tc>
        <w:tc>
          <w:tcPr>
            <w:tcW w:w="8507" w:type="dxa"/>
            <w:vAlign w:val="center"/>
            <w:textDirection w:val="lrTb"/>
            <w:noWrap w:val="false"/>
          </w:tcPr>
          <w:p>
            <w:pPr>
              <w:spacing w:line="360" w:lineRule="auto"/>
              <w:rPr>
                <w:rFonts w:hint="eastAsia" w:ascii="宋体" w:hAnsi="宋体" w:eastAsia="宋体" w:cs="Calibri"/>
                <w:color w:val="auto"/>
                <w:sz w:val="24"/>
                <w:szCs w:val="22"/>
                <w:highlight w:val="none"/>
                <w:lang w:eastAsia="zh-CN"/>
              </w:rPr>
            </w:pPr>
            <w:r/>
            <w:bookmarkStart w:id="0" w:name="OLE_LINK3"/>
            <w:r>
              <w:rPr>
                <w:rFonts w:hint="eastAsia" w:ascii="宋体" w:hAnsi="宋体" w:cs="宋体"/>
                <w:color w:val="auto"/>
                <w:sz w:val="24"/>
                <w:szCs w:val="22"/>
                <w:highlight w:val="none"/>
                <w:lang w:eastAsia="zh-CN"/>
              </w:rPr>
              <w:t xml:space="preserve">苏州市</w:t>
            </w:r>
            <w:r>
              <w:rPr>
                <w:rFonts w:hint="eastAsia" w:ascii="宋体" w:hAnsi="宋体" w:cs="宋体"/>
                <w:color w:val="auto"/>
                <w:sz w:val="24"/>
                <w:szCs w:val="22"/>
                <w:highlight w:val="none"/>
                <w:lang w:val="en-US" w:eastAsia="zh-CN"/>
              </w:rPr>
              <w:t xml:space="preserve">相城</w:t>
            </w:r>
            <w:r>
              <w:rPr>
                <w:rFonts w:hint="eastAsia" w:ascii="宋体" w:hAnsi="宋体" w:cs="宋体"/>
                <w:color w:val="auto"/>
                <w:sz w:val="24"/>
                <w:szCs w:val="22"/>
                <w:highlight w:val="none"/>
                <w:lang w:eastAsia="zh-CN"/>
              </w:rPr>
              <w:t xml:space="preserve">区财政政府采购监管电话：0512-67591005、0512-67591006。</w:t>
            </w:r>
            <w:bookmarkEnd w:id="0"/>
            <w:r/>
            <w:r/>
          </w:p>
        </w:tc>
      </w:tr>
    </w:tbl>
    <w:p>
      <w:pPr>
        <w:jc w:val="center"/>
        <w:spacing w:line="360" w:lineRule="auto"/>
        <w:rPr>
          <w:rFonts w:ascii="宋体" w:hAnsi="宋体"/>
          <w:b/>
          <w:color w:val="auto"/>
          <w:sz w:val="30"/>
          <w:szCs w:val="30"/>
          <w:highlight w:val="none"/>
        </w:rPr>
      </w:pPr>
      <w:r>
        <w:rPr>
          <w:rFonts w:hint="eastAsia" w:ascii="宋体" w:hAnsi="宋体"/>
          <w:b/>
          <w:color w:val="auto"/>
          <w:sz w:val="30"/>
          <w:szCs w:val="30"/>
          <w:highlight w:val="none"/>
        </w:rPr>
        <w:br w:type="page" w:clear="all"/>
      </w:r>
      <w:r>
        <w:rPr>
          <w:rFonts w:hint="eastAsia" w:ascii="宋体" w:hAnsi="宋体"/>
          <w:b/>
          <w:color w:val="auto"/>
          <w:sz w:val="30"/>
          <w:szCs w:val="30"/>
          <w:highlight w:val="none"/>
        </w:rPr>
        <w:t xml:space="preserve">总目录</w:t>
      </w:r>
      <w:r/>
    </w:p>
    <w:p>
      <w:pPr>
        <w:pStyle w:val="1127"/>
        <w:spacing w:after="312" w:line="480" w:lineRule="auto"/>
        <w:tabs>
          <w:tab w:val="clear" w:pos="8296" w:leader="none"/>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fldChar w:fldCharType="begin"/>
      </w:r>
      <w:r>
        <w:rPr>
          <w:rFonts w:hint="eastAsia" w:ascii="宋体" w:hAnsi="宋体" w:eastAsia="宋体" w:cs="宋体"/>
          <w:color w:val="auto"/>
          <w:sz w:val="36"/>
          <w:szCs w:val="24"/>
          <w:highlight w:val="none"/>
        </w:rPr>
        <w:instrText xml:space="preserve"> TOC \o "1-1" </w:instrText>
      </w:r>
      <w:r>
        <w:rPr>
          <w:rFonts w:hint="eastAsia" w:ascii="宋体" w:hAnsi="宋体" w:eastAsia="宋体" w:cs="宋体"/>
          <w:color w:val="auto"/>
          <w:sz w:val="36"/>
          <w:szCs w:val="24"/>
          <w:highlight w:val="none"/>
        </w:rPr>
        <w:fldChar w:fldCharType="separate"/>
      </w:r>
      <w:r>
        <w:rPr>
          <w:rFonts w:hint="eastAsia" w:ascii="宋体" w:hAnsi="宋体" w:eastAsia="宋体" w:cs="宋体"/>
          <w:color w:val="auto"/>
          <w:sz w:val="36"/>
          <w:szCs w:val="24"/>
          <w:highlight w:val="none"/>
        </w:rPr>
        <w:t xml:space="preserve">第一章 </w:t>
      </w:r>
      <w:r>
        <w:rPr>
          <w:rFonts w:hint="eastAsia" w:ascii="宋体" w:hAnsi="宋体" w:eastAsia="宋体" w:cs="宋体"/>
          <w:color w:val="auto"/>
          <w:sz w:val="36"/>
          <w:szCs w:val="24"/>
          <w:highlight w:val="none"/>
          <w:lang w:val="en-US" w:eastAsia="zh-CN"/>
        </w:rPr>
        <w:t xml:space="preserve">磋商公告</w:t>
      </w:r>
      <w:r/>
    </w:p>
    <w:p>
      <w:pPr>
        <w:pStyle w:val="1127"/>
        <w:spacing w:after="312" w:line="480" w:lineRule="auto"/>
        <w:tabs>
          <w:tab w:val="clear" w:pos="8296" w:leader="none"/>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第二章 </w:t>
      </w:r>
      <w:r>
        <w:rPr>
          <w:rFonts w:hint="eastAsia" w:ascii="宋体" w:hAnsi="宋体" w:eastAsia="宋体" w:cs="宋体"/>
          <w:color w:val="auto"/>
          <w:sz w:val="36"/>
          <w:szCs w:val="24"/>
          <w:highlight w:val="none"/>
          <w:lang w:val="en-US" w:eastAsia="zh-CN"/>
        </w:rPr>
        <w:t xml:space="preserve">磋商</w:t>
      </w:r>
      <w:r>
        <w:rPr>
          <w:rFonts w:hint="eastAsia" w:ascii="宋体" w:hAnsi="宋体" w:eastAsia="宋体" w:cs="宋体"/>
          <w:color w:val="auto"/>
          <w:sz w:val="36"/>
          <w:szCs w:val="24"/>
          <w:highlight w:val="none"/>
        </w:rPr>
        <w:t xml:space="preserve">须知</w:t>
      </w:r>
      <w:r/>
    </w:p>
    <w:p>
      <w:pPr>
        <w:pStyle w:val="1127"/>
        <w:spacing w:after="312" w:line="480" w:lineRule="auto"/>
        <w:tabs>
          <w:tab w:val="clear" w:pos="8296" w:leader="none"/>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第三章 </w:t>
      </w:r>
      <w:r>
        <w:rPr>
          <w:rFonts w:hint="eastAsia" w:ascii="宋体" w:hAnsi="宋体" w:eastAsia="宋体" w:cs="宋体"/>
          <w:color w:val="auto"/>
          <w:sz w:val="36"/>
          <w:szCs w:val="24"/>
          <w:highlight w:val="none"/>
          <w:lang w:val="en-US" w:eastAsia="zh-CN"/>
        </w:rPr>
        <w:t xml:space="preserve">采购内容</w:t>
      </w:r>
      <w:r/>
    </w:p>
    <w:p>
      <w:pPr>
        <w:pStyle w:val="1127"/>
        <w:spacing w:after="312" w:line="480" w:lineRule="auto"/>
        <w:tabs>
          <w:tab w:val="clear" w:pos="8296" w:leader="none"/>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第四章 </w:t>
      </w:r>
      <w:r>
        <w:rPr>
          <w:rFonts w:hint="eastAsia" w:ascii="宋体" w:hAnsi="宋体" w:eastAsia="宋体" w:cs="宋体"/>
          <w:color w:val="auto"/>
          <w:sz w:val="36"/>
          <w:szCs w:val="24"/>
          <w:highlight w:val="none"/>
          <w:lang w:val="en-US" w:eastAsia="zh-CN"/>
        </w:rPr>
        <w:t xml:space="preserve">评审办法及评分标准</w:t>
      </w:r>
      <w:r/>
    </w:p>
    <w:p>
      <w:pPr>
        <w:pStyle w:val="1127"/>
        <w:spacing w:after="312" w:line="480" w:lineRule="auto"/>
        <w:tabs>
          <w:tab w:val="clear" w:pos="8296" w:leader="none"/>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第五章 合同主要条款</w:t>
      </w:r>
      <w:r>
        <w:rPr>
          <w:rFonts w:hint="eastAsia" w:ascii="宋体" w:hAnsi="宋体" w:eastAsia="宋体" w:cs="宋体"/>
          <w:color w:val="auto"/>
          <w:sz w:val="36"/>
          <w:szCs w:val="24"/>
          <w:highlight w:val="none"/>
          <w:lang w:val="en-US" w:eastAsia="zh-CN"/>
        </w:rPr>
        <w:t xml:space="preserve">及格式</w:t>
      </w:r>
      <w:r/>
    </w:p>
    <w:p>
      <w:pPr>
        <w:pStyle w:val="1127"/>
        <w:spacing w:after="312" w:line="480" w:lineRule="auto"/>
        <w:tabs>
          <w:tab w:val="clear" w:pos="8296" w:leader="none"/>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第六章 </w:t>
      </w:r>
      <w:r>
        <w:rPr>
          <w:rFonts w:hint="eastAsia" w:ascii="宋体" w:hAnsi="宋体" w:eastAsia="宋体" w:cs="宋体"/>
          <w:color w:val="auto"/>
          <w:sz w:val="36"/>
          <w:szCs w:val="24"/>
          <w:highlight w:val="none"/>
          <w:lang w:val="en-US" w:eastAsia="zh-CN"/>
        </w:rPr>
        <w:t xml:space="preserve">磋商响应文件格式</w:t>
      </w:r>
      <w:r/>
    </w:p>
    <w:p>
      <w:pPr>
        <w:pStyle w:val="1127"/>
        <w:spacing w:after="312" w:line="480" w:lineRule="auto"/>
        <w:tabs>
          <w:tab w:val="clear" w:pos="8296" w:leader="none"/>
          <w:tab w:val="right" w:pos="8302" w:leader="dot"/>
        </w:tabs>
        <w:rPr>
          <w:rFonts w:ascii="宋体" w:hAnsi="宋体"/>
          <w:color w:val="auto"/>
          <w:sz w:val="30"/>
          <w:highlight w:val="none"/>
        </w:rPr>
      </w:pPr>
      <w:r>
        <w:rPr>
          <w:rFonts w:hint="eastAsia" w:ascii="宋体" w:hAnsi="宋体" w:eastAsia="宋体" w:cs="宋体"/>
          <w:color w:val="auto"/>
          <w:sz w:val="36"/>
          <w:szCs w:val="24"/>
          <w:highlight w:val="none"/>
        </w:rPr>
        <w:fldChar w:fldCharType="end"/>
      </w:r>
      <w:r/>
    </w:p>
    <w:p>
      <w:pPr>
        <w:ind w:firstLine="48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b/>
          <w:color w:val="auto"/>
          <w:sz w:val="30"/>
          <w:szCs w:val="30"/>
          <w:highlight w:val="none"/>
        </w:rPr>
        <w:sectPr>
          <w:footerReference w:type="default" r:id="rId9"/>
          <w:footerReference w:type="even" r:id="rId10"/>
          <w:footerReference w:type="first" r:id="rId11"/>
          <w:footnotePr/>
          <w:endnotePr/>
          <w:type w:val="nextPage"/>
          <w:pgSz w:w="11906" w:h="16838" w:orient="portrait"/>
          <w:pgMar w:top="1247" w:right="1247" w:bottom="1247" w:left="1247" w:header="851" w:footer="992" w:gutter="0"/>
          <w:cols w:num="1" w:sep="0" w:space="1701" w:equalWidth="1"/>
          <w:docGrid w:linePitch="360"/>
          <w:titlePg/>
        </w:sectPr>
      </w:pPr>
      <w:r>
        <w:rPr>
          <w:rFonts w:ascii="宋体" w:hAnsi="宋体"/>
          <w:b/>
          <w:color w:val="auto"/>
          <w:sz w:val="30"/>
          <w:szCs w:val="30"/>
          <w:highlight w:val="none"/>
        </w:rPr>
      </w:r>
      <w:r/>
    </w:p>
    <w:p>
      <w:pPr>
        <w:jc w:val="center"/>
        <w:spacing w:line="360" w:lineRule="auto"/>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 xml:space="preserve">第一章  </w:t>
      </w:r>
      <w:r>
        <w:rPr>
          <w:rFonts w:hint="eastAsia" w:ascii="宋体" w:hAnsi="宋体"/>
          <w:b/>
          <w:color w:val="auto"/>
          <w:sz w:val="30"/>
          <w:szCs w:val="30"/>
          <w:highlight w:val="none"/>
          <w:lang w:val="en-US" w:eastAsia="zh-CN"/>
        </w:rPr>
        <w:t xml:space="preserve">磋商公告</w:t>
      </w:r>
      <w:r/>
    </w:p>
    <w:p>
      <w:pPr>
        <w:ind w:firstLine="480"/>
        <w:spacing w:line="360" w:lineRule="auto"/>
        <w:rPr>
          <w:rFonts w:ascii="宋体" w:hAnsi="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highlight w:val="none"/>
        </w:rPr>
        <w:t xml:space="preserve">项目概况</w:t>
      </w:r>
      <w:r/>
    </w:p>
    <w:p>
      <w:pPr>
        <w:ind w:firstLine="480"/>
        <w:spacing w:line="360" w:lineRule="auto"/>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highlight w:val="none"/>
          <w:u w:val="single"/>
          <w:lang w:eastAsia="zh-CN"/>
        </w:rPr>
        <w:t xml:space="preserve">2026年度黄埭镇政府及国有（集体）投资工程审计委托协审服务</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项目的潜在</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应在</w:t>
      </w:r>
      <w:r>
        <w:rPr>
          <w:rFonts w:hint="eastAsia" w:ascii="宋体" w:hAnsi="宋体"/>
          <w:color w:val="auto"/>
          <w:sz w:val="24"/>
          <w:highlight w:val="none"/>
          <w:u w:val="single"/>
        </w:rPr>
        <w:t xml:space="preserve">苏采云系统中</w:t>
      </w:r>
      <w:r>
        <w:rPr>
          <w:rFonts w:hint="eastAsia" w:ascii="宋体" w:hAnsi="宋体" w:eastAsia="宋体"/>
          <w:color w:val="auto"/>
          <w:sz w:val="24"/>
          <w:szCs w:val="24"/>
          <w:highlight w:val="none"/>
        </w:rPr>
        <w:t xml:space="preserve">自行免费</w:t>
      </w:r>
      <w:r>
        <w:rPr>
          <w:rFonts w:hint="eastAsia" w:ascii="宋体" w:hAnsi="宋体" w:eastAsia="宋体"/>
          <w:color w:val="auto"/>
          <w:sz w:val="24"/>
          <w:szCs w:val="24"/>
          <w:highlight w:val="none"/>
          <w:lang w:val="en-US" w:eastAsia="zh-CN"/>
        </w:rPr>
        <w:t xml:space="preserve">下载</w:t>
      </w:r>
      <w:r>
        <w:rPr>
          <w:rFonts w:hint="eastAsia" w:ascii="宋体" w:hAnsi="宋体"/>
          <w:color w:val="auto"/>
          <w:sz w:val="24"/>
          <w:szCs w:val="24"/>
          <w:highlight w:val="none"/>
          <w:lang w:val="en-US" w:eastAsia="zh-CN"/>
        </w:rPr>
        <w:t xml:space="preserve">采购</w:t>
      </w:r>
      <w:r>
        <w:rPr>
          <w:rFonts w:hint="eastAsia" w:ascii="宋体" w:hAnsi="宋体"/>
          <w:color w:val="auto"/>
          <w:sz w:val="24"/>
          <w:szCs w:val="24"/>
          <w:highlight w:val="none"/>
        </w:rPr>
        <w:t xml:space="preserve">文件，并于</w:t>
      </w:r>
      <w:r>
        <w:rPr>
          <w:rFonts w:hint="eastAsia" w:ascii="宋体" w:hAnsi="宋体"/>
          <w:color w:val="auto"/>
          <w:sz w:val="24"/>
          <w:szCs w:val="24"/>
          <w:highlight w:val="none"/>
          <w:u w:val="single"/>
          <w:lang w:eastAsia="zh-CN"/>
        </w:rPr>
        <w:t xml:space="preserve">2026年4月28日9:30</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rPr>
        <w:t xml:space="preserve">北京时间）前递交</w:t>
      </w:r>
      <w:r>
        <w:rPr>
          <w:rFonts w:hint="eastAsia" w:ascii="宋体" w:hAnsi="宋体" w:eastAsia="宋体"/>
          <w:bCs/>
          <w:color w:val="auto"/>
          <w:sz w:val="24"/>
          <w:szCs w:val="24"/>
          <w:highlight w:val="none"/>
        </w:rPr>
        <w:t xml:space="preserve">响应文件</w:t>
      </w:r>
      <w:r>
        <w:rPr>
          <w:rFonts w:hint="eastAsia" w:ascii="宋体" w:hAnsi="宋体"/>
          <w:color w:val="auto"/>
          <w:sz w:val="24"/>
          <w:szCs w:val="24"/>
          <w:highlight w:val="none"/>
        </w:rPr>
        <w:t xml:space="preserve">。</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b/>
          <w:color w:val="auto"/>
          <w:sz w:val="24"/>
          <w:highlight w:val="none"/>
        </w:rPr>
      </w:pPr>
      <w:r/>
      <w:bookmarkStart w:id="1" w:name="_Toc35393621"/>
      <w:r/>
      <w:bookmarkStart w:id="2" w:name="_Toc35393790"/>
      <w:r/>
      <w:bookmarkStart w:id="3" w:name="_Toc28359079"/>
      <w:r/>
      <w:bookmarkStart w:id="4" w:name="_Toc28359002"/>
      <w:r/>
      <w:bookmarkStart w:id="5" w:name="_Hlk24379207"/>
      <w:r>
        <w:rPr>
          <w:rFonts w:hint="eastAsia"/>
          <w:b/>
          <w:color w:val="auto"/>
          <w:sz w:val="24"/>
          <w:highlight w:val="none"/>
        </w:rPr>
        <w:t xml:space="preserve">一、项目基本情况</w:t>
      </w:r>
      <w:bookmarkEnd w:id="1"/>
      <w:r/>
      <w:bookmarkEnd w:id="2"/>
      <w:r/>
      <w:bookmarkEnd w:id="3"/>
      <w:r/>
      <w:bookmarkEnd w:id="4"/>
      <w:r/>
      <w:r/>
    </w:p>
    <w:p>
      <w:pPr>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项目编号：</w:t>
      </w:r>
      <w:r>
        <w:rPr>
          <w:rFonts w:hint="eastAsia" w:ascii="宋体" w:hAnsi="宋体"/>
          <w:color w:val="auto"/>
          <w:sz w:val="24"/>
          <w:highlight w:val="none"/>
          <w:lang w:eastAsia="zh-CN"/>
        </w:rPr>
        <w:t xml:space="preserve">JSZC-320507-SZRQ-C2026-0010</w:t>
      </w:r>
      <w:r/>
    </w:p>
    <w:p>
      <w:pPr>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项目名称：</w:t>
      </w:r>
      <w:r>
        <w:rPr>
          <w:rFonts w:hint="eastAsia" w:ascii="宋体" w:hAnsi="宋体"/>
          <w:color w:val="auto"/>
          <w:sz w:val="24"/>
          <w:highlight w:val="none"/>
          <w:lang w:eastAsia="zh-CN"/>
        </w:rPr>
        <w:t xml:space="preserve">2026年度黄埭镇政府及国有（集体）投资工程审计委托协审服务</w:t>
      </w:r>
      <w:r>
        <w:rPr>
          <w:rFonts w:hint="eastAsia" w:ascii="宋体" w:hAnsi="宋体"/>
          <w:color w:val="auto"/>
          <w:sz w:val="24"/>
          <w:highlight w:val="none"/>
          <w:lang w:eastAsia="zh-CN"/>
        </w:rPr>
        <w:tab/>
      </w:r>
      <w:bookmarkEnd w:id="5"/>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采购方式：竞争性磋商</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rPr>
        <w:t xml:space="preserve">预算金额：</w:t>
      </w:r>
      <w:r>
        <w:rPr>
          <w:rFonts w:hint="eastAsia" w:ascii="宋体" w:hAnsi="宋体"/>
          <w:color w:val="auto"/>
          <w:sz w:val="24"/>
          <w:highlight w:val="none"/>
          <w:lang w:val="en-US" w:eastAsia="zh-CN"/>
        </w:rPr>
        <w:t xml:space="preserve">贰佰捌拾肆万叁仟柒佰壹拾贰元捌角壹分（￥2843712.81）</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第一标段：玖拾陆万伍仟肆佰陆拾陆元伍角叁分（￥965466.53）</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第二标段：玖拾伍万伍仟叁佰玖拾捌元贰角肆分（￥955398.24）</w:t>
      </w:r>
      <w:r/>
    </w:p>
    <w:p>
      <w:pPr>
        <w:ind w:firstLine="480"/>
        <w:spacing w:line="360" w:lineRule="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第三标段：玖拾贰万贰仟捌佰肆拾捌元零肆分（￥922848.04）</w:t>
      </w:r>
      <w:r/>
    </w:p>
    <w:p>
      <w:pPr>
        <w:ind w:firstLine="480"/>
        <w:spacing w:line="360" w:lineRule="auto"/>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最高限价：/</w:t>
      </w:r>
      <w:r/>
    </w:p>
    <w:p>
      <w:pPr>
        <w:ind w:right="-159"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采购需求：</w:t>
      </w:r>
      <w:r>
        <w:rPr>
          <w:rFonts w:hint="eastAsia" w:ascii="Times New Roman" w:hAnsi="Times New Roman"/>
          <w:sz w:val="24"/>
          <w:szCs w:val="24"/>
          <w:highlight w:val="none"/>
        </w:rPr>
        <w:t xml:space="preserve">项目简介：为加强评审工作履职所需的辅助性服务，苏州市相城区黄埭镇人民政府（苏州市相城区黄埭镇财政和资产监督</w:t>
      </w:r>
      <w:r>
        <w:rPr>
          <w:rFonts w:hint="eastAsia" w:ascii="Times New Roman" w:hAnsi="Times New Roman"/>
          <w:sz w:val="24"/>
          <w:szCs w:val="24"/>
          <w:highlight w:val="none"/>
          <w:lang w:eastAsia="zh-CN"/>
        </w:rPr>
        <w:t xml:space="preserve">管理办公室</w:t>
      </w:r>
      <w:r>
        <w:rPr>
          <w:rFonts w:hint="eastAsia" w:ascii="Times New Roman" w:hAnsi="Times New Roman"/>
          <w:sz w:val="24"/>
          <w:szCs w:val="24"/>
          <w:highlight w:val="none"/>
        </w:rPr>
        <w:t xml:space="preserve">）通过政府购买服务采购工程造价咨询服务，服务内容包括但不限于预算评审、竣工结算审核等咨询服务采购项目。每标段中标单位数量为一家（本项目共</w:t>
      </w:r>
      <w:r>
        <w:rPr>
          <w:rFonts w:hint="eastAsia" w:ascii="Times New Roman" w:hAnsi="Times New Roman"/>
          <w:sz w:val="24"/>
          <w:szCs w:val="24"/>
          <w:highlight w:val="none"/>
          <w:lang w:val="en-US" w:eastAsia="zh-CN"/>
        </w:rPr>
        <w:t xml:space="preserve">三</w:t>
      </w:r>
      <w:r>
        <w:rPr>
          <w:rFonts w:hint="eastAsia" w:ascii="Times New Roman" w:hAnsi="Times New Roman"/>
          <w:sz w:val="24"/>
          <w:szCs w:val="24"/>
          <w:highlight w:val="none"/>
        </w:rPr>
        <w:t xml:space="preserve">个标段，投标单位可选择其中一个或多个标段</w:t>
      </w:r>
      <w:r>
        <w:rPr>
          <w:rFonts w:hint="eastAsia" w:ascii="Times New Roman" w:hAnsi="Times New Roman"/>
          <w:sz w:val="24"/>
          <w:szCs w:val="24"/>
          <w:highlight w:val="none"/>
          <w:lang w:eastAsia="zh-CN"/>
        </w:rPr>
        <w:t xml:space="preserve">进行报名</w:t>
      </w:r>
      <w:r>
        <w:rPr>
          <w:rFonts w:hint="eastAsia" w:ascii="Times New Roman" w:hAnsi="Times New Roman"/>
          <w:sz w:val="24"/>
          <w:szCs w:val="24"/>
          <w:highlight w:val="none"/>
        </w:rPr>
        <w:t xml:space="preserve">投标，但每个投标人的累计中标标段不得超过一个，且只能中投标人所投标的标段。若投标人按评审方法被确定为中标候选人的标段数超过一个，则依开标顺序，按先开先中的原则，确定该投标人的中标标段，其余标段将自动失去中标资格，由该标段的综合评审由高到低排名高的投标人获得中标资格）。</w:t>
      </w:r>
      <w:r/>
    </w:p>
    <w:p>
      <w:pPr>
        <w:ind w:firstLine="480"/>
        <w:spacing w:line="360" w:lineRule="auto"/>
        <w:rPr>
          <w:rFonts w:ascii="宋体" w:hAnsi="宋体"/>
          <w:color w:val="auto"/>
          <w:sz w:val="24"/>
          <w:highlight w:val="none"/>
          <w:lang w:val="en-US"/>
        </w:rPr>
      </w:pPr>
      <w:r>
        <w:rPr>
          <w:rFonts w:hint="eastAsia" w:ascii="宋体" w:hAnsi="宋体"/>
          <w:color w:val="auto"/>
          <w:sz w:val="24"/>
          <w:highlight w:val="none"/>
        </w:rPr>
        <w:t xml:space="preserve">合同履行期限：</w:t>
      </w:r>
      <w:r>
        <w:rPr>
          <w:rFonts w:hint="eastAsia" w:ascii="宋体" w:hAnsi="宋体" w:cs="宋体"/>
          <w:color w:val="auto"/>
          <w:sz w:val="24"/>
          <w:highlight w:val="none"/>
          <w:lang w:eastAsia="zh-CN"/>
        </w:rPr>
        <w:t xml:space="preserve">合同签订之日起至中标整个标段所有协审项目完成</w:t>
      </w:r>
      <w:r>
        <w:rPr>
          <w:rFonts w:hint="eastAsia" w:ascii="宋体" w:hAnsi="宋体"/>
          <w:color w:val="auto"/>
          <w:sz w:val="24"/>
          <w:highlight w:val="none"/>
          <w:lang w:val="en-US" w:eastAsia="zh-CN"/>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本项目</w:t>
      </w:r>
      <w:r>
        <w:rPr>
          <w:rFonts w:hint="eastAsia" w:ascii="宋体" w:hAnsi="宋体"/>
          <w:color w:val="auto"/>
          <w:sz w:val="24"/>
          <w:highlight w:val="none"/>
          <w:u w:val="single"/>
        </w:rPr>
        <w:t xml:space="preserve">不接受</w:t>
      </w:r>
      <w:r>
        <w:rPr>
          <w:rFonts w:hint="eastAsia" w:ascii="宋体" w:hAnsi="宋体"/>
          <w:color w:val="auto"/>
          <w:sz w:val="24"/>
          <w:highlight w:val="none"/>
        </w:rPr>
        <w:t xml:space="preserve">联合体投标。</w:t>
      </w:r>
      <w:r/>
    </w:p>
    <w:p>
      <w:pPr>
        <w:spacing w:line="360" w:lineRule="auto"/>
        <w:rPr>
          <w:b/>
          <w:color w:val="auto"/>
          <w:sz w:val="24"/>
          <w:highlight w:val="none"/>
        </w:rPr>
      </w:pPr>
      <w:r/>
      <w:bookmarkStart w:id="6" w:name="_Toc28359080"/>
      <w:r/>
      <w:bookmarkStart w:id="7" w:name="_Toc35393791"/>
      <w:r/>
      <w:bookmarkStart w:id="8" w:name="_Toc35393622"/>
      <w:r/>
      <w:bookmarkStart w:id="9" w:name="_Toc28359003"/>
      <w:r>
        <w:rPr>
          <w:rFonts w:hint="eastAsia"/>
          <w:b/>
          <w:color w:val="auto"/>
          <w:sz w:val="24"/>
          <w:highlight w:val="none"/>
        </w:rPr>
        <w:t xml:space="preserve">二、申请人的资格要求：</w:t>
      </w:r>
      <w:bookmarkEnd w:id="6"/>
      <w:r/>
      <w:bookmarkEnd w:id="7"/>
      <w:r/>
      <w:bookmarkEnd w:id="8"/>
      <w:r/>
      <w:bookmarkEnd w:id="9"/>
      <w:r/>
      <w:r/>
    </w:p>
    <w:p>
      <w:pPr>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满足《中华人民共和国政府采购法》第二十二条规定</w:t>
      </w:r>
      <w:r>
        <w:rPr>
          <w:rFonts w:hint="eastAsia" w:ascii="宋体" w:hAnsi="宋体"/>
          <w:color w:val="auto"/>
          <w:sz w:val="24"/>
          <w:highlight w:val="none"/>
          <w:lang w:eastAsia="zh-CN"/>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（1）具有独立承担民事责任的能力；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（3）具有履行合同所必需的设备和专业技术能力；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（4）有依法缴纳税收和社会保障资金的良好记录；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（5）参加政府采购活动前三年内，在经营活动中没有重大违法记录；</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（6）法律、行政法规规定的其他条件。</w:t>
      </w:r>
      <w:bookmarkStart w:id="10" w:name="_Toc28359081"/>
      <w:r/>
      <w:bookmarkStart w:id="11" w:name="_Toc28359004"/>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2、落实政府采购政策需满足的资格要求：根据《政府采购促进中小企业发展管理办法》的相关规定，本项目专门面向中小企业，所属行业为租赁和商务服务业，供应商应为中小微企业、监狱企业、残疾人福利性单位。</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本项目的特定资格要求：</w:t>
      </w:r>
      <w:bookmarkStart w:id="12" w:name="_Toc35393792"/>
      <w:r/>
      <w:bookmarkStart w:id="13" w:name="_Toc35393623"/>
      <w:r/>
      <w:r/>
    </w:p>
    <w:p>
      <w:pPr>
        <w:ind w:right="-159" w:firstLine="480"/>
        <w:spacing w:line="360" w:lineRule="auto"/>
        <w:rPr>
          <w:rFonts w:hint="eastAsia" w:ascii="Times New Roman" w:hAnsi="Times New Roman"/>
          <w:sz w:val="24"/>
          <w:szCs w:val="24"/>
          <w:highlight w:val="none"/>
        </w:rPr>
      </w:pPr>
      <w:r>
        <w:rPr>
          <w:rFonts w:hint="eastAsia" w:ascii="Times New Roman" w:hAnsi="Times New Roman"/>
          <w:sz w:val="24"/>
          <w:szCs w:val="24"/>
          <w:highlight w:val="none"/>
        </w:rPr>
        <w:t xml:space="preserve">①投标单位负责人或股东与施工企业、施工劳务企业、工程材料供应商或施工器械租赁等工程领域相关企业存在交叉股权关系或者管理等影响社会咨询企业独立性的，不得参与本采购活动。</w:t>
      </w:r>
      <w:r/>
    </w:p>
    <w:p>
      <w:pPr>
        <w:ind w:right="-159" w:firstLine="480"/>
        <w:spacing w:line="360" w:lineRule="auto"/>
        <w:rPr>
          <w:rFonts w:hint="eastAsia" w:ascii="Times New Roman" w:hAnsi="Times New Roman"/>
          <w:sz w:val="24"/>
          <w:szCs w:val="24"/>
          <w:highlight w:val="none"/>
        </w:rPr>
      </w:pPr>
      <w:r>
        <w:rPr>
          <w:rFonts w:hint="eastAsia" w:ascii="Times New Roman" w:hAnsi="Times New Roman"/>
          <w:sz w:val="24"/>
          <w:szCs w:val="24"/>
          <w:highlight w:val="none"/>
        </w:rPr>
        <w:t xml:space="preserve">②投标单位应承诺具有相关造价咨询能力，且提供的造价咨询服务工作符合中华人民共和国建设部令第149号及中华人民共和国建设部令第50号相关规定。</w:t>
      </w:r>
      <w:r/>
    </w:p>
    <w:p>
      <w:pPr>
        <w:ind w:right="-159" w:firstLine="480"/>
        <w:spacing w:line="360" w:lineRule="auto"/>
        <w:rPr>
          <w:rFonts w:hint="eastAsia" w:ascii="宋体" w:hAnsi="宋体" w:eastAsia="宋体"/>
          <w:color w:val="auto"/>
          <w:sz w:val="24"/>
          <w:highlight w:val="none"/>
          <w:lang w:eastAsia="zh-CN"/>
        </w:rPr>
      </w:pPr>
      <w:r>
        <w:rPr>
          <w:rFonts w:hint="eastAsia" w:ascii="Times New Roman" w:hAnsi="Times New Roman"/>
          <w:sz w:val="24"/>
          <w:szCs w:val="24"/>
          <w:highlight w:val="none"/>
        </w:rPr>
        <w:t xml:space="preserve">③</w:t>
      </w:r>
      <w:r>
        <w:rPr>
          <w:rFonts w:hint="eastAsia" w:ascii="Times New Roman" w:hAnsi="Times New Roman"/>
          <w:sz w:val="24"/>
          <w:szCs w:val="24"/>
          <w:highlight w:val="none"/>
          <w:lang w:eastAsia="zh-CN"/>
        </w:rPr>
        <w:t xml:space="preserve">如参与过某项目预算（标底）编制的投标单位不得参与包含该项目预算（标底）审核内容标段的投标，项目的竣工结算审核、过程跟踪审核单位与审计质量核查、监理单位原则上不能为同一家单位；如遇到以上需回避的项目，投标单位自动放弃包含该项目协审内容标段的得标权。</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④</w:t>
      </w:r>
      <w:r>
        <w:rPr>
          <w:rFonts w:hint="eastAsia" w:ascii="宋体" w:hAnsi="宋体" w:eastAsia="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eastAsia="宋体"/>
          <w:b/>
          <w:color w:val="auto"/>
          <w:sz w:val="24"/>
          <w:highlight w:val="none"/>
          <w:lang w:val="en-US" w:eastAsia="zh-CN"/>
        </w:rPr>
      </w:pPr>
      <w:r>
        <w:rPr>
          <w:rFonts w:hint="eastAsia"/>
          <w:b/>
          <w:color w:val="auto"/>
          <w:sz w:val="24"/>
          <w:highlight w:val="none"/>
        </w:rPr>
        <w:t xml:space="preserve">三、</w:t>
      </w:r>
      <w:bookmarkEnd w:id="10"/>
      <w:r/>
      <w:bookmarkEnd w:id="11"/>
      <w:r/>
      <w:bookmarkEnd w:id="12"/>
      <w:r/>
      <w:bookmarkEnd w:id="13"/>
      <w:r>
        <w:rPr>
          <w:rFonts w:hint="eastAsia"/>
          <w:b/>
          <w:color w:val="auto"/>
          <w:sz w:val="24"/>
          <w:highlight w:val="none"/>
          <w:lang w:val="en-US" w:eastAsia="zh-CN"/>
        </w:rPr>
        <w:t xml:space="preserve">获取采购文件</w:t>
      </w:r>
      <w:r/>
    </w:p>
    <w:p>
      <w:pPr>
        <w:ind w:firstLine="480"/>
        <w:spacing w:line="360" w:lineRule="auto"/>
        <w:shd w:val="clear" w:color="auto" w:fill="ffffff"/>
        <w:widowControl/>
        <w:rPr>
          <w:rFonts w:hint="eastAsia" w:ascii="宋体" w:hAnsi="宋体" w:eastAsia="宋体"/>
          <w:color w:val="auto"/>
          <w:sz w:val="24"/>
          <w:highlight w:val="none"/>
          <w:lang w:eastAsia="zh-CN"/>
        </w:rPr>
      </w:pPr>
      <w:r/>
      <w:bookmarkStart w:id="14" w:name="_Toc28359005"/>
      <w:r/>
      <w:bookmarkStart w:id="15" w:name="_Toc35393624"/>
      <w:r/>
      <w:bookmarkStart w:id="16" w:name="_Toc35393793"/>
      <w:r/>
      <w:bookmarkStart w:id="17" w:name="_Toc28359082"/>
      <w:r>
        <w:rPr>
          <w:rFonts w:hint="eastAsia" w:ascii="宋体" w:hAnsi="宋体"/>
          <w:color w:val="auto"/>
          <w:sz w:val="24"/>
          <w:highlight w:val="none"/>
        </w:rPr>
        <w:t xml:space="preserve">1、报名截止时间：自公告发布之日起至</w:t>
      </w:r>
      <w:r>
        <w:rPr>
          <w:rFonts w:hint="eastAsia" w:ascii="宋体" w:hAnsi="宋体"/>
          <w:color w:val="auto"/>
          <w:sz w:val="24"/>
          <w:highlight w:val="none"/>
          <w:lang w:eastAsia="zh-CN"/>
        </w:rPr>
        <w:t xml:space="preserve">202</w:t>
      </w:r>
      <w:r>
        <w:rPr>
          <w:rFonts w:hint="eastAsia" w:ascii="宋体" w:hAnsi="宋体"/>
          <w:color w:val="auto"/>
          <w:sz w:val="24"/>
          <w:highlight w:val="none"/>
          <w:lang w:val="en-US" w:eastAsia="zh-CN"/>
        </w:rPr>
        <w:t xml:space="preserve">6</w:t>
      </w:r>
      <w:r>
        <w:rPr>
          <w:rFonts w:hint="eastAsia" w:ascii="宋体" w:hAnsi="宋体"/>
          <w:color w:val="auto"/>
          <w:sz w:val="24"/>
          <w:highlight w:val="none"/>
          <w:lang w:eastAsia="zh-CN"/>
        </w:rPr>
        <w:t xml:space="preserve">年4</w:t>
      </w:r>
      <w:r>
        <w:rPr>
          <w:rFonts w:hint="eastAsia" w:ascii="宋体" w:hAnsi="宋体"/>
          <w:color w:val="auto"/>
          <w:sz w:val="24"/>
          <w:highlight w:val="none"/>
          <w:lang w:val="en-US" w:eastAsia="zh-CN"/>
        </w:rPr>
        <w:t xml:space="preserve">月21日</w:t>
      </w:r>
      <w:r/>
    </w:p>
    <w:p>
      <w:pPr>
        <w:ind w:firstLine="480"/>
        <w:spacing w:line="360" w:lineRule="auto"/>
        <w:shd w:val="clear" w:color="auto" w:fill="ffffff"/>
        <w:widowControl/>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地点：苏采云系统中自行下载</w:t>
      </w:r>
      <w:r/>
    </w:p>
    <w:p>
      <w:pPr>
        <w:ind w:firstLine="480"/>
        <w:keepLines w:val="0"/>
        <w:keepNext w:val="0"/>
        <w:pageBreakBefore w:val="0"/>
        <w:spacing w:line="360" w:lineRule="auto"/>
        <w:widowControl w:val="off"/>
        <w:rPr>
          <w:rFonts w:hint="eastAsia" w:ascii="宋体" w:hAnsi="宋体"/>
          <w:color w:val="auto"/>
          <w:sz w:val="24"/>
          <w:highlight w:val="none"/>
          <w:lang w:eastAsia="zh-CN"/>
        </w:rPr>
        <w:outlineLvl w:val="9"/>
      </w:pPr>
      <w:r>
        <w:rPr>
          <w:rFonts w:hint="eastAsia" w:ascii="宋体" w:hAnsi="宋体"/>
          <w:color w:val="auto"/>
          <w:sz w:val="24"/>
          <w:highlight w:val="none"/>
        </w:rPr>
        <w:t xml:space="preserve">3、报名方式</w:t>
      </w:r>
      <w:r>
        <w:rPr>
          <w:rFonts w:hint="eastAsia" w:ascii="宋体" w:hAnsi="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（1）CA证书办理</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color w:val="auto"/>
          <w:sz w:val="24"/>
          <w:highlight w:val="none"/>
        </w:rPr>
        <w:t xml:space="preserve">苏州现场办理地址：</w:t>
      </w:r>
      <w:r>
        <w:rPr>
          <w:rFonts w:hint="eastAsia" w:ascii="宋体" w:hAnsi="宋体"/>
          <w:b/>
          <w:bCs/>
          <w:color w:val="auto"/>
          <w:sz w:val="24"/>
          <w:highlight w:val="none"/>
          <w:lang w:eastAsia="zh-CN"/>
        </w:rPr>
        <w:t xml:space="preserve">苏州市高新区邓蔚路105号狮山科技馆一楼服务大厅，咨询电话：0512-65737699</w:t>
      </w:r>
      <w:r>
        <w:rPr>
          <w:rFonts w:hint="eastAsia" w:ascii="宋体" w:hAnsi="宋体"/>
          <w:b/>
          <w:bCs/>
          <w:color w:val="auto"/>
          <w:sz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（2）参与采购活动</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供应商插入CA证书登陆“苏采云”系统后选择具体项目，点击“我要参与”并签章提交《投标供应商确认函》，提交《投标供应商确认函》日期视同为依法获取</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文件日期。供应商须打印、保留《投标供应商确认函》，质疑时《投标供应商确认函》与质疑函一并提交；未依照</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公告要求提交《投标供应商确认函》的供应商，视为未参与该项政府采购活动，不具备对该政府采购项目提出质疑的法定权利，但因供应商资格条件或获取</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文件时间设定不符合有关法律法规规定等原因使供应商权益受损的除外。</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（3）电子投标准备</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供应商在“苏采云”系统中操作成功参与项目后，必须在“已参与项目”界面中下载电子</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文件（后缀名为“.kedt”）并导入政府采购客户端工具后方可进行</w:t>
      </w:r>
      <w:r>
        <w:rPr>
          <w:rFonts w:hint="eastAsia" w:ascii="宋体" w:hAnsi="宋体"/>
          <w:color w:val="auto"/>
          <w:sz w:val="24"/>
          <w:highlight w:val="none"/>
          <w:lang w:val="en-US" w:eastAsia="zh-CN"/>
        </w:rPr>
        <w:t xml:space="preserve">电子响应</w:t>
      </w:r>
      <w:r>
        <w:rPr>
          <w:rFonts w:hint="eastAsia" w:ascii="宋体" w:hAnsi="宋体"/>
          <w:color w:val="auto"/>
          <w:sz w:val="24"/>
          <w:highlight w:val="none"/>
        </w:rPr>
        <w:t xml:space="preserve">文件制作和提交</w:t>
      </w:r>
      <w:r>
        <w:rPr>
          <w:rFonts w:hint="eastAsia" w:ascii="宋体" w:hAnsi="宋体"/>
          <w:b/>
          <w:bCs/>
          <w:color w:val="auto"/>
          <w:sz w:val="24"/>
          <w:highlight w:val="none"/>
        </w:rPr>
        <w:t xml:space="preserve">（具体详见《苏采云系统供应商操作手册》，网址链接https://czju.suzhou.gov.cn/zfcg/html/content/20231220161910031.shtml）</w:t>
      </w:r>
      <w:r>
        <w:rPr>
          <w:rFonts w:hint="eastAsia" w:ascii="宋体" w:hAnsi="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lang w:val="en-US" w:eastAsia="zh-CN"/>
        </w:rPr>
        <w:outlineLvl w:val="9"/>
      </w:pPr>
      <w:r>
        <w:rPr>
          <w:rFonts w:hint="eastAsia" w:ascii="宋体" w:hAnsi="宋体"/>
          <w:color w:val="auto"/>
          <w:sz w:val="24"/>
          <w:highlight w:val="none"/>
          <w:lang w:val="en-US" w:eastAsia="zh-CN"/>
        </w:rPr>
        <w:t xml:space="preserve">（4）补充通知（如有）：成功获取磋商文件的供应商应及时关注政府采购信息发布媒体上发布的更正（补充）公告，同时在“苏采云”系统中下载更正（补充）资料，</w:t>
      </w:r>
      <w:r>
        <w:rPr>
          <w:rFonts w:hint="eastAsia" w:ascii="宋体" w:hAnsi="宋体"/>
          <w:b/>
          <w:bCs/>
          <w:color w:val="auto"/>
          <w:sz w:val="24"/>
          <w:highlight w:val="none"/>
          <w:lang w:val="en-US" w:eastAsia="zh-CN"/>
        </w:rPr>
        <w:t xml:space="preserve">如有遗漏（包括但不限于文件未下载或下载不完整），可能无法解密投标（响应）文件，由此所造成的响应失败或损失由供应商自行负责。</w:t>
      </w:r>
      <w:r/>
    </w:p>
    <w:p>
      <w:pPr>
        <w:ind w:firstLine="480"/>
        <w:keepLines w:val="0"/>
        <w:keepNext w:val="0"/>
        <w:pageBreakBefore w:val="0"/>
        <w:spacing w:line="360" w:lineRule="auto"/>
        <w:widowControl w:val="off"/>
        <w:rPr>
          <w:rFonts w:hint="eastAsia" w:ascii="宋体" w:hAnsi="宋体"/>
          <w:color w:val="auto"/>
          <w:sz w:val="24"/>
          <w:highlight w:val="none"/>
          <w:lang w:val="en-US" w:eastAsia="zh-CN"/>
        </w:rPr>
        <w:outlineLvl w:val="9"/>
      </w:pPr>
      <w:r>
        <w:rPr>
          <w:rFonts w:hint="eastAsia" w:ascii="宋体" w:hAnsi="宋体"/>
          <w:color w:val="auto"/>
          <w:sz w:val="24"/>
          <w:highlight w:val="none"/>
          <w:lang w:val="en-US" w:eastAsia="zh-CN"/>
        </w:rPr>
        <w:t xml:space="preserve">考虑到熟悉“苏采云”系统、办理CA证书都需要一定的时间，请提早准备以免耽误招标采购活动。</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在系统操作过程中如有疑问，请按以下方式联系：</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注册咨询：0512-69820854；</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CA技术咨询电话：400-608-6099；</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签章使用问题：025-83633811、025-83633812、15380932027、15371015030；</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系统使用指导与咨询：联系电话：0512-69820854；智能客服：登录苏采云系统后，联系系统右下方智能客服图标进行咨询。</w:t>
      </w:r>
      <w:r/>
    </w:p>
    <w:p>
      <w:pPr>
        <w:spacing w:line="360" w:lineRule="auto"/>
        <w:rPr>
          <w:rFonts w:eastAsia="宋体"/>
          <w:b/>
          <w:color w:val="auto"/>
          <w:sz w:val="24"/>
          <w:highlight w:val="none"/>
          <w:lang w:val="en-US" w:eastAsia="zh-CN"/>
        </w:rPr>
      </w:pPr>
      <w:r>
        <w:rPr>
          <w:rFonts w:hint="eastAsia"/>
          <w:b/>
          <w:color w:val="auto"/>
          <w:sz w:val="24"/>
          <w:highlight w:val="none"/>
        </w:rPr>
        <w:t xml:space="preserve">四、</w:t>
      </w:r>
      <w:bookmarkEnd w:id="14"/>
      <w:r/>
      <w:bookmarkEnd w:id="15"/>
      <w:r/>
      <w:bookmarkEnd w:id="16"/>
      <w:r/>
      <w:bookmarkEnd w:id="17"/>
      <w:r>
        <w:rPr>
          <w:rFonts w:hint="eastAsia"/>
          <w:b/>
          <w:color w:val="auto"/>
          <w:sz w:val="24"/>
          <w:highlight w:val="none"/>
          <w:lang w:val="en-US" w:eastAsia="zh-CN"/>
        </w:rPr>
        <w:t xml:space="preserve">响应文件提交</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截止时间：</w:t>
      </w:r>
      <w:r>
        <w:rPr>
          <w:rFonts w:hint="eastAsia" w:ascii="宋体" w:hAnsi="宋体"/>
          <w:color w:val="auto"/>
          <w:sz w:val="24"/>
          <w:highlight w:val="none"/>
          <w:lang w:eastAsia="zh-CN"/>
        </w:rPr>
        <w:t xml:space="preserve">2026年4月28日</w:t>
      </w:r>
      <w:r>
        <w:rPr>
          <w:rFonts w:hint="eastAsia" w:ascii="宋体" w:hAnsi="宋体"/>
          <w:color w:val="auto"/>
          <w:sz w:val="24"/>
          <w:highlight w:val="none"/>
          <w:lang w:val="en-US" w:eastAsia="zh-CN"/>
        </w:rPr>
        <w:t xml:space="preserve">9</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lang w:eastAsia="zh-CN"/>
        </w:rPr>
        <w:t xml:space="preserve">0</w:t>
      </w:r>
      <w:r>
        <w:rPr>
          <w:rFonts w:hint="eastAsia" w:ascii="宋体" w:hAnsi="宋体"/>
          <w:color w:val="auto"/>
          <w:sz w:val="24"/>
          <w:highlight w:val="none"/>
        </w:rPr>
        <w:t xml:space="preserve">（北京时间）</w:t>
      </w:r>
      <w:r/>
    </w:p>
    <w:p>
      <w:pPr>
        <w:ind w:firstLine="480"/>
        <w:spacing w:line="360" w:lineRule="auto"/>
        <w:rPr>
          <w:rFonts w:ascii="宋体" w:hAnsi="宋体"/>
          <w:color w:val="auto"/>
          <w:sz w:val="24"/>
          <w:highlight w:val="none"/>
          <w:lang w:val="en-US"/>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地点：“苏采云”系统（网址：http://jszfcg.jsczt.cn/），响应文件网上递交，不需要现场参加采购活动，无需提供纸质响应文件。</w:t>
      </w:r>
      <w:r/>
    </w:p>
    <w:p>
      <w:pPr>
        <w:ind w:firstLine="482"/>
        <w:spacing w:line="360" w:lineRule="auto"/>
        <w:rPr>
          <w:rFonts w:hint="eastAsia" w:ascii="宋体" w:hAnsi="宋体"/>
          <w:b/>
          <w:bCs/>
          <w:color w:val="auto"/>
          <w:sz w:val="24"/>
          <w:szCs w:val="22"/>
          <w:highlight w:val="none"/>
          <w:lang w:val="en-US" w:eastAsia="zh-CN"/>
        </w:rPr>
      </w:pPr>
      <w:r>
        <w:rPr>
          <w:rFonts w:hint="eastAsia" w:ascii="宋体" w:hAnsi="宋体"/>
          <w:b/>
          <w:bCs/>
          <w:color w:val="auto"/>
          <w:sz w:val="24"/>
          <w:szCs w:val="22"/>
          <w:highlight w:val="none"/>
          <w:lang w:val="en-US" w:eastAsia="zh-CN"/>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五、开启</w:t>
      </w:r>
      <w:r/>
    </w:p>
    <w:p>
      <w:pPr>
        <w:ind w:firstLine="480"/>
        <w:spacing w:line="360" w:lineRule="auto"/>
        <w:rPr>
          <w:rFonts w:hint="eastAsia" w:ascii="宋体" w:hAnsi="宋体"/>
          <w:color w:val="auto"/>
          <w:sz w:val="24"/>
          <w:szCs w:val="22"/>
          <w:highlight w:val="none"/>
          <w:lang w:val="en-US" w:eastAsia="zh-CN"/>
        </w:rPr>
      </w:pPr>
      <w:r>
        <w:rPr>
          <w:rFonts w:hint="eastAsia" w:ascii="宋体" w:hAnsi="宋体"/>
          <w:color w:val="auto"/>
          <w:sz w:val="24"/>
          <w:szCs w:val="22"/>
          <w:highlight w:val="none"/>
          <w:lang w:val="en-US" w:eastAsia="zh-CN"/>
        </w:rPr>
        <w:t xml:space="preserve">时间：</w:t>
      </w:r>
      <w:r>
        <w:rPr>
          <w:rFonts w:hint="eastAsia" w:ascii="宋体" w:hAnsi="宋体"/>
          <w:color w:val="auto"/>
          <w:sz w:val="24"/>
          <w:highlight w:val="none"/>
          <w:lang w:eastAsia="zh-CN"/>
        </w:rPr>
        <w:t xml:space="preserve">2026年4月28日9</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lang w:eastAsia="zh-CN"/>
        </w:rPr>
        <w:t xml:space="preserve">0</w:t>
      </w:r>
      <w:r>
        <w:rPr>
          <w:rFonts w:hint="eastAsia" w:ascii="宋体" w:hAnsi="宋体"/>
          <w:color w:val="auto"/>
          <w:sz w:val="24"/>
          <w:szCs w:val="22"/>
          <w:highlight w:val="none"/>
          <w:lang w:val="en-US" w:eastAsia="zh-CN"/>
        </w:rPr>
        <w:t xml:space="preserve">（北京时间）</w:t>
      </w:r>
      <w:r/>
    </w:p>
    <w:p>
      <w:pPr>
        <w:ind w:firstLine="480"/>
        <w:keepLines w:val="0"/>
        <w:keepNext w:val="0"/>
        <w:pageBreakBefore w:val="0"/>
        <w:spacing w:line="360" w:lineRule="auto"/>
        <w:widowControl w:val="off"/>
        <w:rPr>
          <w:rFonts w:hint="eastAsia" w:ascii="宋体" w:hAnsi="宋体"/>
          <w:b w:val="0"/>
          <w:bCs w:val="0"/>
          <w:color w:val="auto"/>
          <w:sz w:val="24"/>
          <w:szCs w:val="22"/>
          <w:highlight w:val="none"/>
          <w:lang w:val="en-US" w:eastAsia="zh-CN"/>
        </w:rPr>
        <w:outlineLvl w:val="9"/>
      </w:pPr>
      <w:r>
        <w:rPr>
          <w:rFonts w:hint="eastAsia" w:ascii="宋体" w:hAnsi="宋体"/>
          <w:b w:val="0"/>
          <w:bCs w:val="0"/>
          <w:color w:val="auto"/>
          <w:sz w:val="24"/>
          <w:szCs w:val="22"/>
          <w:highlight w:val="none"/>
          <w:lang w:val="en-US" w:eastAsia="zh-CN"/>
        </w:rPr>
        <w:t xml:space="preserve">地点：“苏采云”政府采购交易系统网上开标大厅（网址：</w:t>
      </w:r>
      <w:r>
        <w:rPr>
          <w:rFonts w:hint="eastAsia" w:ascii="宋体" w:hAnsi="宋体"/>
          <w:b w:val="0"/>
          <w:bCs w:val="0"/>
          <w:color w:val="auto"/>
          <w:sz w:val="24"/>
          <w:szCs w:val="22"/>
          <w:highlight w:val="none"/>
          <w:lang w:val="en-US" w:eastAsia="zh-CN"/>
        </w:rPr>
        <w:fldChar w:fldCharType="begin"/>
      </w:r>
      <w:r>
        <w:rPr>
          <w:rFonts w:hint="eastAsia" w:ascii="宋体" w:hAnsi="宋体"/>
          <w:b w:val="0"/>
          <w:bCs w:val="0"/>
          <w:color w:val="auto"/>
          <w:sz w:val="24"/>
          <w:szCs w:val="22"/>
          <w:highlight w:val="none"/>
          <w:lang w:val="en-US" w:eastAsia="zh-CN"/>
        </w:rPr>
        <w:instrText xml:space="preserve"> HYPERLINK "http://jszfcg.jsczt.cn/），响应文件网上递交，不需要现场参加采购活动。" </w:instrText>
      </w:r>
      <w:r>
        <w:rPr>
          <w:rFonts w:hint="eastAsia" w:ascii="宋体" w:hAnsi="宋体"/>
          <w:b w:val="0"/>
          <w:bCs w:val="0"/>
          <w:color w:val="auto"/>
          <w:sz w:val="24"/>
          <w:szCs w:val="22"/>
          <w:highlight w:val="none"/>
          <w:lang w:val="en-US" w:eastAsia="zh-CN"/>
        </w:rPr>
        <w:fldChar w:fldCharType="separate"/>
      </w:r>
      <w:r>
        <w:rPr>
          <w:rFonts w:hint="eastAsia" w:ascii="宋体" w:hAnsi="宋体"/>
          <w:b w:val="0"/>
          <w:bCs w:val="0"/>
          <w:color w:val="auto"/>
          <w:sz w:val="24"/>
          <w:szCs w:val="22"/>
          <w:highlight w:val="none"/>
          <w:lang w:val="en-US" w:eastAsia="zh-CN"/>
        </w:rPr>
        <w:t xml:space="preserve">http://jszfcg.jsczt.cn/），响应文件网上递交，不需要现场参加采购活动。</w:t>
      </w:r>
      <w:r>
        <w:rPr>
          <w:rFonts w:hint="eastAsia" w:ascii="宋体" w:hAnsi="宋体"/>
          <w:b w:val="0"/>
          <w:bCs w:val="0"/>
          <w:color w:val="auto"/>
          <w:sz w:val="24"/>
          <w:szCs w:val="22"/>
          <w:highlight w:val="none"/>
          <w:lang w:val="en-US" w:eastAsia="zh-CN"/>
        </w:rPr>
        <w:fldChar w:fldCharType="end"/>
      </w:r>
      <w:r/>
    </w:p>
    <w:p>
      <w:pPr>
        <w:ind w:firstLine="480"/>
        <w:keepLines w:val="0"/>
        <w:keepNext w:val="0"/>
        <w:pageBreakBefore w:val="0"/>
        <w:spacing w:line="360" w:lineRule="auto"/>
        <w:widowControl w:val="off"/>
        <w:rPr>
          <w:rFonts w:ascii="宋体" w:hAnsi="宋体"/>
          <w:b w:val="0"/>
          <w:bCs w:val="0"/>
          <w:color w:val="auto"/>
          <w:sz w:val="24"/>
          <w:szCs w:val="22"/>
          <w:highlight w:val="none"/>
          <w:lang w:val="en-US" w:eastAsia="zh-CN"/>
        </w:rPr>
        <w:outlineLvl w:val="9"/>
      </w:pPr>
      <w:r>
        <w:rPr>
          <w:rFonts w:hint="eastAsia" w:ascii="宋体" w:hAnsi="宋体"/>
          <w:b w:val="0"/>
          <w:bCs w:val="0"/>
          <w:color w:val="auto"/>
          <w:sz w:val="24"/>
          <w:szCs w:val="22"/>
          <w:highlight w:val="none"/>
          <w:lang w:val="en-US" w:eastAsia="zh-CN"/>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bCs/>
          <w:color w:val="auto"/>
          <w:sz w:val="24"/>
          <w:szCs w:val="22"/>
          <w:highlight w:val="none"/>
          <w:lang w:val="en-US" w:eastAsia="zh-CN"/>
        </w:rPr>
        <w:t xml:space="preserve">本项目为不见面磋商项目，开启阶段供应商在【供应商解密】环节必须使用CA证书解密电子响应文件，如在系统规定的解密时间内未能完成解密的视为放弃参与本项目。请供应商确保电脑、系统及其他设备（视频输入输出设备等）无误，且开启直至项目结束始终保持系统在线状态。</w:t>
      </w:r>
      <w:r/>
    </w:p>
    <w:p>
      <w:pPr>
        <w:spacing w:line="360" w:lineRule="auto"/>
        <w:rPr>
          <w:rFonts w:ascii="宋体" w:hAnsi="宋体" w:cs="宋体"/>
          <w:b/>
          <w:color w:val="auto"/>
          <w:sz w:val="24"/>
          <w:highlight w:val="none"/>
        </w:rPr>
      </w:pPr>
      <w:r/>
      <w:bookmarkStart w:id="18" w:name="_Toc35393796"/>
      <w:r/>
      <w:bookmarkStart w:id="19" w:name="_Toc28359008"/>
      <w:r/>
      <w:bookmarkStart w:id="20" w:name="_Toc35393627"/>
      <w:r/>
      <w:bookmarkStart w:id="21" w:name="_Toc28359085"/>
      <w:r>
        <w:rPr>
          <w:rFonts w:hint="eastAsia" w:ascii="宋体" w:hAnsi="宋体" w:cs="宋体"/>
          <w:b/>
          <w:color w:val="auto"/>
          <w:sz w:val="24"/>
          <w:highlight w:val="none"/>
          <w:lang w:val="en-US" w:eastAsia="zh-CN"/>
        </w:rPr>
        <w:t xml:space="preserve">六</w:t>
      </w:r>
      <w:r>
        <w:rPr>
          <w:rFonts w:hint="eastAsia" w:ascii="宋体" w:hAnsi="宋体" w:cs="宋体"/>
          <w:b/>
          <w:color w:val="auto"/>
          <w:sz w:val="24"/>
          <w:highlight w:val="none"/>
        </w:rPr>
        <w:t xml:space="preserve">、公告期限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p>
    <w:p>
      <w:pPr>
        <w:spacing w:line="360" w:lineRule="auto"/>
        <w:rPr>
          <w:rFonts w:ascii="宋体" w:hAnsi="宋体" w:cs="宋体"/>
          <w:b/>
          <w:color w:val="auto"/>
          <w:sz w:val="24"/>
          <w:highlight w:val="none"/>
        </w:rPr>
      </w:pPr>
      <w:r/>
      <w:bookmarkStart w:id="22" w:name="_Toc35393626"/>
      <w:r/>
      <w:bookmarkStart w:id="23" w:name="_Toc35393795"/>
      <w:r>
        <w:rPr>
          <w:rFonts w:hint="eastAsia" w:ascii="宋体" w:hAnsi="宋体" w:cs="宋体"/>
          <w:b/>
          <w:color w:val="auto"/>
          <w:sz w:val="24"/>
          <w:highlight w:val="none"/>
          <w:lang w:val="en-US" w:eastAsia="zh-CN"/>
        </w:rPr>
        <w:t xml:space="preserve">七</w:t>
      </w:r>
      <w:r>
        <w:rPr>
          <w:rFonts w:hint="eastAsia" w:ascii="宋体" w:hAnsi="宋体" w:cs="宋体"/>
          <w:b/>
          <w:color w:val="auto"/>
          <w:sz w:val="24"/>
          <w:highlight w:val="none"/>
        </w:rPr>
        <w:t xml:space="preserve">、其他补充事宜</w:t>
      </w:r>
      <w:bookmarkEnd w:id="22"/>
      <w:r/>
      <w:bookmarkEnd w:id="23"/>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1、本次采购的有关信息将在中国政府采购网中央主网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江苏政府采购网、苏州</w:t>
      </w:r>
      <w:r>
        <w:rPr>
          <w:rFonts w:hint="eastAsia" w:ascii="宋体" w:hAnsi="宋体" w:cs="宋体"/>
          <w:color w:val="auto"/>
          <w:sz w:val="24"/>
          <w:highlight w:val="none"/>
          <w:lang w:eastAsia="zh-CN"/>
        </w:rPr>
        <w:t xml:space="preserve">市</w:t>
      </w:r>
      <w:r>
        <w:rPr>
          <w:rFonts w:hint="eastAsia" w:ascii="宋体" w:hAnsi="宋体" w:cs="宋体"/>
          <w:color w:val="auto"/>
          <w:sz w:val="24"/>
          <w:highlight w:val="none"/>
        </w:rPr>
        <w:t xml:space="preserve">政府采购网，敬请留意！</w:t>
      </w:r>
      <w:r/>
    </w:p>
    <w:p>
      <w:pPr>
        <w:ind w:firstLine="480"/>
        <w:spacing w:line="360" w:lineRule="auto"/>
        <w:rPr>
          <w:rFonts w:hint="eastAsia" w:ascii="宋体" w:hAnsi="宋体" w:cs="宋体"/>
          <w:b/>
          <w:bCs/>
          <w:color w:val="auto"/>
          <w:sz w:val="24"/>
          <w:highlight w:val="none"/>
          <w:lang w:val="en-US"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苏州市</w:t>
      </w:r>
      <w:r>
        <w:rPr>
          <w:rFonts w:hint="eastAsia" w:ascii="宋体" w:hAnsi="宋体" w:cs="宋体"/>
          <w:color w:val="auto"/>
          <w:sz w:val="24"/>
          <w:highlight w:val="none"/>
          <w:lang w:val="en-US" w:eastAsia="zh-CN"/>
        </w:rPr>
        <w:t xml:space="preserve">相城</w:t>
      </w:r>
      <w:r>
        <w:rPr>
          <w:rFonts w:hint="eastAsia" w:ascii="宋体" w:hAnsi="宋体" w:cs="宋体"/>
          <w:color w:val="auto"/>
          <w:sz w:val="24"/>
          <w:highlight w:val="none"/>
          <w:lang w:eastAsia="zh-CN"/>
        </w:rPr>
        <w:t xml:space="preserve">区财政政府采购监管电话：0512-67591005、0512-67591006</w:t>
      </w:r>
      <w:r>
        <w:rPr>
          <w:rFonts w:hint="eastAsia" w:ascii="宋体" w:hAnsi="宋体" w:cs="宋体"/>
          <w:color w:val="auto"/>
          <w:sz w:val="24"/>
          <w:highlight w:val="none"/>
        </w:rPr>
        <w:t xml:space="preserve">。</w:t>
      </w:r>
      <w:r/>
    </w:p>
    <w:p>
      <w:pPr>
        <w:spacing w:line="360" w:lineRule="auto"/>
        <w:rPr>
          <w:rFonts w:hint="eastAsia"/>
          <w:b/>
          <w:color w:val="auto"/>
          <w:sz w:val="24"/>
          <w:highlight w:val="none"/>
        </w:rPr>
      </w:pPr>
      <w:r>
        <w:rPr>
          <w:rFonts w:hint="eastAsia"/>
          <w:b/>
          <w:color w:val="auto"/>
          <w:sz w:val="24"/>
          <w:highlight w:val="none"/>
          <w:lang w:val="en-US" w:eastAsia="zh-CN"/>
        </w:rPr>
        <w:t xml:space="preserve">八</w:t>
      </w:r>
      <w:r>
        <w:rPr>
          <w:rFonts w:hint="eastAsia"/>
          <w:b/>
          <w:color w:val="auto"/>
          <w:sz w:val="24"/>
          <w:highlight w:val="none"/>
        </w:rPr>
        <w:t xml:space="preserve">、凡对本次采购提出询问，请按以下方式联系。</w:t>
      </w:r>
      <w:bookmarkEnd w:id="18"/>
      <w:r/>
      <w:bookmarkEnd w:id="19"/>
      <w:r/>
      <w:bookmarkEnd w:id="20"/>
      <w:r/>
      <w:bookmarkEnd w:id="21"/>
      <w:r/>
      <w:r/>
    </w:p>
    <w:p>
      <w:pPr>
        <w:ind w:firstLine="480"/>
        <w:spacing w:line="360" w:lineRule="auto"/>
        <w:widowControl/>
        <w:rPr>
          <w:rFonts w:ascii="宋体" w:hAnsi="宋体" w:cs="宋体"/>
          <w:color w:val="auto"/>
          <w:sz w:val="24"/>
          <w:highlight w:val="none"/>
        </w:rPr>
      </w:pPr>
      <w:r/>
      <w:bookmarkStart w:id="24" w:name="_Toc35393617"/>
      <w:r/>
      <w:bookmarkStart w:id="25" w:name="_Toc35393786"/>
      <w:r/>
      <w:bookmarkStart w:id="26" w:name="_Toc28358998"/>
      <w:r/>
      <w:bookmarkStart w:id="27" w:name="_Toc28359075"/>
      <w:r>
        <w:rPr>
          <w:rFonts w:hint="eastAsia" w:ascii="宋体" w:hAnsi="宋体" w:cs="宋体"/>
          <w:color w:val="auto"/>
          <w:sz w:val="24"/>
          <w:highlight w:val="none"/>
        </w:rPr>
        <w:t xml:space="preserve">1.采购人信息</w:t>
      </w:r>
      <w:bookmarkEnd w:id="24"/>
      <w:r/>
      <w:bookmarkEnd w:id="25"/>
      <w:r/>
      <w:bookmarkEnd w:id="26"/>
      <w:r/>
      <w:bookmarkEnd w:id="27"/>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color w:val="auto"/>
          <w:sz w:val="24"/>
          <w:szCs w:val="24"/>
          <w:highlight w:val="none"/>
          <w:lang w:eastAsia="zh-CN"/>
        </w:rPr>
        <w:t xml:space="preserve">苏州市相城区黄埭镇人民政府（苏州市相城区黄埭镇财政和资产监督管理办公室）</w:t>
      </w:r>
      <w:r/>
    </w:p>
    <w:p>
      <w:pPr>
        <w:ind w:firstLine="480"/>
        <w:spacing w:line="36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联系电话：</w:t>
      </w:r>
      <w:r>
        <w:rPr>
          <w:rFonts w:hint="eastAsia" w:ascii="宋体" w:hAnsi="宋体" w:cs="宋体"/>
          <w:color w:val="auto"/>
          <w:sz w:val="24"/>
          <w:highlight w:val="none"/>
        </w:rPr>
        <w:t xml:space="preserve">（0512）</w:t>
      </w:r>
      <w:r/>
      <w:r>
        <w:rPr>
          <w:rFonts w:hint="eastAsia" w:ascii="宋体" w:hAnsi="宋体" w:eastAsia="宋体" w:cs="宋体"/>
          <w:color w:val="auto"/>
          <w:sz w:val="24"/>
          <w:szCs w:val="24"/>
          <w:lang w:val="en-US" w:eastAsia="zh-CN"/>
        </w:rPr>
      </w:r>
      <w:r>
        <w:rPr>
          <w:rFonts w:hint="eastAsia" w:ascii="宋体" w:hAnsi="宋体" w:cs="宋体"/>
          <w:color w:val="auto"/>
          <w:sz w:val="24"/>
          <w:szCs w:val="24"/>
          <w:lang w:val="en-US" w:eastAsia="zh-CN"/>
        </w:rPr>
        <w:t xml:space="preserve">65429531</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名    称：苏州睿乔招投标咨询服务有限公司</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地　　址：苏州市吴中区南湖路71号天贸大厦西9楼</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联系方式：（0512）67276332</w:t>
      </w:r>
      <w:r/>
    </w:p>
    <w:p>
      <w:pPr>
        <w:ind w:firstLine="480"/>
        <w:spacing w:line="360" w:lineRule="auto"/>
        <w:widowControl/>
        <w:rPr>
          <w:rFonts w:ascii="宋体" w:hAnsi="宋体" w:cs="宋体"/>
          <w:color w:val="auto"/>
          <w:sz w:val="24"/>
          <w:highlight w:val="none"/>
        </w:rPr>
      </w:pPr>
      <w:r/>
      <w:bookmarkStart w:id="28" w:name="_Toc35393808"/>
      <w:r/>
      <w:bookmarkStart w:id="29" w:name="_Toc28359098"/>
      <w:r/>
      <w:bookmarkStart w:id="30" w:name="_Toc35393639"/>
      <w:r/>
      <w:bookmarkStart w:id="31" w:name="_Toc28359021"/>
      <w:r>
        <w:rPr>
          <w:rFonts w:hint="eastAsia" w:ascii="宋体" w:hAnsi="宋体" w:cs="宋体"/>
          <w:color w:val="auto"/>
          <w:sz w:val="24"/>
          <w:highlight w:val="none"/>
        </w:rPr>
        <w:t xml:space="preserve">3.项目联系</w:t>
      </w:r>
      <w:r>
        <w:rPr>
          <w:rFonts w:ascii="宋体" w:hAnsi="宋体" w:cs="宋体"/>
          <w:color w:val="auto"/>
          <w:sz w:val="24"/>
          <w:highlight w:val="none"/>
        </w:rPr>
        <w:t xml:space="preserve">方式</w:t>
      </w:r>
      <w:bookmarkEnd w:id="28"/>
      <w:r/>
      <w:bookmarkEnd w:id="29"/>
      <w:r/>
      <w:bookmarkEnd w:id="30"/>
      <w:r/>
      <w:bookmarkEnd w:id="31"/>
      <w:r/>
      <w:r/>
    </w:p>
    <w:p>
      <w:pPr>
        <w:ind w:firstLine="480"/>
        <w:spacing w:line="36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项目联系人：</w:t>
      </w:r>
      <w:r>
        <w:rPr>
          <w:rFonts w:hint="eastAsia" w:ascii="宋体" w:hAnsi="宋体" w:cs="宋体"/>
          <w:color w:val="auto"/>
          <w:sz w:val="24"/>
          <w:highlight w:val="none"/>
          <w:lang w:val="en-US" w:eastAsia="zh-CN"/>
        </w:rPr>
        <w:t xml:space="preserve">潘凌、</w:t>
      </w:r>
      <w:r>
        <w:rPr>
          <w:rFonts w:hint="eastAsia" w:ascii="宋体" w:hAnsi="宋体" w:cs="宋体"/>
          <w:color w:val="auto"/>
          <w:sz w:val="24"/>
          <w:highlight w:val="none"/>
          <w:lang w:eastAsia="zh-CN"/>
        </w:rPr>
        <w:t xml:space="preserve">卞玥霏</w:t>
      </w:r>
      <w:r/>
    </w:p>
    <w:p>
      <w:pPr>
        <w:ind w:left="0" w:right="0" w:firstLine="480"/>
        <w:jc w:val="left"/>
        <w:keepLines w:val="0"/>
        <w:keepNext w:val="0"/>
        <w:spacing w:before="0" w:beforeAutospacing="0" w:after="0" w:afterAutospacing="0" w:line="360" w:lineRule="auto"/>
        <w:shd w:val="clear" w:color="auto" w:fill="ffffff"/>
        <w:widowControl/>
        <w:rPr>
          <w:rFonts w:hint="eastAsia" w:ascii="宋体" w:hAnsi="宋体"/>
          <w:b/>
          <w:color w:val="auto"/>
          <w:sz w:val="30"/>
          <w:szCs w:val="3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highlight w:val="none"/>
        </w:rPr>
        <w:t xml:space="preserve">电　　 话：（0512）67276332</w:t>
      </w:r>
      <w:r/>
    </w:p>
    <w:p>
      <w:pPr>
        <w:jc w:val="center"/>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第二章  </w:t>
      </w:r>
      <w:r>
        <w:rPr>
          <w:rFonts w:hint="eastAsia" w:ascii="宋体" w:hAnsi="宋体"/>
          <w:b/>
          <w:color w:val="auto"/>
          <w:sz w:val="30"/>
          <w:szCs w:val="30"/>
          <w:highlight w:val="none"/>
          <w:lang w:val="en-US" w:eastAsia="zh-CN"/>
        </w:rPr>
        <w:t xml:space="preserve">磋商</w:t>
      </w:r>
      <w:r>
        <w:rPr>
          <w:rFonts w:hint="eastAsia" w:ascii="宋体" w:hAnsi="宋体"/>
          <w:b/>
          <w:color w:val="auto"/>
          <w:sz w:val="30"/>
          <w:szCs w:val="30"/>
          <w:highlight w:val="none"/>
        </w:rPr>
        <w:t xml:space="preserve">须知</w:t>
      </w:r>
      <w:r/>
    </w:p>
    <w:p>
      <w:pPr>
        <w:spacing w:line="360" w:lineRule="auto"/>
        <w:tabs>
          <w:tab w:val="left" w:pos="8930" w:leader="none"/>
          <w:tab w:val="left" w:pos="9306" w:leader="none"/>
        </w:tabs>
        <w:rPr>
          <w:rFonts w:hint="eastAsia" w:ascii="宋体" w:hAnsi="宋体" w:eastAsia="宋体" w:cs="宋体"/>
          <w:color w:val="auto"/>
          <w:sz w:val="24"/>
          <w:szCs w:val="24"/>
          <w:highlight w:val="none"/>
        </w:rPr>
      </w:pPr>
      <w:r/>
      <w:bookmarkStart w:id="32" w:name="_Toc377461589"/>
      <w:r/>
      <w:bookmarkStart w:id="33" w:name="_Toc394743308"/>
      <w:r/>
      <w:bookmarkStart w:id="34" w:name="_Toc377461644"/>
      <w:r/>
      <w:bookmarkStart w:id="35" w:name="_Toc329789742"/>
      <w:r>
        <w:rPr>
          <w:rFonts w:hint="eastAsia" w:ascii="宋体" w:hAnsi="宋体" w:eastAsia="宋体" w:cs="宋体"/>
          <w:color w:val="auto"/>
          <w:sz w:val="24"/>
          <w:szCs w:val="24"/>
          <w:highlight w:val="none"/>
        </w:rPr>
        <w:t xml:space="preserve">A 说明和释义</w:t>
      </w:r>
      <w:r/>
    </w:p>
    <w:p>
      <w:pPr>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1.说明</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1.1本采购文件仅适用于苏州睿乔招投标咨询服务有限公司组织的采购活动。</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1.2本次采购活动及因本次采购产生的合同受中国法律制约和保护。</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1.3本采购文件的解释权属于苏州睿乔招投标咨询服务有限公司。</w:t>
      </w:r>
      <w:r/>
    </w:p>
    <w:p>
      <w:pPr>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2.词语释义</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2.1采购单位：依法进行政府采购的国家机关、事业单位、团体组织。</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2.2供应商：响应磋商并且符合磋商采购文件规定资格条件和参加磋商竞争的法人、其他组织或者自然人。</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2.3响应：供应商根据采购单位发布的磋商采购文件，编制磋商响应文件并按规定参与磋商的行为。</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2.5甲方（采购方）：合同中明确规定的实际购买货物和服务的法人或其他组织和自然人。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2.6乙方（供应商）：合同中规定的向采购方提供货物和服务的法人或其他组织和自然人。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2.7货物：系指乙方按采购文件规定，应向甲方提供的一切设备、备品、备件、工具、手册及其它有关技术资料和材料。</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2.9知识产权：指专利权、商标权、著作权等无形财产专有权的统称。</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2.10天：日历天。</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2.11交货地点：合同中明确约定的乙方提交的货物和服务最终到达地点。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2.12合同价款：根据合同规定，乙方在正确的履行合同义务后甲方应支付乙方的价款。</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2.13产地：货物开采、生长、生产、最终制造、加工或提供服务的来源地。</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2.14不可抗力：不能预见、不能避免并且不能克服的客观情况。</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2.15实质响应：满足有关本次采购标的、数量、质量、价款或者报酬、履行期限、履行地点和方式、违约责任和解决争议方法等要求。</w:t>
      </w:r>
      <w:r/>
    </w:p>
    <w:p>
      <w:pPr>
        <w:ind w:firstLine="480"/>
        <w:keepLines w:val="0"/>
        <w:keepNext w:val="0"/>
        <w:pageBreakBefore w:val="0"/>
        <w:spacing w:line="360" w:lineRule="auto"/>
        <w:widowControl w:val="off"/>
        <w:tabs>
          <w:tab w:val="left" w:pos="8930" w:leader="none"/>
          <w:tab w:val="left" w:pos="930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2.16进口产品：通过中国海关报关验放进入中国境内且产自关境外的产品。</w:t>
      </w:r>
      <w:r/>
    </w:p>
    <w:p>
      <w:pPr>
        <w:ind w:firstLine="480"/>
        <w:keepLines w:val="0"/>
        <w:keepNext w:val="0"/>
        <w:pageBreakBefore w:val="0"/>
        <w:spacing w:line="360" w:lineRule="auto"/>
        <w:widowControl w:val="off"/>
        <w:tabs>
          <w:tab w:val="left" w:pos="8930" w:leader="none"/>
          <w:tab w:val="left" w:pos="930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2.17书面形式：指书面文字、合同书、信件和传真等可以有形地表现所载内容的形式。</w:t>
      </w:r>
      <w:r/>
    </w:p>
    <w:p>
      <w:pPr>
        <w:keepLines w:val="0"/>
        <w:keepNext w:val="0"/>
        <w:pageBreakBefore w:val="0"/>
        <w:spacing w:line="360" w:lineRule="auto"/>
        <w:widowControl w:val="off"/>
        <w:tabs>
          <w:tab w:val="left" w:pos="8930" w:leader="none"/>
          <w:tab w:val="left" w:pos="930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B 供应商</w:t>
      </w:r>
      <w:r/>
    </w:p>
    <w:p>
      <w:pPr>
        <w:keepLines w:val="0"/>
        <w:keepNext w:val="0"/>
        <w:pageBreakBefore w:val="0"/>
        <w:spacing w:line="360" w:lineRule="auto"/>
        <w:widowControl w:val="off"/>
        <w:tabs>
          <w:tab w:val="left" w:pos="8930" w:leader="none"/>
          <w:tab w:val="left" w:pos="930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3.合格磋商供应商的条件</w:t>
      </w:r>
      <w:r/>
    </w:p>
    <w:p>
      <w:pPr>
        <w:keepLines w:val="0"/>
        <w:keepNext w:val="0"/>
        <w:pageBreakBefore w:val="0"/>
        <w:spacing w:line="360" w:lineRule="auto"/>
        <w:widowControl w:val="off"/>
        <w:tabs>
          <w:tab w:val="left" w:pos="8930" w:leader="none"/>
          <w:tab w:val="left" w:pos="9306" w:leader="none"/>
        </w:tabs>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合格磋商供应商的一般条件</w:t>
      </w:r>
      <w:r/>
    </w:p>
    <w:p>
      <w:pPr>
        <w:pStyle w:val="1003"/>
        <w:ind w:firstLine="480"/>
        <w:keepLines w:val="0"/>
        <w:keepNext w:val="0"/>
        <w:pageBreakBefore w:val="0"/>
        <w:spacing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3.1</w:t>
      </w:r>
      <w:r>
        <w:rPr>
          <w:rFonts w:hint="eastAsia" w:ascii="宋体" w:hAnsi="宋体" w:cs="宋体"/>
          <w:color w:val="auto"/>
          <w:highlight w:val="none"/>
          <w:lang w:val="en-US" w:eastAsia="zh-CN"/>
        </w:rPr>
        <w:t xml:space="preserve">.1</w:t>
      </w:r>
      <w:r>
        <w:rPr>
          <w:rFonts w:hint="eastAsia" w:ascii="宋体" w:hAnsi="宋体" w:eastAsia="宋体" w:cs="宋体"/>
          <w:color w:val="auto"/>
          <w:szCs w:val="24"/>
          <w:highlight w:val="none"/>
        </w:rPr>
        <w:t xml:space="preserve">具有独立承担民事责任的能力证明。包括法人或者其他组织的营业执照等证明文件，自然人的身份证明；</w:t>
      </w:r>
      <w:r/>
    </w:p>
    <w:p>
      <w:pPr>
        <w:pStyle w:val="1003"/>
        <w:ind w:firstLine="480"/>
        <w:keepLines w:val="0"/>
        <w:keepNext w:val="0"/>
        <w:pageBreakBefore w:val="0"/>
        <w:spacing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2</w:t>
      </w:r>
      <w:r>
        <w:rPr>
          <w:rFonts w:hint="eastAsia" w:ascii="宋体" w:hAnsi="宋体" w:eastAsia="宋体" w:cs="宋体"/>
          <w:color w:val="auto"/>
          <w:szCs w:val="24"/>
          <w:highlight w:val="none"/>
        </w:rPr>
        <w:t xml:space="preserve">具有良好的商业信誉和健全的财务会计制度证明。包括但不限于最近一期经审计的财务报告，其他组织、自然人及成立未满一年的法人应提供银行出具的资信证明</w:t>
      </w:r>
      <w:r>
        <w:rPr>
          <w:rFonts w:hint="eastAsia" w:ascii="宋体" w:hAnsi="宋体" w:eastAsia="宋体" w:cs="宋体"/>
          <w:color w:val="auto"/>
          <w:highlight w:val="none"/>
        </w:rPr>
        <w:t xml:space="preserve">；</w:t>
      </w:r>
      <w:r/>
    </w:p>
    <w:p>
      <w:pPr>
        <w:pStyle w:val="1003"/>
        <w:ind w:firstLine="480"/>
        <w:keepLines w:val="0"/>
        <w:keepNext w:val="0"/>
        <w:pageBreakBefore w:val="0"/>
        <w:spacing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3具有履行合同所必需的设备和专业技术能力；</w:t>
      </w:r>
      <w:r/>
    </w:p>
    <w:p>
      <w:pPr>
        <w:pStyle w:val="1003"/>
        <w:ind w:firstLine="480"/>
        <w:keepLines w:val="0"/>
        <w:keepNext w:val="0"/>
        <w:pageBreakBefore w:val="0"/>
        <w:spacing w:line="360" w:lineRule="auto"/>
        <w:widowControl w:val="off"/>
        <w:rPr>
          <w:rFonts w:hint="eastAsia" w:ascii="宋体" w:hAnsi="宋体" w:eastAsia="宋体" w:cs="宋体"/>
          <w:color w:val="auto"/>
          <w:szCs w:val="24"/>
          <w:highlight w:val="none"/>
          <w:lang w:eastAsia="zh-CN"/>
        </w:rPr>
        <w:outlineLvl w:val="9"/>
      </w:pPr>
      <w:r>
        <w:rPr>
          <w:rFonts w:hint="eastAsia" w:ascii="宋体" w:hAnsi="宋体" w:eastAsia="宋体" w:cs="宋体"/>
          <w:color w:val="auto"/>
          <w:highlight w:val="none"/>
        </w:rPr>
        <w:t xml:space="preserve">3.</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4</w:t>
      </w:r>
      <w:r>
        <w:rPr>
          <w:rFonts w:hint="eastAsia" w:ascii="宋体" w:hAnsi="宋体" w:eastAsia="宋体" w:cs="宋体"/>
          <w:color w:val="auto"/>
          <w:szCs w:val="24"/>
          <w:highlight w:val="none"/>
        </w:rPr>
        <w:t xml:space="preserve">有依法缴纳税收和社会保障资金的良好记录。如税务登记证（如有）和合理期限内依法缴纳税收的凭据，社会保险登记证（如有）和合理期限内依法缴纳社会保险的凭据（专用收据或社会保险缴纳清单）</w:t>
      </w:r>
      <w:r>
        <w:rPr>
          <w:rFonts w:hint="eastAsia" w:ascii="宋体" w:hAnsi="宋体" w:eastAsia="宋体" w:cs="宋体"/>
          <w:color w:val="auto"/>
          <w:szCs w:val="24"/>
          <w:highlight w:val="none"/>
          <w:lang w:eastAsia="zh-CN"/>
        </w:rPr>
        <w:t xml:space="preserve">（供应商</w:t>
      </w:r>
      <w:r>
        <w:rPr>
          <w:rFonts w:hint="eastAsia" w:ascii="宋体" w:hAnsi="宋体" w:eastAsia="宋体" w:cs="宋体"/>
          <w:color w:val="auto"/>
          <w:szCs w:val="24"/>
          <w:highlight w:val="none"/>
        </w:rPr>
        <w:t xml:space="preserve">依法享受缓缴、免缴税收、社会保障资金的提供证明材料。</w:t>
      </w:r>
      <w:r>
        <w:rPr>
          <w:rFonts w:hint="eastAsia" w:ascii="宋体" w:hAnsi="宋体" w:eastAsia="宋体" w:cs="宋体"/>
          <w:color w:val="auto"/>
          <w:szCs w:val="24"/>
          <w:highlight w:val="none"/>
          <w:lang w:eastAsia="zh-CN"/>
        </w:rPr>
        <w:t xml:space="preserve">）；</w:t>
      </w:r>
      <w:r/>
    </w:p>
    <w:p>
      <w:pPr>
        <w:pStyle w:val="1003"/>
        <w:ind w:firstLine="480"/>
        <w:keepLines w:val="0"/>
        <w:keepNext w:val="0"/>
        <w:pageBreakBefore w:val="0"/>
        <w:spacing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5参加政府采购活动前三年内，在经营活动中没有重大违法记录（书面声明函）；</w:t>
      </w:r>
      <w:r/>
    </w:p>
    <w:p>
      <w:pPr>
        <w:pStyle w:val="1003"/>
        <w:ind w:firstLine="480"/>
        <w:keepLines w:val="0"/>
        <w:keepNext w:val="0"/>
        <w:pageBreakBefore w:val="0"/>
        <w:spacing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6法律、行政法规规定的其他条件；</w:t>
      </w:r>
      <w:r/>
    </w:p>
    <w:p>
      <w:pPr>
        <w:pStyle w:val="1003"/>
        <w:ind w:firstLine="480"/>
        <w:keepLines w:val="0"/>
        <w:keepNext w:val="0"/>
        <w:pageBreakBefore w:val="0"/>
        <w:spacing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7本次采购不接受进口产品；</w:t>
      </w:r>
      <w:r/>
    </w:p>
    <w:p>
      <w:pPr>
        <w:pStyle w:val="1003"/>
        <w:ind w:firstLine="480"/>
        <w:keepLines w:val="0"/>
        <w:keepNext w:val="0"/>
        <w:pageBreakBefore w:val="0"/>
        <w:spacing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8本项目不接受联合体投标；</w:t>
      </w:r>
      <w:r/>
    </w:p>
    <w:p>
      <w:pPr>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3.2</w:t>
      </w:r>
      <w:r>
        <w:rPr>
          <w:rFonts w:hint="eastAsia" w:ascii="宋体" w:hAnsi="宋体"/>
          <w:color w:val="auto"/>
          <w:sz w:val="24"/>
          <w:highlight w:val="none"/>
        </w:rPr>
        <w:t xml:space="preserve">本项目的特定资格要求：</w:t>
      </w:r>
      <w:r/>
    </w:p>
    <w:p>
      <w:pPr>
        <w:ind w:right="-159" w:firstLine="480"/>
        <w:spacing w:line="360" w:lineRule="auto"/>
        <w:rPr>
          <w:rFonts w:hint="eastAsia" w:ascii="Times New Roman" w:hAnsi="Times New Roman"/>
          <w:sz w:val="24"/>
          <w:szCs w:val="24"/>
          <w:highlight w:val="none"/>
        </w:rPr>
      </w:pPr>
      <w:r>
        <w:rPr>
          <w:rFonts w:hint="eastAsia" w:ascii="Times New Roman" w:hAnsi="Times New Roman"/>
          <w:sz w:val="24"/>
          <w:szCs w:val="24"/>
          <w:highlight w:val="none"/>
        </w:rPr>
        <w:t xml:space="preserve">①投标单位负责人或股东与施工企业、施工劳务企业、工程材料供应商或施工器械租赁等工程领域相关企业存在交叉股权关系或者管理等影响社会咨询企业独立性的，不得参与本采购活动。</w:t>
      </w:r>
      <w:r/>
    </w:p>
    <w:p>
      <w:pPr>
        <w:ind w:right="-159" w:firstLine="480"/>
        <w:spacing w:line="360" w:lineRule="auto"/>
        <w:rPr>
          <w:rFonts w:hint="eastAsia" w:ascii="Times New Roman" w:hAnsi="Times New Roman"/>
          <w:sz w:val="24"/>
          <w:szCs w:val="24"/>
          <w:highlight w:val="none"/>
        </w:rPr>
      </w:pPr>
      <w:r>
        <w:rPr>
          <w:rFonts w:hint="eastAsia" w:ascii="Times New Roman" w:hAnsi="Times New Roman"/>
          <w:sz w:val="24"/>
          <w:szCs w:val="24"/>
          <w:highlight w:val="none"/>
        </w:rPr>
        <w:t xml:space="preserve">②投标单位应承诺具有相关造价咨询能力，且提供的造价咨询服务工作符合中华人民共和国建设部令第149号及中华人民共和国建设部令第50号相关规定。</w:t>
      </w:r>
      <w:r/>
    </w:p>
    <w:p>
      <w:pPr>
        <w:ind w:right="-159" w:firstLine="480"/>
        <w:spacing w:line="360" w:lineRule="auto"/>
        <w:rPr>
          <w:rFonts w:hint="eastAsia" w:ascii="宋体" w:hAnsi="宋体" w:eastAsia="宋体" w:cs="宋体"/>
          <w:color w:val="auto"/>
          <w:highlight w:val="none"/>
        </w:rPr>
      </w:pPr>
      <w:r>
        <w:rPr>
          <w:rFonts w:hint="eastAsia" w:ascii="Times New Roman" w:hAnsi="Times New Roman"/>
          <w:sz w:val="24"/>
          <w:szCs w:val="24"/>
          <w:highlight w:val="none"/>
        </w:rPr>
        <w:t xml:space="preserve">③</w:t>
      </w:r>
      <w:r>
        <w:rPr>
          <w:rFonts w:hint="eastAsia" w:ascii="Times New Roman" w:hAnsi="Times New Roman"/>
          <w:sz w:val="24"/>
          <w:szCs w:val="24"/>
          <w:highlight w:val="none"/>
          <w:lang w:eastAsia="zh-CN"/>
        </w:rPr>
        <w:t xml:space="preserve">如参与过某项目预算（标底）编制的投标单位不得参与包含该项目预算（标底）审核内容标段的投标，项目的竣工结算审核、过程跟踪审核单位与审计质量核查、监理单位原则上不能为同一家单位；如遇到以上需回避的项目，投标单位自动放弃包含该项目协审内容标段的得标权</w:t>
      </w:r>
      <w:r>
        <w:rPr>
          <w:rFonts w:hint="eastAsia" w:ascii="Times New Roman" w:hAnsi="Times New Roman"/>
          <w:sz w:val="24"/>
          <w:szCs w:val="24"/>
          <w:highlight w:val="none"/>
        </w:rPr>
        <w:t xml:space="preserve">。</w:t>
      </w:r>
      <w:r/>
    </w:p>
    <w:p>
      <w:pPr>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4.供应商代表</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4.1指全权代表供应商参加磋商采购活动并签署磋商响应文件的人，如果磋商供应商代表不是法人代表，须持有《法定代表人授权委托书》（详见附件格式）。</w:t>
      </w:r>
      <w:r/>
    </w:p>
    <w:p>
      <w:pPr>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5.磋商费用</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5.1无论磋商过程中的做法和结果如何，磋商供应商自行承担所有与参加磋商有关的全部费用。</w:t>
      </w:r>
      <w:r/>
    </w:p>
    <w:p>
      <w:pPr>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6.磋商采购文件</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6.1磋商供应商获取采购文件后，应认真审阅采购文件中所有的事项、格式、条款和规范要求等，若供应商的磋商响应文件没有按采购文件要求提交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上传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全部资料，或磋商响应文件没有对采购文件做出实质性响应，其风险由供应商自行承担，并根据有关条款规定，该响应有可能被拒绝。</w:t>
      </w:r>
      <w:r/>
    </w:p>
    <w:p>
      <w:pPr>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7.采购文件的修改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7.1在递交</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上传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磋商响应文件截止时间前，采购单位无论出于自己的考虑，还是出</w:t>
      </w:r>
      <w:r>
        <w:rPr>
          <w:rFonts w:hint="eastAsia" w:ascii="宋体" w:hAnsi="宋体" w:eastAsia="宋体" w:cs="宋体"/>
          <w:color w:val="auto"/>
          <w:sz w:val="24"/>
          <w:szCs w:val="24"/>
          <w:highlight w:val="none"/>
        </w:rPr>
        <w:t xml:space="preserve">于对供应商提问的澄清，均可对采购文件用更正公告的方式进行修改。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7.2采购单位对采购文件的修改，将以网上公告形式</w:t>
      </w:r>
      <w:r>
        <w:rPr>
          <w:rFonts w:hint="eastAsia" w:ascii="宋体" w:hAnsi="宋体" w:eastAsia="宋体" w:cs="宋体"/>
          <w:color w:val="000000"/>
          <w:sz w:val="24"/>
          <w:szCs w:val="24"/>
          <w:highlight w:val="none"/>
        </w:rPr>
        <w:t xml:space="preserve">对外进行发布</w:t>
      </w:r>
      <w:r>
        <w:rPr>
          <w:rFonts w:hint="eastAsia" w:ascii="宋体" w:hAnsi="宋体" w:eastAsia="宋体" w:cs="宋体"/>
          <w:color w:val="auto"/>
          <w:sz w:val="24"/>
          <w:szCs w:val="24"/>
          <w:highlight w:val="none"/>
        </w:rPr>
        <w:t xml:space="preserve">。更正公告将作为采购文件的组成部分，对所有磋商供应商有约束力。</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7.3采购文件的澄清、修改、补充等内容均以网上公告形式明确的内容为准。当采购文件及采购文件的澄清、修改、补充等在同一内容的表述上不一致时，以</w:t>
      </w:r>
      <w:r>
        <w:rPr>
          <w:rFonts w:hint="eastAsia" w:ascii="宋体" w:hAnsi="宋体" w:cs="宋体"/>
          <w:color w:val="auto"/>
          <w:sz w:val="24"/>
          <w:szCs w:val="24"/>
          <w:highlight w:val="none"/>
          <w:lang w:val="en-US" w:eastAsia="zh-CN"/>
        </w:rPr>
        <w:t xml:space="preserve">网上</w:t>
      </w:r>
      <w:r>
        <w:rPr>
          <w:rFonts w:hint="eastAsia" w:ascii="宋体" w:hAnsi="宋体" w:eastAsia="宋体" w:cs="宋体"/>
          <w:color w:val="auto"/>
          <w:sz w:val="24"/>
          <w:szCs w:val="24"/>
          <w:highlight w:val="none"/>
        </w:rPr>
        <w:t xml:space="preserve">最后发布的</w:t>
      </w:r>
      <w:r>
        <w:rPr>
          <w:rFonts w:hint="eastAsia" w:ascii="宋体" w:hAnsi="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为准。</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7.4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8.采购文件提疑</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8.1供应商认为采购文件、采购过程或中标、成交结果使自己的权益受到损害的，可以在知道或者应知其权益受到损害之日起7个工作日内，以书面形式向采购人、采购代理机构提出质疑。采购</w:t>
      </w:r>
      <w:r>
        <w:rPr>
          <w:rFonts w:hint="eastAsia" w:ascii="宋体" w:hAnsi="宋体" w:cs="宋体"/>
          <w:bCs/>
          <w:color w:val="auto"/>
          <w:sz w:val="24"/>
          <w:szCs w:val="24"/>
          <w:highlight w:val="none"/>
          <w:lang w:val="en-US" w:eastAsia="zh-CN"/>
        </w:rPr>
        <w:t xml:space="preserve">人、采购代理机构</w:t>
      </w:r>
      <w:r>
        <w:rPr>
          <w:rFonts w:hint="eastAsia" w:ascii="宋体" w:hAnsi="宋体" w:eastAsia="宋体" w:cs="宋体"/>
          <w:bCs/>
          <w:color w:val="auto"/>
          <w:sz w:val="24"/>
          <w:szCs w:val="24"/>
          <w:highlight w:val="none"/>
        </w:rPr>
        <w:t xml:space="preserve">应当在收到</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书面质疑后7个工作日内作出答复</w:t>
      </w:r>
      <w:r>
        <w:rPr>
          <w:rFonts w:hint="eastAsia" w:ascii="宋体" w:hAnsi="宋体" w:eastAsia="宋体" w:cs="宋体"/>
          <w:bCs/>
          <w:color w:val="000000"/>
          <w:sz w:val="24"/>
          <w:szCs w:val="24"/>
          <w:highlight w:val="none"/>
          <w:lang w:eastAsia="zh-CN"/>
        </w:rPr>
        <w:t xml:space="preserve">，并以书面形式通知质疑供应商和其他有关供应商。</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bCs/>
          <w:color w:val="auto"/>
          <w:sz w:val="24"/>
          <w:szCs w:val="24"/>
          <w:highlight w:val="none"/>
          <w:shd w:val="clear" w:color="auto" w:fill="auto"/>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8.3本次采购文件要求供应商在法定质疑期内一次性提出针对同一采购程序环节的质疑。</w:t>
      </w:r>
      <w:r>
        <w:rPr>
          <w:rFonts w:hint="eastAsia" w:ascii="宋体" w:hAnsi="宋体" w:eastAsia="宋体" w:cs="宋体"/>
          <w:bCs/>
          <w:color w:val="000000"/>
          <w:sz w:val="24"/>
          <w:szCs w:val="24"/>
          <w:highlight w:val="none"/>
        </w:rPr>
        <w:t xml:space="preserve">供应商如在法定期限内对同一采购程序环节提出多次质疑的，采购代理机构、采购人将只对供应商第一次质疑作出答复</w:t>
      </w:r>
      <w:r>
        <w:rPr>
          <w:rFonts w:hint="eastAsia" w:ascii="宋体" w:hAnsi="宋体" w:eastAsia="宋体" w:cs="宋体"/>
          <w:bCs/>
          <w:color w:val="000000"/>
          <w:sz w:val="24"/>
          <w:szCs w:val="24"/>
          <w:highlight w:val="none"/>
          <w:lang w:eastAsia="zh-CN"/>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8.4供应商提出质疑应当提交质疑函和必要的证明材料。质疑函应当包括下列内容：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8.4.1供应商的姓名或者名称（以营业执照副本复印件为准）、地址、邮编、联系人及联系电话；</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8.4.2质疑项目的名称、编号；</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8.4.3具体、明确的质疑事项和与质疑事项相关的请求；</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8.4.4事实依据；</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8.4.5必要的法律依据；</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8.4.6提出质疑的日期。</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8.4.7</w:t>
      </w:r>
      <w:r>
        <w:rPr>
          <w:rFonts w:hint="eastAsia" w:ascii="宋体" w:hAnsi="宋体" w:eastAsia="宋体" w:cs="宋体"/>
          <w:bCs/>
          <w:color w:val="auto"/>
          <w:sz w:val="24"/>
          <w:szCs w:val="24"/>
          <w:highlight w:val="none"/>
        </w:rPr>
        <w:t xml:space="preserve">供应商《投标供应商确认函》</w:t>
      </w:r>
      <w:r>
        <w:rPr>
          <w:rFonts w:hint="eastAsia" w:ascii="宋体" w:hAnsi="宋体" w:eastAsia="宋体" w:cs="宋体"/>
          <w:color w:val="auto"/>
          <w:sz w:val="24"/>
          <w:szCs w:val="24"/>
          <w:highlight w:val="none"/>
        </w:rPr>
        <w:t xml:space="preserve">。</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进行质疑的，其</w:t>
      </w:r>
      <w:r>
        <w:rPr>
          <w:rFonts w:hint="eastAsia" w:ascii="宋体" w:hAnsi="宋体" w:cs="宋体"/>
          <w:color w:val="auto"/>
          <w:sz w:val="24"/>
          <w:szCs w:val="24"/>
          <w:highlight w:val="none"/>
          <w:lang w:val="en-US" w:eastAsia="zh-CN"/>
        </w:rPr>
        <w:t xml:space="preserve">法定代表人</w:t>
      </w:r>
      <w:r>
        <w:rPr>
          <w:rFonts w:hint="eastAsia" w:ascii="宋体" w:hAnsi="宋体" w:eastAsia="宋体" w:cs="宋体"/>
          <w:color w:val="auto"/>
          <w:sz w:val="24"/>
          <w:szCs w:val="24"/>
          <w:highlight w:val="none"/>
        </w:rPr>
        <w:t xml:space="preserve">授权委托书上应当载明代理人的姓名或者名称、代理事项、具体权限、期限和相关事项。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8.4.8接收质疑函的方式：书面形式（当场送达或邮寄方式）。</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质疑联系人：</w:t>
      </w:r>
      <w:r>
        <w:rPr>
          <w:rFonts w:hint="eastAsia" w:ascii="宋体" w:hAnsi="宋体" w:cs="宋体"/>
          <w:color w:val="auto"/>
          <w:sz w:val="24"/>
          <w:szCs w:val="24"/>
          <w:highlight w:val="none"/>
          <w:lang w:val="en-US" w:eastAsia="zh-CN"/>
        </w:rPr>
        <w:t xml:space="preserve">卞玥霏</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联系电话：（0512）67276332</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通讯地址：苏州市吴中区南湖路71号天贸大厦西9楼</w:t>
      </w:r>
      <w:r/>
    </w:p>
    <w:p>
      <w:pPr>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9.提示与要求</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9.1磋商供应商应仔细阅读采购文件的所有内容，按采购文件的要求提供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上传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响应文件，并保证所提供的全部资料的真实性，以使其对采购文件作出实质性响应，否则，其磋商响应文件可能被拒绝。</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9.2无论是否递交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上传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磋商响应文件，供应商都应将采购文件及以后的所有通知、文件等视为保密文件。</w:t>
      </w:r>
      <w:r/>
    </w:p>
    <w:p>
      <w:pPr>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10.响应文件计量单位和使用文字</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11、</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rPr>
        <w:t xml:space="preserve">文件的组成</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部分格式见第六章</w:t>
      </w:r>
      <w:r>
        <w:rPr>
          <w:rFonts w:hint="eastAsia" w:ascii="宋体" w:hAnsi="宋体"/>
          <w:bCs/>
          <w:color w:val="auto"/>
          <w:sz w:val="24"/>
          <w:highlight w:val="none"/>
          <w:lang w:eastAsia="zh-CN"/>
        </w:rPr>
        <w:t xml:space="preserve">）</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11.1</w:t>
      </w:r>
      <w:r>
        <w:rPr>
          <w:rFonts w:hint="eastAsia" w:ascii="宋体" w:hAnsi="宋体" w:eastAsia="宋体" w:cs="宋体"/>
          <w:b/>
          <w:bCs/>
          <w:color w:val="auto"/>
          <w:sz w:val="24"/>
          <w:szCs w:val="24"/>
          <w:highlight w:val="none"/>
        </w:rPr>
        <w:t xml:space="preserve">开标一览表(</w:t>
      </w:r>
      <w:r>
        <w:rPr>
          <w:rFonts w:hint="eastAsia" w:ascii="宋体" w:hAnsi="宋体" w:eastAsia="宋体" w:cs="宋体"/>
          <w:b/>
          <w:bCs/>
          <w:color w:val="auto"/>
          <w:sz w:val="24"/>
          <w:szCs w:val="24"/>
          <w:highlight w:val="none"/>
          <w:lang w:val="en-US" w:eastAsia="zh-CN"/>
        </w:rPr>
        <w:t xml:space="preserve">按系统内</w:t>
      </w:r>
      <w:r>
        <w:rPr>
          <w:rFonts w:hint="eastAsia" w:ascii="宋体" w:hAnsi="宋体" w:eastAsia="宋体" w:cs="宋体"/>
          <w:b/>
          <w:bCs/>
          <w:color w:val="auto"/>
          <w:sz w:val="24"/>
          <w:szCs w:val="24"/>
          <w:highlight w:val="none"/>
        </w:rPr>
        <w:t xml:space="preserve">统一格式)</w:t>
      </w:r>
      <w:r>
        <w:rPr>
          <w:rFonts w:hint="eastAsia" w:ascii="宋体" w:hAnsi="宋体" w:eastAsia="宋体" w:cs="宋体"/>
          <w:b/>
          <w:bCs/>
          <w:color w:val="auto"/>
          <w:sz w:val="24"/>
          <w:szCs w:val="24"/>
          <w:highlight w:val="none"/>
          <w:lang w:val="en-US" w:eastAsia="zh-CN"/>
        </w:rPr>
        <w:t xml:space="preserve">；</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11.2资格性审查文件：</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11.2.1关于资格文件的声明函；</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11.2.2磋商响应单位基本情况表；</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11.2.3磋商响应单位《营业执照》扫描件；</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11.2.4磋商响应单位法定代表人身份证扫描件；</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11.2.5磋商响应单位法定代表人授权委托书及代理人身份证扫描件（如有</w:t>
      </w:r>
      <w:r>
        <w:rPr>
          <w:rFonts w:hint="eastAsia" w:ascii="宋体" w:hAnsi="宋体" w:cs="宋体"/>
          <w:color w:val="auto"/>
          <w:sz w:val="24"/>
          <w:szCs w:val="24"/>
          <w:highlight w:val="none"/>
          <w:lang w:val="en-US" w:eastAsia="zh-CN"/>
        </w:rPr>
        <w:t xml:space="preserve">被授权人，需提供被授权人近三个月社保缴纳证明</w:t>
      </w:r>
      <w:r>
        <w:rPr>
          <w:rFonts w:hint="eastAsia" w:ascii="宋体" w:hAnsi="宋体" w:eastAsia="宋体" w:cs="宋体"/>
          <w:color w:val="auto"/>
          <w:sz w:val="24"/>
          <w:szCs w:val="24"/>
          <w:highlight w:val="none"/>
          <w:lang w:val="en-US" w:eastAsia="zh-CN"/>
        </w:rPr>
        <w:t xml:space="preserve">）；</w:t>
      </w:r>
      <w:r/>
    </w:p>
    <w:p>
      <w:pPr>
        <w:ind w:firstLine="480"/>
        <w:spacing w:line="360" w:lineRule="auto"/>
        <w:tabs>
          <w:tab w:val="left" w:pos="8930" w:leader="none"/>
          <w:tab w:val="left" w:pos="9306" w:leader="none"/>
        </w:tabs>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11.2.6合格投标人资格证明材料：</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（1）具有独立承担民事责任的能力证明。包括法人或者其他组织的营业执照等证明文件，自然人的身份证明；</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（2）具有良好的商业信誉和健全的财务会计制度证明。包括但不限于最近一期经审计的财务报告，其他组织、自然人及成立未满一年的法人应提供银行出具的资信证明；</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（3）响应单位证明其满足合格投标人条件的证书、证明、文件等资料以及响应单位所具备的专业设备和专业技术能力；</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（4）有依法缴纳税收和社会保障资金的良好记录。如税务登记证（如有）和合理期限内依法缴纳税收的凭据，社会保险登记证（如有）和合理期限内依法缴纳社会保险的凭据（专用收据或社会保险缴纳清单）；</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（5）参加政府采购活动前三年内，在经营活动中没有重大违法记录的书面声明函；</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11.2.7未被“信用中国”网站（www.creditchina.gov.cn）列入失信被执行人、重大税收违法案件当事人名单、政府采购严重失信行为记录名单；</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《中小企业声明函》或《残疾人福利性单位声明函》或由省级以上监狱管理局、戒毒管理局（含新疆生产建设兵团）出具的属于监狱企业的证明文件；</w:t>
      </w:r>
      <w:r/>
    </w:p>
    <w:p>
      <w:pPr>
        <w:ind w:right="-159" w:firstLine="480"/>
        <w:spacing w:line="360" w:lineRule="auto"/>
        <w:rPr>
          <w:rFonts w:hint="eastAsia" w:ascii="Times New Roman" w:hAnsi="Times New Roman"/>
          <w:sz w:val="24"/>
          <w:szCs w:val="24"/>
          <w:highlight w:val="none"/>
        </w:rPr>
      </w:pPr>
      <w:r>
        <w:rPr>
          <w:rFonts w:hint="eastAsia" w:ascii="宋体" w:hAnsi="宋体" w:cs="宋体"/>
          <w:color w:val="auto"/>
          <w:sz w:val="24"/>
          <w:szCs w:val="24"/>
          <w:highlight w:val="none"/>
          <w:lang w:val="en-US" w:eastAsia="zh-CN"/>
        </w:rPr>
        <w:t xml:space="preserve">11.2.9</w:t>
      </w:r>
      <w:r>
        <w:rPr>
          <w:rFonts w:hint="eastAsia" w:ascii="Times New Roman" w:hAnsi="Times New Roman"/>
          <w:sz w:val="24"/>
          <w:szCs w:val="24"/>
          <w:highlight w:val="none"/>
        </w:rPr>
        <w:t xml:space="preserve">投标单位负责人或股东与施工企业、施工劳务企业、工程材料供应商或施工器械租赁等工程领域相关企业存在交叉股权关系或者管理等影响社会咨询企业独立性的，不得参与本采购活动。</w:t>
      </w:r>
      <w:r/>
    </w:p>
    <w:p>
      <w:pPr>
        <w:ind w:right="-159" w:firstLine="480"/>
        <w:spacing w:line="360" w:lineRule="auto"/>
        <w:rPr>
          <w:rFonts w:hint="eastAsia" w:ascii="Times New Roman" w:hAnsi="Times New Roman"/>
          <w:sz w:val="24"/>
          <w:szCs w:val="24"/>
          <w:highlight w:val="none"/>
        </w:rPr>
      </w:pPr>
      <w:r>
        <w:rPr>
          <w:rFonts w:hint="eastAsia" w:ascii="宋体" w:hAnsi="宋体" w:cs="宋体"/>
          <w:color w:val="auto"/>
          <w:sz w:val="24"/>
          <w:szCs w:val="24"/>
          <w:highlight w:val="none"/>
          <w:lang w:val="en-US" w:eastAsia="zh-CN"/>
        </w:rPr>
        <w:t xml:space="preserve">11.2.10投标单位应承诺具</w:t>
      </w:r>
      <w:r>
        <w:rPr>
          <w:rFonts w:hint="eastAsia" w:ascii="Times New Roman" w:hAnsi="Times New Roman"/>
          <w:sz w:val="24"/>
          <w:szCs w:val="24"/>
          <w:highlight w:val="none"/>
        </w:rPr>
        <w:t xml:space="preserve">有相关造价咨询能力，且提供的造价咨询服务工作符合中华人民共和国建设部令第149号及中华人民共和国建设部令第50号相关规定。</w:t>
      </w:r>
      <w:r/>
    </w:p>
    <w:p>
      <w:pPr>
        <w:ind w:right="-159"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 xml:space="preserve">11.2.11</w:t>
      </w:r>
      <w:r>
        <w:rPr>
          <w:rFonts w:hint="eastAsia" w:ascii="宋体" w:hAnsi="宋体" w:eastAsia="宋体" w:cs="宋体"/>
          <w:sz w:val="24"/>
          <w:szCs w:val="24"/>
          <w:highlight w:val="none"/>
          <w:lang w:eastAsia="zh-CN"/>
        </w:rPr>
        <w:t xml:space="preserve">如</w:t>
      </w:r>
      <w:r>
        <w:rPr>
          <w:rFonts w:hint="eastAsia" w:ascii="Times New Roman" w:hAnsi="Times New Roman"/>
          <w:sz w:val="24"/>
          <w:szCs w:val="24"/>
          <w:highlight w:val="none"/>
          <w:lang w:eastAsia="zh-CN"/>
        </w:rPr>
        <w:t xml:space="preserve">参与过某项目预算（标底）编制的投标单位不得参与包含该项目预算（标底）审核内容标段的投标，项目的竣工结算审核、过程跟踪审核单位与审计质量核查、监理单位原则上不能为同一家单位；如遇到以上需回避的项目，投标单位自动放弃包含该项目协审内容标段的得标权</w:t>
      </w:r>
      <w:r>
        <w:rPr>
          <w:rFonts w:hint="eastAsia" w:ascii="Times New Roman" w:hAnsi="Times New Roman"/>
          <w:sz w:val="24"/>
          <w:szCs w:val="24"/>
          <w:highlight w:val="none"/>
        </w:rPr>
        <w:t xml:space="preserve">。</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11.3符合性审查文件：</w:t>
      </w:r>
      <w:r/>
    </w:p>
    <w:p>
      <w:pPr>
        <w:ind w:firstLine="480"/>
        <w:spacing w:line="360" w:lineRule="auto"/>
        <w:tabs>
          <w:tab w:val="left" w:pos="8930" w:leader="none"/>
          <w:tab w:val="left" w:pos="9306"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11.3.1磋商响应函；</w:t>
      </w:r>
      <w:r/>
    </w:p>
    <w:p>
      <w:pPr>
        <w:ind w:firstLine="480"/>
        <w:spacing w:line="360" w:lineRule="auto"/>
        <w:tabs>
          <w:tab w:val="left" w:pos="8930" w:leader="none"/>
          <w:tab w:val="left" w:pos="9306" w:leader="none"/>
        </w:tabs>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11.3.</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项目服务人员配置表；</w:t>
      </w:r>
      <w:r/>
    </w:p>
    <w:p>
      <w:pPr>
        <w:ind w:firstLine="480"/>
        <w:spacing w:line="360" w:lineRule="auto"/>
        <w:tabs>
          <w:tab w:val="left" w:pos="8930" w:leader="none"/>
          <w:tab w:val="left" w:pos="9306" w:leader="none"/>
        </w:tabs>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11.3.</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采购需求中所涉及到的或响应单位认为需加以说明或证明的其他材料、证明（如有）；</w:t>
      </w:r>
      <w:r/>
    </w:p>
    <w:p>
      <w:pPr>
        <w:ind w:firstLine="482"/>
        <w:spacing w:line="360" w:lineRule="auto"/>
        <w:tabs>
          <w:tab w:val="left" w:pos="8930" w:leader="none"/>
          <w:tab w:val="left" w:pos="9306" w:leader="none"/>
        </w:tabs>
        <w:rPr>
          <w:rFonts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11.4综合评审文件：</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评分标准中所涉及到的各项方案、相关制度及其他材料、证明等。</w:t>
      </w:r>
      <w:r/>
    </w:p>
    <w:p>
      <w:pPr>
        <w:ind w:firstLine="482"/>
        <w:spacing w:line="360" w:lineRule="auto"/>
        <w:tabs>
          <w:tab w:val="left" w:pos="753" w:leader="none"/>
        </w:tabs>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注：磋商供应商必须上传上述“11.1-</w:t>
      </w:r>
      <w:r>
        <w:rPr>
          <w:rFonts w:hint="eastAsia" w:ascii="宋体" w:hAnsi="宋体" w:cs="宋体"/>
          <w:b/>
          <w:bCs/>
          <w:color w:val="auto"/>
          <w:sz w:val="24"/>
          <w:szCs w:val="24"/>
          <w:highlight w:val="none"/>
          <w:lang w:val="en-US" w:eastAsia="zh-CN"/>
        </w:rPr>
        <w:t xml:space="preserve">11.3.2</w:t>
      </w:r>
      <w:r>
        <w:rPr>
          <w:rFonts w:hint="eastAsia" w:ascii="宋体" w:hAnsi="宋体" w:eastAsia="宋体" w:cs="宋体"/>
          <w:b/>
          <w:bCs/>
          <w:color w:val="auto"/>
          <w:sz w:val="24"/>
          <w:szCs w:val="22"/>
          <w:highlight w:val="none"/>
        </w:rPr>
        <w:t xml:space="preserve">”款规定的资料</w:t>
      </w:r>
      <w:r>
        <w:rPr>
          <w:rFonts w:hint="eastAsia" w:ascii="宋体" w:hAnsi="宋体" w:eastAsia="宋体" w:cs="宋体"/>
          <w:b/>
          <w:bCs/>
          <w:color w:val="auto"/>
          <w:sz w:val="24"/>
          <w:szCs w:val="22"/>
          <w:highlight w:val="none"/>
          <w:lang w:eastAsia="zh-CN"/>
        </w:rPr>
        <w:t xml:space="preserve">，</w:t>
      </w:r>
      <w:r>
        <w:rPr>
          <w:rFonts w:hint="eastAsia" w:ascii="宋体" w:hAnsi="宋体" w:eastAsia="宋体" w:cs="宋体"/>
          <w:b/>
          <w:bCs/>
          <w:color w:val="auto"/>
          <w:sz w:val="24"/>
          <w:szCs w:val="22"/>
          <w:highlight w:val="none"/>
        </w:rPr>
        <w:t xml:space="preserve">否则，磋商响应文件将被认定为未实质性响应。</w:t>
      </w:r>
      <w:r/>
    </w:p>
    <w:p>
      <w:pPr>
        <w:ind w:left="0" w:firstLine="422"/>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注：（1）以上11.2部分为资格审查要求提供的材料，是作为对供应商资格审查、质疑身份认定的依据，响应供应商必须提供并加盖电子公章。否则，磋商响应文件将被认定为不符合资格审查要求。</w:t>
      </w:r>
      <w:r/>
    </w:p>
    <w:p>
      <w:pPr>
        <w:ind w:firstLine="42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（2）以上11.3部分为符合性审查须提供的资料，响应供应商必须提供并加盖电子公章。否则，磋商响应文件将被认定为未实质性响应。</w:t>
      </w:r>
      <w:r/>
    </w:p>
    <w:p>
      <w:pPr>
        <w:ind w:firstLine="42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（3）制作电子响应文件时必须与响应文件制作软件目录一一对应，将相关资料上传至相应模块。</w:t>
      </w:r>
      <w:r/>
    </w:p>
    <w:p>
      <w:pPr>
        <w:ind w:firstLine="42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（4）磋商响应文件编制要求：</w:t>
      </w:r>
      <w:r>
        <w:rPr>
          <w:rFonts w:hint="eastAsia" w:ascii="宋体" w:hAnsi="宋体" w:eastAsia="宋体" w:cs="宋体"/>
          <w:bCs/>
          <w:color w:val="auto"/>
          <w:sz w:val="24"/>
          <w:szCs w:val="24"/>
          <w:highlight w:val="none"/>
          <w:lang w:val="en-US" w:eastAsia="zh-CN" w:bidi="ar-SA"/>
        </w:rPr>
        <w:t xml:space="preserve">本项目采用电子招投标形式，请供应商按照《苏采云系统供应商操作手册》进行制作、上传电子响应文件。</w:t>
      </w:r>
      <w:r>
        <w:rPr>
          <w:rFonts w:hint="eastAsia" w:ascii="宋体" w:hAnsi="宋体" w:eastAsia="宋体" w:cs="宋体"/>
          <w:b/>
          <w:bCs/>
          <w:color w:val="auto"/>
          <w:sz w:val="24"/>
          <w:szCs w:val="24"/>
          <w:highlight w:val="none"/>
          <w:lang w:val="en-US" w:eastAsia="zh-CN" w:bidi="ar-SA"/>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4"/>
          <w:szCs w:val="24"/>
          <w:highlight w:val="none"/>
          <w:lang w:val="en-US" w:eastAsia="zh-CN" w:bidi="ar-SA"/>
        </w:rPr>
        <w:t xml:space="preserve">供应商应充分考虑到网络环境、网络带宽等风险因素，如因供应商自身原因造成的电子响应文件上传不成功由供应商自行承担全部责任。</w:t>
      </w:r>
      <w:r/>
    </w:p>
    <w:p>
      <w:pPr>
        <w:ind w:firstLine="472"/>
        <w:spacing w:line="360" w:lineRule="auto"/>
        <w:rPr>
          <w:rFonts w:hint="eastAsia" w:ascii="宋体" w:hAnsi="宋体" w:eastAsia="宋体" w:cs="宋体"/>
          <w:b/>
          <w:color w:val="auto"/>
          <w:sz w:val="24"/>
          <w:szCs w:val="24"/>
          <w:highlight w:val="none"/>
          <w:lang w:val="en-US" w:eastAsia="zh-CN" w:bidi="ar-SA"/>
        </w:rPr>
        <w:outlineLvl w:val="0"/>
      </w:pPr>
      <w:r>
        <w:rPr>
          <w:rFonts w:hint="eastAsia" w:ascii="宋体" w:hAnsi="宋体" w:eastAsia="宋体" w:cs="宋体"/>
          <w:b/>
          <w:color w:val="auto"/>
          <w:sz w:val="24"/>
          <w:szCs w:val="24"/>
          <w:highlight w:val="none"/>
          <w:lang w:val="en-US" w:eastAsia="zh-CN" w:bidi="ar-SA"/>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20"/>
        <w:jc w:val="left"/>
        <w:spacing w:line="360" w:lineRule="auto"/>
        <w:widowControl w:val="off"/>
        <w:rPr>
          <w:rFonts w:hint="eastAsia" w:ascii="宋体" w:hAnsi="宋体" w:cs="宋体"/>
          <w:b/>
          <w:bCs/>
          <w:sz w:val="24"/>
          <w:szCs w:val="24"/>
          <w:highlight w:val="none"/>
          <w:u w:val="none"/>
        </w:rPr>
      </w:pPr>
      <w:r>
        <w:rPr>
          <w:rFonts w:hint="eastAsia" w:ascii="宋体" w:hAnsi="宋体" w:eastAsia="宋体" w:cs="宋体"/>
          <w:b/>
          <w:bCs w:val="0"/>
          <w:color w:val="auto"/>
          <w:sz w:val="24"/>
          <w:szCs w:val="24"/>
          <w:highlight w:val="none"/>
          <w:lang w:val="en-US" w:eastAsia="zh-CN" w:bidi="ar-SA"/>
        </w:rPr>
        <w:t xml:space="preserve">（6）本项目标段一至标段三评分一致，如供应商参与多个标段，</w:t>
      </w:r>
      <w:r>
        <w:rPr>
          <w:rFonts w:hint="eastAsia" w:ascii="宋体" w:hAnsi="宋体" w:cs="宋体"/>
          <w:b/>
          <w:bCs/>
          <w:sz w:val="24"/>
          <w:szCs w:val="24"/>
          <w:highlight w:val="none"/>
          <w:u w:val="none"/>
        </w:rPr>
        <w:t xml:space="preserve">标段一至标段</w:t>
      </w:r>
      <w:r>
        <w:rPr>
          <w:rFonts w:hint="eastAsia" w:ascii="宋体" w:hAnsi="宋体" w:cs="宋体"/>
          <w:b/>
          <w:bCs/>
          <w:sz w:val="24"/>
          <w:szCs w:val="24"/>
          <w:highlight w:val="none"/>
          <w:u w:val="none"/>
          <w:lang w:val="en-US" w:eastAsia="zh-CN"/>
        </w:rPr>
        <w:t xml:space="preserve">三</w:t>
      </w:r>
      <w:r>
        <w:rPr>
          <w:rFonts w:hint="eastAsia" w:ascii="宋体" w:hAnsi="宋体" w:cs="宋体"/>
          <w:b/>
          <w:bCs/>
          <w:sz w:val="24"/>
          <w:szCs w:val="24"/>
          <w:highlight w:val="none"/>
          <w:u w:val="none"/>
        </w:rPr>
        <w:t xml:space="preserve">的供应商可将标书统一上传至标段一模块中，其余标段可上传声明函并加盖电子公章（详见第</w:t>
      </w:r>
      <w:r>
        <w:rPr>
          <w:rFonts w:hint="eastAsia" w:ascii="宋体" w:hAnsi="宋体" w:cs="宋体"/>
          <w:b/>
          <w:bCs/>
          <w:sz w:val="24"/>
          <w:szCs w:val="24"/>
          <w:highlight w:val="none"/>
          <w:u w:val="none"/>
          <w:lang w:val="en-US" w:eastAsia="zh-CN"/>
        </w:rPr>
        <w:t xml:space="preserve">六</w:t>
      </w:r>
      <w:r>
        <w:rPr>
          <w:rFonts w:hint="eastAsia" w:ascii="宋体" w:hAnsi="宋体" w:cs="宋体"/>
          <w:b/>
          <w:bCs/>
          <w:sz w:val="24"/>
          <w:szCs w:val="24"/>
          <w:highlight w:val="none"/>
          <w:u w:val="none"/>
        </w:rPr>
        <w:t xml:space="preserve">章格式1</w:t>
      </w:r>
      <w:r>
        <w:rPr>
          <w:rFonts w:hint="eastAsia" w:ascii="宋体" w:hAnsi="宋体" w:cs="宋体"/>
          <w:b/>
          <w:bCs/>
          <w:sz w:val="24"/>
          <w:szCs w:val="24"/>
          <w:highlight w:val="none"/>
          <w:u w:val="none"/>
          <w:lang w:val="en-US" w:eastAsia="zh-CN"/>
        </w:rPr>
        <w:t xml:space="preserve">8</w:t>
      </w:r>
      <w:r>
        <w:rPr>
          <w:rFonts w:hint="eastAsia" w:ascii="宋体" w:hAnsi="宋体" w:cs="宋体"/>
          <w:b/>
          <w:bCs/>
          <w:sz w:val="24"/>
          <w:szCs w:val="24"/>
          <w:highlight w:val="none"/>
          <w:u w:val="none"/>
        </w:rPr>
        <w:t xml:space="preserve">）。</w:t>
      </w:r>
      <w:r/>
    </w:p>
    <w:p>
      <w:pPr>
        <w:ind w:firstLine="42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val="en-US" w:eastAsia="zh-CN" w:bidi="ar-SA"/>
        </w:rPr>
        <w:t xml:space="preserve">7</w:t>
      </w:r>
      <w:r>
        <w:rPr>
          <w:rFonts w:hint="eastAsia" w:ascii="宋体" w:hAnsi="宋体" w:eastAsia="宋体" w:cs="宋体"/>
          <w:bCs/>
          <w:color w:val="auto"/>
          <w:sz w:val="24"/>
          <w:szCs w:val="24"/>
          <w:highlight w:val="none"/>
          <w:lang w:val="en-US" w:eastAsia="zh-CN" w:bidi="ar-SA"/>
        </w:rPr>
        <w:t xml:space="preserve">）如供应商响应文件中某些条款不响应磋商文件提出的全部服务内容与要求，须在偏离表中逐条列出，未列出的视同响应</w:t>
      </w:r>
      <w:r/>
    </w:p>
    <w:p>
      <w:pPr>
        <w:ind w:firstLine="470"/>
        <w:spacing w:line="360" w:lineRule="auto"/>
        <w:rPr>
          <w:rFonts w:hint="eastAsia" w:ascii="宋体" w:hAnsi="宋体" w:eastAsia="宋体" w:cs="宋体"/>
          <w:b/>
          <w:color w:val="auto"/>
          <w:sz w:val="24"/>
          <w:szCs w:val="24"/>
          <w:highlight w:val="none"/>
          <w:lang w:val="en-US" w:eastAsia="zh-CN" w:bidi="ar-SA"/>
        </w:rPr>
        <w:outlineLvl w:val="0"/>
      </w:pPr>
      <w:r>
        <w:rPr>
          <w:rFonts w:hint="eastAsia" w:ascii="宋体" w:hAnsi="宋体" w:eastAsia="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lang w:eastAsia="zh-CN"/>
        </w:rPr>
        <w:t xml:space="preserve">）如投标（响应）文件制作机器码信息一致，视为不同投标供应商使用同一台电脑编制投标（响应）文件，投标（响应）无效。</w:t>
      </w:r>
      <w:r/>
    </w:p>
    <w:p>
      <w:pPr>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12.报价（编制）要求的说明</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12.1除非合同中另有规定，供应商对全部服务的报价应包括</w:t>
      </w:r>
      <w:r>
        <w:rPr>
          <w:rFonts w:hint="eastAsia" w:ascii="宋体" w:hAnsi="宋体" w:cs="宋体"/>
          <w:color w:val="auto"/>
          <w:sz w:val="24"/>
          <w:szCs w:val="22"/>
          <w:highlight w:val="none"/>
          <w:lang w:val="en-US" w:eastAsia="zh-CN"/>
        </w:rPr>
        <w:t xml:space="preserve">完成本项目所需的</w:t>
      </w:r>
      <w:r>
        <w:rPr>
          <w:rFonts w:hint="eastAsia" w:ascii="宋体" w:hAnsi="宋体"/>
          <w:color w:val="auto"/>
          <w:sz w:val="24"/>
          <w:szCs w:val="24"/>
          <w:highlight w:val="none"/>
          <w:lang w:val="en-US" w:eastAsia="zh-CN"/>
        </w:rPr>
        <w:t xml:space="preserve">包括但不限于</w:t>
      </w:r>
      <w:r>
        <w:rPr>
          <w:rFonts w:hint="eastAsia" w:hAnsi="宋体" w:eastAsia="宋体"/>
          <w:color w:val="auto"/>
          <w:sz w:val="24"/>
          <w:szCs w:val="24"/>
          <w:highlight w:val="none"/>
        </w:rPr>
        <w:t xml:space="preserve">所有税费、</w:t>
      </w:r>
      <w:r>
        <w:rPr>
          <w:rFonts w:hint="eastAsia" w:hAnsi="宋体"/>
          <w:color w:val="auto"/>
          <w:sz w:val="24"/>
          <w:szCs w:val="24"/>
          <w:highlight w:val="none"/>
          <w:lang w:val="en-US" w:eastAsia="zh-CN"/>
        </w:rPr>
        <w:t xml:space="preserve">人工</w:t>
      </w:r>
      <w:r>
        <w:rPr>
          <w:rFonts w:hint="eastAsia" w:hAnsi="宋体" w:eastAsia="宋体"/>
          <w:color w:val="auto"/>
          <w:sz w:val="24"/>
          <w:szCs w:val="24"/>
          <w:highlight w:val="none"/>
        </w:rPr>
        <w:t xml:space="preserve">、保险、管理、售后服务等全部费用以及响应单位企业利润、税金和政策性文件规定及合同包含的所有风险、责任、代理服务费等各项应有费用</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12.2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12.3 一项内容只允许一个报价，采购单位不接受任何有选择性的报价。</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12.4 磋商响应文件报价中的单价和总价全部采用人民币表示，除非合同的特殊条款另有规定。</w:t>
      </w:r>
      <w:r/>
    </w:p>
    <w:p>
      <w:pPr>
        <w:spacing w:line="360" w:lineRule="auto"/>
        <w:tabs>
          <w:tab w:val="left" w:pos="8930" w:leader="none"/>
          <w:tab w:val="left" w:pos="9306" w:leader="none"/>
        </w:tabs>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13.保证金</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根据《江苏省财政厅文件苏财购【2020】52号》相关规定，本项目无须支付保证金。</w:t>
      </w:r>
      <w:r/>
    </w:p>
    <w:p>
      <w:pPr>
        <w:spacing w:line="360" w:lineRule="auto"/>
        <w:tabs>
          <w:tab w:val="left" w:pos="8930" w:leader="none"/>
          <w:tab w:val="left" w:pos="9306" w:leader="none"/>
        </w:tabs>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14.响应文件的有效期</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14.1自磋商响应文件递交（上传）截止之日起</w:t>
      </w:r>
      <w:r>
        <w:rPr>
          <w:rFonts w:hint="eastAsia" w:ascii="宋体" w:hAnsi="宋体" w:eastAsia="宋体" w:cs="宋体"/>
          <w:color w:val="auto"/>
          <w:sz w:val="24"/>
          <w:szCs w:val="22"/>
          <w:highlight w:val="none"/>
          <w:u w:val="single"/>
        </w:rPr>
        <w:t xml:space="preserve">45</w:t>
      </w:r>
      <w:r>
        <w:rPr>
          <w:rFonts w:hint="eastAsia" w:ascii="宋体" w:hAnsi="宋体" w:eastAsia="宋体" w:cs="宋体"/>
          <w:color w:val="auto"/>
          <w:sz w:val="24"/>
          <w:szCs w:val="22"/>
          <w:highlight w:val="none"/>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15.截止时间</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15.1响应文件必须在递交（上传）截止时间前上传系统。</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15.2采购单位推迟磋商截止时间时，应</w:t>
      </w:r>
      <w:r>
        <w:rPr>
          <w:rFonts w:hint="eastAsia" w:ascii="宋体" w:hAnsi="宋体" w:cs="宋体"/>
          <w:color w:val="auto"/>
          <w:sz w:val="24"/>
          <w:szCs w:val="22"/>
          <w:highlight w:val="none"/>
          <w:lang w:val="en-US" w:eastAsia="zh-CN"/>
        </w:rPr>
        <w:t xml:space="preserve">发布</w:t>
      </w:r>
      <w:r>
        <w:rPr>
          <w:rFonts w:hint="eastAsia" w:ascii="宋体" w:hAnsi="宋体" w:eastAsia="宋体" w:cs="宋体"/>
          <w:color w:val="auto"/>
          <w:sz w:val="24"/>
          <w:szCs w:val="22"/>
          <w:highlight w:val="none"/>
        </w:rPr>
        <w:t xml:space="preserve">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15.3在递交（上传）截止时间以后递交（上传）的磋商响应文件，采购单位将拒绝接收。</w:t>
      </w:r>
      <w:r/>
    </w:p>
    <w:p>
      <w:pPr>
        <w:spacing w:line="360" w:lineRule="auto"/>
        <w:tabs>
          <w:tab w:val="left" w:pos="753" w:leader="none"/>
        </w:tabs>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16.磋商程序</w:t>
      </w:r>
      <w:r/>
    </w:p>
    <w:p>
      <w:pPr>
        <w:ind w:firstLine="482"/>
        <w:spacing w:line="360" w:lineRule="auto"/>
        <w:tabs>
          <w:tab w:val="left" w:pos="753" w:leader="none"/>
        </w:tabs>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16.1响应文件开启（解密）</w:t>
      </w:r>
      <w:r/>
    </w:p>
    <w:p>
      <w:pPr>
        <w:ind w:firstLine="480"/>
        <w:spacing w:line="360" w:lineRule="auto"/>
        <w:tabs>
          <w:tab w:val="left" w:pos="753"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16.1.</w:t>
      </w:r>
      <w:r>
        <w:rPr>
          <w:rFonts w:hint="eastAsia" w:ascii="宋体" w:hAnsi="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lang w:val="en-US" w:eastAsia="zh-CN"/>
        </w:rPr>
        <w:t xml:space="preserve">线上参加（观看）开标（开启）会方式：登录“苏采云”系统，点击“开标大厅”，选择对应项目，点击进入不见面开标系统。</w:t>
      </w:r>
      <w:r/>
    </w:p>
    <w:p>
      <w:pPr>
        <w:ind w:firstLine="480"/>
        <w:spacing w:line="360" w:lineRule="auto"/>
        <w:tabs>
          <w:tab w:val="left" w:pos="753"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16.1.</w:t>
      </w: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lang w:val="en-US" w:eastAsia="zh-CN"/>
        </w:rPr>
        <w:t xml:space="preserve">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80"/>
        <w:spacing w:line="360" w:lineRule="auto"/>
        <w:tabs>
          <w:tab w:val="left" w:pos="753" w:leader="none"/>
        </w:tabs>
        <w:rPr>
          <w:rFonts w:hint="eastAsia" w:ascii="宋体" w:hAnsi="宋体" w:eastAsia="宋体" w:cs="宋体"/>
          <w:color w:val="auto"/>
          <w:sz w:val="24"/>
          <w:szCs w:val="22"/>
          <w:highlight w:val="none"/>
          <w:lang w:val="en-US" w:eastAsia="zh-CN"/>
        </w:rPr>
      </w:pPr>
      <w:r/>
      <w:bookmarkStart w:id="36" w:name="_Hlk154589874"/>
      <w:r>
        <w:rPr>
          <w:rFonts w:hint="eastAsia" w:ascii="宋体" w:hAnsi="宋体" w:eastAsia="宋体" w:cs="宋体"/>
          <w:color w:val="auto"/>
          <w:sz w:val="24"/>
          <w:szCs w:val="22"/>
          <w:highlight w:val="none"/>
          <w:lang w:val="en-US" w:eastAsia="zh-CN"/>
        </w:rPr>
        <w:t xml:space="preserve">16.1.</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val="en-US" w:eastAsia="zh-CN"/>
        </w:rPr>
        <w:t xml:space="preserve">供应商在“苏采云”系统规定的时间内未成功解密电子响应文件的，响应无效。</w:t>
      </w:r>
      <w:bookmarkEnd w:id="36"/>
      <w:r/>
      <w:r/>
    </w:p>
    <w:p>
      <w:pPr>
        <w:ind w:firstLine="482"/>
        <w:spacing w:line="360" w:lineRule="auto"/>
        <w:tabs>
          <w:tab w:val="left" w:pos="753" w:leader="none"/>
        </w:tabs>
        <w:rPr>
          <w:rFonts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16.2磋商小组</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16.2.1</w:t>
      </w:r>
      <w:r>
        <w:rPr>
          <w:rFonts w:hint="eastAsia" w:ascii="宋体" w:hAnsi="宋体" w:eastAsia="宋体" w:cs="宋体"/>
          <w:color w:val="auto"/>
          <w:sz w:val="24"/>
          <w:szCs w:val="22"/>
          <w:highlight w:val="none"/>
        </w:rPr>
        <w:t xml:space="preserve">采购代理机构负责组织评审工作；磋商小组由相关专家及采购人代表组成，且人员构成符合政府采购有关规定。磋商小组负责具体评审事务，并独立履行法律、法规规定的职责。</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16.2.2</w:t>
      </w:r>
      <w:r>
        <w:rPr>
          <w:rFonts w:hint="eastAsia" w:ascii="宋体" w:hAnsi="宋体" w:eastAsia="宋体" w:cs="宋体"/>
          <w:color w:val="auto"/>
          <w:sz w:val="24"/>
          <w:szCs w:val="22"/>
          <w:highlight w:val="none"/>
        </w:rPr>
        <w:t xml:space="preserve">磋商小组与参加采购活动的供应商存在下列利害关系之一的，应当回避:</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(一)参加采购活动前三年内,与供应商存在劳动关系,或者担任过供应商的董事、监事,或者是供应商的控股股东或实际控制人;</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(二)与供应商的法定代表人或者负责人有夫妻、直系血亲、三代以内旁系血亲或者近姻亲关系;</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(三)与供应商有其他可能影响政府采购活动公平、公正进行的关系。</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16.2.3</w:t>
      </w:r>
      <w:r>
        <w:rPr>
          <w:rFonts w:hint="eastAsia" w:ascii="宋体" w:hAnsi="宋体" w:eastAsia="宋体" w:cs="宋体"/>
          <w:color w:val="auto"/>
          <w:sz w:val="24"/>
          <w:szCs w:val="22"/>
          <w:highlight w:val="none"/>
        </w:rPr>
        <w:t xml:space="preserve">磋商小组发现本人与参加采购活动的供应商有利害关系的,应当主动提出回避。采购人或者采购代理机构发现磋商小组与参加采购活动的供应商有利害关系的，应当要求其回避。</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16.2.4</w:t>
      </w:r>
      <w:r>
        <w:rPr>
          <w:rFonts w:hint="eastAsia" w:ascii="宋体" w:hAnsi="宋体" w:eastAsia="宋体" w:cs="宋体"/>
          <w:color w:val="auto"/>
          <w:sz w:val="24"/>
          <w:szCs w:val="22"/>
          <w:highlight w:val="none"/>
        </w:rPr>
        <w:t xml:space="preserve">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16.2.</w:t>
      </w:r>
      <w:r>
        <w:rPr>
          <w:rFonts w:hint="eastAsia" w:ascii="宋体" w:hAnsi="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磋商小组成员应当按照客观、公正、审慎的原则，根据磋商文件规定的评审程序、评审方法和评审标准进行独立评审。</w:t>
      </w:r>
      <w:r/>
    </w:p>
    <w:p>
      <w:pPr>
        <w:ind w:firstLine="482"/>
        <w:spacing w:line="360" w:lineRule="auto"/>
        <w:tabs>
          <w:tab w:val="left" w:pos="753" w:leader="none"/>
        </w:tabs>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 xml:space="preserve">16.3</w:t>
      </w:r>
      <w:r>
        <w:rPr>
          <w:rFonts w:hint="eastAsia" w:ascii="宋体" w:hAnsi="宋体" w:eastAsia="宋体" w:cs="宋体"/>
          <w:b/>
          <w:bCs/>
          <w:color w:val="auto"/>
          <w:sz w:val="24"/>
          <w:szCs w:val="22"/>
          <w:highlight w:val="none"/>
        </w:rPr>
        <w:t xml:space="preserve">响应文件审查</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16.3.1</w:t>
      </w:r>
      <w:r>
        <w:rPr>
          <w:rFonts w:hint="eastAsia" w:ascii="宋体" w:hAnsi="宋体" w:eastAsia="宋体" w:cs="宋体"/>
          <w:color w:val="auto"/>
          <w:sz w:val="24"/>
          <w:szCs w:val="22"/>
          <w:highlight w:val="none"/>
        </w:rPr>
        <w:t xml:space="preserve">由磋商小组按磋商文件的资格条件进行资格性审查，未通过资格性审查的响应无效。</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16.3.2</w:t>
      </w:r>
      <w:r>
        <w:rPr>
          <w:rFonts w:hint="eastAsia" w:ascii="宋体" w:hAnsi="宋体" w:eastAsia="宋体" w:cs="宋体"/>
          <w:color w:val="auto"/>
          <w:sz w:val="24"/>
          <w:szCs w:val="22"/>
          <w:highlight w:val="none"/>
        </w:rPr>
        <w:t xml:space="preserve">根据政府采购法及相关法规，以及苏州市财政局《关于印发苏州市市级政府采购信用记录查询和使用工作试行办法的通知》（苏财购（2017）11号）文件的规定，将对供应商进行信用查询。</w:t>
      </w:r>
      <w:r/>
    </w:p>
    <w:p>
      <w:pPr>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（1）查询时间：响应文件递交截止时间。</w:t>
      </w:r>
      <w:r/>
    </w:p>
    <w:p>
      <w:pPr>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w:t>
      </w:r>
      <w:bookmarkStart w:id="37" w:name="_Hlk132385414"/>
      <w:r>
        <w:rPr>
          <w:rFonts w:hint="eastAsia" w:ascii="宋体" w:hAnsi="宋体" w:eastAsia="宋体" w:cs="宋体"/>
          <w:color w:val="000000"/>
          <w:sz w:val="24"/>
          <w:szCs w:val="22"/>
          <w:highlight w:val="none"/>
        </w:rPr>
        <w:t xml:space="preserve">查询渠道：通过“信用中国”上的信用信息查询供应商的信用记录。</w:t>
      </w:r>
      <w:bookmarkEnd w:id="37"/>
      <w:r/>
      <w:r/>
    </w:p>
    <w:p>
      <w:pPr>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（3）查询证据留存方式：对存在失信信息的供应商，采购代理机构工作人员登陆到来源网站页面进行复核并打印，作为证据留存。</w:t>
      </w:r>
      <w:r/>
    </w:p>
    <w:p>
      <w:pPr>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（一）政府采购严重违法记录，即供应商被全国各级财政部门列入“政府采购严重违法失信行为记录名单”，且在处罚有效期内的。</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（二）财政部门与法院、工商、税务等部门联合惩戒的失信信息，包括：</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（1）被列入失信被执行人名单；</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（2）被列入重大税收违法案件当事人名单；</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tabs>
          <w:tab w:val="left" w:pos="753" w:leader="none"/>
        </w:tabs>
        <w:rPr>
          <w:rFonts w:hint="eastAsia" w:ascii="宋体" w:hAnsi="宋体" w:eastAsia="宋体" w:cs="宋体"/>
          <w:color w:val="auto"/>
          <w:sz w:val="24"/>
          <w:szCs w:val="22"/>
          <w:highlight w:val="none"/>
        </w:rPr>
      </w:pPr>
      <w:r/>
      <w:bookmarkStart w:id="38" w:name="_Hlk132389669"/>
      <w:r>
        <w:rPr>
          <w:rFonts w:hint="eastAsia" w:ascii="宋体" w:hAnsi="宋体" w:eastAsia="宋体" w:cs="宋体"/>
          <w:color w:val="auto"/>
          <w:sz w:val="24"/>
          <w:szCs w:val="22"/>
          <w:highlight w:val="none"/>
          <w:lang w:val="en-US" w:eastAsia="zh-CN"/>
        </w:rPr>
        <w:t xml:space="preserve">16.3.3</w:t>
      </w:r>
      <w:r>
        <w:rPr>
          <w:rFonts w:hint="eastAsia" w:ascii="宋体" w:hAnsi="宋体" w:eastAsia="宋体" w:cs="宋体"/>
          <w:color w:val="auto"/>
          <w:sz w:val="24"/>
          <w:szCs w:val="22"/>
          <w:highlight w:val="none"/>
        </w:rPr>
        <w:t xml:space="preserve">接受联合体的项目，两个以上的自然人、法人或者其他组织组成一个联合体，以一个供应商的身份共同参加政府采购活动的，联合体成员其中一名成员存在失信信息的，视同联合体存在失信信息。</w:t>
      </w:r>
      <w:bookmarkEnd w:id="38"/>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16.3.4</w:t>
      </w:r>
      <w:r>
        <w:rPr>
          <w:rFonts w:hint="eastAsia" w:ascii="宋体" w:hAnsi="宋体" w:eastAsia="宋体" w:cs="宋体"/>
          <w:color w:val="auto"/>
          <w:sz w:val="24"/>
          <w:szCs w:val="22"/>
          <w:highlight w:val="none"/>
        </w:rPr>
        <w:t xml:space="preserve">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16.3.5</w:t>
      </w:r>
      <w:r>
        <w:rPr>
          <w:rFonts w:hint="eastAsia" w:ascii="宋体" w:hAnsi="宋体" w:eastAsia="宋体" w:cs="宋体"/>
          <w:color w:val="auto"/>
          <w:sz w:val="24"/>
          <w:szCs w:val="22"/>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2"/>
        <w:spacing w:line="360" w:lineRule="auto"/>
        <w:tabs>
          <w:tab w:val="left" w:pos="753" w:leader="none"/>
        </w:tabs>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 xml:space="preserve">16.4</w:t>
      </w:r>
      <w:r>
        <w:rPr>
          <w:rFonts w:hint="eastAsia" w:ascii="宋体" w:hAnsi="宋体" w:eastAsia="宋体" w:cs="宋体"/>
          <w:b/>
          <w:bCs/>
          <w:color w:val="auto"/>
          <w:sz w:val="24"/>
          <w:szCs w:val="22"/>
          <w:highlight w:val="none"/>
        </w:rPr>
        <w:t xml:space="preserve">磋商</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16.4.1</w:t>
      </w:r>
      <w:r>
        <w:rPr>
          <w:rFonts w:hint="eastAsia" w:ascii="宋体" w:hAnsi="宋体" w:eastAsia="宋体" w:cs="宋体"/>
          <w:color w:val="auto"/>
          <w:sz w:val="24"/>
          <w:szCs w:val="22"/>
          <w:highlight w:val="none"/>
        </w:rPr>
        <w:t xml:space="preserve">本项目采用线上磋商：磋商小组通过“苏采云”系统向供应商发布“磋商函”，供应商可通过查看【磋商响应】菜单中的待办信息，应当按照要求在“苏采云”系统提交“磋商响应函”并加盖CA电子公章，</w:t>
      </w:r>
      <w:r>
        <w:rPr>
          <w:rFonts w:hint="eastAsia" w:ascii="宋体" w:hAnsi="宋体" w:eastAsia="宋体" w:cs="宋体"/>
          <w:color w:val="auto"/>
          <w:sz w:val="24"/>
          <w:szCs w:val="22"/>
          <w:highlight w:val="none"/>
          <w:lang w:val="zh-CN"/>
        </w:rPr>
        <w:t xml:space="preserve">具体操作方式见《操作手册》</w:t>
      </w:r>
      <w:r>
        <w:rPr>
          <w:rFonts w:hint="eastAsia" w:ascii="宋体" w:hAnsi="宋体" w:eastAsia="宋体" w:cs="宋体"/>
          <w:color w:val="auto"/>
          <w:sz w:val="24"/>
          <w:szCs w:val="22"/>
          <w:highlight w:val="none"/>
        </w:rPr>
        <w:t xml:space="preserve">。</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16.4.2</w:t>
      </w:r>
      <w:r>
        <w:rPr>
          <w:rFonts w:hint="eastAsia" w:ascii="宋体" w:hAnsi="宋体" w:eastAsia="宋体" w:cs="宋体"/>
          <w:color w:val="auto"/>
          <w:sz w:val="24"/>
          <w:szCs w:val="22"/>
          <w:highlight w:val="none"/>
          <w:lang w:val="zh-CN"/>
        </w:rPr>
        <w:t xml:space="preserve">磋商小组认为有必要与供应商进行磋商的，</w:t>
      </w:r>
      <w:r>
        <w:rPr>
          <w:rFonts w:hint="eastAsia" w:ascii="宋体" w:hAnsi="宋体" w:eastAsia="宋体" w:cs="宋体"/>
          <w:color w:val="auto"/>
          <w:sz w:val="24"/>
          <w:szCs w:val="22"/>
          <w:highlight w:val="none"/>
        </w:rPr>
        <w:t xml:space="preserve">磋商供应商按顺序进行磋商。磋商小组所有成员应当集中与单一供应商分别进行磋商，并给予所有参加磋商的供应商平等的磋商机会。</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16.4.3</w:t>
      </w:r>
      <w:r>
        <w:rPr>
          <w:rFonts w:hint="eastAsia" w:ascii="宋体" w:hAnsi="宋体" w:eastAsia="宋体" w:cs="宋体"/>
          <w:color w:val="auto"/>
          <w:sz w:val="24"/>
          <w:szCs w:val="22"/>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16.4.4</w:t>
      </w:r>
      <w:r>
        <w:rPr>
          <w:rFonts w:hint="eastAsia" w:ascii="宋体" w:hAnsi="宋体" w:eastAsia="宋体" w:cs="宋体"/>
          <w:color w:val="auto"/>
          <w:sz w:val="24"/>
          <w:szCs w:val="22"/>
          <w:highlight w:val="none"/>
        </w:rPr>
        <w:t xml:space="preserve">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16.4.5</w:t>
      </w:r>
      <w:r>
        <w:rPr>
          <w:rFonts w:hint="eastAsia" w:ascii="宋体" w:hAnsi="宋体" w:eastAsia="宋体" w:cs="宋体"/>
          <w:color w:val="auto"/>
          <w:sz w:val="24"/>
          <w:szCs w:val="22"/>
          <w:highlight w:val="none"/>
        </w:rPr>
        <w:t xml:space="preserve">供应商应当在规定时间内按照磋商文件的变动情况和磋商小组的要求通过“苏采云”系统重新提交响应文件，并加盖CA电子公章。重新提交的响应文件按磋商文件进行评审。</w:t>
      </w:r>
      <w:r>
        <w:rPr>
          <w:rFonts w:hint="eastAsia" w:ascii="宋体" w:hAnsi="宋体" w:eastAsia="宋体" w:cs="宋体"/>
          <w:color w:val="auto"/>
          <w:sz w:val="24"/>
          <w:szCs w:val="22"/>
          <w:highlight w:val="none"/>
          <w:lang w:val="zh-CN"/>
        </w:rPr>
        <w:t xml:space="preserve">未按要求重新提交响应文件的按响应无效处理。</w:t>
      </w:r>
      <w:r/>
    </w:p>
    <w:p>
      <w:pPr>
        <w:ind w:firstLine="482"/>
        <w:spacing w:line="360" w:lineRule="auto"/>
        <w:tabs>
          <w:tab w:val="left" w:pos="753" w:leader="none"/>
        </w:tabs>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 xml:space="preserve">16.5</w:t>
      </w:r>
      <w:r>
        <w:rPr>
          <w:rFonts w:hint="eastAsia" w:ascii="宋体" w:hAnsi="宋体" w:eastAsia="宋体" w:cs="宋体"/>
          <w:b/>
          <w:bCs/>
          <w:color w:val="auto"/>
          <w:sz w:val="24"/>
          <w:szCs w:val="22"/>
          <w:highlight w:val="none"/>
        </w:rPr>
        <w:t xml:space="preserve">澄清</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16.5.1</w:t>
      </w:r>
      <w:r>
        <w:rPr>
          <w:rFonts w:hint="eastAsia" w:ascii="宋体" w:hAnsi="宋体" w:eastAsia="宋体" w:cs="宋体"/>
          <w:color w:val="auto"/>
          <w:sz w:val="24"/>
          <w:szCs w:val="22"/>
          <w:highlight w:val="none"/>
        </w:rPr>
        <w:t xml:space="preserve">本项目采用线上澄清。</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16.5.2</w:t>
      </w:r>
      <w:r>
        <w:rPr>
          <w:rFonts w:hint="eastAsia" w:ascii="宋体" w:hAnsi="宋体" w:eastAsia="宋体" w:cs="宋体"/>
          <w:color w:val="auto"/>
          <w:sz w:val="24"/>
          <w:szCs w:val="22"/>
          <w:highlight w:val="none"/>
          <w:lang w:val="zh-CN"/>
        </w:rPr>
        <w:t xml:space="preserve">线上澄清答复的方式：需要供应商进行澄清、说明和更正的，磋商小组将通过</w:t>
      </w:r>
      <w:r>
        <w:rPr>
          <w:rFonts w:hint="eastAsia" w:ascii="宋体" w:hAnsi="宋体" w:eastAsia="宋体" w:cs="宋体"/>
          <w:color w:val="auto"/>
          <w:sz w:val="24"/>
          <w:szCs w:val="22"/>
          <w:highlight w:val="none"/>
        </w:rPr>
        <w:t xml:space="preserve">“苏采云”</w:t>
      </w:r>
      <w:r>
        <w:rPr>
          <w:rFonts w:hint="eastAsia" w:ascii="宋体" w:hAnsi="宋体" w:eastAsia="宋体" w:cs="宋体"/>
          <w:color w:val="auto"/>
          <w:sz w:val="24"/>
          <w:szCs w:val="22"/>
          <w:highlight w:val="none"/>
          <w:lang w:val="zh-CN"/>
        </w:rPr>
        <w:t xml:space="preserve">系统向供应商发布“澄清要求函”，接到“澄清要求函”的供应商应当按照要求在</w:t>
      </w:r>
      <w:r>
        <w:rPr>
          <w:rFonts w:hint="eastAsia" w:ascii="宋体" w:hAnsi="宋体" w:eastAsia="宋体" w:cs="宋体"/>
          <w:color w:val="auto"/>
          <w:sz w:val="24"/>
          <w:szCs w:val="22"/>
          <w:highlight w:val="none"/>
        </w:rPr>
        <w:t xml:space="preserve">“苏采云”</w:t>
      </w:r>
      <w:r>
        <w:rPr>
          <w:rFonts w:hint="eastAsia" w:ascii="宋体" w:hAnsi="宋体" w:eastAsia="宋体" w:cs="宋体"/>
          <w:color w:val="auto"/>
          <w:sz w:val="24"/>
          <w:szCs w:val="22"/>
          <w:highlight w:val="none"/>
          <w:lang w:val="zh-CN"/>
        </w:rPr>
        <w:t xml:space="preserve">系统中提交“澄清响应函”并加盖CA电子公章。澄清、说明和更正的内容作为响应文件的补充部分，具体操作方式见《操作手册》。未加盖CA电子公章的澄清无效。</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16.5.3</w:t>
      </w:r>
      <w:r>
        <w:rPr>
          <w:rFonts w:hint="eastAsia" w:ascii="宋体" w:hAnsi="宋体" w:eastAsia="宋体" w:cs="宋体"/>
          <w:color w:val="auto"/>
          <w:sz w:val="24"/>
          <w:szCs w:val="22"/>
          <w:highlight w:val="none"/>
        </w:rPr>
        <w:t xml:space="preserve">接到磋商小组澄清、说明和更正要求的供应商如未按规定做出澄清、说明和更正，其风险由供应商自行承担。</w:t>
      </w:r>
      <w:r/>
    </w:p>
    <w:p>
      <w:pPr>
        <w:ind w:firstLine="482"/>
        <w:spacing w:line="360" w:lineRule="auto"/>
        <w:tabs>
          <w:tab w:val="left" w:pos="753" w:leader="none"/>
        </w:tabs>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 xml:space="preserve">16.6</w:t>
      </w:r>
      <w:r>
        <w:rPr>
          <w:rFonts w:hint="eastAsia" w:ascii="宋体" w:hAnsi="宋体" w:eastAsia="宋体" w:cs="宋体"/>
          <w:b/>
          <w:bCs/>
          <w:color w:val="auto"/>
          <w:sz w:val="24"/>
          <w:szCs w:val="22"/>
          <w:highlight w:val="none"/>
        </w:rPr>
        <w:t xml:space="preserve">最后报价</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16.6.1</w:t>
      </w:r>
      <w:r>
        <w:rPr>
          <w:rFonts w:hint="eastAsia" w:ascii="宋体" w:hAnsi="宋体" w:eastAsia="宋体" w:cs="宋体"/>
          <w:color w:val="auto"/>
          <w:sz w:val="24"/>
          <w:szCs w:val="22"/>
          <w:highlight w:val="none"/>
        </w:rPr>
        <w:t xml:space="preserve">磋商结束后，磋商小组应当要求所有继续参加磋商的供应商在规定时间内提交最后报价（</w:t>
      </w:r>
      <w:r>
        <w:rPr>
          <w:rFonts w:hint="eastAsia" w:ascii="宋体" w:hAnsi="宋体" w:eastAsia="宋体" w:cs="宋体"/>
          <w:b/>
          <w:bCs/>
          <w:color w:val="auto"/>
          <w:sz w:val="24"/>
          <w:szCs w:val="22"/>
          <w:highlight w:val="none"/>
        </w:rPr>
        <w:t xml:space="preserve">二次报价</w:t>
      </w:r>
      <w:r>
        <w:rPr>
          <w:rFonts w:hint="eastAsia" w:ascii="宋体" w:hAnsi="宋体" w:eastAsia="宋体" w:cs="宋体"/>
          <w:b/>
          <w:bCs/>
          <w:color w:val="auto"/>
          <w:sz w:val="24"/>
          <w:szCs w:val="22"/>
          <w:highlight w:val="none"/>
          <w:lang w:val="en-US" w:eastAsia="zh-CN"/>
        </w:rPr>
        <w:t xml:space="preserve">原则上</w:t>
      </w:r>
      <w:r>
        <w:rPr>
          <w:rFonts w:hint="eastAsia" w:ascii="宋体" w:hAnsi="宋体" w:eastAsia="宋体" w:cs="宋体"/>
          <w:b/>
          <w:bCs/>
          <w:color w:val="auto"/>
          <w:sz w:val="24"/>
          <w:szCs w:val="22"/>
          <w:highlight w:val="none"/>
        </w:rPr>
        <w:t xml:space="preserve">不得超过第一次报价，否则为无效响应报价</w:t>
      </w:r>
      <w:r>
        <w:rPr>
          <w:rFonts w:hint="eastAsia" w:ascii="宋体" w:hAnsi="宋体" w:eastAsia="宋体" w:cs="宋体"/>
          <w:color w:val="auto"/>
          <w:sz w:val="24"/>
          <w:szCs w:val="22"/>
          <w:highlight w:val="none"/>
        </w:rPr>
        <w:t xml:space="preserve">），最后报价作为评审价格（各磋商供应商可提供最后报价总价或最后报价总价的明细报价；若未提供明细报价的则合同单价按最终报价与第一次报价总价的下浮比例同比例下浮）。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eastAsia="宋体" w:cs="宋体"/>
          <w:color w:val="auto"/>
          <w:sz w:val="24"/>
          <w:szCs w:val="22"/>
          <w:highlight w:val="none"/>
          <w:lang w:val="zh-CN"/>
        </w:rPr>
        <w:t xml:space="preserve">最后报价是供应商响应文件的有效组成部分。</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16.6.2</w:t>
      </w:r>
      <w:r>
        <w:rPr>
          <w:rFonts w:hint="eastAsia" w:ascii="宋体" w:hAnsi="宋体" w:eastAsia="宋体" w:cs="宋体"/>
          <w:b/>
          <w:bCs/>
          <w:color w:val="auto"/>
          <w:sz w:val="24"/>
          <w:szCs w:val="22"/>
          <w:highlight w:val="none"/>
        </w:rPr>
        <w:t xml:space="preserve">本项目采用线上最后报价</w:t>
      </w:r>
      <w:r>
        <w:rPr>
          <w:rFonts w:hint="eastAsia" w:ascii="宋体" w:hAnsi="宋体" w:eastAsia="宋体" w:cs="宋体"/>
          <w:color w:val="auto"/>
          <w:sz w:val="24"/>
          <w:szCs w:val="22"/>
          <w:highlight w:val="none"/>
        </w:rPr>
        <w:t xml:space="preserve">：磋商小组将在“苏采云”系统中向符合条件的供应商发布“最后报价要求函”及分项报价表（如有），要求其在规定时间内提交最后报价。因供应商自身原因导致线上报价失败的后果由供应商自行承担。</w:t>
      </w:r>
      <w:r>
        <w:rPr>
          <w:rFonts w:hint="eastAsia" w:ascii="宋体" w:hAnsi="宋体" w:eastAsia="宋体" w:cs="宋体"/>
          <w:b/>
          <w:bCs/>
          <w:color w:val="auto"/>
          <w:sz w:val="24"/>
          <w:szCs w:val="22"/>
          <w:highlight w:val="none"/>
        </w:rPr>
        <w:t xml:space="preserve">供应商未在磋商小组规定的时间内在“苏采云”系统中提交最后报价的视为放弃磋商，其响应文件按无效响应处理，提交最后报价须加盖CA电子签章,否则视为未提交最后报价。</w:t>
      </w:r>
      <w:r>
        <w:rPr>
          <w:rFonts w:hint="eastAsia" w:ascii="宋体" w:hAnsi="宋体" w:eastAsia="宋体" w:cs="宋体"/>
          <w:color w:val="auto"/>
          <w:sz w:val="24"/>
          <w:szCs w:val="22"/>
          <w:highlight w:val="none"/>
        </w:rPr>
        <w:t xml:space="preserve">在提交最后报价之前，可以根据磋商情况退出磋商，并在“苏采云”系统中提交“退出磋商函”并加盖CA电子公章。</w:t>
      </w:r>
      <w:r/>
    </w:p>
    <w:p>
      <w:pPr>
        <w:pStyle w:val="914"/>
        <w:ind w:left="0" w:firstLine="42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本项目虽无价格分，但根据苏采云一体化系统要求，仍需二次报价，最后报价需按要求统一填写各标段预算金额，未按要求填写则视为未实质性响应采购文件要求。</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16.6.3</w:t>
      </w:r>
      <w:r>
        <w:rPr>
          <w:rFonts w:hint="eastAsia" w:ascii="宋体" w:hAnsi="宋体" w:eastAsia="宋体" w:cs="宋体"/>
          <w:color w:val="auto"/>
          <w:sz w:val="24"/>
          <w:szCs w:val="22"/>
          <w:highlight w:val="none"/>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80"/>
        <w:spacing w:line="360" w:lineRule="auto"/>
        <w:tabs>
          <w:tab w:val="left" w:pos="753" w:leader="none"/>
        </w:tabs>
        <w:rPr>
          <w:rFonts w:hint="eastAsia" w:ascii="宋体" w:hAnsi="宋体" w:eastAsia="宋体" w:cs="宋体"/>
          <w:color w:val="auto"/>
          <w:sz w:val="24"/>
          <w:szCs w:val="22"/>
          <w:highlight w:val="none"/>
          <w:lang w:val="zh-CN" w:eastAsia="zh-CN"/>
        </w:rPr>
      </w:pPr>
      <w:r>
        <w:rPr>
          <w:rFonts w:hint="eastAsia" w:ascii="宋体" w:hAnsi="宋体" w:eastAsia="宋体" w:cs="宋体"/>
          <w:color w:val="auto"/>
          <w:sz w:val="24"/>
          <w:szCs w:val="22"/>
          <w:highlight w:val="none"/>
          <w:lang w:val="en-US" w:eastAsia="zh-CN"/>
        </w:rPr>
        <w:t xml:space="preserve">16.6.4</w:t>
      </w:r>
      <w:r>
        <w:rPr>
          <w:rFonts w:hint="eastAsia" w:ascii="宋体" w:hAnsi="宋体" w:eastAsia="宋体" w:cs="宋体"/>
          <w:color w:val="auto"/>
          <w:sz w:val="24"/>
          <w:szCs w:val="22"/>
          <w:highlight w:val="none"/>
          <w:lang w:val="zh-CN" w:eastAsia="zh-CN"/>
        </w:rPr>
        <w:t xml:space="preserve">评审过程中出现下列情形之一的，评审委员会应当启动异常低价投标（响应）审查程序：</w:t>
      </w:r>
      <w:r/>
    </w:p>
    <w:p>
      <w:pPr>
        <w:ind w:firstLine="480"/>
        <w:spacing w:line="360" w:lineRule="auto"/>
        <w:tabs>
          <w:tab w:val="left" w:pos="753" w:leader="none"/>
        </w:tabs>
        <w:rPr>
          <w:rFonts w:hint="default"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zh-CN" w:eastAsia="zh-CN"/>
        </w:rPr>
        <w:t xml:space="preserve">（</w:t>
      </w:r>
      <w:r>
        <w:rPr>
          <w:rFonts w:hint="eastAsia" w:ascii="宋体" w:hAnsi="宋体" w:eastAsia="宋体" w:cs="宋体"/>
          <w:color w:val="auto"/>
          <w:sz w:val="24"/>
          <w:szCs w:val="22"/>
          <w:highlight w:val="none"/>
          <w:lang w:val="en-US" w:eastAsia="zh-CN"/>
        </w:rPr>
        <w:t xml:space="preserve">1）投标(响应)报价低于全部通过符合性审查供应商投标(响应)报价平均值50%的，即投标(响应)报价&lt;全部通过符合性审查供应商投标(响应)报价平均值</w:t>
      </w:r>
      <w:r>
        <w:rPr>
          <w:rFonts w:hint="eastAsia" w:ascii="宋体" w:hAnsi="宋体" w:eastAsia="宋体" w:cs="宋体"/>
          <w:color w:val="auto"/>
          <w:sz w:val="24"/>
          <w:szCs w:val="22"/>
          <w:highlight w:val="none"/>
          <w:lang w:val="zh-CN" w:eastAsia="zh-CN"/>
        </w:rPr>
        <w:t xml:space="preserve">×</w:t>
      </w:r>
      <w:r>
        <w:rPr>
          <w:rFonts w:hint="eastAsia" w:ascii="宋体" w:hAnsi="宋体" w:eastAsia="宋体" w:cs="宋体"/>
          <w:color w:val="auto"/>
          <w:sz w:val="24"/>
          <w:szCs w:val="22"/>
          <w:highlight w:val="none"/>
          <w:lang w:val="en-US" w:eastAsia="zh-CN"/>
        </w:rPr>
        <w:t xml:space="preserve">50%；</w:t>
      </w:r>
      <w:r/>
    </w:p>
    <w:p>
      <w:pPr>
        <w:ind w:firstLine="480"/>
        <w:spacing w:line="360" w:lineRule="auto"/>
        <w:tabs>
          <w:tab w:val="left" w:pos="753" w:leader="none"/>
        </w:tabs>
        <w:rPr>
          <w:rFonts w:hint="eastAsia" w:ascii="宋体" w:hAnsi="宋体" w:eastAsia="宋体" w:cs="宋体"/>
          <w:color w:val="auto"/>
          <w:sz w:val="24"/>
          <w:szCs w:val="22"/>
          <w:highlight w:val="none"/>
          <w:lang w:val="zh-CN" w:eastAsia="zh-CN"/>
        </w:rPr>
      </w:pPr>
      <w:r>
        <w:rPr>
          <w:rFonts w:hint="eastAsia" w:ascii="宋体" w:hAnsi="宋体" w:eastAsia="宋体" w:cs="宋体"/>
          <w:color w:val="auto"/>
          <w:sz w:val="24"/>
          <w:szCs w:val="22"/>
          <w:highlight w:val="none"/>
          <w:lang w:val="zh-CN" w:eastAsia="zh-CN"/>
        </w:rPr>
        <w:t xml:space="preserve">（</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lang w:val="zh-CN" w:eastAsia="zh-CN"/>
        </w:rPr>
        <w:t xml:space="preserve">投标(响应)报价低于通过符合性审查的次低报价供应商投标(响应)报价50%的，即投标(响应)报价&lt;通过符合性审查的次低报价供应商投标(响应)报价×50%；</w:t>
      </w:r>
      <w:r/>
    </w:p>
    <w:p>
      <w:pPr>
        <w:ind w:firstLine="480"/>
        <w:spacing w:line="360" w:lineRule="auto"/>
        <w:tabs>
          <w:tab w:val="left" w:pos="753" w:leader="none"/>
        </w:tabs>
        <w:rPr>
          <w:rFonts w:hint="eastAsia" w:ascii="宋体" w:hAnsi="宋体" w:eastAsia="宋体" w:cs="宋体"/>
          <w:color w:val="auto"/>
          <w:sz w:val="24"/>
          <w:szCs w:val="22"/>
          <w:highlight w:val="none"/>
          <w:lang w:val="zh-CN" w:eastAsia="zh-CN"/>
        </w:rPr>
      </w:pPr>
      <w:r>
        <w:rPr>
          <w:rFonts w:hint="eastAsia" w:ascii="宋体" w:hAnsi="宋体" w:eastAsia="宋体" w:cs="宋体"/>
          <w:color w:val="auto"/>
          <w:sz w:val="24"/>
          <w:szCs w:val="22"/>
          <w:highlight w:val="none"/>
          <w:lang w:val="zh-CN" w:eastAsia="zh-CN"/>
        </w:rPr>
        <w:t xml:space="preserve">（</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val="zh-CN" w:eastAsia="zh-CN"/>
        </w:rPr>
        <w:t xml:space="preserve">投标(响应)报价低于采购项目最高限价45%的，即投标(响应)报价&lt;采购项目最高限价×45%；</w:t>
      </w:r>
      <w:r/>
    </w:p>
    <w:p>
      <w:pPr>
        <w:ind w:firstLine="480"/>
        <w:spacing w:line="360" w:lineRule="auto"/>
        <w:tabs>
          <w:tab w:val="left" w:pos="753" w:leader="none"/>
        </w:tabs>
        <w:rPr>
          <w:rFonts w:hint="eastAsia" w:ascii="宋体" w:hAnsi="宋体" w:eastAsia="宋体" w:cs="宋体"/>
          <w:color w:val="auto"/>
          <w:sz w:val="24"/>
          <w:szCs w:val="22"/>
          <w:highlight w:val="none"/>
          <w:lang w:val="zh-CN" w:eastAsia="zh-CN"/>
        </w:rPr>
      </w:pPr>
      <w:r>
        <w:rPr>
          <w:rFonts w:hint="eastAsia" w:ascii="宋体" w:hAnsi="宋体" w:eastAsia="宋体" w:cs="宋体"/>
          <w:color w:val="auto"/>
          <w:sz w:val="24"/>
          <w:szCs w:val="22"/>
          <w:highlight w:val="none"/>
          <w:lang w:val="zh-CN" w:eastAsia="zh-CN"/>
        </w:rPr>
        <w:t xml:space="preserve">（</w:t>
      </w: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lang w:val="zh-CN" w:eastAsia="zh-CN"/>
        </w:rPr>
        <w:t xml:space="preserve">评审委员会基于专业判断，认为供应商报价过低，有可能影响产品质量或者不能诚信履约的其他情形。</w:t>
      </w:r>
      <w:r/>
    </w:p>
    <w:p>
      <w:pPr>
        <w:ind w:firstLine="480"/>
        <w:spacing w:line="360" w:lineRule="auto"/>
        <w:tabs>
          <w:tab w:val="left" w:pos="753" w:leader="none"/>
        </w:tabs>
        <w:rPr>
          <w:rFonts w:hint="eastAsia" w:ascii="宋体" w:hAnsi="宋体" w:eastAsia="宋体" w:cs="宋体"/>
          <w:color w:val="auto"/>
          <w:sz w:val="24"/>
          <w:szCs w:val="22"/>
          <w:highlight w:val="none"/>
          <w:lang w:val="zh-CN" w:eastAsia="zh-CN"/>
        </w:rPr>
      </w:pPr>
      <w:r>
        <w:rPr>
          <w:rFonts w:hint="eastAsia" w:ascii="宋体" w:hAnsi="宋体" w:eastAsia="宋体" w:cs="宋体"/>
          <w:color w:val="auto"/>
          <w:sz w:val="24"/>
          <w:szCs w:val="22"/>
          <w:highlight w:val="none"/>
          <w:lang w:val="zh-CN"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tabs>
          <w:tab w:val="left" w:pos="753"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szCs w:val="22"/>
          <w:highlight w:val="none"/>
          <w:lang w:val="zh-CN"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58"/>
        <w:ind w:left="0" w:firstLine="482"/>
        <w:keepLines w:val="0"/>
        <w:keepNext w:val="0"/>
        <w:pageBreakBefore w:val="0"/>
        <w:spacing w:after="0" w:line="360" w:lineRule="auto"/>
        <w:widowControl w:val="off"/>
        <w:rPr>
          <w:rFonts w:hint="eastAsia" w:ascii="宋体" w:hAnsi="宋体" w:eastAsia="宋体" w:cs="宋体"/>
          <w:color w:val="auto"/>
          <w:sz w:val="24"/>
          <w:szCs w:val="22"/>
          <w:highlight w:val="none"/>
        </w:rPr>
        <w:outlineLvl w:val="9"/>
      </w:pPr>
      <w:r>
        <w:rPr>
          <w:rFonts w:hint="eastAsia" w:ascii="宋体" w:hAnsi="宋体" w:eastAsia="宋体" w:cs="宋体"/>
          <w:b/>
          <w:color w:val="auto"/>
          <w:sz w:val="24"/>
          <w:szCs w:val="24"/>
          <w:highlight w:val="none"/>
          <w:lang w:val="zh-CN" w:eastAsia="zh-CN" w:bidi="ar-SA"/>
        </w:rPr>
        <w:t xml:space="preserve">本项目投标人的澄清、说明或者补正采用线上澄清。</w:t>
      </w:r>
      <w:r/>
    </w:p>
    <w:p>
      <w:pPr>
        <w:ind w:firstLine="482"/>
        <w:spacing w:line="360" w:lineRule="auto"/>
        <w:tabs>
          <w:tab w:val="left" w:pos="753" w:leader="none"/>
        </w:tabs>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 xml:space="preserve">16.6.5</w:t>
      </w:r>
      <w:r>
        <w:rPr>
          <w:rFonts w:hint="eastAsia" w:ascii="宋体" w:hAnsi="宋体" w:eastAsia="宋体" w:cs="宋体"/>
          <w:b/>
          <w:bCs/>
          <w:color w:val="auto"/>
          <w:sz w:val="24"/>
          <w:szCs w:val="22"/>
          <w:highlight w:val="none"/>
        </w:rPr>
        <w:t xml:space="preserve">未在规定时间提交最后报价的，响应文件按无效处理。</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16.6.6</w:t>
      </w:r>
      <w:r>
        <w:rPr>
          <w:rFonts w:hint="eastAsia" w:ascii="宋体" w:hAnsi="宋体" w:eastAsia="宋体" w:cs="宋体"/>
          <w:color w:val="auto"/>
          <w:sz w:val="24"/>
          <w:szCs w:val="22"/>
          <w:highlight w:val="none"/>
        </w:rPr>
        <w:t xml:space="preserve">如磋商过程中出现本磋商文件未尽事宜，由磋商小组根据政府采购有关法律、法规讨论决定。</w:t>
      </w:r>
      <w:r/>
    </w:p>
    <w:p>
      <w:pPr>
        <w:spacing w:line="360" w:lineRule="auto"/>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17.项目的终止</w:t>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17.1出现下列情形之一的，将终止竞争性磋商采购活动：</w:t>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17.1.1因情况变化，不再符合规定的竞争性磋商采购方式适用情形的；</w:t>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17.1.2出现影响采购公正的违法、违规行为的；</w:t>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17.1.3</w:t>
      </w:r>
      <w:r>
        <w:rPr>
          <w:rFonts w:hint="eastAsia" w:ascii="宋体" w:hAnsi="宋体" w:eastAsia="宋体" w:cs="宋体"/>
          <w:bCs/>
          <w:color w:val="auto"/>
          <w:sz w:val="24"/>
          <w:szCs w:val="22"/>
          <w:highlight w:val="none"/>
          <w:lang w:val="en-US" w:eastAsia="zh-CN"/>
        </w:rPr>
        <w:t xml:space="preserve">除</w:t>
      </w:r>
      <w:r>
        <w:rPr>
          <w:rFonts w:hint="eastAsia" w:ascii="宋体" w:hAnsi="宋体" w:eastAsia="宋体" w:cs="宋体"/>
          <w:color w:val="auto"/>
          <w:sz w:val="24"/>
          <w:szCs w:val="22"/>
          <w:highlight w:val="none"/>
          <w:lang w:val="en-US" w:eastAsia="zh-CN"/>
        </w:rPr>
        <w:t xml:space="preserve">《政府采购竞争性磋商采购方式管理暂行办法》第二十一条第三款规定的情形外，</w:t>
      </w:r>
      <w:r>
        <w:rPr>
          <w:rFonts w:hint="eastAsia" w:ascii="宋体" w:hAnsi="宋体" w:eastAsia="宋体" w:cs="宋体"/>
          <w:bCs/>
          <w:color w:val="auto"/>
          <w:sz w:val="24"/>
          <w:szCs w:val="22"/>
          <w:highlight w:val="none"/>
        </w:rPr>
        <w:t xml:space="preserve">在采购过程中符合要求的供应商或者报价未超过采购预算的供应商不足3家的；</w:t>
      </w:r>
      <w:r/>
    </w:p>
    <w:p>
      <w:pPr>
        <w:ind w:firstLine="480"/>
        <w:spacing w:line="360" w:lineRule="auto"/>
        <w:tabs>
          <w:tab w:val="left" w:pos="753" w:leader="none"/>
        </w:tabs>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17.1.4在采购活动中因重大变故，采购任务取消的。</w:t>
      </w:r>
      <w:r/>
    </w:p>
    <w:p>
      <w:pPr>
        <w:spacing w:line="360" w:lineRule="auto"/>
        <w:tabs>
          <w:tab w:val="left" w:pos="8930" w:leader="none"/>
          <w:tab w:val="left" w:pos="9306" w:leader="none"/>
        </w:tabs>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18.评审内容的保密</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18.1磋商开始后，直到宣布授予成交单位合同为止，凡属于审查、澄清、评价和比较磋商响应文件的所有资料，有关授予合同的信息都不应向磋商供应商或与评审无关的其他人泄露。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18.2在磋商响应文件的审查、澄清、评价和比较以及授予合同的过程中，磋商供应商对采购单位和磋商小组施加影响的任何行为，都将取消其成交资格。</w:t>
      </w:r>
      <w:r/>
    </w:p>
    <w:p>
      <w:pPr>
        <w:spacing w:line="360" w:lineRule="auto"/>
        <w:tabs>
          <w:tab w:val="left" w:pos="8930" w:leader="none"/>
          <w:tab w:val="left" w:pos="9306" w:leader="none"/>
        </w:tabs>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19.成交单位的确认</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19.1磋商小组根据磋商供应商资格审查情况，对其响应文件进行评价和比较，按照评审办法和标准进行评审，并按采购单位的委托向采购单位推荐成交候选单位。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19.2</w:t>
      </w:r>
      <w:r>
        <w:rPr>
          <w:rFonts w:hint="eastAsia" w:ascii="宋体" w:hAnsi="宋体" w:eastAsia="宋体" w:cs="宋体"/>
          <w:color w:val="000000"/>
          <w:sz w:val="24"/>
          <w:szCs w:val="22"/>
          <w:highlight w:val="none"/>
        </w:rPr>
        <w:t xml:space="preserve">经磋商小组评审并确定成交单位后，采购单位将在规定的时间内将成交结果在相关媒体上予以公告。各参加磋商供应商如对公告结果有异议，应在成交结果公告期满后七个工作日内，以书面形式向采购人、采购代理机构提出质疑。如磋商供应商未在成交结果公告期满后七个工作日内向采购人、采购代理机构提出质疑，采购人、采购代理机构有权对该质疑不予答复</w:t>
      </w:r>
      <w:r>
        <w:rPr>
          <w:rFonts w:hint="eastAsia" w:ascii="宋体" w:hAnsi="宋体" w:eastAsia="宋体" w:cs="宋体"/>
          <w:color w:val="auto"/>
          <w:sz w:val="24"/>
          <w:szCs w:val="22"/>
          <w:highlight w:val="none"/>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19.3</w:t>
      </w:r>
      <w:r>
        <w:rPr>
          <w:rFonts w:hint="eastAsia" w:ascii="宋体" w:hAnsi="宋体" w:eastAsia="宋体" w:cs="宋体"/>
          <w:bCs/>
          <w:color w:val="auto"/>
          <w:sz w:val="24"/>
          <w:szCs w:val="22"/>
          <w:highlight w:val="none"/>
        </w:rPr>
        <w:t xml:space="preserve">由采购人授权评审委员会在候选供应商名单中直接确定成交供应商。</w:t>
      </w:r>
      <w:r/>
    </w:p>
    <w:p>
      <w:pPr>
        <w:spacing w:line="360" w:lineRule="auto"/>
        <w:tabs>
          <w:tab w:val="left" w:pos="8930" w:leader="none"/>
          <w:tab w:val="left" w:pos="9306" w:leader="none"/>
        </w:tabs>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20.合同授予标准</w:t>
      </w:r>
      <w:r/>
    </w:p>
    <w:p>
      <w:pPr>
        <w:ind w:firstLine="480"/>
        <w:spacing w:line="360" w:lineRule="auto"/>
        <w:tabs>
          <w:tab w:val="left" w:pos="8930" w:leader="none"/>
          <w:tab w:val="left" w:pos="9306" w:leader="none"/>
        </w:tabs>
        <w:rPr>
          <w:rFonts w:hint="eastAsia" w:ascii="宋体" w:hAnsi="宋体" w:eastAsia="宋体" w:cs="宋体"/>
          <w:b/>
          <w:color w:val="auto"/>
          <w:sz w:val="24"/>
          <w:szCs w:val="22"/>
          <w:highlight w:val="none"/>
        </w:rPr>
      </w:pPr>
      <w:r>
        <w:rPr>
          <w:rFonts w:hint="eastAsia" w:ascii="宋体" w:hAnsi="宋体" w:eastAsia="宋体" w:cs="宋体"/>
          <w:color w:val="auto"/>
          <w:sz w:val="24"/>
          <w:szCs w:val="22"/>
          <w:highlight w:val="none"/>
        </w:rPr>
        <w:t xml:space="preserve">20.1采购单位将把合同授予其磋商响应文件在实质上响应采购文件要求和按</w:t>
      </w:r>
      <w:r>
        <w:rPr>
          <w:rFonts w:hint="eastAsia" w:ascii="宋体" w:hAnsi="宋体" w:cs="宋体"/>
          <w:color w:val="auto"/>
          <w:sz w:val="24"/>
          <w:szCs w:val="22"/>
          <w:highlight w:val="none"/>
          <w:lang w:val="en-US" w:eastAsia="zh-CN"/>
        </w:rPr>
        <w:t xml:space="preserve">采购文件</w:t>
      </w:r>
      <w:r>
        <w:rPr>
          <w:rFonts w:hint="eastAsia" w:ascii="宋体" w:hAnsi="宋体" w:eastAsia="宋体" w:cs="宋体"/>
          <w:color w:val="auto"/>
          <w:sz w:val="24"/>
          <w:szCs w:val="22"/>
          <w:highlight w:val="none"/>
        </w:rPr>
        <w:t xml:space="preserve">规定评选出的供应商。确定为成交的供应商必须具有实施本合同的能力和资源。</w:t>
      </w:r>
      <w:r/>
    </w:p>
    <w:p>
      <w:pPr>
        <w:spacing w:line="360" w:lineRule="auto"/>
        <w:tabs>
          <w:tab w:val="left" w:pos="8930" w:leader="none"/>
          <w:tab w:val="left" w:pos="9306" w:leader="none"/>
        </w:tabs>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21.成交通知书</w:t>
      </w:r>
      <w:r/>
    </w:p>
    <w:p>
      <w:pPr>
        <w:ind w:firstLine="480"/>
        <w:spacing w:line="360" w:lineRule="auto"/>
        <w:tabs>
          <w:tab w:val="left" w:pos="8930" w:leader="none"/>
          <w:tab w:val="left" w:pos="9306" w:leader="none"/>
        </w:tabs>
        <w:rPr>
          <w:rFonts w:hint="eastAsia" w:ascii="宋体" w:hAnsi="宋体" w:eastAsia="宋体" w:cs="宋体"/>
          <w:color w:val="000000"/>
          <w:sz w:val="24"/>
          <w:szCs w:val="22"/>
          <w:highlight w:val="none"/>
          <w:lang w:eastAsia="zh-CN"/>
        </w:rPr>
      </w:pPr>
      <w:r>
        <w:rPr>
          <w:rFonts w:hint="eastAsia" w:ascii="宋体" w:hAnsi="宋体" w:eastAsia="宋体" w:cs="宋体"/>
          <w:color w:val="000000"/>
          <w:sz w:val="24"/>
          <w:szCs w:val="22"/>
          <w:highlight w:val="none"/>
        </w:rPr>
        <w:t xml:space="preserve">21.1采购人或采购代理机构根据相关规定发布成交公告，成交</w:t>
      </w:r>
      <w:bookmarkStart w:id="39" w:name="_Hlk132385577"/>
      <w:r/>
      <w:bookmarkStart w:id="40" w:name="_Hlk132385599"/>
      <w:r/>
      <w:bookmarkStart w:id="41" w:name="_Hlk132389804"/>
      <w:r>
        <w:rPr>
          <w:rFonts w:hint="eastAsia" w:ascii="宋体" w:hAnsi="宋体" w:eastAsia="宋体" w:cs="宋体"/>
          <w:color w:val="000000"/>
          <w:sz w:val="24"/>
          <w:szCs w:val="22"/>
          <w:highlight w:val="none"/>
        </w:rPr>
        <w:t xml:space="preserve">公告发出的同时应当向成交供应商发出《成交通知书》。请成交供应商在成交结果公告届满之日起30日内,使用CA数字证书登录“苏采云”系统及时下载成交通知书。</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rPr>
        <w:t xml:space="preserve">因系统存储空间有限，自成交结果公告届满之日起30日后，“苏采云”系统不再保证提供下载成交通知书服务,因未及时下载而造成的不利后果由成交</w:t>
      </w:r>
      <w:bookmarkEnd w:id="39"/>
      <w:r/>
      <w:bookmarkEnd w:id="40"/>
      <w:r/>
      <w:bookmarkEnd w:id="41"/>
      <w:r>
        <w:rPr>
          <w:rFonts w:hint="eastAsia" w:ascii="宋体" w:hAnsi="宋体" w:eastAsia="宋体" w:cs="宋体"/>
          <w:color w:val="000000"/>
          <w:sz w:val="24"/>
          <w:szCs w:val="22"/>
          <w:highlight w:val="none"/>
        </w:rPr>
        <w:t xml:space="preserve">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rFonts w:hint="eastAsia" w:ascii="宋体" w:hAnsi="宋体" w:eastAsia="宋体" w:cs="宋体"/>
          <w:color w:val="000000"/>
          <w:sz w:val="24"/>
          <w:szCs w:val="22"/>
          <w:highlight w:val="none"/>
          <w:lang w:eastAsia="zh-CN"/>
        </w:rPr>
        <w:t xml:space="preserve">。</w:t>
      </w:r>
      <w:r/>
    </w:p>
    <w:p>
      <w:pPr>
        <w:ind w:firstLine="480"/>
        <w:spacing w:line="360" w:lineRule="auto"/>
        <w:tabs>
          <w:tab w:val="left" w:pos="8930" w:leader="none"/>
          <w:tab w:val="left" w:pos="9306"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21.2</w:t>
      </w:r>
      <w:r>
        <w:rPr>
          <w:rFonts w:hint="eastAsia" w:ascii="宋体" w:hAnsi="宋体" w:eastAsia="宋体" w:cs="宋体"/>
          <w:color w:val="000000"/>
          <w:sz w:val="24"/>
          <w:szCs w:val="22"/>
          <w:highlight w:val="none"/>
        </w:rPr>
        <w:t xml:space="preserve">成交通知书将成为合同的组成部分。</w:t>
      </w:r>
      <w:r/>
    </w:p>
    <w:p>
      <w:pPr>
        <w:ind w:firstLine="480"/>
        <w:spacing w:line="360" w:lineRule="auto"/>
        <w:tabs>
          <w:tab w:val="left" w:pos="8930" w:leader="none"/>
          <w:tab w:val="left" w:pos="9306"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21.3采购单位对未成交单位不承担解释未成交原因的义务。</w:t>
      </w:r>
      <w:r/>
    </w:p>
    <w:p>
      <w:pPr>
        <w:spacing w:line="360" w:lineRule="auto"/>
        <w:tabs>
          <w:tab w:val="left" w:pos="8930" w:leader="none"/>
          <w:tab w:val="left" w:pos="9306" w:leader="none"/>
        </w:tabs>
        <w:rPr>
          <w:rFonts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22.合同的签订</w:t>
      </w:r>
      <w:r/>
    </w:p>
    <w:p>
      <w:pPr>
        <w:ind w:firstLine="480"/>
        <w:spacing w:line="360" w:lineRule="auto"/>
        <w:tabs>
          <w:tab w:val="left" w:pos="8930" w:leader="none"/>
          <w:tab w:val="left" w:pos="9306"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22.1</w:t>
      </w:r>
      <w:r>
        <w:rPr>
          <w:rFonts w:hint="eastAsia" w:ascii="宋体" w:hAnsi="宋体" w:eastAsia="宋体" w:cs="宋体"/>
          <w:color w:val="000000"/>
          <w:sz w:val="24"/>
          <w:szCs w:val="22"/>
          <w:highlight w:val="none"/>
        </w:rPr>
        <w:t xml:space="preserve">采购人原则上应当自中标（成交）通知书发出之日起15日内（最迟30日内），按照</w:t>
      </w:r>
      <w:r>
        <w:rPr>
          <w:rFonts w:hint="eastAsia" w:ascii="宋体" w:hAnsi="宋体" w:eastAsia="宋体" w:cs="宋体"/>
          <w:color w:val="000000"/>
          <w:sz w:val="24"/>
          <w:szCs w:val="22"/>
          <w:highlight w:val="none"/>
          <w:lang w:val="en-US" w:eastAsia="zh-CN"/>
        </w:rPr>
        <w:t xml:space="preserve">采购文件要求</w:t>
      </w:r>
      <w:r>
        <w:rPr>
          <w:rFonts w:hint="eastAsia" w:ascii="宋体" w:hAnsi="宋体" w:eastAsia="宋体" w:cs="宋体"/>
          <w:color w:val="000000"/>
          <w:sz w:val="24"/>
          <w:szCs w:val="22"/>
          <w:highlight w:val="none"/>
        </w:rPr>
        <w:t xml:space="preserve">签订政府采购合同。</w:t>
      </w:r>
      <w:r/>
    </w:p>
    <w:p>
      <w:pPr>
        <w:ind w:firstLine="480"/>
        <w:spacing w:line="360" w:lineRule="auto"/>
        <w:tabs>
          <w:tab w:val="left" w:pos="8930" w:leader="none"/>
          <w:tab w:val="left" w:pos="9306"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22.2</w:t>
      </w:r>
      <w:r>
        <w:rPr>
          <w:rFonts w:hint="eastAsia" w:ascii="宋体" w:hAnsi="宋体" w:eastAsia="宋体" w:cs="宋体"/>
          <w:color w:val="000000"/>
          <w:sz w:val="24"/>
          <w:szCs w:val="22"/>
          <w:highlight w:val="none"/>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spacing w:line="360" w:lineRule="auto"/>
        <w:tabs>
          <w:tab w:val="left" w:pos="8930" w:leader="none"/>
          <w:tab w:val="left" w:pos="9306" w:leader="none"/>
        </w:tabs>
        <w:rPr>
          <w:rFonts w:hint="eastAsia" w:ascii="宋体" w:hAnsi="宋体" w:eastAsia="宋体" w:cs="宋体"/>
          <w:b/>
          <w:color w:val="000000"/>
          <w:sz w:val="24"/>
          <w:szCs w:val="22"/>
          <w:highlight w:val="none"/>
        </w:rPr>
      </w:pPr>
      <w:r>
        <w:rPr>
          <w:rFonts w:hint="eastAsia" w:ascii="宋体" w:hAnsi="宋体" w:eastAsia="宋体" w:cs="宋体"/>
          <w:b w:val="0"/>
          <w:bCs/>
          <w:color w:val="000000"/>
          <w:sz w:val="24"/>
          <w:szCs w:val="22"/>
          <w:highlight w:val="none"/>
          <w:lang w:val="en-US" w:eastAsia="zh-CN"/>
        </w:rPr>
        <w:t xml:space="preserve">23</w:t>
      </w:r>
      <w:r>
        <w:rPr>
          <w:rFonts w:hint="eastAsia" w:ascii="宋体" w:hAnsi="宋体" w:eastAsia="宋体" w:cs="宋体"/>
          <w:b w:val="0"/>
          <w:bCs/>
          <w:color w:val="000000"/>
          <w:sz w:val="24"/>
          <w:szCs w:val="22"/>
          <w:highlight w:val="none"/>
        </w:rPr>
        <w:t xml:space="preserve">.服务费</w:t>
      </w:r>
      <w:r>
        <w:rPr>
          <w:rFonts w:hint="eastAsia" w:ascii="宋体" w:hAnsi="宋体" w:eastAsia="宋体" w:cs="宋体"/>
          <w:b w:val="0"/>
          <w:bCs/>
          <w:color w:val="000000"/>
          <w:sz w:val="24"/>
          <w:szCs w:val="22"/>
          <w:highlight w:val="none"/>
          <w:lang w:eastAsia="zh-CN"/>
        </w:rPr>
        <w:t xml:space="preserve">：</w:t>
      </w:r>
      <w:r>
        <w:rPr>
          <w:rFonts w:hint="eastAsia" w:ascii="宋体" w:hAnsi="宋体" w:eastAsia="宋体" w:cs="宋体"/>
          <w:color w:val="000000"/>
          <w:sz w:val="24"/>
          <w:szCs w:val="22"/>
          <w:highlight w:val="none"/>
        </w:rPr>
        <w:t xml:space="preserve">成交单位须按前附表的规定支付服务费，该费用应在领取</w:t>
      </w:r>
      <w:r>
        <w:rPr>
          <w:rFonts w:hint="eastAsia" w:ascii="宋体" w:hAnsi="宋体" w:eastAsia="宋体" w:cs="宋体"/>
          <w:color w:val="000000"/>
          <w:sz w:val="24"/>
          <w:szCs w:val="22"/>
          <w:highlight w:val="none"/>
          <w:lang w:val="en-US" w:eastAsia="zh-CN"/>
        </w:rPr>
        <w:t xml:space="preserve">合同</w:t>
      </w:r>
      <w:r>
        <w:rPr>
          <w:rFonts w:hint="eastAsia" w:ascii="宋体" w:hAnsi="宋体" w:eastAsia="宋体" w:cs="宋体"/>
          <w:color w:val="000000"/>
          <w:sz w:val="24"/>
          <w:szCs w:val="22"/>
          <w:highlight w:val="none"/>
        </w:rPr>
        <w:t xml:space="preserve">时付清。</w:t>
      </w:r>
      <w:r/>
    </w:p>
    <w:p>
      <w:pPr>
        <w:spacing w:line="360" w:lineRule="auto"/>
        <w:tabs>
          <w:tab w:val="left" w:pos="8930" w:leader="none"/>
          <w:tab w:val="left" w:pos="9306" w:leader="none"/>
        </w:tabs>
        <w:rPr>
          <w:rFonts w:hint="eastAsia" w:ascii="宋体" w:hAnsi="宋体" w:eastAsia="宋体" w:cs="宋体"/>
          <w:b w:val="0"/>
          <w:bCs/>
          <w:color w:val="000000"/>
          <w:sz w:val="24"/>
          <w:szCs w:val="22"/>
          <w:highlight w:val="none"/>
        </w:rPr>
      </w:pPr>
      <w:r>
        <w:rPr>
          <w:rFonts w:hint="eastAsia" w:ascii="宋体" w:hAnsi="宋体" w:eastAsia="宋体" w:cs="宋体"/>
          <w:b w:val="0"/>
          <w:bCs/>
          <w:color w:val="000000"/>
          <w:sz w:val="24"/>
          <w:szCs w:val="22"/>
          <w:highlight w:val="none"/>
          <w:lang w:val="en-US" w:eastAsia="zh-CN"/>
        </w:rPr>
        <w:t xml:space="preserve">24</w:t>
      </w:r>
      <w:r>
        <w:rPr>
          <w:rFonts w:hint="eastAsia" w:ascii="宋体" w:hAnsi="宋体" w:eastAsia="宋体" w:cs="宋体"/>
          <w:b w:val="0"/>
          <w:bCs/>
          <w:color w:val="000000"/>
          <w:sz w:val="24"/>
          <w:szCs w:val="22"/>
          <w:highlight w:val="none"/>
        </w:rPr>
        <w:t xml:space="preserve">.</w:t>
      </w:r>
      <w:r>
        <w:rPr>
          <w:rFonts w:hint="eastAsia" w:ascii="宋体" w:hAnsi="宋体" w:eastAsia="宋体" w:cs="Times New Roman"/>
          <w:b w:val="0"/>
          <w:bCs/>
          <w:color w:val="000000"/>
          <w:sz w:val="24"/>
          <w:szCs w:val="22"/>
          <w:highlight w:val="none"/>
        </w:rPr>
        <w:t xml:space="preserve">履约保证金：无</w:t>
      </w:r>
      <w:r/>
    </w:p>
    <w:p>
      <w:pPr>
        <w:spacing w:line="360" w:lineRule="auto"/>
        <w:tabs>
          <w:tab w:val="left" w:pos="8930" w:leader="none"/>
          <w:tab w:val="left" w:pos="9306" w:leader="none"/>
        </w:tabs>
        <w:rPr>
          <w:rFonts w:hint="eastAsia" w:ascii="宋体" w:hAnsi="宋体"/>
          <w:b/>
          <w:color w:val="auto"/>
          <w:sz w:val="30"/>
          <w:szCs w:val="30"/>
          <w:highlight w:val="none"/>
        </w:rPr>
      </w:pPr>
      <w:r>
        <w:rPr>
          <w:rFonts w:hint="eastAsia" w:ascii="宋体" w:hAnsi="宋体" w:eastAsia="宋体" w:cs="宋体"/>
          <w:b w:val="0"/>
          <w:bCs/>
          <w:color w:val="000000"/>
          <w:sz w:val="24"/>
          <w:szCs w:val="22"/>
          <w:highlight w:val="none"/>
          <w:lang w:val="en-US" w:eastAsia="zh-CN"/>
        </w:rPr>
        <w:t xml:space="preserve">25</w:t>
      </w:r>
      <w:r>
        <w:rPr>
          <w:rFonts w:hint="eastAsia" w:ascii="宋体" w:hAnsi="宋体" w:eastAsia="宋体" w:cs="宋体"/>
          <w:b w:val="0"/>
          <w:bCs/>
          <w:color w:val="000000"/>
          <w:sz w:val="24"/>
          <w:szCs w:val="22"/>
          <w:highlight w:val="none"/>
        </w:rPr>
        <w:t xml:space="preserve">.未尽事宜</w:t>
      </w:r>
      <w:r>
        <w:rPr>
          <w:rFonts w:hint="eastAsia" w:ascii="宋体" w:hAnsi="宋体" w:eastAsia="宋体" w:cs="宋体"/>
          <w:b w:val="0"/>
          <w:bCs/>
          <w:color w:val="000000"/>
          <w:sz w:val="24"/>
          <w:szCs w:val="22"/>
          <w:highlight w:val="none"/>
          <w:lang w:eastAsia="zh-CN"/>
        </w:rPr>
        <w:t xml:space="preserve">：</w:t>
      </w:r>
      <w:r>
        <w:rPr>
          <w:rFonts w:hint="eastAsia" w:ascii="宋体" w:hAnsi="宋体" w:eastAsia="宋体" w:cs="宋体"/>
          <w:color w:val="000000"/>
          <w:sz w:val="24"/>
          <w:szCs w:val="22"/>
          <w:highlight w:val="none"/>
        </w:rPr>
        <w:t xml:space="preserve">按《中华人民共和国政府采购法》及其他有关的法律法规的规定执行。</w:t>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360" w:lineRule="auto"/>
        <w:rPr>
          <w:rFonts w:ascii="宋体" w:hAnsi="宋体"/>
          <w:b/>
          <w:color w:val="auto"/>
          <w:sz w:val="30"/>
          <w:szCs w:val="30"/>
          <w:highlight w:val="none"/>
          <w:lang w:val="en-US"/>
        </w:rPr>
      </w:pPr>
      <w:r>
        <w:rPr>
          <w:rFonts w:hint="eastAsia" w:ascii="宋体" w:hAnsi="宋体"/>
          <w:b/>
          <w:color w:val="auto"/>
          <w:sz w:val="30"/>
          <w:szCs w:val="30"/>
          <w:highlight w:val="none"/>
        </w:rPr>
        <w:t xml:space="preserve">第</w:t>
      </w:r>
      <w:r>
        <w:rPr>
          <w:rFonts w:hint="eastAsia" w:ascii="宋体" w:hAnsi="宋体"/>
          <w:b/>
          <w:color w:val="auto"/>
          <w:sz w:val="30"/>
          <w:szCs w:val="30"/>
          <w:highlight w:val="none"/>
          <w:lang w:val="en-US" w:eastAsia="zh-CN"/>
        </w:rPr>
        <w:t xml:space="preserve">三</w:t>
      </w:r>
      <w:r>
        <w:rPr>
          <w:rFonts w:hint="eastAsia" w:ascii="宋体" w:hAnsi="宋体"/>
          <w:b/>
          <w:color w:val="auto"/>
          <w:sz w:val="30"/>
          <w:szCs w:val="30"/>
          <w:highlight w:val="none"/>
        </w:rPr>
        <w:t xml:space="preserve">章  </w:t>
      </w:r>
      <w:r>
        <w:rPr>
          <w:rFonts w:hint="eastAsia" w:ascii="宋体" w:hAnsi="宋体"/>
          <w:b/>
          <w:color w:val="auto"/>
          <w:sz w:val="30"/>
          <w:szCs w:val="30"/>
          <w:highlight w:val="none"/>
          <w:lang w:val="en-US" w:eastAsia="zh-CN"/>
        </w:rPr>
        <w:t xml:space="preserve">采购内容</w:t>
      </w:r>
      <w:r/>
    </w:p>
    <w:p>
      <w:pPr>
        <w:pStyle w:val="980"/>
        <w:spacing w:line="360" w:lineRule="auto"/>
        <w:rPr>
          <w:rFonts w:ascii="宋体" w:hAnsi="宋体"/>
          <w:color w:val="auto"/>
          <w:highlight w:val="none"/>
        </w:rPr>
      </w:pPr>
      <w:r>
        <w:rPr>
          <w:rFonts w:hint="eastAsia" w:ascii="宋体" w:hAnsi="宋体" w:cs="宋体"/>
          <w:bCs/>
          <w:color w:val="auto"/>
          <w:highlight w:val="none"/>
        </w:rPr>
        <w:t xml:space="preserve">苏州睿乔招投标咨询服务有限公司</w:t>
      </w:r>
      <w:r>
        <w:rPr>
          <w:rFonts w:hint="eastAsia" w:ascii="宋体" w:hAnsi="宋体" w:cs="宋体"/>
          <w:color w:val="auto"/>
          <w:highlight w:val="none"/>
        </w:rPr>
        <w:t xml:space="preserve">受</w:t>
      </w:r>
      <w:r>
        <w:rPr>
          <w:rFonts w:hint="eastAsia" w:ascii="宋体" w:hAnsi="宋体" w:cs="宋体"/>
          <w:bCs/>
          <w:color w:val="auto"/>
          <w:highlight w:val="none"/>
          <w:lang w:eastAsia="zh-CN"/>
        </w:rPr>
        <w:t xml:space="preserve">苏州市相城区黄埭镇人民政府</w:t>
      </w:r>
      <w:r>
        <w:rPr>
          <w:rFonts w:hint="eastAsia" w:ascii="宋体" w:hAnsi="宋体"/>
          <w:color w:val="auto"/>
          <w:highlight w:val="none"/>
        </w:rPr>
        <w:t xml:space="preserve">的</w:t>
      </w:r>
      <w:r>
        <w:rPr>
          <w:rFonts w:hint="eastAsia" w:ascii="宋体" w:hAnsi="宋体" w:cs="宋体"/>
          <w:color w:val="auto"/>
          <w:highlight w:val="none"/>
        </w:rPr>
        <w:t xml:space="preserve">委托，就</w:t>
      </w:r>
      <w:r>
        <w:rPr>
          <w:rFonts w:hint="eastAsia" w:ascii="宋体" w:hAnsi="宋体"/>
          <w:bCs/>
          <w:color w:val="auto"/>
          <w:highlight w:val="none"/>
          <w:lang w:eastAsia="zh-CN"/>
        </w:rPr>
        <w:t xml:space="preserve">2026年度黄埭镇政府及国有（集体）投资工程审计委托协审服务</w:t>
      </w:r>
      <w:r>
        <w:rPr>
          <w:rFonts w:hint="eastAsia" w:ascii="宋体" w:hAnsi="宋体" w:eastAsia="宋体" w:cs="宋体"/>
          <w:color w:val="auto"/>
          <w:highlight w:val="none"/>
        </w:rPr>
        <w:t xml:space="preserve">采用竞争性磋商方式进行采购</w:t>
      </w:r>
      <w:r>
        <w:rPr>
          <w:rFonts w:hint="eastAsia" w:ascii="宋体" w:hAnsi="宋体" w:cs="宋体"/>
          <w:color w:val="auto"/>
          <w:highlight w:val="none"/>
        </w:rPr>
        <w:t xml:space="preserve">，现欢迎符合相关条件的供应商参加投标。</w:t>
      </w:r>
      <w:r/>
    </w:p>
    <w:p>
      <w:pPr>
        <w:spacing w:line="360" w:lineRule="auto"/>
        <w:rPr>
          <w:rFonts w:hint="eastAsia" w:ascii="宋体" w:hAnsi="宋体" w:eastAsia="宋体" w:cs="宋体"/>
          <w:color w:val="auto"/>
          <w:sz w:val="24"/>
          <w:highlight w:val="none"/>
          <w:lang w:eastAsia="zh-CN"/>
        </w:rPr>
      </w:pPr>
      <w:r>
        <w:rPr>
          <w:rFonts w:hint="eastAsia" w:ascii="宋体" w:hAnsi="宋体"/>
          <w:bCs/>
          <w:color w:val="auto"/>
          <w:sz w:val="24"/>
          <w:highlight w:val="none"/>
        </w:rPr>
        <w:t xml:space="preserve">一、</w:t>
      </w:r>
      <w:r>
        <w:rPr>
          <w:rFonts w:hint="eastAsia" w:ascii="宋体" w:hAnsi="宋体"/>
          <w:bCs/>
          <w:color w:val="auto"/>
          <w:sz w:val="24"/>
          <w:highlight w:val="none"/>
          <w:lang w:val="en-US" w:eastAsia="zh-CN"/>
        </w:rPr>
        <w:t xml:space="preserve">采购</w:t>
      </w:r>
      <w:r>
        <w:rPr>
          <w:rFonts w:hint="eastAsia" w:ascii="宋体" w:hAnsi="宋体"/>
          <w:bCs/>
          <w:color w:val="auto"/>
          <w:sz w:val="24"/>
          <w:highlight w:val="none"/>
        </w:rPr>
        <w:t xml:space="preserve">编号：</w:t>
      </w:r>
      <w:r>
        <w:rPr>
          <w:rFonts w:hint="eastAsia" w:ascii="宋体" w:hAnsi="宋体" w:cs="宋体"/>
          <w:color w:val="auto"/>
          <w:sz w:val="24"/>
          <w:highlight w:val="none"/>
          <w:lang w:eastAsia="zh-CN"/>
        </w:rPr>
        <w:t xml:space="preserve">JSZC-320507-SZRQ-C2026-0010</w:t>
      </w:r>
      <w:r/>
    </w:p>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二、</w:t>
      </w:r>
      <w:r>
        <w:rPr>
          <w:rFonts w:hint="eastAsia" w:ascii="宋体" w:hAnsi="宋体"/>
          <w:color w:val="auto"/>
          <w:sz w:val="24"/>
          <w:highlight w:val="none"/>
          <w:lang w:val="en-US" w:eastAsia="zh-CN"/>
        </w:rPr>
        <w:t xml:space="preserve">采购内容</w:t>
      </w:r>
      <w:r>
        <w:rPr>
          <w:rFonts w:hint="eastAsia" w:ascii="宋体" w:hAnsi="宋体"/>
          <w:color w:val="auto"/>
          <w:sz w:val="24"/>
          <w:highlight w:val="none"/>
        </w:rPr>
        <w:t xml:space="preserve">：</w:t>
      </w:r>
      <w:bookmarkStart w:id="42" w:name="_Toc6218"/>
      <w:r/>
      <w:bookmarkEnd w:id="42"/>
      <w:r/>
      <w:r/>
    </w:p>
    <w:p>
      <w:pPr>
        <w:ind w:firstLine="482"/>
        <w:spacing w:line="360" w:lineRule="auto"/>
        <w:rPr>
          <w:rFonts w:ascii="Times New Roman" w:hAnsi="Times New Roman"/>
          <w:b/>
          <w:bCs/>
          <w:sz w:val="24"/>
          <w:szCs w:val="24"/>
          <w:highlight w:val="none"/>
        </w:rPr>
      </w:pPr>
      <w:r/>
      <w:bookmarkStart w:id="43" w:name="_Toc5922"/>
      <w:r>
        <w:rPr>
          <w:rFonts w:ascii="Times New Roman" w:hAnsi="宋体"/>
          <w:b/>
          <w:bCs/>
          <w:sz w:val="24"/>
          <w:szCs w:val="24"/>
          <w:highlight w:val="none"/>
        </w:rPr>
        <w:t xml:space="preserve">（一）项目概况说明：</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1.</w:t>
      </w:r>
      <w:r>
        <w:rPr>
          <w:rFonts w:ascii="Times New Roman" w:hAnsi="宋体"/>
          <w:sz w:val="24"/>
          <w:szCs w:val="24"/>
          <w:highlight w:val="none"/>
        </w:rPr>
        <w:t xml:space="preserve">为更好履行审计监督职能，苏州市相城区黄埭镇人民政府（苏州市相城区黄埭镇财政和资产监督</w:t>
      </w:r>
      <w:r>
        <w:rPr>
          <w:rFonts w:hint="eastAsia" w:ascii="Times New Roman" w:hAnsi="宋体"/>
          <w:sz w:val="24"/>
          <w:szCs w:val="24"/>
          <w:highlight w:val="none"/>
          <w:lang w:eastAsia="zh-CN"/>
        </w:rPr>
        <w:t xml:space="preserve">管理办公室</w:t>
      </w:r>
      <w:r>
        <w:rPr>
          <w:rFonts w:ascii="Times New Roman" w:hAnsi="宋体"/>
          <w:sz w:val="24"/>
          <w:szCs w:val="24"/>
          <w:highlight w:val="none"/>
        </w:rPr>
        <w:t xml:space="preserve">）根据工作需要，通过政府购买服务采购工程造价咨询服务，服务内容包括但不限于预算评审、竣工结算审核等咨询服务采购项目。本次采购项目拟</w:t>
      </w:r>
      <w:r>
        <w:rPr>
          <w:rFonts w:hint="eastAsia" w:ascii="Times New Roman" w:hAnsi="宋体"/>
          <w:sz w:val="24"/>
          <w:szCs w:val="24"/>
          <w:highlight w:val="none"/>
          <w:lang w:val="en-US" w:eastAsia="zh-CN"/>
        </w:rPr>
        <w:t xml:space="preserve">成交</w:t>
      </w:r>
      <w:r>
        <w:rPr>
          <w:rFonts w:ascii="Times New Roman" w:hAnsi="宋体"/>
          <w:sz w:val="24"/>
          <w:szCs w:val="24"/>
          <w:highlight w:val="none"/>
        </w:rPr>
        <w:t xml:space="preserve">服务标段供应商为</w:t>
      </w:r>
      <w:r>
        <w:rPr>
          <w:rFonts w:hint="eastAsia" w:ascii="Times New Roman" w:hAnsi="宋体"/>
          <w:sz w:val="24"/>
          <w:szCs w:val="24"/>
          <w:highlight w:val="none"/>
          <w:lang w:val="en-US" w:eastAsia="zh-CN"/>
        </w:rPr>
        <w:t xml:space="preserve">3</w:t>
      </w:r>
      <w:r>
        <w:rPr>
          <w:rFonts w:ascii="Times New Roman" w:hAnsi="宋体"/>
          <w:sz w:val="24"/>
          <w:szCs w:val="24"/>
          <w:highlight w:val="none"/>
        </w:rPr>
        <w:t xml:space="preserve">家。具体服务内容详见招标文件附件三各标段协审项目清单。</w:t>
      </w:r>
      <w:r/>
    </w:p>
    <w:p>
      <w:pPr>
        <w:ind w:firstLine="480"/>
        <w:spacing w:line="360" w:lineRule="auto"/>
        <w:rPr>
          <w:rFonts w:ascii="Times New Roman" w:hAnsi="Times New Roman"/>
          <w:sz w:val="24"/>
          <w:szCs w:val="24"/>
          <w:highlight w:val="none"/>
          <w:lang w:bidi="ar"/>
        </w:rPr>
      </w:pPr>
      <w:r>
        <w:rPr>
          <w:rFonts w:ascii="Times New Roman" w:hAnsi="Times New Roman"/>
          <w:sz w:val="24"/>
          <w:szCs w:val="24"/>
          <w:highlight w:val="none"/>
        </w:rPr>
        <w:t xml:space="preserve">2.</w:t>
      </w:r>
      <w:r>
        <w:rPr>
          <w:rFonts w:ascii="Times New Roman" w:hAnsi="宋体"/>
          <w:sz w:val="24"/>
          <w:szCs w:val="24"/>
          <w:highlight w:val="none"/>
        </w:rPr>
        <w:t xml:space="preserve">如参与过某项目预算（标底）编制的投标人不得参与包含该项目预算（标底）审核内容标段的投标，项目的竣工结算审核、过程跟踪审核单位与审计质量核查、监理单位原则上不能为同一家单位；如遇到以上需回避的项目，投标人自动放弃包含该项目协审内容标段的得标权。</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3.</w:t>
      </w:r>
      <w:r>
        <w:rPr>
          <w:rFonts w:ascii="Times New Roman" w:hAnsi="宋体"/>
          <w:sz w:val="24"/>
          <w:szCs w:val="24"/>
          <w:highlight w:val="none"/>
        </w:rPr>
        <w:t xml:space="preserve">因政策原因取消或临时调整项目，苏州市相城区黄埭镇人民政府（苏州市相城区黄埭镇财政和资产监督</w:t>
      </w:r>
      <w:r>
        <w:rPr>
          <w:rFonts w:hint="eastAsia" w:ascii="Times New Roman" w:hAnsi="宋体"/>
          <w:sz w:val="24"/>
          <w:szCs w:val="24"/>
          <w:highlight w:val="none"/>
          <w:lang w:eastAsia="zh-CN"/>
        </w:rPr>
        <w:t xml:space="preserve">管理办公室</w:t>
      </w:r>
      <w:r>
        <w:rPr>
          <w:rFonts w:ascii="Times New Roman" w:hAnsi="宋体"/>
          <w:sz w:val="24"/>
          <w:szCs w:val="24"/>
          <w:highlight w:val="none"/>
        </w:rPr>
        <w:t xml:space="preserve">）有权在协审委托合同中调整，协审单位（即各标段</w:t>
      </w:r>
      <w:r>
        <w:rPr>
          <w:rFonts w:hint="eastAsia" w:ascii="Times New Roman" w:hAnsi="宋体"/>
          <w:sz w:val="24"/>
          <w:szCs w:val="24"/>
          <w:highlight w:val="none"/>
          <w:lang w:val="en-US" w:eastAsia="zh-CN"/>
        </w:rPr>
        <w:t xml:space="preserve">成交</w:t>
      </w:r>
      <w:r>
        <w:rPr>
          <w:rFonts w:ascii="Times New Roman" w:hAnsi="宋体"/>
          <w:sz w:val="24"/>
          <w:szCs w:val="24"/>
          <w:highlight w:val="none"/>
        </w:rPr>
        <w:t xml:space="preserve">单位，下同）应按要求完成协审服务工作。</w:t>
      </w:r>
      <w:r/>
    </w:p>
    <w:p>
      <w:pPr>
        <w:ind w:firstLine="480"/>
        <w:spacing w:line="360" w:lineRule="auto"/>
        <w:rPr>
          <w:rFonts w:ascii="Times New Roman" w:hAnsi="Times New Roman"/>
          <w:sz w:val="24"/>
          <w:szCs w:val="24"/>
          <w:highlight w:val="none"/>
        </w:rPr>
      </w:pPr>
      <w:r>
        <w:rPr>
          <w:rFonts w:ascii="Times New Roman" w:hAnsi="Times New Roman"/>
          <w:bCs/>
          <w:sz w:val="24"/>
          <w:szCs w:val="24"/>
          <w:highlight w:val="none"/>
        </w:rPr>
        <w:t xml:space="preserve">4.</w:t>
      </w:r>
      <w:r>
        <w:rPr>
          <w:rFonts w:ascii="Times New Roman" w:hAnsi="宋体"/>
          <w:sz w:val="24"/>
          <w:szCs w:val="24"/>
          <w:highlight w:val="none"/>
        </w:rPr>
        <w:t xml:space="preserve">投标人如在基本服务能力、资质、人员情况、奖惩情况等投标资料中存在弄虚作假行为的，苏州市相城区黄埭镇人民政府（苏州市相城区黄埭镇财政和资产监督</w:t>
      </w:r>
      <w:r>
        <w:rPr>
          <w:rFonts w:hint="eastAsia" w:ascii="Times New Roman" w:hAnsi="宋体"/>
          <w:sz w:val="24"/>
          <w:szCs w:val="24"/>
          <w:highlight w:val="none"/>
          <w:lang w:eastAsia="zh-CN"/>
        </w:rPr>
        <w:t xml:space="preserve">管理办公室</w:t>
      </w:r>
      <w:r>
        <w:rPr>
          <w:rFonts w:ascii="Times New Roman" w:hAnsi="宋体"/>
          <w:sz w:val="24"/>
          <w:szCs w:val="24"/>
          <w:highlight w:val="none"/>
        </w:rPr>
        <w:t xml:space="preserve">）在评标时发现，则取消该投标人投标资格；行业主管部门在本次委托协审服务有效期内发现以上情况的，苏州市相城区黄埭镇人民政府（苏州市相城区黄埭镇财政和资产监督</w:t>
      </w:r>
      <w:r>
        <w:rPr>
          <w:rFonts w:hint="eastAsia" w:ascii="Times New Roman" w:hAnsi="宋体"/>
          <w:sz w:val="24"/>
          <w:szCs w:val="24"/>
          <w:highlight w:val="none"/>
          <w:lang w:eastAsia="zh-CN"/>
        </w:rPr>
        <w:t xml:space="preserve">管理办公室</w:t>
      </w:r>
      <w:r>
        <w:rPr>
          <w:rFonts w:ascii="Times New Roman" w:hAnsi="宋体"/>
          <w:sz w:val="24"/>
          <w:szCs w:val="24"/>
          <w:highlight w:val="none"/>
        </w:rPr>
        <w:t xml:space="preserve">）有权解除其协审服务合同，并通报行业主管部门或其他相关部门进行处理，并将相关情况报政府采购监督管理部门作为其虚假投标的证据，进行处理。</w:t>
      </w:r>
      <w:r/>
    </w:p>
    <w:p>
      <w:pPr>
        <w:ind w:firstLine="482"/>
        <w:spacing w:line="360" w:lineRule="auto"/>
        <w:rPr>
          <w:rFonts w:ascii="Times New Roman" w:hAnsi="Times New Roman"/>
          <w:b/>
          <w:bCs/>
          <w:sz w:val="24"/>
          <w:szCs w:val="24"/>
          <w:highlight w:val="none"/>
        </w:rPr>
      </w:pPr>
      <w:r>
        <w:rPr>
          <w:rFonts w:ascii="Times New Roman" w:hAnsi="宋体"/>
          <w:b/>
          <w:bCs/>
          <w:sz w:val="24"/>
          <w:szCs w:val="24"/>
          <w:highlight w:val="none"/>
        </w:rPr>
        <w:t xml:space="preserve">（二）确定协审单位后的其他要求：</w:t>
      </w:r>
      <w:r/>
    </w:p>
    <w:p>
      <w:pPr>
        <w:ind w:firstLine="482"/>
        <w:spacing w:line="360" w:lineRule="auto"/>
        <w:rPr>
          <w:rFonts w:ascii="Times New Roman" w:hAnsi="Times New Roman"/>
          <w:b/>
          <w:sz w:val="24"/>
          <w:szCs w:val="24"/>
          <w:highlight w:val="none"/>
        </w:rPr>
      </w:pPr>
      <w:r>
        <w:rPr>
          <w:rFonts w:ascii="Times New Roman" w:hAnsi="Times New Roman"/>
          <w:b/>
          <w:sz w:val="24"/>
          <w:szCs w:val="24"/>
          <w:highlight w:val="none"/>
        </w:rPr>
        <w:t xml:space="preserve">1</w:t>
      </w:r>
      <w:r>
        <w:rPr>
          <w:rFonts w:hint="eastAsia" w:ascii="Times New Roman" w:hAnsi="宋体"/>
          <w:b/>
          <w:sz w:val="24"/>
          <w:szCs w:val="24"/>
          <w:highlight w:val="none"/>
        </w:rPr>
        <w:t xml:space="preserve">.</w:t>
      </w:r>
      <w:r>
        <w:rPr>
          <w:rFonts w:ascii="Times New Roman" w:hAnsi="宋体"/>
          <w:b/>
          <w:sz w:val="24"/>
          <w:szCs w:val="24"/>
          <w:highlight w:val="none"/>
        </w:rPr>
        <w:t xml:space="preserve">协审工作的开展</w:t>
      </w:r>
      <w:r/>
    </w:p>
    <w:p>
      <w:pPr>
        <w:ind w:firstLine="480"/>
        <w:spacing w:line="360" w:lineRule="auto"/>
        <w:rPr>
          <w:rFonts w:ascii="Times New Roman" w:hAnsi="Times New Roman"/>
          <w:sz w:val="24"/>
          <w:szCs w:val="24"/>
          <w:highlight w:val="none"/>
        </w:rPr>
      </w:pPr>
      <w:r>
        <w:rPr>
          <w:rFonts w:ascii="Times New Roman" w:hAnsi="宋体"/>
          <w:sz w:val="24"/>
          <w:szCs w:val="24"/>
          <w:highlight w:val="none"/>
        </w:rPr>
        <w:t xml:space="preserve">协审工作应严格按照国家、省、市相关的法律法规及</w:t>
      </w:r>
      <w:r>
        <w:rPr>
          <w:rFonts w:ascii="Times New Roman" w:hAnsi="Times New Roman"/>
          <w:sz w:val="24"/>
          <w:szCs w:val="24"/>
          <w:highlight w:val="none"/>
        </w:rPr>
        <w:t xml:space="preserve">《苏州市相城区黄埭镇人民政府（苏州市相城区黄埭镇财政和资产监督</w:t>
      </w:r>
      <w:r>
        <w:rPr>
          <w:rFonts w:hint="eastAsia" w:ascii="Times New Roman" w:hAnsi="Times New Roman"/>
          <w:sz w:val="24"/>
          <w:szCs w:val="24"/>
          <w:highlight w:val="none"/>
          <w:lang w:eastAsia="zh-CN"/>
        </w:rPr>
        <w:t xml:space="preserve">管理办公室</w:t>
      </w:r>
      <w:r>
        <w:rPr>
          <w:rFonts w:ascii="Times New Roman" w:hAnsi="Times New Roman"/>
          <w:sz w:val="24"/>
          <w:szCs w:val="24"/>
          <w:highlight w:val="none"/>
        </w:rPr>
        <w:t xml:space="preserve">）关于政府及国有（集体）投资工程审计工作操作规程》</w:t>
      </w:r>
      <w:r>
        <w:rPr>
          <w:rFonts w:ascii="Times New Roman" w:hAnsi="宋体"/>
          <w:sz w:val="24"/>
          <w:szCs w:val="24"/>
          <w:highlight w:val="none"/>
        </w:rPr>
        <w:t xml:space="preserve">等相关文件规定执行。</w:t>
      </w:r>
      <w:r/>
    </w:p>
    <w:p>
      <w:pPr>
        <w:ind w:firstLine="482"/>
        <w:spacing w:line="360" w:lineRule="auto"/>
        <w:rPr>
          <w:rFonts w:ascii="Times New Roman" w:hAnsi="Times New Roman"/>
          <w:b/>
          <w:sz w:val="24"/>
          <w:szCs w:val="24"/>
          <w:highlight w:val="none"/>
        </w:rPr>
      </w:pPr>
      <w:r>
        <w:rPr>
          <w:rFonts w:ascii="Times New Roman" w:hAnsi="Times New Roman"/>
          <w:b/>
          <w:sz w:val="24"/>
          <w:szCs w:val="24"/>
          <w:highlight w:val="none"/>
        </w:rPr>
        <w:t xml:space="preserve">2</w:t>
      </w:r>
      <w:r>
        <w:rPr>
          <w:rFonts w:hint="eastAsia" w:ascii="Times New Roman" w:hAnsi="宋体"/>
          <w:b/>
          <w:sz w:val="24"/>
          <w:szCs w:val="24"/>
          <w:highlight w:val="none"/>
        </w:rPr>
        <w:t xml:space="preserve">.</w:t>
      </w:r>
      <w:r>
        <w:rPr>
          <w:rFonts w:ascii="Times New Roman" w:hAnsi="宋体"/>
          <w:b/>
          <w:sz w:val="24"/>
          <w:szCs w:val="24"/>
          <w:highlight w:val="none"/>
        </w:rPr>
        <w:t xml:space="preserve">协审单位的考核及业务费支付</w:t>
      </w:r>
      <w:r/>
    </w:p>
    <w:p>
      <w:pPr>
        <w:ind w:firstLine="480"/>
        <w:spacing w:line="360" w:lineRule="auto"/>
        <w:rPr>
          <w:rFonts w:ascii="Times New Roman" w:hAnsi="Times New Roman"/>
          <w:sz w:val="24"/>
          <w:szCs w:val="24"/>
          <w:highlight w:val="none"/>
        </w:rPr>
      </w:pPr>
      <w:r>
        <w:rPr>
          <w:rFonts w:ascii="Times New Roman" w:hAnsi="宋体"/>
          <w:sz w:val="24"/>
          <w:szCs w:val="24"/>
          <w:highlight w:val="none"/>
        </w:rPr>
        <w:t xml:space="preserve">完成协审服务的项目，按照</w:t>
      </w:r>
      <w:r>
        <w:rPr>
          <w:rFonts w:ascii="Times New Roman" w:hAnsi="Times New Roman"/>
          <w:sz w:val="24"/>
          <w:szCs w:val="24"/>
          <w:highlight w:val="none"/>
        </w:rPr>
        <w:t xml:space="preserve">《苏州市相城区黄埭镇人民政府（苏州市相城区黄埭镇财政和资产监督</w:t>
      </w:r>
      <w:r>
        <w:rPr>
          <w:rFonts w:hint="eastAsia" w:ascii="Times New Roman" w:hAnsi="Times New Roman"/>
          <w:sz w:val="24"/>
          <w:szCs w:val="24"/>
          <w:highlight w:val="none"/>
          <w:lang w:eastAsia="zh-CN"/>
        </w:rPr>
        <w:t xml:space="preserve">管理办公室</w:t>
      </w:r>
      <w:r>
        <w:rPr>
          <w:rFonts w:ascii="Times New Roman" w:hAnsi="Times New Roman"/>
          <w:sz w:val="24"/>
          <w:szCs w:val="24"/>
          <w:highlight w:val="none"/>
        </w:rPr>
        <w:t xml:space="preserve">）关于社会审计机构参与政府及国有（集体）投资工程审计工作的考核和结算办法》</w:t>
      </w:r>
      <w:r>
        <w:rPr>
          <w:rFonts w:ascii="Times New Roman" w:hAnsi="宋体"/>
          <w:sz w:val="24"/>
          <w:szCs w:val="24"/>
          <w:highlight w:val="none"/>
        </w:rPr>
        <w:t xml:space="preserve">明确的计费标准执行。如遇特殊项目（单项核减异常等）时，结算时采购人将分析其原因后另行确定最终结算费用。</w:t>
      </w:r>
      <w:r/>
    </w:p>
    <w:p>
      <w:pPr>
        <w:ind w:firstLine="482"/>
        <w:spacing w:line="360" w:lineRule="auto"/>
        <w:rPr>
          <w:rFonts w:ascii="Times New Roman" w:hAnsi="Times New Roman"/>
          <w:b/>
          <w:sz w:val="24"/>
          <w:szCs w:val="24"/>
          <w:highlight w:val="none"/>
        </w:rPr>
      </w:pPr>
      <w:r>
        <w:rPr>
          <w:rFonts w:ascii="Times New Roman" w:hAnsi="Times New Roman"/>
          <w:b/>
          <w:sz w:val="24"/>
          <w:szCs w:val="24"/>
          <w:highlight w:val="none"/>
        </w:rPr>
        <w:t xml:space="preserve">3</w:t>
      </w:r>
      <w:r>
        <w:rPr>
          <w:rFonts w:hint="eastAsia" w:ascii="Times New Roman" w:hAnsi="宋体"/>
          <w:b/>
          <w:sz w:val="24"/>
          <w:szCs w:val="24"/>
          <w:highlight w:val="none"/>
        </w:rPr>
        <w:t xml:space="preserve">.</w:t>
      </w:r>
      <w:r>
        <w:rPr>
          <w:rFonts w:ascii="Times New Roman" w:hAnsi="宋体"/>
          <w:b/>
          <w:sz w:val="24"/>
          <w:szCs w:val="24"/>
          <w:highlight w:val="none"/>
        </w:rPr>
        <w:t xml:space="preserve">委托协审的责任</w:t>
      </w:r>
      <w:r/>
    </w:p>
    <w:p>
      <w:pPr>
        <w:ind w:firstLine="480"/>
        <w:spacing w:line="360" w:lineRule="auto"/>
        <w:rPr>
          <w:rFonts w:ascii="Times New Roman" w:hAnsi="Times New Roman"/>
          <w:sz w:val="24"/>
          <w:szCs w:val="24"/>
          <w:highlight w:val="none"/>
        </w:rPr>
      </w:pPr>
      <w:r>
        <w:rPr>
          <w:rFonts w:ascii="Times New Roman" w:hAnsi="宋体"/>
          <w:sz w:val="24"/>
          <w:szCs w:val="24"/>
          <w:highlight w:val="none"/>
        </w:rPr>
        <w:t xml:space="preserve">协审工作应当严格遵守国家的有关法律、法规、制度规定及有关执业规范要求。协审单位对协审成果的真实性、完整性、可靠性负责。协审单位应保证协审工作质量，服从效率管理，协审报告未经同意，不得自行提供给其他单位。对于协审工作产生重大质量误差、协审效率严重拖延、协审工作要求违反各级造价行业规定及相关规范，或提供不实或内容虚假的协审结果以及自行对外提供协审报告的，将按照协审单位违约进行惩处。情节严重的，依法提请有关部门追究协审单位和相关责任人的行政及法律责任。</w:t>
      </w:r>
      <w:r/>
    </w:p>
    <w:p>
      <w:pPr>
        <w:ind w:firstLine="480"/>
        <w:spacing w:line="360" w:lineRule="auto"/>
        <w:rPr>
          <w:rFonts w:ascii="Times New Roman" w:hAnsi="Times New Roman"/>
          <w:sz w:val="24"/>
          <w:szCs w:val="24"/>
          <w:highlight w:val="none"/>
        </w:rPr>
      </w:pPr>
      <w:r>
        <w:rPr>
          <w:rFonts w:ascii="Times New Roman" w:hAnsi="宋体"/>
          <w:sz w:val="24"/>
          <w:szCs w:val="24"/>
          <w:highlight w:val="none"/>
        </w:rPr>
        <w:t xml:space="preserve">如发现协审单位或协审人员在协审工作中存在违法违规行为的，经查实，立即解除委托协审服务合同，相关人员纳入</w:t>
      </w:r>
      <w:r>
        <w:rPr>
          <w:rFonts w:ascii="Times New Roman" w:hAnsi="Times New Roman"/>
          <w:sz w:val="24"/>
          <w:szCs w:val="24"/>
          <w:highlight w:val="none"/>
        </w:rPr>
        <w:t xml:space="preserve">“</w:t>
      </w:r>
      <w:r>
        <w:rPr>
          <w:rFonts w:ascii="Times New Roman" w:hAnsi="宋体"/>
          <w:sz w:val="24"/>
          <w:szCs w:val="24"/>
          <w:highlight w:val="none"/>
        </w:rPr>
        <w:t xml:space="preserve">协审人员不良记录</w:t>
      </w:r>
      <w:r>
        <w:rPr>
          <w:rFonts w:ascii="Times New Roman" w:hAnsi="Times New Roman"/>
          <w:sz w:val="24"/>
          <w:szCs w:val="24"/>
          <w:highlight w:val="none"/>
        </w:rPr>
        <w:t xml:space="preserve">”</w:t>
      </w:r>
      <w:r>
        <w:rPr>
          <w:rFonts w:ascii="Times New Roman" w:hAnsi="宋体"/>
          <w:sz w:val="24"/>
          <w:szCs w:val="24"/>
          <w:highlight w:val="none"/>
        </w:rPr>
        <w:t xml:space="preserve">，并通报行业主管部门处理。触犯法律的，将移交有关部门追究协审单位和相关责任人的经济和法律责任。</w:t>
      </w:r>
      <w:r/>
    </w:p>
    <w:p>
      <w:pPr>
        <w:ind w:firstLine="480"/>
        <w:spacing w:line="360" w:lineRule="auto"/>
        <w:rPr>
          <w:rFonts w:ascii="Times New Roman" w:hAnsi="Times New Roman"/>
          <w:sz w:val="24"/>
          <w:szCs w:val="24"/>
          <w:highlight w:val="none"/>
        </w:rPr>
      </w:pPr>
      <w:r>
        <w:rPr>
          <w:rFonts w:ascii="Times New Roman" w:hAnsi="宋体"/>
          <w:sz w:val="24"/>
          <w:szCs w:val="24"/>
          <w:highlight w:val="none"/>
        </w:rPr>
        <w:t xml:space="preserve">对于在本次委托协审服务期内，如有两家及以上</w:t>
      </w:r>
      <w:r>
        <w:rPr>
          <w:rFonts w:hint="eastAsia" w:ascii="Times New Roman" w:hAnsi="宋体"/>
          <w:sz w:val="24"/>
          <w:szCs w:val="24"/>
          <w:highlight w:val="none"/>
          <w:lang w:val="en-US" w:eastAsia="zh-CN"/>
        </w:rPr>
        <w:t xml:space="preserve">成交</w:t>
      </w:r>
      <w:r>
        <w:rPr>
          <w:rFonts w:ascii="Times New Roman" w:hAnsi="宋体"/>
          <w:sz w:val="24"/>
          <w:szCs w:val="24"/>
          <w:highlight w:val="none"/>
        </w:rPr>
        <w:t xml:space="preserve">单位发生合并情况的，以合并后的新单位作为协审单位；如</w:t>
      </w:r>
      <w:r>
        <w:rPr>
          <w:rFonts w:hint="eastAsia" w:ascii="Times New Roman" w:hAnsi="宋体"/>
          <w:sz w:val="24"/>
          <w:szCs w:val="24"/>
          <w:highlight w:val="none"/>
          <w:lang w:val="en-US" w:eastAsia="zh-CN"/>
        </w:rPr>
        <w:t xml:space="preserve">成交</w:t>
      </w:r>
      <w:r>
        <w:rPr>
          <w:rFonts w:ascii="Times New Roman" w:hAnsi="宋体"/>
          <w:sz w:val="24"/>
          <w:szCs w:val="24"/>
          <w:highlight w:val="none"/>
        </w:rPr>
        <w:t xml:space="preserve">单位与其他造价咨询机构发生合并事宜的，则以行业主管部门认定的继承原有</w:t>
      </w:r>
      <w:r>
        <w:rPr>
          <w:rFonts w:hint="eastAsia" w:ascii="Times New Roman" w:hAnsi="宋体"/>
          <w:sz w:val="24"/>
          <w:szCs w:val="24"/>
          <w:highlight w:val="none"/>
          <w:lang w:val="en-US" w:eastAsia="zh-CN"/>
        </w:rPr>
        <w:t xml:space="preserve">成交</w:t>
      </w:r>
      <w:r>
        <w:rPr>
          <w:rFonts w:ascii="Times New Roman" w:hAnsi="宋体"/>
          <w:sz w:val="24"/>
          <w:szCs w:val="24"/>
          <w:highlight w:val="none"/>
        </w:rPr>
        <w:t xml:space="preserve">单位承接业务能力的单位作为新的</w:t>
      </w:r>
      <w:r>
        <w:rPr>
          <w:rFonts w:hint="eastAsia" w:ascii="Times New Roman" w:hAnsi="宋体"/>
          <w:sz w:val="24"/>
          <w:szCs w:val="24"/>
          <w:highlight w:val="none"/>
          <w:lang w:val="en-US" w:eastAsia="zh-CN"/>
        </w:rPr>
        <w:t xml:space="preserve">成交</w:t>
      </w:r>
      <w:r>
        <w:rPr>
          <w:rFonts w:ascii="Times New Roman" w:hAnsi="宋体"/>
          <w:sz w:val="24"/>
          <w:szCs w:val="24"/>
          <w:highlight w:val="none"/>
        </w:rPr>
        <w:t xml:space="preserve">单位；如有</w:t>
      </w:r>
      <w:r>
        <w:rPr>
          <w:rFonts w:hint="eastAsia" w:ascii="Times New Roman" w:hAnsi="宋体"/>
          <w:sz w:val="24"/>
          <w:szCs w:val="24"/>
          <w:highlight w:val="none"/>
          <w:lang w:val="en-US" w:eastAsia="zh-CN"/>
        </w:rPr>
        <w:t xml:space="preserve">成交</w:t>
      </w:r>
      <w:r>
        <w:rPr>
          <w:rFonts w:ascii="Times New Roman" w:hAnsi="宋体"/>
          <w:sz w:val="24"/>
          <w:szCs w:val="24"/>
          <w:highlight w:val="none"/>
        </w:rPr>
        <w:t xml:space="preserve">单位发生分立的，则在行业相关规定范围内，由分立双方协议认可继承协审服务采购供应商资格的分立后的一方作为新的</w:t>
      </w:r>
      <w:r>
        <w:rPr>
          <w:rFonts w:hint="eastAsia" w:ascii="Times New Roman" w:hAnsi="宋体"/>
          <w:sz w:val="24"/>
          <w:szCs w:val="24"/>
          <w:highlight w:val="none"/>
          <w:lang w:val="en-US" w:eastAsia="zh-CN"/>
        </w:rPr>
        <w:t xml:space="preserve">成交</w:t>
      </w:r>
      <w:r>
        <w:rPr>
          <w:rFonts w:ascii="Times New Roman" w:hAnsi="宋体"/>
          <w:sz w:val="24"/>
          <w:szCs w:val="24"/>
          <w:highlight w:val="none"/>
        </w:rPr>
        <w:t xml:space="preserve">单位；如</w:t>
      </w:r>
      <w:r>
        <w:rPr>
          <w:rFonts w:hint="eastAsia" w:ascii="Times New Roman" w:hAnsi="宋体"/>
          <w:sz w:val="24"/>
          <w:szCs w:val="24"/>
          <w:highlight w:val="none"/>
          <w:lang w:val="en-US" w:eastAsia="zh-CN"/>
        </w:rPr>
        <w:t xml:space="preserve">成交</w:t>
      </w:r>
      <w:r>
        <w:rPr>
          <w:rFonts w:ascii="Times New Roman" w:hAnsi="宋体"/>
          <w:sz w:val="24"/>
          <w:szCs w:val="24"/>
          <w:highlight w:val="none"/>
        </w:rPr>
        <w:t xml:space="preserve">单位破产、解散、清算、停业以及其他原因无法提供服务的，</w:t>
      </w:r>
      <w:r>
        <w:rPr>
          <w:rFonts w:hint="eastAsia" w:ascii="Times New Roman" w:hAnsi="宋体"/>
          <w:sz w:val="24"/>
          <w:szCs w:val="24"/>
          <w:highlight w:val="none"/>
          <w:lang w:val="en-US" w:eastAsia="zh-CN"/>
        </w:rPr>
        <w:t xml:space="preserve">成交</w:t>
      </w:r>
      <w:r>
        <w:rPr>
          <w:rFonts w:ascii="Times New Roman" w:hAnsi="宋体"/>
          <w:sz w:val="24"/>
          <w:szCs w:val="24"/>
          <w:highlight w:val="none"/>
        </w:rPr>
        <w:t xml:space="preserve">单位自动失去委托协审服务资格。在合同有效期内，</w:t>
      </w:r>
      <w:r>
        <w:rPr>
          <w:rFonts w:hint="eastAsia" w:ascii="Times New Roman" w:hAnsi="宋体"/>
          <w:sz w:val="24"/>
          <w:szCs w:val="24"/>
          <w:highlight w:val="none"/>
          <w:lang w:val="en-US" w:eastAsia="zh-CN"/>
        </w:rPr>
        <w:t xml:space="preserve">成交</w:t>
      </w:r>
      <w:r>
        <w:rPr>
          <w:rFonts w:ascii="Times New Roman" w:hAnsi="宋体"/>
          <w:sz w:val="24"/>
          <w:szCs w:val="24"/>
          <w:highlight w:val="none"/>
        </w:rPr>
        <w:t xml:space="preserve">单位不得擅自变更、转让、租借</w:t>
      </w:r>
      <w:r>
        <w:rPr>
          <w:rFonts w:hint="eastAsia" w:ascii="Times New Roman" w:hAnsi="宋体"/>
          <w:sz w:val="24"/>
          <w:szCs w:val="24"/>
          <w:highlight w:val="none"/>
          <w:lang w:val="en-US" w:eastAsia="zh-CN"/>
        </w:rPr>
        <w:t xml:space="preserve">成交</w:t>
      </w:r>
      <w:r>
        <w:rPr>
          <w:rFonts w:ascii="Times New Roman" w:hAnsi="宋体"/>
          <w:sz w:val="24"/>
          <w:szCs w:val="24"/>
          <w:highlight w:val="none"/>
        </w:rPr>
        <w:t xml:space="preserve">资格。</w:t>
      </w:r>
      <w:r>
        <w:rPr>
          <w:rFonts w:hint="eastAsia" w:ascii="Times New Roman" w:hAnsi="宋体"/>
          <w:sz w:val="24"/>
          <w:szCs w:val="24"/>
          <w:highlight w:val="none"/>
          <w:lang w:val="en-US" w:eastAsia="zh-CN"/>
        </w:rPr>
        <w:t xml:space="preserve">成交</w:t>
      </w:r>
      <w:r>
        <w:rPr>
          <w:rFonts w:ascii="Times New Roman" w:hAnsi="宋体"/>
          <w:sz w:val="24"/>
          <w:szCs w:val="24"/>
          <w:highlight w:val="none"/>
        </w:rPr>
        <w:t xml:space="preserve">单位发生以上变更后，应按以上原则</w:t>
      </w:r>
      <w:r>
        <w:rPr>
          <w:rFonts w:ascii="Times New Roman" w:hAnsi="Times New Roman"/>
          <w:sz w:val="24"/>
          <w:szCs w:val="24"/>
          <w:highlight w:val="none"/>
        </w:rPr>
        <w:t xml:space="preserve">提供</w:t>
      </w:r>
      <w:r>
        <w:rPr>
          <w:rFonts w:ascii="Times New Roman" w:hAnsi="宋体"/>
          <w:sz w:val="24"/>
          <w:szCs w:val="24"/>
          <w:highlight w:val="none"/>
        </w:rPr>
        <w:t xml:space="preserve">相应资料报苏州市相城区黄埭镇人民政府（苏州市相城区黄埭镇财政和资产监督</w:t>
      </w:r>
      <w:r>
        <w:rPr>
          <w:rFonts w:hint="eastAsia" w:ascii="Times New Roman" w:hAnsi="宋体"/>
          <w:sz w:val="24"/>
          <w:szCs w:val="24"/>
          <w:highlight w:val="none"/>
          <w:lang w:eastAsia="zh-CN"/>
        </w:rPr>
        <w:t xml:space="preserve">管理办公室</w:t>
      </w:r>
      <w:r>
        <w:rPr>
          <w:rFonts w:ascii="Times New Roman" w:hAnsi="宋体"/>
          <w:sz w:val="24"/>
          <w:szCs w:val="24"/>
          <w:highlight w:val="none"/>
        </w:rPr>
        <w:t xml:space="preserve">），经审核同意后，后续单位方可继承委托协审服务资格。同时，继承单位应满足本</w:t>
      </w:r>
      <w:r>
        <w:rPr>
          <w:rFonts w:hint="eastAsia" w:ascii="Times New Roman" w:hAnsi="宋体"/>
          <w:sz w:val="24"/>
          <w:szCs w:val="24"/>
          <w:highlight w:val="none"/>
          <w:lang w:val="en-US" w:eastAsia="zh-CN"/>
        </w:rPr>
        <w:t xml:space="preserve">采购</w:t>
      </w:r>
      <w:r>
        <w:rPr>
          <w:rFonts w:ascii="Times New Roman" w:hAnsi="宋体"/>
          <w:sz w:val="24"/>
          <w:szCs w:val="24"/>
          <w:highlight w:val="none"/>
        </w:rPr>
        <w:t xml:space="preserve">文件全部要求及其原有</w:t>
      </w:r>
      <w:r>
        <w:rPr>
          <w:rFonts w:hint="eastAsia" w:ascii="Times New Roman" w:hAnsi="宋体"/>
          <w:sz w:val="24"/>
          <w:szCs w:val="24"/>
          <w:highlight w:val="none"/>
          <w:lang w:val="en-US" w:eastAsia="zh-CN"/>
        </w:rPr>
        <w:t xml:space="preserve">响应</w:t>
      </w:r>
      <w:r>
        <w:rPr>
          <w:rFonts w:ascii="Times New Roman" w:hAnsi="宋体"/>
          <w:sz w:val="24"/>
          <w:szCs w:val="24"/>
          <w:highlight w:val="none"/>
        </w:rPr>
        <w:t xml:space="preserve">承诺。</w:t>
      </w:r>
      <w:r/>
    </w:p>
    <w:p>
      <w:pPr>
        <w:ind w:firstLine="482"/>
        <w:spacing w:line="360" w:lineRule="auto"/>
        <w:rPr>
          <w:rFonts w:ascii="Times New Roman" w:hAnsi="Times New Roman"/>
          <w:b/>
          <w:sz w:val="24"/>
          <w:szCs w:val="24"/>
          <w:highlight w:val="none"/>
        </w:rPr>
      </w:pPr>
      <w:r>
        <w:rPr>
          <w:rFonts w:ascii="Times New Roman" w:hAnsi="Times New Roman"/>
          <w:b/>
          <w:sz w:val="24"/>
          <w:szCs w:val="24"/>
          <w:highlight w:val="none"/>
        </w:rPr>
        <w:t xml:space="preserve">4</w:t>
      </w:r>
      <w:r>
        <w:rPr>
          <w:rFonts w:hint="eastAsia" w:ascii="Times New Roman" w:hAnsi="宋体"/>
          <w:b/>
          <w:sz w:val="24"/>
          <w:szCs w:val="24"/>
          <w:highlight w:val="none"/>
        </w:rPr>
        <w:t xml:space="preserve">.</w:t>
      </w:r>
      <w:r>
        <w:rPr>
          <w:rFonts w:ascii="Times New Roman" w:hAnsi="宋体"/>
          <w:b/>
          <w:sz w:val="24"/>
          <w:szCs w:val="24"/>
          <w:highlight w:val="none"/>
        </w:rPr>
        <w:t xml:space="preserve">协审工作的响应</w:t>
      </w:r>
      <w:r/>
    </w:p>
    <w:p>
      <w:pPr>
        <w:ind w:firstLine="480"/>
        <w:spacing w:line="360" w:lineRule="auto"/>
        <w:rPr>
          <w:rFonts w:ascii="Times New Roman" w:hAnsi="Times New Roman"/>
          <w:sz w:val="24"/>
          <w:szCs w:val="24"/>
          <w:highlight w:val="none"/>
        </w:rPr>
      </w:pPr>
      <w:r>
        <w:rPr>
          <w:rFonts w:ascii="Times New Roman" w:hAnsi="宋体"/>
          <w:sz w:val="24"/>
          <w:szCs w:val="24"/>
          <w:highlight w:val="none"/>
        </w:rPr>
        <w:t xml:space="preserve">为保证协审工作效率和服务质量，</w:t>
      </w:r>
      <w:r>
        <w:rPr>
          <w:rFonts w:hint="eastAsia" w:ascii="Times New Roman" w:hAnsi="宋体"/>
          <w:sz w:val="24"/>
          <w:szCs w:val="24"/>
          <w:highlight w:val="none"/>
          <w:lang w:val="en-US" w:eastAsia="zh-CN"/>
        </w:rPr>
        <w:t xml:space="preserve">成交</w:t>
      </w:r>
      <w:r>
        <w:rPr>
          <w:rFonts w:ascii="Times New Roman" w:hAnsi="宋体"/>
          <w:sz w:val="24"/>
          <w:szCs w:val="24"/>
          <w:highlight w:val="none"/>
        </w:rPr>
        <w:t xml:space="preserve">单位需提供《协审响应服务承诺书》，保证协审工作响应时间符合苏州市相城区黄埭镇人民政府（苏州市相城区黄埭镇财政和资产监督</w:t>
      </w:r>
      <w:r>
        <w:rPr>
          <w:rFonts w:hint="eastAsia" w:ascii="Times New Roman" w:hAnsi="宋体"/>
          <w:sz w:val="24"/>
          <w:szCs w:val="24"/>
          <w:highlight w:val="none"/>
          <w:lang w:eastAsia="zh-CN"/>
        </w:rPr>
        <w:t xml:space="preserve">管理办公室</w:t>
      </w:r>
      <w:r>
        <w:rPr>
          <w:rFonts w:ascii="Times New Roman" w:hAnsi="宋体"/>
          <w:sz w:val="24"/>
          <w:szCs w:val="24"/>
          <w:highlight w:val="none"/>
        </w:rPr>
        <w:t xml:space="preserve">）要求，即经批准的协审实施方案内的协审人员从接到苏州市相城区黄埭镇人民政府（苏州市相城区黄埭镇财政和资产监督</w:t>
      </w:r>
      <w:r>
        <w:rPr>
          <w:rFonts w:hint="eastAsia" w:ascii="Times New Roman" w:hAnsi="宋体"/>
          <w:sz w:val="24"/>
          <w:szCs w:val="24"/>
          <w:highlight w:val="none"/>
          <w:lang w:eastAsia="zh-CN"/>
        </w:rPr>
        <w:t xml:space="preserve">管理办公室</w:t>
      </w:r>
      <w:r>
        <w:rPr>
          <w:rFonts w:ascii="Times New Roman" w:hAnsi="宋体"/>
          <w:sz w:val="24"/>
          <w:szCs w:val="24"/>
          <w:highlight w:val="none"/>
        </w:rPr>
        <w:t xml:space="preserve">）工作指令起，到达苏州市相城区黄埭镇人民政府（苏州市相城区黄埭镇财政和资产监督</w:t>
      </w:r>
      <w:r>
        <w:rPr>
          <w:rFonts w:hint="eastAsia" w:ascii="Times New Roman" w:hAnsi="宋体"/>
          <w:sz w:val="24"/>
          <w:szCs w:val="24"/>
          <w:highlight w:val="none"/>
          <w:lang w:eastAsia="zh-CN"/>
        </w:rPr>
        <w:t xml:space="preserve">管理办公室</w:t>
      </w:r>
      <w:r>
        <w:rPr>
          <w:rFonts w:ascii="Times New Roman" w:hAnsi="宋体"/>
          <w:sz w:val="24"/>
          <w:szCs w:val="24"/>
          <w:highlight w:val="none"/>
        </w:rPr>
        <w:t xml:space="preserve">）（苏州市相城区康阳大厦）或协审项目现场时间不超过</w:t>
      </w:r>
      <w:r>
        <w:rPr>
          <w:rFonts w:ascii="Times New Roman" w:hAnsi="Times New Roman"/>
          <w:sz w:val="24"/>
          <w:szCs w:val="24"/>
          <w:highlight w:val="none"/>
        </w:rPr>
        <w:t xml:space="preserve">60</w:t>
      </w:r>
      <w:r>
        <w:rPr>
          <w:rFonts w:ascii="Times New Roman" w:hAnsi="宋体"/>
          <w:sz w:val="24"/>
          <w:szCs w:val="24"/>
          <w:highlight w:val="none"/>
        </w:rPr>
        <w:t xml:space="preserve">分钟。苏州市相城区黄埭镇人民政府（苏州市相城区黄埭镇财政和资产监督</w:t>
      </w:r>
      <w:r>
        <w:rPr>
          <w:rFonts w:hint="eastAsia" w:ascii="Times New Roman" w:hAnsi="宋体"/>
          <w:sz w:val="24"/>
          <w:szCs w:val="24"/>
          <w:highlight w:val="none"/>
          <w:lang w:eastAsia="zh-CN"/>
        </w:rPr>
        <w:t xml:space="preserve">管理办公室</w:t>
      </w:r>
      <w:r>
        <w:rPr>
          <w:rFonts w:ascii="Times New Roman" w:hAnsi="宋体"/>
          <w:sz w:val="24"/>
          <w:szCs w:val="24"/>
          <w:highlight w:val="none"/>
        </w:rPr>
        <w:t xml:space="preserve">）审核项目分布在苏州市相城区黄埭镇人民政府（苏州市相城区黄埭镇财政和资产监督</w:t>
      </w:r>
      <w:r>
        <w:rPr>
          <w:rFonts w:hint="eastAsia" w:ascii="Times New Roman" w:hAnsi="宋体"/>
          <w:sz w:val="24"/>
          <w:szCs w:val="24"/>
          <w:highlight w:val="none"/>
          <w:lang w:eastAsia="zh-CN"/>
        </w:rPr>
        <w:t xml:space="preserve">管理办公室</w:t>
      </w:r>
      <w:r>
        <w:rPr>
          <w:rFonts w:ascii="Times New Roman" w:hAnsi="宋体"/>
          <w:sz w:val="24"/>
          <w:szCs w:val="24"/>
          <w:highlight w:val="none"/>
        </w:rPr>
        <w:t xml:space="preserve">）周边约</w:t>
      </w:r>
      <w:r>
        <w:rPr>
          <w:rFonts w:ascii="Times New Roman" w:hAnsi="Times New Roman"/>
          <w:sz w:val="24"/>
          <w:szCs w:val="24"/>
          <w:highlight w:val="none"/>
        </w:rPr>
        <w:t xml:space="preserve">60</w:t>
      </w:r>
      <w:r>
        <w:rPr>
          <w:rFonts w:ascii="Times New Roman" w:hAnsi="宋体"/>
          <w:sz w:val="24"/>
          <w:szCs w:val="24"/>
          <w:highlight w:val="none"/>
        </w:rPr>
        <w:t xml:space="preserve">分钟车程范围内，因此要求协审服务响应时间不得超过</w:t>
      </w:r>
      <w:r>
        <w:rPr>
          <w:rFonts w:ascii="Times New Roman" w:hAnsi="Times New Roman"/>
          <w:sz w:val="24"/>
          <w:szCs w:val="24"/>
          <w:highlight w:val="none"/>
        </w:rPr>
        <w:t xml:space="preserve">60</w:t>
      </w:r>
      <w:r>
        <w:rPr>
          <w:rFonts w:ascii="Times New Roman" w:hAnsi="宋体"/>
          <w:sz w:val="24"/>
          <w:szCs w:val="24"/>
          <w:highlight w:val="none"/>
        </w:rPr>
        <w:t xml:space="preserve">分钟。协审单位应根据响应工作需要就近安排工作场所，并提供合理的人员组织、交通组织等响应保障方案。</w:t>
      </w:r>
      <w:r/>
    </w:p>
    <w:p>
      <w:pPr>
        <w:ind w:firstLine="480"/>
        <w:spacing w:line="360" w:lineRule="auto"/>
        <w:rPr>
          <w:rFonts w:ascii="Times New Roman" w:hAnsi="Times New Roman"/>
          <w:sz w:val="24"/>
          <w:szCs w:val="24"/>
          <w:highlight w:val="none"/>
        </w:rPr>
      </w:pPr>
      <w:r>
        <w:rPr>
          <w:rFonts w:ascii="Times New Roman" w:hAnsi="宋体"/>
          <w:sz w:val="24"/>
          <w:szCs w:val="24"/>
          <w:highlight w:val="none"/>
        </w:rPr>
        <w:t xml:space="preserve">如协审单位在</w:t>
      </w:r>
      <w:r>
        <w:rPr>
          <w:rFonts w:hint="eastAsia" w:ascii="Times New Roman" w:hAnsi="宋体"/>
          <w:sz w:val="24"/>
          <w:szCs w:val="24"/>
          <w:highlight w:val="none"/>
          <w:lang w:val="en-US" w:eastAsia="zh-CN"/>
        </w:rPr>
        <w:t xml:space="preserve">成交</w:t>
      </w:r>
      <w:r>
        <w:rPr>
          <w:rFonts w:ascii="Times New Roman" w:hAnsi="宋体"/>
          <w:sz w:val="24"/>
          <w:szCs w:val="24"/>
          <w:highlight w:val="none"/>
        </w:rPr>
        <w:t xml:space="preserve">通知书发出之日起</w:t>
      </w:r>
      <w:r>
        <w:rPr>
          <w:rFonts w:ascii="Times New Roman" w:hAnsi="Times New Roman"/>
          <w:sz w:val="24"/>
          <w:szCs w:val="24"/>
          <w:highlight w:val="none"/>
        </w:rPr>
        <w:t xml:space="preserve">30</w:t>
      </w:r>
      <w:r>
        <w:rPr>
          <w:rFonts w:ascii="Times New Roman" w:hAnsi="宋体"/>
          <w:sz w:val="24"/>
          <w:szCs w:val="24"/>
          <w:highlight w:val="none"/>
        </w:rPr>
        <w:t xml:space="preserve">天内未能在其《协审响应服务承诺书》中承诺的地点设立办公场所或未能按</w:t>
      </w:r>
      <w:r>
        <w:rPr>
          <w:rFonts w:ascii="Times New Roman" w:hAnsi="Times New Roman"/>
          <w:sz w:val="24"/>
          <w:szCs w:val="24"/>
          <w:highlight w:val="none"/>
        </w:rPr>
        <w:t xml:space="preserve">《协审人员备案考勤承诺书》</w:t>
      </w:r>
      <w:r>
        <w:rPr>
          <w:rFonts w:ascii="Times New Roman" w:hAnsi="宋体"/>
          <w:sz w:val="24"/>
          <w:szCs w:val="24"/>
          <w:highlight w:val="none"/>
        </w:rPr>
        <w:t xml:space="preserve">中承诺的拟投入本项目人员数量配备齐全并完成投入人员的考勤备案登记的，则采购人有权终止协审服务合同，通报行业主管部门或其他相关部门进行处理，并将相关情况报政府采购监督管理部门作为虚假投标的证据。</w:t>
      </w:r>
      <w:r/>
    </w:p>
    <w:p>
      <w:pPr>
        <w:ind w:firstLine="480"/>
        <w:spacing w:line="360" w:lineRule="auto"/>
        <w:rPr>
          <w:rFonts w:ascii="Times New Roman" w:hAnsi="Times New Roman"/>
          <w:sz w:val="24"/>
          <w:szCs w:val="24"/>
          <w:highlight w:val="none"/>
        </w:rPr>
      </w:pPr>
      <w:r>
        <w:rPr>
          <w:rFonts w:ascii="Times New Roman" w:hAnsi="宋体"/>
          <w:sz w:val="24"/>
          <w:szCs w:val="24"/>
          <w:highlight w:val="none"/>
        </w:rPr>
        <w:t xml:space="preserve">如协审单位在服务期内，被发现未在承诺</w:t>
      </w:r>
      <w:r>
        <w:rPr>
          <w:rFonts w:ascii="Times New Roman" w:hAnsi="Times New Roman"/>
          <w:sz w:val="24"/>
          <w:szCs w:val="24"/>
          <w:highlight w:val="none"/>
        </w:rPr>
        <w:t xml:space="preserve">时间</w:t>
      </w:r>
      <w:r>
        <w:rPr>
          <w:rFonts w:ascii="Times New Roman" w:hAnsi="宋体"/>
          <w:sz w:val="24"/>
          <w:szCs w:val="24"/>
          <w:highlight w:val="none"/>
        </w:rPr>
        <w:t xml:space="preserve">内响应工作（即自通知时间起至到达苏州市相城区黄埭镇人民政府（苏州市相城区黄埭镇财政和资产监督</w:t>
      </w:r>
      <w:r>
        <w:rPr>
          <w:rFonts w:hint="eastAsia" w:ascii="Times New Roman" w:hAnsi="宋体"/>
          <w:sz w:val="24"/>
          <w:szCs w:val="24"/>
          <w:highlight w:val="none"/>
          <w:lang w:eastAsia="zh-CN"/>
        </w:rPr>
        <w:t xml:space="preserve">管理办公室</w:t>
      </w:r>
      <w:r>
        <w:rPr>
          <w:rFonts w:ascii="Times New Roman" w:hAnsi="宋体"/>
          <w:sz w:val="24"/>
          <w:szCs w:val="24"/>
          <w:highlight w:val="none"/>
        </w:rPr>
        <w:t xml:space="preserve">）（苏州市相城区康阳大厦）或协审项目现场时间超过</w:t>
      </w:r>
      <w:r>
        <w:rPr>
          <w:rFonts w:ascii="Times New Roman" w:hAnsi="Times New Roman"/>
          <w:sz w:val="24"/>
          <w:szCs w:val="24"/>
          <w:highlight w:val="none"/>
        </w:rPr>
        <w:t xml:space="preserve">60</w:t>
      </w:r>
      <w:r>
        <w:rPr>
          <w:rFonts w:ascii="Times New Roman" w:hAnsi="宋体"/>
          <w:sz w:val="24"/>
          <w:szCs w:val="24"/>
          <w:highlight w:val="none"/>
        </w:rPr>
        <w:t xml:space="preserve">分钟的），发现一次予以警告，累计发现三次及以上的视为情节严重，采购人有权终止协审服务合同。</w:t>
      </w:r>
      <w:r/>
    </w:p>
    <w:p>
      <w:pPr>
        <w:ind w:firstLine="480"/>
        <w:spacing w:line="360" w:lineRule="auto"/>
        <w:rPr>
          <w:rFonts w:ascii="Times New Roman" w:hAnsi="Times New Roman"/>
          <w:sz w:val="24"/>
          <w:szCs w:val="24"/>
          <w:highlight w:val="none"/>
        </w:rPr>
      </w:pPr>
      <w:r>
        <w:rPr>
          <w:rFonts w:hint="eastAsia" w:ascii="Times New Roman" w:hAnsi="宋体"/>
          <w:sz w:val="24"/>
          <w:szCs w:val="24"/>
          <w:highlight w:val="none"/>
          <w:lang w:val="en-US" w:eastAsia="zh-CN"/>
        </w:rPr>
        <w:t xml:space="preserve">成交</w:t>
      </w:r>
      <w:r>
        <w:rPr>
          <w:rFonts w:ascii="Times New Roman" w:hAnsi="宋体"/>
          <w:sz w:val="24"/>
          <w:szCs w:val="24"/>
          <w:highlight w:val="none"/>
        </w:rPr>
        <w:t xml:space="preserve">单位投标时承诺的拟投入项目协审人员在项目服务期内应全部到位，接受采购人考勤考核。协审人员须无条件接受并</w:t>
      </w:r>
      <w:r>
        <w:rPr>
          <w:rFonts w:ascii="Times New Roman" w:hAnsi="Times New Roman"/>
          <w:sz w:val="24"/>
          <w:szCs w:val="24"/>
          <w:highlight w:val="none"/>
        </w:rPr>
        <w:t xml:space="preserve">配合</w:t>
      </w:r>
      <w:r>
        <w:rPr>
          <w:rFonts w:ascii="Times New Roman" w:hAnsi="宋体"/>
          <w:sz w:val="24"/>
          <w:szCs w:val="24"/>
          <w:highlight w:val="none"/>
        </w:rPr>
        <w:t xml:space="preserve">任何考勤考核措施办法，不接受考勤考核，视为违约。采购人保留不定期对协审单位人员的到位情况做突击检查的权利，承诺投入人员</w:t>
      </w:r>
      <w:r>
        <w:rPr>
          <w:rFonts w:ascii="Times New Roman" w:hAnsi="Times New Roman"/>
          <w:sz w:val="24"/>
          <w:szCs w:val="24"/>
          <w:highlight w:val="none"/>
        </w:rPr>
        <w:t xml:space="preserve">80%</w:t>
      </w:r>
      <w:r>
        <w:rPr>
          <w:rFonts w:ascii="Times New Roman" w:hAnsi="宋体"/>
          <w:sz w:val="24"/>
          <w:szCs w:val="24"/>
          <w:highlight w:val="none"/>
        </w:rPr>
        <w:t xml:space="preserve">以上在承诺地点办公的视为合格，对于不合格的视为情节严重，采购人有权终止协审服务合同。</w:t>
      </w:r>
      <w:r/>
    </w:p>
    <w:p>
      <w:pPr>
        <w:ind w:firstLine="480"/>
        <w:spacing w:line="360" w:lineRule="auto"/>
        <w:rPr>
          <w:rFonts w:ascii="Times New Roman" w:hAnsi="Times New Roman"/>
          <w:sz w:val="24"/>
          <w:szCs w:val="24"/>
          <w:highlight w:val="none"/>
        </w:rPr>
      </w:pPr>
      <w:r>
        <w:rPr>
          <w:rFonts w:ascii="Times New Roman" w:hAnsi="宋体"/>
          <w:sz w:val="24"/>
          <w:szCs w:val="24"/>
          <w:highlight w:val="none"/>
        </w:rPr>
        <w:t xml:space="preserve">各标段</w:t>
      </w:r>
      <w:r>
        <w:rPr>
          <w:rFonts w:hint="eastAsia" w:ascii="Times New Roman" w:hAnsi="宋体"/>
          <w:sz w:val="24"/>
          <w:szCs w:val="24"/>
          <w:highlight w:val="none"/>
          <w:lang w:val="en-US" w:eastAsia="zh-CN"/>
        </w:rPr>
        <w:t xml:space="preserve">成交</w:t>
      </w:r>
      <w:r>
        <w:rPr>
          <w:rFonts w:ascii="Times New Roman" w:hAnsi="宋体"/>
          <w:sz w:val="24"/>
          <w:szCs w:val="24"/>
          <w:highlight w:val="none"/>
        </w:rPr>
        <w:t xml:space="preserve">单位应满足相应专业要求，如不满足，采购人有权取消该项目委托，直至终止协审服务合同。</w:t>
      </w:r>
      <w:r/>
    </w:p>
    <w:p>
      <w:pPr>
        <w:ind w:firstLine="482"/>
        <w:spacing w:line="360" w:lineRule="auto"/>
        <w:rPr>
          <w:rFonts w:ascii="Times New Roman" w:hAnsi="Times New Roman"/>
          <w:b/>
          <w:bCs/>
          <w:sz w:val="24"/>
          <w:szCs w:val="24"/>
          <w:highlight w:val="none"/>
        </w:rPr>
      </w:pPr>
      <w:r>
        <w:rPr>
          <w:rFonts w:ascii="Times New Roman" w:hAnsi="宋体"/>
          <w:b/>
          <w:bCs/>
          <w:sz w:val="24"/>
          <w:szCs w:val="24"/>
          <w:highlight w:val="none"/>
        </w:rPr>
        <w:t xml:space="preserve">所有协审人员在服务期内手机必须安装苏州市相城区黄埭镇人民政府（苏州市相城区黄埭镇财政和资产监督</w:t>
      </w:r>
      <w:r>
        <w:rPr>
          <w:rFonts w:hint="eastAsia" w:ascii="Times New Roman" w:hAnsi="宋体"/>
          <w:b/>
          <w:bCs/>
          <w:sz w:val="24"/>
          <w:szCs w:val="24"/>
          <w:highlight w:val="none"/>
          <w:lang w:eastAsia="zh-CN"/>
        </w:rPr>
        <w:t xml:space="preserve">管理办公室</w:t>
      </w:r>
      <w:r>
        <w:rPr>
          <w:rFonts w:ascii="Times New Roman" w:hAnsi="宋体"/>
          <w:b/>
          <w:bCs/>
          <w:sz w:val="24"/>
          <w:szCs w:val="24"/>
          <w:highlight w:val="none"/>
        </w:rPr>
        <w:t xml:space="preserve">）的考勤管理软件。按照苏州市相城区黄埭镇人民政府（苏州市相城区黄埭镇财政和资产监督</w:t>
      </w:r>
      <w:r>
        <w:rPr>
          <w:rFonts w:hint="eastAsia" w:ascii="Times New Roman" w:hAnsi="宋体"/>
          <w:b/>
          <w:bCs/>
          <w:sz w:val="24"/>
          <w:szCs w:val="24"/>
          <w:highlight w:val="none"/>
          <w:lang w:eastAsia="zh-CN"/>
        </w:rPr>
        <w:t xml:space="preserve">管理办公室</w:t>
      </w:r>
      <w:r>
        <w:rPr>
          <w:rFonts w:ascii="Times New Roman" w:hAnsi="宋体"/>
          <w:b/>
          <w:bCs/>
          <w:sz w:val="24"/>
          <w:szCs w:val="24"/>
          <w:highlight w:val="none"/>
        </w:rPr>
        <w:t xml:space="preserve">）</w:t>
      </w:r>
      <w:r>
        <w:rPr>
          <w:rFonts w:ascii="Times New Roman" w:hAnsi="Times New Roman"/>
          <w:sz w:val="24"/>
          <w:szCs w:val="24"/>
          <w:highlight w:val="none"/>
        </w:rPr>
        <w:t xml:space="preserve">要求</w:t>
      </w:r>
      <w:r>
        <w:rPr>
          <w:rFonts w:ascii="Times New Roman" w:hAnsi="宋体"/>
          <w:b/>
          <w:bCs/>
          <w:sz w:val="24"/>
          <w:szCs w:val="24"/>
          <w:highlight w:val="none"/>
        </w:rPr>
        <w:t xml:space="preserve">，协审人员应通过考勤管理软件进行人脸识别考勤，如发现冒名顶替或者考勤不配合均追究协审单位责任。</w:t>
      </w:r>
      <w:r/>
    </w:p>
    <w:p>
      <w:pPr>
        <w:ind w:firstLine="482"/>
        <w:spacing w:line="360" w:lineRule="auto"/>
        <w:rPr>
          <w:rFonts w:ascii="Times New Roman" w:hAnsi="Times New Roman"/>
          <w:b/>
          <w:sz w:val="24"/>
          <w:szCs w:val="24"/>
          <w:highlight w:val="none"/>
        </w:rPr>
      </w:pPr>
      <w:r>
        <w:rPr>
          <w:rFonts w:ascii="Times New Roman" w:hAnsi="Times New Roman"/>
          <w:b/>
          <w:sz w:val="24"/>
          <w:szCs w:val="24"/>
          <w:highlight w:val="none"/>
        </w:rPr>
        <w:t xml:space="preserve">5</w:t>
      </w:r>
      <w:r>
        <w:rPr>
          <w:rFonts w:hint="eastAsia" w:ascii="Times New Roman" w:hAnsi="宋体"/>
          <w:b/>
          <w:sz w:val="24"/>
          <w:szCs w:val="24"/>
          <w:highlight w:val="none"/>
        </w:rPr>
        <w:t xml:space="preserve">.</w:t>
      </w:r>
      <w:r>
        <w:rPr>
          <w:rFonts w:ascii="Times New Roman" w:hAnsi="宋体"/>
          <w:b/>
          <w:sz w:val="24"/>
          <w:szCs w:val="24"/>
          <w:highlight w:val="none"/>
        </w:rPr>
        <w:t xml:space="preserve">协审人员要求</w:t>
      </w:r>
      <w:r/>
    </w:p>
    <w:p>
      <w:pPr>
        <w:ind w:firstLine="480"/>
        <w:spacing w:line="360" w:lineRule="auto"/>
        <w:rPr>
          <w:rFonts w:ascii="Times New Roman" w:hAnsi="Times New Roman"/>
          <w:sz w:val="24"/>
          <w:szCs w:val="24"/>
          <w:highlight w:val="none"/>
        </w:rPr>
      </w:pPr>
      <w:r>
        <w:rPr>
          <w:rFonts w:hint="eastAsia" w:ascii="Times New Roman" w:hAnsi="宋体"/>
          <w:sz w:val="24"/>
          <w:szCs w:val="24"/>
          <w:highlight w:val="none"/>
          <w:lang w:val="en-US" w:eastAsia="zh-CN"/>
        </w:rPr>
        <w:t xml:space="preserve">成交</w:t>
      </w:r>
      <w:r>
        <w:rPr>
          <w:rFonts w:ascii="Times New Roman" w:hAnsi="宋体"/>
          <w:sz w:val="24"/>
          <w:szCs w:val="24"/>
          <w:highlight w:val="none"/>
        </w:rPr>
        <w:t xml:space="preserve">单位须为本项目拟派一级注册造价工程师、其他造价从业人员及相关管理人员以确保甲方委托项目的顺利实施。本</w:t>
      </w:r>
      <w:r>
        <w:rPr>
          <w:rFonts w:hint="eastAsia" w:ascii="Times New Roman" w:hAnsi="宋体"/>
          <w:sz w:val="24"/>
          <w:szCs w:val="24"/>
          <w:highlight w:val="none"/>
          <w:lang w:val="en-US" w:eastAsia="zh-CN"/>
        </w:rPr>
        <w:t xml:space="preserve">采购</w:t>
      </w:r>
      <w:r>
        <w:rPr>
          <w:rFonts w:ascii="Times New Roman" w:hAnsi="宋体"/>
          <w:sz w:val="24"/>
          <w:szCs w:val="24"/>
          <w:highlight w:val="none"/>
        </w:rPr>
        <w:t xml:space="preserve">文件所指的一级注册造价工程师，是指根据《住房城乡建设部</w:t>
      </w:r>
      <w:r>
        <w:rPr>
          <w:rFonts w:ascii="Times New Roman" w:hAnsi="Times New Roman"/>
          <w:sz w:val="24"/>
          <w:szCs w:val="24"/>
          <w:highlight w:val="none"/>
        </w:rPr>
        <w:t xml:space="preserve"> </w:t>
      </w:r>
      <w:r>
        <w:rPr>
          <w:rFonts w:ascii="Times New Roman" w:hAnsi="宋体"/>
          <w:sz w:val="24"/>
          <w:szCs w:val="24"/>
          <w:highlight w:val="none"/>
        </w:rPr>
        <w:t xml:space="preserve">交通运输部</w:t>
      </w:r>
      <w:r>
        <w:rPr>
          <w:rFonts w:ascii="Times New Roman" w:hAnsi="Times New Roman"/>
          <w:sz w:val="24"/>
          <w:szCs w:val="24"/>
          <w:highlight w:val="none"/>
        </w:rPr>
        <w:t xml:space="preserve"> </w:t>
      </w:r>
      <w:r>
        <w:rPr>
          <w:rFonts w:ascii="Times New Roman" w:hAnsi="宋体"/>
          <w:sz w:val="24"/>
          <w:szCs w:val="24"/>
          <w:highlight w:val="none"/>
        </w:rPr>
        <w:t xml:space="preserve">水利部</w:t>
      </w:r>
      <w:r>
        <w:rPr>
          <w:rFonts w:ascii="Times New Roman" w:hAnsi="Times New Roman"/>
          <w:sz w:val="24"/>
          <w:szCs w:val="24"/>
          <w:highlight w:val="none"/>
        </w:rPr>
        <w:t xml:space="preserve"> </w:t>
      </w:r>
      <w:r>
        <w:rPr>
          <w:rFonts w:ascii="Times New Roman" w:hAnsi="宋体"/>
          <w:sz w:val="24"/>
          <w:szCs w:val="24"/>
          <w:highlight w:val="none"/>
        </w:rPr>
        <w:t xml:space="preserve">人力资源社会保障部关于印发</w:t>
      </w:r>
      <w:r>
        <w:rPr>
          <w:rFonts w:ascii="Times New Roman" w:hAnsi="Times New Roman"/>
          <w:sz w:val="24"/>
          <w:szCs w:val="24"/>
          <w:highlight w:val="none"/>
        </w:rPr>
        <w:t xml:space="preserve">&lt;</w:t>
      </w:r>
      <w:r>
        <w:rPr>
          <w:rFonts w:ascii="Times New Roman" w:hAnsi="宋体"/>
          <w:sz w:val="24"/>
          <w:szCs w:val="24"/>
          <w:highlight w:val="none"/>
        </w:rPr>
        <w:t xml:space="preserve">造价工程师职业资格制度规定</w:t>
      </w:r>
      <w:r>
        <w:rPr>
          <w:rFonts w:ascii="Times New Roman" w:hAnsi="Times New Roman"/>
          <w:sz w:val="24"/>
          <w:szCs w:val="24"/>
          <w:highlight w:val="none"/>
        </w:rPr>
        <w:t xml:space="preserve">&gt;&lt;</w:t>
      </w:r>
      <w:r>
        <w:rPr>
          <w:rFonts w:ascii="Times New Roman" w:hAnsi="宋体"/>
          <w:sz w:val="24"/>
          <w:szCs w:val="24"/>
          <w:highlight w:val="none"/>
        </w:rPr>
        <w:t xml:space="preserve">造价工程师职业资格考试实施办法</w:t>
      </w:r>
      <w:r>
        <w:rPr>
          <w:rFonts w:ascii="Times New Roman" w:hAnsi="Times New Roman"/>
          <w:sz w:val="24"/>
          <w:szCs w:val="24"/>
          <w:highlight w:val="none"/>
        </w:rPr>
        <w:t xml:space="preserve">&gt;</w:t>
      </w:r>
      <w:r>
        <w:rPr>
          <w:rFonts w:ascii="Times New Roman" w:hAnsi="宋体"/>
          <w:sz w:val="24"/>
          <w:szCs w:val="24"/>
          <w:highlight w:val="none"/>
        </w:rPr>
        <w:t xml:space="preserve">的通知》（</w:t>
      </w:r>
      <w:r>
        <w:rPr>
          <w:rFonts w:ascii="Times New Roman" w:hAnsi="Times New Roman"/>
          <w:sz w:val="24"/>
          <w:szCs w:val="24"/>
          <w:highlight w:val="none"/>
        </w:rPr>
        <w:t xml:space="preserve"> </w:t>
      </w:r>
      <w:r>
        <w:rPr>
          <w:rFonts w:ascii="Times New Roman" w:hAnsi="宋体"/>
          <w:sz w:val="24"/>
          <w:szCs w:val="24"/>
          <w:highlight w:val="none"/>
        </w:rPr>
        <w:t xml:space="preserve">建人〔</w:t>
      </w:r>
      <w:r>
        <w:rPr>
          <w:rFonts w:ascii="Times New Roman" w:hAnsi="Times New Roman"/>
          <w:sz w:val="24"/>
          <w:szCs w:val="24"/>
          <w:highlight w:val="none"/>
        </w:rPr>
        <w:t xml:space="preserve">2018</w:t>
      </w:r>
      <w:r>
        <w:rPr>
          <w:rFonts w:ascii="Times New Roman" w:hAnsi="宋体"/>
          <w:sz w:val="24"/>
          <w:szCs w:val="24"/>
          <w:highlight w:val="none"/>
        </w:rPr>
        <w:t xml:space="preserve">〕）</w:t>
      </w:r>
      <w:r>
        <w:rPr>
          <w:rFonts w:ascii="Times New Roman" w:hAnsi="Times New Roman"/>
          <w:sz w:val="24"/>
          <w:szCs w:val="24"/>
          <w:highlight w:val="none"/>
        </w:rPr>
        <w:t xml:space="preserve">67</w:t>
      </w:r>
      <w:r>
        <w:rPr>
          <w:rFonts w:ascii="Times New Roman" w:hAnsi="宋体"/>
          <w:sz w:val="24"/>
          <w:szCs w:val="24"/>
          <w:highlight w:val="none"/>
        </w:rPr>
        <w:t xml:space="preserve">号</w:t>
      </w:r>
      <w:r>
        <w:rPr>
          <w:rFonts w:ascii="Times New Roman" w:hAnsi="Times New Roman"/>
          <w:sz w:val="24"/>
          <w:szCs w:val="24"/>
          <w:highlight w:val="none"/>
        </w:rPr>
        <w:t xml:space="preserve"> </w:t>
      </w:r>
      <w:r>
        <w:rPr>
          <w:rFonts w:ascii="Times New Roman" w:hAnsi="宋体"/>
          <w:sz w:val="24"/>
          <w:szCs w:val="24"/>
          <w:highlight w:val="none"/>
        </w:rPr>
        <w:t xml:space="preserve">）、《水利部关于印发</w:t>
      </w:r>
      <w:r>
        <w:rPr>
          <w:rFonts w:ascii="Times New Roman" w:hAnsi="Times New Roman"/>
          <w:sz w:val="24"/>
          <w:szCs w:val="24"/>
          <w:highlight w:val="none"/>
        </w:rPr>
        <w:t xml:space="preserve">&lt;</w:t>
      </w:r>
      <w:r>
        <w:rPr>
          <w:rFonts w:ascii="Times New Roman" w:hAnsi="宋体"/>
          <w:sz w:val="24"/>
          <w:szCs w:val="24"/>
          <w:highlight w:val="none"/>
        </w:rPr>
        <w:t xml:space="preserve">注册造价工程师（水利工程）管理办法</w:t>
      </w:r>
      <w:r>
        <w:rPr>
          <w:rFonts w:ascii="Times New Roman" w:hAnsi="Times New Roman"/>
          <w:sz w:val="24"/>
          <w:szCs w:val="24"/>
          <w:highlight w:val="none"/>
        </w:rPr>
        <w:t xml:space="preserve">&gt;</w:t>
      </w:r>
      <w:r>
        <w:rPr>
          <w:rFonts w:ascii="Times New Roman" w:hAnsi="宋体"/>
          <w:sz w:val="24"/>
          <w:szCs w:val="24"/>
          <w:highlight w:val="none"/>
        </w:rPr>
        <w:t xml:space="preserve">的通知》（水建设〔</w:t>
      </w:r>
      <w:r>
        <w:rPr>
          <w:rFonts w:ascii="Times New Roman" w:hAnsi="Times New Roman"/>
          <w:sz w:val="24"/>
          <w:szCs w:val="24"/>
          <w:highlight w:val="none"/>
        </w:rPr>
        <w:t xml:space="preserve">2021</w:t>
      </w:r>
      <w:r>
        <w:rPr>
          <w:rFonts w:ascii="Times New Roman" w:hAnsi="宋体"/>
          <w:sz w:val="24"/>
          <w:szCs w:val="24"/>
          <w:highlight w:val="none"/>
        </w:rPr>
        <w:t xml:space="preserve">〕</w:t>
      </w:r>
      <w:r>
        <w:rPr>
          <w:rFonts w:ascii="Times New Roman" w:hAnsi="Times New Roman"/>
          <w:sz w:val="24"/>
          <w:szCs w:val="24"/>
          <w:highlight w:val="none"/>
        </w:rPr>
        <w:t xml:space="preserve">334</w:t>
      </w:r>
      <w:r>
        <w:rPr>
          <w:rFonts w:ascii="Times New Roman" w:hAnsi="宋体"/>
          <w:sz w:val="24"/>
          <w:szCs w:val="24"/>
          <w:highlight w:val="none"/>
        </w:rPr>
        <w:t xml:space="preserve">号）的规定，通过一级造价工程师考试取得一级造价工程师职业资格并注册的人员、或根据人事部建设部发布的《造价工程师执业资格制度暂行规定》（人发〔</w:t>
      </w:r>
      <w:r>
        <w:rPr>
          <w:rFonts w:ascii="Times New Roman" w:hAnsi="Times New Roman"/>
          <w:sz w:val="24"/>
          <w:szCs w:val="24"/>
          <w:highlight w:val="none"/>
        </w:rPr>
        <w:t xml:space="preserve">1996</w:t>
      </w:r>
      <w:r>
        <w:rPr>
          <w:rFonts w:ascii="Times New Roman" w:hAnsi="宋体"/>
          <w:sz w:val="24"/>
          <w:szCs w:val="24"/>
          <w:highlight w:val="none"/>
        </w:rPr>
        <w:t xml:space="preserve">〕</w:t>
      </w:r>
      <w:r>
        <w:rPr>
          <w:rFonts w:ascii="Times New Roman" w:hAnsi="Times New Roman"/>
          <w:sz w:val="24"/>
          <w:szCs w:val="24"/>
          <w:highlight w:val="none"/>
        </w:rPr>
        <w:t xml:space="preserve">77</w:t>
      </w:r>
      <w:r>
        <w:rPr>
          <w:rFonts w:ascii="Times New Roman" w:hAnsi="宋体"/>
          <w:sz w:val="24"/>
          <w:szCs w:val="24"/>
          <w:highlight w:val="none"/>
        </w:rPr>
        <w:t xml:space="preserve">号）取得造价工程师执业资格证书并注册以及现行的国家关于造价工程师注册的相关规定的人员。</w:t>
      </w:r>
      <w:r/>
    </w:p>
    <w:p>
      <w:pPr>
        <w:ind w:firstLine="480"/>
        <w:spacing w:line="360" w:lineRule="auto"/>
        <w:rPr>
          <w:rFonts w:ascii="Times New Roman" w:hAnsi="Times New Roman"/>
          <w:sz w:val="24"/>
          <w:szCs w:val="24"/>
          <w:highlight w:val="none"/>
        </w:rPr>
      </w:pPr>
      <w:r>
        <w:rPr>
          <w:rFonts w:ascii="Times New Roman" w:hAnsi="宋体"/>
          <w:sz w:val="24"/>
          <w:szCs w:val="24"/>
          <w:highlight w:val="none"/>
        </w:rPr>
        <w:t xml:space="preserve">其他造价从业人员是指按照行业相关规定，在省级范围内有效执业的造价从业人员。（主要包括但不限于通过二级造价工程师考试取得职业资格并注册的，原中级以上造价员，按照《造价工程师职业资格制度规定》第三十条规定取得公路水运工程造价人员资格证书、取得</w:t>
      </w:r>
      <w:r>
        <w:rPr>
          <w:rFonts w:ascii="Times New Roman" w:hAnsi="Times New Roman"/>
          <w:sz w:val="24"/>
          <w:szCs w:val="24"/>
          <w:highlight w:val="none"/>
        </w:rPr>
        <w:t xml:space="preserve">水利工程</w:t>
      </w:r>
      <w:r>
        <w:rPr>
          <w:rFonts w:ascii="Times New Roman" w:hAnsi="宋体"/>
          <w:sz w:val="24"/>
          <w:szCs w:val="24"/>
          <w:highlight w:val="none"/>
        </w:rPr>
        <w:t xml:space="preserve">造价工程师资格证书的，以及具备全国建设工程造价员资格证书并取得中级及以上造价员资格的造价从业人员。）</w:t>
      </w:r>
      <w:r/>
    </w:p>
    <w:p>
      <w:pPr>
        <w:ind w:firstLine="480"/>
        <w:spacing w:line="360" w:lineRule="auto"/>
        <w:rPr>
          <w:rFonts w:ascii="Times New Roman" w:hAnsi="Times New Roman"/>
          <w:sz w:val="24"/>
          <w:szCs w:val="24"/>
          <w:highlight w:val="none"/>
        </w:rPr>
      </w:pPr>
      <w:r>
        <w:rPr>
          <w:rFonts w:hint="eastAsia" w:ascii="Times New Roman" w:hAnsi="宋体"/>
          <w:sz w:val="24"/>
          <w:szCs w:val="24"/>
          <w:highlight w:val="none"/>
          <w:lang w:val="en-US" w:eastAsia="zh-CN"/>
        </w:rPr>
        <w:t xml:space="preserve">成交</w:t>
      </w:r>
      <w:r>
        <w:rPr>
          <w:rFonts w:ascii="Times New Roman" w:hAnsi="宋体"/>
          <w:sz w:val="24"/>
          <w:szCs w:val="24"/>
          <w:highlight w:val="none"/>
        </w:rPr>
        <w:t xml:space="preserve">单位项目拟派人员不得低于承诺的人员数量，且须统一向甲方报备。一级注册造价工程师的证书注册信息、社保、</w:t>
      </w:r>
      <w:r>
        <w:rPr>
          <w:rFonts w:ascii="Times New Roman" w:hAnsi="Times New Roman"/>
          <w:sz w:val="24"/>
          <w:szCs w:val="24"/>
          <w:highlight w:val="none"/>
        </w:rPr>
        <w:t xml:space="preserve">档</w:t>
      </w:r>
      <w:r>
        <w:rPr>
          <w:rFonts w:ascii="Times New Roman" w:hAnsi="宋体"/>
          <w:sz w:val="24"/>
          <w:szCs w:val="24"/>
          <w:highlight w:val="none"/>
        </w:rPr>
        <w:t xml:space="preserve">案均须与</w:t>
      </w:r>
      <w:r>
        <w:rPr>
          <w:rFonts w:hint="eastAsia" w:ascii="Times New Roman" w:hAnsi="宋体"/>
          <w:sz w:val="24"/>
          <w:szCs w:val="24"/>
          <w:highlight w:val="none"/>
          <w:lang w:val="en-US" w:eastAsia="zh-CN"/>
        </w:rPr>
        <w:t xml:space="preserve">响应</w:t>
      </w:r>
      <w:r>
        <w:rPr>
          <w:rFonts w:ascii="Times New Roman" w:hAnsi="宋体"/>
          <w:sz w:val="24"/>
          <w:szCs w:val="24"/>
          <w:highlight w:val="none"/>
        </w:rPr>
        <w:t xml:space="preserve">文件中提供的一致，其他造价从业人员的社保、档案均须与投标文件中提供的一致（因考虑到健康、工作效率问题，本项目不接受退休人员从事造价服务）。拟派人员在整个服务期内应保持稳定，如因离职、退休等情况导致人员变动，协审单位应按以上要求统一报备、及时变更，但实际投入的一级注册造价工程师、其他造价从业人员不得低于承诺的人员数量。</w:t>
      </w:r>
      <w:r/>
    </w:p>
    <w:p>
      <w:pPr>
        <w:ind w:firstLine="480"/>
        <w:spacing w:line="360" w:lineRule="auto"/>
        <w:rPr>
          <w:rFonts w:ascii="Times New Roman" w:hAnsi="Times New Roman"/>
          <w:sz w:val="24"/>
          <w:szCs w:val="24"/>
          <w:highlight w:val="none"/>
        </w:rPr>
      </w:pPr>
      <w:r>
        <w:rPr>
          <w:rFonts w:ascii="Times New Roman" w:hAnsi="宋体"/>
          <w:sz w:val="24"/>
          <w:szCs w:val="24"/>
          <w:highlight w:val="none"/>
        </w:rPr>
        <w:t xml:space="preserve">如</w:t>
      </w:r>
      <w:r>
        <w:rPr>
          <w:rFonts w:hint="eastAsia" w:ascii="Times New Roman" w:hAnsi="宋体"/>
          <w:sz w:val="24"/>
          <w:szCs w:val="24"/>
          <w:highlight w:val="none"/>
          <w:lang w:val="en-US" w:eastAsia="zh-CN"/>
        </w:rPr>
        <w:t xml:space="preserve">成交</w:t>
      </w:r>
      <w:r>
        <w:rPr>
          <w:rFonts w:ascii="Times New Roman" w:hAnsi="宋体"/>
          <w:sz w:val="24"/>
          <w:szCs w:val="24"/>
          <w:highlight w:val="none"/>
        </w:rPr>
        <w:t xml:space="preserve">单位实际投入的协审人员不满足承诺的数量、备案、考勤等要求，苏州市相城区黄埭镇人民政府（苏州市相城区黄埭镇财政和资产监督</w:t>
      </w:r>
      <w:r>
        <w:rPr>
          <w:rFonts w:hint="eastAsia" w:ascii="Times New Roman" w:hAnsi="宋体"/>
          <w:sz w:val="24"/>
          <w:szCs w:val="24"/>
          <w:highlight w:val="none"/>
          <w:lang w:eastAsia="zh-CN"/>
        </w:rPr>
        <w:t xml:space="preserve">管理办公室</w:t>
      </w:r>
      <w:r>
        <w:rPr>
          <w:rFonts w:ascii="Times New Roman" w:hAnsi="宋体"/>
          <w:sz w:val="24"/>
          <w:szCs w:val="24"/>
          <w:highlight w:val="none"/>
        </w:rPr>
        <w:t xml:space="preserve">）有权按照本招标文件的相关约定进行惩处。情节严重的，苏州市相城区黄埭镇人民政府（苏州市相城区黄埭镇财政和资产监督</w:t>
      </w:r>
      <w:r>
        <w:rPr>
          <w:rFonts w:hint="eastAsia" w:ascii="Times New Roman" w:hAnsi="宋体"/>
          <w:sz w:val="24"/>
          <w:szCs w:val="24"/>
          <w:highlight w:val="none"/>
          <w:lang w:eastAsia="zh-CN"/>
        </w:rPr>
        <w:t xml:space="preserve">管理办公室</w:t>
      </w:r>
      <w:r>
        <w:rPr>
          <w:rFonts w:ascii="Times New Roman" w:hAnsi="宋体"/>
          <w:sz w:val="24"/>
          <w:szCs w:val="24"/>
          <w:highlight w:val="none"/>
        </w:rPr>
        <w:t xml:space="preserve">）有权终止协审服务合同，并通报行业主管部门或其他相关部门进行处理，建议将其作为行业及政府采购管理和信用评价的依据</w:t>
      </w:r>
      <w:r>
        <w:rPr>
          <w:rFonts w:ascii="Times New Roman" w:hAnsi="Times New Roman"/>
          <w:sz w:val="24"/>
          <w:szCs w:val="24"/>
          <w:highlight w:val="none"/>
        </w:rPr>
        <w:t xml:space="preserve">之一</w:t>
      </w:r>
      <w:r>
        <w:rPr>
          <w:rFonts w:ascii="Times New Roman" w:hAnsi="宋体"/>
          <w:sz w:val="24"/>
          <w:szCs w:val="24"/>
          <w:highlight w:val="none"/>
        </w:rPr>
        <w:t xml:space="preserve">。</w:t>
      </w:r>
      <w:r/>
    </w:p>
    <w:p>
      <w:pPr>
        <w:ind w:firstLine="482"/>
        <w:spacing w:line="360" w:lineRule="auto"/>
        <w:rPr>
          <w:rFonts w:ascii="Times New Roman" w:hAnsi="Times New Roman"/>
          <w:b/>
          <w:sz w:val="24"/>
          <w:szCs w:val="24"/>
          <w:highlight w:val="none"/>
        </w:rPr>
      </w:pPr>
      <w:r>
        <w:rPr>
          <w:rFonts w:ascii="Times New Roman" w:hAnsi="Times New Roman"/>
          <w:b/>
          <w:sz w:val="24"/>
          <w:szCs w:val="24"/>
          <w:highlight w:val="none"/>
        </w:rPr>
        <w:t xml:space="preserve">6</w:t>
      </w:r>
      <w:r>
        <w:rPr>
          <w:rFonts w:hint="eastAsia" w:ascii="Times New Roman" w:hAnsi="宋体"/>
          <w:b/>
          <w:sz w:val="24"/>
          <w:szCs w:val="24"/>
          <w:highlight w:val="none"/>
        </w:rPr>
        <w:t xml:space="preserve">.</w:t>
      </w:r>
      <w:r>
        <w:rPr>
          <w:rFonts w:ascii="Times New Roman" w:hAnsi="宋体"/>
          <w:b/>
          <w:sz w:val="24"/>
          <w:szCs w:val="24"/>
          <w:highlight w:val="none"/>
        </w:rPr>
        <w:t xml:space="preserve">违约责任</w:t>
      </w:r>
      <w:r/>
    </w:p>
    <w:p>
      <w:pPr>
        <w:ind w:firstLine="480"/>
        <w:spacing w:line="360" w:lineRule="auto"/>
        <w:rPr>
          <w:rFonts w:ascii="Times New Roman" w:hAnsi="Times New Roman"/>
          <w:sz w:val="24"/>
          <w:szCs w:val="24"/>
          <w:highlight w:val="none"/>
        </w:rPr>
      </w:pPr>
      <w:r>
        <w:rPr>
          <w:rFonts w:ascii="Times New Roman" w:hAnsi="宋体"/>
          <w:sz w:val="24"/>
          <w:szCs w:val="24"/>
          <w:highlight w:val="none"/>
        </w:rPr>
        <w:t xml:space="preserve">协审单位应履行协审工作责任并接受苏州市相城区黄埭镇人民政府（苏州市相城区黄埭镇财政和资产监督</w:t>
      </w:r>
      <w:r>
        <w:rPr>
          <w:rFonts w:hint="eastAsia" w:ascii="Times New Roman" w:hAnsi="宋体"/>
          <w:sz w:val="24"/>
          <w:szCs w:val="24"/>
          <w:highlight w:val="none"/>
          <w:lang w:eastAsia="zh-CN"/>
        </w:rPr>
        <w:t xml:space="preserve">管理办公室</w:t>
      </w:r>
      <w:r>
        <w:rPr>
          <w:rFonts w:ascii="Times New Roman" w:hAnsi="宋体"/>
          <w:sz w:val="24"/>
          <w:szCs w:val="24"/>
          <w:highlight w:val="none"/>
        </w:rPr>
        <w:t xml:space="preserve">）的业务指导。协审工作应符合相关法律法规和规范要求，并满足委托单位的工作要求、协审工作规范和协审工作流程。协审单位未履行协审工作责任、违反本</w:t>
      </w:r>
      <w:r>
        <w:rPr>
          <w:rFonts w:hint="eastAsia" w:ascii="Times New Roman" w:hAnsi="宋体"/>
          <w:sz w:val="24"/>
          <w:szCs w:val="24"/>
          <w:highlight w:val="none"/>
          <w:lang w:val="en-US" w:eastAsia="zh-CN"/>
        </w:rPr>
        <w:t xml:space="preserve">采购</w:t>
      </w:r>
      <w:r>
        <w:rPr>
          <w:rFonts w:ascii="Times New Roman" w:hAnsi="宋体"/>
          <w:sz w:val="24"/>
          <w:szCs w:val="24"/>
          <w:highlight w:val="none"/>
        </w:rPr>
        <w:t xml:space="preserve">文件及协审服务合同约定，或在工作要求、工作效率和工作质量上出现差错，苏州市相城区黄埭镇人民政府（苏州市相城区黄埭镇财政和资产监督</w:t>
      </w:r>
      <w:r>
        <w:rPr>
          <w:rFonts w:hint="eastAsia" w:ascii="Times New Roman" w:hAnsi="宋体"/>
          <w:sz w:val="24"/>
          <w:szCs w:val="24"/>
          <w:highlight w:val="none"/>
          <w:lang w:eastAsia="zh-CN"/>
        </w:rPr>
        <w:t xml:space="preserve">管理办公室</w:t>
      </w:r>
      <w:r>
        <w:rPr>
          <w:rFonts w:ascii="Times New Roman" w:hAnsi="宋体"/>
          <w:sz w:val="24"/>
          <w:szCs w:val="24"/>
          <w:highlight w:val="none"/>
        </w:rPr>
        <w:t xml:space="preserve">）有权视情况采取相应措施进行惩处，情节严重者终止协审服务合同，并通报政府采购及相关行业主管部门，建议将其作为行业及政府采购管理和信用评价的依据之一。</w:t>
      </w:r>
      <w:r/>
    </w:p>
    <w:p>
      <w:pPr>
        <w:ind w:firstLine="480"/>
        <w:spacing w:line="360" w:lineRule="auto"/>
        <w:rPr>
          <w:rFonts w:ascii="Times New Roman" w:hAnsi="Times New Roman"/>
          <w:sz w:val="24"/>
          <w:szCs w:val="24"/>
          <w:highlight w:val="none"/>
        </w:rPr>
      </w:pPr>
      <w:r>
        <w:rPr>
          <w:rFonts w:ascii="Times New Roman" w:hAnsi="宋体"/>
          <w:sz w:val="24"/>
          <w:szCs w:val="24"/>
          <w:highlight w:val="none"/>
        </w:rPr>
        <w:t xml:space="preserve">协审单位被解除协审服务合同的，自</w:t>
      </w:r>
      <w:r>
        <w:rPr>
          <w:rFonts w:ascii="Times New Roman" w:hAnsi="Times New Roman"/>
          <w:sz w:val="24"/>
          <w:szCs w:val="24"/>
          <w:highlight w:val="none"/>
        </w:rPr>
        <w:t xml:space="preserve">合同</w:t>
      </w:r>
      <w:r>
        <w:rPr>
          <w:rFonts w:ascii="Times New Roman" w:hAnsi="宋体"/>
          <w:sz w:val="24"/>
          <w:szCs w:val="24"/>
          <w:highlight w:val="none"/>
        </w:rPr>
        <w:t xml:space="preserve">解除之日起，</w:t>
      </w:r>
      <w:r>
        <w:rPr>
          <w:rFonts w:hint="eastAsia" w:ascii="Times New Roman" w:hAnsi="宋体"/>
          <w:sz w:val="24"/>
          <w:szCs w:val="24"/>
          <w:highlight w:val="none"/>
          <w:lang w:val="en-US" w:eastAsia="zh-CN"/>
        </w:rPr>
        <w:t xml:space="preserve">成交</w:t>
      </w:r>
      <w:r>
        <w:rPr>
          <w:rFonts w:ascii="Times New Roman" w:hAnsi="宋体"/>
          <w:sz w:val="24"/>
          <w:szCs w:val="24"/>
          <w:highlight w:val="none"/>
        </w:rPr>
        <w:t xml:space="preserve">标段中未开始协审的项目全部取消协审，协审项目另行安排；已开始协审的项目应在合同解除后二个月内完成协审工作，如二个月内无法完</w:t>
      </w:r>
      <w:r>
        <w:rPr>
          <w:rFonts w:ascii="Times New Roman" w:hAnsi="Times New Roman"/>
          <w:sz w:val="24"/>
          <w:szCs w:val="24"/>
          <w:highlight w:val="none"/>
        </w:rPr>
        <w:t xml:space="preserve">成</w:t>
      </w:r>
      <w:r>
        <w:rPr>
          <w:rFonts w:ascii="Times New Roman" w:hAnsi="宋体"/>
          <w:sz w:val="24"/>
          <w:szCs w:val="24"/>
          <w:highlight w:val="none"/>
        </w:rPr>
        <w:t xml:space="preserve">的，将取消协审，协审项目另行安排。被取消协审的协审项目，协审费用不予计取。</w:t>
      </w:r>
      <w:r/>
    </w:p>
    <w:p>
      <w:pPr>
        <w:ind w:firstLine="482"/>
        <w:spacing w:line="360" w:lineRule="auto"/>
        <w:rPr>
          <w:rFonts w:ascii="Times New Roman" w:hAnsi="Times New Roman"/>
          <w:b/>
          <w:sz w:val="24"/>
          <w:szCs w:val="24"/>
          <w:highlight w:val="none"/>
        </w:rPr>
      </w:pPr>
      <w:r>
        <w:rPr>
          <w:rFonts w:ascii="Times New Roman" w:hAnsi="Times New Roman"/>
          <w:b/>
          <w:sz w:val="24"/>
          <w:szCs w:val="24"/>
          <w:highlight w:val="none"/>
        </w:rPr>
        <w:t xml:space="preserve">7</w:t>
      </w:r>
      <w:r>
        <w:rPr>
          <w:rFonts w:hint="eastAsia" w:ascii="Times New Roman" w:hAnsi="宋体"/>
          <w:b/>
          <w:sz w:val="24"/>
          <w:szCs w:val="24"/>
          <w:highlight w:val="none"/>
        </w:rPr>
        <w:t xml:space="preserve">.</w:t>
      </w:r>
      <w:r>
        <w:rPr>
          <w:rFonts w:hint="eastAsia" w:ascii="Times New Roman" w:hAnsi="宋体"/>
          <w:b/>
          <w:sz w:val="24"/>
          <w:szCs w:val="24"/>
          <w:highlight w:val="none"/>
          <w:lang w:val="en-US" w:eastAsia="zh-CN"/>
        </w:rPr>
        <w:t xml:space="preserve">采购</w:t>
      </w:r>
      <w:r>
        <w:rPr>
          <w:rFonts w:ascii="Times New Roman" w:hAnsi="宋体"/>
          <w:b/>
          <w:sz w:val="24"/>
          <w:szCs w:val="24"/>
          <w:highlight w:val="none"/>
        </w:rPr>
        <w:t xml:space="preserve">文件相关附表</w:t>
      </w:r>
      <w:r/>
    </w:p>
    <w:p>
      <w:pPr>
        <w:ind w:firstLine="480"/>
        <w:spacing w:line="360" w:lineRule="auto"/>
        <w:rPr>
          <w:rFonts w:ascii="Times New Roman" w:hAnsi="Times New Roman"/>
          <w:sz w:val="24"/>
          <w:szCs w:val="24"/>
          <w:highlight w:val="none"/>
        </w:rPr>
      </w:pPr>
      <w:r>
        <w:rPr>
          <w:rFonts w:hint="eastAsia" w:ascii="Times New Roman" w:hAnsi="宋体"/>
          <w:sz w:val="24"/>
          <w:szCs w:val="24"/>
          <w:highlight w:val="none"/>
          <w:lang w:val="en-US" w:eastAsia="zh-CN"/>
        </w:rPr>
        <w:t xml:space="preserve">采购</w:t>
      </w:r>
      <w:r>
        <w:rPr>
          <w:rFonts w:ascii="Times New Roman" w:hAnsi="宋体"/>
          <w:sz w:val="24"/>
          <w:szCs w:val="24"/>
          <w:highlight w:val="none"/>
        </w:rPr>
        <w:t xml:space="preserve">文件附件一：</w:t>
      </w:r>
      <w:r>
        <w:rPr>
          <w:rFonts w:ascii="Times New Roman" w:hAnsi="Times New Roman"/>
          <w:sz w:val="24"/>
          <w:szCs w:val="24"/>
          <w:highlight w:val="none"/>
        </w:rPr>
        <w:t xml:space="preserve">《苏州市相城区黄埭镇人民政府（苏州市相城区黄埭镇财政和资产监督</w:t>
      </w:r>
      <w:r>
        <w:rPr>
          <w:rFonts w:hint="eastAsia" w:ascii="Times New Roman" w:hAnsi="Times New Roman"/>
          <w:sz w:val="24"/>
          <w:szCs w:val="24"/>
          <w:highlight w:val="none"/>
          <w:lang w:eastAsia="zh-CN"/>
        </w:rPr>
        <w:t xml:space="preserve">管理办公室</w:t>
      </w:r>
      <w:r>
        <w:rPr>
          <w:rFonts w:ascii="Times New Roman" w:hAnsi="Times New Roman"/>
          <w:sz w:val="24"/>
          <w:szCs w:val="24"/>
          <w:highlight w:val="none"/>
        </w:rPr>
        <w:t xml:space="preserve">）关于政府及国有（集体）投资工程审计工作操作规程》</w:t>
      </w:r>
      <w:r>
        <w:rPr>
          <w:rFonts w:ascii="Times New Roman" w:hAnsi="宋体"/>
          <w:sz w:val="24"/>
          <w:szCs w:val="24"/>
          <w:highlight w:val="none"/>
        </w:rPr>
        <w:t xml:space="preserve">；</w:t>
      </w:r>
      <w:r/>
    </w:p>
    <w:p>
      <w:pPr>
        <w:ind w:firstLine="480"/>
        <w:spacing w:line="360" w:lineRule="auto"/>
        <w:rPr>
          <w:rFonts w:ascii="Times New Roman" w:hAnsi="Times New Roman"/>
          <w:sz w:val="24"/>
          <w:szCs w:val="24"/>
          <w:highlight w:val="none"/>
        </w:rPr>
      </w:pPr>
      <w:r>
        <w:rPr>
          <w:rFonts w:hint="eastAsia" w:ascii="Times New Roman" w:hAnsi="宋体"/>
          <w:sz w:val="24"/>
          <w:szCs w:val="24"/>
          <w:highlight w:val="none"/>
          <w:lang w:val="en-US" w:eastAsia="zh-CN"/>
        </w:rPr>
        <w:t xml:space="preserve">采购</w:t>
      </w:r>
      <w:r>
        <w:rPr>
          <w:rFonts w:ascii="Times New Roman" w:hAnsi="宋体"/>
          <w:sz w:val="24"/>
          <w:szCs w:val="24"/>
          <w:highlight w:val="none"/>
        </w:rPr>
        <w:t xml:space="preserve">文件附件二：</w:t>
      </w:r>
      <w:r>
        <w:rPr>
          <w:rFonts w:ascii="Times New Roman" w:hAnsi="Times New Roman"/>
          <w:sz w:val="24"/>
          <w:szCs w:val="24"/>
          <w:highlight w:val="none"/>
        </w:rPr>
        <w:t xml:space="preserve">《苏州市相城区黄埭镇人民政府（苏州市相城区黄埭镇财政和资产监督</w:t>
      </w:r>
      <w:r>
        <w:rPr>
          <w:rFonts w:hint="eastAsia" w:ascii="Times New Roman" w:hAnsi="Times New Roman"/>
          <w:sz w:val="24"/>
          <w:szCs w:val="24"/>
          <w:highlight w:val="none"/>
          <w:lang w:eastAsia="zh-CN"/>
        </w:rPr>
        <w:t xml:space="preserve">管理办公室</w:t>
      </w:r>
      <w:r>
        <w:rPr>
          <w:rFonts w:ascii="Times New Roman" w:hAnsi="Times New Roman"/>
          <w:sz w:val="24"/>
          <w:szCs w:val="24"/>
          <w:highlight w:val="none"/>
        </w:rPr>
        <w:t xml:space="preserve">）关于社会审计机构参与政府及国有（集体）投资工程审计工作的考核和结算办法》</w:t>
      </w:r>
      <w:r/>
    </w:p>
    <w:p>
      <w:pPr>
        <w:ind w:firstLine="480"/>
        <w:spacing w:line="360" w:lineRule="auto"/>
        <w:rPr>
          <w:rFonts w:hint="eastAsia" w:ascii="宋体" w:hAnsi="宋体"/>
          <w:color w:val="auto"/>
          <w:sz w:val="24"/>
          <w:highlight w:val="none"/>
          <w:lang w:val="en-US" w:eastAsia="zh-CN"/>
        </w:rPr>
      </w:pPr>
      <w:r>
        <w:rPr>
          <w:rFonts w:hint="eastAsia" w:ascii="Times New Roman" w:hAnsi="宋体"/>
          <w:sz w:val="24"/>
          <w:szCs w:val="24"/>
          <w:highlight w:val="none"/>
          <w:lang w:val="en-US" w:eastAsia="zh-CN"/>
        </w:rPr>
        <w:t xml:space="preserve">采购</w:t>
      </w:r>
      <w:r>
        <w:rPr>
          <w:rFonts w:ascii="Times New Roman" w:hAnsi="宋体"/>
          <w:sz w:val="24"/>
          <w:szCs w:val="24"/>
          <w:highlight w:val="none"/>
        </w:rPr>
        <w:t xml:space="preserve">文件附件三：各标段协审</w:t>
      </w:r>
      <w:r>
        <w:rPr>
          <w:rFonts w:ascii="Times New Roman" w:hAnsi="Times New Roman"/>
          <w:sz w:val="24"/>
          <w:szCs w:val="24"/>
          <w:highlight w:val="none"/>
        </w:rPr>
        <w:t xml:space="preserve">项目</w:t>
      </w:r>
      <w:r>
        <w:rPr>
          <w:rFonts w:ascii="Times New Roman" w:hAnsi="宋体"/>
          <w:sz w:val="24"/>
          <w:szCs w:val="24"/>
          <w:highlight w:val="none"/>
        </w:rPr>
        <w:t xml:space="preserve">清单</w:t>
      </w:r>
      <w:r/>
    </w:p>
    <w:p>
      <w:pPr>
        <w:spacing w:line="360" w:lineRule="auto"/>
        <w:rPr>
          <w:color w:val="auto"/>
          <w:sz w:val="24"/>
          <w:highlight w:val="none"/>
        </w:rPr>
      </w:pPr>
      <w:r>
        <w:rPr>
          <w:rFonts w:hint="eastAsia" w:ascii="宋体" w:hAnsi="宋体"/>
          <w:color w:val="auto"/>
          <w:sz w:val="24"/>
          <w:highlight w:val="none"/>
          <w:lang w:val="en-US" w:eastAsia="zh-CN"/>
        </w:rPr>
        <w:t xml:space="preserve">三、</w:t>
      </w:r>
      <w:r>
        <w:rPr>
          <w:rFonts w:hint="eastAsia"/>
          <w:color w:val="auto"/>
          <w:sz w:val="24"/>
          <w:highlight w:val="none"/>
        </w:rPr>
        <w:t xml:space="preserve">综合说明</w:t>
      </w:r>
      <w:r/>
    </w:p>
    <w:p>
      <w:pPr>
        <w:ind w:firstLine="480"/>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1、响应单位所提供的相关货物或服务应符合国家有关标准和规范，遵循招标文件的要求，并提供详细说明。</w:t>
      </w:r>
      <w:r/>
    </w:p>
    <w:p>
      <w:pPr>
        <w:ind w:firstLine="480"/>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2、供应商提供的技术资料必须真实、准确，如提供的参数虚假或对招标文件所要求说明的情况故意隐瞒或虚报，按《中华人民共和国政府采购法》第七十七条的相关办法处理。</w:t>
      </w:r>
      <w:r/>
    </w:p>
    <w:p>
      <w:pPr>
        <w:ind w:firstLine="480"/>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采购文件提出的是最低限度的要求，并未对一切细节作出规定，也未充分引述全部有关标准和规范的条文，投标单位提供的所有响应内容都应符合已颁布的现行中华人民共和国认可的（部颁、行业）标准和国际标准化组织以及等效或更优的其他国家的权威性标准和规范的有关条文。如果这些标准内容有矛盾时，应按最高标准的条款执行。</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4、响应单位必须说明其是否响应招标文件中提出的全部服务内容与要求，如果以其中某些条款不响应时，应在文件中逐条列出，未列出的视同响应。</w:t>
      </w:r>
      <w:bookmarkEnd w:id="43"/>
      <w:r/>
      <w:r/>
    </w:p>
    <w:p>
      <w:pPr>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政府采购政策</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1、绿色采购：</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根据《关于调整优化节能产品、环境标志产品政府采购执行机制的通知》（财库〔2019〕9号）等相关文件的规定，</w:t>
      </w:r>
      <w:r>
        <w:rPr>
          <w:rFonts w:hint="eastAsia" w:ascii="宋体" w:hAnsi="宋体" w:eastAsia="宋体" w:cs="宋体"/>
          <w:b/>
          <w:bCs/>
          <w:color w:val="auto"/>
          <w:sz w:val="24"/>
          <w:highlight w:val="none"/>
        </w:rPr>
        <w:t xml:space="preserve">对属于《节能产品政府采购品目清单》中强制采购范围内产品的，供应商须提供</w:t>
      </w:r>
      <w:r>
        <w:rPr>
          <w:rFonts w:hint="eastAsia" w:ascii="宋体" w:hAnsi="宋体" w:cs="宋体"/>
          <w:b/>
          <w:bCs/>
          <w:color w:val="auto"/>
          <w:sz w:val="24"/>
          <w:highlight w:val="none"/>
          <w:lang w:val="en-US" w:eastAsia="zh-CN"/>
        </w:rPr>
        <w:t xml:space="preserve">该产品</w:t>
      </w:r>
      <w:r>
        <w:rPr>
          <w:rFonts w:hint="eastAsia" w:ascii="宋体" w:hAnsi="宋体" w:eastAsia="宋体" w:cs="宋体"/>
          <w:b/>
          <w:bCs/>
          <w:color w:val="auto"/>
          <w:sz w:val="24"/>
          <w:highlight w:val="none"/>
        </w:rPr>
        <w:t xml:space="preserve">有效期之内的节能产品认证证书，</w:t>
      </w:r>
      <w:r>
        <w:rPr>
          <w:rFonts w:hint="eastAsia" w:ascii="宋体" w:hAnsi="宋体" w:cs="宋体"/>
          <w:b/>
          <w:bCs/>
          <w:color w:val="auto"/>
          <w:sz w:val="24"/>
          <w:highlight w:val="none"/>
          <w:lang w:val="en-US" w:eastAsia="zh-CN"/>
        </w:rPr>
        <w:t xml:space="preserve">未提供的</w:t>
      </w:r>
      <w:r>
        <w:rPr>
          <w:rFonts w:hint="eastAsia" w:ascii="宋体" w:hAnsi="宋体" w:eastAsia="宋体" w:cs="宋体"/>
          <w:b/>
          <w:bCs/>
          <w:color w:val="auto"/>
          <w:sz w:val="24"/>
          <w:highlight w:val="none"/>
        </w:rPr>
        <w:t xml:space="preserve">视为未实质性响应</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上述品目清单可通过“中国政府采购网”（http://www.ccgp.gov.cn）查询</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中小微企业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根据《关于促进残疾人就业政府采购政策的通知》（财库〔2017〕141号）、《关于政府采购支持监狱企业发展有关问题的通知》（财库〔2014〕68号）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《政府采购促进中小企业发展管理办法》（财库〔2020〕46号）、《关于印发&lt;苏州市政府采购促进中小企业发展实施意见&gt;的通知》（苏财购〔2022〕16号）</w:t>
      </w:r>
      <w:r>
        <w:rPr>
          <w:rFonts w:hint="eastAsia" w:ascii="宋体" w:hAnsi="宋体" w:cs="宋体"/>
          <w:color w:val="auto"/>
          <w:sz w:val="24"/>
          <w:highlight w:val="none"/>
          <w:lang w:eastAsia="zh-CN"/>
        </w:rPr>
        <w:t xml:space="preserve">、《财政部关于进一步加大政府采购支持中小企业力度的通知》（财库〔2022〕19号）等文件</w:t>
      </w:r>
      <w:r>
        <w:rPr>
          <w:rFonts w:hint="eastAsia" w:ascii="宋体" w:hAnsi="宋体" w:eastAsia="宋体" w:cs="宋体"/>
          <w:color w:val="auto"/>
          <w:sz w:val="24"/>
          <w:highlight w:val="none"/>
        </w:rPr>
        <w:t xml:space="preserve">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w:t>
      </w:r>
      <w:r>
        <w:rPr>
          <w:rFonts w:hint="eastAsia" w:ascii="宋体" w:hAnsi="宋体" w:cs="宋体"/>
          <w:color w:val="auto"/>
          <w:sz w:val="24"/>
          <w:highlight w:val="none"/>
          <w:lang w:val="en-US" w:eastAsia="zh-CN"/>
        </w:rPr>
        <w:t xml:space="preserve">货物类政府</w:t>
      </w:r>
      <w:r>
        <w:rPr>
          <w:rFonts w:hint="eastAsia" w:ascii="宋体" w:hAnsi="宋体" w:eastAsia="宋体" w:cs="宋体"/>
          <w:color w:val="auto"/>
          <w:sz w:val="24"/>
          <w:highlight w:val="none"/>
        </w:rPr>
        <w:t xml:space="preserve">采购活动中，供应商提供的货物符合下列情形的，享受《政府采购促进中小企业发展管理办法》规定的中小企业扶持政策：在货物采购项目中，货物由中小企业制造，即货物由中小企业生产且使用该中小企业商号或者注册商标。其中，供应商提供的货物既有中小企业制造货物，也有大型企业制造货物的，不享受中小企业扶持政策。</w:t>
      </w:r>
      <w:r/>
    </w:p>
    <w:p>
      <w:pPr>
        <w:ind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在</w:t>
      </w:r>
      <w:r>
        <w:rPr>
          <w:rFonts w:hint="eastAsia" w:ascii="宋体" w:hAnsi="宋体" w:cs="宋体"/>
          <w:b w:val="0"/>
          <w:bCs w:val="0"/>
          <w:color w:val="auto"/>
          <w:sz w:val="24"/>
          <w:highlight w:val="none"/>
          <w:lang w:val="en-US" w:eastAsia="zh-CN"/>
        </w:rPr>
        <w:t xml:space="preserve">服务类</w:t>
      </w:r>
      <w:r>
        <w:rPr>
          <w:rFonts w:hint="eastAsia" w:ascii="宋体" w:hAnsi="宋体" w:eastAsia="宋体" w:cs="宋体"/>
          <w:b w:val="0"/>
          <w:bCs w:val="0"/>
          <w:color w:val="auto"/>
          <w:sz w:val="24"/>
          <w:highlight w:val="none"/>
        </w:rPr>
        <w:t xml:space="preserve">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 w:val="24"/>
          <w:highlight w:val="none"/>
          <w:lang w:val="en-US" w:eastAsia="zh-CN"/>
        </w:rPr>
        <w:t xml:space="preserve">租赁和商务服务业</w:t>
      </w:r>
      <w:r>
        <w:rPr>
          <w:rFonts w:hint="eastAsia" w:ascii="宋体" w:hAnsi="宋体" w:eastAsia="宋体" w:cs="宋体"/>
          <w:b/>
          <w:bCs/>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残疾人福利性单位</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监狱企业</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cs="宋体"/>
          <w:color w:val="auto"/>
          <w:sz w:val="24"/>
          <w:highlight w:val="none"/>
          <w:lang w:eastAsia="zh-CN"/>
        </w:rPr>
        <w:t xml:space="preserve">，未</w:t>
      </w:r>
      <w:r>
        <w:rPr>
          <w:rFonts w:hint="eastAsia" w:ascii="宋体" w:hAnsi="宋体" w:cs="宋体"/>
          <w:color w:val="auto"/>
          <w:sz w:val="24"/>
          <w:highlight w:val="none"/>
          <w:lang w:val="en-US" w:eastAsia="zh-CN"/>
        </w:rPr>
        <w:t xml:space="preserve">提供</w:t>
      </w:r>
      <w:r>
        <w:rPr>
          <w:rFonts w:hint="eastAsia" w:ascii="宋体" w:hAnsi="宋体" w:cs="宋体"/>
          <w:color w:val="auto"/>
          <w:sz w:val="24"/>
          <w:highlight w:val="none"/>
          <w:lang w:eastAsia="zh-CN"/>
        </w:rPr>
        <w:t xml:space="preserve">则不享受相关政策。</w:t>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1、关于对参与供应商信用记录的政府采购要求：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1.1采购代理机构会在接收响应文件截止时间后，在信用中国（www.creditchina.gov.cn）网站输入供应商全称或统一社会信用代码查询信用记录，并将查询结果递交评审小组。</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（一）政府采购严重违法记录，即供应商被全国各级财政部门列入“政府采购严重违法失信行为记录名单”，且在处罚有效期内的。</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（二）财政部门与法院、工商、税务等部门联合惩戒的失信信息，包括：</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1）被列入失信被执行人名单；</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2）被列入重大税收违法案件当事人名单；</w:t>
      </w:r>
      <w:r/>
    </w:p>
    <w:p>
      <w:pPr>
        <w:ind w:right="0"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p>
    <w:p>
      <w:pPr>
        <w:ind w:right="0"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rPr>
        <w:t xml:space="preserve">接受联合体的项目，两个以上的自然人、法人或者其他组织组成一个联合体，以一个供应商的身份共同参加政府采购活动的，应当对所有联合体成员进行信用记录查询，联合体成员其中一名成员存在失信信息的，视同联合体存在失信信息。</w:t>
      </w:r>
      <w:r/>
    </w:p>
    <w:p>
      <w:pPr>
        <w:ind w:right="0" w:firstLine="480"/>
        <w:keepLines w:val="0"/>
        <w:keepNext w:val="0"/>
        <w:pageBreakBefore w:val="0"/>
        <w:spacing w:line="360" w:lineRule="auto"/>
        <w:rPr>
          <w:rFonts w:hint="eastAsia" w:ascii="宋体" w:hAnsi="宋体" w:eastAsia="宋体" w:cs="宋体"/>
          <w:bCs/>
          <w:color w:val="auto"/>
          <w:sz w:val="24"/>
          <w:highlight w:val="none"/>
        </w:rPr>
        <w:outlineLvl w:val="9"/>
      </w:pP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对存在失信信息的供应商，由失信供应商进行确认。同时，采购代理机构工作人员应根据评审小组确认的失信信息，登陆到相关来源网站页面进行复核并打印，作为证据留存。</w:t>
      </w:r>
      <w:r/>
    </w:p>
    <w:p>
      <w:pPr>
        <w:pStyle w:val="972"/>
        <w:ind w:right="0"/>
        <w:keepLines w:val="0"/>
        <w:keepNext w:val="0"/>
        <w:pageBreakBefore w:val="0"/>
        <w:spacing w:line="360" w:lineRule="auto"/>
        <w:tabs>
          <w:tab w:val="left" w:pos="9000" w:leader="none"/>
        </w:tabs>
        <w:rPr>
          <w:rFonts w:hint="eastAsia" w:ascii="宋体" w:hAnsi="宋体" w:eastAsia="宋体" w:cs="宋体"/>
          <w:color w:val="auto"/>
          <w:sz w:val="24"/>
          <w:szCs w:val="24"/>
          <w:highlight w:val="none"/>
        </w:rPr>
        <w:outlineLvl w:val="9"/>
      </w:pPr>
      <w:r>
        <w:rPr>
          <w:rFonts w:hint="eastAsia"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、凡涉及采购文件的补充说明和修改，均以</w:t>
      </w:r>
      <w:r>
        <w:rPr>
          <w:rFonts w:hint="eastAsia" w:ascii="宋体" w:hAnsi="宋体" w:eastAsia="宋体" w:cs="宋体"/>
          <w:bCs/>
          <w:color w:val="auto"/>
          <w:sz w:val="24"/>
          <w:highlight w:val="none"/>
        </w:rPr>
        <w:t xml:space="preserve">中国政府采购网中央主网、江苏政府采购网、苏州</w:t>
      </w:r>
      <w:r>
        <w:rPr>
          <w:rFonts w:hint="eastAsia" w:hAnsi="宋体" w:eastAsia="宋体" w:cs="宋体"/>
          <w:bCs/>
          <w:color w:val="auto"/>
          <w:sz w:val="24"/>
          <w:highlight w:val="none"/>
          <w:lang w:val="en-US" w:eastAsia="zh-CN"/>
        </w:rPr>
        <w:t xml:space="preserve">市</w:t>
      </w:r>
      <w:r>
        <w:rPr>
          <w:rFonts w:hint="eastAsia" w:ascii="宋体" w:hAnsi="宋体" w:eastAsia="宋体" w:cs="宋体"/>
          <w:bCs/>
          <w:color w:val="auto"/>
          <w:sz w:val="24"/>
          <w:highlight w:val="none"/>
        </w:rPr>
        <w:t xml:space="preserve">政府采购网</w:t>
      </w:r>
      <w:r>
        <w:rPr>
          <w:rFonts w:hint="eastAsia" w:ascii="宋体" w:hAnsi="宋体" w:eastAsia="宋体" w:cs="宋体"/>
          <w:color w:val="auto"/>
          <w:sz w:val="24"/>
          <w:szCs w:val="24"/>
          <w:highlight w:val="none"/>
        </w:rPr>
        <w:t xml:space="preserve">发布的文件为准。</w:t>
      </w:r>
      <w:r/>
    </w:p>
    <w:p>
      <w:pPr>
        <w:numPr>
          <w:ilvl w:val="0"/>
          <w:numId w:val="9"/>
        </w:numPr>
        <w:jc w:val="center"/>
        <w:spacing w:line="360" w:lineRule="auto"/>
        <w:rPr>
          <w:rFonts w:hint="eastAsia" w:ascii="宋体" w:hAnsi="宋体"/>
          <w:b/>
          <w:color w:val="auto"/>
          <w:sz w:val="30"/>
          <w:szCs w:val="30"/>
          <w:highlight w:val="none"/>
          <w:lang w:val="en-US" w:eastAsia="zh-CN"/>
        </w:rPr>
      </w:pPr>
      <w:r>
        <w:rPr>
          <w:rFonts w:hint="eastAsia" w:ascii="宋体" w:hAnsi="宋体"/>
          <w:b/>
          <w:color w:val="auto"/>
          <w:sz w:val="30"/>
          <w:szCs w:val="30"/>
          <w:highlight w:val="none"/>
        </w:rPr>
        <w:br w:type="page" w:clear="all"/>
      </w:r>
      <w:r>
        <w:rPr>
          <w:rFonts w:hint="eastAsia" w:ascii="宋体" w:hAnsi="宋体"/>
          <w:b/>
          <w:color w:val="auto"/>
          <w:sz w:val="30"/>
          <w:szCs w:val="30"/>
          <w:highlight w:val="none"/>
        </w:rPr>
        <w:t xml:space="preserve"> </w:t>
      </w:r>
      <w:r>
        <w:rPr>
          <w:rFonts w:hint="eastAsia" w:ascii="宋体" w:hAnsi="宋体"/>
          <w:b/>
          <w:color w:val="auto"/>
          <w:sz w:val="30"/>
          <w:szCs w:val="30"/>
          <w:highlight w:val="none"/>
          <w:lang w:val="en-US" w:eastAsia="zh-CN"/>
        </w:rPr>
        <w:t xml:space="preserve">评审办法及评分标准</w:t>
      </w:r>
      <w:r/>
    </w:p>
    <w:p>
      <w:pPr>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一、评审方法</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1、本次评审采用综合评分法，即在满足磋商文件实质性要求前提下，根据磋商文件中规定的评审标准和各项因素进行综合评审，按照总得分由高到低顺序推荐3名成交候选供应商。</w:t>
      </w:r>
      <w:r>
        <w:rPr>
          <w:rFonts w:hint="eastAsia" w:ascii="宋体" w:hAnsi="宋体" w:eastAsia="宋体" w:cs="Times New Roman"/>
          <w:color w:val="auto"/>
          <w:sz w:val="24"/>
          <w:szCs w:val="24"/>
          <w:highlight w:val="none"/>
        </w:rPr>
        <w:t xml:space="preserve">评委</w:t>
      </w:r>
      <w:r>
        <w:rPr>
          <w:rFonts w:hint="eastAsia" w:ascii="宋体" w:hAnsi="宋体" w:eastAsia="宋体"/>
          <w:color w:val="auto"/>
          <w:sz w:val="24"/>
          <w:szCs w:val="24"/>
          <w:highlight w:val="none"/>
        </w:rPr>
        <w:t xml:space="preserve">评审得分相同的，按照最后报价由低到高的顺序推荐。</w:t>
      </w:r>
      <w:r>
        <w:rPr>
          <w:rFonts w:hint="eastAsia" w:ascii="宋体" w:hAnsi="宋体" w:eastAsia="宋体" w:cs="Times New Roman"/>
          <w:color w:val="auto"/>
          <w:sz w:val="24"/>
          <w:szCs w:val="24"/>
          <w:highlight w:val="none"/>
        </w:rPr>
        <w:t xml:space="preserve">评委</w:t>
      </w:r>
      <w:r>
        <w:rPr>
          <w:rFonts w:hint="eastAsia" w:ascii="宋体" w:hAnsi="宋体" w:eastAsia="宋体"/>
          <w:color w:val="auto"/>
          <w:sz w:val="24"/>
          <w:szCs w:val="24"/>
          <w:highlight w:val="none"/>
        </w:rPr>
        <w:t xml:space="preserve">评审得分且最后报价</w:t>
      </w:r>
      <w:r>
        <w:rPr>
          <w:rFonts w:hint="eastAsia" w:ascii="宋体" w:hAnsi="宋体"/>
          <w:color w:val="auto"/>
          <w:sz w:val="24"/>
          <w:szCs w:val="24"/>
          <w:highlight w:val="none"/>
          <w:lang w:val="en-US" w:eastAsia="zh-CN"/>
        </w:rPr>
        <w:t xml:space="preserve">都</w:t>
      </w:r>
      <w:r>
        <w:rPr>
          <w:rFonts w:hint="eastAsia" w:ascii="宋体" w:hAnsi="宋体" w:eastAsia="宋体"/>
          <w:color w:val="auto"/>
          <w:sz w:val="24"/>
          <w:szCs w:val="24"/>
          <w:highlight w:val="none"/>
        </w:rPr>
        <w:t xml:space="preserve">相同的，按照技术指标优劣顺序推荐。</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2、评审时，磋商小组各成员独立对每个有效供应商的响应文件进行评价、打分</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然后汇总每个供应商每项评分因素的得分</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将磋商小组各成员对响应文件的评审评分按算术平均法汇总，计算出每个供应商的评委评审得分</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计算结果均四舍五入保留两位小数。若在选取各标段</w:t>
      </w:r>
      <w:r>
        <w:rPr>
          <w:rFonts w:hint="eastAsia" w:ascii="宋体" w:hAnsi="宋体" w:cs="Times New Roman"/>
          <w:color w:val="auto"/>
          <w:sz w:val="24"/>
          <w:szCs w:val="24"/>
          <w:highlight w:val="none"/>
          <w:lang w:val="en-US" w:eastAsia="zh-CN"/>
        </w:rPr>
        <w:t xml:space="preserve">成交单位</w:t>
      </w:r>
      <w:r>
        <w:rPr>
          <w:rFonts w:hint="eastAsia" w:ascii="宋体" w:hAnsi="宋体" w:eastAsia="宋体" w:cs="Times New Roman"/>
          <w:color w:val="auto"/>
          <w:sz w:val="24"/>
          <w:szCs w:val="24"/>
          <w:highlight w:val="none"/>
        </w:rPr>
        <w:t xml:space="preserve">时出现并列情况，则由</w:t>
      </w:r>
      <w:r>
        <w:rPr>
          <w:rFonts w:hint="eastAsia" w:ascii="宋体" w:hAnsi="宋体" w:cs="Times New Roman"/>
          <w:color w:val="auto"/>
          <w:sz w:val="24"/>
          <w:szCs w:val="24"/>
          <w:highlight w:val="none"/>
          <w:lang w:val="en-US" w:eastAsia="zh-CN"/>
        </w:rPr>
        <w:t xml:space="preserve">评审小组组织</w:t>
      </w:r>
      <w:r>
        <w:rPr>
          <w:rFonts w:hint="eastAsia" w:ascii="宋体" w:hAnsi="宋体" w:eastAsia="宋体" w:cs="Times New Roman"/>
          <w:color w:val="auto"/>
          <w:sz w:val="24"/>
          <w:szCs w:val="24"/>
          <w:highlight w:val="none"/>
        </w:rPr>
        <w:t xml:space="preserve">以抽签方式确定该标段</w:t>
      </w:r>
      <w:r>
        <w:rPr>
          <w:rFonts w:hint="eastAsia" w:ascii="宋体" w:hAnsi="宋体" w:cs="Times New Roman"/>
          <w:color w:val="auto"/>
          <w:sz w:val="24"/>
          <w:szCs w:val="24"/>
          <w:highlight w:val="none"/>
          <w:lang w:val="en-US" w:eastAsia="zh-CN"/>
        </w:rPr>
        <w:t xml:space="preserve">成交单位。</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、针对中小型企业、残疾人福利企业和监狱企业的评审：</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关于促进残疾人就业政府采购政策的通知》（财库〔2017〕141号）、《关于政府采购支持监狱企业发展有关问题的通知》（财库〔2014〕68号）、《政府采购促进中小企业发展管理办法》（财库〔2020〕46号）、《关于印发&lt;苏州市政府采购促进中小企业发展实施意见&gt;的通知》（苏财购〔2022〕16号）、《财政部关于进一步加大政府采购支持中小企业力度的通知》（财库〔2022〕19号）等文件</w:t>
      </w:r>
      <w:r>
        <w:rPr>
          <w:rFonts w:hint="eastAsia" w:ascii="宋体" w:hAnsi="宋体" w:eastAsia="宋体" w:cs="Times New Roman"/>
          <w:color w:val="auto"/>
          <w:sz w:val="24"/>
          <w:szCs w:val="24"/>
          <w:highlight w:val="none"/>
          <w:lang w:val="en-US" w:eastAsia="zh-CN"/>
        </w:rPr>
        <w:t xml:space="preserve">的</w:t>
      </w:r>
      <w:r>
        <w:rPr>
          <w:rFonts w:hint="eastAsia" w:ascii="宋体" w:hAnsi="宋体" w:eastAsia="宋体" w:cs="Times New Roman"/>
          <w:color w:val="auto"/>
          <w:sz w:val="24"/>
          <w:szCs w:val="24"/>
          <w:highlight w:val="none"/>
        </w:rPr>
        <w:t xml:space="preserve">规定，对于符合上述文件规定情形的小微企业、残疾人福利性单位及监狱企业报价给予相应比例的扣除，其中货物和服务项目为</w:t>
      </w:r>
      <w:r>
        <w:rPr>
          <w:rFonts w:hint="eastAsia" w:ascii="宋体" w:hAnsi="宋体" w:eastAsia="宋体" w:cs="Times New Roman"/>
          <w:color w:val="auto"/>
          <w:sz w:val="24"/>
          <w:szCs w:val="24"/>
          <w:highlight w:val="none"/>
          <w:lang w:val="en-US" w:eastAsia="zh-CN"/>
        </w:rPr>
        <w:t xml:space="preserve">20</w:t>
      </w:r>
      <w:r>
        <w:rPr>
          <w:rFonts w:hint="eastAsia" w:ascii="宋体" w:hAnsi="宋体" w:eastAsia="宋体" w:cs="Times New Roman"/>
          <w:color w:val="auto"/>
          <w:sz w:val="24"/>
          <w:szCs w:val="24"/>
          <w:highlight w:val="none"/>
        </w:rPr>
        <w:t xml:space="preserve">%，工程项目为5%，用扣除后的价格参与评审，如扣除后的价格为最低价的，则作为评标基准价，</w:t>
      </w:r>
      <w:r>
        <w:rPr>
          <w:rFonts w:hint="eastAsia" w:ascii="宋体" w:hAnsi="宋体" w:eastAsia="宋体" w:cs="Times New Roman"/>
          <w:color w:val="auto"/>
          <w:sz w:val="24"/>
          <w:szCs w:val="24"/>
          <w:highlight w:val="none"/>
          <w:lang w:val="en-US" w:eastAsia="zh-CN"/>
        </w:rPr>
        <w:t xml:space="preserve">成交</w:t>
      </w:r>
      <w:r>
        <w:rPr>
          <w:rFonts w:hint="eastAsia" w:ascii="宋体" w:hAnsi="宋体" w:eastAsia="宋体" w:cs="Times New Roman"/>
          <w:color w:val="auto"/>
          <w:sz w:val="24"/>
          <w:szCs w:val="24"/>
          <w:highlight w:val="none"/>
        </w:rPr>
        <w:t xml:space="preserve">金额则以实际投标报价为准。残疾人福利性单位属于小型、微型企业的，不重复享受政策。供应商提供的货物既有中小企业制造货物，也有大型企业制造货物的，不享受中小企业扶持政策。</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未提供则不享受相关政策</w:t>
      </w:r>
      <w:r>
        <w:rPr>
          <w:rFonts w:hint="eastAsia" w:ascii="宋体" w:hAnsi="宋体" w:cs="宋体"/>
          <w:color w:val="auto"/>
          <w:sz w:val="24"/>
          <w:highlight w:val="none"/>
          <w:lang w:eastAsia="zh-CN"/>
        </w:rPr>
        <w:t xml:space="preserve">。</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注：</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①填报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中小企业声明函</w:t>
      </w:r>
      <w:r>
        <w:rPr>
          <w:rFonts w:hint="eastAsia" w:ascii="宋体" w:hAnsi="宋体" w:eastAsia="宋体" w:cs="宋体"/>
          <w:color w:val="auto"/>
          <w:sz w:val="24"/>
          <w:highlight w:val="none"/>
          <w:lang w:eastAsia="zh-CN"/>
        </w:rPr>
        <w:t xml:space="preserve">》</w:t>
      </w:r>
      <w:r>
        <w:rPr>
          <w:rFonts w:ascii="宋体" w:hAnsi="宋体" w:eastAsia="宋体"/>
          <w:color w:val="auto"/>
          <w:sz w:val="24"/>
          <w:szCs w:val="24"/>
          <w:highlight w:val="none"/>
        </w:rPr>
        <w:t xml:space="preserve">需严格按“工信部联企业〔2011〕300号通知中的《中小企业划型标准规定》进行。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②若供应商提供的声明函或认定证明为虚假材料，按“政府采购法”相关规定处理并报请政府监管部门给予行政处罚。</w:t>
      </w:r>
      <w:r/>
    </w:p>
    <w:p>
      <w:pPr>
        <w:ind w:firstLine="482"/>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③根据《关于印发&lt;苏州市政府采购促进中小企业发展实施意见&gt;的通知》（苏财购〔2022〕16号）相关要求，本项目为专门面向中小企业采购的项目，不再执行价格评审优惠的扶持政策。</w:t>
      </w:r>
      <w:r/>
    </w:p>
    <w:p>
      <w:pP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二、评分标准</w:t>
      </w:r>
      <w:r>
        <w:rPr>
          <w:rFonts w:hint="eastAsia" w:ascii="宋体" w:hAnsi="宋体" w:cs="宋体"/>
          <w:b/>
          <w:color w:val="auto"/>
          <w:sz w:val="24"/>
          <w:szCs w:val="24"/>
          <w:highlight w:val="none"/>
          <w:lang w:val="en-US" w:eastAsia="zh-CN"/>
        </w:rPr>
        <w:t xml:space="preserve">:：本项目无需报价，不计算价格分。</w:t>
      </w:r>
      <w:r/>
    </w:p>
    <w:p>
      <w:pPr>
        <w:ind w:firstLine="482"/>
        <w:spacing w:line="360" w:lineRule="auto"/>
        <w:tabs>
          <w:tab w:val="left" w:pos="425" w:leader="none"/>
          <w:tab w:val="left" w:pos="567" w:leader="none"/>
        </w:tabs>
        <w:rPr>
          <w:rFonts w:ascii="宋体" w:hAnsi="宋体" w:cs="宋体"/>
          <w:b/>
          <w:sz w:val="24"/>
          <w:szCs w:val="24"/>
          <w:highlight w:val="none"/>
        </w:rPr>
      </w:pPr>
      <w:r>
        <w:rPr>
          <w:rFonts w:hint="eastAsia" w:ascii="宋体" w:hAnsi="宋体" w:cs="宋体"/>
          <w:b/>
          <w:sz w:val="24"/>
          <w:szCs w:val="24"/>
          <w:highlight w:val="none"/>
        </w:rPr>
        <w:t xml:space="preserve">1、企业综合服务能力（15分）</w:t>
      </w:r>
      <w:r/>
    </w:p>
    <w:p>
      <w:pPr>
        <w:ind w:firstLine="480"/>
        <w:spacing w:line="360" w:lineRule="auto"/>
        <w:tabs>
          <w:tab w:val="left" w:pos="425" w:leader="none"/>
          <w:tab w:val="left" w:pos="567" w:leader="none"/>
        </w:tabs>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（1）</w:t>
      </w:r>
      <w:r>
        <w:rPr>
          <w:rFonts w:hint="eastAsia" w:ascii="宋体" w:hAnsi="宋体" w:cs="宋体"/>
          <w:bCs/>
          <w:sz w:val="24"/>
          <w:szCs w:val="24"/>
          <w:highlight w:val="none"/>
          <w:lang w:eastAsia="zh-CN"/>
        </w:rPr>
        <w:t xml:space="preserve">202</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lang w:eastAsia="zh-CN"/>
        </w:rPr>
        <w:t xml:space="preserve">年、202</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lang w:eastAsia="zh-CN"/>
        </w:rPr>
        <w:t xml:space="preserve">年、202</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lang w:eastAsia="zh-CN"/>
        </w:rPr>
        <w:t xml:space="preserve">年</w:t>
      </w:r>
      <w:r>
        <w:rPr>
          <w:rFonts w:hint="eastAsia" w:ascii="宋体" w:hAnsi="宋体" w:cs="宋体"/>
          <w:bCs/>
          <w:sz w:val="24"/>
          <w:szCs w:val="24"/>
          <w:highlight w:val="none"/>
        </w:rPr>
        <w:t xml:space="preserve">（以合同签订日期为准）从事过类似</w:t>
      </w:r>
      <w:r>
        <w:rPr>
          <w:rFonts w:hint="eastAsia" w:ascii="宋体" w:hAnsi="宋体" w:cs="宋体"/>
          <w:bCs/>
          <w:sz w:val="24"/>
          <w:szCs w:val="24"/>
          <w:highlight w:val="none"/>
          <w:lang w:val="zh-CN"/>
        </w:rPr>
        <w:t xml:space="preserve">工程结算审核业务</w:t>
      </w:r>
      <w:r>
        <w:rPr>
          <w:rFonts w:hint="eastAsia" w:ascii="宋体" w:hAnsi="宋体" w:cs="宋体"/>
          <w:bCs/>
          <w:sz w:val="24"/>
          <w:szCs w:val="24"/>
          <w:highlight w:val="none"/>
        </w:rPr>
        <w:t xml:space="preserve">项目的，每有一个得0.5分，最高得</w:t>
      </w: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分；（需提供合同或采购单位出具的证明材料扫描件加盖投标单位公章，否则不得分）。</w:t>
      </w:r>
      <w:r/>
    </w:p>
    <w:p>
      <w:pPr>
        <w:ind w:firstLine="480"/>
        <w:spacing w:line="360" w:lineRule="auto"/>
        <w:tabs>
          <w:tab w:val="left" w:pos="425" w:leader="none"/>
          <w:tab w:val="left" w:pos="567" w:leader="none"/>
        </w:tabs>
        <w:rPr>
          <w:rFonts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cs="宋体"/>
          <w:bCs/>
          <w:sz w:val="24"/>
          <w:szCs w:val="24"/>
          <w:highlight w:val="none"/>
          <w:lang w:eastAsia="zh-CN"/>
        </w:rPr>
        <w:t xml:space="preserve">202</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lang w:eastAsia="zh-CN"/>
        </w:rPr>
        <w:t xml:space="preserve">年、202</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lang w:eastAsia="zh-CN"/>
        </w:rPr>
        <w:t xml:space="preserve">年、202</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lang w:eastAsia="zh-CN"/>
        </w:rPr>
        <w:t xml:space="preserve">年</w:t>
      </w:r>
      <w:r>
        <w:rPr>
          <w:rFonts w:hint="eastAsia" w:ascii="宋体" w:hAnsi="宋体" w:cs="宋体"/>
          <w:bCs/>
          <w:sz w:val="24"/>
          <w:szCs w:val="24"/>
          <w:highlight w:val="none"/>
        </w:rPr>
        <w:t xml:space="preserve">（以合同签订日期为准）从事过类似</w:t>
      </w:r>
      <w:r>
        <w:rPr>
          <w:rFonts w:hint="eastAsia" w:ascii="宋体" w:hAnsi="宋体" w:cs="宋体"/>
          <w:bCs/>
          <w:sz w:val="24"/>
          <w:szCs w:val="24"/>
          <w:highlight w:val="none"/>
          <w:lang w:val="zh-CN"/>
        </w:rPr>
        <w:t xml:space="preserve">工程</w:t>
      </w:r>
      <w:r>
        <w:rPr>
          <w:rFonts w:hint="eastAsia" w:ascii="宋体" w:hAnsi="宋体" w:cs="宋体"/>
          <w:bCs/>
          <w:sz w:val="24"/>
          <w:szCs w:val="24"/>
          <w:highlight w:val="none"/>
        </w:rPr>
        <w:t xml:space="preserve">标底（预算）编审</w:t>
      </w:r>
      <w:r>
        <w:rPr>
          <w:rFonts w:hint="eastAsia" w:ascii="宋体" w:hAnsi="宋体" w:cs="宋体"/>
          <w:bCs/>
          <w:sz w:val="24"/>
          <w:szCs w:val="24"/>
          <w:highlight w:val="none"/>
          <w:lang w:val="zh-CN"/>
        </w:rPr>
        <w:t xml:space="preserve">业务</w:t>
      </w:r>
      <w:r>
        <w:rPr>
          <w:rFonts w:hint="eastAsia" w:ascii="宋体" w:hAnsi="宋体" w:cs="宋体"/>
          <w:bCs/>
          <w:sz w:val="24"/>
          <w:szCs w:val="24"/>
          <w:highlight w:val="none"/>
        </w:rPr>
        <w:t xml:space="preserve">项目的，每有一个得0.5分，最高得</w:t>
      </w: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分；（需提供合同或采购单位出具的证明材料扫描件加盖投标单位公章，否则不得分）。</w:t>
      </w:r>
      <w:r/>
    </w:p>
    <w:p>
      <w:pPr>
        <w:ind w:firstLine="482"/>
        <w:spacing w:line="360" w:lineRule="auto"/>
        <w:tabs>
          <w:tab w:val="left" w:pos="425" w:leader="none"/>
          <w:tab w:val="left" w:pos="567" w:leader="none"/>
        </w:tabs>
        <w:rPr>
          <w:rFonts w:ascii="宋体" w:hAnsi="宋体" w:cs="宋体"/>
          <w:b/>
          <w:bCs/>
          <w:sz w:val="24"/>
          <w:szCs w:val="24"/>
          <w:highlight w:val="none"/>
        </w:rPr>
      </w:pPr>
      <w:r>
        <w:rPr>
          <w:rFonts w:hint="eastAsia" w:ascii="宋体" w:hAnsi="宋体" w:cs="宋体"/>
          <w:b/>
          <w:bCs/>
          <w:sz w:val="24"/>
          <w:szCs w:val="24"/>
          <w:highlight w:val="none"/>
          <w:lang w:val="zh-CN"/>
        </w:rPr>
        <w:t xml:space="preserve">2、</w:t>
      </w:r>
      <w:r>
        <w:rPr>
          <w:rFonts w:hint="eastAsia" w:ascii="宋体" w:hAnsi="宋体" w:cs="宋体"/>
          <w:b/>
          <w:bCs/>
          <w:sz w:val="24"/>
          <w:szCs w:val="24"/>
          <w:highlight w:val="none"/>
        </w:rPr>
        <w:t xml:space="preserve">拟投入人员的素质及专业水平（最高为45</w:t>
      </w:r>
      <w:r>
        <w:rPr>
          <w:rFonts w:hint="eastAsia" w:ascii="宋体" w:hAnsi="宋体" w:cs="宋体"/>
          <w:b/>
          <w:bCs/>
          <w:sz w:val="24"/>
          <w:szCs w:val="24"/>
          <w:highlight w:val="none"/>
          <w:lang w:val="zh-CN"/>
        </w:rPr>
        <w:t xml:space="preserve">分）</w:t>
      </w:r>
      <w:r/>
    </w:p>
    <w:p>
      <w:pPr>
        <w:ind w:firstLine="482"/>
        <w:spacing w:line="360" w:lineRule="auto"/>
        <w:tabs>
          <w:tab w:val="left" w:pos="425" w:leader="none"/>
          <w:tab w:val="left" w:pos="567" w:leader="none"/>
        </w:tabs>
        <w:rPr>
          <w:rFonts w:ascii="宋体" w:hAnsi="宋体" w:cs="宋体"/>
          <w:b/>
          <w:sz w:val="24"/>
          <w:szCs w:val="24"/>
          <w:highlight w:val="none"/>
        </w:rPr>
      </w:pPr>
      <w:r>
        <w:rPr>
          <w:rFonts w:hint="eastAsia" w:ascii="宋体" w:hAnsi="宋体" w:cs="宋体"/>
          <w:b/>
          <w:sz w:val="24"/>
          <w:szCs w:val="24"/>
          <w:highlight w:val="none"/>
        </w:rPr>
        <w:t xml:space="preserve">（1）拟投入造价从业人员执业资格情况：最高为30分</w:t>
      </w:r>
      <w:r/>
    </w:p>
    <w:p>
      <w:pPr>
        <w:ind w:firstLine="482"/>
        <w:spacing w:line="360" w:lineRule="auto"/>
        <w:tabs>
          <w:tab w:val="left" w:pos="425" w:leader="none"/>
          <w:tab w:val="left" w:pos="567" w:leader="none"/>
        </w:tabs>
        <w:rPr>
          <w:rFonts w:ascii="宋体" w:hAnsi="宋体" w:cs="宋体"/>
          <w:b/>
          <w:sz w:val="24"/>
          <w:szCs w:val="24"/>
          <w:highlight w:val="none"/>
        </w:rPr>
      </w:pPr>
      <w:r>
        <w:rPr>
          <w:rFonts w:ascii="宋体" w:hAnsi="宋体" w:cs="宋体"/>
          <w:b/>
          <w:sz w:val="24"/>
          <w:szCs w:val="24"/>
          <w:highlight w:val="none"/>
        </w:rPr>
        <w:fldChar w:fldCharType="begin"/>
      </w:r>
      <w:r>
        <w:rPr>
          <w:rFonts w:ascii="宋体" w:hAnsi="宋体" w:cs="宋体"/>
          <w:b/>
          <w:sz w:val="24"/>
          <w:szCs w:val="24"/>
          <w:highlight w:val="none"/>
        </w:rPr>
        <w:instrText xml:space="preserve"> </w:instrText>
      </w:r>
      <w:r>
        <w:rPr>
          <w:rFonts w:hint="eastAsia" w:ascii="宋体" w:hAnsi="宋体" w:cs="宋体"/>
          <w:b/>
          <w:sz w:val="24"/>
          <w:szCs w:val="24"/>
          <w:highlight w:val="none"/>
        </w:rPr>
        <w:instrText xml:space="preserve">= 1 \* GB3</w:instrText>
      </w:r>
      <w:r>
        <w:rPr>
          <w:rFonts w:ascii="宋体" w:hAnsi="宋体" w:cs="宋体"/>
          <w:b/>
          <w:sz w:val="24"/>
          <w:szCs w:val="24"/>
          <w:highlight w:val="none"/>
        </w:rPr>
        <w:instrText xml:space="preserve"> </w:instrText>
      </w:r>
      <w:r>
        <w:rPr>
          <w:rFonts w:ascii="宋体" w:hAnsi="宋体" w:cs="宋体"/>
          <w:b/>
          <w:sz w:val="24"/>
          <w:szCs w:val="24"/>
          <w:highlight w:val="none"/>
        </w:rPr>
        <w:fldChar w:fldCharType="separate"/>
      </w:r>
      <w:r>
        <w:rPr>
          <w:rFonts w:hint="eastAsia" w:ascii="宋体" w:hAnsi="宋体" w:cs="宋体"/>
          <w:b/>
          <w:sz w:val="24"/>
          <w:szCs w:val="24"/>
          <w:highlight w:val="none"/>
        </w:rPr>
        <w:t xml:space="preserve">①</w:t>
      </w:r>
      <w:r>
        <w:rPr>
          <w:rFonts w:ascii="宋体" w:hAnsi="宋体" w:cs="宋体"/>
          <w:b/>
          <w:sz w:val="24"/>
          <w:szCs w:val="24"/>
          <w:highlight w:val="none"/>
        </w:rPr>
        <w:fldChar w:fldCharType="end"/>
      </w:r>
      <w:r>
        <w:rPr>
          <w:rFonts w:hint="eastAsia" w:ascii="宋体" w:hAnsi="宋体" w:cs="宋体"/>
          <w:b/>
          <w:sz w:val="24"/>
          <w:szCs w:val="24"/>
          <w:highlight w:val="none"/>
        </w:rPr>
        <w:t xml:space="preserve">拟投入一级注册造价工程师：最高为20分</w:t>
      </w:r>
      <w:r/>
    </w:p>
    <w:p>
      <w:pPr>
        <w:ind w:firstLine="480"/>
        <w:spacing w:line="360" w:lineRule="auto"/>
        <w:tabs>
          <w:tab w:val="left" w:pos="425" w:leader="none"/>
          <w:tab w:val="left" w:pos="567" w:leader="none"/>
        </w:tabs>
        <w:rPr>
          <w:rFonts w:ascii="宋体" w:hAnsi="宋体" w:cs="宋体"/>
          <w:sz w:val="24"/>
          <w:szCs w:val="24"/>
          <w:highlight w:val="none"/>
        </w:rPr>
      </w:pPr>
      <w:r>
        <w:rPr>
          <w:rFonts w:hint="eastAsia" w:ascii="宋体" w:hAnsi="宋体" w:cs="宋体"/>
          <w:bCs/>
          <w:sz w:val="24"/>
          <w:szCs w:val="24"/>
          <w:highlight w:val="none"/>
        </w:rPr>
        <w:t xml:space="preserve">拟投入一级注册造价工程师</w:t>
      </w:r>
      <w:r>
        <w:rPr>
          <w:rFonts w:hint="eastAsia" w:ascii="宋体" w:hAnsi="宋体" w:cs="宋体"/>
          <w:sz w:val="24"/>
          <w:szCs w:val="24"/>
          <w:highlight w:val="none"/>
        </w:rPr>
        <w:t xml:space="preserve">5人得基本分5分，超过5人的，每增加一人得1分，低于5人不得分，本项最高20分。</w:t>
      </w:r>
      <w:r/>
    </w:p>
    <w:p>
      <w:pPr>
        <w:ind w:firstLine="482"/>
        <w:spacing w:line="360" w:lineRule="auto"/>
        <w:tabs>
          <w:tab w:val="left" w:pos="425" w:leader="none"/>
          <w:tab w:val="left" w:pos="567" w:leader="none"/>
        </w:tabs>
        <w:rPr>
          <w:rFonts w:ascii="宋体" w:hAnsi="宋体" w:cs="宋体"/>
          <w:sz w:val="24"/>
          <w:szCs w:val="24"/>
          <w:highlight w:val="none"/>
        </w:rPr>
      </w:pPr>
      <w:r>
        <w:rPr>
          <w:rFonts w:hint="eastAsia" w:ascii="宋体" w:hAnsi="宋体" w:cs="宋体"/>
          <w:b/>
          <w:sz w:val="24"/>
          <w:szCs w:val="24"/>
          <w:highlight w:val="none"/>
        </w:rPr>
        <w:t xml:space="preserve">注：</w:t>
      </w:r>
      <w:r>
        <w:rPr>
          <w:rFonts w:hint="eastAsia" w:ascii="宋体" w:hAnsi="宋体" w:cs="宋体"/>
          <w:sz w:val="24"/>
          <w:szCs w:val="24"/>
          <w:highlight w:val="none"/>
        </w:rPr>
        <w:t xml:space="preserve">所指的一级注册造价工</w:t>
      </w:r>
      <w:r>
        <w:rPr>
          <w:rFonts w:hint="eastAsia" w:ascii="宋体" w:hAnsi="宋体" w:cs="宋体"/>
          <w:sz w:val="24"/>
          <w:szCs w:val="24"/>
          <w:highlight w:val="none"/>
        </w:rPr>
        <w:t xml:space="preserve">程师，是指根据《住房城乡建设部 交通运输部 水利部 人力资源社会保障部关于印发&lt;造价工程师职业资格制度规定&gt;&lt;造价工程师职业资格考试实施办法&gt;的通知》（ 建人〔2018〕）67号 ）、《水利部关于印发&lt;注册造价工程师（水利工程）管理办法&gt;的通知》（水建设〔2021〕334号）的规定，通过一级造价工程师考试取得一级造价工程师职业资格并注册的人员、或根据人事部建设部发布的《造价工程师执业资格制度暂行规定》（人发〔1996〕77号）取得造价工程师执业资格证书并注册以及现行的国家关于造价工程师注册的相关规定的人员。</w:t>
      </w:r>
      <w:r>
        <w:rPr>
          <w:rFonts w:hint="eastAsia" w:ascii="宋体" w:hAnsi="宋体" w:cs="宋体"/>
          <w:b/>
          <w:sz w:val="24"/>
          <w:szCs w:val="24"/>
          <w:highlight w:val="none"/>
        </w:rPr>
        <w:t xml:space="preserve">投标时应提供执业注册证书、社会养老保险关系证明,如有缺失则不予认可（因考虑到健康、工作效率问题，本项目不接受退休人员从事造价服务）。</w:t>
      </w:r>
      <w:r>
        <w:rPr>
          <w:rFonts w:hint="eastAsia" w:ascii="宋体" w:hAnsi="宋体" w:cs="宋体"/>
          <w:sz w:val="24"/>
          <w:szCs w:val="24"/>
          <w:highlight w:val="none"/>
        </w:rPr>
        <w:t xml:space="preserve">已在投标截止日前办理注册手续且正处于注册过程中的一级造价师，需另行提供设区市市级及以上造价行业主管部门注册执业过程证明及职业资格证书。造价从业人员具有一级造价工程师与其他造价从业人员双重资格的，仅计取一种职业资格，造价从业人员职业资格按照执业印章内容计取；重复申报职业资格人员或造价执业注册证书与执业印章不一致的，评标时不予认可。</w:t>
      </w:r>
      <w:r/>
    </w:p>
    <w:p>
      <w:pPr>
        <w:ind w:firstLine="482"/>
        <w:spacing w:line="360" w:lineRule="auto"/>
        <w:tabs>
          <w:tab w:val="left" w:pos="425" w:leader="none"/>
          <w:tab w:val="left" w:pos="567" w:leader="none"/>
        </w:tabs>
        <w:rPr>
          <w:rFonts w:ascii="宋体" w:hAnsi="宋体" w:cs="宋体"/>
          <w:b/>
          <w:sz w:val="24"/>
          <w:szCs w:val="24"/>
          <w:highlight w:val="none"/>
        </w:rPr>
      </w:pPr>
      <w:r>
        <w:rPr>
          <w:rFonts w:ascii="宋体" w:hAnsi="宋体" w:cs="宋体"/>
          <w:b/>
          <w:sz w:val="24"/>
          <w:szCs w:val="24"/>
          <w:highlight w:val="none"/>
        </w:rPr>
        <w:fldChar w:fldCharType="begin"/>
      </w:r>
      <w:r>
        <w:rPr>
          <w:rFonts w:ascii="宋体" w:hAnsi="宋体" w:cs="宋体"/>
          <w:b/>
          <w:sz w:val="24"/>
          <w:szCs w:val="24"/>
          <w:highlight w:val="none"/>
        </w:rPr>
        <w:instrText xml:space="preserve"> </w:instrText>
      </w:r>
      <w:r>
        <w:rPr>
          <w:rFonts w:hint="eastAsia" w:ascii="宋体" w:hAnsi="宋体" w:cs="宋体"/>
          <w:b/>
          <w:sz w:val="24"/>
          <w:szCs w:val="24"/>
          <w:highlight w:val="none"/>
        </w:rPr>
        <w:instrText xml:space="preserve">= 2 \* GB3</w:instrText>
      </w:r>
      <w:r>
        <w:rPr>
          <w:rFonts w:ascii="宋体" w:hAnsi="宋体" w:cs="宋体"/>
          <w:b/>
          <w:sz w:val="24"/>
          <w:szCs w:val="24"/>
          <w:highlight w:val="none"/>
        </w:rPr>
        <w:instrText xml:space="preserve"> </w:instrText>
      </w:r>
      <w:r>
        <w:rPr>
          <w:rFonts w:ascii="宋体" w:hAnsi="宋体" w:cs="宋体"/>
          <w:b/>
          <w:sz w:val="24"/>
          <w:szCs w:val="24"/>
          <w:highlight w:val="none"/>
        </w:rPr>
        <w:fldChar w:fldCharType="separate"/>
      </w:r>
      <w:r>
        <w:rPr>
          <w:rFonts w:hint="eastAsia" w:ascii="宋体" w:hAnsi="宋体" w:cs="宋体"/>
          <w:b/>
          <w:sz w:val="24"/>
          <w:szCs w:val="24"/>
          <w:highlight w:val="none"/>
        </w:rPr>
        <w:t xml:space="preserve">②</w:t>
      </w:r>
      <w:r>
        <w:rPr>
          <w:rFonts w:ascii="宋体" w:hAnsi="宋体" w:cs="宋体"/>
          <w:b/>
          <w:sz w:val="24"/>
          <w:szCs w:val="24"/>
          <w:highlight w:val="none"/>
        </w:rPr>
        <w:fldChar w:fldCharType="end"/>
      </w:r>
      <w:r>
        <w:rPr>
          <w:rFonts w:hint="eastAsia" w:ascii="宋体" w:hAnsi="宋体" w:cs="宋体"/>
          <w:b/>
          <w:sz w:val="24"/>
          <w:szCs w:val="24"/>
          <w:highlight w:val="none"/>
        </w:rPr>
        <w:t xml:space="preserve">拟投入其他造价从业人员：最高为10分</w:t>
      </w:r>
      <w:r/>
    </w:p>
    <w:p>
      <w:pPr>
        <w:ind w:firstLine="480"/>
        <w:spacing w:line="360" w:lineRule="auto"/>
        <w:tabs>
          <w:tab w:val="left" w:pos="425" w:leader="none"/>
          <w:tab w:val="left" w:pos="567" w:leader="none"/>
        </w:tabs>
        <w:rPr>
          <w:rFonts w:ascii="宋体" w:hAnsi="宋体" w:cs="宋体"/>
          <w:sz w:val="24"/>
          <w:szCs w:val="24"/>
          <w:highlight w:val="none"/>
        </w:rPr>
      </w:pPr>
      <w:r>
        <w:rPr>
          <w:rFonts w:hint="eastAsia" w:ascii="宋体" w:hAnsi="宋体" w:cs="宋体"/>
          <w:sz w:val="24"/>
          <w:szCs w:val="24"/>
          <w:highlight w:val="none"/>
        </w:rPr>
        <w:t xml:space="preserve">拟投入其他造价从业人员满5人得基本分5分，超过5人的，每增加一人得0.5分，低于5人不得分，本项最高得10分。</w:t>
      </w:r>
      <w:r/>
    </w:p>
    <w:p>
      <w:pPr>
        <w:ind w:firstLine="482"/>
        <w:spacing w:line="360" w:lineRule="auto"/>
        <w:tabs>
          <w:tab w:val="left" w:pos="425" w:leader="none"/>
          <w:tab w:val="left" w:pos="567" w:leader="none"/>
        </w:tabs>
        <w:rPr>
          <w:rFonts w:ascii="宋体" w:hAnsi="宋体" w:cs="宋体"/>
          <w:sz w:val="24"/>
          <w:szCs w:val="24"/>
          <w:highlight w:val="none"/>
        </w:rPr>
      </w:pPr>
      <w:r>
        <w:rPr>
          <w:rFonts w:hint="eastAsia" w:ascii="宋体" w:hAnsi="宋体" w:cs="宋体"/>
          <w:b/>
          <w:sz w:val="24"/>
          <w:szCs w:val="24"/>
          <w:highlight w:val="none"/>
        </w:rPr>
        <w:t xml:space="preserve">注：</w:t>
      </w:r>
      <w:r>
        <w:rPr>
          <w:rFonts w:hint="eastAsia" w:ascii="宋体" w:hAnsi="宋体" w:cs="宋体"/>
          <w:sz w:val="24"/>
          <w:szCs w:val="24"/>
          <w:highlight w:val="none"/>
        </w:rPr>
        <w:t xml:space="preserve">指按照行业相关规定，在省级范围内有效执业的造价从业人员，主要包括但不限于：通过二级造价工程师考试取得职业资格并注册的，中级以上造价员，按照《造价工程师职业资格制度规定》第三十条规定取得公路水运工程造价人员资格证书、取得水利工程造价工程师资格证书的，以及具备全国建设工程造价员资格证书并取得中级及以上造价员资格的造价从业人员。</w:t>
      </w:r>
      <w:r>
        <w:rPr>
          <w:rFonts w:hint="eastAsia" w:ascii="宋体" w:hAnsi="宋体" w:cs="宋体"/>
          <w:b/>
          <w:sz w:val="24"/>
          <w:szCs w:val="24"/>
          <w:highlight w:val="none"/>
        </w:rPr>
        <w:t xml:space="preserve">投标时应提供职业资格证、缴纳社会养老保险证明，如有缺失则不予认可（因考虑到健康、工作效率问题，本项目不接受退休人员从事造价服务）。</w:t>
      </w:r>
      <w:r>
        <w:rPr>
          <w:rFonts w:hint="eastAsia" w:ascii="宋体" w:hAnsi="宋体" w:cs="宋体"/>
          <w:sz w:val="24"/>
          <w:szCs w:val="24"/>
          <w:highlight w:val="none"/>
        </w:rPr>
        <w:t xml:space="preserve">造价从业人员具有一级造价工程师与其他造价从业人员双重资格的，仅计取一种职业资格，按其投标时所签执业印章内容计取，重复申报职业资格人员或造价执业注册证书与执业印章不一致的，评标时不予认可。</w:t>
      </w:r>
      <w:r/>
    </w:p>
    <w:p>
      <w:pPr>
        <w:ind w:firstLine="482"/>
        <w:spacing w:line="360" w:lineRule="auto"/>
        <w:tabs>
          <w:tab w:val="left" w:pos="425" w:leader="none"/>
          <w:tab w:val="left" w:pos="567" w:leader="none"/>
        </w:tabs>
        <w:rPr>
          <w:rFonts w:ascii="宋体" w:hAnsi="宋体" w:cs="宋体"/>
          <w:b/>
          <w:sz w:val="24"/>
          <w:szCs w:val="24"/>
          <w:highlight w:val="none"/>
        </w:rPr>
      </w:pPr>
      <w:r>
        <w:rPr>
          <w:rFonts w:hint="eastAsia" w:ascii="宋体" w:hAnsi="宋体" w:cs="宋体"/>
          <w:b/>
          <w:sz w:val="24"/>
          <w:szCs w:val="24"/>
          <w:highlight w:val="none"/>
        </w:rPr>
        <w:t xml:space="preserve">（2）拟投入造价从业人员职称情况：最高为3分</w:t>
      </w:r>
      <w:r/>
    </w:p>
    <w:p>
      <w:pPr>
        <w:ind w:firstLine="480"/>
        <w:spacing w:line="360" w:lineRule="auto"/>
        <w:tabs>
          <w:tab w:val="left" w:pos="425" w:leader="none"/>
          <w:tab w:val="left" w:pos="567" w:leader="none"/>
        </w:tabs>
        <w:rPr>
          <w:rFonts w:ascii="宋体" w:hAnsi="宋体" w:cs="宋体"/>
          <w:sz w:val="24"/>
          <w:szCs w:val="24"/>
          <w:highlight w:val="none"/>
        </w:rPr>
      </w:pPr>
      <w:r>
        <w:rPr>
          <w:rFonts w:hint="eastAsia" w:ascii="宋体" w:hAnsi="宋体" w:cs="宋体"/>
          <w:sz w:val="24"/>
          <w:szCs w:val="24"/>
          <w:highlight w:val="none"/>
        </w:rPr>
        <w:t xml:space="preserve">每配置具备一个与本项目相关的高级（或以上）职称人员的得0.5分，本项最高3分。</w:t>
      </w:r>
      <w:r/>
    </w:p>
    <w:p>
      <w:pPr>
        <w:ind w:firstLine="482"/>
        <w:spacing w:line="360" w:lineRule="auto"/>
        <w:tabs>
          <w:tab w:val="left" w:pos="425" w:leader="none"/>
          <w:tab w:val="left" w:pos="567" w:leader="none"/>
        </w:tabs>
        <w:rPr>
          <w:rFonts w:ascii="宋体" w:hAnsi="宋体" w:cs="宋体"/>
          <w:b/>
          <w:sz w:val="24"/>
          <w:szCs w:val="24"/>
          <w:highlight w:val="none"/>
        </w:rPr>
      </w:pPr>
      <w:r>
        <w:rPr>
          <w:rFonts w:hint="eastAsia" w:ascii="宋体" w:hAnsi="宋体" w:cs="宋体"/>
          <w:b/>
          <w:sz w:val="24"/>
          <w:szCs w:val="24"/>
          <w:highlight w:val="none"/>
        </w:rPr>
        <w:t xml:space="preserve">注：拟投入人员素质及专业水平评分项第1项评审合格人员参与此项评分，需提供职称证书为准。</w:t>
      </w:r>
      <w:r/>
    </w:p>
    <w:p>
      <w:pPr>
        <w:ind w:firstLine="482"/>
        <w:spacing w:line="360" w:lineRule="auto"/>
        <w:tabs>
          <w:tab w:val="left" w:pos="425" w:leader="none"/>
          <w:tab w:val="left" w:pos="567" w:leader="none"/>
        </w:tabs>
        <w:rPr>
          <w:rFonts w:ascii="宋体" w:hAnsi="宋体" w:cs="宋体"/>
          <w:b/>
          <w:sz w:val="24"/>
          <w:szCs w:val="24"/>
          <w:highlight w:val="none"/>
        </w:rPr>
      </w:pPr>
      <w:r>
        <w:rPr>
          <w:rFonts w:hint="eastAsia" w:ascii="宋体" w:hAnsi="宋体" w:cs="宋体"/>
          <w:b/>
          <w:sz w:val="24"/>
          <w:szCs w:val="24"/>
          <w:highlight w:val="none"/>
        </w:rPr>
        <w:t xml:space="preserve">（3）拟投入造价从业人员</w:t>
      </w:r>
      <w:r>
        <w:rPr>
          <w:rFonts w:hint="eastAsia" w:ascii="宋体" w:hAnsi="宋体" w:cs="宋体"/>
          <w:b/>
          <w:sz w:val="24"/>
          <w:szCs w:val="24"/>
          <w:highlight w:val="none"/>
          <w:lang w:eastAsia="zh-CN"/>
        </w:rPr>
        <w:t xml:space="preserve">202</w:t>
      </w:r>
      <w:r>
        <w:rPr>
          <w:rFonts w:hint="eastAsia" w:ascii="宋体" w:hAnsi="宋体" w:cs="宋体"/>
          <w:b/>
          <w:sz w:val="24"/>
          <w:szCs w:val="24"/>
          <w:highlight w:val="none"/>
          <w:lang w:val="en-US" w:eastAsia="zh-CN"/>
        </w:rPr>
        <w:t xml:space="preserve">3</w:t>
      </w:r>
      <w:r>
        <w:rPr>
          <w:rFonts w:hint="eastAsia" w:ascii="宋体" w:hAnsi="宋体" w:cs="宋体"/>
          <w:b/>
          <w:sz w:val="24"/>
          <w:szCs w:val="24"/>
          <w:highlight w:val="none"/>
          <w:lang w:eastAsia="zh-CN"/>
        </w:rPr>
        <w:t xml:space="preserve">年、202</w:t>
      </w:r>
      <w:r>
        <w:rPr>
          <w:rFonts w:hint="eastAsia" w:ascii="宋体" w:hAnsi="宋体" w:cs="宋体"/>
          <w:b/>
          <w:sz w:val="24"/>
          <w:szCs w:val="24"/>
          <w:highlight w:val="none"/>
          <w:lang w:val="en-US" w:eastAsia="zh-CN"/>
        </w:rPr>
        <w:t xml:space="preserve">4</w:t>
      </w:r>
      <w:r>
        <w:rPr>
          <w:rFonts w:hint="eastAsia" w:ascii="宋体" w:hAnsi="宋体" w:cs="宋体"/>
          <w:b/>
          <w:sz w:val="24"/>
          <w:szCs w:val="24"/>
          <w:highlight w:val="none"/>
          <w:lang w:eastAsia="zh-CN"/>
        </w:rPr>
        <w:t xml:space="preserve">年、202</w:t>
      </w:r>
      <w:r>
        <w:rPr>
          <w:rFonts w:hint="eastAsia" w:ascii="宋体" w:hAnsi="宋体" w:cs="宋体"/>
          <w:b/>
          <w:sz w:val="24"/>
          <w:szCs w:val="24"/>
          <w:highlight w:val="none"/>
          <w:lang w:val="en-US" w:eastAsia="zh-CN"/>
        </w:rPr>
        <w:t xml:space="preserve">5</w:t>
      </w:r>
      <w:r>
        <w:rPr>
          <w:rFonts w:hint="eastAsia" w:ascii="宋体" w:hAnsi="宋体" w:cs="宋体"/>
          <w:b/>
          <w:sz w:val="24"/>
          <w:szCs w:val="24"/>
          <w:highlight w:val="none"/>
          <w:lang w:eastAsia="zh-CN"/>
        </w:rPr>
        <w:t xml:space="preserve">年</w:t>
      </w:r>
      <w:r>
        <w:rPr>
          <w:rFonts w:hint="eastAsia" w:ascii="宋体" w:hAnsi="宋体" w:cs="宋体"/>
          <w:b/>
          <w:sz w:val="24"/>
          <w:szCs w:val="24"/>
          <w:highlight w:val="none"/>
        </w:rPr>
        <w:t xml:space="preserve">接受委托或完成的项目业绩情况：最高为12分</w:t>
      </w:r>
      <w:r/>
    </w:p>
    <w:p>
      <w:pPr>
        <w:ind w:firstLine="480"/>
        <w:spacing w:line="360" w:lineRule="auto"/>
        <w:tabs>
          <w:tab w:val="left" w:pos="425" w:leader="none"/>
          <w:tab w:val="left" w:pos="567" w:leader="none"/>
        </w:tabs>
        <w:rPr>
          <w:rFonts w:ascii="宋体" w:hAnsi="宋体" w:cs="宋体"/>
          <w:sz w:val="24"/>
          <w:szCs w:val="24"/>
          <w:highlight w:val="none"/>
        </w:rPr>
      </w:pPr>
      <w:r>
        <w:rPr>
          <w:rFonts w:hint="eastAsia" w:ascii="宋体" w:hAnsi="宋体" w:cs="宋体"/>
          <w:sz w:val="24"/>
          <w:szCs w:val="24"/>
          <w:highlight w:val="none"/>
        </w:rPr>
        <w:t xml:space="preserve">评标说明：本项所指工程造价咨询项目指由</w:t>
      </w:r>
      <w:r>
        <w:rPr>
          <w:rFonts w:hint="eastAsia" w:ascii="宋体" w:hAnsi="宋体" w:cs="宋体"/>
          <w:b/>
          <w:bCs/>
          <w:sz w:val="24"/>
          <w:szCs w:val="24"/>
          <w:highlight w:val="none"/>
        </w:rPr>
        <w:t xml:space="preserve">拟投入人员负责或参与的工程造价咨询项目</w:t>
      </w:r>
      <w:r>
        <w:rPr>
          <w:rFonts w:hint="eastAsia" w:ascii="宋体" w:hAnsi="宋体" w:cs="宋体"/>
          <w:sz w:val="24"/>
          <w:szCs w:val="24"/>
          <w:highlight w:val="none"/>
        </w:rPr>
        <w:t xml:space="preserve">。</w:t>
      </w:r>
      <w:r/>
    </w:p>
    <w:p>
      <w:pPr>
        <w:ind w:firstLine="482"/>
        <w:spacing w:line="360" w:lineRule="auto"/>
        <w:tabs>
          <w:tab w:val="left" w:pos="425" w:leader="none"/>
          <w:tab w:val="left" w:pos="567" w:leader="none"/>
        </w:tabs>
        <w:rPr>
          <w:rFonts w:ascii="宋体" w:hAnsi="宋体" w:cs="宋体"/>
          <w:b/>
          <w:bCs/>
          <w:sz w:val="24"/>
          <w:szCs w:val="24"/>
          <w:highlight w:val="none"/>
        </w:rPr>
      </w:pPr>
      <w:r>
        <w:rPr>
          <w:rFonts w:hint="eastAsia" w:ascii="宋体" w:hAnsi="宋体" w:cs="宋体"/>
          <w:b/>
          <w:bCs/>
          <w:sz w:val="24"/>
          <w:szCs w:val="24"/>
          <w:highlight w:val="none"/>
        </w:rPr>
        <w:t xml:space="preserve">所提供项目咨询报告的执业签章人员须为拟投入本项目人员，且应注明拟派人员序号，如人员情况不一致，此项不得分；如因序号错误造成的后果由投标人负责。</w:t>
      </w:r>
      <w:r/>
    </w:p>
    <w:p>
      <w:pPr>
        <w:ind w:firstLine="482"/>
        <w:spacing w:line="360" w:lineRule="auto"/>
        <w:tabs>
          <w:tab w:val="left" w:pos="425" w:leader="none"/>
          <w:tab w:val="left" w:pos="567" w:leader="none"/>
        </w:tabs>
        <w:rPr>
          <w:rFonts w:ascii="宋体" w:hAnsi="宋体" w:cs="宋体"/>
          <w:b/>
          <w:bCs/>
          <w:sz w:val="24"/>
          <w:szCs w:val="24"/>
          <w:highlight w:val="none"/>
        </w:rPr>
      </w:pPr>
      <w:r>
        <w:rPr>
          <w:rFonts w:hint="eastAsia" w:ascii="宋体" w:hAnsi="宋体" w:cs="宋体"/>
          <w:b/>
          <w:bCs/>
          <w:sz w:val="24"/>
          <w:szCs w:val="24"/>
          <w:highlight w:val="none"/>
        </w:rPr>
        <w:t xml:space="preserve">同一造价咨询服务内容的造价咨询项目不得在不同评分项重复申报。如发现同一造价咨询服务内容的造价咨询项目</w:t>
      </w:r>
      <w:r>
        <w:rPr>
          <w:rFonts w:hint="eastAsia" w:ascii="宋体" w:hAnsi="宋体" w:cs="宋体"/>
          <w:sz w:val="24"/>
          <w:szCs w:val="24"/>
          <w:highlight w:val="none"/>
        </w:rPr>
        <w:t xml:space="preserve">重复</w:t>
      </w:r>
      <w:r>
        <w:rPr>
          <w:rFonts w:hint="eastAsia" w:ascii="宋体" w:hAnsi="宋体" w:cs="宋体"/>
          <w:b/>
          <w:bCs/>
          <w:sz w:val="24"/>
          <w:szCs w:val="24"/>
          <w:highlight w:val="none"/>
        </w:rPr>
        <w:t xml:space="preserve">申报，则该造价咨询项目所涉及评分项内均不得分。</w:t>
      </w:r>
      <w:r/>
    </w:p>
    <w:p>
      <w:pPr>
        <w:ind w:firstLine="480"/>
        <w:spacing w:line="360" w:lineRule="auto"/>
        <w:tabs>
          <w:tab w:val="left" w:pos="425" w:leader="none"/>
          <w:tab w:val="left" w:pos="567" w:leader="none"/>
        </w:tabs>
        <w:rPr>
          <w:rFonts w:ascii="宋体" w:hAnsi="宋体" w:cs="宋体"/>
          <w:bCs/>
          <w:sz w:val="24"/>
          <w:szCs w:val="24"/>
          <w:highlight w:val="none"/>
          <w:lang w:val="zh-CN"/>
        </w:rPr>
      </w:pPr>
      <w:r>
        <w:rPr>
          <w:rFonts w:hint="eastAsia" w:ascii="宋体" w:hAnsi="宋体" w:cs="宋体"/>
          <w:bCs/>
          <w:sz w:val="24"/>
          <w:szCs w:val="24"/>
          <w:highlight w:val="none"/>
          <w:lang w:val="zh-CN"/>
        </w:rPr>
        <w:t xml:space="preserve">如项目为拟投入人员在其他单位完成，</w:t>
      </w:r>
      <w:r>
        <w:rPr>
          <w:rFonts w:hint="eastAsia" w:ascii="宋体" w:hAnsi="宋体" w:cs="宋体"/>
          <w:b/>
          <w:sz w:val="24"/>
          <w:szCs w:val="24"/>
          <w:highlight w:val="none"/>
          <w:lang w:val="zh-CN"/>
        </w:rPr>
        <w:t xml:space="preserve">则除提供报告及相应证明原件扫描件外，应另行提供完成期间与咨询合同、成果报告中签章单位相对应的社保证明、执业资格注册证明扫描件。</w:t>
      </w:r>
      <w:r/>
    </w:p>
    <w:p>
      <w:pPr>
        <w:ind w:firstLine="480"/>
        <w:spacing w:line="360" w:lineRule="auto"/>
        <w:tabs>
          <w:tab w:val="left" w:pos="425" w:leader="none"/>
          <w:tab w:val="left" w:pos="567" w:leader="none"/>
        </w:tabs>
        <w:rPr>
          <w:rFonts w:ascii="宋体" w:hAnsi="宋体" w:cs="宋体"/>
          <w:bCs/>
          <w:sz w:val="24"/>
          <w:szCs w:val="24"/>
          <w:highlight w:val="none"/>
        </w:rPr>
      </w:pPr>
      <w:r>
        <w:rPr>
          <w:rFonts w:hint="eastAsia" w:ascii="宋体" w:hAnsi="宋体" w:cs="宋体"/>
          <w:sz w:val="24"/>
          <w:szCs w:val="24"/>
          <w:highlight w:val="none"/>
          <w:shd w:val="clear" w:color="auto" w:fill="ffffff"/>
        </w:rPr>
        <w:t xml:space="preserve">根据</w:t>
      </w:r>
      <w:r>
        <w:rPr>
          <w:rFonts w:hint="eastAsia" w:ascii="宋体" w:hAnsi="宋体" w:cs="宋体"/>
          <w:sz w:val="24"/>
          <w:szCs w:val="24"/>
          <w:highlight w:val="none"/>
        </w:rPr>
        <w:t xml:space="preserve">《中华人民共和国国家发展和改革委员会令》</w:t>
      </w:r>
      <w:r>
        <w:rPr>
          <w:rFonts w:hint="eastAsia" w:ascii="宋体" w:hAnsi="宋体" w:cs="宋体"/>
          <w:b/>
          <w:bCs/>
          <w:sz w:val="24"/>
          <w:szCs w:val="24"/>
          <w:highlight w:val="none"/>
          <w:shd w:val="clear" w:color="auto" w:fill="ffffff"/>
        </w:rPr>
        <w:t xml:space="preserve">第</w:t>
      </w:r>
      <w:r>
        <w:rPr>
          <w:rFonts w:hint="eastAsia" w:ascii="宋体" w:hAnsi="宋体" w:cs="宋体"/>
          <w:b/>
          <w:bCs/>
          <w:sz w:val="24"/>
          <w:szCs w:val="24"/>
          <w:highlight w:val="none"/>
        </w:rPr>
        <w:t xml:space="preserve">16</w:t>
      </w:r>
      <w:r>
        <w:rPr>
          <w:rFonts w:hint="eastAsia" w:ascii="宋体" w:hAnsi="宋体" w:cs="宋体"/>
          <w:b/>
          <w:bCs/>
          <w:sz w:val="24"/>
          <w:szCs w:val="24"/>
          <w:highlight w:val="none"/>
          <w:shd w:val="clear" w:color="auto" w:fill="ffffff"/>
        </w:rPr>
        <w:t xml:space="preserve">号第五条第一款规定，施工单项合同估算价在 </w:t>
      </w:r>
      <w:r>
        <w:rPr>
          <w:rFonts w:hint="eastAsia" w:ascii="宋体" w:hAnsi="宋体" w:cs="宋体"/>
          <w:b/>
          <w:bCs/>
          <w:sz w:val="24"/>
          <w:szCs w:val="24"/>
          <w:highlight w:val="none"/>
        </w:rPr>
        <w:t xml:space="preserve">400</w:t>
      </w:r>
      <w:r>
        <w:rPr>
          <w:rFonts w:hint="eastAsia" w:ascii="宋体" w:hAnsi="宋体" w:cs="宋体"/>
          <w:b/>
          <w:bCs/>
          <w:sz w:val="24"/>
          <w:szCs w:val="24"/>
          <w:highlight w:val="none"/>
          <w:shd w:val="clear" w:color="auto" w:fill="ffffff"/>
        </w:rPr>
        <w:t xml:space="preserve"> 万元人民币以上的为必须招标的工程项目。</w:t>
      </w:r>
      <w:r/>
    </w:p>
    <w:p>
      <w:pPr>
        <w:ind w:firstLine="480"/>
        <w:spacing w:line="360" w:lineRule="auto"/>
        <w:tabs>
          <w:tab w:val="left" w:pos="425" w:leader="none"/>
          <w:tab w:val="left" w:pos="567" w:leader="none"/>
        </w:tabs>
        <w:rPr>
          <w:rFonts w:ascii="宋体" w:hAnsi="宋体" w:cs="宋体"/>
          <w:bCs/>
          <w:sz w:val="24"/>
          <w:szCs w:val="24"/>
          <w:highlight w:val="none"/>
          <w:lang w:val="zh-CN"/>
        </w:rPr>
      </w:pPr>
      <w:r>
        <w:rPr>
          <w:rFonts w:ascii="宋体" w:hAnsi="宋体" w:cs="宋体"/>
          <w:sz w:val="24"/>
          <w:szCs w:val="24"/>
          <w:highlight w:val="none"/>
        </w:rPr>
        <w:fldChar w:fldCharType="begin"/>
      </w:r>
      <w:r>
        <w:rPr>
          <w:rFonts w:ascii="宋体" w:hAnsi="宋体" w:cs="宋体"/>
          <w:sz w:val="24"/>
          <w:szCs w:val="24"/>
          <w:highlight w:val="none"/>
        </w:rPr>
        <w:instrText xml:space="preserve"> </w:instrText>
      </w:r>
      <w:r>
        <w:rPr>
          <w:rFonts w:hint="eastAsia" w:ascii="宋体" w:hAnsi="宋体" w:cs="宋体"/>
          <w:sz w:val="24"/>
          <w:szCs w:val="24"/>
          <w:highlight w:val="none"/>
        </w:rPr>
        <w:instrText xml:space="preserve">= 1 \* GB3</w:instrText>
      </w:r>
      <w:r>
        <w:rPr>
          <w:rFonts w:ascii="宋体" w:hAnsi="宋体" w:cs="宋体"/>
          <w:sz w:val="24"/>
          <w:szCs w:val="24"/>
          <w:highlight w:val="none"/>
        </w:rPr>
        <w:instrText xml:space="preserve"> </w:instrText>
      </w:r>
      <w:r>
        <w:rPr>
          <w:rFonts w:ascii="宋体" w:hAnsi="宋体" w:cs="宋体"/>
          <w:sz w:val="24"/>
          <w:szCs w:val="24"/>
          <w:highlight w:val="none"/>
        </w:rPr>
        <w:fldChar w:fldCharType="separate"/>
      </w:r>
      <w:r>
        <w:rPr>
          <w:rFonts w:hint="eastAsia" w:ascii="宋体" w:hAnsi="宋体" w:cs="宋体"/>
          <w:sz w:val="24"/>
          <w:szCs w:val="24"/>
          <w:highlight w:val="none"/>
        </w:rPr>
        <w:t xml:space="preserve">①</w:t>
      </w:r>
      <w:r>
        <w:rPr>
          <w:rFonts w:ascii="宋体" w:hAnsi="宋体" w:cs="宋体"/>
          <w:sz w:val="24"/>
          <w:szCs w:val="24"/>
          <w:highlight w:val="none"/>
        </w:rPr>
        <w:fldChar w:fldCharType="end"/>
      </w:r>
      <w:r>
        <w:rPr>
          <w:rFonts w:hint="eastAsia" w:ascii="宋体" w:hAnsi="宋体" w:cs="宋体"/>
          <w:sz w:val="24"/>
          <w:szCs w:val="24"/>
          <w:highlight w:val="none"/>
        </w:rPr>
        <w:t xml:space="preserve">拟投入造价从业人员</w:t>
      </w: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年、202</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年、202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eastAsia="zh-CN"/>
        </w:rPr>
        <w:t xml:space="preserve">年</w:t>
      </w:r>
      <w:r>
        <w:rPr>
          <w:rFonts w:hint="eastAsia" w:ascii="宋体" w:hAnsi="宋体" w:cs="宋体"/>
          <w:sz w:val="24"/>
          <w:szCs w:val="24"/>
          <w:highlight w:val="none"/>
          <w:lang w:val="zh-CN"/>
        </w:rPr>
        <w:t xml:space="preserve">（以报告出具时间列入统计）已完成的工程</w:t>
      </w:r>
      <w:r>
        <w:rPr>
          <w:rFonts w:hint="eastAsia" w:ascii="宋体" w:hAnsi="宋体" w:cs="宋体"/>
          <w:sz w:val="24"/>
          <w:szCs w:val="24"/>
          <w:highlight w:val="none"/>
        </w:rPr>
        <w:t xml:space="preserve">标底（预算）编审</w:t>
      </w:r>
      <w:r>
        <w:rPr>
          <w:rFonts w:hint="eastAsia" w:ascii="宋体" w:hAnsi="宋体" w:cs="宋体"/>
          <w:sz w:val="24"/>
          <w:szCs w:val="24"/>
          <w:highlight w:val="none"/>
          <w:lang w:val="zh-CN"/>
        </w:rPr>
        <w:t xml:space="preserve">项目，编审</w:t>
      </w:r>
      <w:r>
        <w:rPr>
          <w:rFonts w:hint="eastAsia" w:ascii="宋体" w:hAnsi="宋体" w:cs="宋体"/>
          <w:sz w:val="24"/>
          <w:szCs w:val="24"/>
          <w:highlight w:val="none"/>
        </w:rPr>
        <w:t xml:space="preserve">金额在400万元（含）-3000万元（不含）的每个得0.</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分；3000万（含）-1亿（不含）的每个得0.</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分；1亿（含）-2亿（不含）的每个得0.5分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2亿及以上的，每个得1分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本项最高</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rPr>
          <w:rFonts w:hint="eastAsia" w:ascii="宋体" w:hAnsi="宋体" w:cs="宋体"/>
          <w:sz w:val="24"/>
          <w:szCs w:val="24"/>
          <w:highlight w:val="none"/>
          <w:lang w:val="zh-CN"/>
        </w:rPr>
        <w:t xml:space="preserve">（工程</w:t>
      </w:r>
      <w:r>
        <w:rPr>
          <w:rFonts w:hint="eastAsia" w:ascii="宋体" w:hAnsi="宋体" w:cs="宋体"/>
          <w:sz w:val="24"/>
          <w:szCs w:val="24"/>
          <w:highlight w:val="none"/>
        </w:rPr>
        <w:t xml:space="preserve">标底（预算）编审</w:t>
      </w:r>
      <w:r>
        <w:rPr>
          <w:rFonts w:hint="eastAsia" w:ascii="宋体" w:hAnsi="宋体" w:cs="宋体"/>
          <w:sz w:val="24"/>
          <w:szCs w:val="24"/>
          <w:highlight w:val="none"/>
          <w:lang w:val="zh-CN"/>
        </w:rPr>
        <w:t xml:space="preserve">项目必须提供造价咨询合同、咨询成果报告（符合造价执业规范）</w:t>
      </w:r>
      <w:r>
        <w:rPr>
          <w:rFonts w:hint="eastAsia" w:ascii="宋体" w:hAnsi="宋体" w:cs="宋体"/>
          <w:bCs/>
          <w:sz w:val="24"/>
          <w:szCs w:val="24"/>
          <w:highlight w:val="none"/>
          <w:lang w:val="zh-CN"/>
        </w:rPr>
        <w:t xml:space="preserve">及委托方证明（能够反映项目规模、委托单位和完成时间；如造价咨询合同、咨询成果报告已能明确反映项目规模和</w:t>
      </w:r>
      <w:r>
        <w:rPr>
          <w:rFonts w:hint="eastAsia" w:ascii="宋体" w:hAnsi="宋体" w:cs="宋体"/>
          <w:bCs/>
          <w:sz w:val="24"/>
          <w:szCs w:val="24"/>
          <w:highlight w:val="none"/>
        </w:rPr>
        <w:t xml:space="preserve">报告出具时间</w:t>
      </w:r>
      <w:r>
        <w:rPr>
          <w:rFonts w:hint="eastAsia" w:ascii="宋体" w:hAnsi="宋体" w:cs="宋体"/>
          <w:bCs/>
          <w:sz w:val="24"/>
          <w:szCs w:val="24"/>
          <w:highlight w:val="none"/>
          <w:lang w:val="zh-CN"/>
        </w:rPr>
        <w:t xml:space="preserve">并由委托单位认可的，可不另行提供委托方证明））</w:t>
      </w:r>
      <w:r/>
    </w:p>
    <w:p>
      <w:pPr>
        <w:ind w:firstLine="480"/>
        <w:spacing w:line="360" w:lineRule="auto"/>
        <w:tabs>
          <w:tab w:val="left" w:pos="425" w:leader="none"/>
          <w:tab w:val="left" w:pos="567" w:leader="none"/>
        </w:tabs>
        <w:rPr>
          <w:rFonts w:ascii="宋体" w:hAnsi="宋体" w:cs="宋体"/>
          <w:bCs/>
          <w:sz w:val="24"/>
          <w:szCs w:val="24"/>
          <w:highlight w:val="none"/>
          <w:lang w:val="zh-CN"/>
        </w:rPr>
      </w:pPr>
      <w:r>
        <w:rPr>
          <w:rFonts w:hint="eastAsia" w:ascii="宋体" w:hAnsi="宋体" w:cs="宋体"/>
          <w:bCs/>
          <w:sz w:val="24"/>
          <w:szCs w:val="24"/>
          <w:highlight w:val="none"/>
          <w:lang w:val="en-US" w:eastAsia="zh-CN"/>
        </w:rPr>
        <w:t xml:space="preserve">②</w:t>
      </w:r>
      <w:r>
        <w:rPr>
          <w:rFonts w:hint="eastAsia" w:ascii="宋体" w:hAnsi="宋体" w:cs="宋体"/>
          <w:bCs/>
          <w:sz w:val="24"/>
          <w:szCs w:val="24"/>
          <w:highlight w:val="none"/>
          <w:lang w:val="zh-CN"/>
        </w:rPr>
        <w:t xml:space="preserve">拟投入造价从业人员</w:t>
      </w: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年、202</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年、202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eastAsia="zh-CN"/>
        </w:rPr>
        <w:t xml:space="preserve">年</w:t>
      </w:r>
      <w:r>
        <w:rPr>
          <w:rFonts w:hint="eastAsia" w:ascii="宋体" w:hAnsi="宋体" w:cs="宋体"/>
          <w:bCs/>
          <w:sz w:val="24"/>
          <w:szCs w:val="24"/>
          <w:highlight w:val="none"/>
          <w:lang w:val="zh-CN"/>
        </w:rPr>
        <w:t xml:space="preserve">（以报告出具时间列入统计）已完成的工程结算审核项目，审定金额在400万元（</w:t>
      </w:r>
      <w:r>
        <w:rPr>
          <w:rFonts w:hint="eastAsia" w:ascii="宋体" w:hAnsi="宋体" w:cs="宋体"/>
          <w:bCs/>
          <w:sz w:val="24"/>
          <w:szCs w:val="24"/>
          <w:highlight w:val="none"/>
        </w:rPr>
        <w:t xml:space="preserve">含</w:t>
      </w:r>
      <w:r>
        <w:rPr>
          <w:rFonts w:hint="eastAsia" w:ascii="宋体" w:hAnsi="宋体" w:cs="宋体"/>
          <w:bCs/>
          <w:sz w:val="24"/>
          <w:szCs w:val="24"/>
          <w:highlight w:val="none"/>
          <w:lang w:val="zh-CN"/>
        </w:rPr>
        <w:t xml:space="preserve">）-3000万元（不含）的每个得0.</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lang w:val="zh-CN"/>
        </w:rPr>
        <w:t xml:space="preserve">分；3000万（含）-1亿（不含）的每个得0.5分；1亿及以上的，每个得1分，本项最高</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lang w:val="zh-CN"/>
        </w:rPr>
        <w:t xml:space="preserve">分。（工程结算审核项目必须提供造价咨询合同、咨询成果报告（符合造价执业规范）及项目审定单（能够反映项目规模、委托单位和</w:t>
      </w:r>
      <w:r>
        <w:rPr>
          <w:rFonts w:hint="eastAsia" w:ascii="宋体" w:hAnsi="宋体" w:cs="宋体"/>
          <w:bCs/>
          <w:sz w:val="24"/>
          <w:szCs w:val="24"/>
          <w:highlight w:val="none"/>
        </w:rPr>
        <w:t xml:space="preserve">报告出具</w:t>
      </w:r>
      <w:r>
        <w:rPr>
          <w:rFonts w:hint="eastAsia" w:ascii="宋体" w:hAnsi="宋体" w:cs="宋体"/>
          <w:bCs/>
          <w:sz w:val="24"/>
          <w:szCs w:val="24"/>
          <w:highlight w:val="none"/>
          <w:lang w:val="zh-CN"/>
        </w:rPr>
        <w:t xml:space="preserve">时间，如审定单信息不全，需另行提供委托方证明））</w:t>
      </w:r>
      <w:r/>
    </w:p>
    <w:p>
      <w:pPr>
        <w:ind w:firstLine="482"/>
        <w:spacing w:line="360" w:lineRule="auto"/>
        <w:tabs>
          <w:tab w:val="left" w:pos="425" w:leader="none"/>
          <w:tab w:val="left" w:pos="567" w:leader="none"/>
        </w:tabs>
        <w:rPr>
          <w:rFonts w:ascii="宋体" w:hAnsi="宋体" w:cs="宋体"/>
          <w:b/>
          <w:bCs/>
          <w:sz w:val="24"/>
          <w:szCs w:val="24"/>
          <w:highlight w:val="none"/>
        </w:rPr>
      </w:pPr>
      <w:r>
        <w:rPr>
          <w:rFonts w:hint="eastAsia" w:ascii="宋体" w:hAnsi="宋体" w:cs="宋体"/>
          <w:b/>
          <w:bCs/>
          <w:sz w:val="24"/>
          <w:szCs w:val="24"/>
          <w:highlight w:val="none"/>
        </w:rPr>
        <w:t xml:space="preserve">3、</w:t>
      </w:r>
      <w:r>
        <w:rPr>
          <w:rFonts w:hint="eastAsia" w:ascii="宋体" w:hAnsi="宋体" w:cs="宋体"/>
          <w:b/>
          <w:sz w:val="24"/>
          <w:szCs w:val="24"/>
          <w:highlight w:val="none"/>
        </w:rPr>
        <w:t xml:space="preserve">针对本项目</w:t>
      </w:r>
      <w:r>
        <w:rPr>
          <w:rFonts w:hint="eastAsia" w:ascii="宋体" w:hAnsi="宋体" w:cs="宋体"/>
          <w:b/>
          <w:sz w:val="24"/>
          <w:szCs w:val="24"/>
          <w:highlight w:val="none"/>
          <w:lang w:val="zh-CN"/>
        </w:rPr>
        <w:t xml:space="preserve">的服务方案</w:t>
      </w:r>
      <w:r>
        <w:rPr>
          <w:rFonts w:hint="eastAsia" w:ascii="宋体" w:hAnsi="宋体" w:cs="宋体"/>
          <w:b/>
          <w:sz w:val="24"/>
          <w:szCs w:val="24"/>
          <w:highlight w:val="none"/>
        </w:rPr>
        <w:t xml:space="preserve">比较（40分）</w:t>
      </w:r>
      <w:r/>
    </w:p>
    <w:p>
      <w:pPr>
        <w:ind w:firstLine="480"/>
        <w:spacing w:line="360" w:lineRule="auto"/>
        <w:tabs>
          <w:tab w:val="left" w:pos="425" w:leader="none"/>
          <w:tab w:val="left" w:pos="567" w:leader="none"/>
        </w:tabs>
        <w:rPr>
          <w:rFonts w:ascii="宋体" w:hAnsi="宋体" w:cs="宋体"/>
          <w:sz w:val="24"/>
          <w:szCs w:val="24"/>
          <w:highlight w:val="none"/>
        </w:rPr>
      </w:pPr>
      <w:r>
        <w:rPr>
          <w:rFonts w:hint="eastAsia" w:ascii="宋体" w:hAnsi="宋体" w:cs="宋体"/>
          <w:sz w:val="24"/>
          <w:szCs w:val="24"/>
          <w:highlight w:val="none"/>
        </w:rPr>
        <w:t xml:space="preserve">（1）项目技术服务方案：（最高为24分）</w:t>
      </w:r>
      <w:r/>
    </w:p>
    <w:p>
      <w:pPr>
        <w:ind w:firstLine="480"/>
        <w:spacing w:line="360" w:lineRule="auto"/>
        <w:tabs>
          <w:tab w:val="left" w:pos="425" w:leader="none"/>
          <w:tab w:val="left" w:pos="567" w:leader="none"/>
        </w:tabs>
        <w:rPr>
          <w:rFonts w:ascii="宋体" w:hAnsi="宋体" w:cs="宋体"/>
          <w:sz w:val="24"/>
          <w:szCs w:val="24"/>
          <w:highlight w:val="none"/>
        </w:rPr>
      </w:pPr>
      <w:r>
        <w:rPr>
          <w:rFonts w:ascii="宋体" w:hAnsi="宋体" w:cs="宋体"/>
          <w:sz w:val="24"/>
          <w:szCs w:val="24"/>
          <w:highlight w:val="none"/>
        </w:rPr>
        <w:fldChar w:fldCharType="begin"/>
      </w:r>
      <w:r>
        <w:rPr>
          <w:rFonts w:ascii="宋体" w:hAnsi="宋体" w:cs="宋体"/>
          <w:sz w:val="24"/>
          <w:szCs w:val="24"/>
          <w:highlight w:val="none"/>
        </w:rPr>
        <w:instrText xml:space="preserve"> </w:instrText>
      </w:r>
      <w:r>
        <w:rPr>
          <w:rFonts w:hint="eastAsia" w:ascii="宋体" w:hAnsi="宋体" w:cs="宋体"/>
          <w:sz w:val="24"/>
          <w:szCs w:val="24"/>
          <w:highlight w:val="none"/>
        </w:rPr>
        <w:instrText xml:space="preserve">= 1 \* GB3</w:instrText>
      </w:r>
      <w:r>
        <w:rPr>
          <w:rFonts w:ascii="宋体" w:hAnsi="宋体" w:cs="宋体"/>
          <w:sz w:val="24"/>
          <w:szCs w:val="24"/>
          <w:highlight w:val="none"/>
        </w:rPr>
        <w:instrText xml:space="preserve"> </w:instrText>
      </w:r>
      <w:r>
        <w:rPr>
          <w:rFonts w:ascii="宋体" w:hAnsi="宋体" w:cs="宋体"/>
          <w:sz w:val="24"/>
          <w:szCs w:val="24"/>
          <w:highlight w:val="none"/>
        </w:rPr>
        <w:fldChar w:fldCharType="separate"/>
      </w:r>
      <w:r>
        <w:rPr>
          <w:rFonts w:hint="eastAsia" w:ascii="宋体" w:hAnsi="宋体" w:cs="宋体"/>
          <w:sz w:val="24"/>
          <w:szCs w:val="24"/>
          <w:highlight w:val="none"/>
        </w:rPr>
        <w:t xml:space="preserve">①</w:t>
      </w:r>
      <w:r>
        <w:rPr>
          <w:rFonts w:ascii="宋体" w:hAnsi="宋体" w:cs="宋体"/>
          <w:sz w:val="24"/>
          <w:szCs w:val="24"/>
          <w:highlight w:val="none"/>
        </w:rPr>
        <w:fldChar w:fldCharType="end"/>
      </w:r>
      <w:r>
        <w:rPr>
          <w:rFonts w:hint="eastAsia" w:ascii="宋体" w:hAnsi="宋体" w:cs="宋体"/>
          <w:sz w:val="24"/>
          <w:szCs w:val="24"/>
          <w:highlight w:val="none"/>
        </w:rPr>
        <w:t xml:space="preserve">工作实施方案(最高为8分）</w:t>
      </w:r>
      <w:r/>
    </w:p>
    <w:p>
      <w:pPr>
        <w:ind w:firstLine="480"/>
        <w:spacing w:line="360" w:lineRule="auto"/>
        <w:tabs>
          <w:tab w:val="left" w:pos="425" w:leader="none"/>
          <w:tab w:val="left" w:pos="567" w:leader="none"/>
        </w:tabs>
        <w:rPr>
          <w:rFonts w:ascii="宋体" w:hAnsi="宋体" w:cs="宋体"/>
          <w:sz w:val="24"/>
          <w:szCs w:val="24"/>
          <w:highlight w:val="none"/>
        </w:rPr>
      </w:pPr>
      <w:r>
        <w:rPr>
          <w:rFonts w:hint="eastAsia" w:ascii="宋体" w:hAnsi="宋体" w:cs="宋体"/>
          <w:sz w:val="24"/>
          <w:szCs w:val="24"/>
          <w:highlight w:val="none"/>
        </w:rPr>
        <w:t xml:space="preserve">投标人针对本项目提供的服务要求及内</w:t>
      </w:r>
      <w:r>
        <w:rPr>
          <w:rFonts w:hint="eastAsia" w:ascii="宋体" w:hAnsi="宋体" w:cs="宋体"/>
          <w:sz w:val="24"/>
          <w:szCs w:val="24"/>
          <w:highlight w:val="none"/>
        </w:rPr>
        <w:t xml:space="preserve">容制定工作实施方案（包括工作规范、工作内容、工作程序、协审过程中如何关注建设管理情况、资料审核交付等方面），其方案满足本次协审工作需求，符合本项目协审工作特点，目标明确、措施具体，针对各项协审工作，有明确的工作程序说明且可执行度高的得8分；方案较为明确，基本满足本次采购需求，符合本项目特点，有目标、措施和工作程序、可执行度较高的为6分；方案不够详细，与项目特点符合度一般，目标和措施、工作程序及可执行度一般为4分；方案简单，与项目特点不够符合，目标和措施、工作程度及可执行度较差为2分；未提供相关说明的不得分。</w:t>
      </w:r>
      <w:r/>
    </w:p>
    <w:p>
      <w:pPr>
        <w:ind w:firstLine="480"/>
        <w:spacing w:line="360" w:lineRule="auto"/>
        <w:rPr>
          <w:rFonts w:ascii="宋体" w:hAnsi="宋体" w:cs="宋体"/>
          <w:sz w:val="24"/>
          <w:szCs w:val="24"/>
          <w:highlight w:val="none"/>
        </w:rPr>
      </w:pPr>
      <w:r>
        <w:rPr>
          <w:rFonts w:ascii="宋体" w:hAnsi="宋体" w:cs="宋体"/>
          <w:sz w:val="24"/>
          <w:szCs w:val="24"/>
          <w:highlight w:val="none"/>
        </w:rPr>
        <w:fldChar w:fldCharType="begin"/>
      </w:r>
      <w:r>
        <w:rPr>
          <w:rFonts w:ascii="宋体" w:hAnsi="宋体" w:cs="宋体"/>
          <w:sz w:val="24"/>
          <w:szCs w:val="24"/>
          <w:highlight w:val="none"/>
        </w:rPr>
        <w:instrText xml:space="preserve"> </w:instrText>
      </w:r>
      <w:r>
        <w:rPr>
          <w:rFonts w:hint="eastAsia" w:ascii="宋体" w:hAnsi="宋体" w:cs="宋体"/>
          <w:sz w:val="24"/>
          <w:szCs w:val="24"/>
          <w:highlight w:val="none"/>
        </w:rPr>
        <w:instrText xml:space="preserve">= 2 \* GB3</w:instrText>
      </w:r>
      <w:r>
        <w:rPr>
          <w:rFonts w:ascii="宋体" w:hAnsi="宋体" w:cs="宋体"/>
          <w:sz w:val="24"/>
          <w:szCs w:val="24"/>
          <w:highlight w:val="none"/>
        </w:rPr>
        <w:instrText xml:space="preserve"> </w:instrText>
      </w:r>
      <w:r>
        <w:rPr>
          <w:rFonts w:ascii="宋体" w:hAnsi="宋体" w:cs="宋体"/>
          <w:sz w:val="24"/>
          <w:szCs w:val="24"/>
          <w:highlight w:val="none"/>
        </w:rPr>
        <w:fldChar w:fldCharType="separate"/>
      </w:r>
      <w:r>
        <w:rPr>
          <w:rFonts w:hint="eastAsia" w:ascii="宋体" w:hAnsi="宋体" w:cs="宋体"/>
          <w:sz w:val="24"/>
          <w:szCs w:val="24"/>
          <w:highlight w:val="none"/>
        </w:rPr>
        <w:t xml:space="preserve">②</w:t>
      </w:r>
      <w:r>
        <w:rPr>
          <w:rFonts w:ascii="宋体" w:hAnsi="宋体" w:cs="宋体"/>
          <w:sz w:val="24"/>
          <w:szCs w:val="24"/>
          <w:highlight w:val="none"/>
        </w:rPr>
        <w:fldChar w:fldCharType="end"/>
      </w:r>
      <w:r>
        <w:rPr>
          <w:rFonts w:hint="eastAsia" w:ascii="宋体" w:hAnsi="宋体" w:cs="宋体"/>
          <w:sz w:val="24"/>
          <w:szCs w:val="24"/>
          <w:highlight w:val="none"/>
        </w:rPr>
        <w:t xml:space="preserve">协审工作要点分析和对应重难点解决措施（最高为6分）</w:t>
      </w:r>
      <w:r/>
    </w:p>
    <w:p>
      <w:pPr>
        <w:ind w:firstLine="480"/>
        <w:spacing w:line="360" w:lineRule="auto"/>
        <w:tabs>
          <w:tab w:val="left" w:pos="425" w:leader="none"/>
          <w:tab w:val="left" w:pos="567" w:leader="none"/>
        </w:tabs>
        <w:rPr>
          <w:rFonts w:ascii="宋体" w:hAnsi="宋体" w:cs="宋体"/>
          <w:sz w:val="24"/>
          <w:szCs w:val="24"/>
          <w:highlight w:val="none"/>
        </w:rPr>
      </w:pPr>
      <w:r>
        <w:rPr>
          <w:rFonts w:hint="eastAsia" w:ascii="宋体" w:hAnsi="宋体" w:cs="宋体"/>
          <w:sz w:val="24"/>
          <w:szCs w:val="24"/>
          <w:highlight w:val="none"/>
        </w:rPr>
        <w:t xml:space="preserve">接受</w:t>
      </w:r>
      <w:r>
        <w:rPr>
          <w:rFonts w:hint="eastAsia" w:ascii="宋体" w:hAnsi="宋体" w:cs="宋体"/>
          <w:sz w:val="24"/>
          <w:szCs w:val="24"/>
          <w:highlight w:val="none"/>
          <w:lang w:val="zh-CN"/>
        </w:rPr>
        <w:t xml:space="preserve">协审</w:t>
      </w:r>
      <w:r>
        <w:rPr>
          <w:rFonts w:hint="eastAsia" w:ascii="宋体" w:hAnsi="宋体" w:cs="宋体"/>
          <w:sz w:val="24"/>
          <w:szCs w:val="24"/>
          <w:highlight w:val="none"/>
        </w:rPr>
        <w:t xml:space="preserve">工作的</w:t>
      </w:r>
      <w:r>
        <w:rPr>
          <w:rFonts w:hint="eastAsia" w:ascii="宋体" w:hAnsi="宋体" w:cs="宋体"/>
          <w:sz w:val="24"/>
          <w:szCs w:val="24"/>
          <w:highlight w:val="none"/>
          <w:lang w:val="zh-CN"/>
        </w:rPr>
        <w:t xml:space="preserve">要点分析</w:t>
      </w:r>
      <w:r>
        <w:rPr>
          <w:rFonts w:hint="eastAsia" w:ascii="宋体" w:hAnsi="宋体" w:cs="宋体"/>
          <w:sz w:val="24"/>
          <w:szCs w:val="24"/>
          <w:highlight w:val="none"/>
        </w:rPr>
        <w:t xml:space="preserve">全面、</w:t>
      </w:r>
      <w:r>
        <w:rPr>
          <w:rFonts w:hint="eastAsia" w:ascii="宋体" w:hAnsi="宋体" w:cs="宋体"/>
          <w:sz w:val="24"/>
          <w:szCs w:val="24"/>
          <w:highlight w:val="none"/>
          <w:lang w:val="zh-CN"/>
        </w:rPr>
        <w:t xml:space="preserve">清晰合理、理解深刻，</w:t>
      </w:r>
      <w:r>
        <w:rPr>
          <w:rFonts w:hint="eastAsia" w:ascii="宋体" w:hAnsi="宋体" w:cs="宋体"/>
          <w:sz w:val="24"/>
          <w:szCs w:val="24"/>
          <w:highlight w:val="none"/>
        </w:rPr>
        <w:t xml:space="preserve">对应重难点有明确的解决措施且可执行度高的</w:t>
      </w:r>
      <w:r>
        <w:rPr>
          <w:rFonts w:hint="eastAsia" w:ascii="宋体" w:hAnsi="宋体" w:cs="宋体"/>
          <w:sz w:val="24"/>
          <w:szCs w:val="24"/>
          <w:highlight w:val="none"/>
          <w:lang w:val="zh-CN"/>
        </w:rPr>
        <w:t xml:space="preserve">得</w:t>
      </w:r>
      <w:r>
        <w:rPr>
          <w:rFonts w:hint="eastAsia" w:ascii="宋体" w:hAnsi="宋体" w:cs="宋体"/>
          <w:sz w:val="24"/>
          <w:szCs w:val="24"/>
          <w:highlight w:val="none"/>
        </w:rPr>
        <w:t xml:space="preserve">6</w:t>
      </w:r>
      <w:r>
        <w:rPr>
          <w:rFonts w:hint="eastAsia" w:ascii="宋体" w:hAnsi="宋体" w:cs="宋体"/>
          <w:sz w:val="24"/>
          <w:szCs w:val="24"/>
          <w:highlight w:val="none"/>
          <w:lang w:val="zh-CN"/>
        </w:rPr>
        <w:t xml:space="preserve">分；</w:t>
      </w:r>
      <w:r>
        <w:rPr>
          <w:rFonts w:hint="eastAsia" w:ascii="宋体" w:hAnsi="宋体" w:cs="宋体"/>
          <w:sz w:val="24"/>
          <w:szCs w:val="24"/>
          <w:highlight w:val="none"/>
        </w:rPr>
        <w:t xml:space="preserve">接受协审工作的</w:t>
      </w:r>
      <w:r>
        <w:rPr>
          <w:rFonts w:hint="eastAsia" w:ascii="宋体" w:hAnsi="宋体" w:cs="宋体"/>
          <w:sz w:val="24"/>
          <w:szCs w:val="24"/>
          <w:highlight w:val="none"/>
          <w:lang w:val="zh-CN"/>
        </w:rPr>
        <w:t xml:space="preserve">要点分析较</w:t>
      </w:r>
      <w:r>
        <w:rPr>
          <w:rFonts w:hint="eastAsia" w:ascii="宋体" w:hAnsi="宋体" w:cs="宋体"/>
          <w:sz w:val="24"/>
          <w:szCs w:val="24"/>
          <w:highlight w:val="none"/>
        </w:rPr>
        <w:t xml:space="preserve">全面、较为</w:t>
      </w:r>
      <w:r>
        <w:rPr>
          <w:rFonts w:hint="eastAsia" w:ascii="宋体" w:hAnsi="宋体" w:cs="宋体"/>
          <w:sz w:val="24"/>
          <w:szCs w:val="24"/>
          <w:highlight w:val="none"/>
          <w:lang w:val="zh-CN"/>
        </w:rPr>
        <w:t xml:space="preserve">清晰合理，</w:t>
      </w:r>
      <w:r>
        <w:rPr>
          <w:rFonts w:hint="eastAsia" w:ascii="宋体" w:hAnsi="宋体" w:cs="宋体"/>
          <w:sz w:val="24"/>
          <w:szCs w:val="24"/>
          <w:highlight w:val="none"/>
        </w:rPr>
        <w:t xml:space="preserve">对应重难点有解决措施且可执行度较好</w:t>
      </w:r>
      <w:r>
        <w:rPr>
          <w:rFonts w:hint="eastAsia" w:ascii="宋体" w:hAnsi="宋体" w:cs="宋体"/>
          <w:sz w:val="24"/>
          <w:szCs w:val="24"/>
          <w:highlight w:val="none"/>
          <w:lang w:val="zh-CN"/>
        </w:rPr>
        <w:t xml:space="preserve">的得</w:t>
      </w:r>
      <w:r>
        <w:rPr>
          <w:rFonts w:hint="eastAsia" w:ascii="宋体" w:hAnsi="宋体" w:cs="宋体"/>
          <w:sz w:val="24"/>
          <w:szCs w:val="24"/>
          <w:highlight w:val="none"/>
        </w:rPr>
        <w:t xml:space="preserve">4</w:t>
      </w:r>
      <w:r>
        <w:rPr>
          <w:rFonts w:hint="eastAsia" w:ascii="宋体" w:hAnsi="宋体" w:cs="宋体"/>
          <w:sz w:val="24"/>
          <w:szCs w:val="24"/>
          <w:highlight w:val="none"/>
          <w:lang w:val="zh-CN"/>
        </w:rPr>
        <w:t xml:space="preserve">分；</w:t>
      </w:r>
      <w:r>
        <w:rPr>
          <w:rFonts w:hint="eastAsia" w:ascii="宋体" w:hAnsi="宋体" w:cs="宋体"/>
          <w:sz w:val="24"/>
          <w:szCs w:val="24"/>
          <w:highlight w:val="none"/>
        </w:rPr>
        <w:t xml:space="preserve">接受协审工作的要点分析不够全面，对应重难点的解决措施不够明确可执行度一般的为2分；接受协审工作的要点分析较差，无对应重难点解决措施或所提供的解决措施可执行度较差的为1分；未提供相关说明的不得分。</w:t>
      </w:r>
      <w:r/>
    </w:p>
    <w:p>
      <w:pPr>
        <w:ind w:firstLine="480"/>
        <w:spacing w:line="360" w:lineRule="auto"/>
        <w:tabs>
          <w:tab w:val="left" w:pos="425" w:leader="none"/>
          <w:tab w:val="left" w:pos="567" w:leader="none"/>
        </w:tabs>
        <w:rPr>
          <w:rFonts w:ascii="宋体" w:hAnsi="宋体" w:cs="宋体"/>
          <w:sz w:val="24"/>
          <w:szCs w:val="24"/>
          <w:highlight w:val="none"/>
        </w:rPr>
      </w:pPr>
      <w:r>
        <w:rPr>
          <w:rFonts w:ascii="宋体" w:hAnsi="宋体" w:cs="宋体"/>
          <w:sz w:val="24"/>
          <w:szCs w:val="24"/>
          <w:highlight w:val="none"/>
        </w:rPr>
        <w:fldChar w:fldCharType="begin"/>
      </w:r>
      <w:r>
        <w:rPr>
          <w:rFonts w:ascii="宋体" w:hAnsi="宋体" w:cs="宋体"/>
          <w:sz w:val="24"/>
          <w:szCs w:val="24"/>
          <w:highlight w:val="none"/>
        </w:rPr>
        <w:instrText xml:space="preserve"> </w:instrText>
      </w:r>
      <w:r>
        <w:rPr>
          <w:rFonts w:hint="eastAsia" w:ascii="宋体" w:hAnsi="宋体" w:cs="宋体"/>
          <w:sz w:val="24"/>
          <w:szCs w:val="24"/>
          <w:highlight w:val="none"/>
        </w:rPr>
        <w:instrText xml:space="preserve">= 3 \* GB3</w:instrText>
      </w:r>
      <w:r>
        <w:rPr>
          <w:rFonts w:ascii="宋体" w:hAnsi="宋体" w:cs="宋体"/>
          <w:sz w:val="24"/>
          <w:szCs w:val="24"/>
          <w:highlight w:val="none"/>
        </w:rPr>
        <w:instrText xml:space="preserve"> </w:instrText>
      </w:r>
      <w:r>
        <w:rPr>
          <w:rFonts w:ascii="宋体" w:hAnsi="宋体" w:cs="宋体"/>
          <w:sz w:val="24"/>
          <w:szCs w:val="24"/>
          <w:highlight w:val="none"/>
        </w:rPr>
        <w:fldChar w:fldCharType="separate"/>
      </w:r>
      <w:r>
        <w:rPr>
          <w:rFonts w:hint="eastAsia" w:ascii="宋体" w:hAnsi="宋体" w:cs="宋体"/>
          <w:sz w:val="24"/>
          <w:szCs w:val="24"/>
          <w:highlight w:val="none"/>
        </w:rPr>
        <w:t xml:space="preserve">③</w:t>
      </w:r>
      <w:r>
        <w:rPr>
          <w:rFonts w:ascii="宋体" w:hAnsi="宋体" w:cs="宋体"/>
          <w:sz w:val="24"/>
          <w:szCs w:val="24"/>
          <w:highlight w:val="none"/>
        </w:rPr>
        <w:fldChar w:fldCharType="end"/>
      </w:r>
      <w:r>
        <w:rPr>
          <w:rFonts w:hint="eastAsia" w:ascii="宋体" w:hAnsi="宋体" w:cs="宋体"/>
          <w:sz w:val="24"/>
          <w:szCs w:val="24"/>
          <w:highlight w:val="none"/>
        </w:rPr>
        <w:t xml:space="preserve">项目进度保障措施和协审工作效率（最高为6分）</w:t>
      </w:r>
      <w:r/>
    </w:p>
    <w:p>
      <w:pPr>
        <w:ind w:firstLine="480"/>
        <w:spacing w:line="360" w:lineRule="auto"/>
        <w:tabs>
          <w:tab w:val="left" w:pos="425" w:leader="none"/>
          <w:tab w:val="left" w:pos="567" w:leader="none"/>
        </w:tabs>
        <w:rPr>
          <w:rFonts w:ascii="宋体" w:hAnsi="宋体" w:cs="宋体"/>
          <w:sz w:val="24"/>
          <w:szCs w:val="24"/>
          <w:highlight w:val="none"/>
        </w:rPr>
      </w:pPr>
      <w:r>
        <w:rPr>
          <w:rFonts w:hint="eastAsia" w:ascii="宋体" w:hAnsi="宋体" w:cs="宋体"/>
          <w:sz w:val="24"/>
          <w:szCs w:val="24"/>
          <w:highlight w:val="none"/>
        </w:rPr>
        <w:t xml:space="preserve">针对本项目协审工作的进度和人员安排合理、进度有明确的保障措施，对接受委托评审内容的协审工作要求的快速落实和协审人员的能力及工作效率提升、服务响应速度等交通的保障等有明确的措施，对协审工作的效率有明确的承诺及保障措施，且科学合理可执行度高为6分；安排较为合理、对协审工作的效率有明确的说明且保障措施较好，可执行度较高的为4分；安排合理性一般、对协审工作的效率的承诺和保障措施一般为2分；安排合理性较差或对协审工作的效率承诺的内容和保障措施较差为1分；未提供相关说明的不得分。</w:t>
      </w:r>
      <w:r/>
    </w:p>
    <w:p>
      <w:pPr>
        <w:ind w:firstLine="480"/>
        <w:spacing w:line="360" w:lineRule="auto"/>
        <w:rPr>
          <w:rFonts w:ascii="宋体" w:hAnsi="宋体" w:cs="宋体"/>
          <w:sz w:val="24"/>
          <w:szCs w:val="24"/>
          <w:highlight w:val="none"/>
        </w:rPr>
      </w:pPr>
      <w:r>
        <w:rPr>
          <w:rFonts w:ascii="宋体" w:hAnsi="宋体" w:cs="宋体"/>
          <w:sz w:val="24"/>
          <w:szCs w:val="24"/>
          <w:highlight w:val="none"/>
        </w:rPr>
        <w:fldChar w:fldCharType="begin"/>
      </w:r>
      <w:r>
        <w:rPr>
          <w:rFonts w:ascii="宋体" w:hAnsi="宋体" w:cs="宋体"/>
          <w:sz w:val="24"/>
          <w:szCs w:val="24"/>
          <w:highlight w:val="none"/>
        </w:rPr>
        <w:instrText xml:space="preserve"> </w:instrText>
      </w:r>
      <w:r>
        <w:rPr>
          <w:rFonts w:hint="eastAsia" w:ascii="宋体" w:hAnsi="宋体" w:cs="宋体"/>
          <w:sz w:val="24"/>
          <w:szCs w:val="24"/>
          <w:highlight w:val="none"/>
        </w:rPr>
        <w:instrText xml:space="preserve">= 4 \* GB3</w:instrText>
      </w:r>
      <w:r>
        <w:rPr>
          <w:rFonts w:ascii="宋体" w:hAnsi="宋体" w:cs="宋体"/>
          <w:sz w:val="24"/>
          <w:szCs w:val="24"/>
          <w:highlight w:val="none"/>
        </w:rPr>
        <w:instrText xml:space="preserve"> </w:instrText>
      </w:r>
      <w:r>
        <w:rPr>
          <w:rFonts w:ascii="宋体" w:hAnsi="宋体" w:cs="宋体"/>
          <w:sz w:val="24"/>
          <w:szCs w:val="24"/>
          <w:highlight w:val="none"/>
        </w:rPr>
        <w:fldChar w:fldCharType="separate"/>
      </w:r>
      <w:r>
        <w:rPr>
          <w:rFonts w:hint="eastAsia" w:ascii="宋体" w:hAnsi="宋体" w:cs="宋体"/>
          <w:sz w:val="24"/>
          <w:szCs w:val="24"/>
          <w:highlight w:val="none"/>
        </w:rPr>
        <w:t xml:space="preserve">④</w:t>
      </w:r>
      <w:r>
        <w:rPr>
          <w:rFonts w:ascii="宋体" w:hAnsi="宋体" w:cs="宋体"/>
          <w:sz w:val="24"/>
          <w:szCs w:val="24"/>
          <w:highlight w:val="none"/>
        </w:rPr>
        <w:fldChar w:fldCharType="end"/>
      </w:r>
      <w:r>
        <w:rPr>
          <w:rFonts w:hint="eastAsia" w:ascii="宋体" w:hAnsi="宋体" w:cs="宋体"/>
          <w:sz w:val="24"/>
          <w:szCs w:val="24"/>
          <w:highlight w:val="none"/>
        </w:rPr>
        <w:t xml:space="preserve">与本项目服务相关的组织协调方案（最高为4分）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分析服务内容工作开展中可能协调对接的相关单位和部门，分析对应的具体协调对接事项，提出建议的处理流程和工作要点：分析全面，可执行性强的，得4分；分析较为全面，可执行性较好的为3分；方案合理性全面向和可执行性一般为2分；方案不够合理可执行性较差为1分；未提供相关说明的不得分。</w:t>
      </w:r>
      <w:r/>
    </w:p>
    <w:p>
      <w:pPr>
        <w:ind w:firstLine="480"/>
        <w:spacing w:line="360" w:lineRule="auto"/>
        <w:tabs>
          <w:tab w:val="left" w:pos="425" w:leader="none"/>
          <w:tab w:val="left" w:pos="567" w:leader="none"/>
        </w:tabs>
        <w:rPr>
          <w:rFonts w:ascii="宋体" w:hAnsi="宋体" w:cs="宋体"/>
          <w:sz w:val="24"/>
          <w:szCs w:val="24"/>
          <w:highlight w:val="none"/>
        </w:rPr>
      </w:pPr>
      <w:r>
        <w:rPr>
          <w:rFonts w:hint="eastAsia" w:ascii="宋体" w:hAnsi="宋体" w:cs="宋体"/>
          <w:sz w:val="24"/>
          <w:szCs w:val="24"/>
          <w:highlight w:val="none"/>
        </w:rPr>
        <w:t xml:space="preserve">（2）与本项目服务相关的内部管理制度（最高为16分）</w:t>
      </w:r>
      <w:r/>
    </w:p>
    <w:p>
      <w:pPr>
        <w:ind w:firstLine="480"/>
        <w:spacing w:line="360" w:lineRule="auto"/>
        <w:tabs>
          <w:tab w:val="left" w:pos="425" w:leader="none"/>
          <w:tab w:val="left" w:pos="567" w:leader="none"/>
        </w:tabs>
        <w:rPr>
          <w:rFonts w:ascii="宋体" w:hAnsi="宋体" w:cs="宋体"/>
          <w:sz w:val="24"/>
          <w:szCs w:val="24"/>
          <w:highlight w:val="none"/>
        </w:rPr>
      </w:pPr>
      <w:r>
        <w:rPr>
          <w:rFonts w:hint="eastAsia" w:ascii="宋体" w:hAnsi="宋体" w:cs="宋体"/>
          <w:sz w:val="24"/>
          <w:szCs w:val="24"/>
          <w:highlight w:val="none"/>
        </w:rPr>
        <w:t xml:space="preserve">主要简述投标单位内部与本项目服务相关的各项管理制以及制度可执行性情况，包括人员组织、人员培训、职业操守、廉洁自律、财务制度、档案管理和保密制度、质量控制制度等，附相关制度文件。评分要点：</w:t>
      </w:r>
      <w:r/>
    </w:p>
    <w:p>
      <w:pPr>
        <w:ind w:firstLine="480"/>
        <w:spacing w:line="360" w:lineRule="auto"/>
        <w:rPr>
          <w:rFonts w:ascii="宋体" w:hAnsi="宋体" w:cs="宋体"/>
          <w:sz w:val="24"/>
          <w:szCs w:val="24"/>
          <w:highlight w:val="none"/>
        </w:rPr>
      </w:pPr>
      <w:r>
        <w:rPr>
          <w:rFonts w:ascii="宋体" w:hAnsi="宋体" w:cs="宋体"/>
          <w:sz w:val="24"/>
          <w:szCs w:val="24"/>
          <w:highlight w:val="none"/>
        </w:rPr>
        <w:fldChar w:fldCharType="begin"/>
      </w:r>
      <w:r>
        <w:rPr>
          <w:rFonts w:ascii="宋体" w:hAnsi="宋体" w:cs="宋体"/>
          <w:sz w:val="24"/>
          <w:szCs w:val="24"/>
          <w:highlight w:val="none"/>
        </w:rPr>
        <w:instrText xml:space="preserve"> </w:instrText>
      </w:r>
      <w:r>
        <w:rPr>
          <w:rFonts w:hint="eastAsia" w:ascii="宋体" w:hAnsi="宋体" w:cs="宋体"/>
          <w:sz w:val="24"/>
          <w:szCs w:val="24"/>
          <w:highlight w:val="none"/>
        </w:rPr>
        <w:instrText xml:space="preserve">= 1 \* GB3</w:instrText>
      </w:r>
      <w:r>
        <w:rPr>
          <w:rFonts w:ascii="宋体" w:hAnsi="宋体" w:cs="宋体"/>
          <w:sz w:val="24"/>
          <w:szCs w:val="24"/>
          <w:highlight w:val="none"/>
        </w:rPr>
        <w:instrText xml:space="preserve"> </w:instrText>
      </w:r>
      <w:r>
        <w:rPr>
          <w:rFonts w:ascii="宋体" w:hAnsi="宋体" w:cs="宋体"/>
          <w:sz w:val="24"/>
          <w:szCs w:val="24"/>
          <w:highlight w:val="none"/>
        </w:rPr>
        <w:fldChar w:fldCharType="separate"/>
      </w:r>
      <w:r>
        <w:rPr>
          <w:rFonts w:hint="eastAsia" w:ascii="宋体" w:hAnsi="宋体" w:cs="宋体"/>
          <w:sz w:val="24"/>
          <w:szCs w:val="24"/>
          <w:highlight w:val="none"/>
        </w:rPr>
        <w:t xml:space="preserve">①</w:t>
      </w:r>
      <w:r>
        <w:rPr>
          <w:rFonts w:ascii="宋体" w:hAnsi="宋体" w:cs="宋体"/>
          <w:sz w:val="24"/>
          <w:szCs w:val="24"/>
          <w:highlight w:val="none"/>
        </w:rPr>
        <w:fldChar w:fldCharType="end"/>
      </w:r>
      <w:r>
        <w:rPr>
          <w:rFonts w:hint="eastAsia" w:ascii="宋体" w:hAnsi="宋体" w:cs="宋体"/>
          <w:sz w:val="24"/>
          <w:szCs w:val="24"/>
          <w:highlight w:val="none"/>
        </w:rPr>
        <w:t xml:space="preserve">人事管理制度（要有人员组织架构、人员教育培训机制、职业操守、廉政自律教育等相关内容）：最高为4分；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人事管理制度内容全面完整，组织架构、培训机制及廉政自律教育等内容具体明确，可行性高的得4分；人事管理制度内容较为完整，组织架构、培训机制及廉政自律教育等内容较为具体明确，可行性较高的得3分；人事管理制度内容不够全面，组织架构、培训机制及廉政自律教育等内容不够明确，可行性一般为2分；人事管理制度内容较少，组织架构、培训机制及廉政自律教育等内容较为简单，可行性较差的得1分；未提供相关内容的不得分。</w:t>
      </w:r>
      <w:r/>
    </w:p>
    <w:p>
      <w:pPr>
        <w:ind w:firstLine="480"/>
        <w:spacing w:line="360" w:lineRule="auto"/>
        <w:rPr>
          <w:rFonts w:ascii="宋体" w:hAnsi="宋体" w:cs="宋体"/>
          <w:sz w:val="24"/>
          <w:szCs w:val="24"/>
          <w:highlight w:val="none"/>
        </w:rPr>
      </w:pPr>
      <w:r>
        <w:rPr>
          <w:rFonts w:ascii="宋体" w:hAnsi="宋体" w:cs="宋体"/>
          <w:sz w:val="24"/>
          <w:szCs w:val="24"/>
          <w:highlight w:val="none"/>
        </w:rPr>
        <w:fldChar w:fldCharType="begin"/>
      </w:r>
      <w:r>
        <w:rPr>
          <w:rFonts w:ascii="宋体" w:hAnsi="宋体" w:cs="宋体"/>
          <w:sz w:val="24"/>
          <w:szCs w:val="24"/>
          <w:highlight w:val="none"/>
        </w:rPr>
        <w:instrText xml:space="preserve"> </w:instrText>
      </w:r>
      <w:r>
        <w:rPr>
          <w:rFonts w:hint="eastAsia" w:ascii="宋体" w:hAnsi="宋体" w:cs="宋体"/>
          <w:sz w:val="24"/>
          <w:szCs w:val="24"/>
          <w:highlight w:val="none"/>
        </w:rPr>
        <w:instrText xml:space="preserve">= 2 \* GB3</w:instrText>
      </w:r>
      <w:r>
        <w:rPr>
          <w:rFonts w:ascii="宋体" w:hAnsi="宋体" w:cs="宋体"/>
          <w:sz w:val="24"/>
          <w:szCs w:val="24"/>
          <w:highlight w:val="none"/>
        </w:rPr>
        <w:instrText xml:space="preserve"> </w:instrText>
      </w:r>
      <w:r>
        <w:rPr>
          <w:rFonts w:ascii="宋体" w:hAnsi="宋体" w:cs="宋体"/>
          <w:sz w:val="24"/>
          <w:szCs w:val="24"/>
          <w:highlight w:val="none"/>
        </w:rPr>
        <w:fldChar w:fldCharType="separate"/>
      </w:r>
      <w:r>
        <w:rPr>
          <w:rFonts w:hint="eastAsia" w:ascii="宋体" w:hAnsi="宋体" w:cs="宋体"/>
          <w:sz w:val="24"/>
          <w:szCs w:val="24"/>
          <w:highlight w:val="none"/>
        </w:rPr>
        <w:t xml:space="preserve">②</w:t>
      </w:r>
      <w:r>
        <w:rPr>
          <w:rFonts w:ascii="宋体" w:hAnsi="宋体" w:cs="宋体"/>
          <w:sz w:val="24"/>
          <w:szCs w:val="24"/>
          <w:highlight w:val="none"/>
        </w:rPr>
        <w:fldChar w:fldCharType="end"/>
      </w:r>
      <w:r>
        <w:rPr>
          <w:rFonts w:hint="eastAsia" w:ascii="宋体" w:hAnsi="宋体" w:cs="宋体"/>
          <w:sz w:val="24"/>
          <w:szCs w:val="24"/>
          <w:highlight w:val="none"/>
        </w:rPr>
        <w:t xml:space="preserve">企业财务制度及档案管理制度（企业财务管理制度流程规范、操作性强，档案管理制度科学合理、归档严格、强化监管）：最高为4分；</w:t>
      </w:r>
      <w:r/>
    </w:p>
    <w:p>
      <w:pPr>
        <w:ind w:firstLine="480"/>
        <w:spacing w:line="360" w:lineRule="auto"/>
        <w:tabs>
          <w:tab w:val="left" w:pos="425" w:leader="none"/>
          <w:tab w:val="left" w:pos="567" w:leader="none"/>
        </w:tabs>
        <w:rPr>
          <w:rFonts w:ascii="宋体" w:hAnsi="宋体" w:cs="宋体"/>
          <w:sz w:val="24"/>
          <w:szCs w:val="24"/>
          <w:highlight w:val="none"/>
        </w:rPr>
      </w:pPr>
      <w:r>
        <w:rPr>
          <w:rFonts w:hint="eastAsia" w:ascii="宋体" w:hAnsi="宋体" w:cs="宋体"/>
          <w:sz w:val="24"/>
          <w:szCs w:val="24"/>
          <w:highlight w:val="none"/>
        </w:rPr>
        <w:t xml:space="preserve">企业财务制度及档案管理制度完整，各项制度流程规范合理，可行性高的得4分；企业财务制度及档案管理制度较为完整，各项制度流程较为规范合理，可行性较高的得3分；企业财务制度及档案管理制度不够详细，各项制度流程较为简单，可行性一般为2分；企业财务制度及档案管理制度简单片面，各项制度流程不够规范合理，可行性较差的得1分；未提供相关内容的不得分。</w:t>
      </w:r>
      <w:r/>
    </w:p>
    <w:p>
      <w:pPr>
        <w:ind w:firstLine="480"/>
        <w:spacing w:line="360" w:lineRule="auto"/>
        <w:rPr>
          <w:rFonts w:ascii="宋体" w:hAnsi="宋体" w:cs="宋体"/>
          <w:sz w:val="24"/>
          <w:szCs w:val="24"/>
          <w:highlight w:val="none"/>
        </w:rPr>
      </w:pPr>
      <w:r>
        <w:rPr>
          <w:rFonts w:ascii="宋体" w:hAnsi="宋体" w:cs="宋体"/>
          <w:sz w:val="24"/>
          <w:szCs w:val="24"/>
          <w:highlight w:val="none"/>
        </w:rPr>
        <w:fldChar w:fldCharType="begin"/>
      </w:r>
      <w:r>
        <w:rPr>
          <w:rFonts w:ascii="宋体" w:hAnsi="宋体" w:cs="宋体"/>
          <w:sz w:val="24"/>
          <w:szCs w:val="24"/>
          <w:highlight w:val="none"/>
        </w:rPr>
        <w:instrText xml:space="preserve"> </w:instrText>
      </w:r>
      <w:r>
        <w:rPr>
          <w:rFonts w:hint="eastAsia" w:ascii="宋体" w:hAnsi="宋体" w:cs="宋体"/>
          <w:sz w:val="24"/>
          <w:szCs w:val="24"/>
          <w:highlight w:val="none"/>
        </w:rPr>
        <w:instrText xml:space="preserve">= 3 \* GB3</w:instrText>
      </w:r>
      <w:r>
        <w:rPr>
          <w:rFonts w:ascii="宋体" w:hAnsi="宋体" w:cs="宋体"/>
          <w:sz w:val="24"/>
          <w:szCs w:val="24"/>
          <w:highlight w:val="none"/>
        </w:rPr>
        <w:instrText xml:space="preserve"> </w:instrText>
      </w:r>
      <w:r>
        <w:rPr>
          <w:rFonts w:ascii="宋体" w:hAnsi="宋体" w:cs="宋体"/>
          <w:sz w:val="24"/>
          <w:szCs w:val="24"/>
          <w:highlight w:val="none"/>
        </w:rPr>
        <w:fldChar w:fldCharType="separate"/>
      </w:r>
      <w:r>
        <w:rPr>
          <w:rFonts w:hint="eastAsia" w:ascii="宋体" w:hAnsi="宋体" w:cs="宋体"/>
          <w:sz w:val="24"/>
          <w:szCs w:val="24"/>
          <w:highlight w:val="none"/>
        </w:rPr>
        <w:t xml:space="preserve">③</w:t>
      </w:r>
      <w:r>
        <w:rPr>
          <w:rFonts w:ascii="宋体" w:hAnsi="宋体" w:cs="宋体"/>
          <w:sz w:val="24"/>
          <w:szCs w:val="24"/>
          <w:highlight w:val="none"/>
        </w:rPr>
        <w:fldChar w:fldCharType="end"/>
      </w:r>
      <w:r>
        <w:rPr>
          <w:rFonts w:hint="eastAsia" w:ascii="宋体" w:hAnsi="宋体" w:cs="宋体"/>
          <w:sz w:val="24"/>
          <w:szCs w:val="24"/>
          <w:highlight w:val="none"/>
        </w:rPr>
        <w:t xml:space="preserve">保密制度：最高为4分；</w:t>
      </w:r>
      <w:r/>
    </w:p>
    <w:p>
      <w:pPr>
        <w:ind w:firstLine="480"/>
        <w:spacing w:line="360" w:lineRule="auto"/>
        <w:tabs>
          <w:tab w:val="left" w:pos="425" w:leader="none"/>
          <w:tab w:val="left" w:pos="567" w:leader="none"/>
        </w:tabs>
        <w:rPr>
          <w:rFonts w:ascii="宋体" w:hAnsi="宋体" w:cs="宋体"/>
          <w:sz w:val="24"/>
          <w:szCs w:val="24"/>
          <w:highlight w:val="none"/>
        </w:rPr>
      </w:pPr>
      <w:r>
        <w:rPr>
          <w:rFonts w:hint="eastAsia" w:ascii="宋体" w:hAnsi="宋体" w:cs="宋体"/>
          <w:sz w:val="24"/>
          <w:szCs w:val="24"/>
          <w:highlight w:val="none"/>
        </w:rPr>
        <w:t xml:space="preserve">保密制度健全完整，各项保密措施设置科学合理，可行性高的得4分；保密制度较为完整，各项保密措施设置较为科学合理，可行性较高的得3分；保密制度不够详细，各项保密措施可行性一般为2分；保密制度简单片面，各项保密措施设置不够科学合理，可行性较低的得1分；未提供相关内容的不得分。</w:t>
      </w:r>
      <w:r/>
    </w:p>
    <w:p>
      <w:pPr>
        <w:ind w:firstLine="480"/>
        <w:spacing w:line="360" w:lineRule="auto"/>
        <w:rPr>
          <w:rFonts w:ascii="宋体" w:hAnsi="宋体" w:cs="宋体"/>
          <w:sz w:val="24"/>
          <w:szCs w:val="24"/>
          <w:highlight w:val="none"/>
        </w:rPr>
      </w:pPr>
      <w:r>
        <w:rPr>
          <w:rFonts w:ascii="宋体" w:hAnsi="宋体" w:cs="宋体"/>
          <w:sz w:val="24"/>
          <w:szCs w:val="24"/>
          <w:highlight w:val="none"/>
        </w:rPr>
        <w:fldChar w:fldCharType="begin"/>
      </w:r>
      <w:r>
        <w:rPr>
          <w:rFonts w:ascii="宋体" w:hAnsi="宋体" w:cs="宋体"/>
          <w:sz w:val="24"/>
          <w:szCs w:val="24"/>
          <w:highlight w:val="none"/>
        </w:rPr>
        <w:instrText xml:space="preserve"> </w:instrText>
      </w:r>
      <w:r>
        <w:rPr>
          <w:rFonts w:hint="eastAsia" w:ascii="宋体" w:hAnsi="宋体" w:cs="宋体"/>
          <w:sz w:val="24"/>
          <w:szCs w:val="24"/>
          <w:highlight w:val="none"/>
        </w:rPr>
        <w:instrText xml:space="preserve">= 4 \* GB3</w:instrText>
      </w:r>
      <w:r>
        <w:rPr>
          <w:rFonts w:ascii="宋体" w:hAnsi="宋体" w:cs="宋体"/>
          <w:sz w:val="24"/>
          <w:szCs w:val="24"/>
          <w:highlight w:val="none"/>
        </w:rPr>
        <w:instrText xml:space="preserve"> </w:instrText>
      </w:r>
      <w:r>
        <w:rPr>
          <w:rFonts w:ascii="宋体" w:hAnsi="宋体" w:cs="宋体"/>
          <w:sz w:val="24"/>
          <w:szCs w:val="24"/>
          <w:highlight w:val="none"/>
        </w:rPr>
        <w:fldChar w:fldCharType="separate"/>
      </w:r>
      <w:r>
        <w:rPr>
          <w:rFonts w:hint="eastAsia" w:ascii="宋体" w:hAnsi="宋体" w:cs="宋体"/>
          <w:sz w:val="24"/>
          <w:szCs w:val="24"/>
          <w:highlight w:val="none"/>
        </w:rPr>
        <w:t xml:space="preserve">④</w:t>
      </w:r>
      <w:r>
        <w:rPr>
          <w:rFonts w:ascii="宋体" w:hAnsi="宋体" w:cs="宋体"/>
          <w:sz w:val="24"/>
          <w:szCs w:val="24"/>
          <w:highlight w:val="none"/>
        </w:rPr>
        <w:fldChar w:fldCharType="end"/>
      </w:r>
      <w:r>
        <w:rPr>
          <w:rFonts w:hint="eastAsia" w:ascii="宋体" w:hAnsi="宋体" w:cs="宋体"/>
          <w:sz w:val="24"/>
          <w:szCs w:val="24"/>
          <w:highlight w:val="none"/>
        </w:rPr>
        <w:t xml:space="preserve">质量控制制度（要有业务复核机制、质量保证措施等内控制度相关内容）：最高为4分；</w:t>
      </w:r>
      <w:r/>
    </w:p>
    <w:p>
      <w:pPr>
        <w:ind w:firstLine="480"/>
        <w:spacing w:line="360" w:lineRule="auto"/>
        <w:tabs>
          <w:tab w:val="left" w:pos="425" w:leader="none"/>
          <w:tab w:val="left" w:pos="567" w:leader="none"/>
        </w:tabs>
        <w:rPr>
          <w:rFonts w:ascii="宋体" w:hAnsi="宋体" w:cs="宋体"/>
          <w:sz w:val="24"/>
          <w:szCs w:val="24"/>
          <w:highlight w:val="none"/>
        </w:rPr>
      </w:pPr>
      <w:r/>
      <w:bookmarkStart w:id="53" w:name="_GoBack"/>
      <w:r>
        <w:rPr>
          <w:rFonts w:hint="eastAsia" w:ascii="宋体" w:hAnsi="宋体" w:cs="宋体"/>
          <w:sz w:val="24"/>
          <w:szCs w:val="24"/>
          <w:highlight w:val="none"/>
        </w:rPr>
        <w:t xml:space="preserve">质量控制制度内容全面完整，业务复核机制及各项质量保证措施划分具体明确，可行性高的得4分；质量控制制度内容较为完整，业务复核机制及各项质量保证措施划分较为具体明确，可行性较高的得3分；质量控制制度内容不够全面，业务复核机制及各项质量保证措施可行性一般的得2分；质量控制制度内容较少，业务复核机制及各项质量保证措施可行性较差的得1分；未提供相关内容的不得分。</w:t>
      </w:r>
      <w:bookmarkEnd w:id="53"/>
      <w:r/>
      <w:r/>
    </w:p>
    <w:p>
      <w:pPr>
        <w:ind w:firstLine="482"/>
        <w:spacing w:line="360" w:lineRule="auto"/>
        <w:tabs>
          <w:tab w:val="left" w:pos="425" w:leader="none"/>
          <w:tab w:val="left" w:pos="567" w:leader="none"/>
        </w:tabs>
        <w:rPr>
          <w:rFonts w:hint="eastAsia" w:ascii="宋体" w:hAnsi="宋体" w:cs="宋体"/>
          <w:b/>
          <w:sz w:val="24"/>
          <w:szCs w:val="24"/>
          <w:highlight w:val="none"/>
        </w:rPr>
      </w:pPr>
      <w:r>
        <w:rPr>
          <w:rFonts w:hint="eastAsia" w:ascii="宋体" w:hAnsi="宋体" w:cs="宋体"/>
          <w:b/>
          <w:sz w:val="24"/>
          <w:szCs w:val="24"/>
          <w:highlight w:val="none"/>
        </w:rPr>
      </w:r>
      <w:r/>
    </w:p>
    <w:p>
      <w:pPr>
        <w:ind w:firstLine="482"/>
        <w:spacing w:line="360" w:lineRule="auto"/>
        <w:tabs>
          <w:tab w:val="left" w:pos="425" w:leader="none"/>
          <w:tab w:val="left" w:pos="567" w:leader="none"/>
        </w:tabs>
        <w:rPr>
          <w:rFonts w:ascii="宋体" w:hAnsi="宋体" w:cs="宋体"/>
          <w:b/>
          <w:sz w:val="24"/>
          <w:szCs w:val="24"/>
          <w:highlight w:val="none"/>
          <w:lang w:val="zh-CN"/>
        </w:rPr>
      </w:pPr>
      <w:r>
        <w:rPr>
          <w:rFonts w:hint="eastAsia" w:ascii="宋体" w:hAnsi="宋体" w:cs="宋体"/>
          <w:b/>
          <w:sz w:val="24"/>
          <w:szCs w:val="24"/>
          <w:highlight w:val="none"/>
        </w:rPr>
        <w:t xml:space="preserve">四、评标其他说明</w:t>
      </w:r>
      <w:r>
        <w:rPr>
          <w:rFonts w:hint="eastAsia" w:ascii="宋体" w:hAnsi="宋体" w:cs="宋体"/>
          <w:b/>
          <w:sz w:val="24"/>
          <w:szCs w:val="24"/>
          <w:highlight w:val="none"/>
          <w:lang w:val="zh-CN"/>
        </w:rPr>
        <w:t xml:space="preserve">：</w:t>
      </w:r>
      <w:r/>
    </w:p>
    <w:p>
      <w:pPr>
        <w:ind w:firstLine="482"/>
        <w:spacing w:line="360" w:lineRule="auto"/>
        <w:tabs>
          <w:tab w:val="left" w:pos="425" w:leader="none"/>
          <w:tab w:val="left" w:pos="567" w:leader="none"/>
        </w:tabs>
        <w:rPr>
          <w:rFonts w:ascii="宋体" w:hAnsi="宋体" w:cs="宋体"/>
          <w:b/>
          <w:sz w:val="24"/>
          <w:szCs w:val="24"/>
          <w:highlight w:val="none"/>
          <w:lang w:val="zh-CN"/>
        </w:rPr>
      </w:pPr>
      <w:r>
        <w:rPr>
          <w:rFonts w:hint="eastAsia" w:ascii="宋体" w:hAnsi="宋体" w:cs="宋体"/>
          <w:b/>
          <w:sz w:val="24"/>
          <w:szCs w:val="24"/>
          <w:highlight w:val="none"/>
          <w:lang w:val="zh-CN"/>
        </w:rPr>
        <w:t xml:space="preserve">针对评分标准中评分的每一条，投标单位均应提供相关资料并作出相应说明供评委评判，不提供相关资料的视为不具备该项得分的条件，资料须编好目录及页码。</w:t>
      </w:r>
      <w:r/>
    </w:p>
    <w:p>
      <w:pPr>
        <w:pStyle w:val="764"/>
        <w:ind w:firstLine="482"/>
        <w:spacing w:line="360" w:lineRule="auto"/>
        <w:rPr>
          <w:rFonts w:hint="eastAsia" w:hAnsi="宋体"/>
          <w:b/>
          <w:bCs/>
          <w:sz w:val="24"/>
          <w:szCs w:val="24"/>
          <w:highlight w:val="none"/>
        </w:rPr>
      </w:pPr>
      <w:r>
        <w:rPr>
          <w:rFonts w:hint="eastAsia" w:hAnsi="宋体"/>
          <w:b/>
          <w:bCs/>
          <w:sz w:val="24"/>
          <w:szCs w:val="24"/>
          <w:highlight w:val="none"/>
        </w:rPr>
      </w:r>
      <w:r/>
    </w:p>
    <w:p>
      <w:pPr>
        <w:pStyle w:val="764"/>
        <w:ind w:firstLine="482"/>
        <w:spacing w:line="360" w:lineRule="auto"/>
        <w:rPr>
          <w:rFonts w:hint="eastAsia" w:hAnsi="宋体"/>
          <w:b/>
          <w:bCs/>
          <w:sz w:val="24"/>
          <w:szCs w:val="24"/>
          <w:highlight w:val="none"/>
        </w:rPr>
      </w:pPr>
      <w:r>
        <w:rPr>
          <w:rFonts w:hint="eastAsia" w:hAnsi="宋体"/>
          <w:b/>
          <w:bCs/>
          <w:sz w:val="24"/>
          <w:szCs w:val="24"/>
          <w:highlight w:val="none"/>
        </w:rPr>
      </w:r>
      <w:r/>
    </w:p>
    <w:p>
      <w:pPr>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p>
      <w:pPr>
        <w:pStyle w:val="735"/>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numPr>
          <w:ilvl w:val="0"/>
          <w:numId w:val="9"/>
        </w:numPr>
        <w:jc w:val="center"/>
        <w:spacing w:line="360" w:lineRule="auto"/>
        <w:rPr>
          <w:rFonts w:hint="eastAsia" w:ascii="宋体" w:hAnsi="宋体"/>
          <w:b/>
          <w:color w:val="auto"/>
          <w:sz w:val="30"/>
          <w:szCs w:val="30"/>
          <w:highlight w:val="none"/>
          <w:lang w:val="en-US" w:eastAsia="zh-CN"/>
        </w:rPr>
      </w:pPr>
      <w:r>
        <w:rPr>
          <w:rFonts w:hint="eastAsia" w:ascii="宋体" w:hAnsi="宋体"/>
          <w:b/>
          <w:color w:val="auto"/>
          <w:sz w:val="30"/>
          <w:szCs w:val="30"/>
          <w:highlight w:val="none"/>
        </w:rPr>
        <w:t xml:space="preserve"> </w:t>
      </w:r>
      <w:r>
        <w:rPr>
          <w:rFonts w:hint="eastAsia" w:ascii="宋体" w:hAnsi="宋体"/>
          <w:b/>
          <w:color w:val="auto"/>
          <w:sz w:val="30"/>
          <w:szCs w:val="30"/>
          <w:highlight w:val="none"/>
          <w:lang w:val="en-US" w:eastAsia="zh-CN"/>
        </w:rPr>
        <w:t xml:space="preserve">合同主要条款及格式</w:t>
      </w:r>
      <w:r/>
    </w:p>
    <w:p>
      <w:pPr>
        <w:ind w:firstLine="480"/>
        <w:spacing w:line="360" w:lineRule="auto"/>
        <w:rPr>
          <w:rFonts w:hint="eastAsia" w:ascii="Times New Roman" w:hAnsi="宋体"/>
          <w:sz w:val="24"/>
          <w:szCs w:val="24"/>
          <w:highlight w:val="none"/>
          <w:lang w:val="en-US" w:eastAsia="zh-CN"/>
        </w:rPr>
      </w:pPr>
      <w:r>
        <w:rPr>
          <w:rFonts w:hint="eastAsia" w:ascii="Times New Roman" w:hAnsi="宋体"/>
          <w:sz w:val="24"/>
          <w:szCs w:val="24"/>
          <w:highlight w:val="none"/>
          <w:lang w:val="en-US" w:eastAsia="zh-CN"/>
        </w:rPr>
        <w:t xml:space="preserve">合同编号：</w:t>
      </w:r>
      <w:r/>
    </w:p>
    <w:p>
      <w:pPr>
        <w:ind w:firstLine="480"/>
        <w:spacing w:line="360" w:lineRule="auto"/>
        <w:rPr>
          <w:rFonts w:hint="eastAsia" w:ascii="Times New Roman" w:hAnsi="宋体"/>
          <w:sz w:val="24"/>
          <w:szCs w:val="24"/>
          <w:highlight w:val="none"/>
          <w:lang w:val="en-US" w:eastAsia="zh-CN"/>
        </w:rPr>
      </w:pPr>
      <w:r>
        <w:rPr>
          <w:rFonts w:hint="eastAsia" w:ascii="Times New Roman" w:hAnsi="宋体"/>
          <w:sz w:val="24"/>
          <w:szCs w:val="24"/>
          <w:highlight w:val="none"/>
          <w:lang w:val="en-US" w:eastAsia="zh-CN"/>
        </w:rPr>
        <w:t xml:space="preserve">甲方（采购单位）：                                   （以下简称甲方）</w:t>
      </w:r>
      <w:r/>
    </w:p>
    <w:p>
      <w:pPr>
        <w:ind w:firstLine="480"/>
        <w:spacing w:line="360" w:lineRule="auto"/>
        <w:rPr>
          <w:rFonts w:hint="default" w:ascii="Times New Roman" w:hAnsi="宋体"/>
          <w:sz w:val="24"/>
          <w:szCs w:val="24"/>
          <w:highlight w:val="none"/>
          <w:lang w:val="en-US" w:eastAsia="zh-CN"/>
        </w:rPr>
      </w:pPr>
      <w:r>
        <w:rPr>
          <w:rFonts w:hint="eastAsia" w:ascii="Times New Roman" w:hAnsi="宋体"/>
          <w:sz w:val="24"/>
          <w:szCs w:val="24"/>
          <w:highlight w:val="none"/>
          <w:lang w:val="en-US" w:eastAsia="zh-CN"/>
        </w:rPr>
        <w:t xml:space="preserve">乙方（成交单位）：                                   （以下简称乙方）</w:t>
      </w:r>
      <w:r/>
    </w:p>
    <w:p>
      <w:pPr>
        <w:ind w:firstLine="480"/>
        <w:spacing w:line="360" w:lineRule="auto"/>
        <w:rPr>
          <w:rFonts w:ascii="Times New Roman" w:hAnsi="Times New Roman"/>
          <w:sz w:val="24"/>
          <w:szCs w:val="24"/>
          <w:highlight w:val="none"/>
        </w:rPr>
      </w:pPr>
      <w:r>
        <w:rPr>
          <w:rFonts w:ascii="Times New Roman" w:hAnsi="宋体"/>
          <w:sz w:val="24"/>
          <w:szCs w:val="24"/>
          <w:highlight w:val="none"/>
        </w:rPr>
        <w:t xml:space="preserve">根据相城区政府采购招标编号</w:t>
      </w:r>
      <w:r>
        <w:rPr>
          <w:rFonts w:hint="eastAsia" w:ascii="Times New Roman" w:hAnsi="Times New Roman"/>
          <w:sz w:val="24"/>
          <w:szCs w:val="24"/>
          <w:highlight w:val="none"/>
          <w:lang w:eastAsia="zh-CN"/>
        </w:rPr>
        <w:t xml:space="preserve">JSZC-320507-SZRQ-C2026-0010</w:t>
      </w:r>
      <w:r>
        <w:rPr>
          <w:rFonts w:ascii="Times New Roman" w:hAnsi="宋体"/>
          <w:sz w:val="24"/>
          <w:szCs w:val="24"/>
          <w:highlight w:val="none"/>
        </w:rPr>
        <w:t xml:space="preserve">招标文件及乙方的投标文件和中标通知书，甲乙双方就此次中标的</w:t>
      </w:r>
      <w:r>
        <w:rPr>
          <w:rFonts w:ascii="Times New Roman" w:hAnsi="Times New Roman"/>
          <w:sz w:val="24"/>
          <w:szCs w:val="24"/>
          <w:highlight w:val="none"/>
          <w:u w:val="single"/>
        </w:rPr>
        <w:t xml:space="preserve">              </w:t>
      </w:r>
      <w:r>
        <w:rPr>
          <w:rFonts w:ascii="Times New Roman" w:hAnsi="宋体"/>
          <w:sz w:val="24"/>
          <w:szCs w:val="24"/>
          <w:highlight w:val="none"/>
        </w:rPr>
        <w:t xml:space="preserve">事宜，签订本合同书。</w:t>
      </w:r>
      <w:r/>
    </w:p>
    <w:p>
      <w:pPr>
        <w:ind w:firstLine="482"/>
        <w:spacing w:line="360" w:lineRule="auto"/>
        <w:rPr>
          <w:rFonts w:ascii="Times New Roman" w:hAnsi="Times New Roman"/>
          <w:b/>
          <w:sz w:val="24"/>
          <w:szCs w:val="24"/>
          <w:highlight w:val="none"/>
        </w:rPr>
      </w:pPr>
      <w:r>
        <w:rPr>
          <w:rFonts w:ascii="Times New Roman" w:hAnsi="宋体"/>
          <w:b/>
          <w:sz w:val="24"/>
          <w:szCs w:val="24"/>
          <w:highlight w:val="none"/>
        </w:rPr>
        <w:t xml:space="preserve">一、乙方通过招投标获得</w:t>
      </w:r>
      <w:r>
        <w:rPr>
          <w:rFonts w:hint="eastAsia" w:ascii="Times New Roman" w:hAnsi="Times New Roman"/>
          <w:b/>
          <w:sz w:val="24"/>
          <w:szCs w:val="24"/>
          <w:highlight w:val="none"/>
          <w:lang w:eastAsia="zh-CN"/>
        </w:rPr>
        <w:t xml:space="preserve">202</w:t>
      </w:r>
      <w:r>
        <w:rPr>
          <w:rFonts w:hint="eastAsia" w:ascii="Times New Roman" w:hAnsi="Times New Roman"/>
          <w:b/>
          <w:sz w:val="24"/>
          <w:szCs w:val="24"/>
          <w:highlight w:val="none"/>
          <w:lang w:val="en-US" w:eastAsia="zh-CN"/>
        </w:rPr>
        <w:t xml:space="preserve">6</w:t>
      </w:r>
      <w:r>
        <w:rPr>
          <w:rFonts w:hint="eastAsia" w:ascii="Times New Roman" w:hAnsi="Times New Roman"/>
          <w:b/>
          <w:sz w:val="24"/>
          <w:szCs w:val="24"/>
          <w:highlight w:val="none"/>
          <w:lang w:eastAsia="zh-CN"/>
        </w:rPr>
        <w:t xml:space="preserve">年度黄埭镇政府及国有（集体）投资工程审计委托协审服务</w:t>
      </w:r>
      <w:r>
        <w:rPr>
          <w:rFonts w:ascii="Times New Roman" w:hAnsi="宋体"/>
          <w:b/>
          <w:sz w:val="24"/>
          <w:szCs w:val="24"/>
          <w:highlight w:val="none"/>
        </w:rPr>
        <w:t xml:space="preserve">第</w:t>
      </w:r>
      <w:r>
        <w:rPr>
          <w:rFonts w:ascii="Times New Roman" w:hAnsi="Times New Roman"/>
          <w:b/>
          <w:sz w:val="24"/>
          <w:szCs w:val="24"/>
          <w:highlight w:val="none"/>
          <w:u w:val="single"/>
        </w:rPr>
        <w:t xml:space="preserve"> </w:t>
      </w:r>
      <w:r>
        <w:rPr>
          <w:rFonts w:hint="eastAsia" w:ascii="Times New Roman" w:hAnsi="宋体"/>
          <w:b/>
          <w:sz w:val="24"/>
          <w:szCs w:val="24"/>
          <w:highlight w:val="none"/>
          <w:u w:val="single"/>
        </w:rPr>
        <w:t xml:space="preserve">  </w:t>
      </w:r>
      <w:r>
        <w:rPr>
          <w:rFonts w:ascii="Times New Roman" w:hAnsi="宋体"/>
          <w:b/>
          <w:sz w:val="24"/>
          <w:szCs w:val="24"/>
          <w:highlight w:val="none"/>
          <w:u w:val="single"/>
        </w:rPr>
        <w:t xml:space="preserve"> </w:t>
      </w:r>
      <w:r>
        <w:rPr>
          <w:rFonts w:ascii="Times New Roman" w:hAnsi="宋体"/>
          <w:b/>
          <w:sz w:val="24"/>
          <w:szCs w:val="24"/>
          <w:highlight w:val="none"/>
        </w:rPr>
        <w:t xml:space="preserve">标段中标服务资格，完成</w:t>
      </w:r>
      <w:r>
        <w:rPr>
          <w:rFonts w:hint="eastAsia" w:ascii="Times New Roman" w:hAnsi="宋体"/>
          <w:b/>
          <w:sz w:val="24"/>
          <w:szCs w:val="24"/>
          <w:highlight w:val="none"/>
          <w:lang w:val="en-US" w:eastAsia="zh-CN"/>
        </w:rPr>
        <w:t xml:space="preserve">成交</w:t>
      </w:r>
      <w:r>
        <w:rPr>
          <w:rFonts w:ascii="Times New Roman" w:hAnsi="宋体"/>
          <w:b/>
          <w:sz w:val="24"/>
          <w:szCs w:val="24"/>
          <w:highlight w:val="none"/>
        </w:rPr>
        <w:t xml:space="preserve">标段相应项目的协审服务工作。</w:t>
      </w:r>
      <w:r/>
    </w:p>
    <w:p>
      <w:pPr>
        <w:ind w:firstLine="482"/>
        <w:spacing w:line="360" w:lineRule="auto"/>
        <w:rPr>
          <w:rFonts w:ascii="Times New Roman" w:hAnsi="Times New Roman"/>
          <w:sz w:val="24"/>
          <w:szCs w:val="24"/>
          <w:highlight w:val="none"/>
        </w:rPr>
      </w:pPr>
      <w:r>
        <w:rPr>
          <w:rFonts w:ascii="Times New Roman" w:hAnsi="宋体"/>
          <w:b/>
          <w:sz w:val="24"/>
          <w:szCs w:val="24"/>
          <w:highlight w:val="none"/>
        </w:rPr>
        <w:t xml:space="preserve">二、合同有效期为：</w:t>
      </w:r>
      <w:r>
        <w:rPr>
          <w:rFonts w:ascii="Times New Roman" w:hAnsi="宋体"/>
          <w:sz w:val="24"/>
          <w:szCs w:val="24"/>
          <w:highlight w:val="none"/>
        </w:rPr>
        <w:t xml:space="preserve">合同签订之日起至中标整个标段所有协审项目完成。</w:t>
      </w:r>
      <w:r/>
    </w:p>
    <w:p>
      <w:pPr>
        <w:ind w:firstLine="482"/>
        <w:jc w:val="left"/>
        <w:spacing w:line="360" w:lineRule="auto"/>
        <w:widowControl/>
        <w:rPr>
          <w:rFonts w:ascii="Times New Roman" w:hAnsi="Times New Roman"/>
          <w:b/>
          <w:bCs/>
          <w:sz w:val="24"/>
          <w:szCs w:val="24"/>
          <w:highlight w:val="none"/>
        </w:rPr>
      </w:pPr>
      <w:r>
        <w:rPr>
          <w:rFonts w:ascii="Times New Roman" w:hAnsi="宋体"/>
          <w:b/>
          <w:sz w:val="24"/>
          <w:szCs w:val="24"/>
          <w:highlight w:val="none"/>
        </w:rPr>
        <w:t xml:space="preserve">三、第</w:t>
      </w:r>
      <w:r>
        <w:rPr>
          <w:rFonts w:ascii="Times New Roman" w:hAnsi="Times New Roman"/>
          <w:b/>
          <w:sz w:val="24"/>
          <w:szCs w:val="24"/>
          <w:highlight w:val="none"/>
          <w:u w:val="single"/>
        </w:rPr>
        <w:t xml:space="preserve"> </w:t>
      </w:r>
      <w:r>
        <w:rPr>
          <w:rFonts w:hint="eastAsia" w:ascii="Times New Roman" w:hAnsi="Times New Roman"/>
          <w:b/>
          <w:sz w:val="24"/>
          <w:szCs w:val="24"/>
          <w:highlight w:val="none"/>
          <w:u w:val="single"/>
        </w:rPr>
        <w:t xml:space="preserve">  </w:t>
      </w:r>
      <w:r>
        <w:rPr>
          <w:rFonts w:ascii="Times New Roman" w:hAnsi="Times New Roman"/>
          <w:b/>
          <w:sz w:val="24"/>
          <w:szCs w:val="24"/>
          <w:highlight w:val="none"/>
          <w:u w:val="single"/>
        </w:rPr>
        <w:t xml:space="preserve"> </w:t>
      </w:r>
      <w:r>
        <w:rPr>
          <w:rFonts w:ascii="Times New Roman" w:hAnsi="宋体"/>
          <w:b/>
          <w:sz w:val="24"/>
          <w:szCs w:val="24"/>
          <w:highlight w:val="none"/>
        </w:rPr>
        <w:t xml:space="preserve">标段合同金额</w:t>
      </w:r>
      <w:r>
        <w:rPr>
          <w:rFonts w:hint="eastAsia" w:ascii="Times New Roman" w:hAnsi="宋体"/>
          <w:b/>
          <w:sz w:val="24"/>
          <w:szCs w:val="24"/>
          <w:highlight w:val="none"/>
          <w:lang w:val="en-US" w:eastAsia="zh-CN"/>
        </w:rPr>
        <w:t xml:space="preserve">不得超过</w:t>
      </w:r>
      <w:r>
        <w:rPr>
          <w:rFonts w:ascii="Times New Roman" w:hAnsi="宋体"/>
          <w:b/>
          <w:sz w:val="24"/>
          <w:szCs w:val="24"/>
          <w:highlight w:val="none"/>
        </w:rPr>
        <w:t xml:space="preserve">（人民币）：</w:t>
      </w:r>
      <w:r>
        <w:rPr>
          <w:rFonts w:ascii="Times New Roman" w:hAnsi="Times New Roman"/>
          <w:b/>
          <w:sz w:val="24"/>
          <w:szCs w:val="24"/>
          <w:highlight w:val="none"/>
          <w:u w:val="single"/>
        </w:rPr>
        <w:t xml:space="preserve">         </w:t>
      </w:r>
      <w:r>
        <w:rPr>
          <w:rFonts w:ascii="Times New Roman" w:hAnsi="Times New Roman"/>
          <w:b/>
          <w:sz w:val="24"/>
          <w:szCs w:val="24"/>
          <w:highlight w:val="none"/>
        </w:rPr>
        <w:t xml:space="preserve"> </w:t>
      </w:r>
      <w:r>
        <w:rPr>
          <w:rFonts w:ascii="Times New Roman" w:hAnsi="宋体"/>
          <w:b/>
          <w:sz w:val="24"/>
          <w:szCs w:val="24"/>
          <w:highlight w:val="none"/>
        </w:rPr>
        <w:t xml:space="preserve">元（</w:t>
      </w:r>
      <w:r>
        <w:rPr>
          <w:rFonts w:hint="eastAsia" w:ascii="Times New Roman" w:hAnsi="宋体"/>
          <w:b/>
          <w:sz w:val="24"/>
          <w:szCs w:val="24"/>
          <w:highlight w:val="none"/>
          <w:lang w:val="en-US" w:eastAsia="zh-CN"/>
        </w:rPr>
        <w:t xml:space="preserve">成交</w:t>
      </w:r>
      <w:r>
        <w:rPr>
          <w:rFonts w:hint="eastAsia" w:ascii="Times New Roman" w:hAnsi="宋体"/>
          <w:b/>
          <w:sz w:val="24"/>
          <w:szCs w:val="24"/>
          <w:highlight w:val="none"/>
        </w:rPr>
        <w:t xml:space="preserve">标段预算金额</w:t>
      </w:r>
      <w:r>
        <w:rPr>
          <w:rFonts w:ascii="Times New Roman" w:hAnsi="宋体"/>
          <w:b/>
          <w:sz w:val="24"/>
          <w:szCs w:val="24"/>
          <w:highlight w:val="none"/>
        </w:rPr>
        <w:t xml:space="preserve">），</w:t>
      </w:r>
      <w:r>
        <w:rPr>
          <w:rFonts w:hint="eastAsia" w:ascii="Times New Roman" w:hAnsi="宋体"/>
          <w:b/>
          <w:sz w:val="24"/>
          <w:szCs w:val="24"/>
          <w:highlight w:val="none"/>
        </w:rPr>
        <w:t xml:space="preserve">具体协审费用依据</w:t>
      </w:r>
      <w:r>
        <w:rPr>
          <w:rFonts w:hint="eastAsia" w:ascii="Times New Roman" w:hAnsi="宋体"/>
          <w:b/>
          <w:sz w:val="24"/>
          <w:szCs w:val="24"/>
          <w:highlight w:val="none"/>
          <w:lang w:val="en-US" w:eastAsia="zh-CN"/>
        </w:rPr>
        <w:t xml:space="preserve">采购</w:t>
      </w:r>
      <w:r>
        <w:rPr>
          <w:rFonts w:hint="eastAsia" w:ascii="Times New Roman" w:hAnsi="宋体"/>
          <w:b/>
          <w:sz w:val="24"/>
          <w:szCs w:val="24"/>
          <w:highlight w:val="none"/>
        </w:rPr>
        <w:t xml:space="preserve">文件中明确的计费方式，按具体委托项目考核情况计取，各标段</w:t>
      </w:r>
      <w:r>
        <w:rPr>
          <w:rFonts w:hint="eastAsia" w:ascii="Times New Roman" w:hAnsi="宋体"/>
          <w:b/>
          <w:sz w:val="24"/>
          <w:szCs w:val="24"/>
          <w:highlight w:val="none"/>
          <w:lang w:val="en-US" w:eastAsia="zh-CN"/>
        </w:rPr>
        <w:t xml:space="preserve">成交</w:t>
      </w:r>
      <w:r>
        <w:rPr>
          <w:rFonts w:hint="eastAsia" w:ascii="Times New Roman" w:hAnsi="宋体"/>
          <w:b/>
          <w:sz w:val="24"/>
          <w:szCs w:val="24"/>
          <w:highlight w:val="none"/>
        </w:rPr>
        <w:t xml:space="preserve">单位需完成对应标段协审项目清单中所列的全部项目协审工作，协审费用超出对应标段预算限额部分不再另行结算。</w:t>
      </w:r>
      <w:r/>
    </w:p>
    <w:p>
      <w:pPr>
        <w:ind w:firstLine="482"/>
        <w:spacing w:line="360" w:lineRule="auto"/>
        <w:rPr>
          <w:rFonts w:ascii="Times New Roman" w:hAnsi="Times New Roman"/>
          <w:sz w:val="24"/>
          <w:szCs w:val="24"/>
          <w:highlight w:val="none"/>
        </w:rPr>
      </w:pPr>
      <w:r>
        <w:rPr>
          <w:rFonts w:ascii="Times New Roman" w:hAnsi="宋体"/>
          <w:b/>
          <w:sz w:val="24"/>
          <w:szCs w:val="24"/>
          <w:highlight w:val="none"/>
        </w:rPr>
        <w:t xml:space="preserve">四、下列文件应视为构成并作为阅读和理解本合同书的组成部分</w:t>
      </w:r>
      <w:r>
        <w:rPr>
          <w:rFonts w:ascii="Times New Roman" w:hAnsi="宋体"/>
          <w:sz w:val="24"/>
          <w:szCs w:val="24"/>
          <w:highlight w:val="none"/>
        </w:rPr>
        <w:t xml:space="preserve">，即：</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1</w:t>
      </w:r>
      <w:r>
        <w:rPr>
          <w:rFonts w:ascii="Times New Roman" w:hAnsi="宋体"/>
          <w:sz w:val="24"/>
          <w:szCs w:val="24"/>
          <w:highlight w:val="none"/>
        </w:rPr>
        <w:t xml:space="preserve">．本合同书；</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2</w:t>
      </w:r>
      <w:r>
        <w:rPr>
          <w:rFonts w:ascii="Times New Roman" w:hAnsi="宋体"/>
          <w:sz w:val="24"/>
          <w:szCs w:val="24"/>
          <w:highlight w:val="none"/>
        </w:rPr>
        <w:t xml:space="preserve">．中标通知书；</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3</w:t>
      </w:r>
      <w:r>
        <w:rPr>
          <w:rFonts w:ascii="Times New Roman" w:hAnsi="宋体"/>
          <w:sz w:val="24"/>
          <w:szCs w:val="24"/>
          <w:highlight w:val="none"/>
        </w:rPr>
        <w:t xml:space="preserve">．投标文件及其附件（含投标人在评标期间递交和确认并经招标人同意的对有关问题的补充资料和澄清文件等，如果有）；</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4</w:t>
      </w:r>
      <w:r>
        <w:rPr>
          <w:rFonts w:ascii="Times New Roman" w:hAnsi="宋体"/>
          <w:sz w:val="24"/>
          <w:szCs w:val="24"/>
          <w:highlight w:val="none"/>
        </w:rPr>
        <w:t xml:space="preserve">．招标文件。</w:t>
      </w:r>
      <w:r/>
    </w:p>
    <w:p>
      <w:pPr>
        <w:ind w:firstLine="482"/>
        <w:spacing w:line="360" w:lineRule="auto"/>
        <w:rPr>
          <w:rFonts w:ascii="Times New Roman" w:hAnsi="Times New Roman"/>
          <w:b/>
          <w:sz w:val="24"/>
          <w:szCs w:val="24"/>
          <w:highlight w:val="none"/>
        </w:rPr>
      </w:pPr>
      <w:r>
        <w:rPr>
          <w:rFonts w:ascii="Times New Roman" w:hAnsi="宋体"/>
          <w:b/>
          <w:sz w:val="24"/>
          <w:szCs w:val="24"/>
          <w:highlight w:val="none"/>
        </w:rPr>
        <w:t xml:space="preserve">五、税费：</w:t>
      </w:r>
      <w:r/>
    </w:p>
    <w:p>
      <w:pPr>
        <w:ind w:firstLine="480"/>
        <w:spacing w:line="360" w:lineRule="auto"/>
        <w:rPr>
          <w:rFonts w:ascii="Times New Roman" w:hAnsi="Times New Roman"/>
          <w:b/>
          <w:sz w:val="24"/>
          <w:szCs w:val="24"/>
          <w:highlight w:val="none"/>
        </w:rPr>
      </w:pPr>
      <w:r>
        <w:rPr>
          <w:rFonts w:ascii="Times New Roman" w:hAnsi="宋体"/>
          <w:sz w:val="24"/>
          <w:szCs w:val="24"/>
          <w:highlight w:val="none"/>
        </w:rPr>
        <w:t xml:space="preserve">中国政府根据现行税收法律法规规定对乙方征收的、与本合同有关的一切税费，均由乙方负担。</w:t>
      </w:r>
      <w:r/>
    </w:p>
    <w:p>
      <w:pPr>
        <w:ind w:firstLine="482"/>
        <w:spacing w:line="360" w:lineRule="auto"/>
        <w:rPr>
          <w:rFonts w:ascii="Times New Roman" w:hAnsi="Times New Roman"/>
          <w:b/>
          <w:sz w:val="24"/>
          <w:szCs w:val="24"/>
          <w:highlight w:val="none"/>
        </w:rPr>
      </w:pPr>
      <w:r>
        <w:rPr>
          <w:rFonts w:ascii="Times New Roman" w:hAnsi="宋体"/>
          <w:b/>
          <w:sz w:val="24"/>
          <w:szCs w:val="24"/>
          <w:highlight w:val="none"/>
        </w:rPr>
        <w:t xml:space="preserve">六、双方职责</w:t>
      </w:r>
      <w:r/>
    </w:p>
    <w:p>
      <w:pPr>
        <w:ind w:firstLine="480"/>
        <w:spacing w:line="360" w:lineRule="auto"/>
        <w:rPr>
          <w:rFonts w:ascii="Times New Roman" w:hAnsi="Times New Roman"/>
          <w:sz w:val="24"/>
          <w:szCs w:val="24"/>
          <w:highlight w:val="none"/>
        </w:rPr>
      </w:pPr>
      <w:r>
        <w:rPr>
          <w:rFonts w:ascii="Times New Roman" w:hAnsi="宋体"/>
          <w:sz w:val="24"/>
          <w:szCs w:val="24"/>
          <w:highlight w:val="none"/>
        </w:rPr>
        <w:t xml:space="preserve">（一）甲方职责：</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1</w:t>
      </w:r>
      <w:r>
        <w:rPr>
          <w:rFonts w:ascii="Times New Roman" w:hAnsi="宋体"/>
          <w:sz w:val="24"/>
          <w:szCs w:val="24"/>
          <w:highlight w:val="none"/>
        </w:rPr>
        <w:t xml:space="preserve">．按照招标文件及附件要求、投标文件、合同约定等对乙方服务进行验收并考核管理；</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2</w:t>
      </w:r>
      <w:r>
        <w:rPr>
          <w:rFonts w:ascii="Times New Roman" w:hAnsi="宋体"/>
          <w:sz w:val="24"/>
          <w:szCs w:val="24"/>
          <w:highlight w:val="none"/>
        </w:rPr>
        <w:t xml:space="preserve">．按时支付协审服务费。</w:t>
      </w:r>
      <w:r/>
    </w:p>
    <w:p>
      <w:pPr>
        <w:ind w:firstLine="480"/>
        <w:spacing w:line="360" w:lineRule="auto"/>
        <w:rPr>
          <w:rFonts w:ascii="Times New Roman" w:hAnsi="Times New Roman"/>
          <w:sz w:val="24"/>
          <w:szCs w:val="24"/>
          <w:highlight w:val="none"/>
        </w:rPr>
      </w:pPr>
      <w:r>
        <w:rPr>
          <w:rFonts w:ascii="Times New Roman" w:hAnsi="宋体"/>
          <w:sz w:val="24"/>
          <w:szCs w:val="24"/>
          <w:highlight w:val="none"/>
        </w:rPr>
        <w:t xml:space="preserve">（二）乙方职责：</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1</w:t>
      </w:r>
      <w:r>
        <w:rPr>
          <w:rFonts w:ascii="Times New Roman" w:hAnsi="宋体"/>
          <w:sz w:val="24"/>
          <w:szCs w:val="24"/>
          <w:highlight w:val="none"/>
        </w:rPr>
        <w:t xml:space="preserve">．乙方应建立质量管理体系，严格执行审计操作规程等规章制度，确保项目协审质量。项目协审应当严格遵守国家的有关法律、法规、制度规定、有关执业规范及甲方的工作要求和工作规范。乙方对协审成果的真实性、完整性、可靠性负责。</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2</w:t>
      </w:r>
      <w:r>
        <w:rPr>
          <w:rFonts w:ascii="Times New Roman" w:hAnsi="宋体"/>
          <w:sz w:val="24"/>
          <w:szCs w:val="24"/>
          <w:highlight w:val="none"/>
        </w:rPr>
        <w:t xml:space="preserve">．乙方应在中标后一个月内具备响应服务驻点办公场所，拟派人员整个服务期应保持稳定，拟派人员未经甲方同意不得擅自更换且数量不低于承诺数量，并服从甲方人员备案、考勤及考核管理，人员考勤合格率应符合考核办法要求。</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3</w:t>
      </w:r>
      <w:r>
        <w:rPr>
          <w:rFonts w:ascii="Times New Roman" w:hAnsi="宋体"/>
          <w:sz w:val="24"/>
          <w:szCs w:val="24"/>
          <w:highlight w:val="none"/>
        </w:rPr>
        <w:t xml:space="preserve">．乙方的工作必须接受甲方根据本招标文件及其附件约定开展的考核，主要考核内容包括工作效率、执业质量、服务水平、工作要求等方面，并接受甲方根据考核结果做出的奖惩。对乙方不同意参加考核以及不配合考核的，甲方有权终止本合同，并且乙方无权要求甲方支付任何款项。</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4</w:t>
      </w:r>
      <w:r>
        <w:rPr>
          <w:rFonts w:ascii="Times New Roman" w:hAnsi="宋体"/>
          <w:sz w:val="24"/>
          <w:szCs w:val="24"/>
          <w:highlight w:val="none"/>
        </w:rPr>
        <w:t xml:space="preserve">．乙方应确保项目协审质量，按时完成协审工作，时间要求以招标文件及具体项目时间按排为准。</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5</w:t>
      </w:r>
      <w:r>
        <w:rPr>
          <w:rFonts w:ascii="Times New Roman" w:hAnsi="宋体"/>
          <w:sz w:val="24"/>
          <w:szCs w:val="24"/>
          <w:highlight w:val="none"/>
        </w:rPr>
        <w:t xml:space="preserve">．乙方的协审成果只向甲方提供，不得自行提供给其他单位。对于协审工作产生重大质量误差、协审效率严重拖延、协审工作要求违反各级造价行业规定及甲方相关工作要求，以及提供不实或内容虚假的协审成果以及自行对外提供协审成果的，除由乙方自行承担责任外，甲方有权按要求进行严格考核并采取必要惩罚措施，包括制发警示书、扣减协审费用、直至终止乙方参与政府投资工程审计委托协审服务项目。情节严重的，依法提请有关部门追究协审单位和相关责任人的行政及法律责任。</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6</w:t>
      </w:r>
      <w:r>
        <w:rPr>
          <w:rFonts w:ascii="Times New Roman" w:hAnsi="宋体"/>
          <w:sz w:val="24"/>
          <w:szCs w:val="24"/>
          <w:highlight w:val="none"/>
        </w:rPr>
        <w:t xml:space="preserve">．因协审工作中需现场核实以及突发应急事件的现场需要，为保证协审工作效率和服务质量，做好协审工作，乙方应投标承诺保证协审工作响应时间。如乙方在服务期内，被发现违背投标承诺的，则甲方有权进行处罚，包括但不限于制发警示书、扣减协审费用、终止双方政府投资工程委托协审服务合同，通报行业主管部门或其他相关部门进行处理。</w:t>
      </w:r>
      <w:r/>
    </w:p>
    <w:p>
      <w:pPr>
        <w:ind w:firstLine="482"/>
        <w:spacing w:line="360" w:lineRule="auto"/>
        <w:rPr>
          <w:rFonts w:ascii="Times New Roman" w:hAnsi="Times New Roman"/>
          <w:b/>
          <w:sz w:val="24"/>
          <w:szCs w:val="24"/>
          <w:highlight w:val="none"/>
        </w:rPr>
      </w:pPr>
      <w:r>
        <w:rPr>
          <w:rFonts w:ascii="Times New Roman" w:hAnsi="宋体"/>
          <w:b/>
          <w:sz w:val="24"/>
          <w:szCs w:val="24"/>
          <w:highlight w:val="none"/>
        </w:rPr>
        <w:t xml:space="preserve">七、违约责任</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1</w:t>
      </w:r>
      <w:r>
        <w:rPr>
          <w:rFonts w:ascii="Times New Roman" w:hAnsi="宋体"/>
          <w:sz w:val="24"/>
          <w:szCs w:val="24"/>
          <w:highlight w:val="none"/>
        </w:rPr>
        <w:t xml:space="preserve">．甲方对本合同规定的义务未履行或履行不力的，乙方可依法向甲方要求经济赔偿。</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2</w:t>
      </w:r>
      <w:r>
        <w:rPr>
          <w:rFonts w:ascii="Times New Roman" w:hAnsi="宋体"/>
          <w:sz w:val="24"/>
          <w:szCs w:val="24"/>
          <w:highlight w:val="none"/>
        </w:rPr>
        <w:t xml:space="preserve">．乙方对本合同规定的义务未履行或履行不力的，甲方可按相关法律、法规和招标文件中约定的文件的规定进行处罚，可以采取制发警示书、扣减协审费用、终止政府投资工程审计委托协审服务项目合同等处罚措施。情节严重的，将通报行业主管部门、政府采购监督管理部门或其他相关部门进行处理。</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3</w:t>
      </w:r>
      <w:r>
        <w:rPr>
          <w:rFonts w:ascii="Times New Roman" w:hAnsi="宋体"/>
          <w:sz w:val="24"/>
          <w:szCs w:val="24"/>
          <w:highlight w:val="none"/>
        </w:rPr>
        <w:t xml:space="preserve">．甲方、乙方可就违反协审服务合同规定或违纪事项向相关部门投诉。</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4</w:t>
      </w:r>
      <w:r>
        <w:rPr>
          <w:rFonts w:ascii="Times New Roman" w:hAnsi="宋体"/>
          <w:sz w:val="24"/>
          <w:szCs w:val="24"/>
          <w:highlight w:val="none"/>
        </w:rPr>
        <w:t xml:space="preserve">．经甲方及相关部门联合核查，如情况属实则投诉有效，将作为有效投诉记录在案。</w:t>
      </w:r>
      <w:r/>
    </w:p>
    <w:p>
      <w:pPr>
        <w:ind w:firstLine="482"/>
        <w:spacing w:line="360" w:lineRule="auto"/>
        <w:rPr>
          <w:rFonts w:ascii="Times New Roman" w:hAnsi="Times New Roman"/>
          <w:b/>
          <w:sz w:val="24"/>
          <w:szCs w:val="24"/>
          <w:highlight w:val="none"/>
        </w:rPr>
      </w:pPr>
      <w:r>
        <w:rPr>
          <w:rFonts w:ascii="Times New Roman" w:hAnsi="宋体"/>
          <w:b/>
          <w:sz w:val="24"/>
          <w:szCs w:val="24"/>
          <w:highlight w:val="none"/>
        </w:rPr>
        <w:t xml:space="preserve">八、不可抗力</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1</w:t>
      </w:r>
      <w:r>
        <w:rPr>
          <w:rFonts w:ascii="Times New Roman" w:hAnsi="宋体"/>
          <w:sz w:val="24"/>
          <w:szCs w:val="24"/>
          <w:highlight w:val="none"/>
        </w:rPr>
        <w:t xml:space="preserve">．甲、乙双方如果因不可抗力而导致合同义务的延误或不能履行，不承担误期赔偿或终止合同的责任。</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2</w:t>
      </w:r>
      <w:r>
        <w:rPr>
          <w:rFonts w:ascii="Times New Roman" w:hAnsi="宋体"/>
          <w:sz w:val="24"/>
          <w:szCs w:val="24"/>
          <w:highlight w:val="none"/>
        </w:rPr>
        <w:t xml:space="preserve">．本条所述的</w:t>
      </w:r>
      <w:r>
        <w:rPr>
          <w:rFonts w:ascii="Times New Roman" w:hAnsi="Times New Roman"/>
          <w:sz w:val="24"/>
          <w:szCs w:val="24"/>
          <w:highlight w:val="none"/>
        </w:rPr>
        <w:t xml:space="preserve">“</w:t>
      </w:r>
      <w:r>
        <w:rPr>
          <w:rFonts w:ascii="Times New Roman" w:hAnsi="宋体"/>
          <w:sz w:val="24"/>
          <w:szCs w:val="24"/>
          <w:highlight w:val="none"/>
        </w:rPr>
        <w:t xml:space="preserve">不可抗力</w:t>
      </w:r>
      <w:r>
        <w:rPr>
          <w:rFonts w:ascii="Times New Roman" w:hAnsi="Times New Roman"/>
          <w:sz w:val="24"/>
          <w:szCs w:val="24"/>
          <w:highlight w:val="none"/>
        </w:rPr>
        <w:t xml:space="preserve">”</w:t>
      </w:r>
      <w:r>
        <w:rPr>
          <w:rFonts w:ascii="Times New Roman" w:hAnsi="宋体"/>
          <w:sz w:val="24"/>
          <w:szCs w:val="24"/>
          <w:highlight w:val="none"/>
        </w:rPr>
        <w:t xml:space="preserve">系指下列甲、乙双方无法控制、不可预见的事件，但不包括甲、乙双方的违约或疏忽。这些事件包括：战争、严重火灾、洪水、台风、地震以及其他甲方和乙方商定的事件。</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3</w:t>
      </w:r>
      <w:r>
        <w:rPr>
          <w:rFonts w:ascii="Times New Roman" w:hAnsi="宋体"/>
          <w:sz w:val="24"/>
          <w:szCs w:val="24"/>
          <w:highlight w:val="none"/>
        </w:rPr>
        <w:t xml:space="preserve">．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w:t>
      </w:r>
      <w:r>
        <w:rPr>
          <w:rFonts w:ascii="Times New Roman" w:hAnsi="Times New Roman"/>
          <w:sz w:val="24"/>
          <w:szCs w:val="24"/>
          <w:highlight w:val="none"/>
        </w:rPr>
        <w:t xml:space="preserve">20</w:t>
      </w:r>
      <w:r>
        <w:rPr>
          <w:rFonts w:ascii="Times New Roman" w:hAnsi="宋体"/>
          <w:sz w:val="24"/>
          <w:szCs w:val="24"/>
          <w:highlight w:val="none"/>
        </w:rPr>
        <w:t xml:space="preserve">天以上的，甲乙双方通过友好协商在合理的时间内达成进一步履行协审服务义务的协议。</w:t>
      </w:r>
      <w:r/>
    </w:p>
    <w:p>
      <w:pPr>
        <w:ind w:firstLine="482"/>
        <w:spacing w:line="360" w:lineRule="auto"/>
        <w:rPr>
          <w:rFonts w:ascii="Times New Roman" w:hAnsi="Times New Roman"/>
          <w:b/>
          <w:sz w:val="24"/>
          <w:szCs w:val="24"/>
          <w:highlight w:val="none"/>
        </w:rPr>
      </w:pPr>
      <w:r>
        <w:rPr>
          <w:rFonts w:ascii="Times New Roman" w:hAnsi="宋体"/>
          <w:b/>
          <w:sz w:val="24"/>
          <w:szCs w:val="24"/>
          <w:highlight w:val="none"/>
        </w:rPr>
        <w:t xml:space="preserve">九、合同的解除</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1</w:t>
      </w:r>
      <w:r>
        <w:rPr>
          <w:rFonts w:ascii="Times New Roman" w:hAnsi="宋体"/>
          <w:sz w:val="24"/>
          <w:szCs w:val="24"/>
          <w:highlight w:val="none"/>
        </w:rPr>
        <w:t xml:space="preserve">．甲方和乙方协商一致，可以解除合同。</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2</w:t>
      </w:r>
      <w:r>
        <w:rPr>
          <w:rFonts w:ascii="Times New Roman" w:hAnsi="宋体"/>
          <w:sz w:val="24"/>
          <w:szCs w:val="24"/>
          <w:highlight w:val="none"/>
        </w:rPr>
        <w:t xml:space="preserve">．有权解除合同的一方，应当在违约事实或不可抗力发生之后三十天内书面通知对方提出解除合同，合同在书面通知到达对方时解除。</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3</w:t>
      </w:r>
      <w:r>
        <w:rPr>
          <w:rFonts w:ascii="Times New Roman" w:hAnsi="宋体"/>
          <w:sz w:val="24"/>
          <w:szCs w:val="24"/>
          <w:highlight w:val="none"/>
        </w:rPr>
        <w:t xml:space="preserve">．合同的部分和全部都不得擅自转让。</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4</w:t>
      </w:r>
      <w:r>
        <w:rPr>
          <w:rFonts w:ascii="Times New Roman" w:hAnsi="宋体"/>
          <w:sz w:val="24"/>
          <w:szCs w:val="24"/>
          <w:highlight w:val="none"/>
        </w:rPr>
        <w:t xml:space="preserve">．出现下列情况之一的，甲方有权解除合同：</w:t>
      </w:r>
      <w:r/>
    </w:p>
    <w:p>
      <w:pPr>
        <w:ind w:firstLine="480"/>
        <w:spacing w:line="360" w:lineRule="auto"/>
        <w:rPr>
          <w:rFonts w:ascii="Times New Roman" w:hAnsi="Times New Roman"/>
          <w:sz w:val="24"/>
          <w:szCs w:val="24"/>
          <w:highlight w:val="none"/>
        </w:rPr>
      </w:pPr>
      <w:r>
        <w:rPr>
          <w:rFonts w:ascii="Times New Roman" w:hAnsi="宋体"/>
          <w:sz w:val="24"/>
          <w:szCs w:val="24"/>
          <w:highlight w:val="none"/>
        </w:rPr>
        <w:t xml:space="preserve">（</w:t>
      </w:r>
      <w:r>
        <w:rPr>
          <w:rFonts w:ascii="Times New Roman" w:hAnsi="Times New Roman"/>
          <w:sz w:val="24"/>
          <w:szCs w:val="24"/>
          <w:highlight w:val="none"/>
        </w:rPr>
        <w:t xml:space="preserve">1</w:t>
      </w:r>
      <w:r>
        <w:rPr>
          <w:rFonts w:ascii="Times New Roman" w:hAnsi="宋体"/>
          <w:sz w:val="24"/>
          <w:szCs w:val="24"/>
          <w:highlight w:val="none"/>
        </w:rPr>
        <w:t xml:space="preserve">）经查实乙方存在行贿或有收受、索要被评审单位提供的各种财物和免费服务等严重违反国家、行业规范行为的；</w:t>
      </w:r>
      <w:r>
        <w:rPr>
          <w:rFonts w:ascii="Times New Roman" w:hAnsi="Times New Roman"/>
          <w:sz w:val="24"/>
          <w:szCs w:val="24"/>
          <w:highlight w:val="none"/>
        </w:rPr>
        <w:t xml:space="preserve"> </w:t>
      </w:r>
      <w:r/>
    </w:p>
    <w:p>
      <w:pPr>
        <w:ind w:firstLine="480"/>
        <w:spacing w:line="360" w:lineRule="auto"/>
        <w:rPr>
          <w:rFonts w:ascii="Times New Roman" w:hAnsi="Times New Roman"/>
          <w:sz w:val="24"/>
          <w:szCs w:val="24"/>
          <w:highlight w:val="none"/>
        </w:rPr>
      </w:pPr>
      <w:r>
        <w:rPr>
          <w:rFonts w:ascii="Times New Roman" w:hAnsi="宋体"/>
          <w:sz w:val="24"/>
          <w:szCs w:val="24"/>
          <w:highlight w:val="none"/>
        </w:rPr>
        <w:t xml:space="preserve">（</w:t>
      </w:r>
      <w:r>
        <w:rPr>
          <w:rFonts w:ascii="Times New Roman" w:hAnsi="Times New Roman"/>
          <w:sz w:val="24"/>
          <w:szCs w:val="24"/>
          <w:highlight w:val="none"/>
        </w:rPr>
        <w:t xml:space="preserve">2</w:t>
      </w:r>
      <w:r>
        <w:rPr>
          <w:rFonts w:ascii="Times New Roman" w:hAnsi="宋体"/>
          <w:sz w:val="24"/>
          <w:szCs w:val="24"/>
          <w:highlight w:val="none"/>
        </w:rPr>
        <w:t xml:space="preserve">）在合同有效期内，被行业主管部门取消经营资格的；</w:t>
      </w:r>
      <w:r/>
    </w:p>
    <w:p>
      <w:pPr>
        <w:ind w:firstLine="480"/>
        <w:spacing w:line="360" w:lineRule="auto"/>
        <w:rPr>
          <w:rFonts w:ascii="Times New Roman" w:hAnsi="Times New Roman"/>
          <w:sz w:val="24"/>
          <w:szCs w:val="24"/>
          <w:highlight w:val="none"/>
        </w:rPr>
      </w:pPr>
      <w:r>
        <w:rPr>
          <w:rFonts w:ascii="Times New Roman" w:hAnsi="宋体"/>
          <w:sz w:val="24"/>
          <w:szCs w:val="24"/>
          <w:highlight w:val="none"/>
        </w:rPr>
        <w:t xml:space="preserve">（</w:t>
      </w:r>
      <w:r>
        <w:rPr>
          <w:rFonts w:ascii="Times New Roman" w:hAnsi="Times New Roman"/>
          <w:sz w:val="24"/>
          <w:szCs w:val="24"/>
          <w:highlight w:val="none"/>
        </w:rPr>
        <w:t xml:space="preserve">3</w:t>
      </w:r>
      <w:r>
        <w:rPr>
          <w:rFonts w:ascii="Times New Roman" w:hAnsi="宋体"/>
          <w:sz w:val="24"/>
          <w:szCs w:val="24"/>
          <w:highlight w:val="none"/>
        </w:rPr>
        <w:t xml:space="preserve">）在合同有效期内，乙方擅自变更、转让、租借协审服务商资格的；</w:t>
      </w:r>
      <w:r/>
    </w:p>
    <w:p>
      <w:pPr>
        <w:ind w:firstLine="480"/>
        <w:spacing w:line="360" w:lineRule="auto"/>
        <w:rPr>
          <w:rFonts w:ascii="Times New Roman" w:hAnsi="Times New Roman"/>
          <w:sz w:val="24"/>
          <w:szCs w:val="24"/>
          <w:highlight w:val="none"/>
        </w:rPr>
      </w:pPr>
      <w:r>
        <w:rPr>
          <w:rFonts w:ascii="Times New Roman" w:hAnsi="宋体"/>
          <w:sz w:val="24"/>
          <w:szCs w:val="24"/>
          <w:highlight w:val="none"/>
        </w:rPr>
        <w:t xml:space="preserve">（</w:t>
      </w:r>
      <w:r>
        <w:rPr>
          <w:rFonts w:ascii="Times New Roman" w:hAnsi="Times New Roman"/>
          <w:sz w:val="24"/>
          <w:szCs w:val="24"/>
          <w:highlight w:val="none"/>
        </w:rPr>
        <w:t xml:space="preserve">4</w:t>
      </w:r>
      <w:r>
        <w:rPr>
          <w:rFonts w:ascii="Times New Roman" w:hAnsi="宋体"/>
          <w:sz w:val="24"/>
          <w:szCs w:val="24"/>
          <w:highlight w:val="none"/>
        </w:rPr>
        <w:t xml:space="preserve">）乙方不如实反映情况，提供虚假材料的；</w:t>
      </w:r>
      <w:r/>
    </w:p>
    <w:p>
      <w:pPr>
        <w:ind w:firstLine="480"/>
        <w:spacing w:line="360" w:lineRule="auto"/>
        <w:rPr>
          <w:rFonts w:ascii="Times New Roman" w:hAnsi="Times New Roman"/>
          <w:sz w:val="24"/>
          <w:szCs w:val="24"/>
          <w:highlight w:val="none"/>
        </w:rPr>
      </w:pPr>
      <w:r>
        <w:rPr>
          <w:rFonts w:ascii="Times New Roman" w:hAnsi="宋体"/>
          <w:sz w:val="24"/>
          <w:szCs w:val="24"/>
          <w:highlight w:val="none"/>
        </w:rPr>
        <w:t xml:space="preserve">（</w:t>
      </w:r>
      <w:r>
        <w:rPr>
          <w:rFonts w:ascii="Times New Roman" w:hAnsi="Times New Roman"/>
          <w:sz w:val="24"/>
          <w:szCs w:val="24"/>
          <w:highlight w:val="none"/>
        </w:rPr>
        <w:t xml:space="preserve">5</w:t>
      </w:r>
      <w:r>
        <w:rPr>
          <w:rFonts w:ascii="Times New Roman" w:hAnsi="宋体"/>
          <w:sz w:val="24"/>
          <w:szCs w:val="24"/>
          <w:highlight w:val="none"/>
        </w:rPr>
        <w:t xml:space="preserve">）乙方未按招标文件约定提供服务的；</w:t>
      </w:r>
      <w:r/>
    </w:p>
    <w:p>
      <w:pPr>
        <w:ind w:firstLine="480"/>
        <w:spacing w:line="360" w:lineRule="auto"/>
        <w:rPr>
          <w:rFonts w:ascii="Times New Roman" w:hAnsi="Times New Roman"/>
          <w:sz w:val="24"/>
          <w:szCs w:val="24"/>
          <w:highlight w:val="none"/>
        </w:rPr>
      </w:pPr>
      <w:r>
        <w:rPr>
          <w:rFonts w:ascii="Times New Roman" w:hAnsi="宋体"/>
          <w:sz w:val="24"/>
          <w:szCs w:val="24"/>
          <w:highlight w:val="none"/>
        </w:rPr>
        <w:t xml:space="preserve">（</w:t>
      </w:r>
      <w:r>
        <w:rPr>
          <w:rFonts w:ascii="Times New Roman" w:hAnsi="Times New Roman"/>
          <w:sz w:val="24"/>
          <w:szCs w:val="24"/>
          <w:highlight w:val="none"/>
        </w:rPr>
        <w:t xml:space="preserve">6</w:t>
      </w:r>
      <w:r>
        <w:rPr>
          <w:rFonts w:ascii="Times New Roman" w:hAnsi="宋体"/>
          <w:sz w:val="24"/>
          <w:szCs w:val="24"/>
          <w:highlight w:val="none"/>
        </w:rPr>
        <w:t xml:space="preserve">）乙方不同意参加考核、不接受质量复核监督的；</w:t>
      </w:r>
      <w:r/>
    </w:p>
    <w:p>
      <w:pPr>
        <w:ind w:firstLine="480"/>
        <w:spacing w:line="360" w:lineRule="auto"/>
        <w:rPr>
          <w:rFonts w:ascii="Times New Roman" w:hAnsi="Times New Roman"/>
          <w:sz w:val="24"/>
          <w:szCs w:val="24"/>
          <w:highlight w:val="none"/>
        </w:rPr>
      </w:pPr>
      <w:r>
        <w:rPr>
          <w:rFonts w:ascii="Times New Roman" w:hAnsi="宋体"/>
          <w:sz w:val="24"/>
          <w:szCs w:val="24"/>
          <w:highlight w:val="none"/>
        </w:rPr>
        <w:t xml:space="preserve">（</w:t>
      </w:r>
      <w:r>
        <w:rPr>
          <w:rFonts w:ascii="Times New Roman" w:hAnsi="Times New Roman"/>
          <w:sz w:val="24"/>
          <w:szCs w:val="24"/>
          <w:highlight w:val="none"/>
        </w:rPr>
        <w:t xml:space="preserve">7</w:t>
      </w:r>
      <w:r>
        <w:rPr>
          <w:rFonts w:ascii="Times New Roman" w:hAnsi="宋体"/>
          <w:sz w:val="24"/>
          <w:szCs w:val="24"/>
          <w:highlight w:val="none"/>
        </w:rPr>
        <w:t xml:space="preserve">）乙方在中标通知书发出之日起</w:t>
      </w:r>
      <w:r>
        <w:rPr>
          <w:rFonts w:ascii="Times New Roman" w:hAnsi="Times New Roman"/>
          <w:sz w:val="24"/>
          <w:szCs w:val="24"/>
          <w:highlight w:val="none"/>
        </w:rPr>
        <w:t xml:space="preserve">30</w:t>
      </w:r>
      <w:r>
        <w:rPr>
          <w:rFonts w:ascii="Times New Roman" w:hAnsi="宋体"/>
          <w:sz w:val="24"/>
          <w:szCs w:val="24"/>
          <w:highlight w:val="none"/>
        </w:rPr>
        <w:t xml:space="preserve">天内未能在其《协审响应服务承诺书》中承诺的地点设立办公场所或未能按《协审人员备案考勤承诺书》中承诺的拟投入本项目人员数量配备齐全并完成投入人员的考勤备案登记的；</w:t>
      </w:r>
      <w:r/>
    </w:p>
    <w:p>
      <w:pPr>
        <w:ind w:firstLine="480"/>
        <w:spacing w:line="360" w:lineRule="auto"/>
        <w:rPr>
          <w:rFonts w:ascii="Times New Roman" w:hAnsi="Times New Roman"/>
          <w:sz w:val="24"/>
          <w:szCs w:val="24"/>
          <w:highlight w:val="none"/>
        </w:rPr>
      </w:pPr>
      <w:r>
        <w:rPr>
          <w:rFonts w:ascii="Times New Roman" w:hAnsi="宋体"/>
          <w:sz w:val="24"/>
          <w:szCs w:val="24"/>
          <w:highlight w:val="none"/>
        </w:rPr>
        <w:t xml:space="preserve">（</w:t>
      </w:r>
      <w:r>
        <w:rPr>
          <w:rFonts w:ascii="Times New Roman" w:hAnsi="Times New Roman"/>
          <w:sz w:val="24"/>
          <w:szCs w:val="24"/>
          <w:highlight w:val="none"/>
        </w:rPr>
        <w:t xml:space="preserve">8</w:t>
      </w:r>
      <w:r>
        <w:rPr>
          <w:rFonts w:ascii="Times New Roman" w:hAnsi="宋体"/>
          <w:sz w:val="24"/>
          <w:szCs w:val="24"/>
          <w:highlight w:val="none"/>
        </w:rPr>
        <w:t xml:space="preserve">）乙方在造价咨询服务中，在工作要求、工作质量、工作效率及服务质量上出现严重差错，达到招标文件规定的条件时；</w:t>
      </w:r>
      <w:r/>
    </w:p>
    <w:p>
      <w:pPr>
        <w:ind w:firstLine="480"/>
        <w:spacing w:line="360" w:lineRule="auto"/>
        <w:rPr>
          <w:rFonts w:ascii="Times New Roman" w:hAnsi="Times New Roman"/>
          <w:sz w:val="24"/>
          <w:szCs w:val="24"/>
          <w:highlight w:val="none"/>
        </w:rPr>
      </w:pPr>
      <w:r>
        <w:rPr>
          <w:rFonts w:ascii="Times New Roman" w:hAnsi="宋体"/>
          <w:sz w:val="24"/>
          <w:szCs w:val="24"/>
          <w:highlight w:val="none"/>
        </w:rPr>
        <w:t xml:space="preserve">（</w:t>
      </w:r>
      <w:r>
        <w:rPr>
          <w:rFonts w:ascii="Times New Roman" w:hAnsi="Times New Roman"/>
          <w:sz w:val="24"/>
          <w:szCs w:val="24"/>
          <w:highlight w:val="none"/>
        </w:rPr>
        <w:t xml:space="preserve">9</w:t>
      </w:r>
      <w:r>
        <w:rPr>
          <w:rFonts w:ascii="Times New Roman" w:hAnsi="宋体"/>
          <w:sz w:val="24"/>
          <w:szCs w:val="24"/>
          <w:highlight w:val="none"/>
        </w:rPr>
        <w:t xml:space="preserve">）受政策影响导致合同无法履行的；</w:t>
      </w:r>
      <w:r/>
    </w:p>
    <w:p>
      <w:pPr>
        <w:ind w:firstLine="480"/>
        <w:spacing w:line="360" w:lineRule="auto"/>
        <w:rPr>
          <w:rFonts w:ascii="Times New Roman" w:hAnsi="Times New Roman"/>
          <w:sz w:val="24"/>
          <w:szCs w:val="24"/>
          <w:highlight w:val="none"/>
        </w:rPr>
      </w:pPr>
      <w:r>
        <w:rPr>
          <w:rFonts w:ascii="Times New Roman" w:hAnsi="宋体"/>
          <w:sz w:val="24"/>
          <w:szCs w:val="24"/>
          <w:highlight w:val="none"/>
        </w:rPr>
        <w:t xml:space="preserve">（</w:t>
      </w:r>
      <w:r>
        <w:rPr>
          <w:rFonts w:ascii="Times New Roman" w:hAnsi="Times New Roman"/>
          <w:sz w:val="24"/>
          <w:szCs w:val="24"/>
          <w:highlight w:val="none"/>
        </w:rPr>
        <w:t xml:space="preserve">10</w:t>
      </w:r>
      <w:r>
        <w:rPr>
          <w:rFonts w:ascii="Times New Roman" w:hAnsi="宋体"/>
          <w:sz w:val="24"/>
          <w:szCs w:val="24"/>
          <w:highlight w:val="none"/>
        </w:rPr>
        <w:t xml:space="preserve">）其他未尽情况以本招标文件及其附件约定为准。</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5</w:t>
      </w:r>
      <w:r>
        <w:rPr>
          <w:rFonts w:ascii="Times New Roman" w:hAnsi="宋体"/>
          <w:sz w:val="24"/>
          <w:szCs w:val="24"/>
          <w:highlight w:val="none"/>
        </w:rPr>
        <w:t xml:space="preserve">．乙方在任何情况下都不得用任何不正当行为影响、干扰采购单位按规定的办法自主选择服务商的行为（包括回扣、非公众性赠送礼品、贬损其他商家、价格欺诈等）。一经发现甲方可立即解除合同，通报行业主管部门或其他相关部门进行处理，并建议将其作为行业及政府采购管理和信用评价的依据之一。</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6</w:t>
      </w:r>
      <w:r>
        <w:rPr>
          <w:rFonts w:ascii="Times New Roman" w:hAnsi="宋体"/>
          <w:sz w:val="24"/>
          <w:szCs w:val="24"/>
          <w:highlight w:val="none"/>
        </w:rPr>
        <w:t xml:space="preserve">．乙方在履行协审公务活动中，涉嫌一般职务违法的问题，甲方有权立即解除合同，并移送相关纪检监察部门按程序处置。触犯法律的，甲方将移交有关部门追究协审单位和相关责任人的法律责任。</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7</w:t>
      </w:r>
      <w:r>
        <w:rPr>
          <w:rFonts w:ascii="Times New Roman" w:hAnsi="宋体"/>
          <w:sz w:val="24"/>
          <w:szCs w:val="24"/>
          <w:highlight w:val="none"/>
        </w:rPr>
        <w:t xml:space="preserve">．如果乙方破产、解散、清算、停业以及其他原因无法提供服务的，或发现多家中标人负责人为同一人或者存在直接控股、管理关系，乙方负责人或股东与施工企业、施工劳务企业、工程材料供应商或施工器械租赁等工程领域相关企业存在交叉股权关系或者管理等影响社会咨询企业独立性的情形，甲方可在任何时间以书面形式通知乙方取消其协审服务商资格并解除合同。该行为将不损害或影响甲方和采购单位已经采取和将要采取的任何行动和补救措施的权力。</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8</w:t>
      </w:r>
      <w:r>
        <w:rPr>
          <w:rFonts w:ascii="Times New Roman" w:hAnsi="宋体"/>
          <w:sz w:val="24"/>
          <w:szCs w:val="24"/>
          <w:highlight w:val="none"/>
        </w:rPr>
        <w:t xml:space="preserve">．协审服务合同解除后，中标标段中未开始协审的项目全部取消，协审项目另行安排；已开始协审的项目应在合同解除后二个月内完成协审工作，如二个月内无法完成的，将取消协审，协审项目由甲方另行安排他人完成。被取消协审的协审项目，协审费用不予计取。</w:t>
      </w:r>
      <w:r/>
    </w:p>
    <w:p>
      <w:pPr>
        <w:ind w:firstLine="482"/>
        <w:spacing w:line="360" w:lineRule="auto"/>
        <w:rPr>
          <w:rFonts w:ascii="Times New Roman" w:hAnsi="Times New Roman"/>
          <w:b/>
          <w:sz w:val="24"/>
          <w:szCs w:val="24"/>
          <w:highlight w:val="none"/>
        </w:rPr>
      </w:pPr>
      <w:r>
        <w:rPr>
          <w:rFonts w:ascii="Times New Roman" w:hAnsi="宋体"/>
          <w:b/>
          <w:sz w:val="24"/>
          <w:szCs w:val="24"/>
          <w:highlight w:val="none"/>
        </w:rPr>
        <w:t xml:space="preserve">十、争议处置</w:t>
      </w:r>
      <w:r/>
    </w:p>
    <w:p>
      <w:pPr>
        <w:ind w:firstLine="480"/>
        <w:spacing w:line="360" w:lineRule="auto"/>
        <w:rPr>
          <w:rFonts w:ascii="Times New Roman" w:hAnsi="Times New Roman"/>
          <w:sz w:val="24"/>
          <w:szCs w:val="24"/>
          <w:highlight w:val="none"/>
        </w:rPr>
      </w:pPr>
      <w:r>
        <w:rPr>
          <w:rFonts w:ascii="Times New Roman" w:hAnsi="宋体"/>
          <w:sz w:val="24"/>
          <w:szCs w:val="24"/>
          <w:highlight w:val="none"/>
        </w:rPr>
        <w:t xml:space="preserve">在执行本合同中所发生的一切争议，各方（甲方、乙方）应通过友好协商的办法进行解决，如协商不能解决的，有关当事方可提请甲方所在地人民法院进行裁决。</w:t>
      </w:r>
      <w:r/>
    </w:p>
    <w:p>
      <w:pPr>
        <w:numPr>
          <w:ilvl w:val="0"/>
          <w:numId w:val="10"/>
        </w:numPr>
        <w:ind w:firstLine="482"/>
        <w:spacing w:line="360" w:lineRule="auto"/>
        <w:rPr>
          <w:rFonts w:ascii="Times New Roman" w:hAnsi="宋体"/>
          <w:b/>
          <w:bCs/>
          <w:sz w:val="24"/>
          <w:szCs w:val="24"/>
          <w:highlight w:val="none"/>
        </w:rPr>
      </w:pPr>
      <w:r>
        <w:rPr>
          <w:rFonts w:ascii="Times New Roman" w:hAnsi="宋体"/>
          <w:b/>
          <w:bCs/>
          <w:sz w:val="24"/>
          <w:szCs w:val="24"/>
          <w:highlight w:val="none"/>
        </w:rPr>
        <w:t xml:space="preserve">合同生效及其它</w:t>
      </w:r>
      <w:r/>
    </w:p>
    <w:p>
      <w:pPr>
        <w:numPr>
          <w:ilvl w:val="0"/>
          <w:numId w:val="0"/>
        </w:numPr>
        <w:spacing w:line="360" w:lineRule="auto"/>
        <w:rPr>
          <w:rFonts w:hint="default" w:ascii="Times New Roman" w:hAnsi="宋体" w:eastAsia="宋体"/>
          <w:b/>
          <w:bCs/>
          <w:sz w:val="24"/>
          <w:szCs w:val="24"/>
          <w:highlight w:val="none"/>
          <w:lang w:val="en-US" w:eastAsia="zh-CN"/>
        </w:rPr>
      </w:pPr>
      <w:r>
        <w:rPr>
          <w:rFonts w:hint="eastAsia" w:ascii="Times New Roman" w:hAnsi="宋体"/>
          <w:b/>
          <w:bCs/>
          <w:sz w:val="24"/>
          <w:szCs w:val="24"/>
          <w:highlight w:val="none"/>
          <w:lang w:val="en-US" w:eastAsia="zh-CN"/>
        </w:rPr>
        <w:t xml:space="preserve">   </w:t>
      </w:r>
      <w:r>
        <w:rPr>
          <w:rFonts w:hint="eastAsia" w:ascii="Times New Roman" w:hAnsi="Times New Roman"/>
          <w:sz w:val="24"/>
          <w:szCs w:val="24"/>
          <w:highlight w:val="none"/>
          <w:lang w:val="en-US" w:eastAsia="zh-CN"/>
        </w:rPr>
        <w:t xml:space="preserve"> 1. </w:t>
      </w:r>
      <w:r>
        <w:rPr>
          <w:rFonts w:hint="eastAsia" w:ascii="Times New Roman" w:hAnsi="宋体"/>
          <w:sz w:val="24"/>
          <w:szCs w:val="24"/>
          <w:highlight w:val="none"/>
        </w:rPr>
        <w:t xml:space="preserve">因政策原因取消或临时调整项目，</w:t>
      </w:r>
      <w:r>
        <w:rPr>
          <w:rFonts w:hint="eastAsia" w:ascii="Times New Roman" w:hAnsi="宋体"/>
          <w:sz w:val="24"/>
          <w:szCs w:val="24"/>
          <w:highlight w:val="none"/>
          <w:lang w:val="en-US" w:eastAsia="zh-CN"/>
        </w:rPr>
        <w:t xml:space="preserve">甲方</w:t>
      </w:r>
      <w:r>
        <w:rPr>
          <w:rFonts w:hint="eastAsia" w:ascii="Times New Roman" w:hAnsi="宋体"/>
          <w:sz w:val="24"/>
          <w:szCs w:val="24"/>
          <w:highlight w:val="none"/>
        </w:rPr>
        <w:t xml:space="preserve">有权在协审委托合同中调整，</w:t>
      </w:r>
      <w:r>
        <w:rPr>
          <w:rFonts w:hint="eastAsia" w:ascii="Times New Roman" w:hAnsi="宋体"/>
          <w:sz w:val="24"/>
          <w:szCs w:val="24"/>
          <w:highlight w:val="none"/>
          <w:lang w:val="en-US" w:eastAsia="zh-CN"/>
        </w:rPr>
        <w:t xml:space="preserve">乙方</w:t>
      </w:r>
      <w:r>
        <w:rPr>
          <w:rFonts w:hint="eastAsia" w:ascii="Times New Roman" w:hAnsi="宋体"/>
          <w:sz w:val="24"/>
          <w:szCs w:val="24"/>
          <w:highlight w:val="none"/>
        </w:rPr>
        <w:t xml:space="preserve">应按要求完成协审服务工作。</w:t>
      </w:r>
      <w:r/>
    </w:p>
    <w:p>
      <w:pPr>
        <w:ind w:firstLine="480"/>
        <w:spacing w:line="360" w:lineRule="auto"/>
        <w:rPr>
          <w:rFonts w:ascii="Times New Roman" w:hAnsi="Times New Roman"/>
          <w:sz w:val="24"/>
          <w:szCs w:val="24"/>
          <w:highlight w:val="none"/>
        </w:rPr>
      </w:pPr>
      <w:r>
        <w:rPr>
          <w:rFonts w:hint="eastAsia" w:ascii="Times New Roman" w:hAnsi="宋体"/>
          <w:sz w:val="24"/>
          <w:szCs w:val="24"/>
          <w:highlight w:val="none"/>
          <w:lang w:val="en-US" w:eastAsia="zh-CN"/>
        </w:rPr>
        <w:t xml:space="preserve">2</w:t>
      </w:r>
      <w:r>
        <w:rPr>
          <w:rFonts w:ascii="Times New Roman" w:hAnsi="宋体"/>
          <w:sz w:val="24"/>
          <w:szCs w:val="24"/>
          <w:highlight w:val="none"/>
        </w:rPr>
        <w:t xml:space="preserve">．合同经招标代理机构加盖骑缝章，甲乙双方代表签字并加盖公章（或合同章）后生效，生效后的合同</w:t>
      </w:r>
      <w:r>
        <w:rPr>
          <w:rFonts w:ascii="Times New Roman" w:hAnsi="Times New Roman"/>
          <w:sz w:val="24"/>
          <w:szCs w:val="24"/>
          <w:highlight w:val="none"/>
        </w:rPr>
        <w:t xml:space="preserve">2</w:t>
      </w:r>
      <w:r>
        <w:rPr>
          <w:rFonts w:ascii="Times New Roman" w:hAnsi="宋体"/>
          <w:sz w:val="24"/>
          <w:szCs w:val="24"/>
          <w:highlight w:val="none"/>
        </w:rPr>
        <w:t xml:space="preserve">个工作日内上传系统公示。</w:t>
      </w:r>
      <w:r/>
    </w:p>
    <w:p>
      <w:pPr>
        <w:ind w:firstLine="480"/>
        <w:spacing w:line="360" w:lineRule="auto"/>
        <w:rPr>
          <w:rFonts w:ascii="Times New Roman" w:hAnsi="Times New Roman"/>
          <w:sz w:val="24"/>
          <w:szCs w:val="24"/>
          <w:highlight w:val="none"/>
        </w:rPr>
      </w:pPr>
      <w:r>
        <w:rPr>
          <w:rFonts w:hint="eastAsia" w:ascii="Times New Roman" w:hAnsi="宋体"/>
          <w:sz w:val="24"/>
          <w:szCs w:val="24"/>
          <w:highlight w:val="none"/>
          <w:lang w:val="en-US" w:eastAsia="zh-CN"/>
        </w:rPr>
        <w:t xml:space="preserve">3</w:t>
      </w:r>
      <w:r>
        <w:rPr>
          <w:rFonts w:ascii="Times New Roman" w:hAnsi="宋体"/>
          <w:sz w:val="24"/>
          <w:szCs w:val="24"/>
          <w:highlight w:val="none"/>
        </w:rPr>
        <w:t xml:space="preserve">．合同在执行过程中出现的未尽事宜，双方在不违背本合同的原则下协商解决，协商结果以书面形式记录在案，作为本合同附件，与本合同具有同等法律效力。</w:t>
      </w:r>
      <w:r/>
    </w:p>
    <w:p>
      <w:pPr>
        <w:ind w:firstLine="480"/>
        <w:spacing w:line="360" w:lineRule="auto"/>
        <w:rPr>
          <w:rFonts w:ascii="Times New Roman" w:hAnsi="Times New Roman"/>
          <w:sz w:val="24"/>
          <w:szCs w:val="24"/>
          <w:highlight w:val="none"/>
        </w:rPr>
      </w:pPr>
      <w:r>
        <w:rPr>
          <w:rFonts w:hint="eastAsia" w:ascii="Times New Roman" w:hAnsi="Times New Roman"/>
          <w:sz w:val="24"/>
          <w:szCs w:val="24"/>
          <w:highlight w:val="none"/>
          <w:lang w:val="en-US" w:eastAsia="zh-CN"/>
        </w:rPr>
        <w:t xml:space="preserve">4</w:t>
      </w:r>
      <w:r>
        <w:rPr>
          <w:rFonts w:ascii="Times New Roman" w:hAnsi="Times New Roman"/>
          <w:sz w:val="24"/>
          <w:szCs w:val="24"/>
          <w:highlight w:val="none"/>
        </w:rPr>
        <w:t xml:space="preserve">.</w:t>
      </w:r>
      <w:r>
        <w:rPr>
          <w:rFonts w:ascii="Times New Roman" w:hAnsi="宋体"/>
          <w:sz w:val="24"/>
          <w:szCs w:val="24"/>
          <w:highlight w:val="none"/>
        </w:rPr>
        <w:t xml:space="preserve">本合同履行过程中，乙方需服从采购人关于协审工作、考勤、考核、费用结算等方面的管理。</w:t>
      </w:r>
      <w:r/>
    </w:p>
    <w:p>
      <w:pPr>
        <w:ind w:firstLine="482"/>
        <w:spacing w:line="360" w:lineRule="auto"/>
        <w:rPr>
          <w:rFonts w:ascii="Times New Roman" w:hAnsi="Times New Roman"/>
          <w:b/>
          <w:sz w:val="24"/>
          <w:szCs w:val="24"/>
          <w:highlight w:val="none"/>
        </w:rPr>
      </w:pPr>
      <w:r>
        <w:rPr>
          <w:rFonts w:ascii="Times New Roman" w:hAnsi="宋体"/>
          <w:b/>
          <w:sz w:val="24"/>
          <w:szCs w:val="24"/>
          <w:highlight w:val="none"/>
        </w:rPr>
        <w:t xml:space="preserve">十二、本合同一式陆份，甲乙双方各执贰份，招标代理机构</w:t>
      </w:r>
      <w:r>
        <w:rPr>
          <w:rFonts w:hint="eastAsia" w:ascii="Times New Roman" w:hAnsi="宋体"/>
          <w:b/>
          <w:sz w:val="24"/>
          <w:szCs w:val="24"/>
          <w:highlight w:val="none"/>
        </w:rPr>
        <w:t xml:space="preserve">壹</w:t>
      </w:r>
      <w:r>
        <w:rPr>
          <w:rFonts w:ascii="Times New Roman" w:hAnsi="宋体"/>
          <w:b/>
          <w:sz w:val="24"/>
          <w:szCs w:val="24"/>
          <w:highlight w:val="none"/>
        </w:rPr>
        <w:t xml:space="preserve">份，政府采购监督管理部门</w:t>
      </w:r>
      <w:r>
        <w:rPr>
          <w:rFonts w:hint="eastAsia" w:ascii="Times New Roman" w:hAnsi="宋体"/>
          <w:b/>
          <w:sz w:val="24"/>
          <w:szCs w:val="24"/>
          <w:highlight w:val="none"/>
        </w:rPr>
        <w:t xml:space="preserve">壹</w:t>
      </w:r>
      <w:r>
        <w:rPr>
          <w:rFonts w:ascii="Times New Roman" w:hAnsi="宋体"/>
          <w:b/>
          <w:sz w:val="24"/>
          <w:szCs w:val="24"/>
          <w:highlight w:val="none"/>
        </w:rPr>
        <w:t xml:space="preserve">份。</w:t>
      </w:r>
      <w:r/>
    </w:p>
    <w:p>
      <w:pPr>
        <w:ind w:firstLine="480"/>
        <w:spacing w:line="360" w:lineRule="auto"/>
        <w:rPr>
          <w:rFonts w:ascii="Times New Roman" w:hAnsi="Times New Roman"/>
          <w:sz w:val="24"/>
          <w:szCs w:val="24"/>
          <w:highlight w:val="none"/>
        </w:rPr>
      </w:pPr>
      <w:r>
        <w:rPr>
          <w:rFonts w:ascii="Times New Roman" w:hAnsi="Times New Roman"/>
          <w:sz w:val="24"/>
          <w:szCs w:val="24"/>
          <w:highlight w:val="none"/>
        </w:rPr>
      </w:r>
      <w:r/>
    </w:p>
    <w:p>
      <w:pPr>
        <w:spacing w:line="360" w:lineRule="auto"/>
        <w:tabs>
          <w:tab w:val="left" w:pos="0" w:leader="none"/>
        </w:tabs>
        <w:rPr>
          <w:rFonts w:ascii="Times New Roman" w:hAnsi="Times New Roman"/>
          <w:b/>
          <w:bCs/>
          <w:sz w:val="24"/>
          <w:szCs w:val="24"/>
          <w:highlight w:val="none"/>
          <w:lang w:val="zh-CN"/>
        </w:rPr>
      </w:pPr>
      <w:r>
        <w:rPr>
          <w:rFonts w:ascii="Times New Roman" w:hAnsi="宋体"/>
          <w:b/>
          <w:bCs/>
          <w:sz w:val="24"/>
          <w:szCs w:val="24"/>
          <w:highlight w:val="none"/>
          <w:lang w:val="zh-CN"/>
        </w:rPr>
        <w:t xml:space="preserve">甲方</w:t>
      </w:r>
      <w:r>
        <w:rPr>
          <w:rFonts w:ascii="Times New Roman" w:hAnsi="Times New Roman"/>
          <w:b/>
          <w:bCs/>
          <w:sz w:val="24"/>
          <w:szCs w:val="24"/>
          <w:highlight w:val="none"/>
          <w:lang w:val="zh-CN"/>
        </w:rPr>
        <w:t xml:space="preserve">(</w:t>
      </w:r>
      <w:r>
        <w:rPr>
          <w:rFonts w:ascii="Times New Roman" w:hAnsi="宋体"/>
          <w:b/>
          <w:bCs/>
          <w:sz w:val="24"/>
          <w:szCs w:val="24"/>
          <w:highlight w:val="none"/>
        </w:rPr>
        <w:t xml:space="preserve">盖章</w:t>
      </w:r>
      <w:r>
        <w:rPr>
          <w:rFonts w:ascii="Times New Roman" w:hAnsi="Times New Roman"/>
          <w:b/>
          <w:bCs/>
          <w:sz w:val="24"/>
          <w:szCs w:val="24"/>
          <w:highlight w:val="none"/>
          <w:lang w:val="zh-CN"/>
        </w:rPr>
        <w:t xml:space="preserve">)</w:t>
      </w:r>
      <w:r>
        <w:rPr>
          <w:rFonts w:ascii="Times New Roman" w:hAnsi="宋体"/>
          <w:b/>
          <w:bCs/>
          <w:sz w:val="24"/>
          <w:szCs w:val="24"/>
          <w:highlight w:val="none"/>
          <w:lang w:val="zh-CN"/>
        </w:rPr>
        <w:t xml:space="preserve">：</w:t>
      </w:r>
      <w:r>
        <w:rPr>
          <w:rFonts w:ascii="Times New Roman" w:hAnsi="Times New Roman"/>
          <w:b/>
          <w:bCs/>
          <w:sz w:val="24"/>
          <w:szCs w:val="24"/>
          <w:highlight w:val="none"/>
          <w:lang w:val="zh-CN"/>
        </w:rPr>
        <w:t xml:space="preserve">                           </w:t>
      </w:r>
      <w:r>
        <w:rPr>
          <w:rFonts w:ascii="Times New Roman" w:hAnsi="宋体"/>
          <w:b/>
          <w:bCs/>
          <w:sz w:val="24"/>
          <w:szCs w:val="24"/>
          <w:highlight w:val="none"/>
          <w:lang w:val="zh-CN"/>
        </w:rPr>
        <w:t xml:space="preserve">乙方（</w:t>
      </w:r>
      <w:r>
        <w:rPr>
          <w:rFonts w:ascii="Times New Roman" w:hAnsi="宋体"/>
          <w:b/>
          <w:bCs/>
          <w:sz w:val="24"/>
          <w:szCs w:val="24"/>
          <w:highlight w:val="none"/>
        </w:rPr>
        <w:t xml:space="preserve">盖章</w:t>
      </w:r>
      <w:r>
        <w:rPr>
          <w:rFonts w:ascii="Times New Roman" w:hAnsi="宋体"/>
          <w:b/>
          <w:bCs/>
          <w:sz w:val="24"/>
          <w:szCs w:val="24"/>
          <w:highlight w:val="none"/>
          <w:lang w:val="zh-CN"/>
        </w:rPr>
        <w:t xml:space="preserve">）：</w:t>
      </w:r>
      <w:r/>
    </w:p>
    <w:p>
      <w:pPr>
        <w:spacing w:line="360" w:lineRule="auto"/>
        <w:tabs>
          <w:tab w:val="left" w:pos="0" w:leader="none"/>
        </w:tabs>
        <w:rPr>
          <w:rFonts w:ascii="Times New Roman" w:hAnsi="Times New Roman"/>
          <w:b/>
          <w:bCs/>
          <w:sz w:val="24"/>
          <w:szCs w:val="24"/>
          <w:highlight w:val="none"/>
          <w:lang w:val="zh-CN"/>
        </w:rPr>
      </w:pPr>
      <w:r>
        <w:rPr>
          <w:rFonts w:ascii="Times New Roman" w:hAnsi="Times New Roman"/>
          <w:b/>
          <w:bCs/>
          <w:sz w:val="24"/>
          <w:szCs w:val="24"/>
          <w:highlight w:val="none"/>
          <w:lang w:val="zh-CN"/>
        </w:rPr>
      </w:r>
      <w:r/>
    </w:p>
    <w:p>
      <w:pPr>
        <w:spacing w:line="360" w:lineRule="auto"/>
        <w:tabs>
          <w:tab w:val="left" w:pos="0" w:leader="none"/>
        </w:tabs>
        <w:rPr>
          <w:rFonts w:ascii="Times New Roman" w:hAnsi="Times New Roman"/>
          <w:b/>
          <w:bCs/>
          <w:sz w:val="24"/>
          <w:szCs w:val="24"/>
          <w:highlight w:val="none"/>
          <w:lang w:val="zh-CN"/>
        </w:rPr>
      </w:pPr>
      <w:r>
        <w:rPr>
          <w:rFonts w:ascii="Times New Roman" w:hAnsi="宋体"/>
          <w:b/>
          <w:bCs/>
          <w:sz w:val="24"/>
          <w:szCs w:val="24"/>
          <w:highlight w:val="none"/>
          <w:lang w:val="zh-CN"/>
        </w:rPr>
        <w:t xml:space="preserve">法定代表人（签章）：</w:t>
      </w:r>
      <w:r>
        <w:rPr>
          <w:rFonts w:ascii="Times New Roman" w:hAnsi="Times New Roman"/>
          <w:b/>
          <w:bCs/>
          <w:sz w:val="24"/>
          <w:szCs w:val="24"/>
          <w:highlight w:val="none"/>
          <w:lang w:val="zh-CN"/>
        </w:rPr>
        <w:tab/>
      </w:r>
      <w:r>
        <w:rPr>
          <w:rFonts w:ascii="Times New Roman" w:hAnsi="Times New Roman"/>
          <w:b/>
          <w:bCs/>
          <w:sz w:val="24"/>
          <w:szCs w:val="24"/>
          <w:highlight w:val="none"/>
          <w:lang w:val="zh-CN"/>
        </w:rPr>
        <w:t xml:space="preserve">               </w:t>
      </w:r>
      <w:r>
        <w:rPr>
          <w:rFonts w:ascii="Times New Roman" w:hAnsi="宋体"/>
          <w:b/>
          <w:bCs/>
          <w:sz w:val="24"/>
          <w:szCs w:val="24"/>
          <w:highlight w:val="none"/>
          <w:lang w:val="zh-CN"/>
        </w:rPr>
        <w:t xml:space="preserve">法定代表人（签章）：</w:t>
      </w:r>
      <w:r/>
    </w:p>
    <w:p>
      <w:pPr>
        <w:spacing w:line="360" w:lineRule="auto"/>
        <w:tabs>
          <w:tab w:val="left" w:pos="0" w:leader="none"/>
        </w:tabs>
        <w:rPr>
          <w:rFonts w:ascii="Times New Roman" w:hAnsi="Times New Roman"/>
          <w:b/>
          <w:bCs/>
          <w:sz w:val="24"/>
          <w:szCs w:val="24"/>
          <w:highlight w:val="none"/>
          <w:lang w:val="zh-CN"/>
        </w:rPr>
      </w:pPr>
      <w:r>
        <w:rPr>
          <w:rFonts w:ascii="Times New Roman" w:hAnsi="宋体"/>
          <w:b/>
          <w:bCs/>
          <w:sz w:val="24"/>
          <w:szCs w:val="24"/>
          <w:highlight w:val="none"/>
          <w:lang w:val="zh-CN"/>
        </w:rPr>
        <w:t xml:space="preserve">或其</w:t>
      </w:r>
      <w:r>
        <w:rPr>
          <w:rFonts w:ascii="Times New Roman" w:hAnsi="Times New Roman"/>
          <w:b/>
          <w:bCs/>
          <w:sz w:val="24"/>
          <w:szCs w:val="24"/>
          <w:highlight w:val="none"/>
          <w:lang w:val="zh-CN"/>
        </w:rPr>
        <w:t xml:space="preserve">                                 </w:t>
      </w:r>
      <w:r>
        <w:rPr>
          <w:rFonts w:hint="eastAsia" w:ascii="Times New Roman" w:hAnsi="Times New Roman"/>
          <w:b/>
          <w:bCs/>
          <w:sz w:val="24"/>
          <w:szCs w:val="24"/>
          <w:highlight w:val="none"/>
          <w:lang w:val="en-US" w:eastAsia="zh-CN"/>
        </w:rPr>
        <w:t xml:space="preserve">  </w:t>
      </w:r>
      <w:r>
        <w:rPr>
          <w:rFonts w:ascii="Times New Roman" w:hAnsi="宋体"/>
          <w:b/>
          <w:bCs/>
          <w:sz w:val="24"/>
          <w:szCs w:val="24"/>
          <w:highlight w:val="none"/>
          <w:lang w:val="zh-CN"/>
        </w:rPr>
        <w:t xml:space="preserve">或其</w:t>
      </w:r>
      <w:r/>
    </w:p>
    <w:p>
      <w:pPr>
        <w:spacing w:line="360" w:lineRule="auto"/>
        <w:tabs>
          <w:tab w:val="left" w:pos="0" w:leader="none"/>
        </w:tabs>
        <w:rPr>
          <w:rFonts w:ascii="Times New Roman" w:hAnsi="Times New Roman"/>
          <w:b/>
          <w:bCs/>
          <w:sz w:val="24"/>
          <w:szCs w:val="24"/>
          <w:highlight w:val="none"/>
          <w:lang w:val="zh-CN"/>
        </w:rPr>
      </w:pPr>
      <w:r>
        <w:rPr>
          <w:rFonts w:ascii="Times New Roman" w:hAnsi="宋体"/>
          <w:b/>
          <w:bCs/>
          <w:sz w:val="24"/>
          <w:szCs w:val="24"/>
          <w:highlight w:val="none"/>
          <w:lang w:val="zh-CN"/>
        </w:rPr>
        <w:t xml:space="preserve">授权代理人（签章）：</w:t>
      </w:r>
      <w:r>
        <w:rPr>
          <w:rFonts w:ascii="Times New Roman" w:hAnsi="Times New Roman"/>
          <w:b/>
          <w:bCs/>
          <w:sz w:val="24"/>
          <w:szCs w:val="24"/>
          <w:highlight w:val="none"/>
          <w:lang w:val="zh-CN"/>
        </w:rPr>
        <w:tab/>
      </w:r>
      <w:r>
        <w:rPr>
          <w:rFonts w:ascii="Times New Roman" w:hAnsi="Times New Roman"/>
          <w:b/>
          <w:bCs/>
          <w:sz w:val="24"/>
          <w:szCs w:val="24"/>
          <w:highlight w:val="none"/>
          <w:lang w:val="zh-CN"/>
        </w:rPr>
        <w:tab/>
      </w:r>
      <w:r>
        <w:rPr>
          <w:rFonts w:ascii="Times New Roman" w:hAnsi="Times New Roman"/>
          <w:b/>
          <w:bCs/>
          <w:sz w:val="24"/>
          <w:szCs w:val="24"/>
          <w:highlight w:val="none"/>
          <w:lang w:val="zh-CN"/>
        </w:rPr>
        <w:t xml:space="preserve">         </w:t>
      </w:r>
      <w:r>
        <w:rPr>
          <w:rFonts w:ascii="Times New Roman" w:hAnsi="宋体"/>
          <w:b/>
          <w:bCs/>
          <w:sz w:val="24"/>
          <w:szCs w:val="24"/>
          <w:highlight w:val="none"/>
          <w:lang w:val="zh-CN"/>
        </w:rPr>
        <w:t xml:space="preserve">授权代理人（签章）：</w:t>
      </w:r>
      <w:r/>
    </w:p>
    <w:p>
      <w:pPr>
        <w:spacing w:line="360" w:lineRule="auto"/>
        <w:tabs>
          <w:tab w:val="left" w:pos="0" w:leader="none"/>
        </w:tabs>
        <w:rPr>
          <w:rFonts w:ascii="Times New Roman" w:hAnsi="Times New Roman"/>
          <w:b/>
          <w:bCs/>
          <w:sz w:val="24"/>
          <w:szCs w:val="24"/>
          <w:highlight w:val="none"/>
          <w:lang w:val="zh-CN"/>
        </w:rPr>
      </w:pPr>
      <w:r>
        <w:rPr>
          <w:rFonts w:ascii="Times New Roman" w:hAnsi="Times New Roman"/>
          <w:b/>
          <w:bCs/>
          <w:sz w:val="24"/>
          <w:szCs w:val="24"/>
          <w:highlight w:val="none"/>
          <w:lang w:val="zh-CN"/>
        </w:rPr>
      </w:r>
      <w:r/>
    </w:p>
    <w:p>
      <w:pPr>
        <w:spacing w:line="360" w:lineRule="auto"/>
        <w:tabs>
          <w:tab w:val="left" w:pos="0" w:leader="none"/>
        </w:tabs>
        <w:rPr>
          <w:rFonts w:ascii="Times New Roman" w:hAnsi="Times New Roman"/>
          <w:b/>
          <w:bCs/>
          <w:sz w:val="24"/>
          <w:szCs w:val="24"/>
          <w:highlight w:val="none"/>
          <w:lang w:val="zh-CN"/>
        </w:rPr>
      </w:pPr>
      <w:r>
        <w:rPr>
          <w:rFonts w:ascii="Times New Roman" w:hAnsi="宋体"/>
          <w:b/>
          <w:bCs/>
          <w:sz w:val="24"/>
          <w:szCs w:val="24"/>
          <w:highlight w:val="none"/>
        </w:rPr>
        <w:t xml:space="preserve">签订日期：</w:t>
      </w:r>
      <w:r>
        <w:rPr>
          <w:rFonts w:ascii="Times New Roman" w:hAnsi="Times New Roman"/>
          <w:b/>
          <w:bCs/>
          <w:sz w:val="24"/>
          <w:szCs w:val="24"/>
          <w:highlight w:val="none"/>
        </w:rPr>
        <w:t xml:space="preserve">  </w:t>
      </w:r>
      <w:r>
        <w:rPr>
          <w:rFonts w:ascii="Times New Roman" w:hAnsi="宋体"/>
          <w:b/>
          <w:bCs/>
          <w:sz w:val="24"/>
          <w:szCs w:val="24"/>
          <w:highlight w:val="none"/>
          <w:lang w:val="zh-CN"/>
        </w:rPr>
        <w:t xml:space="preserve">年</w:t>
      </w:r>
      <w:r>
        <w:rPr>
          <w:rFonts w:ascii="Times New Roman" w:hAnsi="Times New Roman"/>
          <w:b/>
          <w:bCs/>
          <w:sz w:val="24"/>
          <w:szCs w:val="24"/>
          <w:highlight w:val="none"/>
          <w:lang w:val="zh-CN"/>
        </w:rPr>
        <w:t xml:space="preserve">   </w:t>
      </w:r>
      <w:r>
        <w:rPr>
          <w:rFonts w:ascii="Times New Roman" w:hAnsi="宋体"/>
          <w:b/>
          <w:bCs/>
          <w:sz w:val="24"/>
          <w:szCs w:val="24"/>
          <w:highlight w:val="none"/>
          <w:lang w:val="zh-CN"/>
        </w:rPr>
        <w:t xml:space="preserve">月</w:t>
      </w:r>
      <w:r>
        <w:rPr>
          <w:rFonts w:ascii="Times New Roman" w:hAnsi="Times New Roman"/>
          <w:b/>
          <w:bCs/>
          <w:sz w:val="24"/>
          <w:szCs w:val="24"/>
          <w:highlight w:val="none"/>
          <w:lang w:val="zh-CN"/>
        </w:rPr>
        <w:t xml:space="preserve">   </w:t>
      </w:r>
      <w:r>
        <w:rPr>
          <w:rFonts w:ascii="Times New Roman" w:hAnsi="宋体"/>
          <w:b/>
          <w:bCs/>
          <w:sz w:val="24"/>
          <w:szCs w:val="24"/>
          <w:highlight w:val="none"/>
          <w:lang w:val="zh-CN"/>
        </w:rPr>
        <w:t xml:space="preserve">日</w:t>
      </w:r>
      <w:r>
        <w:rPr>
          <w:rFonts w:ascii="Times New Roman" w:hAnsi="Times New Roman"/>
          <w:b/>
          <w:bCs/>
          <w:sz w:val="24"/>
          <w:szCs w:val="24"/>
          <w:highlight w:val="none"/>
          <w:lang w:val="zh-CN"/>
        </w:rPr>
        <w:t xml:space="preserve">             </w:t>
      </w:r>
      <w:r>
        <w:rPr>
          <w:rFonts w:hint="eastAsia" w:ascii="Times New Roman" w:hAnsi="Times New Roman"/>
          <w:b/>
          <w:bCs/>
          <w:sz w:val="24"/>
          <w:szCs w:val="24"/>
          <w:highlight w:val="none"/>
          <w:lang w:val="en-US" w:eastAsia="zh-CN"/>
        </w:rPr>
        <w:t xml:space="preserve">  </w:t>
      </w:r>
      <w:r>
        <w:rPr>
          <w:rFonts w:ascii="Times New Roman" w:hAnsi="宋体"/>
          <w:b/>
          <w:bCs/>
          <w:sz w:val="24"/>
          <w:szCs w:val="24"/>
          <w:highlight w:val="none"/>
        </w:rPr>
        <w:t xml:space="preserve">签订日期：</w:t>
      </w:r>
      <w:r>
        <w:rPr>
          <w:rFonts w:ascii="Times New Roman" w:hAnsi="Times New Roman"/>
          <w:b/>
          <w:bCs/>
          <w:sz w:val="24"/>
          <w:szCs w:val="24"/>
          <w:highlight w:val="none"/>
        </w:rPr>
        <w:t xml:space="preserve">  </w:t>
      </w:r>
      <w:r>
        <w:rPr>
          <w:rFonts w:ascii="Times New Roman" w:hAnsi="宋体"/>
          <w:b/>
          <w:bCs/>
          <w:sz w:val="24"/>
          <w:szCs w:val="24"/>
          <w:highlight w:val="none"/>
          <w:lang w:val="zh-CN"/>
        </w:rPr>
        <w:t xml:space="preserve">年</w:t>
      </w:r>
      <w:r>
        <w:rPr>
          <w:rFonts w:ascii="Times New Roman" w:hAnsi="Times New Roman"/>
          <w:b/>
          <w:bCs/>
          <w:sz w:val="24"/>
          <w:szCs w:val="24"/>
          <w:highlight w:val="none"/>
          <w:lang w:val="zh-CN"/>
        </w:rPr>
        <w:t xml:space="preserve">   </w:t>
      </w:r>
      <w:r>
        <w:rPr>
          <w:rFonts w:ascii="Times New Roman" w:hAnsi="宋体"/>
          <w:b/>
          <w:bCs/>
          <w:sz w:val="24"/>
          <w:szCs w:val="24"/>
          <w:highlight w:val="none"/>
          <w:lang w:val="zh-CN"/>
        </w:rPr>
        <w:t xml:space="preserve">月</w:t>
      </w:r>
      <w:r>
        <w:rPr>
          <w:rFonts w:ascii="Times New Roman" w:hAnsi="Times New Roman"/>
          <w:b/>
          <w:bCs/>
          <w:sz w:val="24"/>
          <w:szCs w:val="24"/>
          <w:highlight w:val="none"/>
          <w:lang w:val="zh-CN"/>
        </w:rPr>
        <w:t xml:space="preserve">   </w:t>
      </w:r>
      <w:r>
        <w:rPr>
          <w:rFonts w:ascii="Times New Roman" w:hAnsi="宋体"/>
          <w:b/>
          <w:bCs/>
          <w:sz w:val="24"/>
          <w:szCs w:val="24"/>
          <w:highlight w:val="none"/>
          <w:lang w:val="zh-CN"/>
        </w:rPr>
        <w:t xml:space="preserve">日</w:t>
      </w:r>
      <w:r/>
    </w:p>
    <w:p>
      <w:pPr>
        <w:rPr>
          <w:rFonts w:hint="eastAsia" w:ascii="宋体" w:hAnsi="宋体"/>
          <w:color w:val="auto"/>
          <w:sz w:val="24"/>
          <w:szCs w:val="24"/>
          <w:highlight w:val="none"/>
          <w:lang w:val="en-US" w:eastAsia="zh-CN"/>
        </w:rPr>
      </w:pPr>
      <w:r>
        <w:rPr>
          <w:rStyle w:val="935"/>
          <w:rFonts w:ascii="黑体" w:hAnsi="黑体" w:eastAsia="黑体" w:cs="宋体"/>
          <w:b w:val="0"/>
          <w:bCs w:val="0"/>
          <w:highlight w:val="none"/>
        </w:rPr>
        <w:br w:type="page" w:clear="all"/>
      </w:r>
      <w:r/>
    </w:p>
    <w:p>
      <w:pPr>
        <w:numPr>
          <w:ilvl w:val="0"/>
          <w:numId w:val="9"/>
        </w:numPr>
        <w:jc w:val="center"/>
        <w:spacing w:line="360" w:lineRule="auto"/>
        <w:rPr>
          <w:rFonts w:hint="eastAsia" w:ascii="宋体" w:hAnsi="宋体"/>
          <w:b/>
          <w:color w:val="auto"/>
          <w:sz w:val="30"/>
          <w:szCs w:val="30"/>
          <w:highlight w:val="none"/>
          <w:lang w:val="en-US" w:eastAsia="zh-CN"/>
        </w:rPr>
      </w:pPr>
      <w:r>
        <w:rPr>
          <w:rFonts w:hint="eastAsia" w:ascii="宋体" w:hAnsi="宋体"/>
          <w:b/>
          <w:color w:val="auto"/>
          <w:sz w:val="30"/>
          <w:szCs w:val="30"/>
          <w:highlight w:val="none"/>
        </w:rPr>
        <w:t xml:space="preserve"> </w:t>
      </w:r>
      <w:r>
        <w:rPr>
          <w:rFonts w:hint="eastAsia" w:ascii="宋体" w:hAnsi="宋体"/>
          <w:b/>
          <w:color w:val="auto"/>
          <w:sz w:val="30"/>
          <w:szCs w:val="30"/>
          <w:highlight w:val="none"/>
          <w:lang w:val="en-US" w:eastAsia="zh-CN"/>
        </w:rPr>
        <w:t xml:space="preserve">磋商响应文件格式</w:t>
      </w:r>
      <w:bookmarkEnd w:id="32"/>
      <w:r/>
      <w:bookmarkEnd w:id="33"/>
      <w:r/>
      <w:bookmarkEnd w:id="34"/>
      <w:r/>
      <w:bookmarkEnd w:id="35"/>
      <w:r/>
      <w:r/>
    </w:p>
    <w:p>
      <w:pPr>
        <w:pStyle w:val="914"/>
        <w:ind w:left="0"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说明：</w:t>
      </w:r>
      <w:r/>
    </w:p>
    <w:p>
      <w:pPr>
        <w:pStyle w:val="914"/>
        <w:ind w:firstLine="48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对本章所有的格式，磋商供应商可根据自身情况进行补充和修改，但补充和修改不得造成与本格式内容有实质性的违背。</w:t>
      </w:r>
      <w:r/>
    </w:p>
    <w:p>
      <w:pPr>
        <w:pStyle w:val="914"/>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、（供应商）法定代表人授权委托书</w:t>
      </w:r>
      <w:r/>
    </w:p>
    <w:p>
      <w:pPr>
        <w:ind w:firstLine="422"/>
        <w:jc w:val="center"/>
        <w:spacing w:line="360" w:lineRule="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法定代表人授权委托书</w:t>
      </w:r>
      <w:r/>
    </w:p>
    <w:p>
      <w:pPr>
        <w:pStyle w:val="914"/>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 </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 xml:space="preserve">授权 </w:t>
      </w:r>
      <w:r>
        <w:rPr>
          <w:rFonts w:hint="eastAsia" w:ascii="宋体" w:hAnsi="宋体" w:eastAsia="宋体" w:cs="宋体"/>
          <w:color w:val="auto"/>
          <w:sz w:val="24"/>
          <w:szCs w:val="24"/>
          <w:highlight w:val="none"/>
          <w:u w:val="single"/>
        </w:rPr>
        <w:t xml:space="preserve"> （被授权人的姓名）</w:t>
      </w:r>
      <w:r>
        <w:rPr>
          <w:rFonts w:hint="eastAsia" w:ascii="宋体" w:hAnsi="宋体" w:eastAsia="宋体" w:cs="宋体"/>
          <w:color w:val="auto"/>
          <w:sz w:val="24"/>
          <w:szCs w:val="24"/>
          <w:highlight w:val="none"/>
        </w:rPr>
        <w:t xml:space="preserve">为我方授权代表（即代理人），参加</w:t>
      </w:r>
      <w:r>
        <w:rPr>
          <w:rFonts w:hint="eastAsia" w:ascii="宋体" w:hAnsi="宋体" w:eastAsia="宋体" w:cs="宋体"/>
          <w:color w:val="auto"/>
          <w:sz w:val="24"/>
          <w:szCs w:val="24"/>
          <w:highlight w:val="none"/>
          <w:u w:val="single"/>
          <w:lang w:val="en-US" w:eastAsia="zh-CN"/>
        </w:rPr>
        <w:t xml:space="preserve">苏州睿乔招投标咨询服务有限公司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（采购编号）   </w:t>
      </w:r>
      <w:r>
        <w:rPr>
          <w:rFonts w:hint="eastAsia" w:ascii="宋体" w:hAnsi="宋体" w:eastAsia="宋体" w:cs="宋体"/>
          <w:color w:val="auto"/>
          <w:sz w:val="24"/>
          <w:szCs w:val="24"/>
          <w:highlight w:val="none"/>
        </w:rPr>
        <w:t xml:space="preserve">的竞争性磋商采购。代理人在本次磋商活动过程、合同签订及处理有关事宜所作出的全部意思表示（包括签署的全部文件），我司均予以承认并由我司承担相应法律后果。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本授权委托书有效期自委托书作出之日起至本项目合同履行完毕之日止。</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w:t>
      </w:r>
      <w:r>
        <w:rPr>
          <w:rFonts w:hint="eastAsia" w:ascii="宋体" w:hAnsi="宋体" w:eastAsia="宋体" w:cs="宋体"/>
          <w:color w:val="auto"/>
          <w:sz w:val="24"/>
          <w:szCs w:val="24"/>
          <w:highlight w:val="none"/>
          <w:u w:val="single"/>
        </w:rPr>
        <w:t xml:space="preserve">（手机）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                                    </w:t>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63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63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备注：供应商如有授权委托，必须提供该法定代表人授权委托书及</w:t>
      </w:r>
      <w:r>
        <w:rPr>
          <w:rFonts w:hint="eastAsia" w:ascii="宋体" w:hAnsi="宋体" w:eastAsia="宋体" w:cs="宋体"/>
          <w:b/>
          <w:color w:val="auto"/>
          <w:sz w:val="24"/>
          <w:szCs w:val="24"/>
          <w:highlight w:val="none"/>
          <w:lang w:val="en-US" w:eastAsia="zh-CN"/>
        </w:rPr>
        <w:t xml:space="preserve">法人和</w:t>
      </w:r>
      <w:r>
        <w:rPr>
          <w:rFonts w:hint="eastAsia" w:ascii="宋体" w:hAnsi="宋体" w:eastAsia="宋体" w:cs="宋体"/>
          <w:b/>
          <w:color w:val="auto"/>
          <w:sz w:val="24"/>
          <w:szCs w:val="24"/>
          <w:highlight w:val="none"/>
        </w:rPr>
        <w:t xml:space="preserve">代理人</w:t>
      </w:r>
      <w:r>
        <w:rPr>
          <w:rFonts w:hint="eastAsia" w:ascii="宋体" w:hAnsi="宋体" w:eastAsia="宋体" w:cs="宋体"/>
          <w:b/>
          <w:color w:val="auto"/>
          <w:sz w:val="24"/>
          <w:szCs w:val="24"/>
          <w:highlight w:val="none"/>
          <w:lang w:val="en-US" w:eastAsia="zh-CN"/>
        </w:rPr>
        <w:t xml:space="preserve">的</w:t>
      </w:r>
      <w:r>
        <w:rPr>
          <w:rFonts w:hint="eastAsia" w:ascii="宋体" w:hAnsi="宋体" w:eastAsia="宋体" w:cs="宋体"/>
          <w:b/>
          <w:color w:val="auto"/>
          <w:sz w:val="24"/>
          <w:szCs w:val="24"/>
          <w:highlight w:val="none"/>
        </w:rPr>
        <w:t xml:space="preserve">身份证，否则响应无效；</w:t>
      </w:r>
      <w:r/>
    </w:p>
    <w:p>
      <w:pPr>
        <w:pStyle w:val="1109"/>
        <w:ind w:left="0" w:firstLine="482"/>
        <w:jc w:val="both"/>
        <w:keepLines w:val="0"/>
        <w:keepNext w:val="0"/>
        <w:pageBreakBefore w:val="0"/>
        <w:spacing w:before="0" w:beforeAutospacing="0" w:after="0" w:afterAutospacing="0" w:line="360" w:lineRule="auto"/>
        <w:widowControl/>
        <w:rPr>
          <w:rFonts w:hint="eastAsia" w:ascii="宋体" w:hAnsi="宋体" w:eastAsia="宋体" w:cs="宋体"/>
          <w:i w:val="0"/>
          <w:caps w:val="0"/>
          <w:color w:val="auto"/>
          <w:spacing w:val="0"/>
          <w:sz w:val="24"/>
          <w:szCs w:val="24"/>
          <w:highlight w:val="none"/>
          <w:lang w:eastAsia="zh-CN"/>
        </w:rPr>
        <w:outlineLvl w:val="9"/>
        <w:suppressLineNumbers w:val="0"/>
      </w:pPr>
      <w:r>
        <w:rPr>
          <w:rFonts w:hint="eastAsia" w:ascii="宋体" w:hAnsi="宋体" w:eastAsia="宋体" w:cs="宋体"/>
          <w:b/>
          <w:color w:val="auto"/>
          <w:sz w:val="24"/>
          <w:szCs w:val="24"/>
          <w:highlight w:val="none"/>
        </w:rPr>
        <w:t xml:space="preserve">供应商无授权委托的情况下，必须提供法定代表人身份证，否则响应无效。</w:t>
      </w:r>
      <w:r/>
    </w:p>
    <w:p>
      <w:pPr>
        <w:pStyle w:val="914"/>
        <w:ind w:firstLine="0"/>
        <w:jc w:val="left"/>
        <w:spacing w:line="360" w:lineRule="auto"/>
        <w:rPr>
          <w:rFonts w:ascii="宋体" w:hAnsi="宋体" w:eastAsia="宋体" w:cs="Times New Roman"/>
          <w:color w:val="auto"/>
          <w:szCs w:val="24"/>
          <w:highlight w:val="none"/>
        </w:rPr>
        <w:outlineLvl w:val="1"/>
      </w:pPr>
      <w:r>
        <w:rPr>
          <w:rFonts w:ascii="宋体" w:hAnsi="宋体" w:eastAsia="宋体" w:cs="Times New Roman"/>
          <w:color w:val="auto"/>
          <w:szCs w:val="24"/>
          <w:highlight w:val="none"/>
        </w:rPr>
        <w:br w:type="page" w:clear="all"/>
      </w:r>
      <w:r>
        <w:rPr>
          <w:rFonts w:ascii="宋体" w:hAnsi="宋体" w:eastAsia="宋体" w:cs="Times New Roman"/>
          <w:color w:val="auto"/>
          <w:szCs w:val="24"/>
          <w:highlight w:val="none"/>
        </w:rPr>
        <w:t xml:space="preserve">2</w:t>
      </w:r>
      <w:r>
        <w:rPr>
          <w:rFonts w:hint="eastAsia" w:ascii="宋体" w:hAnsi="宋体" w:eastAsia="宋体" w:cs="Times New Roman"/>
          <w:color w:val="auto"/>
          <w:szCs w:val="24"/>
          <w:highlight w:val="none"/>
        </w:rPr>
        <w:t xml:space="preserve">、</w:t>
      </w:r>
      <w:r>
        <w:rPr>
          <w:rStyle w:val="985"/>
          <w:rFonts w:hint="eastAsia" w:ascii="宋体" w:hAnsi="宋体"/>
          <w:color w:val="auto"/>
          <w:sz w:val="24"/>
          <w:highlight w:val="none"/>
          <w:lang w:val="en-US" w:eastAsia="zh-CN"/>
        </w:rPr>
        <w:t xml:space="preserve">磋商响应函</w:t>
      </w:r>
      <w:r/>
    </w:p>
    <w:p>
      <w:pPr>
        <w:pStyle w:val="914"/>
        <w:jc w:val="center"/>
        <w:spacing w:line="360" w:lineRule="auto"/>
        <w:rPr>
          <w:rFonts w:ascii="宋体" w:hAnsi="宋体" w:eastAsia="宋体"/>
          <w:color w:val="auto"/>
          <w:sz w:val="24"/>
          <w:szCs w:val="24"/>
          <w:highlight w:val="none"/>
        </w:rPr>
        <w:outlineLvl w:val="1"/>
      </w:pPr>
      <w:r>
        <w:rPr>
          <w:rFonts w:hint="eastAsia" w:ascii="宋体" w:hAnsi="宋体" w:eastAsia="宋体"/>
          <w:color w:val="auto"/>
          <w:sz w:val="24"/>
          <w:szCs w:val="24"/>
          <w:highlight w:val="none"/>
          <w:lang w:val="en-US" w:eastAsia="zh-CN"/>
        </w:rPr>
        <w:t xml:space="preserve">磋商响应函</w:t>
      </w:r>
      <w:r/>
    </w:p>
    <w:p>
      <w:pPr>
        <w:pStyle w:val="914"/>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u w:val="single"/>
          <w:lang w:eastAsia="zh-CN"/>
        </w:rPr>
        <w:t xml:space="preserve">苏州睿乔招投标咨询服务有限公司</w:t>
      </w:r>
      <w:r>
        <w:rPr>
          <w:rFonts w:hint="eastAsia" w:ascii="宋体" w:hAnsi="宋体" w:eastAsia="宋体" w:cs="Times New Roman"/>
          <w:color w:val="auto"/>
          <w:sz w:val="24"/>
          <w:szCs w:val="24"/>
          <w:highlight w:val="none"/>
          <w:lang w:eastAsia="zh-CN"/>
        </w:rPr>
        <w:t xml:space="preserve">：</w:t>
      </w:r>
      <w:r/>
    </w:p>
    <w:p>
      <w:pPr>
        <w:pStyle w:val="914"/>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olor w:val="auto"/>
          <w:sz w:val="24"/>
          <w:szCs w:val="24"/>
          <w:highlight w:val="none"/>
        </w:rPr>
        <w:t xml:space="preserve">我们收到贵公司</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号磋商</w:t>
      </w:r>
      <w:r>
        <w:rPr>
          <w:rFonts w:hint="eastAsia" w:ascii="宋体" w:hAnsi="宋体" w:eastAsia="宋体"/>
          <w:color w:val="auto"/>
          <w:sz w:val="24"/>
          <w:szCs w:val="24"/>
          <w:highlight w:val="none"/>
          <w:lang w:val="en-US" w:eastAsia="zh-CN"/>
        </w:rPr>
        <w:t xml:space="preserve">文件</w:t>
      </w:r>
      <w:r>
        <w:rPr>
          <w:rFonts w:hint="eastAsia" w:ascii="宋体" w:hAnsi="宋体" w:eastAsia="宋体"/>
          <w:color w:val="auto"/>
          <w:sz w:val="24"/>
          <w:szCs w:val="24"/>
          <w:highlight w:val="none"/>
        </w:rPr>
        <w:t xml:space="preserve">，经仔细阅读和研究，我们决定</w:t>
      </w:r>
      <w:r>
        <w:rPr>
          <w:rFonts w:hint="eastAsia" w:ascii="宋体" w:hAnsi="宋体" w:eastAsia="宋体" w:cs="Times New Roman"/>
          <w:color w:val="auto"/>
          <w:sz w:val="24"/>
          <w:szCs w:val="24"/>
          <w:highlight w:val="none"/>
        </w:rPr>
        <w:t xml:space="preserve">参加该次磋商活动。</w:t>
      </w:r>
      <w:r/>
    </w:p>
    <w:p>
      <w:pPr>
        <w:pStyle w:val="914"/>
        <w:ind w:firstLine="480"/>
        <w:jc w:val="left"/>
        <w:spacing w:line="360" w:lineRule="auto"/>
        <w:rPr>
          <w:rFonts w:hint="eastAsia" w:ascii="宋体" w:hAnsi="宋体" w:eastAsia="宋体" w:cs="Times New Roman"/>
          <w:color w:val="auto"/>
          <w:sz w:val="24"/>
          <w:szCs w:val="24"/>
          <w:highlight w:val="none"/>
          <w:lang w:eastAsia="zh-CN"/>
        </w:rPr>
        <w:outlineLvl w:val="1"/>
      </w:pPr>
      <w:r>
        <w:rPr>
          <w:rFonts w:hint="eastAsia" w:ascii="宋体" w:hAnsi="宋体" w:eastAsia="宋体" w:cs="Times New Roman"/>
          <w:color w:val="auto"/>
          <w:sz w:val="24"/>
          <w:szCs w:val="24"/>
          <w:highlight w:val="none"/>
        </w:rPr>
        <w:t xml:space="preserve">1、我们愿意按照磋商采购</w:t>
      </w:r>
      <w:r>
        <w:rPr>
          <w:rFonts w:hint="eastAsia" w:ascii="宋体" w:hAnsi="宋体" w:eastAsia="宋体" w:cs="Times New Roman"/>
          <w:color w:val="auto"/>
          <w:sz w:val="24"/>
          <w:szCs w:val="24"/>
          <w:highlight w:val="none"/>
          <w:lang w:val="en-US" w:eastAsia="zh-CN"/>
        </w:rPr>
        <w:t xml:space="preserve">文件</w:t>
      </w:r>
      <w:r>
        <w:rPr>
          <w:rFonts w:hint="eastAsia" w:ascii="宋体" w:hAnsi="宋体" w:eastAsia="宋体" w:cs="Times New Roman"/>
          <w:color w:val="auto"/>
          <w:sz w:val="24"/>
          <w:szCs w:val="24"/>
          <w:highlight w:val="none"/>
        </w:rPr>
        <w:t xml:space="preserve">的一切要求，提供包括完成该项目全部内容的一切费用。（包含的所有风险、责任等各项应有费用。）</w:t>
      </w:r>
      <w:r/>
    </w:p>
    <w:p>
      <w:pPr>
        <w:pStyle w:val="914"/>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2、如果我们磋商商务被接受，我们将严格履行磋商</w:t>
      </w:r>
      <w:r>
        <w:rPr>
          <w:rFonts w:hint="eastAsia" w:ascii="宋体" w:hAnsi="宋体" w:eastAsia="宋体"/>
          <w:color w:val="auto"/>
          <w:sz w:val="24"/>
          <w:szCs w:val="24"/>
          <w:highlight w:val="none"/>
          <w:lang w:val="en-US" w:eastAsia="zh-CN"/>
        </w:rPr>
        <w:t xml:space="preserve">文件</w:t>
      </w:r>
      <w:r>
        <w:rPr>
          <w:rFonts w:hint="eastAsia" w:ascii="宋体" w:hAnsi="宋体" w:eastAsia="宋体" w:cs="Times New Roman"/>
          <w:color w:val="auto"/>
          <w:sz w:val="24"/>
          <w:szCs w:val="24"/>
          <w:highlight w:val="none"/>
        </w:rPr>
        <w:t xml:space="preserve">中规定的每一项要求，按期、按质、按量履行合同的义务。</w:t>
      </w:r>
      <w:r/>
    </w:p>
    <w:p>
      <w:pPr>
        <w:pStyle w:val="914"/>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3、我们愿意提供磋商</w:t>
      </w:r>
      <w:r>
        <w:rPr>
          <w:rFonts w:hint="eastAsia" w:ascii="宋体" w:hAnsi="宋体" w:eastAsia="宋体"/>
          <w:color w:val="auto"/>
          <w:sz w:val="24"/>
          <w:szCs w:val="24"/>
          <w:highlight w:val="none"/>
          <w:lang w:val="en-US" w:eastAsia="zh-CN"/>
        </w:rPr>
        <w:t xml:space="preserve">文件</w:t>
      </w:r>
      <w:r>
        <w:rPr>
          <w:rFonts w:hint="eastAsia" w:ascii="宋体" w:hAnsi="宋体" w:eastAsia="宋体" w:cs="Times New Roman"/>
          <w:color w:val="auto"/>
          <w:sz w:val="24"/>
          <w:szCs w:val="24"/>
          <w:highlight w:val="none"/>
        </w:rPr>
        <w:t xml:space="preserve">中要求的所有资料。</w:t>
      </w:r>
      <w:r/>
    </w:p>
    <w:p>
      <w:pPr>
        <w:pStyle w:val="914"/>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4、我们认为你们有权决定成交人，还认为你们有权接受或拒绝所有的磋商供应商。</w:t>
      </w:r>
      <w:r/>
    </w:p>
    <w:p>
      <w:pPr>
        <w:pStyle w:val="914"/>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5、我们愿意遵守磋商</w:t>
      </w:r>
      <w:r>
        <w:rPr>
          <w:rFonts w:hint="eastAsia" w:ascii="宋体" w:hAnsi="宋体" w:eastAsia="宋体"/>
          <w:color w:val="auto"/>
          <w:sz w:val="24"/>
          <w:szCs w:val="24"/>
          <w:highlight w:val="none"/>
          <w:lang w:val="en-US" w:eastAsia="zh-CN"/>
        </w:rPr>
        <w:t xml:space="preserve">文件</w:t>
      </w:r>
      <w:r>
        <w:rPr>
          <w:rFonts w:hint="eastAsia" w:ascii="宋体" w:hAnsi="宋体" w:eastAsia="宋体" w:cs="Times New Roman"/>
          <w:color w:val="auto"/>
          <w:sz w:val="24"/>
          <w:szCs w:val="24"/>
          <w:highlight w:val="none"/>
        </w:rPr>
        <w:t xml:space="preserve">中所列的收费标准。</w:t>
      </w:r>
      <w:r/>
    </w:p>
    <w:p>
      <w:pPr>
        <w:pStyle w:val="914"/>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6、如果我们成交，我们愿意按前附表规定支付成交服务费；</w:t>
      </w:r>
      <w:r/>
    </w:p>
    <w:p>
      <w:pPr>
        <w:pStyle w:val="914"/>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7、综合说明：</w:t>
      </w:r>
      <w:r/>
    </w:p>
    <w:p>
      <w:pPr>
        <w:pStyle w:val="914"/>
        <w:ind w:firstLine="480"/>
        <w:jc w:val="left"/>
        <w:spacing w:line="360" w:lineRule="auto"/>
        <w:rPr>
          <w:rFonts w:hint="eastAsia" w:ascii="宋体" w:hAnsi="宋体" w:eastAsia="宋体" w:cs="Times New Roman"/>
          <w:color w:val="auto"/>
          <w:sz w:val="24"/>
          <w:szCs w:val="24"/>
          <w:highlight w:val="none"/>
          <w:lang w:eastAsia="zh-CN"/>
        </w:rPr>
        <w:outlineLvl w:val="1"/>
      </w:pPr>
      <w:r>
        <w:rPr>
          <w:rFonts w:hint="eastAsia" w:ascii="宋体" w:hAnsi="宋体" w:eastAsia="宋体" w:cs="Times New Roman"/>
          <w:color w:val="auto"/>
          <w:sz w:val="24"/>
          <w:szCs w:val="24"/>
          <w:highlight w:val="none"/>
        </w:rPr>
        <w:t xml:space="preserve">（1）伴随服务及配合措施</w:t>
      </w:r>
      <w:r>
        <w:rPr>
          <w:rFonts w:hint="eastAsia" w:ascii="宋体" w:hAnsi="宋体" w:eastAsia="宋体" w:cs="Times New Roman"/>
          <w:color w:val="auto"/>
          <w:sz w:val="24"/>
          <w:szCs w:val="24"/>
          <w:highlight w:val="none"/>
          <w:lang w:eastAsia="zh-CN"/>
        </w:rPr>
        <w:t xml:space="preserve">：</w:t>
      </w:r>
      <w:r/>
    </w:p>
    <w:p>
      <w:pPr>
        <w:pStyle w:val="914"/>
        <w:ind w:firstLine="480"/>
        <w:jc w:val="left"/>
        <w:spacing w:line="360" w:lineRule="auto"/>
        <w:rPr>
          <w:rFonts w:hint="eastAsia" w:ascii="宋体" w:hAnsi="宋体" w:eastAsia="宋体" w:cs="Times New Roman"/>
          <w:color w:val="auto"/>
          <w:sz w:val="24"/>
          <w:szCs w:val="24"/>
          <w:highlight w:val="none"/>
          <w:lang w:eastAsia="zh-CN"/>
        </w:rPr>
        <w:outlineLvl w:val="1"/>
      </w:pPr>
      <w:r>
        <w:rPr>
          <w:rFonts w:hint="eastAsia" w:ascii="宋体" w:hAnsi="宋体" w:eastAsia="宋体" w:cs="Times New Roman"/>
          <w:color w:val="auto"/>
          <w:sz w:val="24"/>
          <w:szCs w:val="24"/>
          <w:highlight w:val="none"/>
        </w:rPr>
        <w:t xml:space="preserve">（2）要求采购单位提供的配合</w:t>
      </w:r>
      <w:r>
        <w:rPr>
          <w:rFonts w:hint="eastAsia" w:ascii="宋体" w:hAnsi="宋体" w:eastAsia="宋体" w:cs="Times New Roman"/>
          <w:color w:val="auto"/>
          <w:sz w:val="24"/>
          <w:szCs w:val="24"/>
          <w:highlight w:val="none"/>
          <w:lang w:eastAsia="zh-CN"/>
        </w:rPr>
        <w:t xml:space="preserve">：</w:t>
      </w:r>
      <w:r/>
    </w:p>
    <w:p>
      <w:pPr>
        <w:pStyle w:val="914"/>
        <w:ind w:firstLine="480"/>
        <w:jc w:val="left"/>
        <w:spacing w:line="360" w:lineRule="auto"/>
        <w:rPr>
          <w:rFonts w:hint="eastAsia" w:ascii="宋体" w:hAnsi="宋体" w:eastAsia="宋体" w:cs="Times New Roman"/>
          <w:color w:val="auto"/>
          <w:sz w:val="24"/>
          <w:szCs w:val="24"/>
          <w:highlight w:val="none"/>
          <w:lang w:eastAsia="zh-CN"/>
        </w:rPr>
        <w:outlineLvl w:val="1"/>
      </w:pPr>
      <w:r>
        <w:rPr>
          <w:rFonts w:hint="eastAsia" w:ascii="宋体" w:hAnsi="宋体" w:eastAsia="宋体" w:cs="Times New Roman"/>
          <w:color w:val="auto"/>
          <w:sz w:val="24"/>
          <w:szCs w:val="24"/>
          <w:highlight w:val="none"/>
        </w:rPr>
        <w:t xml:space="preserve">（3）其它说明</w:t>
      </w:r>
      <w:r>
        <w:rPr>
          <w:rFonts w:hint="eastAsia" w:ascii="宋体" w:hAnsi="宋体" w:eastAsia="宋体" w:cs="Times New Roman"/>
          <w:color w:val="auto"/>
          <w:sz w:val="24"/>
          <w:szCs w:val="24"/>
          <w:highlight w:val="none"/>
          <w:lang w:eastAsia="zh-CN"/>
        </w:rPr>
        <w:t xml:space="preserve">：</w:t>
      </w:r>
      <w:r/>
    </w:p>
    <w:p>
      <w:pPr>
        <w:pStyle w:val="914"/>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olor w:val="auto"/>
          <w:szCs w:val="24"/>
          <w:highlight w:val="none"/>
        </w:rPr>
        <w:t xml:space="preserve">所有有关响应文件的函电，请按下列</w:t>
      </w:r>
      <w:r>
        <w:rPr>
          <w:rFonts w:hint="eastAsia" w:ascii="宋体" w:hAnsi="宋体" w:eastAsia="宋体"/>
          <w:color w:val="auto"/>
          <w:szCs w:val="24"/>
          <w:highlight w:val="none"/>
          <w:lang w:val="en-US" w:eastAsia="zh-CN"/>
        </w:rPr>
        <w:t xml:space="preserve">信息</w:t>
      </w:r>
      <w:r>
        <w:rPr>
          <w:rFonts w:hint="eastAsia" w:ascii="宋体" w:hAnsi="宋体" w:eastAsia="宋体"/>
          <w:color w:val="auto"/>
          <w:szCs w:val="24"/>
          <w:highlight w:val="none"/>
        </w:rPr>
        <w:t xml:space="preserve">联系：</w:t>
      </w:r>
      <w:r/>
    </w:p>
    <w:p>
      <w:pPr>
        <w:pStyle w:val="914"/>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单位：</w:t>
      </w:r>
      <w:r/>
    </w:p>
    <w:p>
      <w:pPr>
        <w:pStyle w:val="914"/>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联系人：</w:t>
      </w:r>
      <w:r/>
    </w:p>
    <w:p>
      <w:pPr>
        <w:pStyle w:val="914"/>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地址：</w:t>
      </w:r>
      <w:r/>
    </w:p>
    <w:p>
      <w:pPr>
        <w:pStyle w:val="914"/>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邮政编码：</w:t>
      </w:r>
      <w:r/>
    </w:p>
    <w:p>
      <w:pPr>
        <w:pStyle w:val="914"/>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联系电话：</w:t>
      </w:r>
      <w:r/>
    </w:p>
    <w:p>
      <w:pPr>
        <w:pStyle w:val="914"/>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传真：</w:t>
      </w:r>
      <w:r/>
    </w:p>
    <w:p>
      <w:pPr>
        <w:pStyle w:val="914"/>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法定代表人或授权委托人：（签字或盖章）</w:t>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914"/>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宋体"/>
          <w:color w:val="auto"/>
          <w:sz w:val="24"/>
          <w:szCs w:val="24"/>
          <w:highlight w:val="none"/>
        </w:rPr>
        <w:t xml:space="preserve">日期：　　　　年　　  月　　  日</w:t>
      </w:r>
      <w:r/>
    </w:p>
    <w:p>
      <w:pPr>
        <w:pStyle w:val="1222"/>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br w:type="page" w:clear="all"/>
      </w:r>
      <w:r>
        <w:rPr>
          <w:rFonts w:hint="eastAsia" w:ascii="宋体" w:hAnsi="宋体" w:eastAsia="宋体" w:cs="宋体"/>
          <w:color w:val="auto"/>
          <w:sz w:val="24"/>
          <w:szCs w:val="24"/>
          <w:highlight w:val="none"/>
        </w:rPr>
        <w:t xml:space="preserve">3、</w:t>
      </w:r>
      <w:r>
        <w:rPr>
          <w:rFonts w:hint="eastAsia" w:hAnsi="宋体" w:eastAsia="宋体" w:cs="宋体"/>
          <w:color w:val="auto"/>
          <w:sz w:val="24"/>
          <w:szCs w:val="24"/>
          <w:highlight w:val="none"/>
          <w:lang w:val="en-US" w:eastAsia="zh-CN"/>
        </w:rPr>
        <w:t xml:space="preserve">开标</w:t>
      </w:r>
      <w:r>
        <w:rPr>
          <w:rFonts w:hint="eastAsia" w:ascii="宋体" w:hAnsi="宋体" w:eastAsia="宋体" w:cs="宋体"/>
          <w:color w:val="auto"/>
          <w:sz w:val="24"/>
          <w:szCs w:val="24"/>
          <w:highlight w:val="none"/>
          <w:lang w:val="en-US" w:eastAsia="zh-CN"/>
        </w:rPr>
        <w:t xml:space="preserve">一览表</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按系统内</w:t>
      </w:r>
      <w:r>
        <w:rPr>
          <w:rFonts w:hint="eastAsia" w:ascii="宋体" w:hAnsi="宋体" w:eastAsia="宋体" w:cs="宋体"/>
          <w:b/>
          <w:bCs/>
          <w:color w:val="auto"/>
          <w:sz w:val="24"/>
          <w:szCs w:val="24"/>
          <w:highlight w:val="none"/>
        </w:rPr>
        <w:t xml:space="preserve">统一格式)</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firstLine="482"/>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注：本项目报价填标段预算，其他金额为无效响应。</w:t>
      </w:r>
      <w:r/>
    </w:p>
    <w:p>
      <w:pPr>
        <w:pStyle w:val="738"/>
        <w:rPr>
          <w:rFonts w:ascii="宋体" w:hAnsi="宋体" w:eastAsia="宋体"/>
          <w:color w:val="auto"/>
          <w:szCs w:val="24"/>
          <w:highlight w:val="none"/>
        </w:rPr>
      </w:pPr>
      <w:r>
        <w:rPr>
          <w:rFonts w:ascii="宋体" w:hAnsi="宋体" w:eastAsia="宋体"/>
          <w:color w:val="auto"/>
          <w:szCs w:val="24"/>
          <w:highlight w:val="none"/>
        </w:rPr>
      </w:r>
      <w:r/>
    </w:p>
    <w:p>
      <w:pPr>
        <w:ind w:firstLine="480"/>
        <w:keepLines w:val="0"/>
        <w:keepNext w:val="0"/>
        <w:pageBreakBefore w:val="0"/>
        <w:spacing w:line="360" w:lineRule="auto"/>
        <w:widowControl w:val="off"/>
        <w:rPr>
          <w:rFonts w:ascii="宋体" w:hAnsi="宋体" w:eastAsia="宋体"/>
          <w:color w:val="auto"/>
          <w:sz w:val="24"/>
          <w:szCs w:val="24"/>
          <w:highlight w:val="none"/>
        </w:rPr>
        <w:outlineLvl w:val="9"/>
      </w:pPr>
      <w:r>
        <w:rPr>
          <w:rFonts w:ascii="宋体" w:hAnsi="宋体" w:eastAsia="宋体"/>
          <w:color w:val="auto"/>
          <w:sz w:val="24"/>
          <w:szCs w:val="24"/>
          <w:highlight w:val="none"/>
        </w:rPr>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60" w:lineRule="auto"/>
        <w:rPr>
          <w:rFonts w:ascii="宋体" w:hAnsi="宋体" w:eastAsia="宋体"/>
          <w:b/>
          <w:bCs/>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eastAsia="宋体"/>
          <w:color w:val="auto"/>
          <w:sz w:val="24"/>
          <w:szCs w:val="24"/>
          <w:highlight w:val="none"/>
          <w:lang w:val="en-US" w:eastAsia="zh-CN"/>
        </w:rPr>
        <w:t xml:space="preserve">、</w:t>
      </w:r>
      <w:r>
        <w:rPr>
          <w:rFonts w:hint="eastAsia" w:ascii="宋体" w:hAnsi="宋体" w:eastAsia="宋体"/>
          <w:bCs/>
          <w:color w:val="auto"/>
          <w:sz w:val="24"/>
          <w:szCs w:val="24"/>
          <w:highlight w:val="none"/>
        </w:rPr>
        <w:t xml:space="preserve">人员配备一览表</w:t>
      </w:r>
      <w:r/>
    </w:p>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人员配备一览表</w:t>
      </w:r>
      <w:r/>
    </w:p>
    <w:tbl>
      <w:tblPr>
        <w:tblStyle w:val="73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62"/>
        <w:gridCol w:w="1693"/>
        <w:gridCol w:w="1016"/>
        <w:gridCol w:w="1821"/>
        <w:gridCol w:w="1904"/>
        <w:gridCol w:w="2032"/>
      </w:tblGrid>
      <w:tr>
        <w:trPr>
          <w:trHeight w:val="851"/>
        </w:trPr>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jc w:val="center"/>
              <w:spacing w:line="360" w:lineRule="auto"/>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岗位</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姓名</w:t>
            </w:r>
            <w:r/>
          </w:p>
        </w:tc>
        <w:tc>
          <w:tcPr>
            <w:tcBorders>
              <w:top w:val="single" w:color="auto" w:sz="4" w:space="0"/>
              <w:left w:val="single" w:color="auto" w:sz="4" w:space="0"/>
              <w:bottom w:val="single" w:color="auto" w:sz="4" w:space="0"/>
              <w:right w:val="single" w:color="auto" w:sz="4" w:space="0"/>
            </w:tcBorders>
            <w:tcW w:w="1821" w:type="dxa"/>
            <w:vAlign w:val="center"/>
            <w:textDirection w:val="lrTb"/>
            <w:noWrap w:val="false"/>
          </w:tcPr>
          <w:p>
            <w:pPr>
              <w:jc w:val="center"/>
              <w:spacing w:line="360" w:lineRule="auto"/>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性别</w:t>
            </w:r>
            <w:r/>
          </w:p>
        </w:tc>
        <w:tc>
          <w:tcPr>
            <w:tcBorders>
              <w:top w:val="single" w:color="auto" w:sz="4" w:space="0"/>
              <w:left w:val="single" w:color="auto" w:sz="4" w:space="0"/>
              <w:bottom w:val="single" w:color="auto" w:sz="4" w:space="0"/>
              <w:right w:val="single" w:color="auto" w:sz="4" w:space="0"/>
            </w:tcBorders>
            <w:tcW w:w="1904"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bCs/>
                <w:color w:val="auto"/>
                <w:sz w:val="24"/>
                <w:highlight w:val="none"/>
                <w:lang w:val="en-US" w:eastAsia="zh-CN"/>
              </w:rPr>
              <w:t xml:space="preserve">年龄</w:t>
            </w:r>
            <w:r/>
          </w:p>
        </w:tc>
        <w:tc>
          <w:tcPr>
            <w:tcBorders>
              <w:top w:val="single" w:color="auto" w:sz="4" w:space="0"/>
              <w:left w:val="single" w:color="auto" w:sz="4" w:space="0"/>
              <w:bottom w:val="single" w:color="auto" w:sz="4" w:space="0"/>
              <w:right w:val="single" w:color="auto" w:sz="4" w:space="0"/>
            </w:tcBorders>
            <w:tcW w:w="2032" w:type="dxa"/>
            <w:vAlign w:val="center"/>
            <w:textDirection w:val="lrTb"/>
            <w:noWrap w:val="false"/>
          </w:tcPr>
          <w:p>
            <w:pPr>
              <w:jc w:val="center"/>
              <w:spacing w:line="360" w:lineRule="auto"/>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821"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032"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821"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04"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032"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r>
      <w:tr>
        <w:trPr>
          <w:trHeight w:val="567"/>
        </w:trPr>
        <w:tc>
          <w:tcPr>
            <w:tcBorders>
              <w:top w:val="single" w:color="auto" w:sz="4" w:space="0"/>
              <w:bottom w:val="single" w:color="auto" w:sz="4" w:space="0"/>
              <w:right w:val="single" w:color="auto" w:sz="4" w:space="0"/>
            </w:tcBorders>
            <w:tcW w:w="1162" w:type="dxa"/>
            <w:vAlign w:val="top"/>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693"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Borders>
              <w:top w:val="single" w:color="auto" w:sz="4" w:space="0"/>
              <w:left w:val="single" w:color="auto" w:sz="4" w:space="0"/>
              <w:bottom w:val="single" w:color="auto" w:sz="4" w:space="0"/>
            </w:tcBorders>
            <w:tcW w:w="2032"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r>
      <w:tr>
        <w:trPr>
          <w:trHeight w:val="567"/>
        </w:trPr>
        <w:tc>
          <w:tcPr>
            <w:tcBorders>
              <w:top w:val="single" w:color="auto" w:sz="4" w:space="0"/>
              <w:bottom w:val="single" w:color="auto" w:sz="4" w:space="0"/>
              <w:right w:val="single" w:color="auto" w:sz="4" w:space="0"/>
            </w:tcBorders>
            <w:tcW w:w="1162" w:type="dxa"/>
            <w:vAlign w:val="top"/>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693"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Borders>
              <w:top w:val="single" w:color="auto" w:sz="4" w:space="0"/>
              <w:left w:val="single" w:color="auto" w:sz="4" w:space="0"/>
              <w:bottom w:val="single" w:color="auto" w:sz="4" w:space="0"/>
            </w:tcBorders>
            <w:tcW w:w="2032"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r>
    </w:tbl>
    <w:p>
      <w:pP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 </w:t>
      </w:r>
      <w:r/>
    </w:p>
    <w:p>
      <w:pPr>
        <w:spacing w:line="360" w:lineRule="auto"/>
        <w:rPr>
          <w:rFonts w:ascii="宋体" w:hAnsi="宋体" w:eastAsia="宋体"/>
          <w:bCs/>
          <w:color w:val="auto"/>
          <w:sz w:val="24"/>
          <w:highlight w:val="none"/>
        </w:rPr>
      </w:pPr>
      <w:r>
        <w:rPr>
          <w:rFonts w:ascii="宋体" w:hAnsi="宋体" w:eastAsia="宋体"/>
          <w:bCs/>
          <w:color w:val="auto"/>
          <w:sz w:val="24"/>
          <w:highlight w:val="none"/>
        </w:rPr>
      </w:r>
      <w:r/>
    </w:p>
    <w:p>
      <w:pPr>
        <w:spacing w:line="360" w:lineRule="auto"/>
        <w:rPr>
          <w:rFonts w:ascii="宋体" w:hAnsi="宋体" w:eastAsia="宋体"/>
          <w:bCs/>
          <w:color w:val="auto"/>
          <w:sz w:val="24"/>
          <w:highlight w:val="none"/>
        </w:rPr>
      </w:pPr>
      <w:r>
        <w:rPr>
          <w:rFonts w:ascii="宋体" w:hAnsi="宋体" w:eastAsia="宋体"/>
          <w:bCs/>
          <w:color w:val="auto"/>
          <w:sz w:val="24"/>
          <w:highlight w:val="none"/>
        </w:rPr>
      </w:r>
      <w:r/>
    </w:p>
    <w:p>
      <w:pPr>
        <w:pStyle w:val="1284"/>
        <w:spacing w:line="360" w:lineRule="auto"/>
        <w:tabs>
          <w:tab w:val="left" w:pos="8930" w:leader="none"/>
          <w:tab w:val="left" w:pos="9306" w:leader="none"/>
        </w:tabs>
        <w:rPr>
          <w:rFonts w:hint="eastAsia" w:ascii="宋体" w:hAnsi="宋体" w:eastAsia="宋体" w:cs="Times New Roman"/>
          <w:color w:val="auto"/>
          <w:sz w:val="24"/>
          <w:szCs w:val="24"/>
          <w:highlight w:val="none"/>
          <w:lang w:eastAsia="zh-CN"/>
        </w:rPr>
      </w:pPr>
      <w:r>
        <w:rPr>
          <w:rFonts w:hint="eastAsia" w:ascii="宋体" w:hAnsi="宋体" w:eastAsia="宋体" w:cs="宋体"/>
          <w:color w:val="auto"/>
          <w:sz w:val="24"/>
          <w:szCs w:val="24"/>
          <w:highlight w:val="none"/>
        </w:rPr>
        <w:t xml:space="preserve">供应商名称：（加盖CA电子公章）</w:t>
      </w:r>
      <w:r/>
    </w:p>
    <w:p>
      <w:pPr>
        <w:pStyle w:val="1284"/>
        <w:spacing w:line="360" w:lineRule="auto"/>
        <w:tabs>
          <w:tab w:val="left" w:pos="8930" w:leader="none"/>
          <w:tab w:val="left" w:pos="9306"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法定代表人或委托代理人：</w:t>
      </w:r>
      <w:r>
        <w:rPr>
          <w:rFonts w:hint="eastAsia" w:hAnsi="宋体" w:eastAsia="宋体" w:cs="Times New Roman"/>
          <w:color w:val="auto"/>
          <w:sz w:val="24"/>
          <w:szCs w:val="24"/>
          <w:highlight w:val="none"/>
          <w:lang w:eastAsia="zh-CN"/>
        </w:rPr>
        <w:t xml:space="preserve">（</w:t>
      </w:r>
      <w:r>
        <w:rPr>
          <w:rFonts w:hint="eastAsia" w:hAnsi="宋体" w:eastAsia="宋体" w:cs="Times New Roman"/>
          <w:color w:val="auto"/>
          <w:sz w:val="24"/>
          <w:szCs w:val="24"/>
          <w:highlight w:val="none"/>
          <w:lang w:val="en-US" w:eastAsia="zh-CN"/>
        </w:rPr>
        <w:t xml:space="preserve">签字或盖章</w:t>
      </w:r>
      <w:r>
        <w:rPr>
          <w:rFonts w:hint="eastAsia"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 </w:t>
      </w:r>
      <w:r/>
    </w:p>
    <w:p>
      <w:pPr>
        <w:pStyle w:val="1222"/>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pStyle w:val="1284"/>
        <w:spacing w:line="360" w:lineRule="auto"/>
        <w:tabs>
          <w:tab w:val="left" w:pos="8930" w:leader="none"/>
          <w:tab w:val="left" w:pos="9306"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60" w:lineRule="auto"/>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spacing w:line="360" w:lineRule="auto"/>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spacing w:line="360" w:lineRule="auto"/>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spacing w:line="360" w:lineRule="auto"/>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spacing w:line="360" w:lineRule="auto"/>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spacing w:line="360" w:lineRule="auto"/>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spacing w:line="360" w:lineRule="auto"/>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spacing w:line="360" w:lineRule="auto"/>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spacing w:line="360" w:lineRule="auto"/>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spacing w:line="360" w:lineRule="auto"/>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spacing w:line="360" w:lineRule="auto"/>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spacing w:line="360" w:lineRule="auto"/>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spacing w:line="360" w:lineRule="auto"/>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spacing w:line="360" w:lineRule="auto"/>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pStyle w:val="764"/>
        <w:rPr>
          <w:rFonts w:hint="eastAsia"/>
          <w:lang w:val="en-US" w:eastAsia="zh-CN"/>
        </w:rPr>
      </w:pPr>
      <w:r>
        <w:rPr>
          <w:rFonts w:hint="eastAsia"/>
          <w:lang w:val="en-US" w:eastAsia="zh-CN"/>
        </w:rPr>
      </w:r>
      <w:r/>
    </w:p>
    <w:p>
      <w:pPr>
        <w:jc w:val="both"/>
        <w:spacing w:line="360" w:lineRule="auto"/>
        <w:rPr>
          <w:rFonts w:ascii="宋体" w:hAnsi="宋体" w:eastAsia="宋体"/>
          <w:bCs/>
          <w:color w:val="auto"/>
          <w:sz w:val="24"/>
          <w:highlight w:val="none"/>
        </w:rPr>
      </w:pP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bCs/>
          <w:color w:val="auto"/>
          <w:sz w:val="24"/>
          <w:highlight w:val="none"/>
        </w:rPr>
        <w:t xml:space="preserve">项目业绩一览表</w:t>
      </w:r>
      <w:r/>
    </w:p>
    <w:p>
      <w:pPr>
        <w:ind w:left="0"/>
        <w:jc w:val="center"/>
        <w:spacing w:line="360" w:lineRule="auto"/>
        <w:widowControl w:val="off"/>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r>
      <w:r/>
    </w:p>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项目业绩一览表</w:t>
      </w:r>
      <w:r/>
    </w:p>
    <w:tbl>
      <w:tblPr>
        <w:tblStyle w:val="733"/>
        <w:tblW w:w="9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530"/>
        <w:gridCol w:w="1462"/>
        <w:gridCol w:w="1485"/>
        <w:gridCol w:w="2164"/>
        <w:gridCol w:w="1923"/>
      </w:tblGrid>
      <w:tr>
        <w:trPr/>
        <w:tc>
          <w:tcPr>
            <w:tcW w:w="696"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序号</w:t>
            </w:r>
            <w:r/>
          </w:p>
        </w:tc>
        <w:tc>
          <w:tcPr>
            <w:tcW w:w="1530"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项目名称</w:t>
            </w:r>
            <w:r/>
          </w:p>
        </w:tc>
        <w:tc>
          <w:tcPr>
            <w:tcW w:w="1462"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项目时间</w:t>
            </w:r>
            <w:r/>
          </w:p>
        </w:tc>
        <w:tc>
          <w:tcPr>
            <w:tcW w:w="1485"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合同金额</w:t>
            </w:r>
            <w:r/>
          </w:p>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（人民币）</w:t>
            </w:r>
            <w:r/>
          </w:p>
        </w:tc>
        <w:tc>
          <w:tcPr>
            <w:tcW w:w="2164"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业主单位</w:t>
            </w:r>
            <w:r/>
          </w:p>
        </w:tc>
        <w:tc>
          <w:tcPr>
            <w:tcW w:w="1923"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备注</w:t>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1</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2</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3</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4</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5</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6</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t xml:space="preserve">……</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bl>
    <w:p>
      <w:pPr>
        <w:pStyle w:val="1284"/>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84"/>
        <w:spacing w:line="360" w:lineRule="auto"/>
        <w:tabs>
          <w:tab w:val="left" w:pos="8930" w:leader="none"/>
          <w:tab w:val="left" w:pos="9306" w:leader="none"/>
        </w:tabs>
        <w:rPr>
          <w:rFonts w:hint="eastAsia" w:ascii="宋体" w:hAnsi="宋体" w:eastAsia="宋体" w:cs="Times New Roman"/>
          <w:color w:val="auto"/>
          <w:sz w:val="24"/>
          <w:szCs w:val="24"/>
          <w:highlight w:val="none"/>
          <w:lang w:eastAsia="zh-CN"/>
        </w:rPr>
      </w:pPr>
      <w:r>
        <w:rPr>
          <w:rFonts w:hint="eastAsia" w:ascii="宋体" w:hAnsi="宋体" w:eastAsia="宋体" w:cs="宋体"/>
          <w:color w:val="auto"/>
          <w:sz w:val="24"/>
          <w:szCs w:val="24"/>
          <w:highlight w:val="none"/>
        </w:rPr>
        <w:t xml:space="preserve">供应商名称：（加盖CA电子公章）</w:t>
      </w:r>
      <w:r/>
    </w:p>
    <w:p>
      <w:pPr>
        <w:pStyle w:val="1284"/>
        <w:spacing w:line="360" w:lineRule="auto"/>
        <w:tabs>
          <w:tab w:val="left" w:pos="8930" w:leader="none"/>
          <w:tab w:val="left" w:pos="9306"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法定代表人或委托代理人：</w:t>
      </w:r>
      <w:r>
        <w:rPr>
          <w:rFonts w:hint="eastAsia" w:hAnsi="宋体" w:eastAsia="宋体" w:cs="Times New Roman"/>
          <w:color w:val="auto"/>
          <w:sz w:val="24"/>
          <w:szCs w:val="24"/>
          <w:highlight w:val="none"/>
          <w:lang w:eastAsia="zh-CN"/>
        </w:rPr>
        <w:t xml:space="preserve">（</w:t>
      </w:r>
      <w:r>
        <w:rPr>
          <w:rFonts w:hint="eastAsia" w:hAnsi="宋体" w:eastAsia="宋体" w:cs="Times New Roman"/>
          <w:color w:val="auto"/>
          <w:sz w:val="24"/>
          <w:szCs w:val="24"/>
          <w:highlight w:val="none"/>
          <w:lang w:val="en-US" w:eastAsia="zh-CN"/>
        </w:rPr>
        <w:t xml:space="preserve">签字或盖章</w:t>
      </w:r>
      <w:r>
        <w:rPr>
          <w:rFonts w:hint="eastAsia"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 </w:t>
      </w:r>
      <w:r/>
    </w:p>
    <w:p>
      <w:pPr>
        <w:spacing w:line="360" w:lineRule="auto"/>
        <w:rPr>
          <w:rFonts w:hint="eastAsia" w:ascii="宋体" w:hAnsi="宋体"/>
          <w:color w:val="auto"/>
          <w:sz w:val="24"/>
          <w:szCs w:val="24"/>
          <w:highlight w:val="none"/>
          <w:lang w:val="en-US" w:eastAsia="zh-CN"/>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6、采购需求偏离表</w:t>
      </w:r>
      <w:r/>
    </w:p>
    <w:p>
      <w:pPr>
        <w:rPr>
          <w:rFonts w:ascii="Calibri" w:hAnsi="Calibri"/>
          <w:color w:val="auto"/>
          <w:sz w:val="24"/>
          <w:szCs w:val="24"/>
          <w:highlight w:val="none"/>
        </w:rPr>
      </w:pPr>
      <w:r>
        <w:rPr>
          <w:rFonts w:hint="eastAsia" w:ascii="Calibri" w:hAnsi="Calibri"/>
          <w:color w:val="auto"/>
          <w:sz w:val="24"/>
          <w:szCs w:val="24"/>
          <w:highlight w:val="none"/>
        </w:rPr>
        <w:t xml:space="preserve">项目编号：</w:t>
      </w:r>
      <w:r/>
    </w:p>
    <w:tbl>
      <w:tblPr>
        <w:tblStyle w:val="733"/>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555"/>
        <w:gridCol w:w="2555"/>
        <w:gridCol w:w="1931"/>
        <w:gridCol w:w="1771"/>
      </w:tblGrid>
      <w:tr>
        <w:trPr>
          <w:jc w:val="center"/>
          <w:trHeight w:val="454"/>
        </w:trPr>
        <w:tc>
          <w:tcPr>
            <w:tcW w:w="8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55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tc>
        <w:tc>
          <w:tcPr>
            <w:tcW w:w="255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响应内容</w:t>
            </w:r>
            <w:r/>
          </w:p>
        </w:tc>
        <w:tc>
          <w:tcPr>
            <w:tcW w:w="19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偏离/响应</w:t>
            </w:r>
            <w:r/>
          </w:p>
        </w:tc>
        <w:tc>
          <w:tcPr>
            <w:tcW w:w="177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color w:val="auto"/>
          <w:sz w:val="24"/>
          <w:szCs w:val="24"/>
          <w:highlight w:val="none"/>
          <w:lang w:val="en-US" w:eastAsia="zh-CN"/>
        </w:rPr>
      </w:pPr>
      <w:r>
        <w:rPr>
          <w:rFonts w:hint="eastAsia" w:ascii="Calibri" w:hAnsi="Calibri"/>
          <w:color w:val="auto"/>
          <w:sz w:val="24"/>
          <w:szCs w:val="24"/>
          <w:highlight w:val="none"/>
        </w:rPr>
        <w:t xml:space="preserve">注：供应商的服务、技术、商务等与磋商文件规定有偏离的，应在此表中说明。未说明偏离的，将被认为响应磋商文件的规定。但该表不作为供应商对所投标服务、技术、商务等的详细描述和说明的替代。</w:t>
      </w:r>
      <w:r/>
    </w:p>
    <w:p>
      <w:pPr>
        <w:pStyle w:val="1222"/>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1222"/>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1222"/>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spacing w:line="360" w:lineRule="auto"/>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spacing w:line="360" w:lineRule="auto"/>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spacing w:line="360" w:lineRule="auto"/>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pStyle w:val="962"/>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pStyle w:val="914"/>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pStyle w:val="962"/>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pStyle w:val="914"/>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pStyle w:val="962"/>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pStyle w:val="914"/>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pStyle w:val="962"/>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pStyle w:val="914"/>
        <w:rPr>
          <w:rFonts w:hint="eastAsia" w:ascii="宋体" w:hAnsi="宋体"/>
          <w:color w:val="auto"/>
          <w:highlight w:val="none"/>
          <w:lang w:val="en-US" w:eastAsia="zh-CN"/>
        </w:rPr>
      </w:pPr>
      <w:r>
        <w:rPr>
          <w:rFonts w:hint="eastAsia" w:ascii="宋体" w:hAnsi="宋体"/>
          <w:color w:val="auto"/>
          <w:highlight w:val="none"/>
          <w:lang w:val="en-US" w:eastAsia="zh-CN"/>
        </w:rPr>
      </w:r>
      <w:r/>
    </w:p>
    <w:p>
      <w:pPr>
        <w:pStyle w:val="914"/>
        <w:rPr>
          <w:rFonts w:hint="eastAsia" w:ascii="宋体" w:hAnsi="宋体"/>
          <w:color w:val="auto"/>
          <w:highlight w:val="none"/>
          <w:lang w:val="en-US" w:eastAsia="zh-CN"/>
        </w:rPr>
      </w:pPr>
      <w:r>
        <w:rPr>
          <w:rFonts w:hint="eastAsia" w:ascii="宋体" w:hAnsi="宋体"/>
          <w:color w:val="auto"/>
          <w:highlight w:val="none"/>
          <w:lang w:val="en-US" w:eastAsia="zh-CN"/>
        </w:rPr>
      </w:r>
      <w:r/>
    </w:p>
    <w:p>
      <w:pPr>
        <w:pStyle w:val="914"/>
        <w:rPr>
          <w:rFonts w:hint="eastAsia" w:ascii="宋体" w:hAnsi="宋体"/>
          <w:color w:val="auto"/>
          <w:highlight w:val="none"/>
          <w:lang w:val="en-US" w:eastAsia="zh-CN"/>
        </w:rPr>
      </w:pPr>
      <w:r>
        <w:rPr>
          <w:rFonts w:hint="eastAsia" w:ascii="宋体" w:hAnsi="宋体"/>
          <w:color w:val="auto"/>
          <w:highlight w:val="none"/>
          <w:lang w:val="en-US" w:eastAsia="zh-CN"/>
        </w:rPr>
      </w:r>
      <w:r/>
    </w:p>
    <w:p>
      <w:pPr>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pStyle w:val="962"/>
        <w:rPr>
          <w:rFonts w:hint="eastAsia"/>
          <w:color w:val="auto"/>
          <w:highlight w:val="none"/>
          <w:lang w:val="en-US" w:eastAsia="zh-CN"/>
        </w:rPr>
      </w:pPr>
      <w:r>
        <w:rPr>
          <w:rFonts w:hint="eastAsia"/>
          <w:color w:val="auto"/>
          <w:highlight w:val="none"/>
          <w:lang w:val="en-US" w:eastAsia="zh-CN"/>
        </w:rPr>
      </w:r>
      <w:r/>
    </w:p>
    <w:p>
      <w:pPr>
        <w:spacing w:line="360" w:lineRule="auto"/>
        <w:rPr>
          <w:rFonts w:hint="eastAsia" w:ascii="宋体" w:hAnsi="宋体" w:eastAsia="宋体" w:cs="Arial"/>
          <w:bCs/>
          <w:color w:val="auto"/>
          <w:sz w:val="24"/>
          <w:szCs w:val="24"/>
          <w:highlight w:val="none"/>
          <w:lang w:val="en-US" w:eastAsia="zh-CN"/>
        </w:rPr>
      </w:pPr>
      <w:r>
        <w:rPr>
          <w:rFonts w:hint="eastAsia" w:ascii="宋体" w:hAnsi="宋体" w:eastAsia="宋体" w:cs="Arial"/>
          <w:bCs/>
          <w:color w:val="auto"/>
          <w:sz w:val="24"/>
          <w:szCs w:val="24"/>
          <w:highlight w:val="none"/>
          <w:lang w:val="en-US" w:eastAsia="zh-CN"/>
        </w:rPr>
      </w:r>
      <w:r/>
    </w:p>
    <w:p>
      <w:pPr>
        <w:spacing w:line="360" w:lineRule="auto"/>
        <w:rPr>
          <w:rFonts w:ascii="宋体" w:hAnsi="宋体" w:eastAsia="宋体" w:cs="Times New Roman"/>
          <w:bCs/>
          <w:color w:val="auto"/>
          <w:sz w:val="24"/>
          <w:szCs w:val="24"/>
          <w:highlight w:val="none"/>
        </w:rPr>
      </w:pPr>
      <w:r>
        <w:rPr>
          <w:rFonts w:hint="eastAsia" w:ascii="宋体" w:hAnsi="宋体" w:cs="Arial"/>
          <w:bCs/>
          <w:color w:val="auto"/>
          <w:sz w:val="24"/>
          <w:szCs w:val="24"/>
          <w:highlight w:val="none"/>
          <w:lang w:val="en-US" w:eastAsia="zh-CN"/>
        </w:rPr>
        <w:t xml:space="preserve">7</w:t>
      </w:r>
      <w:r>
        <w:rPr>
          <w:rFonts w:hint="eastAsia" w:ascii="宋体" w:hAnsi="宋体" w:eastAsia="宋体" w:cs="Arial"/>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rPr>
        <w:t xml:space="preserve">服务方案</w:t>
      </w:r>
      <w:r/>
    </w:p>
    <w:p>
      <w:pPr>
        <w:jc w:val="cente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服务方案</w:t>
      </w:r>
      <w:r/>
    </w:p>
    <w:tbl>
      <w:tblPr>
        <w:tblStyle w:val="733"/>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rHeight w:val="1797"/>
        </w:trPr>
        <w:tc>
          <w:tcPr>
            <w:tcW w:w="9628" w:type="dxa"/>
            <w:vAlign w:val="top"/>
            <w:textDirection w:val="lrTb"/>
            <w:noWrap w:val="false"/>
          </w:tcPr>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提示：</w:t>
            </w:r>
            <w:r/>
          </w:p>
          <w:p>
            <w:pPr>
              <w:numPr>
                <w:ilvl w:val="0"/>
                <w:numId w:val="0"/>
              </w:numPr>
              <w:spacing w:line="360" w:lineRule="auto"/>
              <w:rPr>
                <w:rFonts w:ascii="宋体" w:hAnsi="宋体" w:eastAsia="宋体" w:cs="Times New Roman"/>
                <w:bCs/>
                <w:color w:val="auto"/>
                <w:sz w:val="24"/>
                <w:highlight w:val="none"/>
              </w:rPr>
            </w:pP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投标人</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响应单位</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highlight w:val="none"/>
              </w:rPr>
              <w:t xml:space="preserve">应针对本次招标</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采购</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highlight w:val="none"/>
              </w:rPr>
              <w:t xml:space="preserve">项目特点及区域的具体情况编写拟采取的服务方案。</w:t>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2</w:t>
            </w:r>
            <w:r>
              <w:rPr>
                <w:rFonts w:hint="eastAsia" w:ascii="宋体" w:hAnsi="宋体" w:eastAsia="宋体" w:cs="Times New Roman"/>
                <w:color w:val="auto"/>
                <w:sz w:val="24"/>
                <w:highlight w:val="none"/>
              </w:rPr>
              <w:t xml:space="preserve">、投标人</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响应单位</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highlight w:val="none"/>
              </w:rPr>
              <w:t xml:space="preserve">可根据自身情况编写，本页不够可另加页附后。</w:t>
            </w:r>
            <w:r/>
          </w:p>
        </w:tc>
      </w:tr>
      <w:tr>
        <w:trPr>
          <w:trHeight w:val="9707"/>
        </w:trPr>
        <w:tc>
          <w:tcPr>
            <w:tcW w:w="9628"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单位名称（加盖CA电子公章）：</w:t>
            </w:r>
            <w:r>
              <w:rPr>
                <w:rFonts w:ascii="宋体" w:hAnsi="宋体" w:eastAsia="宋体" w:cs="Times New Roman"/>
                <w:color w:val="auto"/>
                <w:sz w:val="24"/>
                <w:highlight w:val="none"/>
                <w:u w:val="single"/>
              </w:rPr>
              <w:t xml:space="preserve">                              </w:t>
            </w:r>
            <w:r/>
          </w:p>
        </w:tc>
      </w:tr>
    </w:tbl>
    <w:p>
      <w:pPr>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4"/>
          <w:highlight w:val="none"/>
          <w:lang w:val="en-US" w:eastAsia="zh-CN"/>
        </w:rPr>
        <w:br w:type="page" w:clear="all"/>
      </w:r>
      <w:r>
        <w:rPr>
          <w:rFonts w:hint="eastAsia" w:ascii="宋体" w:hAnsi="宋体" w:cs="Arial"/>
          <w:bCs/>
          <w:color w:val="auto"/>
          <w:sz w:val="24"/>
          <w:szCs w:val="24"/>
          <w:highlight w:val="none"/>
          <w:lang w:val="en-US" w:eastAsia="zh-CN"/>
        </w:rPr>
        <w:t xml:space="preserve">8</w:t>
      </w:r>
      <w:r>
        <w:rPr>
          <w:rFonts w:hint="eastAsia" w:ascii="宋体" w:hAnsi="宋体" w:eastAsia="宋体" w:cs="Arial"/>
          <w:bCs/>
          <w:color w:val="auto"/>
          <w:sz w:val="24"/>
          <w:szCs w:val="22"/>
          <w:highlight w:val="none"/>
        </w:rPr>
        <w:t xml:space="preserve">、</w:t>
      </w:r>
      <w:r>
        <w:rPr>
          <w:rFonts w:ascii="宋体" w:hAnsi="宋体" w:eastAsia="宋体" w:cs="Arial"/>
          <w:bCs/>
          <w:color w:val="auto"/>
          <w:sz w:val="24"/>
          <w:szCs w:val="22"/>
          <w:highlight w:val="none"/>
        </w:rPr>
        <w:t xml:space="preserve">关于资格文件的声明函</w:t>
      </w:r>
      <w:r/>
    </w:p>
    <w:p>
      <w:pPr>
        <w:jc w:val="center"/>
        <w:spacing w:line="360" w:lineRule="auto"/>
        <w:rPr>
          <w:rFonts w:ascii="宋体" w:hAnsi="宋体" w:eastAsia="宋体" w:cs="Arial"/>
          <w:color w:val="auto"/>
          <w:sz w:val="24"/>
          <w:szCs w:val="22"/>
          <w:highlight w:val="none"/>
        </w:rPr>
      </w:pPr>
      <w:r>
        <w:rPr>
          <w:rFonts w:ascii="宋体" w:hAnsi="宋体" w:eastAsia="宋体" w:cs="Arial"/>
          <w:color w:val="auto"/>
          <w:sz w:val="24"/>
          <w:szCs w:val="22"/>
          <w:highlight w:val="none"/>
        </w:rPr>
        <w:t xml:space="preserve">关于资格文件的声明函</w:t>
      </w:r>
      <w:r/>
    </w:p>
    <w:p>
      <w:pPr>
        <w:spacing w:line="360" w:lineRule="auto"/>
        <w:rPr>
          <w:rFonts w:ascii="宋体" w:hAnsi="宋体" w:eastAsia="宋体"/>
          <w:color w:val="auto"/>
          <w:sz w:val="24"/>
          <w:szCs w:val="22"/>
          <w:highlight w:val="none"/>
          <w:u w:val="single"/>
        </w:rPr>
      </w:pPr>
      <w:r>
        <w:rPr>
          <w:rFonts w:hint="eastAsia" w:ascii="宋体" w:hAnsi="宋体" w:eastAsia="宋体"/>
          <w:color w:val="auto"/>
          <w:sz w:val="24"/>
          <w:szCs w:val="22"/>
          <w:highlight w:val="none"/>
          <w:u w:val="single"/>
        </w:rPr>
        <w:t xml:space="preserve">              ：</w:t>
      </w:r>
      <w:r/>
    </w:p>
    <w:p>
      <w:pPr>
        <w:ind w:firstLine="480"/>
        <w:spacing w:line="360" w:lineRule="auto"/>
        <w:rPr>
          <w:rFonts w:ascii="宋体" w:hAnsi="宋体" w:eastAsia="宋体"/>
          <w:color w:val="auto"/>
          <w:sz w:val="24"/>
          <w:szCs w:val="22"/>
          <w:highlight w:val="none"/>
        </w:rPr>
      </w:pPr>
      <w:r>
        <w:rPr>
          <w:rFonts w:hint="eastAsia" w:ascii="宋体" w:hAnsi="宋体" w:eastAsia="宋体"/>
          <w:color w:val="auto"/>
          <w:sz w:val="24"/>
          <w:szCs w:val="22"/>
          <w:highlight w:val="none"/>
        </w:rPr>
        <w:t xml:space="preserve">本公司愿就由贵公司组织实施的编号为</w:t>
      </w:r>
      <w:r>
        <w:rPr>
          <w:rFonts w:hint="eastAsia" w:ascii="宋体" w:hAnsi="宋体" w:eastAsia="宋体"/>
          <w:color w:val="auto"/>
          <w:sz w:val="24"/>
          <w:szCs w:val="22"/>
          <w:highlight w:val="none"/>
          <w:u w:val="single"/>
        </w:rPr>
        <w:t xml:space="preserve">        </w:t>
      </w:r>
      <w:r>
        <w:rPr>
          <w:rFonts w:hint="eastAsia" w:ascii="宋体" w:hAnsi="宋体" w:eastAsia="宋体"/>
          <w:color w:val="auto"/>
          <w:sz w:val="24"/>
          <w:szCs w:val="22"/>
          <w:highlight w:val="none"/>
        </w:rPr>
        <w:t xml:space="preserve">号的招标</w:t>
      </w:r>
      <w:r>
        <w:rPr>
          <w:rFonts w:hint="eastAsia" w:ascii="宋体" w:hAnsi="宋体" w:eastAsia="宋体"/>
          <w:color w:val="auto"/>
          <w:sz w:val="24"/>
          <w:szCs w:val="22"/>
          <w:highlight w:val="none"/>
          <w:lang w:eastAsia="zh-CN"/>
        </w:rPr>
        <w:t xml:space="preserve">（</w:t>
      </w:r>
      <w:r>
        <w:rPr>
          <w:rFonts w:hint="eastAsia" w:ascii="宋体" w:hAnsi="宋体" w:eastAsia="宋体"/>
          <w:color w:val="auto"/>
          <w:sz w:val="24"/>
          <w:szCs w:val="22"/>
          <w:highlight w:val="none"/>
          <w:lang w:val="en-US" w:eastAsia="zh-CN"/>
        </w:rPr>
        <w:t xml:space="preserve">采购</w:t>
      </w:r>
      <w:r>
        <w:rPr>
          <w:rFonts w:hint="eastAsia" w:ascii="宋体" w:hAnsi="宋体" w:eastAsia="宋体"/>
          <w:color w:val="auto"/>
          <w:sz w:val="24"/>
          <w:szCs w:val="22"/>
          <w:highlight w:val="none"/>
          <w:lang w:eastAsia="zh-CN"/>
        </w:rPr>
        <w:t xml:space="preserve">）</w:t>
      </w:r>
      <w:r>
        <w:rPr>
          <w:rFonts w:hint="eastAsia" w:ascii="宋体" w:hAnsi="宋体" w:eastAsia="宋体"/>
          <w:color w:val="auto"/>
          <w:sz w:val="24"/>
          <w:szCs w:val="22"/>
          <w:highlight w:val="none"/>
        </w:rPr>
        <w:t xml:space="preserve">活动进行投标。本公司所提交的投标</w:t>
      </w:r>
      <w:r>
        <w:rPr>
          <w:rFonts w:hint="eastAsia" w:ascii="宋体" w:hAnsi="宋体" w:eastAsia="宋体"/>
          <w:color w:val="auto"/>
          <w:sz w:val="24"/>
          <w:szCs w:val="22"/>
          <w:highlight w:val="none"/>
          <w:lang w:eastAsia="zh-CN"/>
        </w:rPr>
        <w:t xml:space="preserve">（</w:t>
      </w:r>
      <w:r>
        <w:rPr>
          <w:rFonts w:hint="eastAsia" w:ascii="宋体" w:hAnsi="宋体" w:eastAsia="宋体"/>
          <w:color w:val="auto"/>
          <w:sz w:val="24"/>
          <w:szCs w:val="22"/>
          <w:highlight w:val="none"/>
          <w:lang w:val="en-US" w:eastAsia="zh-CN"/>
        </w:rPr>
        <w:t xml:space="preserve">响应</w:t>
      </w:r>
      <w:r>
        <w:rPr>
          <w:rFonts w:hint="eastAsia" w:ascii="宋体" w:hAnsi="宋体" w:eastAsia="宋体"/>
          <w:color w:val="auto"/>
          <w:sz w:val="24"/>
          <w:szCs w:val="22"/>
          <w:highlight w:val="none"/>
          <w:lang w:eastAsia="zh-CN"/>
        </w:rPr>
        <w:t xml:space="preserve">）</w:t>
      </w:r>
      <w:r>
        <w:rPr>
          <w:rFonts w:hint="eastAsia" w:ascii="宋体" w:hAnsi="宋体" w:eastAsia="宋体"/>
          <w:color w:val="auto"/>
          <w:sz w:val="24"/>
          <w:szCs w:val="22"/>
          <w:highlight w:val="none"/>
        </w:rPr>
        <w:t xml:space="preserve">文件中所有关于投标</w:t>
      </w:r>
      <w:r>
        <w:rPr>
          <w:rFonts w:hint="eastAsia" w:ascii="宋体" w:hAnsi="宋体" w:eastAsia="宋体"/>
          <w:color w:val="auto"/>
          <w:sz w:val="24"/>
          <w:szCs w:val="22"/>
          <w:highlight w:val="none"/>
          <w:lang w:eastAsia="zh-CN"/>
        </w:rPr>
        <w:t xml:space="preserve">（</w:t>
      </w:r>
      <w:r>
        <w:rPr>
          <w:rFonts w:hint="eastAsia" w:ascii="宋体" w:hAnsi="宋体" w:eastAsia="宋体"/>
          <w:color w:val="auto"/>
          <w:sz w:val="24"/>
          <w:szCs w:val="22"/>
          <w:highlight w:val="none"/>
          <w:lang w:val="en-US" w:eastAsia="zh-CN"/>
        </w:rPr>
        <w:t xml:space="preserve">响应</w:t>
      </w:r>
      <w:r>
        <w:rPr>
          <w:rFonts w:hint="eastAsia" w:ascii="宋体" w:hAnsi="宋体" w:eastAsia="宋体"/>
          <w:color w:val="auto"/>
          <w:sz w:val="24"/>
          <w:szCs w:val="22"/>
          <w:highlight w:val="none"/>
          <w:lang w:eastAsia="zh-CN"/>
        </w:rPr>
        <w:t xml:space="preserve">）</w:t>
      </w:r>
      <w:r>
        <w:rPr>
          <w:rFonts w:hint="eastAsia" w:ascii="宋体" w:hAnsi="宋体" w:eastAsia="宋体"/>
          <w:color w:val="auto"/>
          <w:sz w:val="24"/>
          <w:szCs w:val="22"/>
          <w:highlight w:val="none"/>
        </w:rPr>
        <w:t xml:space="preserve">资格的文件、证明和陈述均是真实的、准确的。若与真实情况不符，本公司愿意承担由此而产生的一切后果。</w:t>
      </w:r>
      <w:r/>
    </w:p>
    <w:p>
      <w:pPr>
        <w:ind w:firstLine="4320"/>
        <w:spacing w:line="360" w:lineRule="auto"/>
        <w:rPr>
          <w:rFonts w:ascii="宋体" w:hAnsi="宋体" w:eastAsia="宋体"/>
          <w:color w:val="auto"/>
          <w:sz w:val="24"/>
          <w:szCs w:val="22"/>
          <w:highlight w:val="none"/>
        </w:rPr>
      </w:pPr>
      <w:r>
        <w:rPr>
          <w:rFonts w:ascii="宋体" w:hAnsi="宋体" w:eastAsia="宋体"/>
          <w:color w:val="auto"/>
          <w:sz w:val="24"/>
          <w:szCs w:val="22"/>
          <w:highlight w:val="none"/>
        </w:rPr>
        <w:tab/>
      </w:r>
      <w:r/>
    </w:p>
    <w:p>
      <w:pPr>
        <w:ind w:right="-290"/>
        <w:spacing w:line="360" w:lineRule="auto"/>
        <w:tabs>
          <w:tab w:val="left" w:pos="9000" w:leader="none"/>
        </w:tabs>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290"/>
        <w:jc w:val="left"/>
        <w:spacing w:line="360" w:lineRule="auto"/>
        <w:tabs>
          <w:tab w:val="left" w:pos="900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法定代表人或被授权人：（签字或盖章）</w:t>
      </w:r>
      <w:r/>
    </w:p>
    <w:p>
      <w:pPr>
        <w:ind w:right="-290"/>
        <w:jc w:val="left"/>
        <w:spacing w:line="360" w:lineRule="auto"/>
        <w:tabs>
          <w:tab w:val="left" w:pos="9000" w:leader="none"/>
        </w:tabs>
        <w:rPr>
          <w:rFonts w:ascii="宋体" w:hAnsi="宋体" w:eastAsia="宋体"/>
          <w:color w:val="auto"/>
          <w:sz w:val="24"/>
          <w:highlight w:val="none"/>
        </w:rPr>
      </w:pPr>
      <w:r>
        <w:rPr>
          <w:rFonts w:hint="eastAsia" w:ascii="宋体" w:hAnsi="宋体" w:eastAsia="宋体"/>
          <w:color w:val="auto"/>
          <w:sz w:val="24"/>
          <w:szCs w:val="24"/>
          <w:highlight w:val="none"/>
        </w:rPr>
        <w:t xml:space="preserve">日期：        </w:t>
      </w:r>
      <w:r>
        <w:rPr>
          <w:rFonts w:ascii="宋体" w:hAnsi="宋体" w:eastAsia="宋体"/>
          <w:color w:val="auto"/>
          <w:sz w:val="24"/>
          <w:szCs w:val="24"/>
          <w:highlight w:val="none"/>
        </w:rPr>
        <w:t xml:space="preserve">年     月     日</w:t>
      </w:r>
      <w:r/>
    </w:p>
    <w:p>
      <w:pPr>
        <w:pStyle w:val="914"/>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914"/>
        <w:ind w:left="0" w:firstLine="0"/>
        <w:spacing w:line="360" w:lineRule="auto"/>
        <w:rPr>
          <w:rFonts w:hint="eastAsia" w:ascii="宋体" w:hAnsi="宋体" w:eastAsia="宋体"/>
          <w:color w:val="auto"/>
          <w:szCs w:val="24"/>
          <w:highlight w:val="none"/>
          <w:lang w:val="en-US" w:eastAsia="zh-CN"/>
        </w:rPr>
        <w:outlineLvl w:val="1"/>
      </w:pPr>
      <w:r>
        <w:rPr>
          <w:rFonts w:hint="eastAsia" w:ascii="宋体" w:hAnsi="宋体" w:eastAsia="宋体"/>
          <w:color w:val="auto"/>
          <w:szCs w:val="24"/>
          <w:highlight w:val="none"/>
          <w:lang w:val="en-US" w:eastAsia="zh-CN"/>
        </w:rPr>
      </w:r>
      <w:r/>
    </w:p>
    <w:p>
      <w:pPr>
        <w:pStyle w:val="914"/>
        <w:ind w:left="0" w:firstLine="0"/>
        <w:spacing w:line="360" w:lineRule="auto"/>
        <w:rPr>
          <w:rFonts w:hint="eastAsia" w:ascii="宋体" w:hAnsi="宋体" w:eastAsia="宋体"/>
          <w:color w:val="auto"/>
          <w:szCs w:val="24"/>
          <w:highlight w:val="none"/>
          <w:lang w:val="en-US" w:eastAsia="zh-CN"/>
        </w:rPr>
        <w:outlineLvl w:val="1"/>
      </w:pPr>
      <w:r>
        <w:rPr>
          <w:rFonts w:hint="eastAsia" w:ascii="宋体" w:hAnsi="宋体" w:eastAsia="宋体"/>
          <w:color w:val="auto"/>
          <w:szCs w:val="24"/>
          <w:highlight w:val="none"/>
          <w:lang w:val="en-US" w:eastAsia="zh-CN"/>
        </w:rPr>
      </w:r>
      <w:r/>
    </w:p>
    <w:p>
      <w:pPr>
        <w:pStyle w:val="914"/>
        <w:ind w:left="0" w:firstLine="0"/>
        <w:spacing w:line="360" w:lineRule="auto"/>
        <w:rPr>
          <w:rFonts w:hint="eastAsia" w:ascii="宋体" w:hAnsi="宋体" w:eastAsia="宋体"/>
          <w:color w:val="auto"/>
          <w:szCs w:val="24"/>
          <w:highlight w:val="none"/>
          <w:lang w:val="en-US" w:eastAsia="zh-CN"/>
        </w:rPr>
        <w:outlineLvl w:val="1"/>
      </w:pPr>
      <w:r>
        <w:rPr>
          <w:rFonts w:hint="eastAsia" w:ascii="宋体" w:hAnsi="宋体" w:eastAsia="宋体"/>
          <w:color w:val="auto"/>
          <w:szCs w:val="24"/>
          <w:highlight w:val="none"/>
          <w:lang w:val="en-US" w:eastAsia="zh-CN"/>
        </w:rPr>
      </w:r>
      <w:r/>
    </w:p>
    <w:p>
      <w:pPr>
        <w:pStyle w:val="914"/>
        <w:ind w:left="0" w:firstLine="0"/>
        <w:spacing w:line="360" w:lineRule="auto"/>
        <w:rPr>
          <w:rFonts w:hint="eastAsia" w:ascii="宋体" w:hAnsi="宋体" w:eastAsia="宋体"/>
          <w:color w:val="auto"/>
          <w:szCs w:val="24"/>
          <w:highlight w:val="none"/>
          <w:lang w:val="en-US" w:eastAsia="zh-CN"/>
        </w:rPr>
        <w:outlineLvl w:val="1"/>
      </w:pPr>
      <w:r>
        <w:rPr>
          <w:rFonts w:hint="eastAsia" w:ascii="宋体" w:hAnsi="宋体" w:eastAsia="宋体"/>
          <w:color w:val="auto"/>
          <w:szCs w:val="24"/>
          <w:highlight w:val="none"/>
          <w:lang w:val="en-US" w:eastAsia="zh-CN"/>
        </w:rPr>
      </w:r>
      <w:r/>
    </w:p>
    <w:p>
      <w:pPr>
        <w:pStyle w:val="914"/>
        <w:ind w:left="0" w:firstLine="0"/>
        <w:spacing w:line="360" w:lineRule="auto"/>
        <w:rPr>
          <w:rFonts w:hint="eastAsia" w:ascii="宋体" w:hAnsi="宋体" w:eastAsia="宋体"/>
          <w:color w:val="auto"/>
          <w:szCs w:val="24"/>
          <w:highlight w:val="none"/>
          <w:lang w:val="en-US" w:eastAsia="zh-CN"/>
        </w:rPr>
        <w:outlineLvl w:val="1"/>
      </w:pPr>
      <w:r>
        <w:rPr>
          <w:rFonts w:hint="eastAsia" w:ascii="宋体" w:hAnsi="宋体" w:eastAsia="宋体"/>
          <w:color w:val="auto"/>
          <w:szCs w:val="24"/>
          <w:highlight w:val="none"/>
          <w:lang w:val="en-US" w:eastAsia="zh-CN"/>
        </w:rPr>
      </w:r>
      <w:r/>
    </w:p>
    <w:p>
      <w:pPr>
        <w:pStyle w:val="914"/>
        <w:ind w:left="0" w:firstLine="0"/>
        <w:spacing w:line="360" w:lineRule="auto"/>
        <w:rPr>
          <w:rFonts w:hint="eastAsia" w:ascii="宋体" w:hAnsi="宋体" w:eastAsia="宋体"/>
          <w:color w:val="auto"/>
          <w:szCs w:val="24"/>
          <w:highlight w:val="none"/>
          <w:lang w:val="en-US" w:eastAsia="zh-CN"/>
        </w:rPr>
        <w:outlineLvl w:val="1"/>
      </w:pPr>
      <w:r>
        <w:rPr>
          <w:rFonts w:hint="eastAsia" w:ascii="宋体" w:hAnsi="宋体" w:eastAsia="宋体"/>
          <w:color w:val="auto"/>
          <w:szCs w:val="24"/>
          <w:highlight w:val="none"/>
          <w:lang w:val="en-US" w:eastAsia="zh-CN"/>
        </w:rPr>
      </w:r>
      <w:r/>
    </w:p>
    <w:p>
      <w:pPr>
        <w:pStyle w:val="914"/>
        <w:ind w:left="0" w:firstLine="0"/>
        <w:spacing w:line="360" w:lineRule="auto"/>
        <w:rPr>
          <w:rFonts w:hint="eastAsia" w:ascii="宋体" w:hAnsi="宋体" w:eastAsia="宋体"/>
          <w:color w:val="auto"/>
          <w:szCs w:val="24"/>
          <w:highlight w:val="none"/>
          <w:lang w:val="en-US" w:eastAsia="zh-CN"/>
        </w:rPr>
        <w:outlineLvl w:val="1"/>
      </w:pPr>
      <w:r>
        <w:rPr>
          <w:rFonts w:hint="eastAsia" w:ascii="宋体" w:hAnsi="宋体" w:eastAsia="宋体"/>
          <w:color w:val="auto"/>
          <w:szCs w:val="24"/>
          <w:highlight w:val="none"/>
          <w:lang w:val="en-US" w:eastAsia="zh-CN"/>
        </w:rPr>
      </w:r>
      <w:r/>
    </w:p>
    <w:p>
      <w:pPr>
        <w:pStyle w:val="914"/>
        <w:ind w:left="0" w:firstLine="0"/>
        <w:spacing w:line="360" w:lineRule="auto"/>
        <w:rPr>
          <w:rFonts w:hint="eastAsia" w:ascii="宋体" w:hAnsi="宋体" w:eastAsia="宋体"/>
          <w:color w:val="auto"/>
          <w:szCs w:val="24"/>
          <w:highlight w:val="none"/>
          <w:lang w:val="en-US" w:eastAsia="zh-CN"/>
        </w:rPr>
        <w:outlineLvl w:val="1"/>
      </w:pPr>
      <w:r>
        <w:rPr>
          <w:rFonts w:hint="eastAsia" w:ascii="宋体" w:hAnsi="宋体" w:eastAsia="宋体"/>
          <w:color w:val="auto"/>
          <w:szCs w:val="24"/>
          <w:highlight w:val="none"/>
          <w:lang w:val="en-US" w:eastAsia="zh-CN"/>
        </w:rPr>
      </w:r>
      <w:r/>
    </w:p>
    <w:p>
      <w:pPr>
        <w:pStyle w:val="914"/>
        <w:ind w:left="0" w:firstLine="0"/>
        <w:spacing w:line="360" w:lineRule="auto"/>
        <w:rPr>
          <w:rFonts w:hint="eastAsia" w:ascii="宋体" w:hAnsi="宋体" w:eastAsia="宋体"/>
          <w:color w:val="auto"/>
          <w:szCs w:val="24"/>
          <w:highlight w:val="none"/>
          <w:lang w:val="en-US" w:eastAsia="zh-CN"/>
        </w:rPr>
        <w:outlineLvl w:val="1"/>
      </w:pPr>
      <w:r>
        <w:rPr>
          <w:rFonts w:hint="eastAsia" w:ascii="宋体" w:hAnsi="宋体" w:eastAsia="宋体"/>
          <w:color w:val="auto"/>
          <w:szCs w:val="24"/>
          <w:highlight w:val="none"/>
          <w:lang w:val="en-US" w:eastAsia="zh-CN"/>
        </w:rPr>
      </w:r>
      <w:r/>
    </w:p>
    <w:p>
      <w:pPr>
        <w:pStyle w:val="914"/>
        <w:ind w:left="0" w:firstLine="0"/>
        <w:spacing w:line="360" w:lineRule="auto"/>
        <w:rPr>
          <w:rFonts w:hint="eastAsia" w:ascii="宋体" w:hAnsi="宋体" w:eastAsia="宋体"/>
          <w:color w:val="auto"/>
          <w:szCs w:val="24"/>
          <w:highlight w:val="none"/>
          <w:lang w:val="en-US" w:eastAsia="zh-CN"/>
        </w:rPr>
        <w:outlineLvl w:val="1"/>
      </w:pPr>
      <w:r>
        <w:rPr>
          <w:rFonts w:hint="eastAsia" w:ascii="宋体" w:hAnsi="宋体" w:eastAsia="宋体"/>
          <w:color w:val="auto"/>
          <w:szCs w:val="24"/>
          <w:highlight w:val="none"/>
          <w:lang w:val="en-US" w:eastAsia="zh-CN"/>
        </w:rPr>
      </w:r>
      <w:r/>
    </w:p>
    <w:p>
      <w:pPr>
        <w:pStyle w:val="914"/>
        <w:ind w:left="0" w:firstLine="0"/>
        <w:spacing w:line="360" w:lineRule="auto"/>
        <w:rPr>
          <w:rFonts w:hint="eastAsia" w:ascii="宋体" w:hAnsi="宋体" w:eastAsia="宋体"/>
          <w:color w:val="auto"/>
          <w:szCs w:val="24"/>
          <w:highlight w:val="none"/>
          <w:lang w:val="en-US" w:eastAsia="zh-CN"/>
        </w:rPr>
        <w:outlineLvl w:val="1"/>
      </w:pPr>
      <w:r>
        <w:rPr>
          <w:rFonts w:hint="eastAsia" w:ascii="宋体" w:hAnsi="宋体" w:eastAsia="宋体"/>
          <w:color w:val="auto"/>
          <w:szCs w:val="24"/>
          <w:highlight w:val="none"/>
          <w:lang w:val="en-US" w:eastAsia="zh-CN"/>
        </w:rPr>
      </w:r>
      <w:r/>
    </w:p>
    <w:p>
      <w:pPr>
        <w:pStyle w:val="914"/>
        <w:ind w:left="0" w:firstLine="0"/>
        <w:spacing w:line="360" w:lineRule="auto"/>
        <w:rPr>
          <w:rFonts w:hint="eastAsia" w:ascii="宋体" w:hAnsi="宋体" w:eastAsia="宋体"/>
          <w:color w:val="auto"/>
          <w:highlight w:val="none"/>
          <w:lang w:val="en-US" w:eastAsia="zh-CN"/>
        </w:rPr>
        <w:outlineLvl w:val="1"/>
      </w:pPr>
      <w:r>
        <w:rPr>
          <w:rFonts w:hint="eastAsia" w:ascii="宋体" w:hAnsi="宋体" w:eastAsia="宋体"/>
          <w:color w:val="auto"/>
          <w:highlight w:val="none"/>
          <w:lang w:val="en-US" w:eastAsia="zh-CN"/>
        </w:rPr>
      </w:r>
      <w:r/>
    </w:p>
    <w:p>
      <w:pPr>
        <w:pStyle w:val="914"/>
        <w:ind w:left="0" w:firstLine="0"/>
        <w:spacing w:line="360" w:lineRule="auto"/>
        <w:rPr>
          <w:rFonts w:hint="eastAsia" w:ascii="宋体" w:hAnsi="宋体" w:eastAsia="宋体"/>
          <w:color w:val="auto"/>
          <w:highlight w:val="none"/>
          <w:lang w:val="en-US" w:eastAsia="zh-CN"/>
        </w:rPr>
        <w:outlineLvl w:val="1"/>
      </w:pPr>
      <w:r>
        <w:rPr>
          <w:rFonts w:hint="eastAsia" w:ascii="宋体" w:hAnsi="宋体" w:eastAsia="宋体"/>
          <w:color w:val="auto"/>
          <w:highlight w:val="none"/>
          <w:lang w:val="en-US" w:eastAsia="zh-CN"/>
        </w:rPr>
      </w:r>
      <w:r/>
    </w:p>
    <w:p>
      <w:pPr>
        <w:pStyle w:val="914"/>
        <w:ind w:left="0" w:firstLine="0"/>
        <w:spacing w:line="360" w:lineRule="auto"/>
        <w:rPr>
          <w:rFonts w:hint="eastAsia" w:ascii="宋体" w:hAnsi="宋体" w:eastAsia="宋体"/>
          <w:color w:val="auto"/>
          <w:highlight w:val="none"/>
          <w:lang w:val="en-US" w:eastAsia="zh-CN"/>
        </w:rPr>
        <w:outlineLvl w:val="1"/>
      </w:pPr>
      <w:r>
        <w:rPr>
          <w:rFonts w:hint="eastAsia" w:ascii="宋体" w:hAnsi="宋体" w:eastAsia="宋体"/>
          <w:color w:val="auto"/>
          <w:highlight w:val="none"/>
          <w:lang w:val="en-US" w:eastAsia="zh-CN"/>
        </w:rPr>
      </w:r>
      <w:r/>
    </w:p>
    <w:p>
      <w:pPr>
        <w:pStyle w:val="914"/>
        <w:ind w:left="0" w:firstLine="0"/>
        <w:spacing w:line="360" w:lineRule="auto"/>
        <w:rPr>
          <w:rFonts w:hint="eastAsia" w:ascii="宋体" w:hAnsi="宋体" w:eastAsia="宋体"/>
          <w:color w:val="auto"/>
          <w:highlight w:val="none"/>
          <w:lang w:val="en-US" w:eastAsia="zh-CN"/>
        </w:rPr>
        <w:outlineLvl w:val="1"/>
      </w:pPr>
      <w:r>
        <w:rPr>
          <w:rFonts w:hint="eastAsia" w:ascii="宋体" w:hAnsi="宋体" w:eastAsia="宋体"/>
          <w:color w:val="auto"/>
          <w:highlight w:val="none"/>
          <w:lang w:val="en-US" w:eastAsia="zh-CN"/>
        </w:rPr>
      </w:r>
      <w:r/>
    </w:p>
    <w:p>
      <w:pPr>
        <w:pStyle w:val="914"/>
        <w:ind w:left="0" w:firstLine="0"/>
        <w:spacing w:line="360" w:lineRule="auto"/>
        <w:rPr>
          <w:rFonts w:hint="eastAsia" w:ascii="宋体" w:hAnsi="宋体" w:eastAsia="宋体"/>
          <w:color w:val="auto"/>
          <w:highlight w:val="none"/>
          <w:lang w:val="en-US" w:eastAsia="zh-CN"/>
        </w:rPr>
        <w:outlineLvl w:val="1"/>
      </w:pPr>
      <w:r>
        <w:rPr>
          <w:rFonts w:hint="eastAsia" w:ascii="宋体" w:hAnsi="宋体" w:eastAsia="宋体"/>
          <w:color w:val="auto"/>
          <w:highlight w:val="none"/>
          <w:lang w:val="en-US" w:eastAsia="zh-CN"/>
        </w:rPr>
      </w:r>
      <w:r/>
    </w:p>
    <w:p>
      <w:pPr>
        <w:pStyle w:val="914"/>
        <w:ind w:left="0" w:firstLine="0"/>
        <w:spacing w:line="360" w:lineRule="auto"/>
        <w:rPr>
          <w:rFonts w:hint="eastAsia" w:ascii="宋体" w:hAnsi="宋体" w:eastAsia="宋体"/>
          <w:color w:val="auto"/>
          <w:highlight w:val="none"/>
          <w:lang w:val="en-US" w:eastAsia="zh-CN"/>
        </w:rPr>
        <w:outlineLvl w:val="1"/>
      </w:pPr>
      <w:r>
        <w:rPr>
          <w:rFonts w:hint="eastAsia" w:ascii="宋体" w:hAnsi="宋体" w:eastAsia="宋体"/>
          <w:color w:val="auto"/>
          <w:highlight w:val="none"/>
          <w:lang w:val="en-US" w:eastAsia="zh-CN"/>
        </w:rPr>
      </w:r>
      <w:r/>
    </w:p>
    <w:p>
      <w:pPr>
        <w:pStyle w:val="914"/>
        <w:ind w:left="0" w:firstLine="0"/>
        <w:spacing w:line="360" w:lineRule="auto"/>
        <w:rPr>
          <w:rFonts w:hint="eastAsia" w:ascii="宋体" w:hAnsi="宋体" w:eastAsia="宋体"/>
          <w:color w:val="auto"/>
          <w:highlight w:val="none"/>
          <w:lang w:val="en-US" w:eastAsia="zh-CN"/>
        </w:rPr>
        <w:outlineLvl w:val="1"/>
      </w:pPr>
      <w:r>
        <w:rPr>
          <w:rFonts w:hint="eastAsia" w:ascii="宋体" w:hAnsi="宋体" w:eastAsia="宋体"/>
          <w:color w:val="auto"/>
          <w:highlight w:val="none"/>
          <w:lang w:val="en-US" w:eastAsia="zh-CN"/>
        </w:rPr>
      </w:r>
      <w:r/>
    </w:p>
    <w:p>
      <w:pPr>
        <w:pStyle w:val="914"/>
        <w:ind w:left="0" w:firstLine="0"/>
        <w:spacing w:line="360" w:lineRule="auto"/>
        <w:rPr>
          <w:rFonts w:hint="eastAsia" w:ascii="宋体" w:hAnsi="宋体" w:eastAsia="宋体"/>
          <w:color w:val="auto"/>
          <w:szCs w:val="24"/>
          <w:highlight w:val="none"/>
          <w:lang w:val="en-US" w:eastAsia="zh-CN"/>
        </w:rPr>
        <w:outlineLvl w:val="1"/>
      </w:pPr>
      <w:r>
        <w:rPr>
          <w:rFonts w:hint="eastAsia" w:ascii="宋体" w:hAnsi="宋体" w:eastAsia="宋体"/>
          <w:color w:val="auto"/>
          <w:szCs w:val="24"/>
          <w:highlight w:val="none"/>
          <w:lang w:val="en-US" w:eastAsia="zh-CN"/>
        </w:rPr>
      </w:r>
      <w:r/>
    </w:p>
    <w:p>
      <w:pPr>
        <w:pStyle w:val="914"/>
        <w:ind w:left="0" w:firstLine="0"/>
        <w:spacing w:line="360" w:lineRule="auto"/>
        <w:rPr>
          <w:rFonts w:hint="eastAsia" w:ascii="宋体" w:hAnsi="宋体" w:eastAsia="宋体"/>
          <w:color w:val="auto"/>
          <w:szCs w:val="24"/>
          <w:highlight w:val="none"/>
          <w:lang w:val="en-US" w:eastAsia="zh-CN"/>
        </w:rPr>
        <w:outlineLvl w:val="1"/>
      </w:pPr>
      <w:r>
        <w:rPr>
          <w:rFonts w:hint="eastAsia" w:ascii="宋体" w:hAnsi="宋体" w:eastAsia="宋体"/>
          <w:color w:val="auto"/>
          <w:szCs w:val="24"/>
          <w:highlight w:val="none"/>
          <w:lang w:val="en-US" w:eastAsia="zh-CN"/>
        </w:rPr>
      </w:r>
      <w:r/>
    </w:p>
    <w:p>
      <w:pPr>
        <w:pStyle w:val="914"/>
        <w:ind w:left="0" w:firstLine="0"/>
        <w:spacing w:line="360" w:lineRule="auto"/>
        <w:rPr>
          <w:rFonts w:ascii="宋体" w:hAnsi="宋体" w:eastAsia="宋体"/>
          <w:color w:val="auto"/>
          <w:szCs w:val="24"/>
          <w:highlight w:val="none"/>
        </w:rPr>
        <w:outlineLvl w:val="1"/>
      </w:pPr>
      <w:r>
        <w:rPr>
          <w:rFonts w:hint="eastAsia" w:ascii="宋体" w:hAnsi="宋体"/>
          <w:color w:val="auto"/>
          <w:szCs w:val="24"/>
          <w:highlight w:val="none"/>
          <w:lang w:val="en-US" w:eastAsia="zh-CN"/>
        </w:rPr>
        <w:t xml:space="preserve">9</w:t>
      </w:r>
      <w:r>
        <w:rPr>
          <w:rFonts w:hint="eastAsia" w:ascii="宋体" w:hAnsi="宋体" w:eastAsia="宋体"/>
          <w:color w:val="auto"/>
          <w:szCs w:val="24"/>
          <w:highlight w:val="none"/>
          <w:lang w:val="en-US" w:eastAsia="zh-CN"/>
        </w:rPr>
        <w:t xml:space="preserve">、</w:t>
      </w:r>
      <w:r>
        <w:rPr>
          <w:rFonts w:hint="eastAsia" w:ascii="宋体" w:hAnsi="宋体" w:eastAsia="宋体"/>
          <w:color w:val="auto"/>
          <w:szCs w:val="24"/>
          <w:highlight w:val="none"/>
        </w:rPr>
        <w:t xml:space="preserve">响应单位情况表</w:t>
      </w:r>
      <w:r/>
    </w:p>
    <w:p>
      <w:pPr>
        <w:pStyle w:val="914"/>
        <w:ind w:firstLine="0"/>
        <w:jc w:val="center"/>
        <w:spacing w:line="24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响应单位情况表</w:t>
      </w:r>
      <w:r/>
    </w:p>
    <w:p>
      <w:pPr>
        <w:pStyle w:val="1222"/>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olor w:val="auto"/>
          <w:sz w:val="24"/>
          <w:szCs w:val="24"/>
          <w:highlight w:val="none"/>
        </w:rPr>
        <w:t xml:space="preserve">单位名称（</w:t>
      </w:r>
      <w:r>
        <w:rPr>
          <w:rFonts w:hint="eastAsia" w:ascii="宋体" w:hAnsi="宋体" w:eastAsia="宋体" w:cs="宋体"/>
          <w:color w:val="auto"/>
          <w:sz w:val="24"/>
          <w:szCs w:val="24"/>
          <w:highlight w:val="none"/>
        </w:rPr>
        <w:t xml:space="preserve">加盖CA电子公章）</w:t>
      </w:r>
      <w:r/>
    </w:p>
    <w:tbl>
      <w:tblPr>
        <w:tblStyle w:val="733"/>
        <w:tblW w:w="94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18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gridSpan w:val="2"/>
            <w:tcW w:w="256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W w:w="18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gridSpan w:val="2"/>
            <w:tcW w:w="256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4"/>
            <w:tcW w:w="65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W w:w="18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36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其中：有中高级以上职称的人数</w:t>
            </w:r>
            <w:r/>
          </w:p>
        </w:tc>
        <w:tc>
          <w:tcPr>
            <w:tcW w:w="11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资产总计</w:t>
            </w:r>
            <w:r/>
          </w:p>
        </w:tc>
        <w:tc>
          <w:tcPr>
            <w:tcW w:w="18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W w:w="216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gridSpan w:val="2"/>
            <w:tcW w:w="256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cantSplit/>
          <w:jc w:val="center"/>
        </w:trPr>
        <w:tc>
          <w:tcPr>
            <w:tcW w:w="295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股东权益</w:t>
            </w:r>
            <w:r/>
          </w:p>
        </w:tc>
        <w:tc>
          <w:tcPr>
            <w:tcW w:w="180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W w:w="21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销售收入</w:t>
            </w:r>
            <w:r/>
          </w:p>
        </w:tc>
        <w:tc>
          <w:tcPr>
            <w:gridSpan w:val="2"/>
            <w:tcW w:w="256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万元</w:t>
            </w:r>
            <w:r/>
          </w:p>
        </w:tc>
      </w:tr>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实现利润</w:t>
            </w:r>
            <w:r/>
          </w:p>
        </w:tc>
        <w:tc>
          <w:tcPr>
            <w:gridSpan w:val="4"/>
            <w:tcW w:w="65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万元</w:t>
            </w:r>
            <w:r/>
          </w:p>
        </w:tc>
      </w:tr>
      <w:tr>
        <w:trPr>
          <w:cantSplit/>
          <w:jc w:val="center"/>
        </w:trPr>
        <w:tc>
          <w:tcPr>
            <w:tcW w:w="295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经营面积</w:t>
            </w:r>
            <w:r/>
          </w:p>
        </w:tc>
        <w:tc>
          <w:tcPr>
            <w:tcW w:w="180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平方米</w:t>
            </w:r>
            <w:r/>
          </w:p>
        </w:tc>
        <w:tc>
          <w:tcPr>
            <w:tcW w:w="21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gridSpan w:val="2"/>
            <w:tcW w:w="256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     平方米</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     平方米</w:t>
            </w:r>
            <w:r/>
          </w:p>
        </w:tc>
      </w:tr>
      <w:tr>
        <w:trPr>
          <w:cantSplit/>
          <w:jc w:val="center"/>
          <w:trHeight w:val="389"/>
        </w:trPr>
        <w:tc>
          <w:tcPr>
            <w:tcW w:w="295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4"/>
            <w:tcW w:w="65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255"/>
        </w:trPr>
        <w:tc>
          <w:tcPr>
            <w:tcW w:w="295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4"/>
            <w:tcW w:w="65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4"/>
            <w:tcW w:w="65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最近2年内在经营过程中受到何种奖励或处分</w:t>
            </w:r>
            <w:r/>
          </w:p>
        </w:tc>
        <w:tc>
          <w:tcPr>
            <w:gridSpan w:val="4"/>
            <w:tcW w:w="65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（包括财政、工商、税务、物价、技监部门稽查情况和结果）</w:t>
            </w:r>
            <w:r/>
          </w:p>
        </w:tc>
      </w:tr>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最近3年内有无因售假、售劣或是其他原因被消费者投诉或起诉的情况及说明</w:t>
            </w:r>
            <w:r/>
          </w:p>
        </w:tc>
        <w:tc>
          <w:tcPr>
            <w:gridSpan w:val="4"/>
            <w:tcW w:w="65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最近3年内主要负责人有无经济犯罪被司法机关追究的</w:t>
            </w:r>
            <w:r>
              <w:rPr>
                <w:rFonts w:hint="eastAsia" w:ascii="宋体" w:hAnsi="宋体" w:cs="宋体"/>
                <w:color w:val="auto"/>
                <w:sz w:val="24"/>
                <w:szCs w:val="24"/>
                <w:highlight w:val="none"/>
                <w:lang w:val="en-US" w:eastAsia="zh-CN"/>
              </w:rPr>
              <w:t xml:space="preserve">情况</w:t>
            </w:r>
            <w:r>
              <w:rPr>
                <w:rFonts w:hint="eastAsia" w:ascii="宋体" w:hAnsi="宋体" w:eastAsia="宋体" w:cs="宋体"/>
                <w:color w:val="auto"/>
                <w:sz w:val="24"/>
                <w:szCs w:val="24"/>
                <w:highlight w:val="none"/>
              </w:rPr>
              <w:t xml:space="preserve">及说明</w:t>
            </w:r>
            <w:r/>
          </w:p>
        </w:tc>
        <w:tc>
          <w:tcPr>
            <w:gridSpan w:val="4"/>
            <w:tcW w:w="65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获得技术认证的工程师及简介</w:t>
            </w:r>
            <w:r/>
          </w:p>
        </w:tc>
        <w:tc>
          <w:tcPr>
            <w:gridSpan w:val="4"/>
            <w:tcW w:w="65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4"/>
            <w:tcW w:w="65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14"/>
        <w:ind w:firstLine="0"/>
        <w:spacing w:line="360" w:lineRule="auto"/>
        <w:rPr>
          <w:rFonts w:ascii="宋体" w:hAnsi="宋体" w:eastAsia="宋体"/>
          <w:color w:val="auto"/>
          <w:highlight w:val="none"/>
        </w:rPr>
        <w:outlineLvl w:val="1"/>
      </w:pPr>
      <w:r>
        <w:rPr>
          <w:rFonts w:ascii="宋体" w:hAnsi="宋体" w:eastAsia="宋体"/>
          <w:color w:val="auto"/>
          <w:highlight w:val="none"/>
        </w:rPr>
      </w:r>
      <w:r/>
    </w:p>
    <w:p>
      <w:pPr>
        <w:pStyle w:val="914"/>
        <w:ind w:firstLine="0"/>
        <w:spacing w:line="360" w:lineRule="auto"/>
        <w:rPr>
          <w:rFonts w:ascii="宋体" w:hAnsi="宋体" w:eastAsia="宋体"/>
          <w:color w:val="auto"/>
          <w:highlight w:val="none"/>
        </w:rPr>
        <w:outlineLvl w:val="1"/>
      </w:pPr>
      <w:r>
        <w:rPr>
          <w:rFonts w:ascii="宋体" w:hAnsi="宋体" w:eastAsia="宋体"/>
          <w:color w:val="auto"/>
          <w:highlight w:val="none"/>
        </w:rPr>
      </w:r>
      <w:r/>
    </w:p>
    <w:p>
      <w:pPr>
        <w:pStyle w:val="914"/>
        <w:ind w:firstLine="0"/>
        <w:spacing w:line="360" w:lineRule="auto"/>
        <w:rPr>
          <w:rFonts w:ascii="宋体" w:hAnsi="宋体" w:eastAsia="宋体"/>
          <w:color w:val="auto"/>
          <w:highlight w:val="none"/>
        </w:rPr>
        <w:outlineLvl w:val="1"/>
      </w:pPr>
      <w:r>
        <w:rPr>
          <w:rFonts w:ascii="宋体" w:hAnsi="宋体" w:eastAsia="宋体"/>
          <w:color w:val="auto"/>
          <w:highlight w:val="none"/>
        </w:rPr>
      </w:r>
      <w:r/>
    </w:p>
    <w:p>
      <w:pPr>
        <w:pStyle w:val="1284"/>
        <w:spacing w:line="360" w:lineRule="auto"/>
        <w:tabs>
          <w:tab w:val="left" w:pos="8930" w:leader="none"/>
          <w:tab w:val="left" w:pos="9306" w:leader="none"/>
        </w:tabs>
        <w:rPr>
          <w:rStyle w:val="985"/>
          <w:rFonts w:hint="eastAsia" w:hAnsi="宋体" w:eastAsia="宋体"/>
          <w:color w:val="auto"/>
          <w:sz w:val="24"/>
          <w:szCs w:val="24"/>
          <w:highlight w:val="none"/>
          <w:lang w:val="en-US" w:eastAsia="zh-CN"/>
        </w:rPr>
      </w:pPr>
      <w:r>
        <w:rPr>
          <w:rStyle w:val="985"/>
          <w:rFonts w:hint="eastAsia" w:hAnsi="宋体" w:eastAsia="宋体"/>
          <w:color w:val="auto"/>
          <w:sz w:val="24"/>
          <w:szCs w:val="24"/>
          <w:highlight w:val="none"/>
          <w:lang w:val="en-US" w:eastAsia="zh-CN"/>
        </w:rPr>
        <w:t xml:space="preserve">10、参加政府采购活动前三年内，在经营活动中没有重大违法记录声明</w:t>
      </w:r>
      <w:r/>
    </w:p>
    <w:p>
      <w:pPr>
        <w:pStyle w:val="1284"/>
        <w:spacing w:line="360" w:lineRule="auto"/>
        <w:tabs>
          <w:tab w:val="left" w:pos="8930" w:leader="none"/>
          <w:tab w:val="left" w:pos="9306" w:leader="none"/>
        </w:tabs>
        <w:rPr>
          <w:rStyle w:val="985"/>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284"/>
        <w:spacing w:line="360" w:lineRule="auto"/>
        <w:tabs>
          <w:tab w:val="left" w:pos="8930" w:leader="none"/>
          <w:tab w:val="left" w:pos="9306" w:leader="none"/>
        </w:tabs>
        <w:rPr>
          <w:rStyle w:val="985"/>
          <w:rFonts w:hint="eastAsia" w:hAnsi="宋体" w:eastAsia="宋体"/>
          <w:color w:val="auto"/>
          <w:sz w:val="24"/>
          <w:szCs w:val="24"/>
          <w:highlight w:val="none"/>
          <w:lang w:val="en-US" w:eastAsia="zh-CN"/>
        </w:rPr>
      </w:pPr>
      <w:r>
        <w:rPr>
          <w:rStyle w:val="985"/>
          <w:rFonts w:hint="eastAsia" w:hAnsi="宋体" w:eastAsia="宋体"/>
          <w:color w:val="auto"/>
          <w:sz w:val="24"/>
          <w:szCs w:val="24"/>
          <w:highlight w:val="none"/>
          <w:u w:val="single"/>
          <w:lang w:val="en-US" w:eastAsia="zh-CN"/>
        </w:rPr>
        <w:t xml:space="preserve">苏州睿乔招投标咨询服务有限公司</w:t>
      </w:r>
      <w:r>
        <w:rPr>
          <w:rStyle w:val="985"/>
          <w:rFonts w:hint="eastAsia" w:hAnsi="宋体" w:eastAsia="宋体"/>
          <w:color w:val="auto"/>
          <w:sz w:val="24"/>
          <w:szCs w:val="24"/>
          <w:highlight w:val="none"/>
          <w:lang w:val="en-US" w:eastAsia="zh-CN"/>
        </w:rPr>
        <w:t xml:space="preserve">：</w:t>
      </w:r>
      <w:r/>
    </w:p>
    <w:p>
      <w:pPr>
        <w:pStyle w:val="1284"/>
        <w:ind w:firstLine="480"/>
        <w:keepLines w:val="0"/>
        <w:keepNext w:val="0"/>
        <w:pageBreakBefore w:val="0"/>
        <w:spacing w:line="360" w:lineRule="auto"/>
        <w:widowControl/>
        <w:tabs>
          <w:tab w:val="left" w:pos="8930" w:leader="none"/>
          <w:tab w:val="left" w:pos="9306" w:leader="none"/>
        </w:tabs>
        <w:rPr>
          <w:rStyle w:val="985"/>
          <w:rFonts w:hint="eastAsia" w:hAnsi="宋体" w:eastAsia="宋体"/>
          <w:color w:val="auto"/>
          <w:sz w:val="24"/>
          <w:szCs w:val="24"/>
          <w:highlight w:val="none"/>
          <w:lang w:val="en-US" w:eastAsia="zh-CN"/>
        </w:rPr>
        <w:outlineLvl w:val="9"/>
      </w:pPr>
      <w:r>
        <w:rPr>
          <w:rFonts w:hint="eastAsia" w:hAnsi="宋体" w:eastAsia="宋体"/>
          <w:color w:val="auto"/>
          <w:sz w:val="24"/>
          <w:szCs w:val="24"/>
          <w:highlight w:val="none"/>
          <w:lang w:val="en-US" w:eastAsia="zh-CN"/>
        </w:rPr>
      </w:r>
      <w:r/>
    </w:p>
    <w:p>
      <w:pPr>
        <w:pStyle w:val="1284"/>
        <w:ind w:firstLine="480"/>
        <w:keepLines w:val="0"/>
        <w:keepNext w:val="0"/>
        <w:pageBreakBefore w:val="0"/>
        <w:spacing w:line="360" w:lineRule="auto"/>
        <w:widowControl/>
        <w:tabs>
          <w:tab w:val="left" w:pos="8930" w:leader="none"/>
          <w:tab w:val="left" w:pos="9306" w:leader="none"/>
        </w:tabs>
        <w:rPr>
          <w:rStyle w:val="985"/>
          <w:rFonts w:hint="eastAsia" w:hAnsi="宋体" w:eastAsia="宋体"/>
          <w:color w:val="auto"/>
          <w:sz w:val="24"/>
          <w:szCs w:val="24"/>
          <w:highlight w:val="none"/>
          <w:lang w:val="en-US" w:eastAsia="zh-CN"/>
        </w:rPr>
        <w:outlineLvl w:val="9"/>
      </w:pPr>
      <w:r>
        <w:rPr>
          <w:rStyle w:val="985"/>
          <w:rFonts w:hint="eastAsia" w:hAnsi="宋体" w:eastAsia="宋体"/>
          <w:color w:val="auto"/>
          <w:sz w:val="24"/>
          <w:szCs w:val="24"/>
          <w:highlight w:val="none"/>
          <w:lang w:val="en-US" w:eastAsia="zh-CN"/>
        </w:rPr>
        <w:t xml:space="preserve">我单位</w:t>
      </w:r>
      <w:r>
        <w:rPr>
          <w:rStyle w:val="985"/>
          <w:rFonts w:hint="eastAsia" w:hAnsi="宋体" w:eastAsia="宋体"/>
          <w:color w:val="auto"/>
          <w:sz w:val="24"/>
          <w:szCs w:val="24"/>
          <w:highlight w:val="none"/>
          <w:u w:val="single"/>
          <w:lang w:val="en-US" w:eastAsia="zh-CN"/>
        </w:rPr>
        <w:t xml:space="preserve">         </w:t>
      </w:r>
      <w:r>
        <w:rPr>
          <w:rStyle w:val="985"/>
          <w:rFonts w:hint="eastAsia" w:hAnsi="宋体" w:eastAsia="宋体"/>
          <w:color w:val="auto"/>
          <w:sz w:val="24"/>
          <w:szCs w:val="24"/>
          <w:highlight w:val="none"/>
          <w:lang w:val="en-US" w:eastAsia="zh-CN"/>
        </w:rPr>
        <w:t xml:space="preserve">(供应商名称)在参加政府采购活动前三年内，没有重大违法记录，特此声明。</w:t>
      </w:r>
      <w:r/>
    </w:p>
    <w:p>
      <w:pPr>
        <w:ind w:firstLine="480"/>
        <w:spacing w:line="360" w:lineRule="auto"/>
        <w:rPr>
          <w:rFonts w:hint="eastAsia" w:ascii="宋体" w:hAnsi="宋体"/>
          <w:color w:val="auto"/>
          <w:sz w:val="24"/>
          <w:szCs w:val="24"/>
          <w:highlight w:val="none"/>
          <w:lang w:val="en-US" w:eastAsia="zh-CN"/>
        </w:rPr>
      </w:pPr>
      <w:r>
        <w:rPr>
          <w:rStyle w:val="985"/>
          <w:rFonts w:hint="eastAsia" w:hAnsi="宋体" w:eastAsia="宋体"/>
          <w:color w:val="auto"/>
          <w:sz w:val="24"/>
          <w:szCs w:val="24"/>
          <w:highlight w:val="none"/>
          <w:lang w:val="en-US" w:eastAsia="zh-CN"/>
        </w:rPr>
        <w:t xml:space="preserve">若采购代理机构在本项目采购过程中发现我单位近三年内在经营活动中有重大违法记录，我单位将无条件退出本项目，并承担因此引起的一切后果。</w:t>
      </w:r>
      <w:r/>
    </w:p>
    <w:p>
      <w:pPr>
        <w:ind w:right="-290"/>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0"/>
        <w:spacing w:line="360" w:lineRule="auto"/>
        <w:tabs>
          <w:tab w:val="left" w:pos="9000" w:leader="none"/>
        </w:tabs>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290"/>
        <w:jc w:val="left"/>
        <w:spacing w:line="360" w:lineRule="auto"/>
        <w:tabs>
          <w:tab w:val="left" w:pos="900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法定代表人或被授权人：（签字或盖章）</w:t>
      </w:r>
      <w:r/>
    </w:p>
    <w:p>
      <w:pPr>
        <w:ind w:right="-290"/>
        <w:jc w:val="left"/>
        <w:spacing w:line="360" w:lineRule="auto"/>
        <w:tabs>
          <w:tab w:val="left" w:pos="9000" w:leader="none"/>
        </w:tabs>
        <w:rPr>
          <w:rFonts w:ascii="宋体" w:hAnsi="宋体" w:eastAsia="宋体"/>
          <w:color w:val="auto"/>
          <w:sz w:val="24"/>
          <w:highlight w:val="none"/>
        </w:rPr>
      </w:pPr>
      <w:r>
        <w:rPr>
          <w:rFonts w:hint="eastAsia" w:ascii="宋体" w:hAnsi="宋体" w:eastAsia="宋体"/>
          <w:color w:val="auto"/>
          <w:sz w:val="24"/>
          <w:szCs w:val="24"/>
          <w:highlight w:val="none"/>
        </w:rPr>
        <w:t xml:space="preserve">日期：        </w:t>
      </w:r>
      <w:r>
        <w:rPr>
          <w:rFonts w:ascii="宋体" w:hAnsi="宋体" w:eastAsia="宋体"/>
          <w:color w:val="auto"/>
          <w:sz w:val="24"/>
          <w:szCs w:val="24"/>
          <w:highlight w:val="none"/>
        </w:rPr>
        <w:t xml:space="preserve">年     月     日</w:t>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numPr>
          <w:ilvl w:val="0"/>
          <w:numId w:val="0"/>
        </w:numPr>
        <w:spacing w:line="360" w:lineRule="auto"/>
        <w:rPr>
          <w:rFonts w:hint="eastAsia" w:ascii="宋体" w:hAnsi="宋体" w:eastAsia="宋体"/>
          <w:bCs/>
          <w:color w:val="auto"/>
          <w:sz w:val="24"/>
          <w:szCs w:val="24"/>
          <w:highlight w:val="none"/>
        </w:rPr>
      </w:pPr>
      <w:r>
        <w:rPr>
          <w:rFonts w:hint="eastAsia" w:ascii="宋体" w:hAnsi="宋体"/>
          <w:bCs/>
          <w:color w:val="auto"/>
          <w:sz w:val="24"/>
          <w:szCs w:val="24"/>
          <w:highlight w:val="none"/>
          <w:lang w:val="en-US" w:eastAsia="zh-CN"/>
        </w:rPr>
        <w:t xml:space="preserve">11、</w:t>
      </w:r>
      <w:r>
        <w:rPr>
          <w:rFonts w:hint="eastAsia" w:ascii="宋体" w:hAnsi="宋体" w:eastAsia="宋体"/>
          <w:bCs/>
          <w:color w:val="auto"/>
          <w:sz w:val="24"/>
          <w:szCs w:val="24"/>
          <w:highlight w:val="none"/>
        </w:rPr>
        <w:t xml:space="preserve">中小企业声明函（格式）</w:t>
      </w:r>
      <w:r/>
    </w:p>
    <w:p>
      <w:pPr>
        <w:numPr>
          <w:ilvl w:val="0"/>
          <w:numId w:val="0"/>
        </w:num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中小企业声明函（货物）</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本公司（联合体）郑重声明，根据《政府采购促进中小 企业发展管理办法》（财库﹝2020﹞46 号）的规定，本公司 （联合体）参加</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（项目名称）采购活动，提供的货物全部由符合政策要求的中小企业制造。相关企业（含联合体中的中小企业、签订分包意向协议的中小企业） 的具体情况如下：</w:t>
      </w:r>
      <w:r/>
    </w:p>
    <w:p>
      <w:pPr>
        <w:numPr>
          <w:ilvl w:val="0"/>
          <w:numId w:val="11"/>
        </w:num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（标的名称）</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（采购文件中明确的所属行业） 行业；制造商为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（中型企业、小 型企业、微型企业）； </w:t>
      </w:r>
      <w:r/>
    </w:p>
    <w:p>
      <w:pPr>
        <w:numPr>
          <w:ilvl w:val="0"/>
          <w:numId w:val="11"/>
        </w:num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（标的名称）</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（采购文件中明确的所属行业）行业；制造商为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（中型企业、小型 企业、微型企业）；</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本企业对上述声明内容的真实性负责。如有虚假，将依 法承担相应责任。</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jc w:val="center"/>
        <w:spacing w:line="360" w:lineRule="auto"/>
        <w:tabs>
          <w:tab w:val="left" w:pos="8930" w:leader="none"/>
          <w:tab w:val="left" w:pos="9306"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ascii="宋体" w:hAnsi="宋体" w:eastAsia="宋体" w:cs="宋体"/>
          <w:color w:val="auto"/>
          <w:sz w:val="24"/>
          <w:szCs w:val="24"/>
          <w:highlight w:val="none"/>
        </w:rPr>
        <w:t xml:space="preserve">企业名称（盖章）： </w:t>
      </w:r>
      <w:r/>
    </w:p>
    <w:p>
      <w:pPr>
        <w:ind w:firstLine="480"/>
        <w:jc w:val="center"/>
        <w:spacing w:line="360" w:lineRule="auto"/>
        <w:tabs>
          <w:tab w:val="left" w:pos="8930" w:leader="none"/>
          <w:tab w:val="left" w:pos="9306"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ascii="宋体" w:hAnsi="宋体" w:eastAsia="宋体" w:cs="宋体"/>
          <w:color w:val="auto"/>
          <w:sz w:val="24"/>
          <w:szCs w:val="24"/>
          <w:highlight w:val="none"/>
        </w:rPr>
        <w:t xml:space="preserve">日 期： </w:t>
      </w:r>
      <w:r/>
    </w:p>
    <w:p>
      <w:pPr>
        <w:rPr>
          <w:rFonts w:ascii="宋体" w:hAnsi="宋体" w:cs="宋体"/>
          <w:color w:val="auto"/>
          <w:sz w:val="24"/>
          <w:szCs w:val="24"/>
          <w:highlight w:val="none"/>
        </w:rPr>
      </w:pPr>
      <w:r>
        <w:rPr>
          <w:rFonts w:ascii="宋体" w:hAnsi="宋体" w:cs="宋体"/>
          <w:color w:val="auto"/>
          <w:sz w:val="24"/>
          <w:szCs w:val="24"/>
          <w:highlight w:val="none"/>
        </w:rPr>
      </w:r>
      <w:r/>
    </w:p>
    <w:p>
      <w:pPr>
        <w:rPr>
          <w:color w:val="auto"/>
          <w:highlight w:val="none"/>
        </w:rPr>
      </w:pPr>
      <w:r>
        <w:rPr>
          <w:color w:val="auto"/>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ascii="宋体" w:hAnsi="宋体" w:eastAsia="宋体" w:cs="宋体"/>
          <w:color w:val="auto"/>
          <w:sz w:val="24"/>
          <w:szCs w:val="24"/>
          <w:highlight w:val="none"/>
        </w:rPr>
        <w:t xml:space="preserve">从业人员、营业收入、资产总额填报上一年度数据，无上一年度数据的新成立企业可不填报。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62"/>
        <w:rPr>
          <w:color w:val="auto"/>
          <w:highlight w:val="none"/>
        </w:rPr>
      </w:pPr>
      <w:r>
        <w:rPr>
          <w:color w:val="auto"/>
          <w:highlight w:val="none"/>
        </w:rPr>
      </w:r>
      <w:r/>
    </w:p>
    <w:p>
      <w:pPr>
        <w:pStyle w:val="962"/>
        <w:rPr>
          <w:color w:val="auto"/>
          <w:highlight w:val="none"/>
        </w:rPr>
      </w:pPr>
      <w:r>
        <w:rPr>
          <w:color w:val="auto"/>
          <w:highlight w:val="none"/>
        </w:rPr>
      </w:r>
      <w:r/>
    </w:p>
    <w:p>
      <w:pPr>
        <w:jc w:val="center"/>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360" w:lineRule="auto"/>
        <w:tabs>
          <w:tab w:val="left" w:pos="8930" w:leader="none"/>
          <w:tab w:val="left" w:pos="9306" w:leader="none"/>
        </w:tabs>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中小企业声明函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工程、服务）</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12"/>
        </w:num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（采购文件中明确的所属行业）；承建（承接）企业为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（中型企业、小型企业、微型企业）； </w:t>
      </w:r>
      <w:r/>
    </w:p>
    <w:p>
      <w:pPr>
        <w:numPr>
          <w:ilvl w:val="0"/>
          <w:numId w:val="12"/>
        </w:num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 （标的名称）</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（采购文件中明确的所属行业）；承建（承接）企业为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（中型企业、 小型企业、微型企业）；</w:t>
      </w:r>
      <w:r/>
    </w:p>
    <w:p>
      <w:pPr>
        <w:ind w:left="420"/>
        <w:jc w:val="left"/>
        <w:spacing w:line="360" w:lineRule="auto"/>
        <w:tabs>
          <w:tab w:val="left" w:pos="8930" w:leader="none"/>
          <w:tab w:val="left" w:pos="9306" w:leader="none"/>
        </w:tabs>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 xml:space="preserve"> …… </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本企业对上述声明内容的真实性负责。如有虚假，将依法承担相应责任。 </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6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企业名称（盖章）： </w:t>
      </w:r>
      <w:r/>
    </w:p>
    <w:p>
      <w:pPr>
        <w:ind w:firstLine="6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日 期： </w:t>
      </w:r>
      <w:r/>
    </w:p>
    <w:p>
      <w:pPr>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s="宋体"/>
          <w:color w:val="auto"/>
          <w:sz w:val="24"/>
          <w:szCs w:val="24"/>
          <w:highlight w:val="none"/>
        </w:rPr>
        <w:t xml:space="preserve">注：</w:t>
      </w:r>
      <w:r>
        <w:rPr>
          <w:rFonts w:ascii="宋体" w:hAnsi="宋体" w:eastAsia="宋体" w:cs="宋体"/>
          <w:color w:val="auto"/>
          <w:sz w:val="24"/>
          <w:szCs w:val="24"/>
          <w:highlight w:val="none"/>
        </w:rPr>
        <w:t xml:space="preserve">从业人员、营业收入、资产总额填报上一年度数据，无上一年度数据的新成立企业可不填报。</w:t>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szCs w:val="24"/>
          <w:highlight w:val="none"/>
        </w:rPr>
      </w:pPr>
      <w:r>
        <w:rPr>
          <w:rFonts w:ascii="宋体" w:hAnsi="宋体" w:eastAsia="宋体"/>
          <w:color w:val="auto"/>
          <w:sz w:val="24"/>
          <w:szCs w:val="24"/>
          <w:highlight w:val="none"/>
        </w:rPr>
      </w:r>
      <w:r/>
    </w:p>
    <w:p>
      <w:pPr>
        <w:jc w:val="left"/>
        <w:spacing w:line="360" w:lineRule="auto"/>
        <w:tabs>
          <w:tab w:val="left" w:pos="8930" w:leader="none"/>
          <w:tab w:val="left" w:pos="9306" w:leader="none"/>
        </w:tabs>
        <w:rPr>
          <w:rFonts w:ascii="宋体" w:hAnsi="宋体" w:eastAsia="宋体"/>
          <w:color w:val="auto"/>
          <w:sz w:val="24"/>
          <w:szCs w:val="24"/>
          <w:highlight w:val="none"/>
        </w:rPr>
      </w:pPr>
      <w:r>
        <w:rPr>
          <w:rFonts w:ascii="宋体" w:hAnsi="宋体" w:eastAsia="宋体"/>
          <w:color w:val="auto"/>
          <w:sz w:val="24"/>
          <w:szCs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pStyle w:val="962"/>
        <w:rPr>
          <w:color w:val="auto"/>
          <w:highlight w:val="none"/>
        </w:rPr>
      </w:pPr>
      <w:r>
        <w:rPr>
          <w:color w:val="auto"/>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color w:val="auto"/>
          <w:sz w:val="24"/>
          <w:highlight w:val="none"/>
          <w:lang w:val="en-US" w:eastAsia="zh-CN"/>
        </w:rPr>
        <w:t xml:space="preserve">12</w:t>
      </w:r>
      <w:r>
        <w:rPr>
          <w:rFonts w:hint="eastAsia" w:ascii="宋体" w:hAnsi="宋体" w:eastAsia="宋体"/>
          <w:color w:val="auto"/>
          <w:sz w:val="24"/>
          <w:highlight w:val="none"/>
        </w:rPr>
        <w:t xml:space="preserve">、残疾人福利性单位声明函（格式）</w:t>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olor w:val="auto"/>
          <w:sz w:val="24"/>
          <w:highlight w:val="none"/>
          <w:u w:val="single"/>
        </w:rPr>
        <w:t xml:space="preserve">___       ___</w:t>
      </w:r>
      <w:r>
        <w:rPr>
          <w:rFonts w:hint="eastAsia" w:ascii="宋体" w:hAnsi="宋体" w:eastAsia="宋体"/>
          <w:color w:val="auto"/>
          <w:sz w:val="24"/>
          <w:highlight w:val="none"/>
        </w:rPr>
        <w:t xml:space="preserve">单位的___</w:t>
      </w:r>
      <w:r>
        <w:rPr>
          <w:rFonts w:hint="eastAsia" w:ascii="宋体" w:hAnsi="宋体" w:eastAsia="宋体"/>
          <w:color w:val="auto"/>
          <w:sz w:val="24"/>
          <w:highlight w:val="none"/>
          <w:u w:val="single"/>
        </w:rPr>
        <w:t xml:space="preserve">_      _</w:t>
      </w:r>
      <w:r>
        <w:rPr>
          <w:rFonts w:hint="eastAsia" w:ascii="宋体" w:hAnsi="宋体" w:eastAsia="宋体"/>
          <w:color w:val="auto"/>
          <w:sz w:val="24"/>
          <w:highlight w:val="none"/>
        </w:rPr>
        <w:t xml:space="preserve">_项目采购活动提供本单位制造的货物（由本单位承担工程/提供服务），或者提供其他残疾人福利性单位制造的货物（不包括使用非残疾人福利性单位注册商标的货物）。</w:t>
      </w:r>
      <w:r/>
    </w:p>
    <w:p>
      <w:pPr>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本单位对上述声明的真实性负责。如有虚假，将依法承担相应责任。</w:t>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  单位名称（盖章）：</w:t>
      </w:r>
      <w:r/>
    </w:p>
    <w:p>
      <w:pPr>
        <w:spacing w:line="360" w:lineRule="auto"/>
        <w:rPr>
          <w:rFonts w:hint="eastAsia" w:ascii="宋体" w:hAnsi="宋体" w:eastAsia="宋体" w:cs="Arial"/>
          <w:bCs/>
          <w:color w:val="auto"/>
          <w:sz w:val="24"/>
          <w:szCs w:val="24"/>
          <w:highlight w:val="none"/>
          <w:lang w:val="en-US" w:eastAsia="zh-CN"/>
        </w:rPr>
      </w:pPr>
      <w:r>
        <w:rPr>
          <w:rFonts w:hint="eastAsia" w:ascii="宋体" w:hAnsi="宋体" w:eastAsia="宋体"/>
          <w:color w:val="auto"/>
          <w:sz w:val="24"/>
          <w:highlight w:val="none"/>
        </w:rPr>
        <w:t xml:space="preserve">  日  期：</w:t>
      </w:r>
      <w:r/>
    </w:p>
    <w:p>
      <w:pPr>
        <w:spacing w:line="360" w:lineRule="auto"/>
        <w:rPr>
          <w:rFonts w:hint="eastAsia" w:ascii="宋体" w:hAnsi="宋体" w:eastAsia="宋体" w:cs="Arial"/>
          <w:bCs/>
          <w:color w:val="auto"/>
          <w:sz w:val="24"/>
          <w:szCs w:val="24"/>
          <w:highlight w:val="none"/>
          <w:lang w:val="en-US" w:eastAsia="zh-CN"/>
        </w:rPr>
      </w:pPr>
      <w:r>
        <w:rPr>
          <w:rFonts w:hint="eastAsia" w:ascii="宋体" w:hAnsi="宋体" w:eastAsia="宋体" w:cs="Arial"/>
          <w:bCs/>
          <w:color w:val="auto"/>
          <w:sz w:val="24"/>
          <w:szCs w:val="24"/>
          <w:highlight w:val="none"/>
          <w:lang w:val="en-US" w:eastAsia="zh-CN"/>
        </w:rPr>
      </w:r>
      <w:r/>
    </w:p>
    <w:p>
      <w:pPr>
        <w:spacing w:line="360" w:lineRule="auto"/>
        <w:rPr>
          <w:rFonts w:hint="eastAsia" w:ascii="宋体" w:hAnsi="宋体" w:eastAsia="宋体" w:cs="Arial"/>
          <w:bCs/>
          <w:color w:val="auto"/>
          <w:sz w:val="24"/>
          <w:szCs w:val="24"/>
          <w:highlight w:val="none"/>
          <w:lang w:val="en-US" w:eastAsia="zh-CN"/>
        </w:rPr>
      </w:pPr>
      <w:r>
        <w:rPr>
          <w:rFonts w:hint="eastAsia" w:ascii="宋体" w:hAnsi="宋体" w:eastAsia="宋体" w:cs="Arial"/>
          <w:bCs/>
          <w:color w:val="auto"/>
          <w:sz w:val="24"/>
          <w:szCs w:val="24"/>
          <w:highlight w:val="none"/>
          <w:lang w:val="en-US" w:eastAsia="zh-CN"/>
        </w:rPr>
      </w:r>
      <w:r/>
    </w:p>
    <w:p>
      <w:pPr>
        <w:spacing w:line="360" w:lineRule="auto"/>
        <w:rPr>
          <w:rFonts w:hint="eastAsia" w:ascii="宋体" w:hAnsi="宋体" w:eastAsia="宋体" w:cs="Arial"/>
          <w:bCs/>
          <w:color w:val="auto"/>
          <w:sz w:val="24"/>
          <w:szCs w:val="24"/>
          <w:highlight w:val="none"/>
          <w:lang w:val="en-US" w:eastAsia="zh-CN"/>
        </w:rPr>
      </w:pPr>
      <w:r>
        <w:rPr>
          <w:rFonts w:hint="eastAsia" w:ascii="宋体" w:hAnsi="宋体" w:eastAsia="宋体" w:cs="Arial"/>
          <w:bCs/>
          <w:color w:val="auto"/>
          <w:sz w:val="24"/>
          <w:szCs w:val="24"/>
          <w:highlight w:val="none"/>
          <w:lang w:val="en-US" w:eastAsia="zh-CN"/>
        </w:rPr>
      </w:r>
      <w:r/>
    </w:p>
    <w:p>
      <w:pPr>
        <w:spacing w:line="360" w:lineRule="auto"/>
        <w:rPr>
          <w:rFonts w:hint="eastAsia" w:ascii="宋体" w:hAnsi="宋体" w:eastAsia="宋体" w:cs="Arial"/>
          <w:bCs/>
          <w:color w:val="auto"/>
          <w:sz w:val="24"/>
          <w:szCs w:val="24"/>
          <w:highlight w:val="none"/>
          <w:lang w:val="en-US" w:eastAsia="zh-CN"/>
        </w:rPr>
      </w:pPr>
      <w:r>
        <w:rPr>
          <w:rFonts w:hint="eastAsia" w:ascii="宋体" w:hAnsi="宋体" w:eastAsia="宋体" w:cs="Arial"/>
          <w:bCs/>
          <w:color w:val="auto"/>
          <w:sz w:val="24"/>
          <w:szCs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color w:val="auto"/>
          <w:sz w:val="24"/>
          <w:highlight w:val="none"/>
          <w:lang w:val="en-US" w:eastAsia="zh-CN"/>
        </w:rPr>
        <w:t xml:space="preserve">13</w:t>
      </w:r>
      <w:r>
        <w:rPr>
          <w:rFonts w:hint="eastAsia" w:ascii="宋体" w:hAnsi="宋体" w:eastAsia="宋体"/>
          <w:color w:val="auto"/>
          <w:sz w:val="24"/>
          <w:highlight w:val="none"/>
        </w:rPr>
        <w:t xml:space="preserve">、投标（响应）保证承诺书（参考格式）</w:t>
      </w:r>
      <w:r/>
    </w:p>
    <w:p>
      <w:pPr>
        <w:jc w:val="center"/>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致：</w:t>
      </w:r>
      <w:r>
        <w:rPr>
          <w:rFonts w:hint="cs" w:ascii="宋体" w:hAnsi="宋体" w:eastAsia="宋体"/>
          <w:color w:val="auto"/>
          <w:sz w:val="24"/>
          <w:highlight w:val="none"/>
          <w:u w:val="single"/>
          <w:cs/>
        </w:rPr>
        <w:t xml:space="preserve"> </w:t>
      </w:r>
      <w:r>
        <w:rPr>
          <w:rFonts w:hint="eastAsia" w:ascii="宋体" w:hAnsi="宋体" w:eastAsia="宋体"/>
          <w:color w:val="auto"/>
          <w:sz w:val="24"/>
          <w:highlight w:val="none"/>
          <w:u w:val="single"/>
        </w:rPr>
        <w:t xml:space="preserve">（采购代理机构名称）</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我（单位</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本人，以下统称我单位）自愿参加</w:t>
      </w:r>
      <w:r>
        <w:rPr>
          <w:rFonts w:hint="cs" w:ascii="宋体" w:hAnsi="宋体" w:eastAsia="宋体"/>
          <w:color w:val="auto"/>
          <w:sz w:val="24"/>
          <w:highlight w:val="none"/>
          <w:u w:val="single"/>
          <w:cs/>
        </w:rPr>
        <w:t xml:space="preserve">     </w:t>
      </w:r>
      <w:r>
        <w:rPr>
          <w:rFonts w:hint="eastAsia" w:ascii="宋体" w:hAnsi="宋体" w:eastAsia="宋体"/>
          <w:color w:val="auto"/>
          <w:sz w:val="24"/>
          <w:highlight w:val="none"/>
        </w:rPr>
        <w:t xml:space="preserve">（项目名称和采购编号）的投标（响应）</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并做出如下承诺：</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一、除不可抗力外，我单位如果发生以下行为，将在行为发生的10个工作日内，向贵方</w:t>
      </w:r>
      <w:r>
        <w:rPr>
          <w:rFonts w:hint="eastAsia" w:ascii="宋体" w:hAnsi="宋体" w:eastAsia="宋体"/>
          <w:color w:val="auto"/>
          <w:sz w:val="24"/>
          <w:highlight w:val="none"/>
          <w:u w:val="single"/>
        </w:rPr>
        <w:t xml:space="preserve">（或采购人）</w:t>
      </w:r>
      <w:r>
        <w:rPr>
          <w:rFonts w:hint="eastAsia" w:ascii="宋体" w:hAnsi="宋体" w:eastAsia="宋体"/>
          <w:color w:val="auto"/>
          <w:sz w:val="24"/>
          <w:highlight w:val="none"/>
        </w:rPr>
        <w:t xml:space="preserve">支付本采购文件公布的预算金额（或最高限价）的2%作为违约赔偿金（数量不确定的单价采购须约定具体金额）。</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1、自投标（响应）截止时间至本项目发布中标（成交）公告为止，撤销投标（响应）；</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2、中标（成交）后不依法与采购人签订合同；</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3、中标（成交）后不按本采购文件规定向采购人提交履约保证金；</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4、中标（成交）后不按本采购文件规定向贵方缴纳采购代理费。</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二、我单位知晓上述行为的法律后果，承认本承诺书作为贵方</w:t>
      </w:r>
      <w:r>
        <w:rPr>
          <w:rFonts w:hint="eastAsia" w:ascii="宋体" w:hAnsi="宋体" w:eastAsia="宋体"/>
          <w:color w:val="auto"/>
          <w:sz w:val="24"/>
          <w:highlight w:val="none"/>
          <w:u w:val="single"/>
        </w:rPr>
        <w:t xml:space="preserve">（或采购人）</w:t>
      </w:r>
      <w:r>
        <w:rPr>
          <w:rFonts w:hint="eastAsia" w:ascii="宋体" w:hAnsi="宋体" w:eastAsia="宋体"/>
          <w:color w:val="auto"/>
          <w:sz w:val="24"/>
          <w:highlight w:val="none"/>
        </w:rPr>
        <w:t xml:space="preserve">要求我单位履行违约赔偿义务的依据作用。</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t xml:space="preserve"> </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投标（响应）人：（盖公章）</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地址：</w:t>
      </w:r>
      <w:r>
        <w:rPr>
          <w:rFonts w:hint="cs" w:ascii="宋体" w:hAnsi="宋体" w:eastAsia="宋体"/>
          <w:color w:val="auto"/>
          <w:sz w:val="24"/>
          <w:highlight w:val="none"/>
          <w:cs/>
        </w:rPr>
        <w:t xml:space="preserve">     </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电话：</w:t>
      </w:r>
      <w:r>
        <w:rPr>
          <w:rFonts w:hint="cs" w:ascii="宋体" w:hAnsi="宋体" w:eastAsia="宋体"/>
          <w:color w:val="auto"/>
          <w:sz w:val="24"/>
          <w:highlight w:val="none"/>
          <w:cs/>
        </w:rPr>
        <w:t xml:space="preserve">              </w:t>
      </w:r>
      <w:r>
        <w:rPr>
          <w:rFonts w:ascii="宋体" w:hAnsi="宋体" w:eastAsia="宋体"/>
          <w:color w:val="auto"/>
          <w:sz w:val="24"/>
          <w:highlight w:val="none"/>
        </w:rPr>
        <w:t xml:space="preserve">         </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传真：</w:t>
      </w:r>
      <w:r>
        <w:rPr>
          <w:rFonts w:hint="cs" w:ascii="宋体" w:hAnsi="宋体" w:eastAsia="宋体"/>
          <w:color w:val="auto"/>
          <w:sz w:val="24"/>
          <w:highlight w:val="none"/>
          <w:cs/>
        </w:rPr>
        <w:t xml:space="preserve">     </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电子邮件：</w:t>
      </w:r>
      <w:r>
        <w:rPr>
          <w:rFonts w:hint="cs" w:ascii="宋体" w:hAnsi="宋体" w:eastAsia="宋体"/>
          <w:color w:val="auto"/>
          <w:sz w:val="24"/>
          <w:highlight w:val="none"/>
          <w:cs/>
        </w:rPr>
        <w:t xml:space="preserve">                </w:t>
      </w:r>
      <w:r>
        <w:rPr>
          <w:rFonts w:ascii="宋体" w:hAnsi="宋体" w:eastAsia="宋体"/>
          <w:color w:val="auto"/>
          <w:sz w:val="24"/>
          <w:highlight w:val="none"/>
        </w:rPr>
        <w:t xml:space="preserve">          </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邮编：</w:t>
      </w:r>
      <w:r>
        <w:rPr>
          <w:rFonts w:hint="cs" w:ascii="宋体" w:hAnsi="宋体" w:eastAsia="宋体"/>
          <w:color w:val="auto"/>
          <w:sz w:val="24"/>
          <w:highlight w:val="none"/>
          <w:cs/>
        </w:rPr>
        <w:t xml:space="preserve">   </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法定代表人或委托代理人</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签字或签章</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w:t>
      </w:r>
      <w:r>
        <w:rPr>
          <w:rFonts w:hint="cs" w:ascii="宋体" w:hAnsi="宋体" w:eastAsia="宋体"/>
          <w:color w:val="auto"/>
          <w:sz w:val="24"/>
          <w:highlight w:val="none"/>
          <w:cs/>
        </w:rPr>
        <w:t xml:space="preserve">   </w:t>
      </w:r>
      <w:r/>
    </w:p>
    <w:p>
      <w:pPr>
        <w:ind w:firstLine="480"/>
        <w:jc w:val="left"/>
        <w:spacing w:line="360" w:lineRule="auto"/>
        <w:tabs>
          <w:tab w:val="left" w:pos="8930" w:leader="none"/>
          <w:tab w:val="left" w:pos="9306" w:leader="none"/>
        </w:tabs>
        <w:rPr>
          <w:rFonts w:hint="eastAsia" w:ascii="宋体" w:hAnsi="宋体" w:cs="宋体"/>
          <w:b/>
          <w:bCs/>
          <w:color w:val="auto"/>
          <w:sz w:val="24"/>
          <w:szCs w:val="24"/>
          <w:highlight w:val="none"/>
          <w:lang w:val="en-US" w:eastAsia="zh-CN"/>
        </w:rPr>
      </w:pPr>
      <w:r>
        <w:rPr>
          <w:rFonts w:hint="eastAsia" w:ascii="宋体" w:hAnsi="宋体" w:eastAsia="宋体"/>
          <w:color w:val="auto"/>
          <w:sz w:val="24"/>
          <w:highlight w:val="none"/>
        </w:rPr>
        <w:t xml:space="preserve">日期：</w:t>
      </w:r>
      <w:r>
        <w:rPr>
          <w:rFonts w:hint="cs" w:ascii="宋体" w:hAnsi="宋体" w:eastAsia="宋体"/>
          <w:color w:val="auto"/>
          <w:sz w:val="24"/>
          <w:highlight w:val="none"/>
          <w:cs/>
        </w:rPr>
        <w:t xml:space="preserve">      </w:t>
      </w:r>
      <w:r/>
    </w:p>
    <w:p>
      <w:pPr>
        <w:ind w:firstLine="480"/>
        <w:jc w:val="center"/>
        <w:keepLines w:val="0"/>
        <w:keepNext w:val="0"/>
        <w:pageBreakBefore w:val="0"/>
        <w:spacing w:line="360" w:lineRule="auto"/>
        <w:widowControl/>
        <w:rPr>
          <w:rFonts w:hint="eastAsia" w:ascii="宋体" w:hAnsi="宋体" w:eastAsia="宋体"/>
          <w:bCs/>
          <w:color w:val="auto"/>
          <w:sz w:val="24"/>
          <w:szCs w:val="22"/>
          <w:highlight w:val="none"/>
        </w:rPr>
        <w:outlineLvl w:val="9"/>
      </w:pPr>
      <w:r>
        <w:rPr>
          <w:rFonts w:hint="eastAsia" w:ascii="宋体" w:hAnsi="宋体" w:eastAsia="宋体"/>
          <w:bCs/>
          <w:color w:val="auto"/>
          <w:sz w:val="24"/>
          <w:szCs w:val="22"/>
          <w:highlight w:val="none"/>
        </w:rPr>
      </w:r>
      <w:r/>
    </w:p>
    <w:p>
      <w:pPr>
        <w:ind w:firstLine="480"/>
        <w:jc w:val="center"/>
        <w:keepLines w:val="0"/>
        <w:keepNext w:val="0"/>
        <w:pageBreakBefore w:val="0"/>
        <w:spacing w:line="360" w:lineRule="auto"/>
        <w:widowControl/>
        <w:rPr>
          <w:rFonts w:hint="eastAsia" w:ascii="宋体" w:hAnsi="宋体" w:eastAsia="宋体"/>
          <w:bCs/>
          <w:color w:val="auto"/>
          <w:sz w:val="24"/>
          <w:szCs w:val="22"/>
          <w:highlight w:val="none"/>
        </w:rPr>
        <w:outlineLvl w:val="9"/>
      </w:pPr>
      <w:r>
        <w:rPr>
          <w:rFonts w:hint="eastAsia" w:ascii="宋体" w:hAnsi="宋体" w:eastAsia="宋体"/>
          <w:bCs/>
          <w:color w:val="auto"/>
          <w:sz w:val="24"/>
          <w:szCs w:val="22"/>
          <w:highlight w:val="none"/>
        </w:rPr>
      </w:r>
      <w:r/>
    </w:p>
    <w:p>
      <w:pPr>
        <w:ind w:firstLine="480"/>
        <w:jc w:val="center"/>
        <w:keepLines w:val="0"/>
        <w:keepNext w:val="0"/>
        <w:pageBreakBefore w:val="0"/>
        <w:spacing w:line="360" w:lineRule="auto"/>
        <w:widowControl/>
        <w:rPr>
          <w:rFonts w:hint="eastAsia" w:ascii="宋体" w:hAnsi="宋体" w:eastAsia="宋体"/>
          <w:bCs/>
          <w:color w:val="auto"/>
          <w:sz w:val="24"/>
          <w:szCs w:val="22"/>
          <w:highlight w:val="none"/>
        </w:rPr>
        <w:outlineLvl w:val="9"/>
      </w:pPr>
      <w:r>
        <w:rPr>
          <w:rFonts w:hint="eastAsia" w:ascii="宋体" w:hAnsi="宋体" w:eastAsia="宋体"/>
          <w:bCs/>
          <w:color w:val="auto"/>
          <w:sz w:val="24"/>
          <w:szCs w:val="22"/>
          <w:highlight w:val="none"/>
        </w:rPr>
      </w:r>
      <w:r/>
    </w:p>
    <w:p>
      <w:pPr>
        <w:ind w:firstLine="480"/>
        <w:jc w:val="center"/>
        <w:keepLines w:val="0"/>
        <w:keepNext w:val="0"/>
        <w:pageBreakBefore w:val="0"/>
        <w:spacing w:line="360" w:lineRule="auto"/>
        <w:widowControl/>
        <w:rPr>
          <w:rFonts w:hint="eastAsia" w:ascii="宋体" w:hAnsi="宋体" w:eastAsia="宋体"/>
          <w:bCs/>
          <w:color w:val="auto"/>
          <w:sz w:val="24"/>
          <w:szCs w:val="22"/>
          <w:highlight w:val="none"/>
        </w:rPr>
        <w:outlineLvl w:val="9"/>
      </w:pPr>
      <w:r>
        <w:rPr>
          <w:rFonts w:hint="eastAsia" w:ascii="宋体" w:hAnsi="宋体" w:eastAsia="宋体"/>
          <w:bCs/>
          <w:color w:val="auto"/>
          <w:sz w:val="24"/>
          <w:szCs w:val="22"/>
          <w:highlight w:val="none"/>
        </w:rPr>
      </w:r>
      <w:r/>
    </w:p>
    <w:p>
      <w:pPr>
        <w:ind w:firstLine="480"/>
        <w:jc w:val="center"/>
        <w:keepLines w:val="0"/>
        <w:keepNext w:val="0"/>
        <w:pageBreakBefore w:val="0"/>
        <w:spacing w:line="360" w:lineRule="auto"/>
        <w:widowControl/>
        <w:rPr>
          <w:rFonts w:hint="eastAsia" w:ascii="宋体" w:hAnsi="宋体" w:eastAsia="宋体"/>
          <w:bCs/>
          <w:color w:val="auto"/>
          <w:sz w:val="24"/>
          <w:szCs w:val="22"/>
          <w:highlight w:val="none"/>
        </w:rPr>
        <w:outlineLvl w:val="9"/>
      </w:pPr>
      <w:r>
        <w:rPr>
          <w:rFonts w:hint="eastAsia" w:ascii="宋体" w:hAnsi="宋体" w:eastAsia="宋体"/>
          <w:bCs/>
          <w:color w:val="auto"/>
          <w:sz w:val="24"/>
          <w:szCs w:val="22"/>
          <w:highlight w:val="none"/>
        </w:rPr>
      </w:r>
      <w:r/>
    </w:p>
    <w:p>
      <w:pPr>
        <w:ind w:firstLine="480"/>
        <w:jc w:val="center"/>
        <w:keepLines w:val="0"/>
        <w:keepNext w:val="0"/>
        <w:pageBreakBefore w:val="0"/>
        <w:spacing w:line="360" w:lineRule="auto"/>
        <w:widowControl/>
        <w:rPr>
          <w:rFonts w:hint="eastAsia" w:ascii="宋体" w:hAnsi="宋体" w:eastAsia="宋体"/>
          <w:bCs/>
          <w:color w:val="auto"/>
          <w:sz w:val="24"/>
          <w:szCs w:val="22"/>
          <w:highlight w:val="none"/>
        </w:rPr>
        <w:outlineLvl w:val="9"/>
      </w:pPr>
      <w:r>
        <w:rPr>
          <w:rFonts w:hint="eastAsia" w:ascii="宋体" w:hAnsi="宋体" w:eastAsia="宋体"/>
          <w:bCs/>
          <w:color w:val="auto"/>
          <w:sz w:val="24"/>
          <w:szCs w:val="22"/>
          <w:highlight w:val="none"/>
        </w:rPr>
      </w:r>
      <w:r/>
    </w:p>
    <w:p>
      <w:pPr>
        <w:ind w:firstLine="480"/>
        <w:jc w:val="center"/>
        <w:keepLines w:val="0"/>
        <w:keepNext w:val="0"/>
        <w:pageBreakBefore w:val="0"/>
        <w:spacing w:line="360" w:lineRule="auto"/>
        <w:widowControl/>
        <w:rPr>
          <w:rFonts w:hint="eastAsia" w:ascii="宋体" w:hAnsi="宋体" w:eastAsia="宋体"/>
          <w:bCs/>
          <w:color w:val="auto"/>
          <w:sz w:val="24"/>
          <w:szCs w:val="22"/>
          <w:highlight w:val="none"/>
        </w:rPr>
        <w:outlineLvl w:val="9"/>
      </w:pPr>
      <w:r>
        <w:rPr>
          <w:rFonts w:hint="eastAsia" w:ascii="宋体" w:hAnsi="宋体" w:eastAsia="宋体"/>
          <w:bCs/>
          <w:color w:val="auto"/>
          <w:sz w:val="24"/>
          <w:szCs w:val="22"/>
          <w:highlight w:val="none"/>
        </w:rPr>
      </w:r>
      <w:r/>
    </w:p>
    <w:p>
      <w:pPr>
        <w:ind w:left="0"/>
        <w:jc w:val="left"/>
        <w:rPr>
          <w:rFonts w:hint="eastAsia" w:ascii="宋体" w:hAnsi="宋体" w:eastAsia="宋体" w:cs="宋体"/>
          <w:b w:val="0"/>
          <w:bCs/>
          <w:color w:val="auto"/>
          <w:sz w:val="24"/>
          <w:szCs w:val="24"/>
          <w:highlight w:val="none"/>
          <w:lang w:eastAsia="zh-CN"/>
        </w:rPr>
        <w:outlineLvl w:val="0"/>
      </w:pPr>
      <w:r>
        <w:rPr>
          <w:rFonts w:hint="cs" w:ascii="宋体" w:hAnsi="宋体" w:eastAsia="宋体"/>
          <w:color w:val="auto"/>
          <w:sz w:val="24"/>
          <w:highlight w:val="none"/>
          <w:cs/>
        </w:rPr>
        <w:t xml:space="preserve"> </w:t>
      </w:r>
      <w:r>
        <w:rPr>
          <w:rStyle w:val="935"/>
          <w:rFonts w:hint="eastAsia" w:ascii="宋体" w:hAnsi="宋体" w:eastAsia="宋体" w:cs="宋体"/>
          <w:b w:val="0"/>
          <w:bCs/>
          <w:color w:val="auto"/>
          <w:sz w:val="24"/>
          <w:szCs w:val="24"/>
          <w:highlight w:val="none"/>
          <w:lang w:val="en-US" w:eastAsia="zh-CN"/>
        </w:rPr>
        <w:t xml:space="preserve">1</w:t>
      </w:r>
      <w:r>
        <w:rPr>
          <w:rStyle w:val="935"/>
          <w:rFonts w:hint="eastAsia" w:ascii="宋体" w:hAnsi="宋体" w:cs="宋体"/>
          <w:b w:val="0"/>
          <w:bCs/>
          <w:color w:val="auto"/>
          <w:sz w:val="24"/>
          <w:szCs w:val="24"/>
          <w:highlight w:val="none"/>
          <w:lang w:val="en-US" w:eastAsia="zh-CN"/>
        </w:rPr>
        <w:t xml:space="preserve">4</w:t>
      </w:r>
      <w:r>
        <w:rPr>
          <w:rStyle w:val="935"/>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关于投标（响应）报价合理性的澄清说明</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若项目涉及</w:t>
      </w:r>
      <w:r>
        <w:rPr>
          <w:rFonts w:hint="eastAsia" w:ascii="宋体" w:hAnsi="宋体" w:eastAsia="宋体" w:cs="宋体"/>
          <w:b w:val="0"/>
          <w:bCs/>
          <w:color w:val="auto"/>
          <w:sz w:val="24"/>
          <w:szCs w:val="24"/>
          <w:highlight w:val="none"/>
          <w:lang w:eastAsia="zh-CN"/>
        </w:rPr>
        <w:t xml:space="preserve">）</w:t>
      </w:r>
      <w:r/>
    </w:p>
    <w:p>
      <w:pPr>
        <w:ind w:left="0" w:firstLine="42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left="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关于投标（响应）报价合理性的澄清说明</w:t>
      </w:r>
      <w:r/>
    </w:p>
    <w:p>
      <w:pPr>
        <w:ind w:left="0"/>
        <w:jc w:val="left"/>
        <w:spacing w:line="360" w:lineRule="auto"/>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u w:val="single"/>
        </w:rPr>
      </w:r>
      <w:r/>
    </w:p>
    <w:p>
      <w:pPr>
        <w:ind w:left="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苏州睿乔招投标咨询服务有限公司</w:t>
      </w:r>
      <w:r>
        <w:rPr>
          <w:rFonts w:hint="eastAsia" w:ascii="宋体" w:hAnsi="宋体" w:eastAsia="宋体" w:cs="宋体"/>
          <w:color w:val="auto"/>
          <w:sz w:val="24"/>
          <w:szCs w:val="24"/>
          <w:highlight w:val="none"/>
        </w:rPr>
        <w:t xml:space="preserve">：</w:t>
      </w:r>
      <w:r/>
    </w:p>
    <w:p>
      <w:pPr>
        <w:pStyle w:val="73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w:t>
      </w:r>
      <w:r>
        <w:rPr>
          <w:rFonts w:hint="eastAsia" w:ascii="宋体" w:hAnsi="宋体" w:eastAsia="宋体" w:cs="宋体"/>
          <w:color w:val="auto"/>
          <w:sz w:val="24"/>
          <w:szCs w:val="24"/>
          <w:highlight w:val="none"/>
          <w:lang w:val="en-US" w:eastAsia="zh-CN"/>
        </w:rPr>
        <w:t xml:space="preserve">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号（项目编号）的招标活动进行投标，对于本公司的投标报价合理性作出说明如下：</w:t>
      </w:r>
      <w:r/>
    </w:p>
    <w:tbl>
      <w:tblPr>
        <w:tblStyle w:val="73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eastAsia="宋体" w:cs="宋体"/>
                <w:b w:val="0"/>
                <w:bCs/>
                <w:color w:val="auto"/>
                <w:sz w:val="24"/>
                <w:szCs w:val="24"/>
                <w:highlight w:val="none"/>
                <w:shd w:val="pct10" w:color="auto" w:fill="ffffff"/>
              </w:rPr>
            </w:pPr>
            <w:r>
              <w:rPr>
                <w:rFonts w:hint="eastAsia" w:ascii="宋体" w:hAnsi="宋体" w:eastAsia="宋体" w:cs="宋体"/>
                <w:b w:val="0"/>
                <w:bCs/>
                <w:color w:val="auto"/>
                <w:sz w:val="24"/>
                <w:szCs w:val="24"/>
                <w:highlight w:val="none"/>
              </w:rPr>
              <w:t xml:space="preserve">投标人应当根据实际情况自拟答复并根据评标委员会关于澄清的要求提供相关证明材料作为附件。</w:t>
            </w:r>
            <w:r/>
          </w:p>
        </w:tc>
      </w:tr>
    </w:tbl>
    <w:p>
      <w:pPr>
        <w:ind w:firstLine="480"/>
        <w:spacing w:line="360" w:lineRule="auto"/>
        <w:tabs>
          <w:tab w:val="left" w:pos="753" w:leader="none"/>
        </w:tabs>
        <w:rPr>
          <w:rFonts w:hint="eastAsia" w:ascii="宋体" w:hAnsi="宋体" w:eastAsia="宋体" w:cs="宋体"/>
          <w:color w:val="auto"/>
          <w:sz w:val="24"/>
          <w:szCs w:val="22"/>
          <w:highlight w:val="none"/>
          <w:lang w:val="zh-CN" w:eastAsia="zh-CN"/>
        </w:rPr>
      </w:pPr>
      <w:r/>
      <w:bookmarkStart w:id="44" w:name="OLE_LINK21"/>
      <w:r/>
      <w:bookmarkStart w:id="45" w:name="OLE_LINK24"/>
      <w:r/>
      <w:bookmarkStart w:id="46" w:name="OLE_LINK23"/>
      <w:r>
        <w:rPr>
          <w:rFonts w:hint="eastAsia" w:ascii="宋体" w:hAnsi="宋体" w:eastAsia="宋体" w:cs="宋体"/>
          <w:b w:val="0"/>
          <w:bCs/>
          <w:color w:val="auto"/>
          <w:sz w:val="24"/>
          <w:szCs w:val="24"/>
          <w:highlight w:val="none"/>
          <w:lang w:val="zh-CN"/>
        </w:rPr>
        <w:t xml:space="preserve">备注:根据招标（</w:t>
      </w:r>
      <w:r>
        <w:rPr>
          <w:rFonts w:hint="eastAsia" w:ascii="宋体" w:hAnsi="宋体" w:eastAsia="宋体" w:cs="宋体"/>
          <w:b w:val="0"/>
          <w:bCs/>
          <w:color w:val="auto"/>
          <w:sz w:val="24"/>
          <w:szCs w:val="24"/>
          <w:highlight w:val="none"/>
          <w:lang w:val="en-US" w:eastAsia="zh-CN"/>
        </w:rPr>
        <w:t xml:space="preserve">采购）</w:t>
      </w:r>
      <w:r>
        <w:rPr>
          <w:rFonts w:hint="eastAsia" w:ascii="宋体" w:hAnsi="宋体" w:eastAsia="宋体" w:cs="宋体"/>
          <w:b w:val="0"/>
          <w:bCs/>
          <w:color w:val="auto"/>
          <w:sz w:val="24"/>
          <w:szCs w:val="24"/>
          <w:highlight w:val="none"/>
          <w:lang w:val="zh-CN"/>
        </w:rPr>
        <w:t xml:space="preserve">文件第二章“磋商须知”第16.6.4条要求，</w:t>
      </w:r>
      <w:bookmarkEnd w:id="44"/>
      <w:r/>
      <w:bookmarkEnd w:id="45"/>
      <w:r/>
      <w:bookmarkEnd w:id="46"/>
      <w:r>
        <w:rPr>
          <w:rFonts w:hint="eastAsia" w:ascii="宋体" w:hAnsi="宋体" w:eastAsia="宋体" w:cs="宋体"/>
          <w:color w:val="auto"/>
          <w:sz w:val="24"/>
          <w:szCs w:val="22"/>
          <w:highlight w:val="none"/>
          <w:lang w:val="zh-CN"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tabs>
          <w:tab w:val="left" w:pos="753"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szCs w:val="22"/>
          <w:highlight w:val="none"/>
          <w:lang w:val="zh-CN"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2"/>
        <w:spacing w:line="360" w:lineRule="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olor w:val="auto"/>
          <w:sz w:val="24"/>
          <w:highlight w:val="none"/>
        </w:rPr>
        <w:t xml:space="preserve">投标（响应）</w:t>
      </w:r>
      <w:r>
        <w:rPr>
          <w:rFonts w:hint="eastAsia" w:ascii="宋体" w:hAnsi="宋体" w:cs="宋体"/>
          <w:color w:val="auto"/>
          <w:sz w:val="24"/>
          <w:highlight w:val="none"/>
          <w:lang w:val="en-US" w:eastAsia="zh-CN"/>
        </w:rPr>
        <w:t xml:space="preserve">单位</w:t>
      </w:r>
      <w:r>
        <w:rPr>
          <w:rFonts w:hint="eastAsia" w:ascii="宋体" w:hAnsi="宋体" w:eastAsia="宋体" w:cs="宋体"/>
          <w:color w:val="auto"/>
          <w:sz w:val="24"/>
          <w:highlight w:val="none"/>
        </w:rPr>
        <w:t xml:space="preserve">：（单位盖章）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915"/>
        <w:numPr>
          <w:ilvl w:val="2"/>
          <w:numId w:val="0"/>
        </w:numPr>
        <w:pageBreakBefore w:val="0"/>
        <w:spacing w:before="120" w:after="120" w:line="360" w:lineRule="auto"/>
        <w:widowControl w:val="off"/>
        <w:rPr>
          <w:rFonts w:hint="eastAsia" w:ascii="宋体" w:hAnsi="宋体" w:eastAsia="宋体" w:cs="宋体"/>
          <w:b w:val="0"/>
          <w:sz w:val="24"/>
          <w:szCs w:val="24"/>
          <w:highlight w:val="none"/>
          <w:lang w:val="zh-CN"/>
        </w:rPr>
      </w:pPr>
      <w:r/>
      <w:bookmarkStart w:id="47" w:name="_Toc166075016"/>
      <w:r>
        <w:rPr>
          <w:rFonts w:hint="eastAsia" w:ascii="宋体" w:hAnsi="宋体" w:eastAsia="宋体" w:cs="宋体"/>
          <w:b w:val="0"/>
          <w:sz w:val="24"/>
          <w:szCs w:val="24"/>
          <w:highlight w:val="none"/>
          <w:lang w:val="en-US" w:eastAsia="zh-CN"/>
        </w:rPr>
        <w:t xml:space="preserve">15、</w:t>
      </w:r>
      <w:r>
        <w:rPr>
          <w:rFonts w:hint="eastAsia" w:ascii="宋体" w:hAnsi="宋体" w:eastAsia="宋体" w:cs="宋体"/>
          <w:b w:val="0"/>
          <w:sz w:val="24"/>
          <w:szCs w:val="24"/>
          <w:highlight w:val="none"/>
          <w:lang w:val="zh-CN"/>
        </w:rPr>
        <w:t xml:space="preserve">协审响应服务承诺书</w:t>
      </w:r>
      <w:r/>
    </w:p>
    <w:p>
      <w:pPr>
        <w:pStyle w:val="914"/>
        <w:ind w:firstLine="0"/>
        <w:jc w:val="center"/>
        <w:pageBreakBefore w:val="0"/>
        <w:spacing w:line="360" w:lineRule="auto"/>
        <w:widowControl w:val="off"/>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协审响应服务承诺书</w:t>
      </w:r>
      <w:r/>
    </w:p>
    <w:p>
      <w:pPr>
        <w:ind w:firstLine="42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为保证相城区黄埭镇政府及国有（集体）投资工程审计项目协审工作质量和效率，做好协审工作，我公司承诺并保证必要的协审响应服务时间，具体如下：</w:t>
      </w:r>
      <w:r/>
    </w:p>
    <w:p>
      <w:pPr>
        <w:ind w:firstLine="42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一、我公司保证所提供的咨询服务符合造价行业规范，服从苏州市相城区黄埭镇人民政府（苏州市相城区黄埭镇财政和资产监督</w:t>
      </w:r>
      <w:r>
        <w:rPr>
          <w:rFonts w:hint="eastAsia" w:ascii="宋体" w:hAnsi="宋体" w:eastAsia="宋体" w:cs="宋体"/>
          <w:sz w:val="24"/>
          <w:szCs w:val="24"/>
          <w:highlight w:val="none"/>
          <w:lang w:eastAsia="zh-CN"/>
        </w:rPr>
        <w:t xml:space="preserve">管理办公室</w:t>
      </w:r>
      <w:r>
        <w:rPr>
          <w:rFonts w:hint="eastAsia" w:ascii="宋体" w:hAnsi="宋体" w:eastAsia="宋体" w:cs="宋体"/>
          <w:sz w:val="24"/>
          <w:szCs w:val="24"/>
          <w:highlight w:val="none"/>
        </w:rPr>
        <w:t xml:space="preserve">）的相关规章制度，达到苏州市相城区黄埭镇人民政府（苏州市相城区黄埭镇财政和资产监督</w:t>
      </w:r>
      <w:r>
        <w:rPr>
          <w:rFonts w:hint="eastAsia" w:ascii="宋体" w:hAnsi="宋体" w:eastAsia="宋体" w:cs="宋体"/>
          <w:sz w:val="24"/>
          <w:szCs w:val="24"/>
          <w:highlight w:val="none"/>
          <w:lang w:eastAsia="zh-CN"/>
        </w:rPr>
        <w:t xml:space="preserve">管理办公室</w:t>
      </w:r>
      <w:r>
        <w:rPr>
          <w:rFonts w:hint="eastAsia" w:ascii="宋体" w:hAnsi="宋体" w:eastAsia="宋体" w:cs="宋体"/>
          <w:sz w:val="24"/>
          <w:szCs w:val="24"/>
          <w:highlight w:val="none"/>
        </w:rPr>
        <w:t xml:space="preserve">）工作标准和要求。</w:t>
      </w:r>
      <w:r/>
    </w:p>
    <w:p>
      <w:pPr>
        <w:ind w:firstLine="42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二、我公司保证中标后，如苏州市相城区黄埭镇人民政府（苏州市相城区黄埭镇财政和资产监督</w:t>
      </w:r>
      <w:r>
        <w:rPr>
          <w:rFonts w:hint="eastAsia" w:ascii="宋体" w:hAnsi="宋体" w:eastAsia="宋体" w:cs="宋体"/>
          <w:sz w:val="24"/>
          <w:szCs w:val="24"/>
          <w:highlight w:val="none"/>
          <w:lang w:eastAsia="zh-CN"/>
        </w:rPr>
        <w:t xml:space="preserve">管理办公室</w:t>
      </w:r>
      <w:r>
        <w:rPr>
          <w:rFonts w:hint="eastAsia" w:ascii="宋体" w:hAnsi="宋体" w:eastAsia="宋体" w:cs="宋体"/>
          <w:sz w:val="24"/>
          <w:szCs w:val="24"/>
          <w:highlight w:val="none"/>
        </w:rPr>
        <w:t xml:space="preserve">）对工程审核工作有任何工作安排，如资料交接、答疑、会议、踏勘、对账等，相应专职联系人、协审项目负责人及专业工程师务必在60分钟之内到达苏州市相城区黄埭镇人民政府（苏州市相城区黄埭镇财政和资产监督</w:t>
      </w:r>
      <w:r>
        <w:rPr>
          <w:rFonts w:hint="eastAsia" w:ascii="宋体" w:hAnsi="宋体" w:eastAsia="宋体" w:cs="宋体"/>
          <w:sz w:val="24"/>
          <w:szCs w:val="24"/>
          <w:highlight w:val="none"/>
          <w:lang w:eastAsia="zh-CN"/>
        </w:rPr>
        <w:t xml:space="preserve">管理办公室</w:t>
      </w:r>
      <w:r>
        <w:rPr>
          <w:rFonts w:hint="eastAsia" w:ascii="宋体" w:hAnsi="宋体" w:eastAsia="宋体" w:cs="宋体"/>
          <w:sz w:val="24"/>
          <w:szCs w:val="24"/>
          <w:highlight w:val="none"/>
        </w:rPr>
        <w:t xml:space="preserve">）（苏州市相城区康阳大厦）或工程审核项目现场，响应协审工作（交接资料、报送报告、现场踏勘、参加会议、对账等）。</w:t>
      </w:r>
      <w:r/>
    </w:p>
    <w:p>
      <w:pPr>
        <w:ind w:firstLine="42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三、如我公司在服务期内，被发现未在承诺时间内响应协审工作，实质性违背协审响应服务承诺书情况一次的，则苏州市相城区黄埭镇人民政府（苏州市相城区黄埭镇财政和资产监督</w:t>
      </w:r>
      <w:r>
        <w:rPr>
          <w:rFonts w:hint="eastAsia" w:ascii="宋体" w:hAnsi="宋体" w:eastAsia="宋体" w:cs="宋体"/>
          <w:sz w:val="24"/>
          <w:szCs w:val="24"/>
          <w:highlight w:val="none"/>
          <w:lang w:eastAsia="zh-CN"/>
        </w:rPr>
        <w:t xml:space="preserve">管理办公室</w:t>
      </w:r>
      <w:r>
        <w:rPr>
          <w:rFonts w:hint="eastAsia" w:ascii="宋体" w:hAnsi="宋体" w:eastAsia="宋体" w:cs="宋体"/>
          <w:sz w:val="24"/>
          <w:szCs w:val="24"/>
          <w:highlight w:val="none"/>
        </w:rPr>
        <w:t xml:space="preserve">）有权终止我司的协审服务合同，通报行业主管部门或其他相关部门进行处理，并将相关情况报政府采购监督管理部门作为虚假投标的证据。</w:t>
      </w:r>
      <w:r/>
    </w:p>
    <w:p>
      <w:pPr>
        <w:ind w:firstLine="42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四、为满足60分钟协审响应服务时间，我公司派驻协审人员的驻点办公场所地址为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，距离苏州市相城区黄埭镇人民政府（苏州市相城区黄埭镇财政和资产监督</w:t>
      </w:r>
      <w:r>
        <w:rPr>
          <w:rFonts w:hint="eastAsia" w:ascii="宋体" w:hAnsi="宋体" w:eastAsia="宋体" w:cs="宋体"/>
          <w:sz w:val="24"/>
          <w:szCs w:val="24"/>
          <w:highlight w:val="none"/>
          <w:lang w:eastAsia="zh-CN"/>
        </w:rPr>
        <w:t xml:space="preserve">管理办公室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公里</w:t>
      </w:r>
      <w:r>
        <w:rPr>
          <w:rFonts w:hint="eastAsia" w:ascii="宋体" w:hAnsi="宋体" w:eastAsia="宋体" w:cs="宋体"/>
          <w:sz w:val="24"/>
          <w:szCs w:val="24"/>
          <w:highlight w:val="none"/>
        </w:rPr>
        <w:t xml:space="preserve">。如暂无驻点场所，将承诺在中标后1个月内确定规定范围内的驻点办公场所，并向苏州市相城区黄埭镇人民政府（苏州市相城区黄埭镇财政和资产监督</w:t>
      </w:r>
      <w:r>
        <w:rPr>
          <w:rFonts w:hint="eastAsia" w:ascii="宋体" w:hAnsi="宋体" w:eastAsia="宋体" w:cs="宋体"/>
          <w:sz w:val="24"/>
          <w:szCs w:val="24"/>
          <w:highlight w:val="none"/>
          <w:lang w:eastAsia="zh-CN"/>
        </w:rPr>
        <w:t xml:space="preserve">管理办公室</w:t>
      </w:r>
      <w:r>
        <w:rPr>
          <w:rFonts w:hint="eastAsia" w:ascii="宋体" w:hAnsi="宋体" w:eastAsia="宋体" w:cs="宋体"/>
          <w:sz w:val="24"/>
          <w:szCs w:val="24"/>
          <w:highlight w:val="none"/>
        </w:rPr>
        <w:t xml:space="preserve">）备案。我公司将制定完善的人员及组织措施保障协审工作服务响应（详见投标文件响应保障措施），服从苏州市相城区黄埭镇人民政府（苏州市相城区黄埭镇财政和资产监督</w:t>
      </w:r>
      <w:r>
        <w:rPr>
          <w:rFonts w:hint="eastAsia" w:ascii="宋体" w:hAnsi="宋体" w:eastAsia="宋体" w:cs="宋体"/>
          <w:sz w:val="24"/>
          <w:szCs w:val="24"/>
          <w:highlight w:val="none"/>
          <w:lang w:eastAsia="zh-CN"/>
        </w:rPr>
        <w:t xml:space="preserve">管理办公室</w:t>
      </w:r>
      <w:r>
        <w:rPr>
          <w:rFonts w:hint="eastAsia" w:ascii="宋体" w:hAnsi="宋体" w:eastAsia="宋体" w:cs="宋体"/>
          <w:sz w:val="24"/>
          <w:szCs w:val="24"/>
          <w:highlight w:val="none"/>
        </w:rPr>
        <w:t xml:space="preserve">）的管理。</w:t>
      </w:r>
      <w:r/>
    </w:p>
    <w:p>
      <w:pPr>
        <w:ind w:firstLine="420"/>
        <w:jc w:val="left"/>
        <w:pageBreakBefore w:val="0"/>
        <w:spacing w:line="36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rPr>
        <w:t xml:space="preserve">五、</w:t>
      </w:r>
      <w:r>
        <w:rPr>
          <w:rFonts w:hint="eastAsia" w:ascii="宋体" w:hAnsi="宋体" w:eastAsia="宋体" w:cs="宋体"/>
          <w:sz w:val="24"/>
          <w:szCs w:val="24"/>
          <w:highlight w:val="none"/>
          <w:shd w:val="clear" w:color="auto" w:fill="ffffff"/>
        </w:rPr>
        <w:t xml:space="preserve">负责部门：</w:t>
      </w:r>
      <w:r>
        <w:rPr>
          <w:rFonts w:hint="eastAsia" w:ascii="宋体" w:hAnsi="宋体" w:eastAsia="宋体" w:cs="宋体"/>
          <w:sz w:val="24"/>
          <w:szCs w:val="24"/>
          <w:highlight w:val="none"/>
          <w:u w:val="single"/>
          <w:shd w:val="clear" w:color="auto" w:fill="ffffff"/>
        </w:rPr>
        <w:t xml:space="preserve">           </w:t>
      </w:r>
      <w:r>
        <w:rPr>
          <w:rFonts w:hint="eastAsia" w:ascii="宋体" w:hAnsi="宋体" w:eastAsia="宋体" w:cs="宋体"/>
          <w:sz w:val="24"/>
          <w:szCs w:val="24"/>
          <w:highlight w:val="none"/>
          <w:shd w:val="clear" w:color="auto" w:fill="ffffff"/>
        </w:rPr>
        <w:t xml:space="preserve"> 联系人：</w:t>
      </w:r>
      <w:r>
        <w:rPr>
          <w:rFonts w:hint="eastAsia" w:ascii="宋体" w:hAnsi="宋体" w:eastAsia="宋体" w:cs="宋体"/>
          <w:b/>
          <w:bCs/>
          <w:sz w:val="24"/>
          <w:szCs w:val="24"/>
          <w:highlight w:val="none"/>
          <w:u w:val="single"/>
          <w:shd w:val="clear" w:color="auto" w:fill="ffffff"/>
        </w:rPr>
        <w:t xml:space="preserve">     </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shd w:val="clear" w:color="auto" w:fill="ffffff"/>
        </w:rPr>
        <w:t xml:space="preserve">；</w:t>
      </w:r>
      <w:r/>
    </w:p>
    <w:p>
      <w:pPr>
        <w:ind w:firstLine="420"/>
        <w:jc w:val="left"/>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shd w:val="clear" w:color="auto" w:fill="ffffff"/>
        </w:rPr>
        <w:t xml:space="preserve">联系电话（座机及手机号码）：</w:t>
      </w:r>
      <w:r>
        <w:rPr>
          <w:rFonts w:hint="eastAsia" w:ascii="宋体" w:hAnsi="宋体" w:eastAsia="宋体" w:cs="宋体"/>
          <w:sz w:val="24"/>
          <w:szCs w:val="24"/>
          <w:highlight w:val="none"/>
          <w:u w:val="single"/>
          <w:shd w:val="clear" w:color="auto" w:fill="ffffff"/>
        </w:rPr>
        <w:t xml:space="preserve">                    </w:t>
      </w:r>
      <w:r>
        <w:rPr>
          <w:rFonts w:hint="eastAsia" w:ascii="宋体" w:hAnsi="宋体" w:eastAsia="宋体" w:cs="宋体"/>
          <w:sz w:val="24"/>
          <w:szCs w:val="24"/>
          <w:highlight w:val="none"/>
          <w:shd w:val="clear" w:color="auto" w:fill="ffffff"/>
        </w:rPr>
        <w:t xml:space="preserve"> 。</w:t>
      </w:r>
      <w:r/>
    </w:p>
    <w:p>
      <w:pPr>
        <w:ind w:right="420" w:firstLine="42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投标人：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（签章）</w:t>
      </w:r>
      <w:r/>
    </w:p>
    <w:p>
      <w:pPr>
        <w:ind w:right="-58" w:firstLine="42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投标人法定代表人或其授权代理人：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（签字或盖章）</w:t>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lang w:val="zh-CN"/>
        </w:rPr>
        <w:t xml:space="preserve">投标人地址：</w:t>
      </w:r>
      <w:r>
        <w:rPr>
          <w:rFonts w:hint="eastAsia" w:ascii="宋体" w:hAnsi="宋体" w:eastAsia="宋体" w:cs="宋体"/>
          <w:sz w:val="24"/>
          <w:szCs w:val="24"/>
          <w:highlight w:val="none"/>
          <w:u w:val="single"/>
          <w:lang w:val="zh-CN"/>
        </w:rPr>
        <w:t xml:space="preserve">                            </w:t>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lang w:val="zh-CN"/>
        </w:rPr>
        <w:t xml:space="preserve">投标人联系电话：</w:t>
      </w:r>
      <w:r>
        <w:rPr>
          <w:rFonts w:hint="eastAsia" w:ascii="宋体" w:hAnsi="宋体" w:eastAsia="宋体" w:cs="宋体"/>
          <w:sz w:val="24"/>
          <w:szCs w:val="24"/>
          <w:highlight w:val="none"/>
          <w:u w:val="single"/>
          <w:lang w:val="zh-CN"/>
        </w:rPr>
        <w:t xml:space="preserve">                              </w:t>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pStyle w:val="915"/>
        <w:numPr>
          <w:ilvl w:val="2"/>
          <w:numId w:val="0"/>
        </w:numPr>
        <w:pageBreakBefore w:val="0"/>
        <w:spacing w:before="120" w:after="120" w:line="360" w:lineRule="auto"/>
        <w:widowControl w:val="off"/>
        <w:rPr>
          <w:rFonts w:hint="eastAsia" w:ascii="宋体" w:hAnsi="宋体" w:eastAsia="宋体" w:cs="宋体"/>
          <w:b w:val="0"/>
          <w:sz w:val="24"/>
          <w:szCs w:val="24"/>
          <w:highlight w:val="none"/>
          <w:lang w:val="zh-CN"/>
        </w:rPr>
      </w:pPr>
      <w:r/>
      <w:bookmarkStart w:id="48" w:name="_Toc113452449"/>
      <w:r/>
      <w:bookmarkStart w:id="49" w:name="_Toc166075001"/>
      <w:r>
        <w:rPr>
          <w:rFonts w:hint="eastAsia" w:ascii="宋体" w:hAnsi="宋体" w:eastAsia="宋体" w:cs="宋体"/>
          <w:b w:val="0"/>
          <w:sz w:val="24"/>
          <w:szCs w:val="24"/>
          <w:highlight w:val="none"/>
          <w:lang w:val="en-US" w:eastAsia="zh-CN"/>
        </w:rPr>
        <w:t xml:space="preserve">16</w:t>
      </w:r>
      <w:r>
        <w:rPr>
          <w:rFonts w:hint="eastAsia" w:ascii="宋体" w:hAnsi="宋体" w:eastAsia="宋体" w:cs="宋体"/>
          <w:b w:val="0"/>
          <w:sz w:val="24"/>
          <w:szCs w:val="24"/>
          <w:highlight w:val="none"/>
          <w:lang w:val="zh-CN"/>
        </w:rPr>
        <w:t xml:space="preserve">、</w:t>
      </w:r>
      <w:bookmarkEnd w:id="48"/>
      <w:r>
        <w:rPr>
          <w:rFonts w:hint="eastAsia" w:ascii="宋体" w:hAnsi="宋体" w:eastAsia="宋体" w:cs="宋体"/>
          <w:b w:val="0"/>
          <w:sz w:val="24"/>
          <w:szCs w:val="24"/>
          <w:highlight w:val="none"/>
          <w:lang w:val="zh-CN"/>
        </w:rPr>
        <w:t xml:space="preserve">协审人员备案考勤承诺书</w:t>
      </w:r>
      <w:bookmarkEnd w:id="49"/>
      <w:r/>
      <w:r/>
    </w:p>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lang w:val="zh-CN"/>
        </w:rPr>
        <w:t xml:space="preserve">协审人员备案考勤承诺书</w:t>
      </w:r>
      <w:r/>
    </w:p>
    <w:p>
      <w:pPr>
        <w:ind w:firstLine="42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为保证相城区黄埭镇政府及国有（集体）投资工程审计项目协审工作顺利开展和工作效率有效提升，体现协审工作的服务性质，履行协审服务响应承诺，我公司承诺拟投入协审人员安排如下：</w:t>
      </w:r>
      <w:r/>
    </w:p>
    <w:p>
      <w:pPr>
        <w:ind w:firstLine="422"/>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我公司实际将投入一级注册造价工程师</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名、其他造价从业人员</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名参与本招标书范围内的协审服务；</w:t>
      </w:r>
      <w:r>
        <w:rPr>
          <w:rFonts w:hint="eastAsia" w:ascii="宋体" w:hAnsi="宋体" w:eastAsia="宋体" w:cs="宋体"/>
          <w:sz w:val="24"/>
          <w:szCs w:val="24"/>
          <w:highlight w:val="none"/>
        </w:rPr>
        <w:t xml:space="preserve">实际投入人员与本次投标承诺的拟派人员一致。本承诺书承诺的协审人员数量保证与后续附表中造价从业人员一致，如不一致，则同意评标时以较低数量为准。</w:t>
      </w:r>
      <w:r/>
    </w:p>
    <w:p>
      <w:pPr>
        <w:ind w:firstLine="42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我公司承诺投入的协审人员按服务响应承诺提供协审服务，统一向苏州市相城区黄埭镇人民政府（苏州市相城区黄埭镇财政和资产监督</w:t>
      </w:r>
      <w:r>
        <w:rPr>
          <w:rFonts w:hint="eastAsia" w:ascii="宋体" w:hAnsi="宋体" w:eastAsia="宋体" w:cs="宋体"/>
          <w:sz w:val="24"/>
          <w:szCs w:val="24"/>
          <w:highlight w:val="none"/>
          <w:lang w:eastAsia="zh-CN"/>
        </w:rPr>
        <w:t xml:space="preserve">管理办公室</w:t>
      </w:r>
      <w:r>
        <w:rPr>
          <w:rFonts w:hint="eastAsia" w:ascii="宋体" w:hAnsi="宋体" w:eastAsia="宋体" w:cs="宋体"/>
          <w:sz w:val="24"/>
          <w:szCs w:val="24"/>
          <w:highlight w:val="none"/>
        </w:rPr>
        <w:t xml:space="preserve">）报备并接受考勤管理。报备时保证一级注册造价工程师的执业注册信息、社保、档案信息一致，其他造价从业人员的职业资格、社保、档案信息一致。</w:t>
      </w:r>
      <w:r/>
    </w:p>
    <w:p>
      <w:pPr>
        <w:ind w:firstLine="42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承诺服务期内投入的协审人员总数及一级注册造价工程师数量不低于投标承诺。中标后三个月内我公司投入的协审人员与投标承诺人员完全一致。如三个月后我公司需要更换协审人员，将向苏州市相城区黄埭镇人民政府（苏州市相城区黄埭镇财政和资产监督</w:t>
      </w:r>
      <w:r>
        <w:rPr>
          <w:rFonts w:hint="eastAsia" w:ascii="宋体" w:hAnsi="宋体" w:eastAsia="宋体" w:cs="宋体"/>
          <w:sz w:val="24"/>
          <w:szCs w:val="24"/>
          <w:highlight w:val="none"/>
          <w:lang w:eastAsia="zh-CN"/>
        </w:rPr>
        <w:t xml:space="preserve">管理办公室</w:t>
      </w:r>
      <w:r>
        <w:rPr>
          <w:rFonts w:hint="eastAsia" w:ascii="宋体" w:hAnsi="宋体" w:eastAsia="宋体" w:cs="宋体"/>
          <w:sz w:val="24"/>
          <w:szCs w:val="24"/>
          <w:highlight w:val="none"/>
        </w:rPr>
        <w:t xml:space="preserve">）提交申请并满足前述承诺，经苏州市相城区黄埭镇人民政府（苏州市相城区黄埭镇财政和资产监督</w:t>
      </w:r>
      <w:r>
        <w:rPr>
          <w:rFonts w:hint="eastAsia" w:ascii="宋体" w:hAnsi="宋体" w:eastAsia="宋体" w:cs="宋体"/>
          <w:sz w:val="24"/>
          <w:szCs w:val="24"/>
          <w:highlight w:val="none"/>
          <w:lang w:eastAsia="zh-CN"/>
        </w:rPr>
        <w:t xml:space="preserve">管理办公室</w:t>
      </w:r>
      <w:r>
        <w:rPr>
          <w:rFonts w:hint="eastAsia" w:ascii="宋体" w:hAnsi="宋体" w:eastAsia="宋体" w:cs="宋体"/>
          <w:sz w:val="24"/>
          <w:szCs w:val="24"/>
          <w:highlight w:val="none"/>
        </w:rPr>
        <w:t xml:space="preserve">）同意后更换。</w:t>
      </w:r>
      <w:r/>
    </w:p>
    <w:p>
      <w:pPr>
        <w:ind w:firstLine="420"/>
        <w:jc w:val="left"/>
        <w:pageBreakBefore w:val="0"/>
        <w:spacing w:line="36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rPr>
        <w:t xml:space="preserve">我公司拟投入协审人员同意接受苏州市相城区黄埭镇人民政府（苏州市相城区黄埭镇财政和资产监督</w:t>
      </w:r>
      <w:r>
        <w:rPr>
          <w:rFonts w:hint="eastAsia" w:ascii="宋体" w:hAnsi="宋体" w:eastAsia="宋体" w:cs="宋体"/>
          <w:sz w:val="24"/>
          <w:szCs w:val="24"/>
          <w:highlight w:val="none"/>
          <w:lang w:eastAsia="zh-CN"/>
        </w:rPr>
        <w:t xml:space="preserve">管理办公室</w:t>
      </w:r>
      <w:r>
        <w:rPr>
          <w:rFonts w:hint="eastAsia" w:ascii="宋体" w:hAnsi="宋体" w:eastAsia="宋体" w:cs="宋体"/>
          <w:sz w:val="24"/>
          <w:szCs w:val="24"/>
          <w:highlight w:val="none"/>
        </w:rPr>
        <w:t xml:space="preserve">）的备案、考勤等工作管理，并在中标后一个月内完成投入人员的考勤备案登记，服从苏州市相城区黄埭镇人民政府（苏州市相城区黄埭镇财政和资产监督</w:t>
      </w:r>
      <w:r>
        <w:rPr>
          <w:rFonts w:hint="eastAsia" w:ascii="宋体" w:hAnsi="宋体" w:eastAsia="宋体" w:cs="宋体"/>
          <w:sz w:val="24"/>
          <w:szCs w:val="24"/>
          <w:highlight w:val="none"/>
          <w:lang w:eastAsia="zh-CN"/>
        </w:rPr>
        <w:t xml:space="preserve">管理办公室</w:t>
      </w:r>
      <w:r>
        <w:rPr>
          <w:rFonts w:hint="eastAsia" w:ascii="宋体" w:hAnsi="宋体" w:eastAsia="宋体" w:cs="宋体"/>
          <w:sz w:val="24"/>
          <w:szCs w:val="24"/>
          <w:highlight w:val="none"/>
        </w:rPr>
        <w:t xml:space="preserve">）的工作安排。如实际工作中违背本承诺，则苏州市相城区黄埭镇人民政府（苏州市相城区黄埭镇财政和资产监督</w:t>
      </w:r>
      <w:r>
        <w:rPr>
          <w:rFonts w:hint="eastAsia" w:ascii="宋体" w:hAnsi="宋体" w:eastAsia="宋体" w:cs="宋体"/>
          <w:sz w:val="24"/>
          <w:szCs w:val="24"/>
          <w:highlight w:val="none"/>
          <w:lang w:eastAsia="zh-CN"/>
        </w:rPr>
        <w:t xml:space="preserve">管理办公室</w:t>
      </w:r>
      <w:r>
        <w:rPr>
          <w:rFonts w:hint="eastAsia" w:ascii="宋体" w:hAnsi="宋体" w:eastAsia="宋体" w:cs="宋体"/>
          <w:sz w:val="24"/>
          <w:szCs w:val="24"/>
          <w:highlight w:val="none"/>
        </w:rPr>
        <w:t xml:space="preserve">）有权按照本招标文件的相关约定进行惩处。未能满足招标书中协审工作响应要求的，苏州市相城区黄埭镇人民政府（苏州市相城区黄埭镇财政和资产监督</w:t>
      </w:r>
      <w:r>
        <w:rPr>
          <w:rFonts w:hint="eastAsia" w:ascii="宋体" w:hAnsi="宋体" w:eastAsia="宋体" w:cs="宋体"/>
          <w:sz w:val="24"/>
          <w:szCs w:val="24"/>
          <w:highlight w:val="none"/>
          <w:lang w:eastAsia="zh-CN"/>
        </w:rPr>
        <w:t xml:space="preserve">管理办公室</w:t>
      </w:r>
      <w:r>
        <w:rPr>
          <w:rFonts w:hint="eastAsia" w:ascii="宋体" w:hAnsi="宋体" w:eastAsia="宋体" w:cs="宋体"/>
          <w:sz w:val="24"/>
          <w:szCs w:val="24"/>
          <w:highlight w:val="none"/>
        </w:rPr>
        <w:t xml:space="preserve">）有权终止协审服务合同，通报行业主管部门或其他相关部门进行处理，并将相关情况报政府采购监督管理部门作为虚假投标的证据。</w:t>
      </w:r>
      <w:r/>
    </w:p>
    <w:p>
      <w:pPr>
        <w:ind w:firstLine="420"/>
        <w:jc w:val="left"/>
        <w:pageBreakBefore w:val="0"/>
        <w:spacing w:line="36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负责部门：</w:t>
      </w:r>
      <w:r>
        <w:rPr>
          <w:rFonts w:hint="eastAsia" w:ascii="宋体" w:hAnsi="宋体" w:eastAsia="宋体" w:cs="宋体"/>
          <w:sz w:val="24"/>
          <w:szCs w:val="24"/>
          <w:highlight w:val="none"/>
          <w:u w:val="single"/>
          <w:shd w:val="clear" w:color="auto" w:fill="ffffff"/>
        </w:rPr>
        <w:t xml:space="preserve">           </w:t>
      </w:r>
      <w:r>
        <w:rPr>
          <w:rFonts w:hint="eastAsia" w:ascii="宋体" w:hAnsi="宋体" w:eastAsia="宋体" w:cs="宋体"/>
          <w:sz w:val="24"/>
          <w:szCs w:val="24"/>
          <w:highlight w:val="none"/>
          <w:shd w:val="clear" w:color="auto" w:fill="ffffff"/>
        </w:rPr>
        <w:t xml:space="preserve"> 联系人：</w:t>
      </w:r>
      <w:r>
        <w:rPr>
          <w:rFonts w:hint="eastAsia" w:ascii="宋体" w:hAnsi="宋体" w:eastAsia="宋体" w:cs="宋体"/>
          <w:b/>
          <w:bCs/>
          <w:sz w:val="24"/>
          <w:szCs w:val="24"/>
          <w:highlight w:val="none"/>
          <w:u w:val="single"/>
          <w:shd w:val="clear" w:color="auto" w:fill="ffffff"/>
        </w:rPr>
        <w:t xml:space="preserve">     </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shd w:val="clear" w:color="auto" w:fill="ffffff"/>
        </w:rPr>
        <w:t xml:space="preserve">；</w:t>
      </w:r>
      <w:r/>
    </w:p>
    <w:p>
      <w:pPr>
        <w:ind w:firstLine="420"/>
        <w:jc w:val="left"/>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shd w:val="clear" w:color="auto" w:fill="ffffff"/>
        </w:rPr>
        <w:t xml:space="preserve">联系电话（座机及手机号码）：</w:t>
      </w:r>
      <w:r>
        <w:rPr>
          <w:rFonts w:hint="eastAsia" w:ascii="宋体" w:hAnsi="宋体" w:eastAsia="宋体" w:cs="宋体"/>
          <w:sz w:val="24"/>
          <w:szCs w:val="24"/>
          <w:highlight w:val="none"/>
          <w:u w:val="single"/>
          <w:shd w:val="clear" w:color="auto" w:fill="ffffff"/>
        </w:rPr>
        <w:t xml:space="preserve">                    </w:t>
      </w:r>
      <w:r>
        <w:rPr>
          <w:rFonts w:hint="eastAsia" w:ascii="宋体" w:hAnsi="宋体" w:eastAsia="宋体" w:cs="宋体"/>
          <w:sz w:val="24"/>
          <w:szCs w:val="24"/>
          <w:highlight w:val="none"/>
          <w:shd w:val="clear" w:color="auto" w:fill="ffffff"/>
        </w:rPr>
        <w:t xml:space="preserve"> 。</w:t>
      </w:r>
      <w:r/>
    </w:p>
    <w:p>
      <w:pPr>
        <w:ind w:right="420" w:firstLine="42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投标人：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（签章）</w:t>
      </w:r>
      <w:r/>
    </w:p>
    <w:p>
      <w:pPr>
        <w:ind w:right="-28" w:firstLine="42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投标人法定代表人或其</w:t>
      </w:r>
      <w:r>
        <w:rPr>
          <w:rFonts w:hint="eastAsia" w:ascii="宋体" w:hAnsi="宋体" w:eastAsia="宋体" w:cs="宋体"/>
          <w:sz w:val="24"/>
          <w:szCs w:val="24"/>
          <w:highlight w:val="none"/>
        </w:rPr>
        <w:t xml:space="preserve">委托</w:t>
      </w:r>
      <w:r>
        <w:rPr>
          <w:rFonts w:hint="eastAsia" w:ascii="宋体" w:hAnsi="宋体" w:eastAsia="宋体" w:cs="宋体"/>
          <w:sz w:val="24"/>
          <w:szCs w:val="24"/>
          <w:highlight w:val="none"/>
          <w:lang w:val="zh-CN"/>
        </w:rPr>
        <w:t xml:space="preserve">代理人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（签字或盖章）</w:t>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lang w:val="zh-CN"/>
        </w:rPr>
        <w:t xml:space="preserve">投标人地址：</w:t>
      </w:r>
      <w:r>
        <w:rPr>
          <w:rFonts w:hint="eastAsia" w:ascii="宋体" w:hAnsi="宋体" w:eastAsia="宋体" w:cs="宋体"/>
          <w:sz w:val="24"/>
          <w:szCs w:val="24"/>
          <w:highlight w:val="none"/>
          <w:u w:val="single"/>
          <w:lang w:val="zh-CN"/>
        </w:rPr>
        <w:t xml:space="preserve">                            </w:t>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lang w:val="zh-CN"/>
        </w:rPr>
        <w:t xml:space="preserve">投标人联系电话：</w:t>
      </w:r>
      <w:r>
        <w:rPr>
          <w:rFonts w:hint="eastAsia" w:ascii="宋体" w:hAnsi="宋体" w:eastAsia="宋体" w:cs="宋体"/>
          <w:sz w:val="24"/>
          <w:szCs w:val="24"/>
          <w:highlight w:val="none"/>
          <w:u w:val="single"/>
          <w:lang w:val="zh-CN"/>
        </w:rPr>
        <w:t xml:space="preserve">                       </w:t>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lang w:val="zh-CN"/>
        </w:rPr>
        <w:t xml:space="preserve">日期：</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zh-CN"/>
        </w:rPr>
        <w:t xml:space="preserve">  </w:t>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ind w:right="420" w:firstLine="420"/>
        <w:pageBreakBefore w:val="0"/>
        <w:spacing w:line="360" w:lineRule="auto"/>
        <w:widowControl w:val="off"/>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r>
      <w:r/>
    </w:p>
    <w:p>
      <w:pPr>
        <w:pStyle w:val="915"/>
        <w:numPr>
          <w:ilvl w:val="2"/>
          <w:numId w:val="0"/>
        </w:numPr>
        <w:spacing w:before="120" w:after="120" w:line="240" w:lineRule="auto"/>
        <w:rPr>
          <w:rFonts w:hint="eastAsia" w:ascii="宋体" w:hAnsi="宋体" w:eastAsia="宋体" w:cs="宋体"/>
          <w:b w:val="0"/>
          <w:bCs w:val="0"/>
          <w:sz w:val="24"/>
          <w:szCs w:val="24"/>
          <w:highlight w:val="none"/>
          <w:lang w:val="zh-CN" w:eastAsia="zh-CN" w:bidi="ar-SA"/>
        </w:rPr>
      </w:pPr>
      <w:r>
        <w:rPr>
          <w:rFonts w:hint="eastAsia" w:ascii="宋体" w:hAnsi="宋体" w:eastAsia="宋体" w:cs="宋体"/>
          <w:b w:val="0"/>
          <w:bCs w:val="0"/>
          <w:sz w:val="24"/>
          <w:szCs w:val="24"/>
          <w:highlight w:val="none"/>
          <w:lang w:val="en-US" w:eastAsia="zh-CN" w:bidi="ar-SA"/>
        </w:rPr>
        <w:t xml:space="preserve">17、</w:t>
      </w:r>
      <w:r>
        <w:rPr>
          <w:rFonts w:hint="eastAsia" w:ascii="宋体" w:hAnsi="宋体" w:eastAsia="宋体" w:cs="宋体"/>
          <w:b w:val="0"/>
          <w:bCs w:val="0"/>
          <w:sz w:val="24"/>
          <w:szCs w:val="24"/>
          <w:highlight w:val="none"/>
          <w:lang w:val="zh-CN" w:eastAsia="zh-CN" w:bidi="ar-SA"/>
        </w:rPr>
        <w:t xml:space="preserve">声明函</w:t>
      </w:r>
      <w:r/>
    </w:p>
    <w:p>
      <w:pPr>
        <w:spacing w:line="360" w:lineRule="auto"/>
        <w:rPr>
          <w:rFonts w:hint="eastAsia" w:ascii="宋体" w:hAnsi="宋体" w:eastAsia="宋体" w:cs="宋体"/>
          <w:b w:val="0"/>
          <w:bCs w:val="0"/>
          <w:sz w:val="24"/>
          <w:szCs w:val="24"/>
          <w:highlight w:val="none"/>
          <w:lang w:val="zh-CN" w:eastAsia="zh-CN" w:bidi="ar-SA"/>
        </w:rPr>
      </w:pPr>
      <w:r>
        <w:rPr>
          <w:rFonts w:hint="eastAsia" w:ascii="宋体" w:hAnsi="宋体" w:eastAsia="宋体" w:cs="宋体"/>
          <w:b w:val="0"/>
          <w:bCs w:val="0"/>
          <w:sz w:val="24"/>
          <w:szCs w:val="24"/>
          <w:highlight w:val="none"/>
          <w:lang w:val="zh-CN" w:eastAsia="zh-CN" w:bidi="ar-SA"/>
        </w:rPr>
      </w:r>
      <w:r/>
    </w:p>
    <w:p>
      <w:pPr>
        <w:jc w:val="center"/>
        <w:spacing w:line="36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声明函</w:t>
      </w:r>
      <w:r/>
    </w:p>
    <w:p>
      <w:pPr>
        <w:ind w:firstLine="480"/>
        <w:spacing w:line="360" w:lineRule="auto"/>
        <w:rPr>
          <w:rFonts w:hint="eastAsia" w:ascii="宋体" w:hAnsi="宋体" w:eastAsia="宋体" w:cs="宋体"/>
          <w:b w:val="0"/>
          <w:bCs w:val="0"/>
          <w:sz w:val="24"/>
          <w:szCs w:val="24"/>
          <w:highlight w:val="none"/>
          <w:lang w:val="zh-CN" w:eastAsia="zh-CN" w:bidi="ar-SA"/>
        </w:rPr>
      </w:pPr>
      <w:r>
        <w:rPr>
          <w:rFonts w:hint="eastAsia" w:ascii="宋体" w:hAnsi="宋体" w:eastAsia="宋体" w:cs="宋体"/>
          <w:b w:val="0"/>
          <w:bCs w:val="0"/>
          <w:sz w:val="24"/>
          <w:szCs w:val="24"/>
          <w:highlight w:val="none"/>
          <w:lang w:val="zh-CN" w:eastAsia="zh-CN" w:bidi="ar-SA"/>
        </w:rPr>
        <w:t xml:space="preserve">我公司承诺所投</w:t>
      </w:r>
      <w:r>
        <w:rPr>
          <w:rFonts w:hint="eastAsia" w:ascii="宋体" w:hAnsi="宋体" w:eastAsia="宋体" w:cs="宋体"/>
          <w:b w:val="0"/>
          <w:bCs w:val="0"/>
          <w:sz w:val="24"/>
          <w:szCs w:val="24"/>
          <w:highlight w:val="none"/>
          <w:u w:val="single"/>
          <w:lang w:val="zh-CN" w:eastAsia="zh-CN" w:bidi="ar-SA"/>
        </w:rPr>
        <w:t xml:space="preserve">   </w:t>
      </w:r>
      <w:r>
        <w:rPr>
          <w:rFonts w:hint="eastAsia" w:ascii="宋体" w:hAnsi="宋体" w:eastAsia="宋体" w:cs="宋体"/>
          <w:b w:val="0"/>
          <w:bCs w:val="0"/>
          <w:sz w:val="24"/>
          <w:szCs w:val="24"/>
          <w:highlight w:val="none"/>
          <w:lang w:val="zh-CN" w:eastAsia="zh-CN" w:bidi="ar-SA"/>
        </w:rPr>
        <w:t xml:space="preserve">至</w:t>
      </w:r>
      <w:r>
        <w:rPr>
          <w:rFonts w:hint="eastAsia" w:ascii="宋体" w:hAnsi="宋体" w:eastAsia="宋体" w:cs="宋体"/>
          <w:b w:val="0"/>
          <w:bCs w:val="0"/>
          <w:sz w:val="24"/>
          <w:szCs w:val="24"/>
          <w:highlight w:val="none"/>
          <w:u w:val="single"/>
          <w:lang w:val="zh-CN" w:eastAsia="zh-CN" w:bidi="ar-SA"/>
        </w:rPr>
        <w:t xml:space="preserve">   </w:t>
      </w:r>
      <w:r>
        <w:rPr>
          <w:rFonts w:hint="eastAsia" w:ascii="宋体" w:hAnsi="宋体" w:eastAsia="宋体" w:cs="宋体"/>
          <w:b w:val="0"/>
          <w:bCs w:val="0"/>
          <w:sz w:val="24"/>
          <w:szCs w:val="24"/>
          <w:highlight w:val="none"/>
          <w:lang w:val="zh-CN" w:eastAsia="zh-CN" w:bidi="ar-SA"/>
        </w:rPr>
        <w:t xml:space="preserve">标段电子</w:t>
      </w:r>
      <w:r>
        <w:rPr>
          <w:rFonts w:hint="eastAsia" w:ascii="宋体" w:hAnsi="宋体" w:cs="宋体"/>
          <w:b w:val="0"/>
          <w:bCs w:val="0"/>
          <w:sz w:val="24"/>
          <w:szCs w:val="24"/>
          <w:highlight w:val="none"/>
          <w:lang w:val="en-US" w:eastAsia="zh-CN" w:bidi="ar-SA"/>
        </w:rPr>
        <w:t xml:space="preserve">响应</w:t>
      </w:r>
      <w:r>
        <w:rPr>
          <w:rFonts w:hint="eastAsia" w:ascii="宋体" w:hAnsi="宋体" w:eastAsia="宋体" w:cs="宋体"/>
          <w:b w:val="0"/>
          <w:bCs w:val="0"/>
          <w:sz w:val="24"/>
          <w:szCs w:val="24"/>
          <w:highlight w:val="none"/>
          <w:lang w:val="zh-CN" w:eastAsia="zh-CN" w:bidi="ar-SA"/>
        </w:rPr>
        <w:t xml:space="preserve">文件与第一标段内容一致。</w:t>
      </w:r>
      <w:r/>
    </w:p>
    <w:p>
      <w:pPr>
        <w:ind w:firstLine="480"/>
        <w:spacing w:line="360" w:lineRule="auto"/>
        <w:rPr>
          <w:rFonts w:hint="eastAsia" w:ascii="宋体" w:hAnsi="宋体" w:eastAsia="宋体" w:cs="宋体"/>
          <w:b w:val="0"/>
          <w:bCs w:val="0"/>
          <w:sz w:val="24"/>
          <w:szCs w:val="24"/>
          <w:highlight w:val="none"/>
          <w:lang w:val="zh-CN" w:eastAsia="zh-CN" w:bidi="ar-SA"/>
        </w:rPr>
      </w:pPr>
      <w:r>
        <w:rPr>
          <w:rFonts w:hint="eastAsia" w:ascii="宋体" w:hAnsi="宋体" w:eastAsia="宋体" w:cs="宋体"/>
          <w:b w:val="0"/>
          <w:bCs w:val="0"/>
          <w:sz w:val="24"/>
          <w:szCs w:val="24"/>
          <w:highlight w:val="none"/>
          <w:lang w:val="zh-CN" w:eastAsia="zh-CN" w:bidi="ar-SA"/>
        </w:rPr>
      </w:r>
      <w:r/>
    </w:p>
    <w:p>
      <w:pPr>
        <w:ind w:firstLine="210"/>
        <w:spacing w:line="36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zh-CN" w:eastAsia="zh-CN" w:bidi="ar-SA"/>
        </w:rPr>
        <w:t xml:space="preserve">投标人（签章）：</w:t>
      </w:r>
      <w:r/>
    </w:p>
    <w:p>
      <w:pPr>
        <w:ind w:firstLine="210"/>
        <w:spacing w:line="36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zh-CN" w:eastAsia="zh-CN" w:bidi="ar-SA"/>
        </w:rPr>
        <w:t xml:space="preserve">法定代表人或代理人：（签字或签章）</w:t>
      </w:r>
      <w:r/>
    </w:p>
    <w:p>
      <w:pPr>
        <w:ind w:firstLine="210"/>
        <w:spacing w:line="36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zh-CN" w:eastAsia="zh-CN" w:bidi="ar-SA"/>
        </w:rPr>
        <w:t xml:space="preserve">日期：</w:t>
      </w:r>
      <w:r>
        <w:rPr>
          <w:rFonts w:hint="eastAsia" w:ascii="宋体" w:hAnsi="宋体" w:eastAsia="宋体" w:cs="宋体"/>
          <w:b w:val="0"/>
          <w:bCs w:val="0"/>
          <w:sz w:val="24"/>
          <w:szCs w:val="24"/>
          <w:highlight w:val="none"/>
          <w:lang w:val="en-US" w:eastAsia="zh-CN" w:bidi="ar-SA"/>
        </w:rPr>
        <w:t xml:space="preserve">        </w:t>
      </w:r>
      <w:r>
        <w:rPr>
          <w:rFonts w:hint="eastAsia" w:ascii="宋体" w:hAnsi="宋体" w:eastAsia="宋体" w:cs="宋体"/>
          <w:b w:val="0"/>
          <w:bCs w:val="0"/>
          <w:sz w:val="24"/>
          <w:szCs w:val="24"/>
          <w:highlight w:val="none"/>
          <w:lang w:val="zh-CN" w:eastAsia="zh-CN" w:bidi="ar-SA"/>
        </w:rPr>
        <w:t xml:space="preserve">年</w:t>
      </w:r>
      <w:r>
        <w:rPr>
          <w:rFonts w:hint="eastAsia" w:ascii="宋体" w:hAnsi="宋体" w:eastAsia="宋体" w:cs="宋体"/>
          <w:b w:val="0"/>
          <w:bCs w:val="0"/>
          <w:sz w:val="24"/>
          <w:szCs w:val="24"/>
          <w:highlight w:val="none"/>
          <w:lang w:val="en-US" w:eastAsia="zh-CN" w:bidi="ar-SA"/>
        </w:rPr>
        <w:t xml:space="preserve">     </w:t>
      </w:r>
      <w:r>
        <w:rPr>
          <w:rFonts w:hint="eastAsia" w:ascii="宋体" w:hAnsi="宋体" w:eastAsia="宋体" w:cs="宋体"/>
          <w:b w:val="0"/>
          <w:bCs w:val="0"/>
          <w:sz w:val="24"/>
          <w:szCs w:val="24"/>
          <w:highlight w:val="none"/>
          <w:lang w:val="zh-CN" w:eastAsia="zh-CN" w:bidi="ar-SA"/>
        </w:rPr>
        <w:t xml:space="preserve">月</w:t>
      </w:r>
      <w:r>
        <w:rPr>
          <w:rFonts w:hint="eastAsia" w:ascii="宋体" w:hAnsi="宋体" w:eastAsia="宋体" w:cs="宋体"/>
          <w:b w:val="0"/>
          <w:bCs w:val="0"/>
          <w:sz w:val="24"/>
          <w:szCs w:val="24"/>
          <w:highlight w:val="none"/>
          <w:lang w:val="en-US" w:eastAsia="zh-CN" w:bidi="ar-SA"/>
        </w:rPr>
        <w:t xml:space="preserve">     </w:t>
      </w:r>
      <w:r>
        <w:rPr>
          <w:rFonts w:hint="eastAsia" w:ascii="宋体" w:hAnsi="宋体" w:eastAsia="宋体" w:cs="宋体"/>
          <w:b w:val="0"/>
          <w:bCs w:val="0"/>
          <w:sz w:val="24"/>
          <w:szCs w:val="24"/>
          <w:highlight w:val="none"/>
          <w:lang w:val="zh-CN" w:eastAsia="zh-CN" w:bidi="ar-SA"/>
        </w:rPr>
        <w:t xml:space="preserve">日</w:t>
      </w:r>
      <w:r/>
    </w:p>
    <w:p>
      <w:pPr>
        <w:ind w:right="420" w:firstLine="420"/>
        <w:pageBreakBefore w:val="0"/>
        <w:spacing w:line="360" w:lineRule="auto"/>
        <w:widowControl w:val="off"/>
        <w:rPr>
          <w:rFonts w:hint="default" w:ascii="宋体" w:hAnsi="宋体" w:eastAsia="宋体" w:cs="宋体"/>
          <w:sz w:val="24"/>
          <w:szCs w:val="24"/>
          <w:highlight w:val="none"/>
          <w:u w:val="single"/>
          <w:lang w:val="en-US" w:eastAsia="zh-CN"/>
        </w:rPr>
      </w:pPr>
      <w:r>
        <w:rPr>
          <w:rFonts w:hint="default" w:ascii="宋体" w:hAnsi="宋体" w:eastAsia="宋体" w:cs="宋体"/>
          <w:sz w:val="24"/>
          <w:szCs w:val="24"/>
          <w:highlight w:val="none"/>
          <w:u w:val="single"/>
          <w:lang w:val="en-US" w:eastAsia="zh-CN"/>
        </w:rPr>
      </w:r>
      <w:r/>
    </w:p>
    <w:p>
      <w:pPr>
        <w:ind w:right="420" w:firstLine="420"/>
        <w:pageBreakBefore w:val="0"/>
        <w:spacing w:line="360" w:lineRule="auto"/>
        <w:widowControl w:val="off"/>
        <w:rPr>
          <w:rFonts w:hint="default" w:ascii="宋体" w:hAnsi="宋体" w:eastAsia="宋体" w:cs="宋体"/>
          <w:sz w:val="24"/>
          <w:szCs w:val="24"/>
          <w:highlight w:val="none"/>
          <w:u w:val="single"/>
          <w:lang w:val="en-US" w:eastAsia="zh-CN"/>
        </w:rPr>
      </w:pPr>
      <w:r>
        <w:rPr>
          <w:rFonts w:hint="default" w:ascii="宋体" w:hAnsi="宋体" w:eastAsia="宋体" w:cs="宋体"/>
          <w:sz w:val="24"/>
          <w:szCs w:val="24"/>
          <w:highlight w:val="none"/>
          <w:u w:val="single"/>
          <w:lang w:val="en-US" w:eastAsia="zh-CN"/>
        </w:rPr>
      </w:r>
      <w:r/>
    </w:p>
    <w:p>
      <w:pPr>
        <w:ind w:right="420" w:firstLine="420"/>
        <w:pageBreakBefore w:val="0"/>
        <w:spacing w:line="360" w:lineRule="auto"/>
        <w:widowControl w:val="off"/>
        <w:rPr>
          <w:rFonts w:hint="default" w:ascii="宋体" w:hAnsi="宋体" w:eastAsia="宋体" w:cs="宋体"/>
          <w:sz w:val="24"/>
          <w:szCs w:val="24"/>
          <w:highlight w:val="none"/>
          <w:u w:val="single"/>
          <w:lang w:val="en-US" w:eastAsia="zh-CN"/>
        </w:rPr>
      </w:pPr>
      <w:r>
        <w:rPr>
          <w:rFonts w:hint="default" w:ascii="宋体" w:hAnsi="宋体" w:eastAsia="宋体" w:cs="宋体"/>
          <w:sz w:val="24"/>
          <w:szCs w:val="24"/>
          <w:highlight w:val="none"/>
          <w:u w:val="single"/>
          <w:lang w:val="en-US" w:eastAsia="zh-CN"/>
        </w:rPr>
      </w:r>
      <w:r/>
    </w:p>
    <w:p>
      <w:pPr>
        <w:ind w:right="420" w:firstLine="420"/>
        <w:pageBreakBefore w:val="0"/>
        <w:spacing w:line="360" w:lineRule="auto"/>
        <w:widowControl w:val="off"/>
        <w:rPr>
          <w:rFonts w:hint="default" w:ascii="宋体" w:hAnsi="宋体" w:eastAsia="宋体" w:cs="宋体"/>
          <w:sz w:val="24"/>
          <w:szCs w:val="24"/>
          <w:highlight w:val="none"/>
          <w:u w:val="single"/>
          <w:lang w:val="en-US" w:eastAsia="zh-CN"/>
        </w:rPr>
      </w:pPr>
      <w:r>
        <w:rPr>
          <w:rFonts w:hint="default" w:ascii="宋体" w:hAnsi="宋体" w:eastAsia="宋体" w:cs="宋体"/>
          <w:sz w:val="24"/>
          <w:szCs w:val="24"/>
          <w:highlight w:val="none"/>
          <w:u w:val="single"/>
          <w:lang w:val="en-US" w:eastAsia="zh-CN"/>
        </w:rPr>
      </w:r>
      <w:r/>
    </w:p>
    <w:p>
      <w:pPr>
        <w:ind w:right="420" w:firstLine="420"/>
        <w:pageBreakBefore w:val="0"/>
        <w:spacing w:line="360" w:lineRule="auto"/>
        <w:widowControl w:val="off"/>
        <w:rPr>
          <w:rFonts w:hint="default" w:ascii="宋体" w:hAnsi="宋体" w:eastAsia="宋体" w:cs="宋体"/>
          <w:sz w:val="24"/>
          <w:szCs w:val="24"/>
          <w:highlight w:val="none"/>
          <w:u w:val="single"/>
          <w:lang w:val="en-US" w:eastAsia="zh-CN"/>
        </w:rPr>
      </w:pPr>
      <w:r>
        <w:rPr>
          <w:rFonts w:hint="default" w:ascii="宋体" w:hAnsi="宋体" w:eastAsia="宋体" w:cs="宋体"/>
          <w:sz w:val="24"/>
          <w:szCs w:val="24"/>
          <w:highlight w:val="none"/>
          <w:u w:val="single"/>
          <w:lang w:val="en-US" w:eastAsia="zh-CN"/>
        </w:rPr>
      </w:r>
      <w:r/>
    </w:p>
    <w:p>
      <w:pPr>
        <w:ind w:right="420" w:firstLine="420"/>
        <w:pageBreakBefore w:val="0"/>
        <w:spacing w:line="360" w:lineRule="auto"/>
        <w:widowControl w:val="off"/>
        <w:rPr>
          <w:rFonts w:hint="default" w:ascii="宋体" w:hAnsi="宋体" w:eastAsia="宋体" w:cs="宋体"/>
          <w:sz w:val="24"/>
          <w:szCs w:val="24"/>
          <w:highlight w:val="none"/>
          <w:u w:val="single"/>
          <w:lang w:val="en-US" w:eastAsia="zh-CN"/>
        </w:rPr>
      </w:pPr>
      <w:r>
        <w:rPr>
          <w:rFonts w:hint="default" w:ascii="宋体" w:hAnsi="宋体" w:eastAsia="宋体" w:cs="宋体"/>
          <w:sz w:val="24"/>
          <w:szCs w:val="24"/>
          <w:highlight w:val="none"/>
          <w:u w:val="single"/>
          <w:lang w:val="en-US" w:eastAsia="zh-CN"/>
        </w:rPr>
      </w:r>
      <w:r/>
    </w:p>
    <w:p>
      <w:pPr>
        <w:ind w:right="420" w:firstLine="420"/>
        <w:pageBreakBefore w:val="0"/>
        <w:spacing w:line="360" w:lineRule="auto"/>
        <w:widowControl w:val="off"/>
        <w:rPr>
          <w:rFonts w:hint="default" w:ascii="宋体" w:hAnsi="宋体" w:eastAsia="宋体" w:cs="宋体"/>
          <w:sz w:val="24"/>
          <w:szCs w:val="24"/>
          <w:highlight w:val="none"/>
          <w:u w:val="single"/>
          <w:lang w:val="en-US" w:eastAsia="zh-CN"/>
        </w:rPr>
      </w:pPr>
      <w:r>
        <w:rPr>
          <w:rFonts w:hint="default" w:ascii="宋体" w:hAnsi="宋体" w:eastAsia="宋体" w:cs="宋体"/>
          <w:sz w:val="24"/>
          <w:szCs w:val="24"/>
          <w:highlight w:val="none"/>
          <w:u w:val="single"/>
          <w:lang w:val="en-US" w:eastAsia="zh-CN"/>
        </w:rPr>
      </w:r>
      <w:r/>
    </w:p>
    <w:p>
      <w:pPr>
        <w:ind w:right="420" w:firstLine="420"/>
        <w:pageBreakBefore w:val="0"/>
        <w:spacing w:line="360" w:lineRule="auto"/>
        <w:widowControl w:val="off"/>
        <w:rPr>
          <w:rFonts w:hint="default" w:ascii="宋体" w:hAnsi="宋体" w:eastAsia="宋体" w:cs="宋体"/>
          <w:sz w:val="24"/>
          <w:szCs w:val="24"/>
          <w:highlight w:val="none"/>
          <w:u w:val="single"/>
          <w:lang w:val="en-US" w:eastAsia="zh-CN"/>
        </w:rPr>
      </w:pPr>
      <w:r>
        <w:rPr>
          <w:rFonts w:hint="default" w:ascii="宋体" w:hAnsi="宋体" w:eastAsia="宋体" w:cs="宋体"/>
          <w:sz w:val="24"/>
          <w:szCs w:val="24"/>
          <w:highlight w:val="none"/>
          <w:u w:val="single"/>
          <w:lang w:val="en-US" w:eastAsia="zh-CN"/>
        </w:rPr>
      </w:r>
      <w:r/>
    </w:p>
    <w:p>
      <w:pPr>
        <w:ind w:right="420" w:firstLine="420"/>
        <w:pageBreakBefore w:val="0"/>
        <w:spacing w:line="360" w:lineRule="auto"/>
        <w:widowControl w:val="off"/>
        <w:rPr>
          <w:rFonts w:hint="default" w:ascii="宋体" w:hAnsi="宋体" w:eastAsia="宋体" w:cs="宋体"/>
          <w:sz w:val="24"/>
          <w:szCs w:val="24"/>
          <w:highlight w:val="none"/>
          <w:u w:val="single"/>
          <w:lang w:val="en-US" w:eastAsia="zh-CN"/>
        </w:rPr>
      </w:pPr>
      <w:r>
        <w:rPr>
          <w:rFonts w:hint="default" w:ascii="宋体" w:hAnsi="宋体" w:eastAsia="宋体" w:cs="宋体"/>
          <w:sz w:val="24"/>
          <w:szCs w:val="24"/>
          <w:highlight w:val="none"/>
          <w:u w:val="single"/>
          <w:lang w:val="en-US" w:eastAsia="zh-CN"/>
        </w:rPr>
      </w:r>
      <w:r/>
    </w:p>
    <w:p>
      <w:pPr>
        <w:ind w:right="420" w:firstLine="420"/>
        <w:pageBreakBefore w:val="0"/>
        <w:spacing w:line="360" w:lineRule="auto"/>
        <w:widowControl w:val="off"/>
        <w:rPr>
          <w:rFonts w:hint="default" w:ascii="宋体" w:hAnsi="宋体" w:eastAsia="宋体" w:cs="宋体"/>
          <w:sz w:val="24"/>
          <w:szCs w:val="24"/>
          <w:highlight w:val="none"/>
          <w:u w:val="single"/>
          <w:lang w:val="en-US" w:eastAsia="zh-CN"/>
        </w:rPr>
      </w:pPr>
      <w:r>
        <w:rPr>
          <w:rFonts w:hint="default" w:ascii="宋体" w:hAnsi="宋体" w:eastAsia="宋体" w:cs="宋体"/>
          <w:sz w:val="24"/>
          <w:szCs w:val="24"/>
          <w:highlight w:val="none"/>
          <w:u w:val="single"/>
          <w:lang w:val="en-US" w:eastAsia="zh-CN"/>
        </w:rPr>
      </w:r>
      <w:r/>
    </w:p>
    <w:p>
      <w:pPr>
        <w:ind w:right="420" w:firstLine="420"/>
        <w:pageBreakBefore w:val="0"/>
        <w:spacing w:line="360" w:lineRule="auto"/>
        <w:widowControl w:val="off"/>
        <w:rPr>
          <w:rFonts w:hint="default" w:ascii="宋体" w:hAnsi="宋体" w:eastAsia="宋体" w:cs="宋体"/>
          <w:sz w:val="24"/>
          <w:szCs w:val="24"/>
          <w:highlight w:val="none"/>
          <w:u w:val="single"/>
          <w:lang w:val="en-US" w:eastAsia="zh-CN"/>
        </w:rPr>
      </w:pPr>
      <w:r>
        <w:rPr>
          <w:rFonts w:hint="default" w:ascii="宋体" w:hAnsi="宋体" w:eastAsia="宋体" w:cs="宋体"/>
          <w:sz w:val="24"/>
          <w:szCs w:val="24"/>
          <w:highlight w:val="none"/>
          <w:u w:val="single"/>
          <w:lang w:val="en-US" w:eastAsia="zh-CN"/>
        </w:rPr>
      </w:r>
      <w:r/>
    </w:p>
    <w:p>
      <w:pPr>
        <w:ind w:right="420" w:firstLine="420"/>
        <w:pageBreakBefore w:val="0"/>
        <w:spacing w:line="360" w:lineRule="auto"/>
        <w:widowControl w:val="off"/>
        <w:rPr>
          <w:rFonts w:hint="default" w:ascii="宋体" w:hAnsi="宋体" w:eastAsia="宋体" w:cs="宋体"/>
          <w:sz w:val="24"/>
          <w:szCs w:val="24"/>
          <w:highlight w:val="none"/>
          <w:u w:val="single"/>
          <w:lang w:val="en-US" w:eastAsia="zh-CN"/>
        </w:rPr>
      </w:pPr>
      <w:r>
        <w:rPr>
          <w:rFonts w:hint="default" w:ascii="宋体" w:hAnsi="宋体" w:eastAsia="宋体" w:cs="宋体"/>
          <w:sz w:val="24"/>
          <w:szCs w:val="24"/>
          <w:highlight w:val="none"/>
          <w:u w:val="single"/>
          <w:lang w:val="en-US" w:eastAsia="zh-CN"/>
        </w:rPr>
      </w:r>
      <w:r/>
    </w:p>
    <w:p>
      <w:pPr>
        <w:ind w:right="420" w:firstLine="420"/>
        <w:pageBreakBefore w:val="0"/>
        <w:spacing w:line="360" w:lineRule="auto"/>
        <w:widowControl w:val="off"/>
        <w:rPr>
          <w:rFonts w:hint="default" w:ascii="宋体" w:hAnsi="宋体" w:eastAsia="宋体" w:cs="宋体"/>
          <w:sz w:val="24"/>
          <w:szCs w:val="24"/>
          <w:highlight w:val="none"/>
          <w:u w:val="single"/>
          <w:lang w:val="en-US" w:eastAsia="zh-CN"/>
        </w:rPr>
      </w:pPr>
      <w:r>
        <w:rPr>
          <w:rFonts w:hint="default" w:ascii="宋体" w:hAnsi="宋体" w:eastAsia="宋体" w:cs="宋体"/>
          <w:sz w:val="24"/>
          <w:szCs w:val="24"/>
          <w:highlight w:val="none"/>
          <w:u w:val="single"/>
          <w:lang w:val="en-US" w:eastAsia="zh-CN"/>
        </w:rPr>
      </w:r>
      <w:r/>
    </w:p>
    <w:p>
      <w:pPr>
        <w:ind w:right="420" w:firstLine="420"/>
        <w:pageBreakBefore w:val="0"/>
        <w:spacing w:line="360" w:lineRule="auto"/>
        <w:widowControl w:val="off"/>
        <w:rPr>
          <w:rFonts w:hint="default" w:ascii="宋体" w:hAnsi="宋体" w:eastAsia="宋体" w:cs="宋体"/>
          <w:sz w:val="24"/>
          <w:szCs w:val="24"/>
          <w:highlight w:val="none"/>
          <w:u w:val="single"/>
          <w:lang w:val="en-US" w:eastAsia="zh-CN"/>
        </w:rPr>
      </w:pPr>
      <w:r>
        <w:rPr>
          <w:rFonts w:hint="default" w:ascii="宋体" w:hAnsi="宋体" w:eastAsia="宋体" w:cs="宋体"/>
          <w:sz w:val="24"/>
          <w:szCs w:val="24"/>
          <w:highlight w:val="none"/>
          <w:u w:val="single"/>
          <w:lang w:val="en-US" w:eastAsia="zh-CN"/>
        </w:rPr>
      </w:r>
      <w:r/>
    </w:p>
    <w:p>
      <w:pPr>
        <w:ind w:right="420" w:firstLine="420"/>
        <w:pageBreakBefore w:val="0"/>
        <w:spacing w:line="360" w:lineRule="auto"/>
        <w:widowControl w:val="off"/>
        <w:rPr>
          <w:rFonts w:hint="default" w:ascii="宋体" w:hAnsi="宋体" w:eastAsia="宋体" w:cs="宋体"/>
          <w:sz w:val="24"/>
          <w:szCs w:val="24"/>
          <w:highlight w:val="none"/>
          <w:u w:val="single"/>
          <w:lang w:val="en-US" w:eastAsia="zh-CN"/>
        </w:rPr>
      </w:pPr>
      <w:r>
        <w:rPr>
          <w:rFonts w:hint="default" w:ascii="宋体" w:hAnsi="宋体" w:eastAsia="宋体" w:cs="宋体"/>
          <w:sz w:val="24"/>
          <w:szCs w:val="24"/>
          <w:highlight w:val="none"/>
          <w:u w:val="single"/>
          <w:lang w:val="en-US" w:eastAsia="zh-CN"/>
        </w:rPr>
      </w:r>
      <w:r/>
    </w:p>
    <w:p>
      <w:pPr>
        <w:ind w:right="420" w:firstLine="420"/>
        <w:pageBreakBefore w:val="0"/>
        <w:spacing w:line="360" w:lineRule="auto"/>
        <w:widowControl w:val="off"/>
        <w:rPr>
          <w:rFonts w:hint="default" w:ascii="宋体" w:hAnsi="宋体" w:eastAsia="宋体" w:cs="宋体"/>
          <w:sz w:val="24"/>
          <w:szCs w:val="24"/>
          <w:highlight w:val="none"/>
          <w:u w:val="single"/>
          <w:lang w:val="en-US" w:eastAsia="zh-CN"/>
        </w:rPr>
      </w:pPr>
      <w:r>
        <w:rPr>
          <w:rFonts w:hint="default" w:ascii="宋体" w:hAnsi="宋体" w:eastAsia="宋体" w:cs="宋体"/>
          <w:sz w:val="24"/>
          <w:szCs w:val="24"/>
          <w:highlight w:val="none"/>
          <w:u w:val="single"/>
          <w:lang w:val="en-US" w:eastAsia="zh-CN"/>
        </w:rPr>
      </w:r>
      <w:r/>
    </w:p>
    <w:p>
      <w:pPr>
        <w:ind w:right="420" w:firstLine="420"/>
        <w:pageBreakBefore w:val="0"/>
        <w:spacing w:line="360" w:lineRule="auto"/>
        <w:widowControl w:val="off"/>
        <w:rPr>
          <w:rFonts w:hint="default" w:ascii="宋体" w:hAnsi="宋体" w:eastAsia="宋体" w:cs="宋体"/>
          <w:sz w:val="24"/>
          <w:szCs w:val="24"/>
          <w:highlight w:val="none"/>
          <w:u w:val="single"/>
          <w:lang w:val="en-US" w:eastAsia="zh-CN"/>
        </w:rPr>
      </w:pPr>
      <w:r>
        <w:rPr>
          <w:rFonts w:hint="default" w:ascii="宋体" w:hAnsi="宋体" w:eastAsia="宋体" w:cs="宋体"/>
          <w:sz w:val="24"/>
          <w:szCs w:val="24"/>
          <w:highlight w:val="none"/>
          <w:u w:val="single"/>
          <w:lang w:val="en-US" w:eastAsia="zh-CN"/>
        </w:rPr>
      </w:r>
      <w:r/>
    </w:p>
    <w:p>
      <w:pPr>
        <w:ind w:right="420" w:firstLine="420"/>
        <w:pageBreakBefore w:val="0"/>
        <w:spacing w:line="360" w:lineRule="auto"/>
        <w:widowControl w:val="off"/>
        <w:rPr>
          <w:rFonts w:hint="default" w:ascii="宋体" w:hAnsi="宋体" w:eastAsia="宋体" w:cs="宋体"/>
          <w:sz w:val="24"/>
          <w:szCs w:val="24"/>
          <w:highlight w:val="none"/>
          <w:u w:val="single"/>
          <w:lang w:val="en-US" w:eastAsia="zh-CN"/>
        </w:rPr>
      </w:pPr>
      <w:r>
        <w:rPr>
          <w:rFonts w:hint="default" w:ascii="宋体" w:hAnsi="宋体" w:eastAsia="宋体" w:cs="宋体"/>
          <w:sz w:val="24"/>
          <w:szCs w:val="24"/>
          <w:highlight w:val="none"/>
          <w:u w:val="single"/>
          <w:lang w:val="en-US" w:eastAsia="zh-CN"/>
        </w:rPr>
      </w:r>
      <w:r/>
    </w:p>
    <w:p>
      <w:pPr>
        <w:ind w:right="420" w:firstLine="420"/>
        <w:pageBreakBefore w:val="0"/>
        <w:spacing w:line="360" w:lineRule="auto"/>
        <w:widowControl w:val="off"/>
        <w:rPr>
          <w:rFonts w:hint="default" w:ascii="宋体" w:hAnsi="宋体" w:eastAsia="宋体" w:cs="宋体"/>
          <w:sz w:val="24"/>
          <w:szCs w:val="24"/>
          <w:highlight w:val="none"/>
          <w:u w:val="single"/>
          <w:lang w:val="en-US" w:eastAsia="zh-CN"/>
        </w:rPr>
      </w:pPr>
      <w:r>
        <w:rPr>
          <w:rFonts w:hint="default" w:ascii="宋体" w:hAnsi="宋体" w:eastAsia="宋体" w:cs="宋体"/>
          <w:sz w:val="24"/>
          <w:szCs w:val="24"/>
          <w:highlight w:val="none"/>
          <w:u w:val="single"/>
          <w:lang w:val="en-US" w:eastAsia="zh-CN"/>
        </w:rPr>
      </w:r>
      <w:r/>
    </w:p>
    <w:p>
      <w:pPr>
        <w:ind w:right="420" w:firstLine="420"/>
        <w:pageBreakBefore w:val="0"/>
        <w:spacing w:line="360" w:lineRule="auto"/>
        <w:widowControl w:val="off"/>
        <w:rPr>
          <w:rFonts w:hint="default" w:ascii="宋体" w:hAnsi="宋体" w:eastAsia="宋体" w:cs="宋体"/>
          <w:sz w:val="24"/>
          <w:szCs w:val="24"/>
          <w:highlight w:val="none"/>
          <w:u w:val="single"/>
          <w:lang w:val="en-US" w:eastAsia="zh-CN"/>
        </w:rPr>
      </w:pPr>
      <w:r>
        <w:rPr>
          <w:rFonts w:hint="default" w:ascii="宋体" w:hAnsi="宋体" w:eastAsia="宋体" w:cs="宋体"/>
          <w:sz w:val="24"/>
          <w:szCs w:val="24"/>
          <w:highlight w:val="none"/>
          <w:u w:val="single"/>
          <w:lang w:val="en-US" w:eastAsia="zh-CN"/>
        </w:rPr>
      </w:r>
      <w:r/>
    </w:p>
    <w:p>
      <w:pPr>
        <w:ind w:right="420" w:firstLine="420"/>
        <w:pageBreakBefore w:val="0"/>
        <w:spacing w:line="360" w:lineRule="auto"/>
        <w:widowControl w:val="off"/>
        <w:rPr>
          <w:rFonts w:hint="default" w:ascii="宋体" w:hAnsi="宋体" w:eastAsia="宋体" w:cs="宋体"/>
          <w:sz w:val="24"/>
          <w:szCs w:val="24"/>
          <w:highlight w:val="none"/>
          <w:u w:val="single"/>
          <w:lang w:val="en-US" w:eastAsia="zh-CN"/>
        </w:rPr>
      </w:pPr>
      <w:r>
        <w:rPr>
          <w:rFonts w:hint="default" w:ascii="宋体" w:hAnsi="宋体" w:eastAsia="宋体" w:cs="宋体"/>
          <w:sz w:val="24"/>
          <w:szCs w:val="24"/>
          <w:highlight w:val="none"/>
          <w:u w:val="single"/>
          <w:lang w:val="en-US" w:eastAsia="zh-CN"/>
        </w:rPr>
      </w:r>
      <w:r/>
    </w:p>
    <w:p>
      <w:pPr>
        <w:ind w:right="420" w:firstLine="420"/>
        <w:pageBreakBefore w:val="0"/>
        <w:spacing w:line="360" w:lineRule="auto"/>
        <w:widowControl w:val="off"/>
        <w:rPr>
          <w:rFonts w:hint="default" w:ascii="宋体" w:hAnsi="宋体" w:eastAsia="宋体" w:cs="宋体"/>
          <w:sz w:val="24"/>
          <w:szCs w:val="24"/>
          <w:highlight w:val="none"/>
          <w:u w:val="single"/>
          <w:lang w:val="en-US" w:eastAsia="zh-CN"/>
        </w:rPr>
      </w:pPr>
      <w:r>
        <w:rPr>
          <w:rFonts w:hint="default" w:ascii="宋体" w:hAnsi="宋体" w:eastAsia="宋体" w:cs="宋体"/>
          <w:sz w:val="24"/>
          <w:szCs w:val="24"/>
          <w:highlight w:val="none"/>
          <w:u w:val="single"/>
          <w:lang w:val="en-US" w:eastAsia="zh-CN"/>
        </w:rPr>
      </w:r>
      <w:r/>
    </w:p>
    <w:p>
      <w:pPr>
        <w:ind w:right="420"/>
        <w:pageBreakBefore w:val="0"/>
        <w:spacing w:line="360" w:lineRule="auto"/>
        <w:widowControl w:val="off"/>
        <w:rPr>
          <w:rFonts w:hint="default" w:ascii="宋体" w:hAnsi="宋体" w:eastAsia="宋体" w:cs="宋体"/>
          <w:sz w:val="24"/>
          <w:szCs w:val="24"/>
          <w:highlight w:val="none"/>
          <w:u w:val="single"/>
          <w:lang w:val="en-US" w:eastAsia="zh-CN"/>
        </w:rPr>
      </w:pPr>
      <w:r>
        <w:rPr>
          <w:rFonts w:hint="default" w:ascii="宋体" w:hAnsi="宋体" w:eastAsia="宋体" w:cs="宋体"/>
          <w:sz w:val="24"/>
          <w:szCs w:val="24"/>
          <w:highlight w:val="none"/>
          <w:u w:val="single"/>
          <w:lang w:val="en-US" w:eastAsia="zh-CN"/>
        </w:rPr>
      </w:r>
      <w:r/>
    </w:p>
    <w:p>
      <w:pPr>
        <w:pStyle w:val="915"/>
        <w:numPr>
          <w:ilvl w:val="2"/>
          <w:numId w:val="0"/>
        </w:numPr>
        <w:spacing w:before="120" w:after="120" w:line="240" w:lineRule="auto"/>
        <w:rPr>
          <w:rFonts w:hint="eastAsia" w:ascii="宋体" w:hAnsi="宋体" w:eastAsia="宋体" w:cs="宋体"/>
          <w:b w:val="0"/>
          <w:sz w:val="24"/>
          <w:szCs w:val="24"/>
          <w:highlight w:val="none"/>
          <w:lang w:val="zh-CN"/>
        </w:rPr>
      </w:pPr>
      <w:r>
        <w:rPr>
          <w:rFonts w:hint="eastAsia" w:ascii="宋体" w:hAnsi="宋体" w:eastAsia="宋体" w:cs="宋体"/>
          <w:b w:val="0"/>
          <w:sz w:val="24"/>
          <w:szCs w:val="24"/>
          <w:highlight w:val="none"/>
          <w:lang w:val="zh-CN"/>
        </w:rPr>
        <w:t xml:space="preserve">附件一、《苏州市相城区黄埭镇人民政府（苏州市相城区黄埭镇财政和资产监督管理办公室）关于政府及国有（集体）投资工程审计工作操作规程》</w:t>
      </w:r>
      <w:bookmarkEnd w:id="47"/>
      <w:r/>
      <w:r/>
    </w:p>
    <w:p>
      <w:pP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第一条</w:t>
      </w:r>
      <w:r>
        <w:rPr>
          <w:rFonts w:hint="eastAsia" w:ascii="宋体" w:hAnsi="宋体" w:eastAsia="宋体" w:cs="宋体"/>
          <w:sz w:val="24"/>
          <w:szCs w:val="24"/>
          <w:highlight w:val="none"/>
        </w:rPr>
        <w:t xml:space="preserve">为了进一步规范社会审计机构参与政府及集体投资工程审计工作行为，提高工作质量，根据《中华人民共和国审计法》、《江苏省审计厅关于进一步完善和规范投资审计工作的实施意见》（苏审发〔2018〕57号）、《江苏省审计机关投资审计操作指引（试行）》（苏审办法〔2018〕17号）、《苏州市公共工程审计监督办法》（苏府规字〔2019〕2号）、《苏州市相城区审计局关于政府投资工程审计工作操作规程》等有关规定，制定本规程。</w:t>
      </w:r>
      <w:r/>
    </w:p>
    <w:p>
      <w:pP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第二条</w:t>
      </w:r>
      <w:r>
        <w:rPr>
          <w:rFonts w:hint="eastAsia" w:ascii="宋体" w:hAnsi="宋体" w:eastAsia="宋体" w:cs="宋体"/>
          <w:sz w:val="24"/>
          <w:szCs w:val="24"/>
          <w:highlight w:val="none"/>
        </w:rPr>
        <w:t xml:space="preserve">本规程所称社会审计机构是指参与政府及国有（集体）投资工程审计业务的工程造价咨询单位。社会审计机构应接受苏州市相城区黄埭镇人民政府（苏州市相城区黄埭镇财政和资产监督</w:t>
      </w:r>
      <w:r>
        <w:rPr>
          <w:rFonts w:hint="eastAsia" w:ascii="宋体" w:hAnsi="宋体" w:eastAsia="宋体" w:cs="宋体"/>
          <w:sz w:val="24"/>
          <w:szCs w:val="24"/>
          <w:highlight w:val="none"/>
          <w:lang w:eastAsia="zh-CN"/>
        </w:rPr>
        <w:t xml:space="preserve">管理办公室</w:t>
      </w:r>
      <w:r>
        <w:rPr>
          <w:rFonts w:hint="eastAsia" w:ascii="宋体" w:hAnsi="宋体" w:eastAsia="宋体" w:cs="宋体"/>
          <w:sz w:val="24"/>
          <w:szCs w:val="24"/>
          <w:highlight w:val="none"/>
        </w:rPr>
        <w:t xml:space="preserve">）的指导和监督。</w:t>
      </w:r>
      <w:r/>
    </w:p>
    <w:p>
      <w:pP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第三条</w:t>
      </w:r>
      <w:r>
        <w:rPr>
          <w:rFonts w:hint="eastAsia" w:ascii="宋体" w:hAnsi="宋体" w:eastAsia="宋体" w:cs="宋体"/>
          <w:sz w:val="24"/>
          <w:szCs w:val="24"/>
          <w:highlight w:val="none"/>
        </w:rPr>
        <w:t xml:space="preserve">社会审计机构应设立专职联系人负责协审项目的管理、协调和对接工作，并对知悉的国家秘密和被审计单位的商业秘密，负有保密的义务。</w:t>
      </w:r>
      <w:r/>
    </w:p>
    <w:p>
      <w:pP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第四条</w:t>
      </w:r>
      <w:r>
        <w:rPr>
          <w:rFonts w:hint="eastAsia" w:ascii="宋体" w:hAnsi="宋体" w:eastAsia="宋体" w:cs="宋体"/>
          <w:sz w:val="24"/>
          <w:szCs w:val="24"/>
          <w:highlight w:val="none"/>
        </w:rPr>
        <w:t xml:space="preserve">预算及标底评审工作程序</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1.评审完成时间从项目具备评审条件开始至出具咨询报告的时间为止，具体要求如下：</w:t>
      </w:r>
      <w:r/>
    </w:p>
    <w:tbl>
      <w:tblPr>
        <w:tblStyle w:val="733"/>
        <w:tblW w:w="8222" w:type="dxa"/>
        <w:tblInd w:w="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60" w:type="dxa"/>
          <w:top w:w="120" w:type="dxa"/>
          <w:right w:w="60" w:type="dxa"/>
          <w:bottom w:w="120" w:type="dxa"/>
        </w:tblCellMar>
        <w:tblLook w:val="04A0" w:firstRow="1" w:lastRow="0" w:firstColumn="1" w:lastColumn="0" w:noHBand="0" w:noVBand="1"/>
      </w:tblPr>
      <w:tblGrid>
        <w:gridCol w:w="4109"/>
        <w:gridCol w:w="4113"/>
      </w:tblGrid>
      <w:tr>
        <w:trPr>
          <w:trHeight w:val="308"/>
        </w:trPr>
        <w:tc>
          <w:tcPr>
            <w:tcBorders>
              <w:top w:val="single" w:color="000000" w:sz="8" w:space="0"/>
              <w:left w:val="single" w:color="000000" w:sz="8" w:space="0"/>
              <w:bottom w:val="single" w:color="000000" w:sz="8" w:space="0"/>
              <w:right w:val="single" w:color="000000" w:sz="8" w:space="0"/>
            </w:tcBorders>
            <w:tcW w:w="41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项目送审金额</w:t>
            </w:r>
            <w:r/>
          </w:p>
        </w:tc>
        <w:tc>
          <w:tcPr>
            <w:tcBorders>
              <w:top w:val="single" w:color="000000" w:sz="8" w:space="0"/>
              <w:left w:val="single" w:color="000000" w:sz="8" w:space="0"/>
              <w:bottom w:val="single" w:color="000000" w:sz="8" w:space="0"/>
              <w:right w:val="single" w:color="000000" w:sz="8" w:space="0"/>
            </w:tcBorders>
            <w:tcW w:w="411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评审完成时间要求（天）</w:t>
            </w:r>
            <w:r/>
          </w:p>
        </w:tc>
      </w:tr>
      <w:tr>
        <w:trPr>
          <w:trHeight w:val="308"/>
        </w:trPr>
        <w:tc>
          <w:tcPr>
            <w:tcBorders>
              <w:top w:val="single" w:color="000000" w:sz="8" w:space="0"/>
              <w:left w:val="single" w:color="000000" w:sz="8" w:space="0"/>
              <w:bottom w:val="single" w:color="000000" w:sz="8" w:space="0"/>
              <w:right w:val="single" w:color="000000" w:sz="8" w:space="0"/>
            </w:tcBorders>
            <w:tcW w:w="41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500万元以下</w:t>
            </w:r>
            <w:r/>
          </w:p>
        </w:tc>
        <w:tc>
          <w:tcPr>
            <w:tcBorders>
              <w:top w:val="single" w:color="000000" w:sz="8" w:space="0"/>
              <w:left w:val="single" w:color="000000" w:sz="8" w:space="0"/>
              <w:bottom w:val="single" w:color="000000" w:sz="8" w:space="0"/>
              <w:right w:val="single" w:color="000000" w:sz="8" w:space="0"/>
            </w:tcBorders>
            <w:tcW w:w="411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5天</w:t>
            </w:r>
            <w:r/>
          </w:p>
        </w:tc>
      </w:tr>
      <w:tr>
        <w:trPr>
          <w:trHeight w:val="308"/>
        </w:trPr>
        <w:tc>
          <w:tcPr>
            <w:tcBorders>
              <w:top w:val="single" w:color="000000" w:sz="8" w:space="0"/>
              <w:left w:val="single" w:color="000000" w:sz="8" w:space="0"/>
              <w:bottom w:val="single" w:color="000000" w:sz="8" w:space="0"/>
              <w:right w:val="single" w:color="000000" w:sz="8" w:space="0"/>
            </w:tcBorders>
            <w:tcW w:w="41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500-2000万元</w:t>
            </w:r>
            <w:r/>
          </w:p>
        </w:tc>
        <w:tc>
          <w:tcPr>
            <w:tcBorders>
              <w:top w:val="single" w:color="000000" w:sz="8" w:space="0"/>
              <w:left w:val="single" w:color="000000" w:sz="8" w:space="0"/>
              <w:bottom w:val="single" w:color="000000" w:sz="8" w:space="0"/>
              <w:right w:val="single" w:color="000000" w:sz="8" w:space="0"/>
            </w:tcBorders>
            <w:tcW w:w="411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7天</w:t>
            </w:r>
            <w:r/>
          </w:p>
        </w:tc>
      </w:tr>
      <w:tr>
        <w:trPr>
          <w:trHeight w:val="308"/>
        </w:trPr>
        <w:tc>
          <w:tcPr>
            <w:tcBorders>
              <w:top w:val="single" w:color="000000" w:sz="8" w:space="0"/>
              <w:left w:val="single" w:color="000000" w:sz="8" w:space="0"/>
              <w:bottom w:val="single" w:color="000000" w:sz="8" w:space="0"/>
              <w:right w:val="single" w:color="000000" w:sz="8" w:space="0"/>
            </w:tcBorders>
            <w:tcW w:w="41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2000-5000万元</w:t>
            </w:r>
            <w:r/>
          </w:p>
        </w:tc>
        <w:tc>
          <w:tcPr>
            <w:tcBorders>
              <w:top w:val="single" w:color="000000" w:sz="8" w:space="0"/>
              <w:left w:val="single" w:color="000000" w:sz="8" w:space="0"/>
              <w:bottom w:val="single" w:color="000000" w:sz="8" w:space="0"/>
              <w:right w:val="single" w:color="000000" w:sz="8" w:space="0"/>
            </w:tcBorders>
            <w:tcW w:w="411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9天</w:t>
            </w:r>
            <w:r/>
          </w:p>
        </w:tc>
      </w:tr>
      <w:tr>
        <w:trPr>
          <w:trHeight w:val="308"/>
        </w:trPr>
        <w:tc>
          <w:tcPr>
            <w:tcBorders>
              <w:top w:val="single" w:color="000000" w:sz="8" w:space="0"/>
              <w:left w:val="single" w:color="000000" w:sz="8" w:space="0"/>
              <w:bottom w:val="single" w:color="000000" w:sz="8" w:space="0"/>
              <w:right w:val="single" w:color="000000" w:sz="8" w:space="0"/>
            </w:tcBorders>
            <w:tcW w:w="41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5000万元以上</w:t>
            </w:r>
            <w:r/>
          </w:p>
        </w:tc>
        <w:tc>
          <w:tcPr>
            <w:tcBorders>
              <w:top w:val="single" w:color="000000" w:sz="8" w:space="0"/>
              <w:left w:val="single" w:color="000000" w:sz="8" w:space="0"/>
              <w:bottom w:val="single" w:color="000000" w:sz="8" w:space="0"/>
              <w:right w:val="single" w:color="000000" w:sz="8" w:space="0"/>
            </w:tcBorders>
            <w:tcW w:w="411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12天</w:t>
            </w:r>
            <w:r/>
          </w:p>
        </w:tc>
      </w:tr>
    </w:tbl>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社会审计机构在接到项目交接通知后，按照约定的时间、地点办理资料交接手续，在评审过程中不得私自接受补充资料。社会审计机构应严格按照行业规范开展工作，实施资料审查、现场踏勘（两人及以上）、量价审核、与编标单位对账等必要的工作程序。</w:t>
      </w:r>
      <w:r/>
    </w:p>
    <w:p>
      <w:pP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第五条</w:t>
      </w:r>
      <w:r>
        <w:rPr>
          <w:rFonts w:hint="eastAsia" w:ascii="宋体" w:hAnsi="宋体" w:eastAsia="宋体" w:cs="宋体"/>
          <w:sz w:val="24"/>
          <w:szCs w:val="24"/>
          <w:highlight w:val="none"/>
        </w:rPr>
        <w:t xml:space="preserve">竣工结算审核工作程序</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审核完成时间从项目具备审核条件开始至出具咨询报告的时间为止，具体要求如下：</w:t>
      </w:r>
      <w:r/>
    </w:p>
    <w:tbl>
      <w:tblPr>
        <w:tblStyle w:val="733"/>
        <w:tblW w:w="8222" w:type="dxa"/>
        <w:tblInd w:w="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60" w:type="dxa"/>
          <w:top w:w="120" w:type="dxa"/>
          <w:right w:w="60" w:type="dxa"/>
          <w:bottom w:w="120" w:type="dxa"/>
        </w:tblCellMar>
        <w:tblLook w:val="04A0" w:firstRow="1" w:lastRow="0" w:firstColumn="1" w:lastColumn="0" w:noHBand="0" w:noVBand="1"/>
      </w:tblPr>
      <w:tblGrid>
        <w:gridCol w:w="2410"/>
        <w:gridCol w:w="2835"/>
        <w:gridCol w:w="2977"/>
      </w:tblGrid>
      <w:tr>
        <w:trPr>
          <w:trHeight w:val="272"/>
        </w:trPr>
        <w:tc>
          <w:tcPr>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项目送审金额</w:t>
            </w:r>
            <w:r/>
          </w:p>
        </w:tc>
        <w:tc>
          <w:tcPr>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审计完成时间要求（天）</w:t>
            </w:r>
            <w:r/>
          </w:p>
        </w:tc>
        <w:tc>
          <w:tcPr>
            <w:tcBorders>
              <w:top w:val="single" w:color="000000" w:sz="8" w:space="0"/>
              <w:left w:val="single" w:color="000000" w:sz="8" w:space="0"/>
              <w:bottom w:val="single" w:color="000000" w:sz="8" w:space="0"/>
              <w:right w:val="single" w:color="000000" w:sz="8" w:space="0"/>
            </w:tcBorders>
            <w:tcW w:w="297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初步审核完成时间要求（天）</w:t>
            </w:r>
            <w:r/>
          </w:p>
        </w:tc>
      </w:tr>
      <w:tr>
        <w:trPr>
          <w:trHeight w:val="167"/>
        </w:trPr>
        <w:tc>
          <w:tcPr>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400万以下</w:t>
            </w:r>
            <w:r/>
          </w:p>
        </w:tc>
        <w:tc>
          <w:tcPr>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45天内</w:t>
            </w:r>
            <w:r/>
          </w:p>
        </w:tc>
        <w:tc>
          <w:tcPr>
            <w:tcBorders>
              <w:top w:val="single" w:color="000000" w:sz="8" w:space="0"/>
              <w:left w:val="single" w:color="000000" w:sz="8" w:space="0"/>
              <w:bottom w:val="single" w:color="000000" w:sz="8" w:space="0"/>
              <w:right w:val="single" w:color="000000" w:sz="8" w:space="0"/>
            </w:tcBorders>
            <w:tcW w:w="297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25天内</w:t>
            </w:r>
            <w:r/>
          </w:p>
        </w:tc>
      </w:tr>
      <w:tr>
        <w:trPr>
          <w:trHeight w:val="22"/>
        </w:trPr>
        <w:tc>
          <w:tcPr>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400万—2000万</w:t>
            </w:r>
            <w:r/>
          </w:p>
        </w:tc>
        <w:tc>
          <w:tcPr>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60天内</w:t>
            </w:r>
            <w:r/>
          </w:p>
        </w:tc>
        <w:tc>
          <w:tcPr>
            <w:tcBorders>
              <w:top w:val="single" w:color="000000" w:sz="8" w:space="0"/>
              <w:left w:val="single" w:color="000000" w:sz="8" w:space="0"/>
              <w:bottom w:val="single" w:color="000000" w:sz="8" w:space="0"/>
              <w:right w:val="single" w:color="000000" w:sz="8" w:space="0"/>
            </w:tcBorders>
            <w:tcW w:w="297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30天内</w:t>
            </w:r>
            <w:r/>
          </w:p>
        </w:tc>
      </w:tr>
      <w:tr>
        <w:trPr>
          <w:trHeight w:val="272"/>
        </w:trPr>
        <w:tc>
          <w:tcPr>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2000万-5000万</w:t>
            </w:r>
            <w:r/>
          </w:p>
        </w:tc>
        <w:tc>
          <w:tcPr>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90天内</w:t>
            </w:r>
            <w:r/>
          </w:p>
        </w:tc>
        <w:tc>
          <w:tcPr>
            <w:tcBorders>
              <w:top w:val="single" w:color="000000" w:sz="8" w:space="0"/>
              <w:left w:val="single" w:color="000000" w:sz="8" w:space="0"/>
              <w:bottom w:val="single" w:color="000000" w:sz="8" w:space="0"/>
              <w:right w:val="single" w:color="000000" w:sz="8" w:space="0"/>
            </w:tcBorders>
            <w:tcW w:w="297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45天内</w:t>
            </w:r>
            <w:r/>
          </w:p>
        </w:tc>
      </w:tr>
      <w:tr>
        <w:trPr>
          <w:trHeight w:val="272"/>
        </w:trPr>
        <w:tc>
          <w:tcPr>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5000万-1亿</w:t>
            </w:r>
            <w:r/>
          </w:p>
        </w:tc>
        <w:tc>
          <w:tcPr>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110天内</w:t>
            </w:r>
            <w:r/>
          </w:p>
        </w:tc>
        <w:tc>
          <w:tcPr>
            <w:tcBorders>
              <w:top w:val="single" w:color="000000" w:sz="8" w:space="0"/>
              <w:left w:val="single" w:color="000000" w:sz="8" w:space="0"/>
              <w:bottom w:val="single" w:color="000000" w:sz="8" w:space="0"/>
              <w:right w:val="single" w:color="000000" w:sz="8" w:space="0"/>
            </w:tcBorders>
            <w:tcW w:w="297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55天内</w:t>
            </w:r>
            <w:r/>
          </w:p>
        </w:tc>
      </w:tr>
      <w:tr>
        <w:trPr>
          <w:trHeight w:val="273"/>
        </w:trPr>
        <w:tc>
          <w:tcPr>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1亿以上</w:t>
            </w:r>
            <w:r/>
          </w:p>
        </w:tc>
        <w:tc>
          <w:tcPr>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150天内</w:t>
            </w:r>
            <w:r/>
          </w:p>
        </w:tc>
        <w:tc>
          <w:tcPr>
            <w:tcBorders>
              <w:top w:val="single" w:color="000000" w:sz="8" w:space="0"/>
              <w:left w:val="single" w:color="000000" w:sz="8" w:space="0"/>
              <w:bottom w:val="single" w:color="000000" w:sz="8" w:space="0"/>
              <w:right w:val="single" w:color="000000" w:sz="8" w:space="0"/>
            </w:tcBorders>
            <w:tcW w:w="297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75天内</w:t>
            </w:r>
            <w:r/>
          </w:p>
        </w:tc>
      </w:tr>
    </w:tbl>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注：上述时间不包含社会审计机构看审核资料的时间和建设单位补充审核资料的时间。加急项目、特殊项目，以委托协议交办要求时间为准。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社会审计机构在接到项目交接通知后，按照约定的时间、地点办理资料交接手续，并在7个日历天内检查资料的完整性并列出资料缺失清单，要求建设单位在7个日历天内补齐资料。若资料不能补齐需及时办理项目暂退手续。在审核过程中不得私自接受补充资料。</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3.社会审计机构应严格按照行业规范开展工作，实施资料审查、现场踏勘（两人及以上）、量价审核、与建设单位和施工单位对账、提交阶段性成果文件、档案归档等必要的工作程序, 重点关注基本建设程序执行情况、合同履行情况以及施工管理情况等。</w:t>
      </w:r>
      <w:r/>
    </w:p>
    <w:p>
      <w:pP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第</w:t>
      </w: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条</w:t>
      </w:r>
      <w:r>
        <w:rPr>
          <w:rFonts w:hint="eastAsia" w:ascii="宋体" w:hAnsi="宋体" w:eastAsia="宋体" w:cs="宋体"/>
          <w:sz w:val="24"/>
          <w:szCs w:val="24"/>
          <w:highlight w:val="none"/>
        </w:rPr>
        <w:t xml:space="preserve">第四条和第五条中要求的时间均为日历天。审核过程中如存在非社会审计机构原因导致的超时情况，应办理书面延期申请报告。</w:t>
      </w:r>
      <w:r/>
    </w:p>
    <w:p>
      <w:pP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第</w:t>
      </w: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条</w:t>
      </w:r>
      <w:r>
        <w:rPr>
          <w:rFonts w:hint="eastAsia" w:ascii="宋体" w:hAnsi="宋体" w:eastAsia="宋体" w:cs="宋体"/>
          <w:sz w:val="24"/>
          <w:szCs w:val="24"/>
          <w:highlight w:val="none"/>
        </w:rPr>
        <w:t xml:space="preserve">社会审计机构因存在严重质量问题给审计机关、建设单位或第三方造成经济损失的，应当承担赔偿责任。</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第</w:t>
      </w:r>
      <w:r>
        <w:rPr>
          <w:rFonts w:hint="eastAsia" w:ascii="宋体" w:hAnsi="宋体" w:eastAsia="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条</w:t>
      </w:r>
      <w:r>
        <w:rPr>
          <w:rFonts w:hint="eastAsia" w:ascii="宋体" w:hAnsi="宋体" w:eastAsia="宋体" w:cs="宋体"/>
          <w:sz w:val="24"/>
          <w:szCs w:val="24"/>
          <w:highlight w:val="none"/>
        </w:rPr>
        <w:t xml:space="preserve">社会审计机构（人员）存在严重审计质量问题和违反廉政规定的，实行“一票否决制”，一年内不接受其参与苏州市相城区黄埭镇人民政府（苏州市相城区黄埭镇财政和资产监督</w:t>
      </w:r>
      <w:r>
        <w:rPr>
          <w:rFonts w:hint="eastAsia" w:ascii="宋体" w:hAnsi="宋体" w:eastAsia="宋体" w:cs="宋体"/>
          <w:sz w:val="24"/>
          <w:szCs w:val="24"/>
          <w:highlight w:val="none"/>
          <w:lang w:eastAsia="zh-CN"/>
        </w:rPr>
        <w:t xml:space="preserve">管理办公室</w:t>
      </w:r>
      <w:r>
        <w:rPr>
          <w:rFonts w:hint="eastAsia" w:ascii="宋体" w:hAnsi="宋体" w:eastAsia="宋体" w:cs="宋体"/>
          <w:sz w:val="24"/>
          <w:szCs w:val="24"/>
          <w:highlight w:val="none"/>
        </w:rPr>
        <w:t xml:space="preserve">）委托协审服务。涉嫌犯罪的，移送司法机关追究刑事责任。</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第</w:t>
      </w:r>
      <w:r>
        <w:rPr>
          <w:rFonts w:hint="eastAsia" w:ascii="宋体" w:hAnsi="宋体" w:eastAsia="宋体" w:cs="宋体"/>
          <w:b/>
          <w:bCs/>
          <w:sz w:val="24"/>
          <w:szCs w:val="24"/>
          <w:highlight w:val="none"/>
          <w:lang w:val="en-US" w:eastAsia="zh-CN"/>
        </w:rPr>
        <w:t xml:space="preserve">九</w:t>
      </w:r>
      <w:r>
        <w:rPr>
          <w:rFonts w:hint="eastAsia" w:ascii="宋体" w:hAnsi="宋体" w:eastAsia="宋体" w:cs="宋体"/>
          <w:b/>
          <w:bCs/>
          <w:sz w:val="24"/>
          <w:szCs w:val="24"/>
          <w:highlight w:val="none"/>
        </w:rPr>
        <w:t xml:space="preserve">条</w:t>
      </w:r>
      <w:r>
        <w:rPr>
          <w:rFonts w:hint="eastAsia" w:ascii="宋体" w:hAnsi="宋体" w:eastAsia="宋体" w:cs="宋体"/>
          <w:sz w:val="24"/>
          <w:szCs w:val="24"/>
          <w:highlight w:val="none"/>
        </w:rPr>
        <w:t xml:space="preserve">本操作规程自发文之日起执行。本规程由苏州市相城区黄埭镇人民政府（苏州市相城区黄埭镇财政和资产监督</w:t>
      </w:r>
      <w:r>
        <w:rPr>
          <w:rFonts w:hint="eastAsia" w:ascii="宋体" w:hAnsi="宋体" w:eastAsia="宋体" w:cs="宋体"/>
          <w:sz w:val="24"/>
          <w:szCs w:val="24"/>
          <w:highlight w:val="none"/>
          <w:lang w:eastAsia="zh-CN"/>
        </w:rPr>
        <w:t xml:space="preserve">管理办公室</w:t>
      </w:r>
      <w:r>
        <w:rPr>
          <w:rFonts w:hint="eastAsia" w:ascii="宋体" w:hAnsi="宋体" w:eastAsia="宋体" w:cs="宋体"/>
          <w:sz w:val="24"/>
          <w:szCs w:val="24"/>
          <w:highlight w:val="none"/>
        </w:rPr>
        <w:t xml:space="preserve">）负责解释。</w:t>
      </w:r>
      <w:r/>
    </w:p>
    <w:p>
      <w:pPr>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苏州市相城区黄埭镇人民政府（苏州市相城区黄埭镇财政和资产监督</w:t>
      </w:r>
      <w:r>
        <w:rPr>
          <w:rFonts w:hint="eastAsia" w:ascii="宋体" w:hAnsi="宋体" w:eastAsia="宋体" w:cs="宋体"/>
          <w:sz w:val="24"/>
          <w:szCs w:val="24"/>
          <w:highlight w:val="none"/>
          <w:lang w:eastAsia="zh-CN"/>
        </w:rPr>
        <w:t xml:space="preserve">管理办公室</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15"/>
        <w:numPr>
          <w:ilvl w:val="2"/>
          <w:numId w:val="0"/>
        </w:numPr>
        <w:spacing w:before="120" w:after="120" w:line="240" w:lineRule="auto"/>
        <w:rPr>
          <w:rFonts w:hint="eastAsia" w:ascii="宋体" w:hAnsi="宋体" w:eastAsia="宋体" w:cs="宋体"/>
          <w:b w:val="0"/>
          <w:sz w:val="24"/>
          <w:szCs w:val="24"/>
          <w:highlight w:val="none"/>
          <w:lang w:val="zh-CN"/>
        </w:rPr>
      </w:pPr>
      <w:r>
        <w:rPr>
          <w:rFonts w:hint="eastAsia" w:ascii="宋体" w:hAnsi="宋体" w:eastAsia="宋体" w:cs="宋体"/>
          <w:b w:val="0"/>
          <w:sz w:val="24"/>
          <w:szCs w:val="24"/>
          <w:highlight w:val="none"/>
        </w:rPr>
        <w:br w:type="page" w:clear="all"/>
      </w:r>
      <w:bookmarkStart w:id="50" w:name="_Toc166075017"/>
      <w:r>
        <w:rPr>
          <w:rFonts w:hint="eastAsia" w:ascii="宋体" w:hAnsi="宋体" w:eastAsia="宋体" w:cs="宋体"/>
          <w:b w:val="0"/>
          <w:sz w:val="24"/>
          <w:szCs w:val="24"/>
          <w:highlight w:val="none"/>
          <w:lang w:val="zh-CN"/>
        </w:rPr>
        <w:t xml:space="preserve">附件二、《苏州市相城区黄埭镇人民政府（苏州市相城区黄埭镇财政和资产监督管理办公室）关于社会审计机构参与政府及国有（集体）投资工程审计工作的考核和结算办法》</w:t>
      </w:r>
      <w:bookmarkEnd w:id="50"/>
      <w:r/>
      <w:r/>
    </w:p>
    <w:p>
      <w:pPr>
        <w:jc w:val="left"/>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第一条</w:t>
      </w:r>
      <w:r>
        <w:rPr>
          <w:rFonts w:hint="eastAsia" w:ascii="宋体" w:hAnsi="宋体" w:eastAsia="宋体" w:cs="宋体"/>
          <w:sz w:val="24"/>
          <w:szCs w:val="24"/>
          <w:highlight w:val="none"/>
        </w:rPr>
        <w:t xml:space="preserve"> 为了进一步加强社会审计机构参与政府及国有（集体）投资工程审计工作的管理，提高审计质量和工作效率，保障审计工作的有序开展，制定本办法。</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第二条 </w:t>
      </w:r>
      <w:r>
        <w:rPr>
          <w:rFonts w:hint="eastAsia" w:ascii="宋体" w:hAnsi="宋体" w:eastAsia="宋体" w:cs="宋体"/>
          <w:sz w:val="24"/>
          <w:szCs w:val="24"/>
          <w:highlight w:val="none"/>
        </w:rPr>
        <w:t xml:space="preserve">本办法中考核和结算对象为社会审计机构。</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第三条</w:t>
      </w:r>
      <w:r>
        <w:rPr>
          <w:rFonts w:hint="eastAsia" w:ascii="宋体" w:hAnsi="宋体" w:eastAsia="宋体" w:cs="宋体"/>
          <w:sz w:val="24"/>
          <w:szCs w:val="24"/>
          <w:highlight w:val="none"/>
        </w:rPr>
        <w:t xml:space="preserve">预算及标底评审项目考核表包括：协审行为、协审质量、协审效率以及加分项内容，一票否决项目得分为零，详见附表1预算及标底评审项目考核表。</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第</w:t>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条</w:t>
      </w:r>
      <w:r>
        <w:rPr>
          <w:rFonts w:hint="eastAsia" w:ascii="宋体" w:hAnsi="宋体" w:eastAsia="宋体" w:cs="宋体"/>
          <w:sz w:val="24"/>
          <w:szCs w:val="24"/>
          <w:highlight w:val="none"/>
        </w:rPr>
        <w:t xml:space="preserve">竣工结算项目考核分为基本考核、审计成果应用两个方面。项目考核基本分起始分值为100分，采用扣分方式计算。基本考核分与审计成果应用加分之和为审计项目业务考核的最终得分，一票否决项目得分为零，当社会审计机构单个结算项目考核评分表中得分低于60分的，苏州市相城区黄埭镇人民政府（苏州市相城区黄埭镇财政和资产监督</w:t>
      </w:r>
      <w:r>
        <w:rPr>
          <w:rFonts w:hint="eastAsia" w:ascii="宋体" w:hAnsi="宋体" w:eastAsia="宋体" w:cs="宋体"/>
          <w:sz w:val="24"/>
          <w:szCs w:val="24"/>
          <w:highlight w:val="none"/>
          <w:lang w:eastAsia="zh-CN"/>
        </w:rPr>
        <w:t xml:space="preserve">管理办公室</w:t>
      </w:r>
      <w:r>
        <w:rPr>
          <w:rFonts w:hint="eastAsia" w:ascii="宋体" w:hAnsi="宋体" w:eastAsia="宋体" w:cs="宋体"/>
          <w:sz w:val="24"/>
          <w:szCs w:val="24"/>
          <w:highlight w:val="none"/>
        </w:rPr>
        <w:t xml:space="preserve">）有权终止其协审服务合同。同时，一年内不接受其参与苏州市相城区黄埭镇人民政府（苏州市相城区黄埭镇财政和资产监督</w:t>
      </w:r>
      <w:r>
        <w:rPr>
          <w:rFonts w:hint="eastAsia" w:ascii="宋体" w:hAnsi="宋体" w:eastAsia="宋体" w:cs="宋体"/>
          <w:sz w:val="24"/>
          <w:szCs w:val="24"/>
          <w:highlight w:val="none"/>
          <w:lang w:eastAsia="zh-CN"/>
        </w:rPr>
        <w:t xml:space="preserve">管理办公室</w:t>
      </w:r>
      <w:r>
        <w:rPr>
          <w:rFonts w:hint="eastAsia" w:ascii="宋体" w:hAnsi="宋体" w:eastAsia="宋体" w:cs="宋体"/>
          <w:sz w:val="24"/>
          <w:szCs w:val="24"/>
          <w:highlight w:val="none"/>
        </w:rPr>
        <w:t xml:space="preserve">）协审服务。竣工结算审核项目详见附表2竣工结算审核项目考核评分表。</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第</w:t>
      </w: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条</w:t>
      </w:r>
      <w:r>
        <w:rPr>
          <w:rFonts w:hint="eastAsia" w:ascii="宋体" w:hAnsi="宋体" w:eastAsia="宋体" w:cs="宋体"/>
          <w:bCs/>
          <w:sz w:val="24"/>
          <w:szCs w:val="24"/>
          <w:highlight w:val="none"/>
        </w:rPr>
        <w:t xml:space="preserve">预算及标底评审</w:t>
      </w:r>
      <w:r>
        <w:rPr>
          <w:rFonts w:hint="eastAsia" w:ascii="宋体" w:hAnsi="宋体" w:eastAsia="宋体" w:cs="宋体"/>
          <w:sz w:val="24"/>
          <w:szCs w:val="24"/>
          <w:highlight w:val="none"/>
        </w:rPr>
        <w:t xml:space="preserve">考核、</w:t>
      </w:r>
      <w:r>
        <w:rPr>
          <w:rFonts w:hint="eastAsia" w:ascii="宋体" w:hAnsi="宋体" w:eastAsia="宋体" w:cs="宋体"/>
          <w:bCs/>
          <w:sz w:val="24"/>
          <w:szCs w:val="24"/>
          <w:highlight w:val="none"/>
        </w:rPr>
        <w:t xml:space="preserve">竣工</w:t>
      </w:r>
      <w:r>
        <w:rPr>
          <w:rFonts w:hint="eastAsia" w:ascii="宋体" w:hAnsi="宋体" w:eastAsia="宋体" w:cs="宋体"/>
          <w:sz w:val="24"/>
          <w:szCs w:val="24"/>
          <w:highlight w:val="none"/>
        </w:rPr>
        <w:t xml:space="preserve">结算审核项目考核由苏州市相城区黄埭镇人民政府（苏州市相城区黄埭镇财政和资产监督</w:t>
      </w:r>
      <w:r>
        <w:rPr>
          <w:rFonts w:hint="eastAsia" w:ascii="宋体" w:hAnsi="宋体" w:eastAsia="宋体" w:cs="宋体"/>
          <w:sz w:val="24"/>
          <w:szCs w:val="24"/>
          <w:highlight w:val="none"/>
          <w:lang w:eastAsia="zh-CN"/>
        </w:rPr>
        <w:t xml:space="preserve">管理办公室</w:t>
      </w:r>
      <w:r>
        <w:rPr>
          <w:rFonts w:hint="eastAsia" w:ascii="宋体" w:hAnsi="宋体" w:eastAsia="宋体" w:cs="宋体"/>
          <w:sz w:val="24"/>
          <w:szCs w:val="24"/>
          <w:highlight w:val="none"/>
        </w:rPr>
        <w:t xml:space="preserve">）进行抽查考核。</w:t>
      </w:r>
      <w:r/>
    </w:p>
    <w:p>
      <w:pP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第</w:t>
      </w: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条</w:t>
      </w:r>
      <w:r>
        <w:rPr>
          <w:rFonts w:hint="eastAsia" w:ascii="宋体" w:hAnsi="宋体" w:eastAsia="宋体" w:cs="宋体"/>
          <w:sz w:val="24"/>
          <w:szCs w:val="24"/>
          <w:highlight w:val="none"/>
        </w:rPr>
        <w:t xml:space="preserve"> 社会审计机构（人员）存在下述行为之一的，考核得分归零。</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1.将中标项目转包或分包给其他单位和个人的。</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2.违反廉政相关规定和审计纪律的。</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3.有其他违法违纪行为的。</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4.与审计项目有利害关系未自行回避的。</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5.隐瞒审计发现的问题或者与相关单位串通舞弊，导致发生严重审计质量问题的。</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6.遗失重要资料影响项目审计工作开展。</w:t>
      </w:r>
      <w:r/>
    </w:p>
    <w:p>
      <w:pPr>
        <w:spacing w:line="360" w:lineRule="auto"/>
        <w:widowControl/>
        <w:rPr>
          <w:rFonts w:hint="eastAsia" w:ascii="宋体" w:hAnsi="宋体" w:eastAsia="宋体" w:cs="宋体"/>
          <w:spacing w:val="-4"/>
          <w:sz w:val="24"/>
          <w:szCs w:val="24"/>
          <w:highlight w:val="none"/>
        </w:rPr>
      </w:pPr>
      <w:r>
        <w:rPr>
          <w:rFonts w:hint="eastAsia" w:ascii="宋体" w:hAnsi="宋体" w:eastAsia="宋体" w:cs="宋体"/>
          <w:b/>
          <w:bCs/>
          <w:spacing w:val="-4"/>
          <w:sz w:val="24"/>
          <w:szCs w:val="24"/>
          <w:highlight w:val="none"/>
        </w:rPr>
        <w:t xml:space="preserve">第</w:t>
      </w:r>
      <w:r>
        <w:rPr>
          <w:rFonts w:hint="eastAsia" w:ascii="宋体" w:hAnsi="宋体" w:eastAsia="宋体" w:cs="宋体"/>
          <w:b/>
          <w:bCs/>
          <w:spacing w:val="-4"/>
          <w:sz w:val="24"/>
          <w:szCs w:val="24"/>
          <w:highlight w:val="none"/>
          <w:lang w:val="en-US" w:eastAsia="zh-CN"/>
        </w:rPr>
        <w:t xml:space="preserve">七</w:t>
      </w:r>
      <w:r>
        <w:rPr>
          <w:rFonts w:hint="eastAsia" w:ascii="宋体" w:hAnsi="宋体" w:eastAsia="宋体" w:cs="宋体"/>
          <w:b/>
          <w:bCs/>
          <w:spacing w:val="-4"/>
          <w:sz w:val="24"/>
          <w:szCs w:val="24"/>
          <w:highlight w:val="none"/>
        </w:rPr>
        <w:t xml:space="preserve">条</w:t>
      </w:r>
      <w:r>
        <w:rPr>
          <w:rFonts w:hint="eastAsia" w:ascii="宋体" w:hAnsi="宋体" w:eastAsia="宋体" w:cs="宋体"/>
          <w:spacing w:val="-4"/>
          <w:sz w:val="24"/>
          <w:szCs w:val="24"/>
          <w:highlight w:val="none"/>
        </w:rPr>
        <w:t xml:space="preserve">  预算及标底评审</w:t>
      </w:r>
      <w:r/>
    </w:p>
    <w:p>
      <w:pPr>
        <w:numPr>
          <w:ilvl w:val="0"/>
          <w:numId w:val="3"/>
        </w:numPr>
        <w:jc w:val="left"/>
        <w:spacing w:line="360" w:lineRule="auto"/>
        <w:widowControl/>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预算及标底评审费用</w:t>
      </w:r>
      <w:r/>
    </w:p>
    <w:p>
      <w:pPr>
        <w:spacing w:line="360" w:lineRule="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(1)</w:t>
      </w:r>
      <w:r>
        <w:rPr>
          <w:rFonts w:hint="eastAsia" w:ascii="宋体" w:hAnsi="宋体" w:eastAsia="宋体" w:cs="宋体"/>
          <w:sz w:val="24"/>
          <w:szCs w:val="24"/>
          <w:highlight w:val="none"/>
          <w:lang w:val="zh-CN"/>
        </w:rPr>
        <w:t xml:space="preserve">收费按</w:t>
      </w:r>
      <w:r>
        <w:rPr>
          <w:rFonts w:hint="eastAsia" w:ascii="宋体" w:hAnsi="宋体" w:eastAsia="宋体" w:cs="宋体"/>
          <w:sz w:val="24"/>
          <w:szCs w:val="24"/>
          <w:highlight w:val="none"/>
        </w:rPr>
        <w:t xml:space="preserve">差额定率分档累进计算，</w:t>
      </w:r>
      <w:r>
        <w:rPr>
          <w:rFonts w:hint="eastAsia" w:ascii="宋体" w:hAnsi="宋体" w:eastAsia="宋体" w:cs="宋体"/>
          <w:sz w:val="24"/>
          <w:szCs w:val="24"/>
          <w:highlight w:val="none"/>
          <w:lang w:val="zh-CN"/>
        </w:rPr>
        <w:t xml:space="preserve">分如下三部分：</w:t>
      </w:r>
      <w:r/>
    </w:p>
    <w:tbl>
      <w:tblPr>
        <w:tblStyle w:val="733"/>
        <w:tblW w:w="8647" w:type="dxa"/>
        <w:tblInd w:w="85" w:type="dxa"/>
        <w:tblLayout w:type="fixed"/>
        <w:tblCellMar>
          <w:left w:w="85" w:type="dxa"/>
          <w:top w:w="0" w:type="dxa"/>
          <w:right w:w="42" w:type="dxa"/>
          <w:bottom w:w="0" w:type="dxa"/>
        </w:tblCellMar>
        <w:tblLook w:val="04A0" w:firstRow="1" w:lastRow="0" w:firstColumn="1" w:lastColumn="0" w:noHBand="0" w:noVBand="1"/>
      </w:tblPr>
      <w:tblGrid>
        <w:gridCol w:w="391"/>
        <w:gridCol w:w="35"/>
        <w:gridCol w:w="567"/>
        <w:gridCol w:w="1134"/>
        <w:gridCol w:w="850"/>
        <w:gridCol w:w="709"/>
        <w:gridCol w:w="142"/>
        <w:gridCol w:w="567"/>
        <w:gridCol w:w="850"/>
        <w:gridCol w:w="497"/>
        <w:gridCol w:w="354"/>
        <w:gridCol w:w="850"/>
        <w:gridCol w:w="851"/>
        <w:gridCol w:w="425"/>
        <w:gridCol w:w="425"/>
      </w:tblGrid>
      <w:tr>
        <w:trPr>
          <w:cantSplit/>
          <w:trHeight w:val="442"/>
        </w:trPr>
        <w:tc>
          <w:tcPr>
            <w:tcBorders>
              <w:top w:val="single" w:color="000000" w:sz="6" w:space="0"/>
              <w:left w:val="single" w:color="000000" w:sz="6" w:space="0"/>
              <w:right w:val="single" w:color="000000" w:sz="6" w:space="0"/>
            </w:tcBorders>
            <w:tcW w:w="391" w:type="dxa"/>
            <w:vAlign w:val="center"/>
            <w:vMerge w:val="restart"/>
            <w:textDirection w:val="lrTb"/>
            <w:noWrap w:val="false"/>
          </w:tcPr>
          <w:p>
            <w:pPr>
              <w:ind w:left="-91"/>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p>
        </w:tc>
        <w:tc>
          <w:tcPr>
            <w:gridSpan w:val="2"/>
            <w:tcBorders>
              <w:top w:val="single" w:color="000000" w:sz="6" w:space="0"/>
              <w:left w:val="single" w:color="000000" w:sz="6" w:space="0"/>
              <w:right w:val="single" w:color="000000" w:sz="6" w:space="0"/>
            </w:tcBorders>
            <w:tcW w:w="602" w:type="dxa"/>
            <w:vAlign w:val="center"/>
            <w:vMerge w:val="restart"/>
            <w:textDirection w:val="lrTb"/>
            <w:noWrap w:val="false"/>
          </w:tcPr>
          <w:p>
            <w:pPr>
              <w:widowControl/>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基本收入</w:t>
            </w:r>
            <w:r/>
          </w:p>
        </w:tc>
        <w:tc>
          <w:tcPr>
            <w:tcBorders>
              <w:top w:val="single" w:color="000000" w:sz="6" w:space="0"/>
              <w:left w:val="single" w:color="000000" w:sz="6" w:space="0"/>
              <w:bottom w:val="single" w:color="000000" w:sz="6" w:space="0"/>
              <w:right w:val="single" w:color="000000" w:sz="6" w:space="0"/>
            </w:tcBorders>
            <w:tcW w:w="1134" w:type="dxa"/>
            <w:vAlign w:val="center"/>
            <w:vMerge w:val="restart"/>
            <w:textDirection w:val="lrTb"/>
            <w:noWrap w:val="false"/>
          </w:tcPr>
          <w:p>
            <w:pPr>
              <w:ind w:left="-91"/>
              <w:jc w:val="center"/>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计费金额</w:t>
            </w:r>
            <w:r/>
          </w:p>
        </w:tc>
        <w:tc>
          <w:tcPr>
            <w:gridSpan w:val="11"/>
            <w:tcBorders>
              <w:top w:val="single" w:color="000000" w:sz="6" w:space="0"/>
              <w:left w:val="single" w:color="000000" w:sz="6" w:space="0"/>
              <w:bottom w:val="single" w:color="000000" w:sz="6" w:space="0"/>
              <w:right w:val="single" w:color="000000" w:sz="6" w:space="0"/>
            </w:tcBorders>
            <w:tcW w:w="6520" w:type="dxa"/>
            <w:vAlign w:val="center"/>
            <w:textDirection w:val="lrTb"/>
            <w:noWrap w:val="false"/>
          </w:tcPr>
          <w:p>
            <w:pPr>
              <w:ind w:left="-91"/>
              <w:jc w:val="center"/>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划分标准（单位：</w:t>
            </w:r>
            <w:r>
              <w:rPr>
                <w:rFonts w:hint="eastAsia" w:ascii="宋体" w:hAnsi="宋体" w:eastAsia="宋体" w:cs="宋体"/>
                <w:bCs/>
                <w:spacing w:val="-10"/>
                <w:sz w:val="24"/>
                <w:szCs w:val="24"/>
                <w:highlight w:val="none"/>
              </w:rPr>
              <w:t xml:space="preserve">万元；费率单位：%）</w:t>
            </w:r>
            <w:r/>
          </w:p>
        </w:tc>
      </w:tr>
      <w:tr>
        <w:trPr>
          <w:cantSplit/>
          <w:trHeight w:val="442"/>
        </w:trPr>
        <w:tc>
          <w:tcPr>
            <w:tcBorders>
              <w:left w:val="single" w:color="000000" w:sz="6" w:space="0"/>
              <w:right w:val="single" w:color="000000" w:sz="6" w:space="0"/>
            </w:tcBorders>
            <w:tcW w:w="391" w:type="dxa"/>
            <w:vAlign w:val="center"/>
            <w:vMerge w:val="continue"/>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gridSpan w:val="2"/>
            <w:tcBorders>
              <w:left w:val="single" w:color="000000" w:sz="6" w:space="0"/>
              <w:right w:val="single" w:color="000000" w:sz="6" w:space="0"/>
            </w:tcBorders>
            <w:tcW w:w="602" w:type="dxa"/>
            <w:vAlign w:val="center"/>
            <w:vMerge w:val="continue"/>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vAlign w:val="center"/>
            <w:vMerge w:val="continue"/>
            <w:textDirection w:val="lrTb"/>
            <w:noWrap w:val="false"/>
          </w:tcPr>
          <w:p>
            <w:pPr>
              <w:jc w:val="center"/>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ind w:left="-91"/>
              <w:jc w:val="center"/>
              <w:widowControl/>
              <w:rPr>
                <w:rFonts w:hint="eastAsia" w:ascii="宋体" w:hAnsi="宋体" w:eastAsia="宋体" w:cs="宋体"/>
                <w:bCs/>
                <w:sz w:val="24"/>
                <w:szCs w:val="24"/>
                <w:highlight w:val="none"/>
              </w:rPr>
            </w:pPr>
            <w:r>
              <w:rPr>
                <w:rFonts w:hint="eastAsia" w:ascii="宋体" w:hAnsi="宋体" w:eastAsia="宋体" w:cs="宋体"/>
                <w:bCs/>
                <w:spacing w:val="-10"/>
                <w:sz w:val="24"/>
                <w:szCs w:val="24"/>
                <w:highlight w:val="none"/>
              </w:rPr>
              <w:t xml:space="preserve">≤ 500</w:t>
            </w:r>
            <w:r/>
          </w:p>
        </w:tc>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Cs/>
                <w:spacing w:val="-10"/>
                <w:sz w:val="24"/>
                <w:szCs w:val="24"/>
                <w:highlight w:val="none"/>
              </w:rPr>
              <w:t xml:space="preserve">≤1000</w:t>
            </w:r>
            <w:r/>
          </w:p>
        </w:tc>
        <w:tc>
          <w:tcPr>
            <w:gridSpan w:val="2"/>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Cs/>
                <w:spacing w:val="-10"/>
                <w:sz w:val="24"/>
                <w:szCs w:val="24"/>
                <w:highlight w:val="none"/>
              </w:rPr>
              <w:t xml:space="preserve">≤5000</w:t>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Cs/>
                <w:spacing w:val="-10"/>
                <w:sz w:val="24"/>
                <w:szCs w:val="24"/>
                <w:highlight w:val="none"/>
              </w:rPr>
              <w:t xml:space="preserve">≤1亿元</w:t>
            </w:r>
            <w:r/>
          </w:p>
        </w:tc>
        <w:tc>
          <w:tcPr>
            <w:gridSpan w:val="2"/>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Cs/>
                <w:spacing w:val="-10"/>
                <w:sz w:val="24"/>
                <w:szCs w:val="24"/>
                <w:highlight w:val="none"/>
              </w:rPr>
              <w:t xml:space="preserve">≤2亿元</w:t>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ind w:left="-91"/>
              <w:jc w:val="center"/>
              <w:widowControl/>
              <w:rPr>
                <w:rFonts w:hint="eastAsia" w:ascii="宋体" w:hAnsi="宋体" w:eastAsia="宋体" w:cs="宋体"/>
                <w:sz w:val="24"/>
                <w:szCs w:val="24"/>
                <w:highlight w:val="none"/>
                <w:lang w:val="zh-CN"/>
              </w:rPr>
            </w:pPr>
            <w:r>
              <w:rPr>
                <w:rFonts w:hint="eastAsia" w:ascii="宋体" w:hAnsi="宋体" w:eastAsia="宋体" w:cs="宋体"/>
                <w:bCs/>
                <w:spacing w:val="-10"/>
                <w:sz w:val="24"/>
                <w:szCs w:val="24"/>
                <w:highlight w:val="none"/>
              </w:rPr>
              <w:t xml:space="preserve">≤3亿元</w:t>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ind w:left="-91"/>
              <w:jc w:val="center"/>
              <w:widowControl/>
              <w:rPr>
                <w:rFonts w:hint="eastAsia" w:ascii="宋体" w:hAnsi="宋体" w:eastAsia="宋体" w:cs="宋体"/>
                <w:sz w:val="24"/>
                <w:szCs w:val="24"/>
                <w:highlight w:val="none"/>
                <w:lang w:val="zh-CN"/>
              </w:rPr>
            </w:pPr>
            <w:r>
              <w:rPr>
                <w:rFonts w:hint="eastAsia" w:ascii="宋体" w:hAnsi="宋体" w:eastAsia="宋体" w:cs="宋体"/>
                <w:bCs/>
                <w:spacing w:val="-10"/>
                <w:sz w:val="24"/>
                <w:szCs w:val="24"/>
                <w:highlight w:val="none"/>
              </w:rPr>
              <w:t xml:space="preserve">≤5亿元</w:t>
            </w:r>
            <w:r/>
          </w:p>
        </w:tc>
        <w:tc>
          <w:tcPr>
            <w:gridSpan w:val="2"/>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ind w:left="-91"/>
              <w:jc w:val="center"/>
              <w:widowControl/>
              <w:rPr>
                <w:rFonts w:hint="eastAsia" w:ascii="宋体" w:hAnsi="宋体" w:eastAsia="宋体" w:cs="宋体"/>
                <w:bCs/>
                <w:spacing w:val="-10"/>
                <w:sz w:val="24"/>
                <w:szCs w:val="24"/>
                <w:highlight w:val="none"/>
              </w:rPr>
            </w:pPr>
            <w:r>
              <w:rPr>
                <w:rFonts w:hint="eastAsia" w:ascii="宋体" w:hAnsi="宋体" w:eastAsia="宋体" w:cs="宋体"/>
                <w:sz w:val="24"/>
                <w:szCs w:val="24"/>
                <w:highlight w:val="none"/>
                <w:lang w:val="zh-CN"/>
              </w:rPr>
              <w:t xml:space="preserve">＞5</w:t>
            </w:r>
            <w:r>
              <w:rPr>
                <w:rFonts w:hint="eastAsia" w:ascii="宋体" w:hAnsi="宋体" w:eastAsia="宋体" w:cs="宋体"/>
                <w:bCs/>
                <w:spacing w:val="-10"/>
                <w:sz w:val="24"/>
                <w:szCs w:val="24"/>
                <w:highlight w:val="none"/>
              </w:rPr>
              <w:t xml:space="preserve">亿元</w:t>
            </w:r>
            <w:r/>
          </w:p>
        </w:tc>
      </w:tr>
      <w:tr>
        <w:trPr>
          <w:cantSplit/>
          <w:trHeight w:val="442"/>
        </w:trPr>
        <w:tc>
          <w:tcPr>
            <w:tcBorders>
              <w:left w:val="single" w:color="000000" w:sz="6" w:space="0"/>
              <w:bottom w:val="single" w:color="000000" w:sz="6" w:space="0"/>
              <w:right w:val="single" w:color="000000" w:sz="6" w:space="0"/>
            </w:tcBorders>
            <w:tcW w:w="391" w:type="dxa"/>
            <w:vAlign w:val="center"/>
            <w:vMerge w:val="continue"/>
            <w:textDirection w:val="lrTb"/>
            <w:noWrap w:val="false"/>
          </w:tcPr>
          <w:p>
            <w:pPr>
              <w:ind w:left="-9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left w:val="single" w:color="000000" w:sz="6" w:space="0"/>
              <w:bottom w:val="single" w:color="000000" w:sz="6" w:space="0"/>
              <w:right w:val="single" w:color="000000" w:sz="6" w:space="0"/>
            </w:tcBorders>
            <w:tcW w:w="602" w:type="dxa"/>
            <w:vAlign w:val="center"/>
            <w:vMerge w:val="continue"/>
            <w:textDirection w:val="lrTb"/>
            <w:noWrap w:val="false"/>
          </w:tcPr>
          <w:p>
            <w:pP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9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送审金额</w:t>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ind w:left="-9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0.090</w:t>
            </w:r>
            <w:r/>
          </w:p>
        </w:tc>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ind w:left="-9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0.080</w:t>
            </w:r>
            <w:r/>
          </w:p>
        </w:tc>
        <w:tc>
          <w:tcPr>
            <w:gridSpan w:val="2"/>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ind w:left="-9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0.070</w:t>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ind w:left="-9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0.060</w:t>
            </w:r>
            <w:r/>
          </w:p>
        </w:tc>
        <w:tc>
          <w:tcPr>
            <w:gridSpan w:val="2"/>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ind w:left="-9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0.045</w:t>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ind w:left="-9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0.03</w:t>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ind w:left="-9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0.025</w:t>
            </w:r>
            <w:r/>
          </w:p>
        </w:tc>
        <w:tc>
          <w:tcPr>
            <w:gridSpan w:val="2"/>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ind w:left="-9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0.015</w:t>
            </w:r>
            <w:r/>
          </w:p>
        </w:tc>
      </w:tr>
      <w:tr>
        <w:trPr>
          <w:cantSplit/>
          <w:gridAfter w:val="1"/>
          <w:trHeight w:val="361"/>
        </w:trPr>
        <w:tc>
          <w:tcPr>
            <w:gridSpan w:val="2"/>
            <w:tcBorders>
              <w:top w:val="single" w:color="000000" w:sz="6" w:space="0"/>
              <w:left w:val="single" w:color="000000" w:sz="6" w:space="0"/>
              <w:right w:val="single" w:color="000000" w:sz="6" w:space="0"/>
            </w:tcBorders>
            <w:tcW w:w="426" w:type="dxa"/>
            <w:vAlign w:val="center"/>
            <w:vMerge w:val="restart"/>
            <w:textDirection w:val="lrTb"/>
            <w:noWrap w:val="false"/>
          </w:tcPr>
          <w:p>
            <w:pPr>
              <w:ind w:left="-91"/>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p>
        </w:tc>
        <w:tc>
          <w:tcPr>
            <w:tcBorders>
              <w:top w:val="single" w:color="000000" w:sz="6" w:space="0"/>
              <w:left w:val="single" w:color="000000" w:sz="6" w:space="0"/>
              <w:right w:val="single" w:color="000000" w:sz="6" w:space="0"/>
            </w:tcBorders>
            <w:tcW w:w="567" w:type="dxa"/>
            <w:vAlign w:val="center"/>
            <w:vMerge w:val="restart"/>
            <w:textDirection w:val="lrTb"/>
            <w:noWrap w:val="false"/>
          </w:tcPr>
          <w:p>
            <w:pPr>
              <w:widowControl/>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效益收入</w:t>
            </w:r>
            <w:r/>
          </w:p>
        </w:tc>
        <w:tc>
          <w:tcPr>
            <w:tcBorders>
              <w:top w:val="single" w:color="000000" w:sz="6" w:space="0"/>
              <w:left w:val="single" w:color="000000" w:sz="6" w:space="0"/>
              <w:bottom w:val="single" w:color="000000" w:sz="6" w:space="0"/>
              <w:right w:val="single" w:color="000000" w:sz="6" w:space="0"/>
            </w:tcBorders>
            <w:tcW w:w="1134" w:type="dxa"/>
            <w:vAlign w:val="center"/>
            <w:vMerge w:val="restart"/>
            <w:textDirection w:val="lrTb"/>
            <w:noWrap w:val="false"/>
          </w:tcPr>
          <w:p>
            <w:pPr>
              <w:ind w:left="-91"/>
              <w:jc w:val="center"/>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计费金额</w:t>
            </w:r>
            <w:r/>
          </w:p>
        </w:tc>
        <w:tc>
          <w:tcPr>
            <w:gridSpan w:val="10"/>
            <w:tcBorders>
              <w:top w:val="single" w:color="000000" w:sz="6" w:space="0"/>
              <w:left w:val="single" w:color="000000" w:sz="6" w:space="0"/>
              <w:bottom w:val="single" w:color="000000" w:sz="6" w:space="0"/>
              <w:right w:val="single" w:color="000000" w:sz="6" w:space="0"/>
            </w:tcBorders>
            <w:tcW w:w="6095" w:type="dxa"/>
            <w:vAlign w:val="center"/>
            <w:textDirection w:val="lrTb"/>
            <w:noWrap w:val="false"/>
          </w:tcPr>
          <w:p>
            <w:pPr>
              <w:ind w:left="-91"/>
              <w:jc w:val="center"/>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核减率（</w:t>
            </w:r>
            <w:r>
              <w:rPr>
                <w:rFonts w:hint="eastAsia" w:ascii="宋体" w:hAnsi="宋体" w:eastAsia="宋体" w:cs="宋体"/>
                <w:bCs/>
                <w:spacing w:val="-10"/>
                <w:sz w:val="24"/>
                <w:szCs w:val="24"/>
                <w:highlight w:val="none"/>
              </w:rPr>
              <w:t xml:space="preserve">费率单位：%）</w:t>
            </w:r>
            <w:r/>
          </w:p>
        </w:tc>
      </w:tr>
      <w:tr>
        <w:trPr>
          <w:cantSplit/>
          <w:gridAfter w:val="1"/>
          <w:trHeight w:val="364"/>
        </w:trPr>
        <w:tc>
          <w:tcPr>
            <w:gridSpan w:val="2"/>
            <w:tcBorders>
              <w:left w:val="single" w:color="000000" w:sz="6" w:space="0"/>
              <w:right w:val="single" w:color="000000" w:sz="6" w:space="0"/>
            </w:tcBorders>
            <w:tcW w:w="426" w:type="dxa"/>
            <w:vAlign w:val="center"/>
            <w:vMerge w:val="continue"/>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left w:val="single" w:color="000000" w:sz="6" w:space="0"/>
              <w:right w:val="single" w:color="000000" w:sz="6" w:space="0"/>
            </w:tcBorders>
            <w:tcW w:w="567" w:type="dxa"/>
            <w:vAlign w:val="center"/>
            <w:vMerge w:val="continue"/>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vAlign w:val="center"/>
            <w:vMerge w:val="continue"/>
            <w:textDirection w:val="lrTb"/>
            <w:noWrap w:val="false"/>
          </w:tcPr>
          <w:p>
            <w:pPr>
              <w:jc w:val="lef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ind w:left="-91"/>
              <w:jc w:val="center"/>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5%以内</w:t>
            </w:r>
            <w:r/>
          </w:p>
        </w:tc>
        <w:tc>
          <w:tcPr>
            <w:gridSpan w:val="3"/>
            <w:tcBorders>
              <w:top w:val="single" w:color="000000" w:sz="6" w:space="0"/>
              <w:left w:val="single" w:color="000000" w:sz="6" w:space="0"/>
              <w:bottom w:val="single" w:color="000000" w:sz="6" w:space="0"/>
              <w:right w:val="single" w:color="000000" w:sz="6" w:space="0"/>
            </w:tcBorders>
            <w:tcW w:w="1914" w:type="dxa"/>
            <w:vAlign w:val="center"/>
            <w:textDirection w:val="lrTb"/>
            <w:noWrap w:val="false"/>
          </w:tcPr>
          <w:p>
            <w:pPr>
              <w:ind w:firstLine="105"/>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5%-10%</w:t>
            </w:r>
            <w:r/>
          </w:p>
        </w:tc>
        <w:tc>
          <w:tcPr>
            <w:gridSpan w:val="4"/>
            <w:tcBorders>
              <w:top w:val="single" w:color="000000" w:sz="6" w:space="0"/>
              <w:left w:val="single" w:color="000000" w:sz="6" w:space="0"/>
              <w:bottom w:val="single" w:color="000000" w:sz="6" w:space="0"/>
              <w:right w:val="single" w:color="000000" w:sz="6" w:space="0"/>
            </w:tcBorders>
            <w:tcW w:w="2480" w:type="dxa"/>
            <w:vAlign w:val="center"/>
            <w:textDirection w:val="lrTb"/>
            <w:noWrap w:val="false"/>
          </w:tcPr>
          <w:p>
            <w:pPr>
              <w:ind w:firstLine="21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10%以上</w:t>
            </w:r>
            <w:r/>
          </w:p>
        </w:tc>
      </w:tr>
      <w:tr>
        <w:trPr>
          <w:cantSplit/>
          <w:gridAfter w:val="1"/>
          <w:trHeight w:val="470"/>
        </w:trPr>
        <w:tc>
          <w:tcPr>
            <w:gridSpan w:val="2"/>
            <w:tcBorders>
              <w:left w:val="single" w:color="000000" w:sz="6" w:space="0"/>
              <w:bottom w:val="single" w:color="000000" w:sz="6" w:space="0"/>
              <w:right w:val="single" w:color="000000" w:sz="6" w:space="0"/>
            </w:tcBorders>
            <w:tcW w:w="426" w:type="dxa"/>
            <w:vAlign w:val="center"/>
            <w:vMerge w:val="continue"/>
            <w:textDirection w:val="lrTb"/>
            <w:noWrap w:val="false"/>
          </w:tcPr>
          <w:p>
            <w:pPr>
              <w:ind w:left="-9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000000" w:sz="6" w:space="0"/>
              <w:bottom w:val="single" w:color="000000" w:sz="6" w:space="0"/>
              <w:right w:val="single" w:color="000000" w:sz="6" w:space="0"/>
            </w:tcBorders>
            <w:tcW w:w="567" w:type="dxa"/>
            <w:vAlign w:val="center"/>
            <w:vMerge w:val="continue"/>
            <w:textDirection w:val="lrTb"/>
            <w:noWrap w:val="false"/>
          </w:tcPr>
          <w:p>
            <w:pP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净核减额</w:t>
            </w:r>
            <w:r/>
          </w:p>
        </w:tc>
        <w:tc>
          <w:tcPr>
            <w:gridSpan w:val="3"/>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ind w:left="-9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0.20</w:t>
            </w:r>
            <w:r/>
          </w:p>
        </w:tc>
        <w:tc>
          <w:tcPr>
            <w:gridSpan w:val="3"/>
            <w:tcBorders>
              <w:top w:val="single" w:color="000000" w:sz="6" w:space="0"/>
              <w:left w:val="single" w:color="000000" w:sz="6" w:space="0"/>
              <w:bottom w:val="single" w:color="000000" w:sz="6" w:space="0"/>
              <w:right w:val="single" w:color="000000" w:sz="6" w:space="0"/>
            </w:tcBorders>
            <w:tcW w:w="1914" w:type="dxa"/>
            <w:vAlign w:val="center"/>
            <w:textDirection w:val="lrTb"/>
            <w:noWrap w:val="false"/>
          </w:tcPr>
          <w:p>
            <w:pPr>
              <w:ind w:left="-9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0.13</w:t>
            </w:r>
            <w:r/>
          </w:p>
        </w:tc>
        <w:tc>
          <w:tcPr>
            <w:gridSpan w:val="4"/>
            <w:tcBorders>
              <w:top w:val="single" w:color="000000" w:sz="6" w:space="0"/>
              <w:left w:val="single" w:color="000000" w:sz="6" w:space="0"/>
              <w:bottom w:val="single" w:color="000000" w:sz="6" w:space="0"/>
              <w:right w:val="single" w:color="000000" w:sz="6" w:space="0"/>
            </w:tcBorders>
            <w:tcW w:w="2480" w:type="dxa"/>
            <w:vAlign w:val="center"/>
            <w:textDirection w:val="lrTb"/>
            <w:noWrap w:val="false"/>
          </w:tcPr>
          <w:p>
            <w:pPr>
              <w:ind w:left="-9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0.11</w:t>
            </w:r>
            <w:r/>
          </w:p>
        </w:tc>
      </w:tr>
    </w:tbl>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733"/>
        <w:tblW w:w="8192" w:type="dxa"/>
        <w:tblInd w:w="85" w:type="dxa"/>
        <w:tblLayout w:type="fixed"/>
        <w:tblCellMar>
          <w:left w:w="85" w:type="dxa"/>
          <w:top w:w="0" w:type="dxa"/>
          <w:right w:w="42" w:type="dxa"/>
          <w:bottom w:w="0" w:type="dxa"/>
        </w:tblCellMar>
        <w:tblLook w:val="04A0" w:firstRow="1" w:lastRow="0" w:firstColumn="1" w:lastColumn="0" w:noHBand="0" w:noVBand="1"/>
      </w:tblPr>
      <w:tblGrid>
        <w:gridCol w:w="391"/>
        <w:gridCol w:w="602"/>
        <w:gridCol w:w="1134"/>
        <w:gridCol w:w="992"/>
        <w:gridCol w:w="1065"/>
        <w:gridCol w:w="1065"/>
        <w:gridCol w:w="1039"/>
        <w:gridCol w:w="920"/>
        <w:gridCol w:w="984"/>
      </w:tblGrid>
      <w:tr>
        <w:trPr>
          <w:cantSplit/>
          <w:trHeight w:val="314"/>
        </w:trPr>
        <w:tc>
          <w:tcPr>
            <w:tcBorders>
              <w:top w:val="single" w:color="000000" w:sz="6" w:space="0"/>
              <w:left w:val="single" w:color="000000" w:sz="6" w:space="0"/>
              <w:right w:val="single" w:color="000000" w:sz="6" w:space="0"/>
            </w:tcBorders>
            <w:tcW w:w="391" w:type="dxa"/>
            <w:vAlign w:val="center"/>
            <w:vMerge w:val="restart"/>
            <w:textDirection w:val="lrTb"/>
            <w:noWrap w:val="false"/>
          </w:tcPr>
          <w:p>
            <w:pPr>
              <w:ind w:left="-91"/>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w:t>
            </w:r>
            <w:r/>
          </w:p>
        </w:tc>
        <w:tc>
          <w:tcPr>
            <w:tcBorders>
              <w:top w:val="single" w:color="000000" w:sz="6" w:space="0"/>
              <w:left w:val="single" w:color="000000" w:sz="6" w:space="0"/>
              <w:right w:val="single" w:color="000000" w:sz="6" w:space="0"/>
            </w:tcBorders>
            <w:tcW w:w="602" w:type="dxa"/>
            <w:vAlign w:val="center"/>
            <w:vMerge w:val="restart"/>
            <w:textDirection w:val="lrTb"/>
            <w:noWrap w:val="false"/>
          </w:tcPr>
          <w:p>
            <w:pPr>
              <w:widowControl/>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优化奖励收入</w:t>
            </w:r>
            <w:r/>
          </w:p>
        </w:tc>
        <w:tc>
          <w:tcPr>
            <w:tcBorders>
              <w:top w:val="single" w:color="000000" w:sz="6" w:space="0"/>
              <w:left w:val="single" w:color="000000" w:sz="6" w:space="0"/>
              <w:bottom w:val="single" w:color="000000" w:sz="6" w:space="0"/>
              <w:right w:val="single" w:color="000000" w:sz="6" w:space="0"/>
            </w:tcBorders>
            <w:tcW w:w="1134" w:type="dxa"/>
            <w:vAlign w:val="center"/>
            <w:vMerge w:val="restart"/>
            <w:textDirection w:val="lrTb"/>
            <w:noWrap w:val="false"/>
          </w:tcPr>
          <w:p>
            <w:pPr>
              <w:ind w:left="-91"/>
              <w:jc w:val="center"/>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计费金额</w:t>
            </w:r>
            <w:r/>
          </w:p>
        </w:tc>
        <w:tc>
          <w:tcPr>
            <w:gridSpan w:val="6"/>
            <w:tcBorders>
              <w:top w:val="single" w:color="000000" w:sz="6" w:space="0"/>
              <w:left w:val="single" w:color="000000" w:sz="6" w:space="0"/>
              <w:bottom w:val="single" w:color="000000" w:sz="6" w:space="0"/>
              <w:right w:val="single" w:color="000000" w:sz="6" w:space="0"/>
            </w:tcBorders>
            <w:tcW w:w="6065" w:type="dxa"/>
            <w:vAlign w:val="top"/>
            <w:textDirection w:val="lrTb"/>
            <w:noWrap w:val="false"/>
          </w:tcPr>
          <w:p>
            <w:pPr>
              <w:ind w:left="-91"/>
              <w:jc w:val="center"/>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划分标准（单位：</w:t>
            </w:r>
            <w:r>
              <w:rPr>
                <w:rFonts w:hint="eastAsia" w:ascii="宋体" w:hAnsi="宋体" w:eastAsia="宋体" w:cs="宋体"/>
                <w:bCs/>
                <w:spacing w:val="-10"/>
                <w:sz w:val="24"/>
                <w:szCs w:val="24"/>
                <w:highlight w:val="none"/>
              </w:rPr>
              <w:t xml:space="preserve">万元；费率单位：%）</w:t>
            </w:r>
            <w:r/>
          </w:p>
        </w:tc>
      </w:tr>
      <w:tr>
        <w:trPr>
          <w:cantSplit/>
          <w:trHeight w:val="403"/>
        </w:trPr>
        <w:tc>
          <w:tcPr>
            <w:tcBorders>
              <w:left w:val="single" w:color="000000" w:sz="6" w:space="0"/>
              <w:right w:val="single" w:color="000000" w:sz="6" w:space="0"/>
            </w:tcBorders>
            <w:tcW w:w="391" w:type="dxa"/>
            <w:vAlign w:val="center"/>
            <w:vMerge w:val="continue"/>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left w:val="single" w:color="000000" w:sz="6" w:space="0"/>
              <w:right w:val="single" w:color="000000" w:sz="6" w:space="0"/>
            </w:tcBorders>
            <w:tcW w:w="602" w:type="dxa"/>
            <w:vAlign w:val="center"/>
            <w:vMerge w:val="continue"/>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vAlign w:val="center"/>
            <w:vMerge w:val="continue"/>
            <w:textDirection w:val="lrTb"/>
            <w:noWrap w:val="false"/>
          </w:tcPr>
          <w:p>
            <w:pPr>
              <w:jc w:val="lef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ind w:left="-91"/>
              <w:jc w:val="center"/>
              <w:widowControl/>
              <w:rPr>
                <w:rFonts w:hint="eastAsia" w:ascii="宋体" w:hAnsi="宋体" w:eastAsia="宋体" w:cs="宋体"/>
                <w:bCs/>
                <w:sz w:val="24"/>
                <w:szCs w:val="24"/>
                <w:highlight w:val="none"/>
              </w:rPr>
            </w:pPr>
            <w:r>
              <w:rPr>
                <w:rFonts w:hint="eastAsia" w:ascii="宋体" w:hAnsi="宋体" w:eastAsia="宋体" w:cs="宋体"/>
                <w:bCs/>
                <w:spacing w:val="-10"/>
                <w:sz w:val="24"/>
                <w:szCs w:val="24"/>
                <w:highlight w:val="none"/>
              </w:rPr>
              <w:t xml:space="preserve">≤ 100</w:t>
            </w:r>
            <w:r/>
          </w:p>
        </w:tc>
        <w:tc>
          <w:tcPr>
            <w:tcBorders>
              <w:top w:val="single" w:color="000000" w:sz="6" w:space="0"/>
              <w:left w:val="single" w:color="000000" w:sz="6" w:space="0"/>
              <w:bottom w:val="single" w:color="000000" w:sz="6" w:space="0"/>
              <w:right w:val="single" w:color="000000" w:sz="6" w:space="0"/>
            </w:tcBorders>
            <w:tcW w:w="106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Cs/>
                <w:spacing w:val="-10"/>
                <w:sz w:val="24"/>
                <w:szCs w:val="24"/>
                <w:highlight w:val="none"/>
              </w:rPr>
              <w:t xml:space="preserve">≤ 300</w:t>
            </w:r>
            <w:r/>
          </w:p>
        </w:tc>
        <w:tc>
          <w:tcPr>
            <w:tcBorders>
              <w:top w:val="single" w:color="000000" w:sz="6" w:space="0"/>
              <w:left w:val="single" w:color="000000" w:sz="6" w:space="0"/>
              <w:bottom w:val="single" w:color="000000" w:sz="6" w:space="0"/>
              <w:right w:val="single" w:color="000000" w:sz="6" w:space="0"/>
            </w:tcBorders>
            <w:tcW w:w="106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Cs/>
                <w:spacing w:val="-10"/>
                <w:sz w:val="24"/>
                <w:szCs w:val="24"/>
                <w:highlight w:val="none"/>
              </w:rPr>
              <w:t xml:space="preserve">≤ 500</w:t>
            </w:r>
            <w:r/>
          </w:p>
        </w:tc>
        <w:tc>
          <w:tcPr>
            <w:tcBorders>
              <w:top w:val="single" w:color="000000" w:sz="6" w:space="0"/>
              <w:left w:val="single" w:color="000000" w:sz="6" w:space="0"/>
              <w:bottom w:val="single" w:color="000000" w:sz="6" w:space="0"/>
              <w:right w:val="single" w:color="000000" w:sz="6" w:space="0"/>
            </w:tcBorders>
            <w:tcW w:w="103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Cs/>
                <w:spacing w:val="-10"/>
                <w:sz w:val="24"/>
                <w:szCs w:val="24"/>
                <w:highlight w:val="none"/>
              </w:rPr>
              <w:t xml:space="preserve">≤ 1000</w:t>
            </w:r>
            <w:r/>
          </w:p>
        </w:tc>
        <w:tc>
          <w:tcPr>
            <w:tcBorders>
              <w:top w:val="single" w:color="000000" w:sz="6" w:space="0"/>
              <w:left w:val="single" w:color="000000" w:sz="6" w:space="0"/>
              <w:bottom w:val="single" w:color="000000" w:sz="6" w:space="0"/>
              <w:right w:val="single" w:color="000000" w:sz="6" w:space="0"/>
            </w:tcBorders>
            <w:tcW w:w="92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Cs/>
                <w:spacing w:val="-10"/>
                <w:sz w:val="24"/>
                <w:szCs w:val="24"/>
                <w:highlight w:val="none"/>
              </w:rPr>
              <w:t xml:space="preserve">≤ 5000</w:t>
            </w:r>
            <w:r/>
          </w:p>
        </w:tc>
        <w:tc>
          <w:tcPr>
            <w:tcBorders>
              <w:top w:val="single" w:color="000000" w:sz="6" w:space="0"/>
              <w:left w:val="single" w:color="000000" w:sz="6" w:space="0"/>
              <w:bottom w:val="single" w:color="000000" w:sz="6" w:space="0"/>
              <w:right w:val="single" w:color="000000" w:sz="6" w:space="0"/>
            </w:tcBorders>
            <w:tcW w:w="984" w:type="dxa"/>
            <w:vAlign w:val="center"/>
            <w:textDirection w:val="lrTb"/>
            <w:noWrap w:val="false"/>
          </w:tcPr>
          <w:p>
            <w:pPr>
              <w:ind w:left="-91"/>
              <w:jc w:val="center"/>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＞5000</w:t>
            </w:r>
            <w:r/>
          </w:p>
        </w:tc>
      </w:tr>
      <w:tr>
        <w:trPr>
          <w:cantSplit/>
          <w:trHeight w:val="478"/>
        </w:trPr>
        <w:tc>
          <w:tcPr>
            <w:tcBorders>
              <w:left w:val="single" w:color="000000" w:sz="6" w:space="0"/>
              <w:bottom w:val="single" w:color="000000" w:sz="6" w:space="0"/>
              <w:right w:val="single" w:color="000000" w:sz="6" w:space="0"/>
            </w:tcBorders>
            <w:tcW w:w="391" w:type="dxa"/>
            <w:vAlign w:val="center"/>
            <w:vMerge w:val="continue"/>
            <w:textDirection w:val="lrTb"/>
            <w:noWrap w:val="false"/>
          </w:tcPr>
          <w:p>
            <w:pPr>
              <w:ind w:left="-9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000000" w:sz="6" w:space="0"/>
              <w:bottom w:val="single" w:color="000000" w:sz="6" w:space="0"/>
              <w:right w:val="single" w:color="000000" w:sz="6" w:space="0"/>
            </w:tcBorders>
            <w:tcW w:w="602" w:type="dxa"/>
            <w:vAlign w:val="center"/>
            <w:vMerge w:val="continue"/>
            <w:textDirection w:val="lrTb"/>
            <w:noWrap w:val="false"/>
          </w:tcPr>
          <w:p>
            <w:pP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9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优化设计采纳后的核减额</w:t>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ind w:left="-9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0.84</w:t>
            </w:r>
            <w:r/>
          </w:p>
        </w:tc>
        <w:tc>
          <w:tcPr>
            <w:tcBorders>
              <w:top w:val="single" w:color="000000" w:sz="6" w:space="0"/>
              <w:left w:val="single" w:color="000000" w:sz="6" w:space="0"/>
              <w:bottom w:val="single" w:color="000000" w:sz="6" w:space="0"/>
              <w:right w:val="single" w:color="000000" w:sz="6" w:space="0"/>
            </w:tcBorders>
            <w:tcW w:w="1065" w:type="dxa"/>
            <w:vAlign w:val="center"/>
            <w:textDirection w:val="lrTb"/>
            <w:noWrap w:val="false"/>
          </w:tcPr>
          <w:p>
            <w:pPr>
              <w:ind w:left="-9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0.75</w:t>
            </w:r>
            <w:r/>
          </w:p>
        </w:tc>
        <w:tc>
          <w:tcPr>
            <w:tcBorders>
              <w:top w:val="single" w:color="000000" w:sz="6" w:space="0"/>
              <w:left w:val="single" w:color="000000" w:sz="6" w:space="0"/>
              <w:bottom w:val="single" w:color="000000" w:sz="6" w:space="0"/>
              <w:right w:val="single" w:color="000000" w:sz="6" w:space="0"/>
            </w:tcBorders>
            <w:tcW w:w="1065" w:type="dxa"/>
            <w:vAlign w:val="center"/>
            <w:textDirection w:val="lrTb"/>
            <w:noWrap w:val="false"/>
          </w:tcPr>
          <w:p>
            <w:pPr>
              <w:ind w:left="-9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0.60</w:t>
            </w:r>
            <w:r/>
          </w:p>
        </w:tc>
        <w:tc>
          <w:tcPr>
            <w:tcBorders>
              <w:top w:val="single" w:color="000000" w:sz="6" w:space="0"/>
              <w:left w:val="single" w:color="000000" w:sz="6" w:space="0"/>
              <w:bottom w:val="single" w:color="000000" w:sz="6" w:space="0"/>
              <w:right w:val="single" w:color="000000" w:sz="6" w:space="0"/>
            </w:tcBorders>
            <w:tcW w:w="1039" w:type="dxa"/>
            <w:vAlign w:val="center"/>
            <w:textDirection w:val="lrTb"/>
            <w:noWrap w:val="false"/>
          </w:tcPr>
          <w:p>
            <w:pPr>
              <w:ind w:left="-9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0.48</w:t>
            </w:r>
            <w:r/>
          </w:p>
        </w:tc>
        <w:tc>
          <w:tcPr>
            <w:tcBorders>
              <w:top w:val="single" w:color="000000" w:sz="6" w:space="0"/>
              <w:left w:val="single" w:color="000000" w:sz="6" w:space="0"/>
              <w:bottom w:val="single" w:color="000000" w:sz="6" w:space="0"/>
              <w:right w:val="single" w:color="000000" w:sz="6" w:space="0"/>
            </w:tcBorders>
            <w:tcW w:w="920" w:type="dxa"/>
            <w:vAlign w:val="center"/>
            <w:textDirection w:val="lrTb"/>
            <w:noWrap w:val="false"/>
          </w:tcPr>
          <w:p>
            <w:pPr>
              <w:ind w:left="-9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0.36</w:t>
            </w:r>
            <w:r/>
          </w:p>
        </w:tc>
        <w:tc>
          <w:tcPr>
            <w:tcBorders>
              <w:top w:val="single" w:color="000000" w:sz="6" w:space="0"/>
              <w:left w:val="single" w:color="000000" w:sz="6" w:space="0"/>
              <w:bottom w:val="single" w:color="000000" w:sz="6" w:space="0"/>
              <w:right w:val="single" w:color="000000" w:sz="6" w:space="0"/>
            </w:tcBorders>
            <w:tcW w:w="984" w:type="dxa"/>
            <w:vAlign w:val="center"/>
            <w:textDirection w:val="lrTb"/>
            <w:noWrap w:val="false"/>
          </w:tcPr>
          <w:p>
            <w:pPr>
              <w:ind w:left="-9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0.30</w:t>
            </w:r>
            <w:r/>
          </w:p>
        </w:tc>
      </w:tr>
    </w:tbl>
    <w:p>
      <w:pPr>
        <w:ind w:left="1" w:hanging="1"/>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 </w:t>
      </w:r>
      <w:r/>
    </w:p>
    <w:p>
      <w:pPr>
        <w:numPr>
          <w:ilvl w:val="0"/>
          <w:numId w:val="4"/>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整体建设项目为单独装饰工程、单独的安装工程、单独的修缮工程及仿古建筑工程的“基本收入”×1.1； </w:t>
      </w:r>
      <w:r/>
    </w:p>
    <w:p>
      <w:pPr>
        <w:numPr>
          <w:ilvl w:val="0"/>
          <w:numId w:val="4"/>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核增金额不抵扣核减额，优化核减未经采纳或经评定不予采纳的不计入成果费用基数；</w:t>
      </w:r>
      <w:r/>
    </w:p>
    <w:p>
      <w:pPr>
        <w:numPr>
          <w:ilvl w:val="0"/>
          <w:numId w:val="4"/>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暂列金额、暂估价不计入基本费与成果费收费基数内；</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四、</w:t>
      </w:r>
      <w:r>
        <w:rPr>
          <w:rFonts w:hint="eastAsia" w:ascii="宋体" w:hAnsi="宋体" w:eastAsia="宋体" w:cs="宋体"/>
          <w:sz w:val="24"/>
          <w:szCs w:val="24"/>
          <w:highlight w:val="none"/>
        </w:rPr>
        <w:t xml:space="preserve">如项目较大、编标单位非故意高估导致核减较大，或(费用)子目出现小数点错误等类似情况导致出现造价核减较大等情况的，咨询费用视具体情况予以打折。</w:t>
      </w:r>
      <w:r/>
    </w:p>
    <w:p>
      <w:pPr>
        <w:spacing w:line="360" w:lineRule="auto"/>
        <w:widowControl/>
        <w:rPr>
          <w:rFonts w:hint="eastAsia" w:ascii="宋体" w:hAnsi="宋体" w:eastAsia="宋体" w:cs="宋体"/>
          <w:spacing w:val="-4"/>
          <w:sz w:val="24"/>
          <w:szCs w:val="24"/>
          <w:highlight w:val="none"/>
        </w:rPr>
      </w:pPr>
      <w:r>
        <w:rPr>
          <w:rFonts w:hint="eastAsia" w:ascii="宋体" w:hAnsi="宋体" w:eastAsia="宋体" w:cs="宋体"/>
          <w:b/>
          <w:bCs/>
          <w:spacing w:val="-4"/>
          <w:sz w:val="24"/>
          <w:szCs w:val="24"/>
          <w:highlight w:val="none"/>
        </w:rPr>
        <w:t xml:space="preserve">第</w:t>
      </w:r>
      <w:r>
        <w:rPr>
          <w:rFonts w:hint="eastAsia" w:ascii="宋体" w:hAnsi="宋体" w:eastAsia="宋体" w:cs="宋体"/>
          <w:b/>
          <w:bCs/>
          <w:spacing w:val="-4"/>
          <w:sz w:val="24"/>
          <w:szCs w:val="24"/>
          <w:highlight w:val="none"/>
          <w:lang w:val="en-US" w:eastAsia="zh-CN"/>
        </w:rPr>
        <w:t xml:space="preserve">八</w:t>
      </w:r>
      <w:r>
        <w:rPr>
          <w:rFonts w:hint="eastAsia" w:ascii="宋体" w:hAnsi="宋体" w:eastAsia="宋体" w:cs="宋体"/>
          <w:b/>
          <w:bCs/>
          <w:spacing w:val="-4"/>
          <w:sz w:val="24"/>
          <w:szCs w:val="24"/>
          <w:highlight w:val="none"/>
        </w:rPr>
        <w:t xml:space="preserve">条</w:t>
      </w:r>
      <w:r>
        <w:rPr>
          <w:rFonts w:hint="eastAsia" w:ascii="宋体" w:hAnsi="宋体" w:eastAsia="宋体" w:cs="宋体"/>
          <w:spacing w:val="-4"/>
          <w:sz w:val="24"/>
          <w:szCs w:val="24"/>
          <w:highlight w:val="none"/>
        </w:rPr>
        <w:t xml:space="preserve">  </w:t>
      </w:r>
      <w:r>
        <w:rPr>
          <w:rFonts w:hint="eastAsia" w:ascii="宋体" w:hAnsi="宋体" w:eastAsia="宋体" w:cs="宋体"/>
          <w:sz w:val="24"/>
          <w:szCs w:val="24"/>
          <w:highlight w:val="none"/>
        </w:rPr>
        <w:t xml:space="preserve">竣工结算审核</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1.竣工结算费用包括基本费和成果费</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(1)基本费</w:t>
      </w:r>
      <w:r>
        <w:rPr>
          <w:rFonts w:hint="eastAsia" w:ascii="宋体" w:hAnsi="宋体" w:eastAsia="宋体" w:cs="宋体"/>
          <w:sz w:val="24"/>
          <w:szCs w:val="24"/>
          <w:highlight w:val="none"/>
        </w:rPr>
        <w:t xml:space="preserve">采取</w:t>
      </w:r>
      <w:r>
        <w:rPr>
          <w:rFonts w:hint="eastAsia" w:ascii="宋体" w:hAnsi="宋体" w:eastAsia="宋体" w:cs="宋体"/>
          <w:spacing w:val="-4"/>
          <w:sz w:val="24"/>
          <w:szCs w:val="24"/>
          <w:highlight w:val="none"/>
        </w:rPr>
        <w:t xml:space="preserve">差额定率分档累进制</w:t>
      </w:r>
      <w:r>
        <w:rPr>
          <w:rFonts w:hint="eastAsia" w:ascii="宋体" w:hAnsi="宋体" w:eastAsia="宋体" w:cs="宋体"/>
          <w:sz w:val="24"/>
          <w:szCs w:val="24"/>
          <w:highlight w:val="none"/>
        </w:rPr>
        <w:t xml:space="preserve">计费办法计算。详见下表：</w:t>
      </w:r>
      <w:r/>
    </w:p>
    <w:tbl>
      <w:tblPr>
        <w:tblStyle w:val="733"/>
        <w:tblW w:w="8108" w:type="dxa"/>
        <w:tblInd w:w="174" w:type="dxa"/>
        <w:tblLayout w:type="fixed"/>
        <w:tblCellMar>
          <w:left w:w="108" w:type="dxa"/>
          <w:top w:w="0" w:type="dxa"/>
          <w:right w:w="108" w:type="dxa"/>
          <w:bottom w:w="0" w:type="dxa"/>
        </w:tblCellMar>
        <w:tblLook w:val="04A0" w:firstRow="1" w:lastRow="0" w:firstColumn="1" w:lastColumn="0" w:noHBand="0" w:noVBand="1"/>
      </w:tblPr>
      <w:tblGrid>
        <w:gridCol w:w="1020"/>
        <w:gridCol w:w="3969"/>
        <w:gridCol w:w="3119"/>
      </w:tblGrid>
      <w:tr>
        <w:trPr>
          <w:trHeight w:val="353"/>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0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396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送审金额</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3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基本费用率（‰）</w:t>
            </w:r>
            <w:r/>
          </w:p>
        </w:tc>
      </w:tr>
      <w:tr>
        <w:trPr>
          <w:trHeight w:val="353"/>
        </w:trPr>
        <w:tc>
          <w:tcPr>
            <w:shd w:val="clear" w:color="auto" w:fill="ffffff"/>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0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auto" w:fill="ffffff"/>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396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500万内（含）</w:t>
            </w:r>
            <w:r/>
          </w:p>
        </w:tc>
        <w:tc>
          <w:tcPr>
            <w:shd w:val="clear" w:color="auto" w:fill="ffffff"/>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3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w:t>
            </w:r>
            <w:r/>
          </w:p>
        </w:tc>
      </w:tr>
      <w:tr>
        <w:trPr>
          <w:trHeight w:val="353"/>
        </w:trPr>
        <w:tc>
          <w:tcPr>
            <w:shd w:val="clear" w:color="auto" w:fill="ffffff"/>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0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shd w:val="clear" w:color="auto" w:fill="ffffff"/>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396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500-1000万内（含）</w:t>
            </w:r>
            <w:r/>
          </w:p>
        </w:tc>
        <w:tc>
          <w:tcPr>
            <w:shd w:val="clear" w:color="auto" w:fill="ffffff"/>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3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0.98</w:t>
            </w:r>
            <w:r/>
          </w:p>
        </w:tc>
      </w:tr>
      <w:tr>
        <w:trPr>
          <w:trHeight w:val="353"/>
        </w:trPr>
        <w:tc>
          <w:tcPr>
            <w:shd w:val="clear" w:color="auto" w:fill="ffffff"/>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0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shd w:val="clear" w:color="auto" w:fill="ffffff"/>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396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1000-5000万内（含）</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3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0.77</w:t>
            </w:r>
            <w:r/>
          </w:p>
        </w:tc>
      </w:tr>
      <w:tr>
        <w:trPr>
          <w:trHeight w:val="353"/>
        </w:trPr>
        <w:tc>
          <w:tcPr>
            <w:shd w:val="clear" w:color="auto" w:fill="ffffff"/>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0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shd w:val="clear" w:color="auto" w:fill="ffffff"/>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3969" w:type="dxa"/>
            <w:vAlign w:val="center"/>
            <w:textDirection w:val="lrTb"/>
            <w:noWrap w:val="false"/>
          </w:tcPr>
          <w:p>
            <w:pPr>
              <w:ind w:left="21"/>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5000-10000万内（含）</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3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0.63</w:t>
            </w:r>
            <w:r/>
          </w:p>
        </w:tc>
      </w:tr>
      <w:tr>
        <w:trPr>
          <w:trHeight w:val="353"/>
        </w:trPr>
        <w:tc>
          <w:tcPr>
            <w:shd w:val="clear" w:color="auto" w:fill="ffffff"/>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0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shd w:val="clear" w:color="auto" w:fill="ffffff"/>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396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10000-50000万内（含）</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3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0.49</w:t>
            </w:r>
            <w:r/>
          </w:p>
        </w:tc>
      </w:tr>
      <w:tr>
        <w:trPr>
          <w:trHeight w:val="353"/>
        </w:trPr>
        <w:tc>
          <w:tcPr>
            <w:shd w:val="clear" w:color="auto" w:fill="ffffff"/>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0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shd w:val="clear" w:color="auto" w:fill="ffffff"/>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396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5亿以上</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3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0.35</w:t>
            </w:r>
            <w:r/>
          </w:p>
        </w:tc>
      </w:tr>
    </w:tbl>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(2)成果费结算标准</w:t>
      </w:r>
      <w:r/>
    </w:p>
    <w:tbl>
      <w:tblPr>
        <w:tblStyle w:val="733"/>
        <w:tblW w:w="8080" w:type="dxa"/>
        <w:tblInd w:w="202" w:type="dxa"/>
        <w:tblLayout w:type="fixed"/>
        <w:tblCellMar>
          <w:left w:w="108" w:type="dxa"/>
          <w:top w:w="0" w:type="dxa"/>
          <w:right w:w="108" w:type="dxa"/>
          <w:bottom w:w="0" w:type="dxa"/>
        </w:tblCellMar>
        <w:tblLook w:val="04A0" w:firstRow="1" w:lastRow="0" w:firstColumn="1" w:lastColumn="0" w:noHBand="0" w:noVBand="1"/>
      </w:tblPr>
      <w:tblGrid>
        <w:gridCol w:w="2410"/>
        <w:gridCol w:w="2601"/>
        <w:gridCol w:w="3069"/>
      </w:tblGrid>
      <w:tr>
        <w:trPr>
          <w:trHeight w:val="354"/>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41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计费基数</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核减率≤7%部分</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306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核减率＞7%部分</w:t>
            </w:r>
            <w:r/>
          </w:p>
        </w:tc>
      </w:tr>
      <w:tr>
        <w:trPr>
          <w:trHeight w:val="354"/>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41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核减额</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306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r>
    </w:tbl>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备注：核减成果费以核减金额为计算基础，按核减率分段计算审计付费标准。</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(3)未按审计时间要求出具审计报告的，在“</w:t>
      </w:r>
      <w:r>
        <w:rPr>
          <w:rFonts w:hint="eastAsia" w:ascii="宋体" w:hAnsi="宋体" w:eastAsia="宋体" w:cs="宋体"/>
          <w:spacing w:val="-4"/>
          <w:sz w:val="24"/>
          <w:szCs w:val="24"/>
          <w:highlight w:val="none"/>
        </w:rPr>
        <w:t xml:space="preserve">基本费和成果费</w:t>
      </w:r>
      <w:r>
        <w:rPr>
          <w:rFonts w:hint="eastAsia" w:ascii="宋体" w:hAnsi="宋体" w:eastAsia="宋体" w:cs="宋体"/>
          <w:sz w:val="24"/>
          <w:szCs w:val="24"/>
          <w:highlight w:val="none"/>
        </w:rPr>
        <w:t xml:space="preserve">”的基础上按下表扣除一定比例的费用。</w:t>
      </w:r>
      <w:r/>
    </w:p>
    <w:tbl>
      <w:tblPr>
        <w:tblStyle w:val="733"/>
        <w:tblW w:w="83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1382"/>
        <w:gridCol w:w="1382"/>
        <w:gridCol w:w="1382"/>
        <w:gridCol w:w="1382"/>
        <w:gridCol w:w="1382"/>
      </w:tblGrid>
      <w:tr>
        <w:trPr>
          <w:cantSplit/>
          <w:trHeight w:val="417"/>
        </w:trPr>
        <w:tc>
          <w:tcPr>
            <w:tcW w:w="1420" w:type="dxa"/>
            <w:vAlign w:val="center"/>
            <w:vMerge w:val="restart"/>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超时情况</w:t>
            </w:r>
            <w:r/>
          </w:p>
        </w:tc>
        <w:tc>
          <w:tcPr>
            <w:gridSpan w:val="5"/>
            <w:tcW w:w="691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审结报告超时（天）</w:t>
            </w:r>
            <w:r/>
          </w:p>
        </w:tc>
      </w:tr>
      <w:tr>
        <w:trPr>
          <w:cantSplit/>
          <w:trHeight w:val="417"/>
        </w:trPr>
        <w:tc>
          <w:tcPr>
            <w:tcW w:w="1420" w:type="dxa"/>
            <w:vAlign w:val="center"/>
            <w:vMerge w:val="continue"/>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8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w:t>
            </w:r>
            <w:r/>
          </w:p>
        </w:tc>
        <w:tc>
          <w:tcPr>
            <w:tcW w:w="138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≤60</w:t>
            </w:r>
            <w:r/>
          </w:p>
        </w:tc>
        <w:tc>
          <w:tcPr>
            <w:tcW w:w="138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≤120</w:t>
            </w:r>
            <w:r/>
          </w:p>
        </w:tc>
        <w:tc>
          <w:tcPr>
            <w:tcW w:w="138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≤180</w:t>
            </w:r>
            <w:r/>
          </w:p>
        </w:tc>
        <w:tc>
          <w:tcPr>
            <w:tcW w:w="138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＞180</w:t>
            </w:r>
            <w:r/>
          </w:p>
        </w:tc>
      </w:tr>
      <w:tr>
        <w:trPr>
          <w:trHeight w:val="417"/>
        </w:trPr>
        <w:tc>
          <w:tcPr>
            <w:tcW w:w="14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扣除比例</w:t>
            </w:r>
            <w:r/>
          </w:p>
        </w:tc>
        <w:tc>
          <w:tcPr>
            <w:tcW w:w="138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38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138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138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c>
          <w:tcPr>
            <w:tcW w:w="138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p>
        </w:tc>
      </w:tr>
    </w:tbl>
    <w:p>
      <w:pPr>
        <w:jc w:val="center"/>
        <w:spacing w:line="360" w:lineRule="auto"/>
        <w:widowControl/>
        <w:rPr>
          <w:rFonts w:hint="eastAsia" w:ascii="宋体" w:hAnsi="宋体" w:eastAsia="宋体" w:cs="宋体"/>
          <w:b/>
          <w:bCs/>
          <w:spacing w:val="-4"/>
          <w:sz w:val="24"/>
          <w:szCs w:val="24"/>
          <w:highlight w:val="none"/>
        </w:rPr>
      </w:pPr>
      <w:r>
        <w:rPr>
          <w:rFonts w:hint="eastAsia" w:ascii="宋体" w:hAnsi="宋体" w:eastAsia="宋体" w:cs="宋体"/>
          <w:b/>
          <w:bCs/>
          <w:spacing w:val="-4"/>
          <w:sz w:val="24"/>
          <w:szCs w:val="24"/>
          <w:highlight w:val="none"/>
        </w:rPr>
        <w:t xml:space="preserve">注：如存在特殊情况导致延期的，经局长业务会议讨论后确定扣除比例。</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 xml:space="preserve">第</w:t>
      </w:r>
      <w:r>
        <w:rPr>
          <w:rFonts w:hint="eastAsia" w:ascii="宋体" w:hAnsi="宋体" w:eastAsia="宋体" w:cs="宋体"/>
          <w:b/>
          <w:bCs/>
          <w:spacing w:val="-4"/>
          <w:sz w:val="24"/>
          <w:szCs w:val="24"/>
          <w:highlight w:val="none"/>
          <w:lang w:val="en-US" w:eastAsia="zh-CN"/>
        </w:rPr>
        <w:t xml:space="preserve">九</w:t>
      </w:r>
      <w:r>
        <w:rPr>
          <w:rFonts w:hint="eastAsia" w:ascii="宋体" w:hAnsi="宋体" w:eastAsia="宋体" w:cs="宋体"/>
          <w:b/>
          <w:bCs/>
          <w:spacing w:val="-4"/>
          <w:sz w:val="24"/>
          <w:szCs w:val="24"/>
          <w:highlight w:val="none"/>
        </w:rPr>
        <w:t xml:space="preserve">条</w:t>
      </w:r>
      <w:r>
        <w:rPr>
          <w:rFonts w:hint="eastAsia" w:ascii="宋体" w:hAnsi="宋体" w:eastAsia="宋体" w:cs="宋体"/>
          <w:spacing w:val="-4"/>
          <w:sz w:val="24"/>
          <w:szCs w:val="24"/>
          <w:highlight w:val="none"/>
        </w:rPr>
        <w:t xml:space="preserve"> 第</w:t>
      </w:r>
      <w:r>
        <w:rPr>
          <w:rFonts w:hint="eastAsia" w:ascii="宋体" w:hAnsi="宋体" w:eastAsia="宋体" w:cs="宋体"/>
          <w:spacing w:val="-4"/>
          <w:sz w:val="24"/>
          <w:szCs w:val="24"/>
          <w:highlight w:val="none"/>
          <w:lang w:val="en-US" w:eastAsia="zh-CN"/>
        </w:rPr>
        <w:t xml:space="preserve">七</w:t>
      </w:r>
      <w:r>
        <w:rPr>
          <w:rFonts w:hint="eastAsia" w:ascii="宋体" w:hAnsi="宋体" w:eastAsia="宋体" w:cs="宋体"/>
          <w:spacing w:val="-4"/>
          <w:sz w:val="24"/>
          <w:szCs w:val="24"/>
          <w:highlight w:val="none"/>
        </w:rPr>
        <w:t xml:space="preserve">条、第</w:t>
      </w:r>
      <w:r>
        <w:rPr>
          <w:rFonts w:hint="eastAsia" w:ascii="宋体" w:hAnsi="宋体" w:eastAsia="宋体" w:cs="宋体"/>
          <w:spacing w:val="-4"/>
          <w:sz w:val="24"/>
          <w:szCs w:val="24"/>
          <w:highlight w:val="none"/>
          <w:lang w:val="en-US" w:eastAsia="zh-CN"/>
        </w:rPr>
        <w:t xml:space="preserve">八</w:t>
      </w:r>
      <w:r>
        <w:rPr>
          <w:rFonts w:hint="eastAsia" w:ascii="宋体" w:hAnsi="宋体" w:eastAsia="宋体" w:cs="宋体"/>
          <w:spacing w:val="-4"/>
          <w:sz w:val="24"/>
          <w:szCs w:val="24"/>
          <w:highlight w:val="none"/>
        </w:rPr>
        <w:t xml:space="preserve">条中涉及的综合性项目如存在同栋情况，实际委托金额按送审金额×（1+0.4n）/(n+1)计算，n为增加的栋数。</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 xml:space="preserve">第十</w:t>
      </w:r>
      <w:r>
        <w:rPr>
          <w:rFonts w:hint="eastAsia" w:ascii="宋体" w:hAnsi="宋体" w:eastAsia="宋体" w:cs="宋体"/>
          <w:b/>
          <w:bCs/>
          <w:sz w:val="24"/>
          <w:szCs w:val="24"/>
          <w:highlight w:val="none"/>
        </w:rPr>
        <w:t xml:space="preserve">条 </w:t>
      </w:r>
      <w:r>
        <w:rPr>
          <w:rFonts w:hint="eastAsia" w:ascii="宋体" w:hAnsi="宋体" w:eastAsia="宋体" w:cs="宋体"/>
          <w:spacing w:val="-4"/>
          <w:sz w:val="24"/>
          <w:szCs w:val="24"/>
          <w:highlight w:val="none"/>
        </w:rPr>
        <w:t xml:space="preserve">第</w:t>
      </w:r>
      <w:r>
        <w:rPr>
          <w:rFonts w:hint="eastAsia" w:ascii="宋体" w:hAnsi="宋体" w:eastAsia="宋体" w:cs="宋体"/>
          <w:spacing w:val="-4"/>
          <w:sz w:val="24"/>
          <w:szCs w:val="24"/>
          <w:highlight w:val="none"/>
          <w:lang w:val="en-US" w:eastAsia="zh-CN"/>
        </w:rPr>
        <w:t xml:space="preserve">七</w:t>
      </w:r>
      <w:r>
        <w:rPr>
          <w:rFonts w:hint="eastAsia" w:ascii="宋体" w:hAnsi="宋体" w:eastAsia="宋体" w:cs="宋体"/>
          <w:spacing w:val="-4"/>
          <w:sz w:val="24"/>
          <w:szCs w:val="24"/>
          <w:highlight w:val="none"/>
        </w:rPr>
        <w:t xml:space="preserve">条、第</w:t>
      </w:r>
      <w:r>
        <w:rPr>
          <w:rFonts w:hint="eastAsia" w:ascii="宋体" w:hAnsi="宋体" w:eastAsia="宋体" w:cs="宋体"/>
          <w:spacing w:val="-4"/>
          <w:sz w:val="24"/>
          <w:szCs w:val="24"/>
          <w:highlight w:val="none"/>
          <w:lang w:val="en-US" w:eastAsia="zh-CN"/>
        </w:rPr>
        <w:t xml:space="preserve">八</w:t>
      </w:r>
      <w:r>
        <w:rPr>
          <w:rFonts w:hint="eastAsia" w:ascii="宋体" w:hAnsi="宋体" w:eastAsia="宋体" w:cs="宋体"/>
          <w:spacing w:val="-4"/>
          <w:sz w:val="24"/>
          <w:szCs w:val="24"/>
          <w:highlight w:val="none"/>
        </w:rPr>
        <w:t xml:space="preserve">条中涉及的</w:t>
      </w:r>
      <w:r>
        <w:rPr>
          <w:rFonts w:hint="eastAsia" w:ascii="宋体" w:hAnsi="宋体" w:eastAsia="宋体" w:cs="宋体"/>
          <w:sz w:val="24"/>
          <w:szCs w:val="24"/>
          <w:highlight w:val="none"/>
        </w:rPr>
        <w:t xml:space="preserve">单个项目</w:t>
      </w:r>
      <w:bookmarkStart w:id="51" w:name="_Hlk522686932"/>
      <w:r>
        <w:rPr>
          <w:rFonts w:hint="eastAsia" w:ascii="宋体" w:hAnsi="宋体" w:eastAsia="宋体" w:cs="宋体"/>
          <w:sz w:val="24"/>
          <w:szCs w:val="24"/>
          <w:highlight w:val="none"/>
        </w:rPr>
        <w:t xml:space="preserve">送审造价≤3万元，单个项目咨询收费在800元以下时，按800元收取</w:t>
      </w:r>
      <w:bookmarkEnd w:id="51"/>
      <w:r>
        <w:rPr>
          <w:rFonts w:hint="eastAsia" w:ascii="宋体" w:hAnsi="宋体" w:eastAsia="宋体" w:cs="宋体"/>
          <w:sz w:val="24"/>
          <w:szCs w:val="24"/>
          <w:highlight w:val="none"/>
        </w:rPr>
        <w:t xml:space="preserve">；其余单个项目咨询收费在2000元以下时，按2000元收取。如涉及社会审计机构自身原因不按时完成及有质量问题的项目以800元或2000元为基数扣减结算。</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第十</w:t>
      </w: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rPr>
        <w:t xml:space="preserve">条</w:t>
      </w:r>
      <w:r>
        <w:rPr>
          <w:rFonts w:hint="eastAsia" w:ascii="宋体" w:hAnsi="宋体" w:eastAsia="宋体" w:cs="宋体"/>
          <w:sz w:val="24"/>
          <w:szCs w:val="24"/>
          <w:highlight w:val="none"/>
        </w:rPr>
        <w:t xml:space="preserve">苏州市相城区黄埭镇人民政府（苏州市相城区黄埭镇财政和资产监督</w:t>
      </w:r>
      <w:r>
        <w:rPr>
          <w:rFonts w:hint="eastAsia" w:ascii="宋体" w:hAnsi="宋体" w:eastAsia="宋体" w:cs="宋体"/>
          <w:sz w:val="24"/>
          <w:szCs w:val="24"/>
          <w:highlight w:val="none"/>
          <w:lang w:eastAsia="zh-CN"/>
        </w:rPr>
        <w:t xml:space="preserve">管理办公室</w:t>
      </w:r>
      <w:r>
        <w:rPr>
          <w:rFonts w:hint="eastAsia" w:ascii="宋体" w:hAnsi="宋体" w:eastAsia="宋体" w:cs="宋体"/>
          <w:sz w:val="24"/>
          <w:szCs w:val="24"/>
          <w:highlight w:val="none"/>
        </w:rPr>
        <w:t xml:space="preserve">）业务质量核查</w:t>
      </w:r>
      <w:r>
        <w:rPr>
          <w:rFonts w:hint="eastAsia" w:ascii="宋体" w:hAnsi="宋体" w:eastAsia="宋体" w:cs="宋体"/>
          <w:spacing w:val="-4"/>
          <w:sz w:val="24"/>
          <w:szCs w:val="24"/>
          <w:highlight w:val="none"/>
        </w:rPr>
        <w:t xml:space="preserve">核减金额</w:t>
      </w:r>
      <w:r>
        <w:rPr>
          <w:rFonts w:hint="eastAsia" w:ascii="宋体" w:hAnsi="宋体" w:eastAsia="宋体" w:cs="宋体"/>
          <w:sz w:val="24"/>
          <w:szCs w:val="24"/>
          <w:highlight w:val="none"/>
        </w:rPr>
        <w:t xml:space="preserve">不列入社会审计机构的审计成果，并扣除该核减金额2倍计算的费用。</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第十</w:t>
      </w: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条</w:t>
      </w:r>
      <w:r>
        <w:rPr>
          <w:rFonts w:hint="eastAsia" w:ascii="宋体" w:hAnsi="宋体" w:eastAsia="宋体" w:cs="宋体"/>
          <w:sz w:val="24"/>
          <w:szCs w:val="24"/>
          <w:highlight w:val="none"/>
        </w:rPr>
        <w:t xml:space="preserve">苏州市相城区黄埭镇人民政府（苏州市相城区黄埭镇财政和资产监督</w:t>
      </w:r>
      <w:r>
        <w:rPr>
          <w:rFonts w:hint="eastAsia" w:ascii="宋体" w:hAnsi="宋体" w:eastAsia="宋体" w:cs="宋体"/>
          <w:sz w:val="24"/>
          <w:szCs w:val="24"/>
          <w:highlight w:val="none"/>
          <w:lang w:eastAsia="zh-CN"/>
        </w:rPr>
        <w:t xml:space="preserve">管理办公室</w:t>
      </w:r>
      <w:r>
        <w:rPr>
          <w:rFonts w:hint="eastAsia" w:ascii="宋体" w:hAnsi="宋体" w:eastAsia="宋体" w:cs="宋体"/>
          <w:sz w:val="24"/>
          <w:szCs w:val="24"/>
          <w:highlight w:val="none"/>
        </w:rPr>
        <w:t xml:space="preserve">）有权对核减异常项目在结算费用时分析其原因后另行确定。</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第十</w:t>
      </w: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条 </w:t>
      </w:r>
      <w:r>
        <w:rPr>
          <w:rFonts w:hint="eastAsia" w:ascii="宋体" w:hAnsi="宋体" w:eastAsia="宋体" w:cs="宋体"/>
          <w:bCs/>
          <w:sz w:val="24"/>
          <w:szCs w:val="24"/>
          <w:highlight w:val="none"/>
        </w:rPr>
        <w:t xml:space="preserve">项目</w:t>
      </w:r>
      <w:r>
        <w:rPr>
          <w:rFonts w:hint="eastAsia" w:ascii="宋体" w:hAnsi="宋体" w:eastAsia="宋体" w:cs="宋体"/>
          <w:sz w:val="24"/>
          <w:szCs w:val="24"/>
          <w:highlight w:val="none"/>
        </w:rPr>
        <w:t xml:space="preserve">考核得分为零不予结算费用。</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 xml:space="preserve">第十</w:t>
      </w:r>
      <w:r>
        <w:rPr>
          <w:rFonts w:hint="eastAsia" w:ascii="宋体" w:hAnsi="宋体" w:eastAsia="宋体" w:cs="宋体"/>
          <w:b/>
          <w:bCs/>
          <w:spacing w:val="-4"/>
          <w:sz w:val="24"/>
          <w:szCs w:val="24"/>
          <w:highlight w:val="none"/>
          <w:lang w:val="en-US" w:eastAsia="zh-CN"/>
        </w:rPr>
        <w:t xml:space="preserve">四</w:t>
      </w:r>
      <w:r>
        <w:rPr>
          <w:rFonts w:hint="eastAsia" w:ascii="宋体" w:hAnsi="宋体" w:eastAsia="宋体" w:cs="宋体"/>
          <w:b/>
          <w:bCs/>
          <w:spacing w:val="-4"/>
          <w:sz w:val="24"/>
          <w:szCs w:val="24"/>
          <w:highlight w:val="none"/>
        </w:rPr>
        <w:t xml:space="preserve">条 </w:t>
      </w:r>
      <w:r>
        <w:rPr>
          <w:rFonts w:hint="eastAsia" w:ascii="宋体" w:hAnsi="宋体" w:eastAsia="宋体" w:cs="宋体"/>
          <w:sz w:val="24"/>
          <w:szCs w:val="24"/>
          <w:highlight w:val="none"/>
        </w:rPr>
        <w:t xml:space="preserve">若有遗失项目资料的，额外扣除5万元。</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第十</w:t>
      </w: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条 </w:t>
      </w:r>
      <w:r>
        <w:rPr>
          <w:rFonts w:hint="eastAsia" w:ascii="宋体" w:hAnsi="宋体" w:eastAsia="宋体" w:cs="宋体"/>
          <w:sz w:val="24"/>
          <w:szCs w:val="24"/>
          <w:highlight w:val="none"/>
        </w:rPr>
        <w:t xml:space="preserve">本考核办法自发文之日起执行。本办法由苏州市相城区黄埭镇人民政府（苏州市相城区黄埭镇财政和资产监督</w:t>
      </w:r>
      <w:r>
        <w:rPr>
          <w:rFonts w:hint="eastAsia" w:ascii="宋体" w:hAnsi="宋体" w:eastAsia="宋体" w:cs="宋体"/>
          <w:sz w:val="24"/>
          <w:szCs w:val="24"/>
          <w:highlight w:val="none"/>
          <w:lang w:eastAsia="zh-CN"/>
        </w:rPr>
        <w:t xml:space="preserve">管理办公室</w:t>
      </w:r>
      <w:r>
        <w:rPr>
          <w:rFonts w:hint="eastAsia" w:ascii="宋体" w:hAnsi="宋体" w:eastAsia="宋体" w:cs="宋体"/>
          <w:sz w:val="24"/>
          <w:szCs w:val="24"/>
          <w:highlight w:val="none"/>
        </w:rPr>
        <w:t xml:space="preserve">）负责解释。</w:t>
      </w:r>
      <w:r/>
    </w:p>
    <w:p>
      <w:pPr>
        <w:ind w:firstLine="42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附表1预算及标底评审项目考核表</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附表2竣工结算审核项目考核评分表</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righ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苏州市相城区黄埭镇人民政府（苏州市相城区黄埭镇财政和资产监督</w:t>
      </w:r>
      <w:r>
        <w:rPr>
          <w:rFonts w:hint="eastAsia" w:ascii="宋体" w:hAnsi="宋体" w:eastAsia="宋体" w:cs="宋体"/>
          <w:sz w:val="24"/>
          <w:szCs w:val="24"/>
          <w:highlight w:val="none"/>
          <w:lang w:eastAsia="zh-CN"/>
        </w:rPr>
        <w:t xml:space="preserve">管理办公室</w:t>
      </w:r>
      <w:r>
        <w:rPr>
          <w:rFonts w:hint="eastAsia" w:ascii="宋体" w:hAnsi="宋体" w:eastAsia="宋体" w:cs="宋体"/>
          <w:sz w:val="24"/>
          <w:szCs w:val="24"/>
          <w:highlight w:val="none"/>
        </w:rPr>
        <w:t xml:space="preserve">）</w:t>
      </w:r>
      <w:r/>
    </w:p>
    <w:p>
      <w:pPr>
        <w:pStyle w:val="76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6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733"/>
        <w:tblW w:w="8520" w:type="dxa"/>
        <w:tblInd w:w="0" w:type="dxa"/>
        <w:tblLayout w:type="fixed"/>
        <w:tblCellMar>
          <w:left w:w="0" w:type="dxa"/>
          <w:top w:w="0" w:type="dxa"/>
          <w:right w:w="0" w:type="dxa"/>
          <w:bottom w:w="0" w:type="dxa"/>
        </w:tblCellMar>
        <w:tblLook w:val="04A0" w:firstRow="1" w:lastRow="0" w:firstColumn="1" w:lastColumn="0" w:noHBand="0" w:noVBand="1"/>
      </w:tblPr>
      <w:tblGrid>
        <w:gridCol w:w="740"/>
        <w:gridCol w:w="746"/>
        <w:gridCol w:w="742"/>
        <w:gridCol w:w="1835"/>
        <w:gridCol w:w="1764"/>
        <w:gridCol w:w="920"/>
        <w:gridCol w:w="498"/>
        <w:gridCol w:w="403"/>
        <w:gridCol w:w="872"/>
      </w:tblGrid>
      <w:tr>
        <w:trPr>
          <w:trHeight w:val="440"/>
        </w:trPr>
        <w:tc>
          <w:tcPr>
            <w:gridSpan w:val="9"/>
            <w:tcBorders>
              <w:top w:val="none" w:color="000000" w:sz="4" w:space="0"/>
              <w:left w:val="none" w:color="000000" w:sz="4" w:space="0"/>
              <w:bottom w:val="single" w:color="000000" w:sz="4" w:space="0"/>
              <w:right w:val="none" w:color="000000" w:sz="4" w:space="0"/>
            </w:tcBorders>
            <w:tcMar>
              <w:left w:w="15" w:type="dxa"/>
              <w:top w:w="15" w:type="dxa"/>
              <w:right w:w="15" w:type="dxa"/>
            </w:tcMar>
            <w:tcW w:w="8520" w:type="dxa"/>
            <w:vAlign w:val="top"/>
            <w:textDirection w:val="lrTb"/>
            <w:noWrap w:val="false"/>
          </w:tcPr>
          <w:p>
            <w:pPr>
              <w:ind w:right="850"/>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附表1：预算及标底评审项目考核表</w:t>
            </w:r>
            <w:r/>
          </w:p>
          <w:p>
            <w:pPr>
              <w:jc w:val="righ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金额单位：元</w:t>
            </w:r>
            <w:r/>
          </w:p>
        </w:tc>
      </w:tr>
      <w:tr>
        <w:trPr>
          <w:trHeight w:val="42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6"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协审单位：</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7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4"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6"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送审金额（A）：</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7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4"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初审金额(B)：</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83"/>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6"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评审金额(C)：</w:t>
            </w:r>
            <w:r/>
          </w:p>
        </w:tc>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3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48"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2"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加减分</w:t>
            </w:r>
            <w:r/>
          </w:p>
        </w:tc>
      </w:tr>
      <w:tr>
        <w:trPr>
          <w:cantSplit/>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0" w:type="dxa"/>
            <w:vAlign w:val="center"/>
            <w:vMerge w:val="restart"/>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协</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行</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w:t>
            </w:r>
            <w:r/>
          </w:p>
        </w:tc>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8"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未按照要求递交协审初步报告及相关审核文件的，此项最高可扣减5分。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0" w:type="dxa"/>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8"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在项目对账前，未按照要求递交并打印对账记录表的，此项最高可扣减5分。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5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0" w:type="dxa"/>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8"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参审人员必须是在协审单位名单中从事协审业务的人员，擅自调换协审人员的，此项最高可扣减5分。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0" w:type="dxa"/>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8"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未按规定的时间参加委托单位组织的项目对账、评审事项协调等会议和活动的，此项最高可扣减5分。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7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0" w:type="dxa"/>
            <w:vAlign w:val="center"/>
            <w:vMerge w:val="restart"/>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协</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量</w:t>
            </w:r>
            <w:r/>
          </w:p>
        </w:tc>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8"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未按商定审查工程量、综合单价、定额套用、取费标准，造成审查结果出现重大失误的（单项金额15万元），每项扣减2.5分，此项最高可扣减5分。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0" w:type="dxa"/>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8"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没有按照委托单位规定的报告格式出具正式报告、存在报告格式、文字表述等非实质性错误或报告内容不完整、未反应评审过程中的重大问题。每次扣减2.5分，此项最高可扣减10分。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0" w:type="dxa"/>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8"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遗失协审资料的或遗失的协审资料无法补回的，每次扣减5分。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0" w:type="dxa"/>
            <w:vAlign w:val="center"/>
            <w:vMerge w:val="restart"/>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协</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效</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率</w:t>
            </w:r>
            <w:r/>
          </w:p>
        </w:tc>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8"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没有在委托单位告知后1个工作日内接收资料并开展协审工作的，每次扣减2.5分。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0" w:type="dxa"/>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8"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接收资料后没有在委托单位要求的时间内提疑的，每次扣减2.5分。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70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0" w:type="dxa"/>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8"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没有按照委托书内规定的时间要求，向委托单位移交协审报告初稿的，每延期一天扣减1分。此项总扣分不超过5分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0" w:type="dxa"/>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8"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没有在对账完成后1天内出具签字盖章的正式协审报告书（纸质稿）并送至委托单位的，每延期一天扣减2分。此项总扣分不超过5分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0"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加</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w:t>
            </w:r>
            <w:r/>
          </w:p>
        </w:tc>
        <w:tc>
          <w:tcPr>
            <w:gridSpan w:val="7"/>
            <w:tcBorders>
              <w:top w:val="single" w:color="000000" w:sz="4" w:space="0"/>
              <w:left w:val="single" w:color="000000" w:sz="4" w:space="0"/>
              <w:right w:val="single" w:color="000000" w:sz="4" w:space="0"/>
            </w:tcBorders>
            <w:tcMar>
              <w:left w:w="15" w:type="dxa"/>
              <w:top w:w="15" w:type="dxa"/>
              <w:right w:w="15" w:type="dxa"/>
            </w:tcMar>
            <w:tcW w:w="6908" w:type="dxa"/>
            <w:vAlign w:val="center"/>
            <w:textDirection w:val="lrTb"/>
            <w:noWrap w:val="false"/>
          </w:tcPr>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协审中发现重大问题，提出设计优化等合理化建议并被采纳的，每一条加1分。此项总加分不超过5分</w:t>
            </w:r>
            <w:r/>
          </w:p>
        </w:tc>
        <w:tc>
          <w:tcPr>
            <w:tcBorders>
              <w:top w:val="single" w:color="000000" w:sz="4" w:space="0"/>
              <w:left w:val="single" w:color="000000" w:sz="4" w:space="0"/>
              <w:right w:val="single" w:color="000000" w:sz="4" w:space="0"/>
            </w:tcBorders>
            <w:tcMar>
              <w:left w:w="15" w:type="dxa"/>
              <w:top w:w="15" w:type="dxa"/>
              <w:right w:w="15" w:type="dxa"/>
            </w:tcMar>
            <w:tcW w:w="87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0" w:type="dxa"/>
            <w:vAlign w:val="center"/>
            <w:vMerge w:val="restart"/>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票</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否</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决</w:t>
            </w:r>
            <w:r/>
          </w:p>
        </w:tc>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8"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无特殊情况或充分理由拒绝分配项目。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0" w:type="dxa"/>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8"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经复核发现，单个清单子项误差在100万元以上或累计正负绝对误差在6％（含6％）以上的。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0" w:type="dxa"/>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8"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协审单位提供不实或虚假的评审结果，或与评审项目有利害关系而未主动回避的。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0" w:type="dxa"/>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8"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协审单位自行对外透露协审报告初稿、协审报告、协审报告内容等相关信息的。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0" w:type="dxa"/>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8"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违背相关行业职业道德规范、滥用职权、徇私舞弊、玩忽职守、泄露所知国家秘密、商业秘密的。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0"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80"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项目得分往上取整，以整分计。</w:t>
            </w:r>
            <w:r/>
          </w:p>
        </w:tc>
      </w:tr>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6"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协审人员意见：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bottom"/>
            <w:textDirection w:val="lrTb"/>
            <w:noWrap w:val="false"/>
          </w:tcPr>
          <w:p>
            <w:pPr>
              <w:ind w:right="210"/>
              <w:jc w:val="righ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5" w:type="dxa"/>
            <w:vAlign w:val="center"/>
            <w:textDirection w:val="lrTb"/>
            <w:noWrap w:val="false"/>
          </w:tcPr>
          <w:p>
            <w:pPr>
              <w:jc w:val="righ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  月  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协审单位意见：</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bottom"/>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（盖章）</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5" w:type="dxa"/>
            <w:vAlign w:val="center"/>
            <w:textDirection w:val="lrTb"/>
            <w:noWrap w:val="false"/>
          </w:tcPr>
          <w:p>
            <w:pPr>
              <w:jc w:val="righ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  月  日</w:t>
            </w:r>
            <w:r/>
          </w:p>
        </w:tc>
      </w:tr>
      <w:tr>
        <w:trPr>
          <w:trHeight w:val="1940"/>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20"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注：1、一票否决的项目得分为0分；</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2、考核基础分为100分，协审单位每个项目的考核得分由基础分加上加减分情况计算得出；</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3、由建设单位及编标单位所造成的协审结果误差，不计入协审单位考核内容；</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4、协审单位考核得分低于60分的，咨询服务费支付上限为标准的20%；得分在60-70分的，标准70%支付；得分在71-80分的，标准80%支付；得分在81-90分的，标准90%支付；得分91分以上，标准100%支付。</w:t>
            </w:r>
            <w:r/>
          </w:p>
        </w:tc>
      </w:tr>
    </w:tbl>
    <w:p>
      <w:pPr>
        <w:ind w:right="42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tbl>
      <w:tblPr>
        <w:tblStyle w:val="733"/>
        <w:tblW w:w="11465" w:type="dxa"/>
        <w:tblInd w:w="0" w:type="dxa"/>
        <w:tblLayout w:type="fixed"/>
        <w:tblCellMar>
          <w:left w:w="0" w:type="dxa"/>
          <w:top w:w="0" w:type="dxa"/>
          <w:right w:w="0" w:type="dxa"/>
          <w:bottom w:w="0" w:type="dxa"/>
        </w:tblCellMar>
        <w:tblLook w:val="04A0" w:firstRow="1" w:lastRow="0" w:firstColumn="1" w:lastColumn="0" w:noHBand="0" w:noVBand="1"/>
      </w:tblPr>
      <w:tblGrid>
        <w:gridCol w:w="866"/>
        <w:gridCol w:w="4536"/>
        <w:gridCol w:w="448"/>
        <w:gridCol w:w="884"/>
        <w:gridCol w:w="90"/>
        <w:gridCol w:w="129"/>
        <w:gridCol w:w="964"/>
        <w:gridCol w:w="709"/>
        <w:gridCol w:w="242"/>
        <w:gridCol w:w="1314"/>
        <w:gridCol w:w="1283"/>
      </w:tblGrid>
      <w:tr>
        <w:trPr>
          <w:gridAfter w:val="3"/>
          <w:trHeight w:val="683"/>
        </w:trPr>
        <w:tc>
          <w:tcPr>
            <w:gridSpan w:val="8"/>
            <w:tcBorders>
              <w:top w:val="none" w:color="000000" w:sz="4" w:space="0"/>
              <w:left w:val="none" w:color="000000" w:sz="4" w:space="0"/>
              <w:bottom w:val="none" w:color="000000" w:sz="4" w:space="0"/>
              <w:right w:val="none" w:color="000000" w:sz="4" w:space="0"/>
            </w:tcBorders>
            <w:tcMar>
              <w:left w:w="15" w:type="dxa"/>
              <w:top w:w="15" w:type="dxa"/>
              <w:right w:w="15" w:type="dxa"/>
            </w:tcMar>
            <w:tcW w:w="8626" w:type="dxa"/>
            <w:vAlign w:val="center"/>
            <w:textDirection w:val="lrTb"/>
            <w:noWrap w:val="false"/>
          </w:tcPr>
          <w:p>
            <w:pPr>
              <w:ind w:right="850"/>
              <w:spacing w:line="360" w:lineRule="auto"/>
              <w:widowControl/>
              <w:rPr>
                <w:rFonts w:hint="eastAsia" w:ascii="宋体" w:hAnsi="宋体" w:eastAsia="宋体" w:cs="宋体"/>
                <w:b/>
                <w:bCs/>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b/>
                <w:bCs/>
                <w:sz w:val="24"/>
                <w:szCs w:val="24"/>
                <w:highlight w:val="none"/>
              </w:rPr>
              <w:t xml:space="preserve">附表2：竣工结算审核项目考核评分表</w:t>
            </w:r>
            <w:r/>
          </w:p>
        </w:tc>
      </w:tr>
      <w:tr>
        <w:trPr>
          <w:gridAfter w:val="3"/>
          <w:trHeight w:val="500"/>
        </w:trPr>
        <w:tc>
          <w:tcPr>
            <w:gridSpan w:val="2"/>
            <w:tcBorders>
              <w:top w:val="single" w:color="000000" w:sz="8" w:space="0"/>
              <w:left w:val="single" w:color="000000" w:sz="8" w:space="0"/>
              <w:bottom w:val="single" w:color="000000" w:sz="4" w:space="0"/>
              <w:right w:val="single" w:color="000000" w:sz="4" w:space="0"/>
            </w:tcBorders>
            <w:tcMar>
              <w:left w:w="15" w:type="dxa"/>
              <w:top w:w="15" w:type="dxa"/>
              <w:right w:w="15" w:type="dxa"/>
            </w:tcMar>
            <w:tcW w:w="5402" w:type="dxa"/>
            <w:vAlign w:val="center"/>
            <w:textDirection w:val="lrTb"/>
            <w:noWrap w:val="false"/>
          </w:tcPr>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gridSpan w:val="4"/>
            <w:tcBorders>
              <w:top w:val="single" w:color="000000" w:sz="8" w:space="0"/>
              <w:left w:val="single" w:color="000000" w:sz="4" w:space="0"/>
              <w:bottom w:val="non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报告号</w:t>
            </w:r>
            <w:r/>
          </w:p>
        </w:tc>
        <w:tc>
          <w:tcPr>
            <w:gridSpan w:val="2"/>
            <w:tcBorders>
              <w:top w:val="single" w:color="000000" w:sz="8" w:space="0"/>
              <w:left w:val="single" w:color="000000" w:sz="4" w:space="0"/>
              <w:bottom w:val="single" w:color="000000" w:sz="4" w:space="0"/>
              <w:right w:val="single" w:color="000000" w:sz="8" w:space="0"/>
            </w:tcBorders>
            <w:tcMar>
              <w:left w:w="15" w:type="dxa"/>
              <w:top w:w="15" w:type="dxa"/>
              <w:right w:w="15" w:type="dxa"/>
            </w:tcMar>
            <w:tcW w:w="1673"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3"/>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     分     项</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扣分初评</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终评</w:t>
            </w:r>
            <w:r/>
          </w:p>
        </w:tc>
      </w:tr>
      <w:tr>
        <w:trPr>
          <w:gridAfter w:val="3"/>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基本分</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100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r>
        <w:trPr>
          <w:gridAfter w:val="3"/>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扣分项</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r>
        <w:trPr>
          <w:gridAfter w:val="3"/>
          <w:trHeight w:val="547"/>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在审计项目暂退期间，审计人员私下与施工单位接触开展审计工作的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扣15分/项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r>
        <w:trPr>
          <w:gridAfter w:val="3"/>
          <w:trHeight w:val="431"/>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任务单发出后发现送审资料不符合审计要求，导致审计工作无法顺利开展的</w:t>
            </w:r>
            <w:r/>
          </w:p>
        </w:tc>
        <w:tc>
          <w:tcPr>
            <w:gridSpan w:val="4"/>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扣10分</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3"/>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未按要求填写审计对帐记录的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3"/>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未按规定的时间参加审计协调会等会议以及相关活动的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扣1分/人.次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3"/>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审计人员提出争议问题，未提出相应的审计措施或解决方案的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3"/>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初步审核意见不符合要求需退回修改或重新核实的,退回两次以上扣分</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扣(N-1)*3分/次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3"/>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审计发现问题未如实反映的</w:t>
            </w:r>
            <w:r/>
          </w:p>
        </w:tc>
        <w:tc>
          <w:tcPr>
            <w:gridSpan w:val="4"/>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3"/>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业务质量核查核对时，未及时向镇财资</w:t>
            </w:r>
            <w:r>
              <w:rPr>
                <w:rFonts w:hint="eastAsia" w:ascii="宋体" w:hAnsi="宋体" w:eastAsia="宋体" w:cs="宋体"/>
                <w:sz w:val="24"/>
                <w:szCs w:val="24"/>
                <w:highlight w:val="none"/>
                <w:lang w:eastAsia="zh-CN"/>
              </w:rPr>
              <w:t xml:space="preserve">办</w:t>
            </w:r>
            <w:r>
              <w:rPr>
                <w:rFonts w:hint="eastAsia" w:ascii="宋体" w:hAnsi="宋体" w:eastAsia="宋体" w:cs="宋体"/>
                <w:sz w:val="24"/>
                <w:szCs w:val="24"/>
                <w:highlight w:val="none"/>
              </w:rPr>
              <w:t xml:space="preserve">反馈核对结果及问题的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3"/>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业务质量核查问题未逐一认真核对，直接确认的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3"/>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无理由，拒绝确认业务质量核查结果的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3"/>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经业务质量核查，双方确认的核减率与初步审核意见核减率差值为X，如X＞2%的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扣（X-2%）*800分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3"/>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审计文稿出现错误性描述的或数据统计出现错误的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扣2分/处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3"/>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审计发现问题，未在咨询报告中进行披露的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扣3分/处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3"/>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审计过程中，由于管理不当造成审计资料损坏或遗失</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扣5-10分/项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3"/>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审计结束后未在规定时间内归档、多余资料未及时退还建设单位办理交接手续的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扣5分/项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3"/>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未经允许私自更换协审人员或安排无资质协审人员参与项目审计的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3"/>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擅自接受或传送相关审计资料</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3"/>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未按规定对账的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扣5分/人.次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3"/>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未在承诺时间内响应工作</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3"/>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不接受镇财资</w:t>
            </w:r>
            <w:r>
              <w:rPr>
                <w:rFonts w:hint="eastAsia" w:ascii="宋体" w:hAnsi="宋体" w:eastAsia="宋体" w:cs="宋体"/>
                <w:sz w:val="24"/>
                <w:szCs w:val="24"/>
                <w:highlight w:val="none"/>
                <w:lang w:eastAsia="zh-CN"/>
              </w:rPr>
              <w:t xml:space="preserve">办</w:t>
            </w:r>
            <w:r>
              <w:rPr>
                <w:rFonts w:hint="eastAsia" w:ascii="宋体" w:hAnsi="宋体" w:eastAsia="宋体" w:cs="宋体"/>
                <w:sz w:val="24"/>
                <w:szCs w:val="24"/>
                <w:highlight w:val="none"/>
              </w:rPr>
              <w:t xml:space="preserve">工作安排的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3"/>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收到审计提示书的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扣10分/次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3"/>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收到审计警示书的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扣20分/次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3"/>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将中标项目转包或分包给其他单位和个人的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项目考核0分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3"/>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隐瞒审计发现的问题或者与相关单位串通舞弊，导致发生严重审计质量问题的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项目考核0分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3"/>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与审计项目有利害关系而未主动回避的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项目考核0分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3"/>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违反廉政相关规定和审计纪律的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项目考核0分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3"/>
          <w:trHeight w:val="500"/>
        </w:trPr>
        <w:tc>
          <w:tcPr>
            <w:gridSpan w:val="2"/>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02"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                             计</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3"/>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加分项</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r>
        <w:trPr>
          <w:gridAfter w:val="3"/>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协审过程中发现有价值的案件线索的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加10分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3"/>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协审过程中提供的审计建议被采用的</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加5分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3"/>
          <w:trHeight w:val="603"/>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协审过程中形成有价值的、且被相关媒体采用的审计信息、宣传</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加3分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3"/>
          <w:trHeight w:val="500"/>
        </w:trPr>
        <w:tc>
          <w:tcPr>
            <w:gridSpan w:val="2"/>
            <w:tcBorders>
              <w:top w:val="single" w:color="000000" w:sz="4" w:space="0"/>
              <w:left w:val="single" w:color="000000" w:sz="8" w:space="0"/>
              <w:bottom w:val="single" w:color="000000" w:sz="4" w:space="0"/>
              <w:right w:val="single" w:color="000000" w:sz="4" w:space="0"/>
            </w:tcBorders>
            <w:tcMar>
              <w:left w:w="15" w:type="dxa"/>
              <w:top w:w="15" w:type="dxa"/>
              <w:right w:w="15" w:type="dxa"/>
            </w:tcMar>
            <w:tcW w:w="5402"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                             计</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3"/>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6" w:type="dxa"/>
            <w:vAlign w:val="center"/>
            <w:textDirection w:val="lrTb"/>
            <w:noWrap w:val="false"/>
          </w:tcPr>
          <w:p>
            <w:pPr>
              <w:jc w:val="left"/>
              <w:spacing w:line="40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考核评分结果【一】-【二】+【三】</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1" w:type="dxa"/>
            <w:vAlign w:val="center"/>
            <w:textDirection w:val="lrTb"/>
            <w:noWrap w:val="false"/>
          </w:tcPr>
          <w:p>
            <w:pPr>
              <w:jc w:val="center"/>
              <w:spacing w:line="40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 w:type="dxa"/>
            <w:vAlign w:val="center"/>
            <w:textDirection w:val="lrTb"/>
            <w:noWrap w:val="false"/>
          </w:tcPr>
          <w:p>
            <w:pP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09" w:type="dxa"/>
            <w:vAlign w:val="center"/>
            <w:textDirection w:val="lrTb"/>
            <w:noWrap w:val="false"/>
          </w:tcPr>
          <w:p>
            <w:pP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r>
        <w:trPr>
          <w:gridAfter w:val="3"/>
          <w:trHeight w:val="50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协审人员</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84" w:type="dxa"/>
            <w:vAlign w:val="center"/>
            <w:textDirection w:val="lrTb"/>
            <w:noWrap w:val="false"/>
          </w:tcPr>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签名：                     年     月    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4" w:type="dxa"/>
            <w:vAlign w:val="center"/>
            <w:textDirection w:val="lrTb"/>
            <w:noWrap w:val="false"/>
          </w:tcPr>
          <w:p>
            <w:pPr>
              <w:jc w:val="cente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协审单位</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2" w:type="dxa"/>
            <w:vAlign w:val="center"/>
            <w:textDirection w:val="lrTb"/>
            <w:noWrap w:val="false"/>
          </w:tcPr>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盖章：                     年    月    日</w:t>
            </w:r>
            <w:r/>
          </w:p>
        </w:tc>
      </w:tr>
      <w:tr>
        <w:trPr>
          <w:trHeight w:val="350"/>
        </w:trPr>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866" w:type="dxa"/>
            <w:vAlign w:val="center"/>
            <w:textDirection w:val="lrTb"/>
            <w:noWrap w:val="false"/>
          </w:tcPr>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备注：</w:t>
            </w:r>
            <w:r/>
          </w:p>
        </w:tc>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tcMar>
            <w:tcW w:w="4984" w:type="dxa"/>
            <w:vAlign w:val="center"/>
            <w:textDirection w:val="lrTb"/>
            <w:noWrap w:val="false"/>
          </w:tcPr>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884" w:type="dxa"/>
            <w:vAlign w:val="center"/>
            <w:textDirection w:val="lrTb"/>
            <w:noWrap w:val="false"/>
          </w:tcPr>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90" w:type="dxa"/>
            <w:vAlign w:val="center"/>
            <w:textDirection w:val="lrTb"/>
            <w:noWrap w:val="false"/>
          </w:tcPr>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4"/>
            <w:tcBorders>
              <w:top w:val="none" w:color="000000" w:sz="4" w:space="0"/>
              <w:left w:val="none" w:color="000000" w:sz="4" w:space="0"/>
              <w:bottom w:val="none" w:color="000000" w:sz="4" w:space="0"/>
              <w:right w:val="none" w:color="000000" w:sz="4" w:space="0"/>
            </w:tcBorders>
            <w:tcMar>
              <w:left w:w="15" w:type="dxa"/>
              <w:top w:w="15" w:type="dxa"/>
              <w:right w:w="15" w:type="dxa"/>
            </w:tcMar>
            <w:tcW w:w="2044" w:type="dxa"/>
            <w:vAlign w:val="center"/>
            <w:textDirection w:val="lrTb"/>
            <w:noWrap w:val="false"/>
          </w:tcPr>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1314" w:type="dxa"/>
            <w:vAlign w:val="center"/>
            <w:textDirection w:val="lrTb"/>
            <w:noWrap w:val="false"/>
          </w:tcPr>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1283" w:type="dxa"/>
            <w:vAlign w:val="center"/>
            <w:textDirection w:val="lrTb"/>
            <w:noWrap w:val="false"/>
          </w:tcPr>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3"/>
          <w:trHeight w:val="817"/>
        </w:trPr>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866"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7"/>
            <w:tcBorders>
              <w:top w:val="none" w:color="000000" w:sz="4" w:space="0"/>
              <w:left w:val="none" w:color="000000" w:sz="4" w:space="0"/>
              <w:bottom w:val="none" w:color="000000" w:sz="4" w:space="0"/>
              <w:right w:val="none" w:color="000000" w:sz="4" w:space="0"/>
            </w:tcBorders>
            <w:tcMar>
              <w:left w:w="15" w:type="dxa"/>
              <w:top w:w="15" w:type="dxa"/>
              <w:right w:w="15" w:type="dxa"/>
            </w:tcMar>
            <w:tcW w:w="7760"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1、协审单位和相关人员收到考核表后，应当在3个工作日内确认并返还考核组，否则视同默认考核结果。</w:t>
            </w:r>
            <w:r/>
          </w:p>
        </w:tc>
      </w:tr>
      <w:tr>
        <w:trPr>
          <w:gridAfter w:val="3"/>
          <w:trHeight w:val="440"/>
        </w:trPr>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866"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7"/>
            <w:tcBorders>
              <w:top w:val="none" w:color="000000" w:sz="4" w:space="0"/>
              <w:left w:val="none" w:color="000000" w:sz="4" w:space="0"/>
              <w:bottom w:val="none" w:color="000000" w:sz="4" w:space="0"/>
              <w:right w:val="none" w:color="000000" w:sz="4" w:space="0"/>
            </w:tcBorders>
            <w:tcMar>
              <w:left w:w="15" w:type="dxa"/>
              <w:top w:w="15" w:type="dxa"/>
              <w:right w:w="15" w:type="dxa"/>
            </w:tcMar>
            <w:tcW w:w="7760"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2、考核结果以考核表的总得分为准，考核分数低于60分的将被取消标段内剩余项目服务资格。</w:t>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p>
      <w:pP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p>
      <w:pP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p>
      <w:pPr>
        <w:spacing w:line="360" w:lineRule="auto"/>
        <w:rPr>
          <w:rFonts w:hint="eastAsia" w:ascii="宋体" w:hAnsi="宋体" w:eastAsia="宋体" w:cs="宋体"/>
          <w:b w:val="0"/>
          <w:sz w:val="24"/>
          <w:szCs w:val="24"/>
          <w:highlight w:val="none"/>
          <w:lang w:val="zh-CN"/>
        </w:rPr>
      </w:pPr>
      <w:r>
        <w:rPr>
          <w:rFonts w:hint="eastAsia" w:ascii="宋体" w:hAnsi="宋体" w:eastAsia="宋体" w:cs="宋体"/>
          <w:sz w:val="24"/>
          <w:szCs w:val="24"/>
          <w:highlight w:val="yellow"/>
        </w:rPr>
        <w:br w:type="page" w:clear="all"/>
      </w:r>
      <w:bookmarkStart w:id="52" w:name="_Toc166075018"/>
      <w:r>
        <w:rPr>
          <w:rFonts w:hint="eastAsia" w:ascii="宋体" w:hAnsi="宋体" w:eastAsia="宋体" w:cs="宋体"/>
          <w:b w:val="0"/>
          <w:sz w:val="24"/>
          <w:szCs w:val="24"/>
          <w:highlight w:val="none"/>
          <w:lang w:val="zh-CN"/>
        </w:rPr>
        <w:t xml:space="preserve">附件三、各标段协审项目清单</w:t>
      </w:r>
      <w:bookmarkEnd w:id="52"/>
      <w:r/>
      <w:r/>
    </w:p>
    <w:tbl>
      <w:tblPr>
        <w:tblStyle w:val="733"/>
        <w:tblW w:w="80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73"/>
        <w:gridCol w:w="4219"/>
        <w:gridCol w:w="875"/>
        <w:gridCol w:w="2418"/>
      </w:tblGrid>
      <w:tr>
        <w:trPr>
          <w:trHeight w:val="555"/>
        </w:trPr>
        <w:tc>
          <w:tcPr>
            <w:gridSpan w:val="4"/>
            <w:shd w:val="clear" w:color="auto" w:fill="auto"/>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第一标段</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苏地2023-WG-69号地块项目施工总承包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综合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预算评审</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纵三路新建工程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预算评审</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2026年幸福河湖建设</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预算评审</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相城长旺新材料技术创新基地配套设施建设(黄埭金龙片区)项目-益民路新建工程总承包（EPC）</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黄埭镇埭盛鹤泾内河港口公用码一期土方外运处理</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综合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安民路东延一期新建工程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金家新村围墙维修项目</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土建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潘阳工业园114爱桑线8#迁移工程（迁相24-3）</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冯梦龙村水渠建设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善角浜路西延联通线路迁改</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2025年暑期维修</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黄埭镇中心街区党群服务中心装修</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装饰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黄埭派出所办公楼外立面粉刷工程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黄埭实验小学2025年暑期零星维修</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2025年玉莲新村公共墙面维修工程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锡埭路跨线桥东公益林补种</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绿化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康阳新村二期一标地下车库消防喷淋、烟感安装工程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春丰花园日间照料中心建设工程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装饰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潘阳新村围墙维修工程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春旺路11号潘阳社区集体厂房屋面维修工程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长泾社区卫生服务站卫生间修建</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装饰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华宇日间照料中心建设</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装饰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院内零星维修</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土建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春申中学2025年暑期教室、办公室改造</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装饰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春申中学2025年暑期零星维修</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装饰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康阳大厦北侧空地整理复绿项目</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绿化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英斯派地块移动管线迁改</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英斯派地块电信通信设施搬迁</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金龙片区5号地块移动管线迁改</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金龙片区5号地块电信通信设施搬迁</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兴国寺地块35KV高压线迁改围堰工程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35KV高压线迁改施工便道工程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潘阳工业园114爱桑线51#迁移工程（迁相24-4）</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长和路低压线路迁移工程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冯梦龙村蒋家泾基础设施修复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冯梦龙村环境提升工程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黄埭镇陈大房小区消防栓提升项目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冯梦龙村良荡港及周边零星维修工程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东新邻里备用电源工程配套修复工程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黄埭镇东桥消防救援站便道建设工程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燕河智能产业园污水接管工程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苏州成科自控设备有限公司(3224060400152214)新建10kV电缆通道工程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土建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憧憬新村12套租赁房屋室内维修</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黄埭大街127号二楼房屋装修工程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石弄堂1号办公楼维修工程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其他零星项目</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综合</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预算评审、竣工结算审核等</w:t>
            </w:r>
            <w:r/>
          </w:p>
        </w:tc>
      </w:tr>
      <w:tr>
        <w:trPr>
          <w:trHeight w:val="750"/>
        </w:trPr>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第二标段</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苏地2025-WG-Z-16号地块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综合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预算评审</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苏地2021-WG-66号地块项目-有线电视工程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预算评审</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2026年管网抢修</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预算评审</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阅湖生活广场蒸汽管道改造工程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预算评审</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阅湖生活广场3幢冷热水管维修工程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预算评审</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苏地2021-WG-66号地块项目桩基工程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土建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35kv申黄线里电支线迁移工程(黄埭镇埭盛鹤泾内河港口公用码头项目35kv电缆迁改工程)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康阳路233号电力设备采购及安装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2025年管网抢修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2025年黄埭镇胡桥村（胡桥新村、旺家里、马家里）“瓶改管”市政配套工程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陈大房“瓶改管”架空埋地市政配套工程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西桥村外塘新村瓶改管工程市政配套施工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黄埭农业服务中心配套用房</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土建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苏地2024-WG-Z05(合棠里)地块外线接入工程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苏地2023-WG-32号地块项目临时示范区土建及景观工程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土建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黄埭中心小学求是楼创新楼校舍维修及厕所维修工程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裴圩社区陈大房小区“瓶改管”工程中开挖恢复配套工程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斜桥社区金家里小区及教师公寓瓶改管工程配套施工</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2026年黄埭镇老旧路灯更换补缺</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2025年生态河道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相城长旺新材料技术创新基地配套设施建设(黄埭金龙片区)项目-2号地块项目临时用电</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苏地2025-WG-Z-16号地块临时用电工程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相城长旺新材料技术创新基地配套设施建设(黄埭金龙片区)项目-3号地块项目临时用电</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苏地2021-WG-66号地块项目试桩工程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土建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咏春科技园10幢彩钢瓦屋面维修工程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中市路1号2号楼、3号楼维修改造工程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装饰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方埝花苑人防出口加装雨棚</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方埝花苑污水管改造工程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康阳路233号3号楼维修改造工程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康阳新村二期卫生室装修工程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装饰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皇庭公寓消防管道维修工程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裴阳路1号阅湖生活广场3幢立面维修工程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人民路51号屋面维修工程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春丰路埭南大桥东和相城区040村道与长旺路交叉口东160米资产改造工程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春丰路1239号南侧围墙修复工程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咏春工业坊先进材料展厅拆除改造工程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装饰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燕河高端智能制造产业园2号楼2楼瓷砖铺设工程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燕河高端智能制造产业园电动车棚安装工程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春旺智能制造产业园电动车棚安装工程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康阳路233号9幢外墙破损修复工程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东新西街23-25号加固工程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黄埭镇区域性养老服务中心建设项目试桩</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土建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黄埭镇埭岸通鹤泾内河港口公用码头试桩</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土建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黄埭镇埭岸通鹤泾内河港口公用码头低压电缆迁移工程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黄埭镇埭盛鹤泾内河港口公用码头试桩</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土建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其他零星项目</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综合</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预算评审、竣工结算审核等</w:t>
            </w:r>
            <w:r/>
          </w:p>
        </w:tc>
      </w:tr>
      <w:tr>
        <w:trPr>
          <w:trHeight w:val="645"/>
        </w:trPr>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第三标段</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苏地2021-WG-66号地块项目供电工程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预算评审</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苏地2021-WG-66号地块项目供水工程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预算评审</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苏地2023-WG-69号地块项目供电工程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预算评审</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春方路新建工程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预算评审</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苏地2023-WG-69号地块项目供水工程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预算评审</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苏地2021-WG-66号地块项目三网</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预算评审</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苏地2023-WG-69号地块项目三网</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预算评审</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春申路、开阳路(埭东地块)新建工程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善角浜路西延新建工程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黄埭镇社会综合治理中心内装工程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装饰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长和路、大寨河绿化景观提升工程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绿化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黄埭镇东桥消防救援站装修工程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装饰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苏地2022-WG-59号地块项目燃气工程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2025年埭川社区新月新村（含新月二村）寺前新村天然气瓶改管工程市政配套工程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太东路下穿京沪高速泵房改造</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苏地2022-WG-59号地块外线接入工程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有线电视建设合同</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东新社区公寓路小区马沙桥南小区天然气瓶改管工程市政配套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2025年长康社区溪泾浜东小区、长和二村北区瓶改管市政配套工程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欧菲光产业园消防管道维修工程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阅湖生活广场蒸汽管道改造工程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阅湖生活广场3幢冷热水管维修工程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苏地2023-WG-32号地块项目临电工程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苏地2023-WG-32号地块项目临时示范区精装修工程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装饰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旺庄路（太东路至春兰路）给水工程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苏州相城黄埭高新区春祥路给水工程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黄埭镇金龙片区产业更新项目-苏地2025-WG-S02号地块项目500KVA临时箱变工程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（申惠科技3223022800064149）春旺北区业扩配套工程电缆通道工程弱电集约化管道迁移工程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欧菲光产业园综合维修工程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康阳新村二期日间照料中心装修工程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装饰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燕河高端智能制造工厂3号楼消防改造工程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装饰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苏地2025-WG-Z-16号地块设计试桩工程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土建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新建汽车零部件及配件制造基地项目临电安装工程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咏春工业坊4幢、12幢维修工程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黄埭镇区域性养老服务中心建设项目临电</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善角浜路西延弱电集约化管道迁改</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苏地2023-WG-32号地块项目阵地围挡大牌制作合同</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土建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苏地2023-WG-32号地块项目工地围挡公益及价值字体制作合同</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土建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黄埭镇春丰路（高阳路以东）弱电集约化管道工程建设协议</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玉莲花苑一期配电智能辅助监控系统</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综合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古宫新村二期2#配电间及开闭所门禁系统</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综合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玉莲花苑二期3#4#配电间监控系统</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综合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黄埭中心小学综合楼建设工程污水提升井工程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黄埭中心小学西侧道口开设</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善角浜路西延移动线路迁改</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善角浜路西延广电线路迁改</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善角浜路西延电信通信设施搬迁</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苏地2022-WG-59号地块项目供水工程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苏地2022-WG-59号地块项目供电工程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苏地2022-WG-59号地块项目三网合一工程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竣工结算审核</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其他零星项目</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综合</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预算评审、竣工结算审核等</w:t>
            </w:r>
            <w:r/>
          </w:p>
        </w:tc>
      </w:tr>
    </w:tbl>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r>
      <w:r/>
    </w:p>
    <w:p>
      <w:pPr>
        <w:ind w:firstLine="480"/>
        <w:jc w:val="center"/>
        <w:keepLines w:val="0"/>
        <w:keepNext w:val="0"/>
        <w:pageBreakBefore w:val="0"/>
        <w:spacing w:line="360" w:lineRule="auto"/>
        <w:widowControl/>
        <w:rPr>
          <w:color w:val="auto"/>
          <w:highlight w:val="none"/>
        </w:rPr>
        <w:outlineLvl w:val="9"/>
      </w:pPr>
      <w:r>
        <w:rPr>
          <w:rFonts w:hint="eastAsia" w:ascii="宋体" w:hAnsi="宋体" w:eastAsia="宋体"/>
          <w:bCs/>
          <w:color w:val="auto"/>
          <w:sz w:val="24"/>
          <w:szCs w:val="22"/>
          <w:highlight w:val="none"/>
        </w:rPr>
        <w:t xml:space="preserve">（全文完）</w:t>
      </w:r>
      <w:r/>
    </w:p>
    <w:sectPr>
      <w:footerReference w:type="first" r:id="rId12"/>
      <w:footnotePr/>
      <w:endnotePr/>
      <w:type w:val="nextPage"/>
      <w:pgSz w:w="11906" w:h="16838" w:orient="portrait"/>
      <w:pgMar w:top="1247" w:right="1247" w:bottom="1247" w:left="124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汉仪细等线简">
    <w:panose1 w:val="020B0503020202020204"/>
  </w:font>
  <w:font w:name="Symbol">
    <w:panose1 w:val="05050102010706020507"/>
  </w:font>
  <w:font w:name="新宋体">
    <w:panose1 w:val="02010609030101010101"/>
  </w:font>
  <w:font w:name="Palatino Linotype">
    <w:panose1 w:val="02040502050505030304"/>
  </w:font>
  <w:font w:name="Arial Unicode MS">
    <w:panose1 w:val="020B0604020202020204"/>
  </w:font>
  <w:font w:name="Tahoma">
    <w:panose1 w:val="020B0604030504040204"/>
  </w:font>
  <w:font w:name="Wingdings">
    <w:panose1 w:val="05000000000000000000"/>
  </w:font>
  <w:font w:name="方正黑体简体">
    <w:panose1 w:val="020B0503020202020204"/>
  </w:font>
  <w:font w:name="全真中明體">
    <w:panose1 w:val="020B0503020202020204"/>
  </w:font>
  <w:font w:name="Cambria">
    <w:panose1 w:val="02040503050406030204"/>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楷体_GB2312">
    <w:panose1 w:val="02010609060101010101"/>
  </w:font>
  <w:font w:name="ˎ̥">
    <w:panose1 w:val="020B0503020202020204"/>
  </w:font>
  <w:font w:name="Arial">
    <w:panose1 w:val="020B0604020202020204"/>
  </w:font>
  <w:font w:name="Calibri">
    <w:panose1 w:val="020F0502020204030204"/>
  </w:font>
  <w:font w:name="微软雅黑">
    <w:panose1 w:val="020B0503020204020204"/>
  </w:font>
  <w:font w:name="serif">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2</w:t>
    </w:r>
    <w:r>
      <w:rPr>
        <w:szCs w:val="21"/>
      </w:rPr>
      <w:fldChar w:fldCharType="end"/>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rPr>
        <w:rStyle w:val="928"/>
      </w:rPr>
      <w:framePr w:wrap="around" w:vAnchor="text" w:hAnchor="margin" w:xAlign="center" w:y="1"/>
    </w:pPr>
    <w:r>
      <w:fldChar w:fldCharType="begin"/>
    </w:r>
    <w:r>
      <w:rPr>
        <w:rStyle w:val="928"/>
      </w:rPr>
      <w:instrText xml:space="preserve">PAGE  </w:instrText>
    </w:r>
    <w:r>
      <w:fldChar w:fldCharType="end"/>
    </w:r>
    <w:r/>
  </w:p>
  <w:p>
    <w:pPr>
      <w:pStyle w:val="1011"/>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pPr>
    <w:r>
      <w:t xml:space="preserve">- </w:t>
    </w:r>
    <w:r>
      <w:fldChar w:fldCharType="begin"/>
    </w:r>
    <w:r>
      <w:instrText xml:space="preserve"> PAGE </w:instrText>
    </w:r>
    <w:r>
      <w:fldChar w:fldCharType="separate"/>
    </w:r>
    <w:r>
      <w:t xml:space="preserve">1</w:t>
    </w:r>
    <w:r>
      <w:fldChar w:fldCharType="end"/>
    </w:r>
    <w: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pPr>
    <w:r>
      <w:t xml:space="preserve">- </w:t>
    </w:r>
    <w:r>
      <w:fldChar w:fldCharType="begin"/>
    </w:r>
    <w:r>
      <w:instrText xml:space="preserve"> PAGE </w:instrText>
    </w:r>
    <w:r>
      <w:fldChar w:fldCharType="separate"/>
    </w:r>
    <w:r>
      <w:t xml:space="preserve">7</w:t>
    </w:r>
    <w:r>
      <w:fldChar w:fldCharType="end"/>
    </w:r>
    <w: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0"/>
      <w:numFmt w:val="decimal"/>
      <w:pStyle w:val="1359"/>
      <w:isLgl w:val="false"/>
      <w:suff w:val="tab"/>
      <w:lvlText w:val=""/>
      <w:lvlJc w:val="left"/>
      <w:pPr>
        <w:tabs>
          <w:tab w:val="left" w:pos="360" w:leader="none"/>
        </w:tabs>
      </w:pPr>
    </w:lvl>
    <w:lvl w:ilvl="1">
      <w:start w:val="1"/>
      <w:numFmt w:val="decimal"/>
      <w:pStyle w:val="1299"/>
      <w:isLgl w:val="false"/>
      <w:suff w:val="nothing"/>
      <w:lvlText w:val="%1%2　"/>
      <w:lvlJc w:val="left"/>
      <w:pPr>
        <w:ind w:left="0" w:firstLine="0"/>
      </w:pPr>
      <w:rPr>
        <w:rFonts w:hint="eastAsia" w:ascii="黑体" w:hAnsi="Times New Roman" w:eastAsia="黑体"/>
        <w:b w:val="0"/>
        <w:i w:val="0"/>
        <w:sz w:val="21"/>
      </w:rPr>
    </w:lvl>
    <w:lvl w:ilvl="2">
      <w:start w:val="1"/>
      <w:numFmt w:val="decimal"/>
      <w:pStyle w:val="1163"/>
      <w:isLgl w:val="false"/>
      <w:suff w:val="nothing"/>
      <w:lvlText w:val="%1%2.%3　"/>
      <w:lvlJc w:val="left"/>
      <w:pPr>
        <w:ind w:left="3675" w:firstLine="0"/>
      </w:pPr>
      <w:rPr>
        <w:rFonts w:hint="eastAsia" w:ascii="黑体" w:hAnsi="Times New Roman" w:eastAsia="黑体"/>
        <w:b w:val="0"/>
        <w:i w:val="0"/>
        <w:sz w:val="21"/>
      </w:rPr>
    </w:lvl>
    <w:lvl w:ilvl="3">
      <w:start w:val="1"/>
      <w:numFmt w:val="decimal"/>
      <w:pStyle w:val="1162"/>
      <w:isLgl w:val="false"/>
      <w:suff w:val="nothing"/>
      <w:lvlText w:val="%1%2.%3.%4　"/>
      <w:lvlJc w:val="left"/>
      <w:pPr>
        <w:ind w:left="0" w:firstLine="0"/>
      </w:pPr>
      <w:rPr>
        <w:rFonts w:hint="eastAsia" w:ascii="黑体" w:hAnsi="Times New Roman" w:eastAsia="黑体"/>
        <w:b w:val="0"/>
        <w:i w:val="0"/>
        <w:sz w:val="21"/>
      </w:rPr>
    </w:lvl>
    <w:lvl w:ilvl="4">
      <w:start w:val="1"/>
      <w:numFmt w:val="decimal"/>
      <w:pStyle w:val="1161"/>
      <w:isLgl w:val="false"/>
      <w:suff w:val="nothing"/>
      <w:lvlText w:val="%1%2.%3.%4.%5　"/>
      <w:lvlJc w:val="left"/>
      <w:pPr>
        <w:ind w:left="0" w:firstLine="0"/>
      </w:pPr>
      <w:rPr>
        <w:rFonts w:hint="eastAsia" w:ascii="黑体" w:hAnsi="Times New Roman" w:eastAsia="黑体"/>
        <w:b w:val="0"/>
        <w:i w:val="0"/>
        <w:sz w:val="21"/>
      </w:rPr>
    </w:lvl>
    <w:lvl w:ilvl="5">
      <w:start w:val="1"/>
      <w:numFmt w:val="decimal"/>
      <w:pStyle w:val="1200"/>
      <w:isLgl w:val="false"/>
      <w:suff w:val="nothing"/>
      <w:lvlText w:val="%1%2.%3.%4.%5.%6　"/>
      <w:lvlJc w:val="left"/>
      <w:pPr>
        <w:ind w:left="0" w:firstLine="0"/>
      </w:pPr>
      <w:rPr>
        <w:rFonts w:hint="eastAsia" w:ascii="黑体" w:hAnsi="Times New Roman" w:eastAsia="黑体"/>
        <w:b w:val="0"/>
        <w:i w:val="0"/>
        <w:sz w:val="21"/>
      </w:rPr>
    </w:lvl>
    <w:lvl w:ilvl="6">
      <w:start w:val="1"/>
      <w:numFmt w:val="decimal"/>
      <w:pStyle w:val="1199"/>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
    <w:multiLevelType w:val="hybridMultilevel"/>
    <w:lvl w:ilvl="0">
      <w:start w:val="1"/>
      <w:numFmt w:val="japaneseCounting"/>
      <w:pStyle w:val="1147"/>
      <w:isLgl w:val="false"/>
      <w:suff w:val="tab"/>
      <w:lvlText w:val="%1、"/>
      <w:lvlJc w:val="left"/>
      <w:pPr>
        <w:ind w:left="510" w:hanging="510"/>
      </w:pPr>
    </w:lvl>
    <w:lvl w:ilvl="1">
      <w:start w:val="1"/>
      <w:numFmt w:val="decimalFullWidth"/>
      <w:isLgl w:val="false"/>
      <w:suff w:val="tab"/>
      <w:lvlText w:val="（%2）"/>
      <w:lvlJc w:val="left"/>
      <w:pPr>
        <w:ind w:left="1140" w:hanging="7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space"/>
      <w:lvlText w:val="%1."/>
      <w:lvlJc w:val="left"/>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4">
    <w:multiLevelType w:val="hybridMultilevel"/>
    <w:lvl w:ilvl="0">
      <w:start w:val="1"/>
      <w:numFmt w:val="decimal"/>
      <w:pStyle w:val="1246"/>
      <w:isLgl w:val="false"/>
      <w:suff w:val="tab"/>
      <w:lvlText w:val="%1)"/>
      <w:lvlJc w:val="left"/>
      <w:pPr>
        <w:ind w:left="900" w:hanging="420"/>
        <w:tabs>
          <w:tab w:val="left" w:pos="900" w:leader="none"/>
        </w:tabs>
      </w:pPr>
    </w:lvl>
    <w:lvl w:ilvl="1">
      <w:start w:val="1"/>
      <w:numFmt w:val="upperLetter"/>
      <w:pStyle w:val="919"/>
      <w:isLgl w:val="false"/>
      <w:suff w:val="tab"/>
      <w:lvlText w:val="%2、"/>
      <w:lvlJc w:val="left"/>
      <w:pPr>
        <w:ind w:left="992" w:hanging="538"/>
        <w:tabs>
          <w:tab w:val="left" w:pos="624"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5">
    <w:multiLevelType w:val="hybridMultilevel"/>
    <w:lvl w:ilvl="0">
      <w:start w:val="1"/>
      <w:numFmt w:val="decimal"/>
      <w:pStyle w:val="911"/>
      <w:isLgl w:val="false"/>
      <w:suff w:val="space"/>
      <w:lvlText w:val="%1"/>
      <w:lvlJc w:val="left"/>
      <w:pPr>
        <w:ind w:left="431" w:hanging="431"/>
      </w:pPr>
      <w:rPr>
        <w:rFonts w:ascii="Arial" w:hAnsi="Arial" w:eastAsia="黑体" w:cs="Times New Roman"/>
        <w:b/>
        <w:bCs/>
        <w:i w:val="0"/>
        <w:iCs w:val="0"/>
        <w:caps w:val="0"/>
        <w:vanish w:val="0"/>
        <w:spacing w:val="0"/>
        <w:position w:val="0"/>
        <w:sz w:val="32"/>
        <w:szCs w:val="32"/>
        <w:u w:val="none"/>
        <w:vertAlign w:val="baseline"/>
      </w:rPr>
    </w:lvl>
    <w:lvl w:ilvl="1">
      <w:start w:val="1"/>
      <w:numFmt w:val="decimal"/>
      <w:pStyle w:val="913"/>
      <w:isLgl w:val="false"/>
      <w:suff w:val="space"/>
      <w:lvlText w:val="%1.%2"/>
      <w:lvlJc w:val="left"/>
      <w:pPr>
        <w:ind w:left="567" w:hanging="567"/>
      </w:pPr>
      <w:rPr>
        <w:rFonts w:ascii="Arial" w:hAnsi="Arial" w:eastAsia="黑体" w:cs="Times New Roman"/>
        <w:b/>
        <w:bCs/>
        <w:i w:val="0"/>
        <w:iCs w:val="0"/>
        <w:sz w:val="28"/>
        <w:szCs w:val="28"/>
      </w:rPr>
    </w:lvl>
    <w:lvl w:ilvl="2">
      <w:start w:val="1"/>
      <w:numFmt w:val="decimal"/>
      <w:pStyle w:val="915"/>
      <w:isLgl w:val="false"/>
      <w:suff w:val="space"/>
      <w:lvlText w:val="%1.%2.%3"/>
      <w:lvlJc w:val="left"/>
      <w:pPr>
        <w:ind w:left="720" w:hanging="720"/>
      </w:pPr>
      <w:rPr>
        <w:rFonts w:ascii="Arial" w:hAnsi="Arial" w:eastAsia="黑体" w:cs="Times New Roman"/>
        <w:b/>
        <w:bCs/>
        <w:i w:val="0"/>
        <w:iCs w:val="0"/>
        <w:sz w:val="28"/>
        <w:szCs w:val="28"/>
      </w:rPr>
    </w:lvl>
    <w:lvl w:ilvl="3">
      <w:start w:val="1"/>
      <w:numFmt w:val="decimal"/>
      <w:pStyle w:val="916"/>
      <w:isLgl w:val="false"/>
      <w:suff w:val="space"/>
      <w:lvlText w:val="%1.%2.%3.%4"/>
      <w:lvlJc w:val="left"/>
      <w:pPr>
        <w:ind w:left="864" w:hanging="864"/>
      </w:pPr>
      <w:rPr>
        <w:rFonts w:ascii="Arial" w:hAnsi="Arial" w:eastAsia="黑体" w:cs="Times New Roman"/>
        <w:b/>
        <w:bCs/>
        <w:i w:val="0"/>
        <w:iCs w:val="0"/>
        <w:sz w:val="30"/>
        <w:szCs w:val="30"/>
      </w:rPr>
    </w:lvl>
    <w:lvl w:ilvl="4">
      <w:start w:val="1"/>
      <w:numFmt w:val="decimal"/>
      <w:pStyle w:val="917"/>
      <w:isLgl w:val="false"/>
      <w:suff w:val="space"/>
      <w:lvlText w:val="%1.%2.%3.%4.%5"/>
      <w:lvlJc w:val="left"/>
      <w:pPr>
        <w:ind w:left="1008" w:hanging="1008"/>
      </w:pPr>
      <w:rPr>
        <w:rFonts w:ascii="Arial" w:hAnsi="Arial" w:eastAsia="黑体" w:cs="Times New Roman"/>
        <w:b/>
        <w:bCs/>
        <w:i w:val="0"/>
        <w:iCs w:val="0"/>
        <w:sz w:val="28"/>
        <w:szCs w:val="28"/>
      </w:rPr>
    </w:lvl>
    <w:lvl w:ilvl="5">
      <w:start w:val="1"/>
      <w:numFmt w:val="decimal"/>
      <w:isLgl w:val="false"/>
      <w:suff w:val="tab"/>
      <w:lvlText w:val="%1.%2.%3.%4.%5.%6"/>
      <w:lvlJc w:val="left"/>
      <w:pPr>
        <w:ind w:left="1152" w:hanging="1152"/>
        <w:tabs>
          <w:tab w:val="left" w:pos="1152" w:leader="none"/>
        </w:tabs>
      </w:pPr>
      <w:rPr>
        <w:rFonts w:hint="eastAsia" w:cs="Times New Roman"/>
      </w:rPr>
    </w:lvl>
    <w:lvl w:ilvl="6">
      <w:start w:val="1"/>
      <w:numFmt w:val="decimal"/>
      <w:isLgl w:val="false"/>
      <w:suff w:val="tab"/>
      <w:lvlText w:val="%1.%2.%3.%4.%5.%6.%7"/>
      <w:lvlJc w:val="left"/>
      <w:pPr>
        <w:ind w:left="1296" w:hanging="1296"/>
        <w:tabs>
          <w:tab w:val="left" w:pos="1296" w:leader="none"/>
        </w:tabs>
      </w:pPr>
      <w:rPr>
        <w:rFonts w:hint="eastAsia" w:cs="Times New Roman"/>
      </w:rPr>
    </w:lvl>
    <w:lvl w:ilvl="7">
      <w:start w:val="1"/>
      <w:numFmt w:val="decimal"/>
      <w:isLgl w:val="false"/>
      <w:suff w:val="tab"/>
      <w:lvlText w:val="%1.%2.%3.%4.%5.%6.%7.%8"/>
      <w:lvlJc w:val="left"/>
      <w:pPr>
        <w:ind w:left="1440" w:hanging="1440"/>
        <w:tabs>
          <w:tab w:val="left" w:pos="1440" w:leader="none"/>
        </w:tabs>
      </w:pPr>
      <w:rPr>
        <w:rFonts w:hint="eastAsia" w:cs="Times New Roman"/>
      </w:rPr>
    </w:lvl>
    <w:lvl w:ilvl="8">
      <w:start w:val="1"/>
      <w:numFmt w:val="decimal"/>
      <w:isLgl w:val="false"/>
      <w:suff w:val="tab"/>
      <w:lvlText w:val="%1.%2.%3.%4.%5.%6.%7.%8.%9"/>
      <w:lvlJc w:val="left"/>
      <w:pPr>
        <w:ind w:left="1584" w:hanging="1584"/>
        <w:tabs>
          <w:tab w:val="left" w:pos="1584" w:leader="none"/>
        </w:tabs>
      </w:pPr>
      <w:rPr>
        <w:rFonts w:hint="eastAsia" w:cs="Times New Roman"/>
      </w:rPr>
    </w:lvl>
  </w:abstractNum>
  <w:abstractNum w:abstractNumId="6">
    <w:multiLevelType w:val="hybridMultilevel"/>
    <w:lvl w:ilvl="0">
      <w:start w:val="1"/>
      <w:numFmt w:val="bullet"/>
      <w:pStyle w:val="1296"/>
      <w:isLgl w:val="false"/>
      <w:suff w:val="tab"/>
      <w:lvlText w:val=""/>
      <w:lvlJc w:val="left"/>
      <w:pPr>
        <w:ind w:left="840" w:hanging="420"/>
        <w:tabs>
          <w:tab w:val="left" w:pos="840" w:leader="none"/>
        </w:tabs>
      </w:pPr>
      <w:rPr>
        <w:rFonts w:ascii="Wingdings" w:hAnsi="Wingdings"/>
        <w:color w:val="000000"/>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7">
    <w:multiLevelType w:val="hybridMultilevel"/>
    <w:lvl w:ilvl="0">
      <w:start w:val="1"/>
      <w:numFmt w:val="decimal"/>
      <w:isLgl w:val="false"/>
      <w:suff w:val="nothing"/>
      <w:lvlText w:val="%1  "/>
      <w:lvlJc w:val="left"/>
      <w:pPr>
        <w:ind w:left="0" w:firstLine="0"/>
      </w:pPr>
      <w:rPr>
        <w:rFonts w:ascii="Arial" w:hAnsi="Arial" w:eastAsia="黑体"/>
        <w:b w:val="0"/>
        <w:i w:val="0"/>
        <w:sz w:val="36"/>
        <w:szCs w:val="36"/>
      </w:rPr>
    </w:lvl>
    <w:lvl w:ilvl="1">
      <w:start w:val="1"/>
      <w:numFmt w:val="decimal"/>
      <w:isLgl w:val="false"/>
      <w:suff w:val="nothing"/>
      <w:lvlText w:val="%1.%2  "/>
      <w:lvlJc w:val="left"/>
      <w:pPr>
        <w:ind w:left="0" w:firstLine="0"/>
      </w:pPr>
      <w:rPr>
        <w:rFonts w:ascii="Arial" w:hAnsi="Arial"/>
        <w:b w:val="0"/>
        <w:i w:val="0"/>
        <w:sz w:val="30"/>
        <w:szCs w:val="30"/>
      </w:rPr>
    </w:lvl>
    <w:lvl w:ilvl="2">
      <w:start w:val="1"/>
      <w:numFmt w:val="decimal"/>
      <w:isLgl w:val="false"/>
      <w:suff w:val="nothing"/>
      <w:lvlText w:val="%1.%2.%3  "/>
      <w:lvlJc w:val="left"/>
      <w:pPr>
        <w:ind w:left="0" w:firstLine="0"/>
      </w:pPr>
      <w:rPr>
        <w:rFonts w:ascii="Arial" w:hAnsi="Arial"/>
        <w:b w:val="0"/>
        <w:i w:val="0"/>
        <w:sz w:val="24"/>
        <w:szCs w:val="24"/>
      </w:rPr>
    </w:lvl>
    <w:lvl w:ilvl="3">
      <w:start w:val="1"/>
      <w:numFmt w:val="decimal"/>
      <w:isLgl w:val="false"/>
      <w:suff w:val="nothing"/>
      <w:lvlText w:val="%1.%2.%3.%4  "/>
      <w:lvlJc w:val="left"/>
      <w:pPr>
        <w:ind w:left="0" w:firstLine="0"/>
      </w:pPr>
      <w:rPr>
        <w:rFonts w:ascii="Arial" w:hAnsi="Arial"/>
        <w:b w:val="0"/>
        <w:i w:val="0"/>
        <w:sz w:val="21"/>
        <w:szCs w:val="21"/>
      </w:rPr>
    </w:lvl>
    <w:lvl w:ilvl="4">
      <w:start w:val="1"/>
      <w:numFmt w:val="decimal"/>
      <w:isLgl w:val="false"/>
      <w:suff w:val="tab"/>
      <w:lvlText w:val="%5."/>
      <w:lvlJc w:val="left"/>
      <w:pPr>
        <w:ind w:left="1134" w:hanging="312"/>
        <w:tabs>
          <w:tab w:val="left" w:pos="1134" w:leader="none"/>
        </w:tabs>
      </w:pPr>
      <w:rPr>
        <w:rFonts w:ascii="Arial" w:hAnsi="Arial"/>
        <w:b w:val="0"/>
        <w:i w:val="0"/>
        <w:sz w:val="21"/>
        <w:szCs w:val="21"/>
      </w:rPr>
    </w:lvl>
    <w:lvl w:ilvl="5">
      <w:start w:val="1"/>
      <w:numFmt w:val="decimal"/>
      <w:isLgl w:val="false"/>
      <w:suff w:val="tab"/>
      <w:lvlText w:val="%6)"/>
      <w:lvlJc w:val="left"/>
      <w:pPr>
        <w:ind w:left="1134" w:hanging="312"/>
        <w:tabs>
          <w:tab w:val="left" w:pos="1134" w:leader="none"/>
        </w:tabs>
      </w:pPr>
      <w:rPr>
        <w:rFonts w:ascii="Arial" w:hAnsi="Arial"/>
        <w:b w:val="0"/>
        <w:i w:val="0"/>
        <w:sz w:val="21"/>
        <w:szCs w:val="21"/>
      </w:rPr>
    </w:lvl>
    <w:lvl w:ilvl="6">
      <w:start w:val="1"/>
      <w:numFmt w:val="lowerLetter"/>
      <w:isLgl w:val="false"/>
      <w:suff w:val="tab"/>
      <w:lvlText w:val="%7."/>
      <w:lvlJc w:val="left"/>
      <w:pPr>
        <w:ind w:left="1134" w:hanging="312"/>
        <w:tabs>
          <w:tab w:val="left" w:pos="1134" w:leader="none"/>
        </w:tabs>
      </w:pPr>
      <w:rPr>
        <w:rFonts w:ascii="Arial" w:hAnsi="Arial"/>
        <w:b w:val="0"/>
        <w:i w:val="0"/>
        <w:sz w:val="21"/>
        <w:szCs w:val="21"/>
      </w:rPr>
    </w:lvl>
    <w:lvl w:ilvl="7">
      <w:start w:val="1"/>
      <w:numFmt w:val="decimal"/>
      <w:pStyle w:val="1322"/>
      <w:isLgl w:val="false"/>
      <w:suff w:val="space"/>
      <w:lvlText w:val="图%8"/>
      <w:lvlJc w:val="center"/>
      <w:pPr>
        <w:ind w:left="0" w:firstLine="0"/>
      </w:pPr>
      <w:rPr>
        <w:rFonts w:ascii="Arial" w:hAnsi="Arial" w:eastAsia="黑体"/>
        <w:b w:val="0"/>
        <w:i w:val="0"/>
        <w:sz w:val="18"/>
        <w:szCs w:val="18"/>
      </w:rPr>
    </w:lvl>
    <w:lvl w:ilvl="8">
      <w:start w:val="1"/>
      <w:numFmt w:val="decimal"/>
      <w:pStyle w:val="1230"/>
      <w:isLgl w:val="false"/>
      <w:suff w:val="space"/>
      <w:lvlText w:val="表%9"/>
      <w:lvlJc w:val="center"/>
      <w:pPr>
        <w:ind w:left="0" w:firstLine="0"/>
      </w:pPr>
      <w:rPr>
        <w:rFonts w:ascii="Arial" w:hAnsi="Arial" w:eastAsia="黑体"/>
        <w:b w:val="0"/>
        <w:i w:val="0"/>
        <w:sz w:val="18"/>
        <w:szCs w:val="18"/>
      </w:rPr>
    </w:lvl>
  </w:abstractNum>
  <w:abstractNum w:abstractNumId="8">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137"/>
      <w:isLgl w:val="false"/>
      <w:suff w:val="tab"/>
      <w:lvlText w:val=""/>
      <w:lvlJc w:val="left"/>
      <w:pPr>
        <w:ind w:left="794" w:hanging="312"/>
        <w:tabs>
          <w:tab w:val="left" w:pos="482" w:leader="none"/>
        </w:tabs>
      </w:pPr>
      <w:rPr>
        <w:rFonts w:ascii="Wingdings" w:hAnsi="Wingdings"/>
      </w:rPr>
    </w:lvl>
    <w:lvl w:ilvl="1">
      <w:start w:val="1"/>
      <w:numFmt w:val="decimal"/>
      <w:isLgl w:val="false"/>
      <w:suff w:val="tab"/>
      <w:lvlText w:val="%2."/>
      <w:lvlJc w:val="left"/>
      <w:pPr>
        <w:ind w:left="840" w:hanging="420"/>
        <w:tabs>
          <w:tab w:val="left" w:pos="840" w:leader="none"/>
        </w:tabs>
      </w:p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51"/>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5"/>
  </w:num>
  <w:num w:numId="2">
    <w:abstractNumId w:val="4"/>
  </w:num>
  <w:num w:numId="3">
    <w:abstractNumId w:val="9"/>
  </w:num>
  <w:num w:numId="4">
    <w:abstractNumId w:val="2"/>
  </w:num>
  <w:num w:numId="5">
    <w:abstractNumId w:val="1"/>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6"/>
  </w:num>
  <w:num w:numId="9">
    <w:abstractNumId w:val="0"/>
  </w:num>
  <w:num w:numId="10">
    <w:abstractNumId w:val="8"/>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link w:val="1078"/>
    <w:uiPriority w:val="0"/>
    <w:qFormat/>
    <w:pPr>
      <w:jc w:val="both"/>
      <w:widowControl w:val="off"/>
    </w:pPr>
    <w:rPr>
      <w:rFonts w:hint="default" w:ascii="Calibri" w:hAnsi="Calibri" w:eastAsia="宋体" w:cs="Times New Roman"/>
      <w:sz w:val="21"/>
      <w:szCs w:val="24"/>
      <w:lang w:val="en-US" w:eastAsia="zh-CN" w:bidi="ar-SA"/>
    </w:rPr>
  </w:style>
  <w:style w:type="paragraph" w:styleId="723">
    <w:name w:val="Heading 1"/>
    <w:basedOn w:val="722"/>
    <w:next w:val="722"/>
    <w:link w:val="768"/>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link w:val="769"/>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link w:val="770"/>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link w:val="771"/>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link w:val="772"/>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link w:val="773"/>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774"/>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775"/>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776"/>
    <w:uiPriority w:val="9"/>
    <w:unhideWhenUsed/>
    <w:qFormat/>
    <w:pPr>
      <w:keepLines/>
      <w:keepNext/>
      <w:spacing w:before="320" w:after="200"/>
      <w:outlineLvl w:val="8"/>
    </w:pPr>
    <w:rPr>
      <w:rFonts w:ascii="Arial" w:hAnsi="Arial" w:eastAsia="Arial" w:cs="Arial"/>
      <w:i/>
      <w:iCs/>
      <w:sz w:val="21"/>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toc 7"/>
    <w:basedOn w:val="722"/>
    <w:next w:val="722"/>
    <w:uiPriority w:val="39"/>
    <w:unhideWhenUsed/>
    <w:qFormat/>
    <w:pPr>
      <w:ind w:left="1701" w:right="0" w:firstLine="0"/>
      <w:spacing w:after="57"/>
    </w:pPr>
  </w:style>
  <w:style w:type="paragraph" w:styleId="735">
    <w:name w:val="Normal Indent"/>
    <w:basedOn w:val="722"/>
    <w:next w:val="722"/>
    <w:uiPriority w:val="0"/>
    <w:qFormat/>
    <w:pPr>
      <w:ind w:firstLine="420"/>
      <w:jc w:val="left"/>
    </w:pPr>
    <w:rPr>
      <w:rFonts w:ascii="Times New Roman" w:hAnsi="Times New Roman" w:eastAsia="宋体" w:cs="Times New Roman"/>
      <w:sz w:val="24"/>
    </w:rPr>
  </w:style>
  <w:style w:type="paragraph" w:styleId="736">
    <w:name w:val="Caption"/>
    <w:basedOn w:val="722"/>
    <w:next w:val="7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7">
    <w:name w:val="Document Map"/>
    <w:basedOn w:val="722"/>
    <w:uiPriority w:val="0"/>
    <w:qFormat/>
    <w:rPr>
      <w:sz w:val="18"/>
      <w:szCs w:val="18"/>
    </w:rPr>
  </w:style>
  <w:style w:type="paragraph" w:styleId="738">
    <w:name w:val="Body Text"/>
    <w:basedOn w:val="722"/>
    <w:next w:val="735"/>
    <w:uiPriority w:val="0"/>
    <w:qFormat/>
    <w:pPr>
      <w:spacing w:line="400" w:lineRule="exact"/>
    </w:pPr>
    <w:rPr>
      <w:rFonts w:ascii="楷体_GB2312" w:hAnsi="Times New Roman" w:eastAsia="宋体" w:cs="Times New Roman"/>
      <w:sz w:val="28"/>
    </w:rPr>
  </w:style>
  <w:style w:type="paragraph" w:styleId="739">
    <w:name w:val="Body Text Indent"/>
    <w:basedOn w:val="722"/>
    <w:next w:val="722"/>
    <w:uiPriority w:val="0"/>
    <w:unhideWhenUsed/>
    <w:qFormat/>
    <w:pPr>
      <w:ind w:left="420"/>
      <w:spacing w:after="120"/>
    </w:pPr>
    <w:rPr>
      <w:rFonts w:ascii="宋体" w:hAnsi="宋体" w:cs="宋体"/>
    </w:rPr>
  </w:style>
  <w:style w:type="paragraph" w:styleId="740">
    <w:name w:val="toc 5"/>
    <w:basedOn w:val="722"/>
    <w:next w:val="722"/>
    <w:uiPriority w:val="39"/>
    <w:unhideWhenUsed/>
    <w:qFormat/>
    <w:pPr>
      <w:ind w:left="1134" w:right="0" w:firstLine="0"/>
      <w:spacing w:after="57"/>
    </w:pPr>
  </w:style>
  <w:style w:type="paragraph" w:styleId="741">
    <w:name w:val="toc 3"/>
    <w:basedOn w:val="722"/>
    <w:next w:val="722"/>
    <w:uiPriority w:val="39"/>
    <w:unhideWhenUsed/>
    <w:qFormat/>
    <w:pPr>
      <w:ind w:left="567" w:right="0" w:firstLine="0"/>
      <w:spacing w:after="57"/>
    </w:pPr>
  </w:style>
  <w:style w:type="paragraph" w:styleId="742">
    <w:name w:val="Plain Text"/>
    <w:basedOn w:val="722"/>
    <w:uiPriority w:val="0"/>
    <w:qFormat/>
    <w:rPr>
      <w:rFonts w:ascii="宋体" w:hAnsi="Courier New" w:eastAsia="宋体" w:cs="Times New Roman"/>
    </w:rPr>
  </w:style>
  <w:style w:type="paragraph" w:styleId="743">
    <w:name w:val="toc 8"/>
    <w:basedOn w:val="722"/>
    <w:next w:val="722"/>
    <w:uiPriority w:val="39"/>
    <w:unhideWhenUsed/>
    <w:qFormat/>
    <w:pPr>
      <w:ind w:left="1984" w:right="0" w:firstLine="0"/>
      <w:spacing w:after="57"/>
    </w:pPr>
  </w:style>
  <w:style w:type="paragraph" w:styleId="744">
    <w:name w:val="endnote text"/>
    <w:basedOn w:val="722"/>
    <w:link w:val="910"/>
    <w:uiPriority w:val="99"/>
    <w:semiHidden/>
    <w:unhideWhenUsed/>
    <w:qFormat/>
    <w:pPr>
      <w:spacing w:after="0" w:line="240" w:lineRule="auto"/>
    </w:pPr>
    <w:rPr>
      <w:sz w:val="20"/>
    </w:rPr>
  </w:style>
  <w:style w:type="paragraph" w:styleId="745">
    <w:name w:val="Footer"/>
    <w:basedOn w:val="722"/>
    <w:link w:val="783"/>
    <w:uiPriority w:val="99"/>
    <w:unhideWhenUsed/>
    <w:qFormat/>
    <w:pPr>
      <w:spacing w:after="0" w:line="240" w:lineRule="auto"/>
      <w:tabs>
        <w:tab w:val="center" w:pos="7143" w:leader="none"/>
        <w:tab w:val="right" w:pos="14287" w:leader="none"/>
      </w:tabs>
    </w:pPr>
  </w:style>
  <w:style w:type="paragraph" w:styleId="746">
    <w:name w:val="envelope return"/>
    <w:basedOn w:val="722"/>
    <w:uiPriority w:val="0"/>
    <w:qFormat/>
    <w:rPr>
      <w:rFonts w:ascii="Arial" w:hAnsi="Arial" w:eastAsia="楷体_GB2312"/>
      <w:sz w:val="26"/>
    </w:rPr>
  </w:style>
  <w:style w:type="paragraph" w:styleId="747">
    <w:name w:val="Header"/>
    <w:basedOn w:val="722"/>
    <w:link w:val="781"/>
    <w:uiPriority w:val="99"/>
    <w:unhideWhenUsed/>
    <w:qFormat/>
    <w:pPr>
      <w:spacing w:after="0" w:line="240" w:lineRule="auto"/>
      <w:tabs>
        <w:tab w:val="center" w:pos="7143" w:leader="none"/>
        <w:tab w:val="right" w:pos="14287" w:leader="none"/>
      </w:tabs>
    </w:pPr>
  </w:style>
  <w:style w:type="paragraph" w:styleId="748">
    <w:name w:val="toc 1"/>
    <w:basedOn w:val="722"/>
    <w:next w:val="722"/>
    <w:uiPriority w:val="39"/>
    <w:unhideWhenUsed/>
    <w:qFormat/>
    <w:pPr>
      <w:ind w:left="0" w:right="0" w:firstLine="0"/>
      <w:spacing w:after="57"/>
    </w:pPr>
  </w:style>
  <w:style w:type="paragraph" w:styleId="749">
    <w:name w:val="toc 4"/>
    <w:basedOn w:val="722"/>
    <w:next w:val="722"/>
    <w:uiPriority w:val="39"/>
    <w:unhideWhenUsed/>
    <w:qFormat/>
    <w:pPr>
      <w:ind w:left="850" w:right="0" w:firstLine="0"/>
      <w:spacing w:after="57"/>
    </w:pPr>
  </w:style>
  <w:style w:type="paragraph" w:styleId="750">
    <w:name w:val="Subtitle"/>
    <w:basedOn w:val="722"/>
    <w:next w:val="722"/>
    <w:link w:val="778"/>
    <w:uiPriority w:val="11"/>
    <w:qFormat/>
    <w:pPr>
      <w:spacing w:before="200" w:after="200"/>
    </w:pPr>
    <w:rPr>
      <w:sz w:val="24"/>
      <w:szCs w:val="24"/>
    </w:rPr>
  </w:style>
  <w:style w:type="paragraph" w:styleId="751">
    <w:name w:val="footnote text"/>
    <w:basedOn w:val="722"/>
    <w:link w:val="909"/>
    <w:uiPriority w:val="99"/>
    <w:semiHidden/>
    <w:unhideWhenUsed/>
    <w:qFormat/>
    <w:pPr>
      <w:spacing w:after="40" w:line="240" w:lineRule="auto"/>
    </w:pPr>
    <w:rPr>
      <w:sz w:val="18"/>
    </w:rPr>
  </w:style>
  <w:style w:type="paragraph" w:styleId="752">
    <w:name w:val="toc 6"/>
    <w:basedOn w:val="722"/>
    <w:next w:val="722"/>
    <w:uiPriority w:val="39"/>
    <w:unhideWhenUsed/>
    <w:qFormat/>
    <w:pPr>
      <w:ind w:left="1417" w:right="0" w:firstLine="0"/>
      <w:spacing w:after="57"/>
    </w:pPr>
  </w:style>
  <w:style w:type="paragraph" w:styleId="753">
    <w:name w:val="table of figures"/>
    <w:basedOn w:val="722"/>
    <w:next w:val="722"/>
    <w:uiPriority w:val="99"/>
    <w:unhideWhenUsed/>
    <w:qFormat/>
    <w:pPr>
      <w:spacing w:after="0" w:afterAutospacing="0"/>
    </w:pPr>
  </w:style>
  <w:style w:type="paragraph" w:styleId="754">
    <w:name w:val="toc 2"/>
    <w:basedOn w:val="722"/>
    <w:next w:val="722"/>
    <w:uiPriority w:val="39"/>
    <w:unhideWhenUsed/>
    <w:qFormat/>
    <w:pPr>
      <w:ind w:left="283" w:right="0" w:firstLine="0"/>
      <w:spacing w:after="57"/>
    </w:pPr>
  </w:style>
  <w:style w:type="paragraph" w:styleId="755">
    <w:name w:val="toc 9"/>
    <w:basedOn w:val="722"/>
    <w:next w:val="722"/>
    <w:uiPriority w:val="39"/>
    <w:unhideWhenUsed/>
    <w:qFormat/>
    <w:pPr>
      <w:ind w:left="2268" w:right="0" w:firstLine="0"/>
      <w:spacing w:after="57"/>
    </w:pPr>
  </w:style>
  <w:style w:type="paragraph" w:styleId="756">
    <w:name w:val="Normal (Web)"/>
    <w:basedOn w:val="722"/>
    <w:uiPriority w:val="0"/>
    <w:qFormat/>
    <w:rPr>
      <w:sz w:val="24"/>
    </w:rPr>
  </w:style>
  <w:style w:type="paragraph" w:styleId="757">
    <w:name w:val="Title"/>
    <w:basedOn w:val="722"/>
    <w:next w:val="722"/>
    <w:link w:val="777"/>
    <w:uiPriority w:val="10"/>
    <w:qFormat/>
    <w:pPr>
      <w:contextualSpacing/>
      <w:spacing w:before="300" w:after="200"/>
    </w:pPr>
    <w:rPr>
      <w:sz w:val="48"/>
      <w:szCs w:val="48"/>
    </w:rPr>
  </w:style>
  <w:style w:type="paragraph" w:styleId="758">
    <w:name w:val="Body Text First Indent 2"/>
    <w:basedOn w:val="739"/>
    <w:uiPriority w:val="99"/>
    <w:unhideWhenUsed/>
    <w:qFormat/>
    <w:pPr>
      <w:ind w:firstLine="420"/>
    </w:pPr>
  </w:style>
  <w:style w:type="table" w:styleId="75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Strong"/>
    <w:basedOn w:val="732"/>
    <w:uiPriority w:val="22"/>
    <w:qFormat/>
    <w:rPr>
      <w:rFonts w:ascii="Calibri" w:hAnsi="Calibri" w:eastAsia="宋体" w:cs="Times New Roman"/>
      <w:b/>
      <w:bCs/>
    </w:rPr>
  </w:style>
  <w:style w:type="character" w:styleId="761">
    <w:name w:val="endnote reference"/>
    <w:uiPriority w:val="99"/>
    <w:semiHidden/>
    <w:unhideWhenUsed/>
    <w:qFormat/>
    <w:rPr>
      <w:vertAlign w:val="superscript"/>
    </w:rPr>
  </w:style>
  <w:style w:type="character" w:styleId="762">
    <w:name w:val="Hyperlink"/>
    <w:uiPriority w:val="99"/>
    <w:unhideWhenUsed/>
    <w:qFormat/>
    <w:rPr>
      <w:color w:val="0000ff" w:themeColor="hyperlink"/>
      <w:u w:val="single"/>
      <w14:textFill>
        <w14:solidFill>
          <w14:schemeClr w14:val="hlink"/>
        </w14:solidFill>
      </w14:textFill>
    </w:rPr>
  </w:style>
  <w:style w:type="character" w:styleId="763">
    <w:name w:val="footnote reference"/>
    <w:uiPriority w:val="99"/>
    <w:unhideWhenUsed/>
    <w:qFormat/>
    <w:rPr>
      <w:vertAlign w:val="superscript"/>
    </w:rPr>
  </w:style>
  <w:style w:type="paragraph" w:styleId="764" w:customStyle="1">
    <w:name w:val="段"/>
    <w:next w:val="722"/>
    <w:uiPriority w:val="0"/>
    <w:qFormat/>
    <w:pPr>
      <w:ind w:firstLine="200"/>
      <w:jc w:val="both"/>
    </w:pPr>
    <w:rPr>
      <w:rFonts w:hint="default" w:ascii="宋体" w:hAnsi="Calibri" w:eastAsia="宋体" w:cs="Times New Roman"/>
      <w:sz w:val="21"/>
      <w:lang w:val="en-US" w:eastAsia="zh-CN" w:bidi="ar-SA"/>
    </w:rPr>
  </w:style>
  <w:style w:type="paragraph" w:styleId="765" w:customStyle="1">
    <w:name w:val="正文文本11"/>
    <w:basedOn w:val="722"/>
    <w:next w:val="722"/>
    <w:uiPriority w:val="99"/>
    <w:qFormat/>
    <w:rPr>
      <w:rFonts w:ascii="楷体_GB2312" w:hAnsi="宋体" w:eastAsia="楷体_GB2312"/>
      <w:sz w:val="28"/>
      <w:szCs w:val="28"/>
    </w:rPr>
  </w:style>
  <w:style w:type="paragraph" w:styleId="766" w:customStyle="1">
    <w:name w:val="正文文本缩进1"/>
    <w:basedOn w:val="722"/>
    <w:uiPriority w:val="0"/>
    <w:qFormat/>
    <w:pPr>
      <w:ind w:firstLine="420"/>
      <w:spacing w:line="360" w:lineRule="auto"/>
    </w:pPr>
    <w:rPr>
      <w:rFonts w:ascii="宋体" w:hAnsi="宋体"/>
      <w:szCs w:val="20"/>
    </w:rPr>
  </w:style>
  <w:style w:type="paragraph" w:styleId="767" w:customStyle="1">
    <w:name w:val="目录 51"/>
    <w:next w:val="722"/>
    <w:uiPriority w:val="0"/>
    <w:qFormat/>
    <w:pPr>
      <w:ind w:left="1275"/>
      <w:jc w:val="both"/>
    </w:pPr>
    <w:rPr>
      <w:rFonts w:hint="default" w:ascii="Times New Roman" w:hAnsi="Times New Roman" w:eastAsia="宋体" w:cs="Times New Roman"/>
      <w:sz w:val="21"/>
      <w:lang w:val="en-US" w:eastAsia="zh-CN" w:bidi="ar-SA"/>
    </w:rPr>
  </w:style>
  <w:style w:type="character" w:styleId="768" w:customStyle="1">
    <w:name w:val="Heading 1 Char"/>
    <w:link w:val="723"/>
    <w:uiPriority w:val="9"/>
    <w:qFormat/>
    <w:rPr>
      <w:rFonts w:ascii="Arial" w:hAnsi="Arial" w:eastAsia="Arial" w:cs="Arial"/>
      <w:sz w:val="40"/>
      <w:szCs w:val="40"/>
    </w:rPr>
  </w:style>
  <w:style w:type="character" w:styleId="769" w:customStyle="1">
    <w:name w:val="Heading 2 Char"/>
    <w:link w:val="724"/>
    <w:uiPriority w:val="9"/>
    <w:qFormat/>
    <w:rPr>
      <w:rFonts w:ascii="Arial" w:hAnsi="Arial" w:eastAsia="Arial" w:cs="Arial"/>
      <w:sz w:val="34"/>
    </w:rPr>
  </w:style>
  <w:style w:type="character" w:styleId="770" w:customStyle="1">
    <w:name w:val="Heading 3 Char"/>
    <w:link w:val="725"/>
    <w:uiPriority w:val="9"/>
    <w:qFormat/>
    <w:rPr>
      <w:rFonts w:ascii="Arial" w:hAnsi="Arial" w:eastAsia="Arial" w:cs="Arial"/>
      <w:sz w:val="30"/>
      <w:szCs w:val="30"/>
    </w:rPr>
  </w:style>
  <w:style w:type="character" w:styleId="771" w:customStyle="1">
    <w:name w:val="Heading 4 Char"/>
    <w:link w:val="726"/>
    <w:uiPriority w:val="9"/>
    <w:qFormat/>
    <w:rPr>
      <w:rFonts w:ascii="Arial" w:hAnsi="Arial" w:eastAsia="Arial" w:cs="Arial"/>
      <w:b/>
      <w:bCs/>
      <w:sz w:val="26"/>
      <w:szCs w:val="26"/>
    </w:rPr>
  </w:style>
  <w:style w:type="character" w:styleId="772" w:customStyle="1">
    <w:name w:val="Heading 5 Char"/>
    <w:link w:val="727"/>
    <w:uiPriority w:val="9"/>
    <w:qFormat/>
    <w:rPr>
      <w:rFonts w:ascii="Arial" w:hAnsi="Arial" w:eastAsia="Arial" w:cs="Arial"/>
      <w:b/>
      <w:bCs/>
      <w:sz w:val="24"/>
      <w:szCs w:val="24"/>
    </w:rPr>
  </w:style>
  <w:style w:type="character" w:styleId="773" w:customStyle="1">
    <w:name w:val="Heading 6 Char"/>
    <w:link w:val="728"/>
    <w:uiPriority w:val="9"/>
    <w:qFormat/>
    <w:rPr>
      <w:rFonts w:ascii="Arial" w:hAnsi="Arial" w:eastAsia="Arial" w:cs="Arial"/>
      <w:b/>
      <w:bCs/>
      <w:sz w:val="22"/>
      <w:szCs w:val="22"/>
    </w:rPr>
  </w:style>
  <w:style w:type="character" w:styleId="774" w:customStyle="1">
    <w:name w:val="Heading 7 Char"/>
    <w:link w:val="729"/>
    <w:uiPriority w:val="9"/>
    <w:qFormat/>
    <w:rPr>
      <w:rFonts w:ascii="Arial" w:hAnsi="Arial" w:eastAsia="Arial" w:cs="Arial"/>
      <w:b/>
      <w:bCs/>
      <w:i/>
      <w:iCs/>
      <w:sz w:val="22"/>
      <w:szCs w:val="22"/>
    </w:rPr>
  </w:style>
  <w:style w:type="character" w:styleId="775" w:customStyle="1">
    <w:name w:val="Heading 8 Char"/>
    <w:link w:val="730"/>
    <w:uiPriority w:val="9"/>
    <w:qFormat/>
    <w:rPr>
      <w:rFonts w:ascii="Arial" w:hAnsi="Arial" w:eastAsia="Arial" w:cs="Arial"/>
      <w:i/>
      <w:iCs/>
      <w:sz w:val="22"/>
      <w:szCs w:val="22"/>
    </w:rPr>
  </w:style>
  <w:style w:type="character" w:styleId="776" w:customStyle="1">
    <w:name w:val="Heading 9 Char"/>
    <w:link w:val="731"/>
    <w:uiPriority w:val="9"/>
    <w:qFormat/>
    <w:rPr>
      <w:rFonts w:ascii="Arial" w:hAnsi="Arial" w:eastAsia="Arial" w:cs="Arial"/>
      <w:i/>
      <w:iCs/>
      <w:sz w:val="21"/>
      <w:szCs w:val="21"/>
    </w:rPr>
  </w:style>
  <w:style w:type="character" w:styleId="777" w:customStyle="1">
    <w:name w:val="Title Char"/>
    <w:link w:val="757"/>
    <w:uiPriority w:val="10"/>
    <w:qFormat/>
    <w:rPr>
      <w:sz w:val="48"/>
      <w:szCs w:val="48"/>
    </w:rPr>
  </w:style>
  <w:style w:type="character" w:styleId="778" w:customStyle="1">
    <w:name w:val="Subtitle Char"/>
    <w:link w:val="750"/>
    <w:uiPriority w:val="11"/>
    <w:qFormat/>
    <w:rPr>
      <w:sz w:val="24"/>
      <w:szCs w:val="24"/>
    </w:rPr>
  </w:style>
  <w:style w:type="character" w:styleId="779" w:customStyle="1">
    <w:name w:val="Quote Char"/>
    <w:uiPriority w:val="29"/>
    <w:qFormat/>
    <w:rPr>
      <w:i/>
    </w:rPr>
  </w:style>
  <w:style w:type="character" w:styleId="780" w:customStyle="1">
    <w:name w:val="Intense Quote Char"/>
    <w:uiPriority w:val="30"/>
    <w:qFormat/>
    <w:rPr>
      <w:i/>
    </w:rPr>
  </w:style>
  <w:style w:type="character" w:styleId="781" w:customStyle="1">
    <w:name w:val="Header Char"/>
    <w:link w:val="747"/>
    <w:uiPriority w:val="99"/>
    <w:qFormat/>
  </w:style>
  <w:style w:type="character" w:styleId="782" w:customStyle="1">
    <w:name w:val="Footer Char"/>
    <w:link w:val="745"/>
    <w:uiPriority w:val="99"/>
    <w:qFormat/>
  </w:style>
  <w:style w:type="character" w:styleId="783" w:customStyle="1">
    <w:name w:val="Caption Char"/>
    <w:link w:val="745"/>
    <w:uiPriority w:val="99"/>
    <w:qFormat/>
  </w:style>
  <w:style w:type="table" w:styleId="78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9" w:customStyle="1">
    <w:name w:val="Footnote Text Char"/>
    <w:link w:val="751"/>
    <w:uiPriority w:val="99"/>
    <w:qFormat/>
    <w:rPr>
      <w:sz w:val="18"/>
    </w:rPr>
  </w:style>
  <w:style w:type="character" w:styleId="910" w:customStyle="1">
    <w:name w:val="Endnote Text Char"/>
    <w:link w:val="744"/>
    <w:uiPriority w:val="99"/>
    <w:qFormat/>
    <w:rPr>
      <w:sz w:val="20"/>
    </w:rPr>
  </w:style>
  <w:style w:type="paragraph" w:styleId="911" w:customStyle="1">
    <w:name w:val="标题 11"/>
    <w:basedOn w:val="912"/>
    <w:next w:val="722"/>
    <w:link w:val="992"/>
    <w:uiPriority w:val="9"/>
    <w:qFormat/>
    <w:pPr>
      <w:numPr>
        <w:ilvl w:val="0"/>
        <w:numId w:val="1"/>
      </w:numPr>
      <w:jc w:val="left"/>
      <w:keepLines/>
      <w:keepNext/>
      <w:outlineLvl w:val="0"/>
    </w:pPr>
    <w:rPr>
      <w:rFonts w:eastAsia="黑体"/>
      <w:b w:val="0"/>
      <w:bCs w:val="0"/>
      <w:sz w:val="32"/>
      <w:szCs w:val="32"/>
    </w:rPr>
  </w:style>
  <w:style w:type="paragraph" w:styleId="912" w:customStyle="1">
    <w:name w:val="标题1"/>
    <w:basedOn w:val="722"/>
    <w:next w:val="722"/>
    <w:link w:val="957"/>
    <w:uiPriority w:val="0"/>
    <w:qFormat/>
    <w:pPr>
      <w:jc w:val="left"/>
      <w:spacing w:before="240" w:after="60" w:line="360" w:lineRule="auto"/>
      <w:outlineLvl w:val="0"/>
    </w:pPr>
    <w:rPr>
      <w:rFonts w:ascii="Arial" w:hAnsi="Arial"/>
      <w:b/>
      <w:bCs/>
      <w:sz w:val="28"/>
      <w:szCs w:val="32"/>
    </w:rPr>
  </w:style>
  <w:style w:type="paragraph" w:styleId="913" w:customStyle="1">
    <w:name w:val="标题 21"/>
    <w:basedOn w:val="722"/>
    <w:next w:val="914"/>
    <w:uiPriority w:val="9"/>
    <w:qFormat/>
    <w:pPr>
      <w:numPr>
        <w:ilvl w:val="1"/>
        <w:numId w:val="1"/>
      </w:numPr>
      <w:jc w:val="left"/>
      <w:keepLines/>
      <w:keepNext/>
      <w:outlineLvl w:val="1"/>
    </w:pPr>
    <w:rPr>
      <w:rFonts w:ascii="Arial" w:hAnsi="Arial" w:eastAsia="黑体" w:cs="Arial"/>
      <w:b/>
      <w:bCs/>
      <w:sz w:val="30"/>
      <w:szCs w:val="30"/>
    </w:rPr>
  </w:style>
  <w:style w:type="paragraph" w:styleId="914" w:customStyle="1">
    <w:name w:val="正文缩进1"/>
    <w:basedOn w:val="722"/>
    <w:next w:val="722"/>
    <w:link w:val="953"/>
    <w:uiPriority w:val="0"/>
    <w:qFormat/>
    <w:pPr>
      <w:ind w:firstLine="200"/>
    </w:pPr>
    <w:rPr>
      <w:sz w:val="24"/>
    </w:rPr>
  </w:style>
  <w:style w:type="paragraph" w:styleId="915" w:customStyle="1">
    <w:name w:val="标题 31"/>
    <w:basedOn w:val="722"/>
    <w:next w:val="722"/>
    <w:link w:val="987"/>
    <w:uiPriority w:val="9"/>
    <w:qFormat/>
    <w:pPr>
      <w:numPr>
        <w:ilvl w:val="2"/>
        <w:numId w:val="1"/>
      </w:numPr>
      <w:jc w:val="left"/>
      <w:keepLines/>
      <w:keepNext/>
      <w:outlineLvl w:val="2"/>
    </w:pPr>
    <w:rPr>
      <w:rFonts w:ascii="Arial" w:hAnsi="Arial" w:eastAsia="黑体"/>
      <w:b/>
      <w:bCs/>
      <w:sz w:val="30"/>
      <w:szCs w:val="30"/>
    </w:rPr>
  </w:style>
  <w:style w:type="paragraph" w:styleId="916" w:customStyle="1">
    <w:name w:val="标题 41"/>
    <w:basedOn w:val="722"/>
    <w:next w:val="914"/>
    <w:link w:val="1074"/>
    <w:uiPriority w:val="0"/>
    <w:qFormat/>
    <w:pPr>
      <w:numPr>
        <w:ilvl w:val="3"/>
        <w:numId w:val="1"/>
      </w:numPr>
      <w:ind w:left="862" w:hanging="862"/>
      <w:jc w:val="left"/>
      <w:keepLines/>
      <w:keepNext/>
      <w:outlineLvl w:val="3"/>
    </w:pPr>
    <w:rPr>
      <w:rFonts w:ascii="Arial" w:hAnsi="Arial" w:eastAsia="黑体"/>
      <w:b/>
      <w:bCs/>
      <w:sz w:val="30"/>
      <w:szCs w:val="30"/>
    </w:rPr>
  </w:style>
  <w:style w:type="paragraph" w:styleId="917" w:customStyle="1">
    <w:name w:val="标题 51"/>
    <w:basedOn w:val="722"/>
    <w:next w:val="914"/>
    <w:link w:val="1023"/>
    <w:uiPriority w:val="0"/>
    <w:qFormat/>
    <w:pPr>
      <w:numPr>
        <w:ilvl w:val="4"/>
        <w:numId w:val="1"/>
      </w:numPr>
      <w:ind w:left="1009" w:hanging="1009"/>
      <w:jc w:val="left"/>
      <w:keepLines/>
      <w:keepNext/>
      <w:outlineLvl w:val="4"/>
    </w:pPr>
    <w:rPr>
      <w:rFonts w:ascii="Arial" w:hAnsi="Arial" w:eastAsia="黑体"/>
      <w:b/>
      <w:bCs/>
      <w:sz w:val="28"/>
      <w:szCs w:val="28"/>
    </w:rPr>
  </w:style>
  <w:style w:type="paragraph" w:styleId="918" w:customStyle="1">
    <w:name w:val="标题 61"/>
    <w:basedOn w:val="722"/>
    <w:next w:val="914"/>
    <w:link w:val="1016"/>
    <w:uiPriority w:val="0"/>
    <w:qFormat/>
    <w:pPr>
      <w:ind w:left="1152" w:hanging="1152"/>
      <w:keepLines/>
      <w:keepNext/>
      <w:spacing w:before="240" w:after="64" w:line="320" w:lineRule="auto"/>
      <w:tabs>
        <w:tab w:val="left" w:pos="1152" w:leader="none"/>
      </w:tabs>
      <w:outlineLvl w:val="5"/>
    </w:pPr>
    <w:rPr>
      <w:rFonts w:ascii="Arial" w:hAnsi="Arial" w:eastAsia="黑体"/>
      <w:b/>
      <w:sz w:val="24"/>
      <w:szCs w:val="20"/>
    </w:rPr>
  </w:style>
  <w:style w:type="paragraph" w:styleId="919" w:customStyle="1">
    <w:name w:val="标题 71"/>
    <w:basedOn w:val="722"/>
    <w:next w:val="722"/>
    <w:link w:val="956"/>
    <w:uiPriority w:val="0"/>
    <w:qFormat/>
    <w:pPr>
      <w:numPr>
        <w:ilvl w:val="1"/>
        <w:numId w:val="2"/>
      </w:numPr>
      <w:ind w:left="1260" w:hanging="452"/>
      <w:keepNext/>
      <w:spacing w:line="360" w:lineRule="auto"/>
      <w:tabs>
        <w:tab w:val="clear" w:pos="624" w:leader="none"/>
      </w:tabs>
      <w:outlineLvl w:val="6"/>
    </w:pPr>
    <w:rPr>
      <w:rFonts w:ascii="宋体" w:hAnsi="宋体"/>
      <w:bCs/>
      <w:color w:val="ff0000"/>
      <w:sz w:val="28"/>
      <w:szCs w:val="28"/>
      <w:u w:val="single"/>
    </w:rPr>
  </w:style>
  <w:style w:type="paragraph" w:styleId="920" w:customStyle="1">
    <w:name w:val="标题 81"/>
    <w:basedOn w:val="722"/>
    <w:next w:val="914"/>
    <w:link w:val="998"/>
    <w:uiPriority w:val="0"/>
    <w:qFormat/>
    <w:pPr>
      <w:ind w:left="1440" w:hanging="1440"/>
      <w:keepLines/>
      <w:keepNext/>
      <w:spacing w:before="240" w:after="64" w:line="320" w:lineRule="auto"/>
      <w:tabs>
        <w:tab w:val="left" w:pos="1440" w:leader="none"/>
      </w:tabs>
      <w:outlineLvl w:val="7"/>
    </w:pPr>
    <w:rPr>
      <w:rFonts w:ascii="Arial" w:hAnsi="Arial" w:eastAsia="黑体"/>
      <w:sz w:val="24"/>
      <w:szCs w:val="20"/>
    </w:rPr>
  </w:style>
  <w:style w:type="paragraph" w:styleId="921" w:customStyle="1">
    <w:name w:val="标题 91"/>
    <w:basedOn w:val="722"/>
    <w:next w:val="914"/>
    <w:link w:val="1061"/>
    <w:uiPriority w:val="0"/>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22" w:customStyle="1">
    <w:name w:val="默认段落字体1"/>
    <w:link w:val="722"/>
    <w:uiPriority w:val="0"/>
    <w:qFormat/>
    <w:rPr>
      <w:rFonts w:ascii="Times New Roman" w:hAnsi="Times New Roman" w:eastAsia="宋体" w:cs="Times New Roman"/>
    </w:rPr>
  </w:style>
  <w:style w:type="table" w:styleId="923" w:customStyle="1">
    <w:name w:val="普通表格1"/>
    <w:uiPriority w:val="0"/>
    <w:qFormat/>
    <w:rPr>
      <w:rFonts w:ascii="Times New Roman" w:hAnsi="Times New Roman" w:eastAsia="宋体" w:cs="Times New Roman"/>
    </w:rPr>
    <w:tblPr/>
  </w:style>
  <w:style w:type="character" w:styleId="924" w:customStyle="1">
    <w:name w:val="HTML 键盘1"/>
    <w:basedOn w:val="922"/>
    <w:link w:val="722"/>
    <w:uiPriority w:val="99"/>
    <w:unhideWhenUsed/>
    <w:qFormat/>
    <w:rPr>
      <w:rFonts w:ascii="serif" w:hAnsi="serif" w:eastAsia="serif" w:cs="serif"/>
      <w:sz w:val="21"/>
      <w:szCs w:val="21"/>
    </w:rPr>
  </w:style>
  <w:style w:type="character" w:styleId="925" w:customStyle="1">
    <w:name w:val="HTML 代码1"/>
    <w:basedOn w:val="922"/>
    <w:link w:val="722"/>
    <w:uiPriority w:val="99"/>
    <w:unhideWhenUsed/>
    <w:qFormat/>
    <w:rPr>
      <w:rFonts w:ascii="serif" w:hAnsi="serif" w:eastAsia="serif" w:cs="serif"/>
      <w:sz w:val="21"/>
      <w:szCs w:val="21"/>
    </w:rPr>
  </w:style>
  <w:style w:type="character" w:styleId="926" w:customStyle="1">
    <w:name w:val="强调1"/>
    <w:link w:val="722"/>
    <w:uiPriority w:val="0"/>
    <w:qFormat/>
    <w:rPr>
      <w:rFonts w:ascii="Times New Roman" w:hAnsi="Times New Roman" w:eastAsia="宋体" w:cs="Times New Roman"/>
      <w:i/>
      <w:iCs/>
    </w:rPr>
  </w:style>
  <w:style w:type="character" w:styleId="927" w:customStyle="1">
    <w:name w:val="HTML 变量1"/>
    <w:basedOn w:val="922"/>
    <w:link w:val="722"/>
    <w:uiPriority w:val="99"/>
    <w:unhideWhenUsed/>
    <w:qFormat/>
  </w:style>
  <w:style w:type="character" w:styleId="928" w:customStyle="1">
    <w:name w:val="页码1"/>
    <w:link w:val="722"/>
    <w:uiPriority w:val="0"/>
    <w:qFormat/>
    <w:rPr>
      <w:rFonts w:ascii="Times New Roman" w:hAnsi="Times New Roman" w:eastAsia="宋体" w:cs="Times New Roman"/>
    </w:rPr>
  </w:style>
  <w:style w:type="character" w:styleId="929" w:customStyle="1">
    <w:name w:val="超链接1"/>
    <w:link w:val="722"/>
    <w:uiPriority w:val="99"/>
    <w:qFormat/>
    <w:rPr>
      <w:rFonts w:ascii="Times New Roman" w:hAnsi="Times New Roman" w:eastAsia="宋体" w:cs="Times New Roman"/>
      <w:color w:val="0000ff"/>
      <w:u w:val="single"/>
    </w:rPr>
  </w:style>
  <w:style w:type="character" w:styleId="930" w:customStyle="1">
    <w:name w:val="批注引用1"/>
    <w:link w:val="722"/>
    <w:uiPriority w:val="99"/>
    <w:qFormat/>
    <w:rPr>
      <w:rFonts w:ascii="Times New Roman" w:hAnsi="Times New Roman" w:eastAsia="宋体" w:cs="Times New Roman"/>
      <w:sz w:val="21"/>
      <w:szCs w:val="21"/>
    </w:rPr>
  </w:style>
  <w:style w:type="character" w:styleId="931" w:customStyle="1">
    <w:name w:val="HTML 样本1"/>
    <w:basedOn w:val="922"/>
    <w:link w:val="722"/>
    <w:uiPriority w:val="99"/>
    <w:unhideWhenUsed/>
    <w:qFormat/>
    <w:rPr>
      <w:rFonts w:ascii="serif" w:hAnsi="serif" w:eastAsia="serif" w:cs="serif"/>
      <w:sz w:val="21"/>
      <w:szCs w:val="21"/>
    </w:rPr>
  </w:style>
  <w:style w:type="character" w:styleId="932" w:customStyle="1">
    <w:name w:val="HTML 引文1"/>
    <w:basedOn w:val="922"/>
    <w:link w:val="722"/>
    <w:uiPriority w:val="99"/>
    <w:unhideWhenUsed/>
    <w:qFormat/>
  </w:style>
  <w:style w:type="character" w:styleId="933" w:customStyle="1">
    <w:name w:val="HTML 定义1"/>
    <w:basedOn w:val="922"/>
    <w:link w:val="722"/>
    <w:uiPriority w:val="99"/>
    <w:unhideWhenUsed/>
    <w:qFormat/>
  </w:style>
  <w:style w:type="character" w:styleId="934" w:customStyle="1">
    <w:name w:val="已访问的超链接1"/>
    <w:link w:val="722"/>
    <w:uiPriority w:val="99"/>
    <w:qFormat/>
    <w:rPr>
      <w:rFonts w:ascii="Times New Roman" w:hAnsi="Times New Roman" w:eastAsia="宋体" w:cs="Times New Roman"/>
      <w:color w:val="800080"/>
      <w:u w:val="single"/>
    </w:rPr>
  </w:style>
  <w:style w:type="character" w:styleId="935" w:customStyle="1">
    <w:name w:val="要点1"/>
    <w:basedOn w:val="922"/>
    <w:link w:val="722"/>
    <w:uiPriority w:val="0"/>
    <w:qFormat/>
    <w:rPr>
      <w:rFonts w:ascii="Times New Roman" w:hAnsi="Times New Roman" w:eastAsia="宋体" w:cs="Times New Roman"/>
      <w:b/>
      <w:bCs/>
    </w:rPr>
  </w:style>
  <w:style w:type="character" w:styleId="936" w:customStyle="1">
    <w:name w:val="apple-converted-space"/>
    <w:link w:val="722"/>
    <w:uiPriority w:val="0"/>
    <w:qFormat/>
    <w:rPr>
      <w:rFonts w:ascii="Times New Roman" w:hAnsi="Times New Roman" w:eastAsia="宋体" w:cs="Times New Roman"/>
    </w:rPr>
  </w:style>
  <w:style w:type="character" w:styleId="937" w:customStyle="1">
    <w:name w:val="正文文本缩进 Char"/>
    <w:link w:val="938"/>
    <w:uiPriority w:val="0"/>
    <w:qFormat/>
    <w:rPr>
      <w:rFonts w:ascii="Times New Roman" w:hAnsi="Times New Roman" w:eastAsia="宋体" w:cs="Times New Roman"/>
      <w:sz w:val="24"/>
      <w:szCs w:val="24"/>
    </w:rPr>
  </w:style>
  <w:style w:type="paragraph" w:styleId="938" w:customStyle="1">
    <w:name w:val="正文文本缩进11"/>
    <w:basedOn w:val="722"/>
    <w:next w:val="722"/>
    <w:link w:val="937"/>
    <w:uiPriority w:val="0"/>
    <w:qFormat/>
    <w:pPr>
      <w:ind w:firstLine="435"/>
      <w:spacing w:line="480" w:lineRule="exact"/>
    </w:pPr>
    <w:rPr>
      <w:sz w:val="24"/>
    </w:rPr>
  </w:style>
  <w:style w:type="character" w:styleId="939" w:customStyle="1">
    <w:name w:val="页眉 Char"/>
    <w:link w:val="940"/>
    <w:uiPriority w:val="99"/>
    <w:qFormat/>
    <w:rPr>
      <w:rFonts w:ascii="Times New Roman" w:hAnsi="Times New Roman" w:eastAsia="宋体" w:cs="Times New Roman"/>
      <w:sz w:val="18"/>
      <w:szCs w:val="18"/>
      <w:lang w:val="en-US" w:eastAsia="zh-CN" w:bidi="ar-SA"/>
    </w:rPr>
  </w:style>
  <w:style w:type="paragraph" w:styleId="940" w:customStyle="1">
    <w:name w:val="页眉1"/>
    <w:basedOn w:val="722"/>
    <w:link w:val="939"/>
    <w:uiPriority w:val="99"/>
    <w:qFormat/>
    <w:pPr>
      <w:jc w:val="center"/>
      <w:tabs>
        <w:tab w:val="center" w:pos="4153" w:leader="none"/>
        <w:tab w:val="right" w:pos="8306" w:leader="none"/>
      </w:tabs>
      <w:pBdr>
        <w:bottom w:val="single" w:color="000000" w:sz="6" w:space="1"/>
      </w:pBdr>
    </w:pPr>
    <w:rPr>
      <w:sz w:val="18"/>
      <w:szCs w:val="18"/>
    </w:rPr>
  </w:style>
  <w:style w:type="character" w:styleId="941" w:customStyle="1">
    <w:name w:val="Char Char4"/>
    <w:link w:val="722"/>
    <w:uiPriority w:val="0"/>
    <w:qFormat/>
    <w:rPr>
      <w:rFonts w:ascii="宋体" w:hAnsi="Courier New" w:eastAsia="楷体_GB2312" w:cs="Times New Roman"/>
      <w:sz w:val="26"/>
      <w:szCs w:val="24"/>
      <w:lang w:val="en-US" w:eastAsia="zh-CN" w:bidi="ar-SA"/>
    </w:rPr>
  </w:style>
  <w:style w:type="character" w:styleId="942" w:customStyle="1">
    <w:name w:val="textb1"/>
    <w:link w:val="722"/>
    <w:uiPriority w:val="0"/>
    <w:qFormat/>
    <w:rPr>
      <w:rFonts w:ascii="Times New Roman" w:hAnsi="Times New Roman" w:eastAsia="宋体" w:cs="Times New Roman"/>
      <w:b/>
      <w:bCs/>
      <w:color w:val="ff6600"/>
      <w:sz w:val="20"/>
      <w:szCs w:val="20"/>
    </w:rPr>
  </w:style>
  <w:style w:type="character" w:styleId="943" w:customStyle="1">
    <w:name w:val="批注框文本 Char"/>
    <w:link w:val="944"/>
    <w:uiPriority w:val="99"/>
    <w:qFormat/>
    <w:rPr>
      <w:rFonts w:ascii="Times New Roman" w:hAnsi="Times New Roman" w:eastAsia="宋体" w:cs="Times New Roman"/>
      <w:sz w:val="18"/>
      <w:szCs w:val="18"/>
    </w:rPr>
  </w:style>
  <w:style w:type="paragraph" w:styleId="944" w:customStyle="1">
    <w:name w:val="批注框文本1"/>
    <w:basedOn w:val="722"/>
    <w:link w:val="943"/>
    <w:uiPriority w:val="99"/>
    <w:qFormat/>
    <w:rPr>
      <w:sz w:val="18"/>
      <w:szCs w:val="18"/>
    </w:rPr>
  </w:style>
  <w:style w:type="character" w:styleId="945" w:customStyle="1">
    <w:name w:val="fontborder"/>
    <w:basedOn w:val="922"/>
    <w:link w:val="722"/>
    <w:uiPriority w:val="0"/>
    <w:qFormat/>
  </w:style>
  <w:style w:type="character" w:styleId="946" w:customStyle="1">
    <w:name w:val="批注文字 Char"/>
    <w:link w:val="947"/>
    <w:uiPriority w:val="0"/>
    <w:qFormat/>
    <w:rPr>
      <w:rFonts w:ascii="Times New Roman" w:hAnsi="Times New Roman" w:eastAsia="宋体" w:cs="Times New Roman"/>
      <w:sz w:val="21"/>
      <w:szCs w:val="24"/>
    </w:rPr>
  </w:style>
  <w:style w:type="paragraph" w:styleId="947" w:customStyle="1">
    <w:name w:val="批注文字1"/>
    <w:basedOn w:val="722"/>
    <w:link w:val="946"/>
    <w:uiPriority w:val="0"/>
    <w:qFormat/>
    <w:pPr>
      <w:jc w:val="left"/>
    </w:pPr>
  </w:style>
  <w:style w:type="character" w:styleId="948" w:customStyle="1">
    <w:name w:val="方案正文 Char"/>
    <w:link w:val="949"/>
    <w:uiPriority w:val="0"/>
    <w:qFormat/>
    <w:rPr>
      <w:rFonts w:ascii="宋体" w:hAnsi="宋体" w:eastAsia="宋体" w:cs="Times New Roman"/>
      <w:sz w:val="24"/>
      <w:szCs w:val="24"/>
    </w:rPr>
  </w:style>
  <w:style w:type="paragraph" w:styleId="949" w:customStyle="1">
    <w:name w:val="方案正文"/>
    <w:basedOn w:val="722"/>
    <w:link w:val="948"/>
    <w:uiPriority w:val="0"/>
    <w:qFormat/>
    <w:pPr>
      <w:ind w:firstLine="480"/>
      <w:spacing w:line="360" w:lineRule="auto"/>
    </w:pPr>
    <w:rPr>
      <w:rFonts w:ascii="宋体" w:hAnsi="宋体"/>
      <w:sz w:val="24"/>
    </w:rPr>
  </w:style>
  <w:style w:type="character" w:styleId="950" w:customStyle="1">
    <w:name w:val="标题 2 Char"/>
    <w:link w:val="722"/>
    <w:uiPriority w:val="9"/>
    <w:qFormat/>
    <w:rPr>
      <w:rFonts w:ascii="Arial" w:hAnsi="Arial" w:eastAsia="黑体" w:cs="Times New Roman"/>
      <w:b/>
      <w:bCs/>
      <w:sz w:val="32"/>
      <w:szCs w:val="32"/>
      <w:lang w:val="en-US" w:eastAsia="zh-CN" w:bidi="ar-SA"/>
    </w:rPr>
  </w:style>
  <w:style w:type="character" w:styleId="951" w:customStyle="1">
    <w:name w:val="PI Char Char"/>
    <w:link w:val="722"/>
    <w:uiPriority w:val="0"/>
    <w:qFormat/>
    <w:rPr>
      <w:rFonts w:ascii="Times New Roman" w:hAnsi="Times New Roman" w:eastAsia="宋体" w:cs="Times New Roman"/>
      <w:szCs w:val="24"/>
    </w:rPr>
  </w:style>
  <w:style w:type="character" w:styleId="952" w:customStyle="1">
    <w:name w:val="sub-title1"/>
    <w:link w:val="722"/>
    <w:uiPriority w:val="0"/>
    <w:qFormat/>
    <w:rPr>
      <w:rFonts w:ascii="Arial" w:hAnsi="Arial" w:eastAsia="宋体" w:cs="Arial"/>
      <w:b/>
      <w:bCs/>
      <w:color w:val="666666"/>
      <w:sz w:val="20"/>
      <w:szCs w:val="20"/>
      <w:shd w:val="clear" w:color="auto" w:fill="dddcde"/>
    </w:rPr>
  </w:style>
  <w:style w:type="character" w:styleId="953" w:customStyle="1">
    <w:name w:val="正文缩进 Char"/>
    <w:link w:val="914"/>
    <w:uiPriority w:val="0"/>
    <w:qFormat/>
    <w:rPr>
      <w:rFonts w:ascii="Times New Roman" w:hAnsi="Times New Roman" w:eastAsia="宋体" w:cs="Times New Roman"/>
      <w:sz w:val="24"/>
      <w:szCs w:val="24"/>
    </w:rPr>
  </w:style>
  <w:style w:type="character" w:styleId="954" w:customStyle="1">
    <w:name w:val="style11"/>
    <w:link w:val="722"/>
    <w:uiPriority w:val="0"/>
    <w:qFormat/>
    <w:rPr>
      <w:rFonts w:ascii="Times New Roman" w:hAnsi="Times New Roman" w:eastAsia="宋体" w:cs="Times New Roman"/>
    </w:rPr>
  </w:style>
  <w:style w:type="character" w:styleId="955" w:customStyle="1">
    <w:name w:val="themebody1"/>
    <w:link w:val="722"/>
    <w:uiPriority w:val="0"/>
    <w:qFormat/>
    <w:rPr>
      <w:rFonts w:ascii="Times New Roman" w:hAnsi="Times New Roman" w:eastAsia="宋体" w:cs="Times New Roman"/>
      <w:color w:val="ffffff"/>
    </w:rPr>
  </w:style>
  <w:style w:type="character" w:styleId="956" w:customStyle="1">
    <w:name w:val="标题 7 Char"/>
    <w:link w:val="919"/>
    <w:uiPriority w:val="0"/>
    <w:qFormat/>
    <w:rPr>
      <w:rFonts w:ascii="宋体" w:hAnsi="宋体" w:eastAsia="宋体" w:cs="Times New Roman"/>
      <w:bCs/>
      <w:color w:val="ff0000"/>
      <w:sz w:val="28"/>
      <w:szCs w:val="28"/>
      <w:u w:val="single"/>
    </w:rPr>
  </w:style>
  <w:style w:type="character" w:styleId="957" w:customStyle="1">
    <w:name w:val="标题 Char"/>
    <w:link w:val="912"/>
    <w:uiPriority w:val="0"/>
    <w:qFormat/>
    <w:rPr>
      <w:rFonts w:ascii="Arial" w:hAnsi="Arial" w:eastAsia="宋体" w:cs="Arial"/>
      <w:b/>
      <w:bCs/>
      <w:sz w:val="28"/>
      <w:szCs w:val="32"/>
    </w:rPr>
  </w:style>
  <w:style w:type="character" w:styleId="958" w:customStyle="1">
    <w:name w:val="正文文本缩进 3 Char1"/>
    <w:link w:val="722"/>
    <w:uiPriority w:val="0"/>
    <w:qFormat/>
    <w:rPr>
      <w:rFonts w:ascii="Times New Roman" w:hAnsi="Times New Roman" w:eastAsia="宋体" w:cs="Times New Roman"/>
      <w:sz w:val="16"/>
      <w:szCs w:val="16"/>
    </w:rPr>
  </w:style>
  <w:style w:type="character" w:styleId="959" w:customStyle="1">
    <w:name w:val="题注 Char"/>
    <w:link w:val="960"/>
    <w:uiPriority w:val="0"/>
    <w:qFormat/>
    <w:rPr>
      <w:rFonts w:ascii="Arial" w:hAnsi="Arial" w:eastAsia="宋体" w:cs="Arial"/>
      <w:sz w:val="24"/>
    </w:rPr>
  </w:style>
  <w:style w:type="paragraph" w:styleId="960" w:customStyle="1">
    <w:name w:val="题注1"/>
    <w:basedOn w:val="722"/>
    <w:next w:val="722"/>
    <w:link w:val="959"/>
    <w:uiPriority w:val="0"/>
    <w:qFormat/>
    <w:pPr>
      <w:jc w:val="center"/>
      <w:spacing w:line="360" w:lineRule="auto"/>
    </w:pPr>
    <w:rPr>
      <w:rFonts w:ascii="Arial" w:hAnsi="Arial"/>
      <w:sz w:val="24"/>
      <w:szCs w:val="20"/>
    </w:rPr>
  </w:style>
  <w:style w:type="character" w:styleId="961" w:customStyle="1">
    <w:name w:val="正文文本 Char"/>
    <w:link w:val="962"/>
    <w:uiPriority w:val="0"/>
    <w:qFormat/>
    <w:rPr>
      <w:rFonts w:ascii="Times New Roman" w:hAnsi="Times New Roman" w:eastAsia="宋体" w:cs="Times New Roman"/>
      <w:sz w:val="21"/>
      <w:szCs w:val="24"/>
    </w:rPr>
  </w:style>
  <w:style w:type="paragraph" w:styleId="962" w:customStyle="1">
    <w:name w:val="正文文本1"/>
    <w:basedOn w:val="722"/>
    <w:next w:val="914"/>
    <w:link w:val="961"/>
    <w:uiPriority w:val="0"/>
    <w:qFormat/>
    <w:pPr>
      <w:spacing w:after="120"/>
    </w:pPr>
  </w:style>
  <w:style w:type="character" w:styleId="963" w:customStyle="1">
    <w:name w:val="def正文 Char"/>
    <w:link w:val="964"/>
    <w:uiPriority w:val="0"/>
    <w:qFormat/>
    <w:rPr>
      <w:rFonts w:ascii="Times New Roman" w:hAnsi="Times New Roman" w:eastAsia="宋体" w:cs="Times New Roman"/>
      <w:sz w:val="24"/>
      <w:szCs w:val="24"/>
    </w:rPr>
  </w:style>
  <w:style w:type="paragraph" w:styleId="964" w:customStyle="1">
    <w:name w:val="def正文"/>
    <w:basedOn w:val="962"/>
    <w:link w:val="963"/>
    <w:uiPriority w:val="0"/>
    <w:qFormat/>
    <w:pPr>
      <w:jc w:val="center"/>
      <w:spacing w:after="0" w:line="276" w:lineRule="auto"/>
      <w:widowControl/>
    </w:pPr>
    <w:rPr>
      <w:sz w:val="24"/>
    </w:rPr>
  </w:style>
  <w:style w:type="character" w:styleId="965" w:customStyle="1">
    <w:name w:val="font41"/>
    <w:link w:val="722"/>
    <w:uiPriority w:val="0"/>
    <w:qFormat/>
    <w:rPr>
      <w:rFonts w:ascii="宋体" w:hAnsi="宋体" w:eastAsia="宋体" w:cs="宋体"/>
      <w:color w:val="000000"/>
      <w:sz w:val="18"/>
      <w:szCs w:val="18"/>
      <w:u w:val="none"/>
    </w:rPr>
  </w:style>
  <w:style w:type="character" w:styleId="966" w:customStyle="1">
    <w:name w:val="正文（缩进） Char"/>
    <w:link w:val="722"/>
    <w:uiPriority w:val="0"/>
    <w:qFormat/>
    <w:rPr>
      <w:rFonts w:ascii="Times New Roman" w:hAnsi="Times New Roman" w:eastAsia="宋体" w:cs="Times New Roman"/>
      <w:sz w:val="24"/>
      <w:szCs w:val="24"/>
      <w:lang w:bidi="ar-SA"/>
    </w:rPr>
  </w:style>
  <w:style w:type="character" w:styleId="967" w:customStyle="1">
    <w:name w:val="grame"/>
    <w:link w:val="722"/>
    <w:uiPriority w:val="0"/>
    <w:qFormat/>
    <w:rPr>
      <w:rFonts w:ascii="Times New Roman" w:hAnsi="Times New Roman" w:eastAsia="宋体" w:cs="Times New Roman"/>
    </w:rPr>
  </w:style>
  <w:style w:type="character" w:styleId="968" w:customStyle="1">
    <w:name w:val="小标题 Char"/>
    <w:link w:val="722"/>
    <w:uiPriority w:val="0"/>
    <w:qFormat/>
    <w:rPr>
      <w:rFonts w:ascii="宋体" w:hAnsi="宋体" w:eastAsia="宋体" w:cs="Times New Roman"/>
      <w:b/>
      <w:bCs/>
      <w:color w:val="000000"/>
      <w:spacing w:val="20"/>
      <w:sz w:val="24"/>
      <w:szCs w:val="32"/>
      <w:lang w:val="en-US" w:eastAsia="zh-CN" w:bidi="ar-SA"/>
    </w:rPr>
  </w:style>
  <w:style w:type="character" w:styleId="969" w:customStyle="1">
    <w:name w:val="正文文本 2 Char"/>
    <w:link w:val="970"/>
    <w:uiPriority w:val="0"/>
    <w:qFormat/>
    <w:rPr>
      <w:rFonts w:ascii="Times New Roman" w:hAnsi="Times New Roman" w:eastAsia="宋体" w:cs="Times New Roman"/>
      <w:sz w:val="21"/>
    </w:rPr>
  </w:style>
  <w:style w:type="paragraph" w:styleId="970" w:customStyle="1">
    <w:name w:val="正文文本 21"/>
    <w:basedOn w:val="722"/>
    <w:link w:val="969"/>
    <w:uiPriority w:val="0"/>
    <w:qFormat/>
    <w:pPr>
      <w:spacing w:after="120" w:line="480" w:lineRule="auto"/>
    </w:pPr>
    <w:rPr>
      <w:szCs w:val="20"/>
    </w:rPr>
  </w:style>
  <w:style w:type="character" w:styleId="971" w:customStyle="1">
    <w:name w:val="Plain Text Char1"/>
    <w:link w:val="972"/>
    <w:uiPriority w:val="0"/>
    <w:qFormat/>
    <w:rPr>
      <w:rFonts w:ascii="宋体" w:hAnsi="Courier New" w:eastAsia="楷体_GB2312" w:cs="Times New Roman"/>
      <w:sz w:val="28"/>
    </w:rPr>
  </w:style>
  <w:style w:type="paragraph" w:styleId="972" w:customStyle="1">
    <w:name w:val="纯文本1"/>
    <w:basedOn w:val="722"/>
    <w:link w:val="971"/>
    <w:uiPriority w:val="0"/>
    <w:qFormat/>
    <w:rPr>
      <w:rFonts w:ascii="宋体" w:hAnsi="Courier New" w:eastAsia="楷体_GB2312"/>
      <w:sz w:val="28"/>
      <w:szCs w:val="20"/>
    </w:rPr>
  </w:style>
  <w:style w:type="character" w:styleId="973" w:customStyle="1">
    <w:name w:val="FtrF Char1"/>
    <w:link w:val="722"/>
    <w:uiPriority w:val="0"/>
    <w:qFormat/>
    <w:rPr>
      <w:rFonts w:ascii="Times New Roman" w:hAnsi="Times New Roman" w:eastAsia="宋体" w:cs="Times New Roman"/>
      <w:sz w:val="18"/>
      <w:szCs w:val="18"/>
      <w:lang w:val="en-US" w:eastAsia="zh-CN" w:bidi="ar-SA"/>
    </w:rPr>
  </w:style>
  <w:style w:type="character" w:styleId="974" w:customStyle="1">
    <w:name w:val="标题 3 Char Char"/>
    <w:link w:val="722"/>
    <w:uiPriority w:val="0"/>
    <w:qFormat/>
    <w:rPr>
      <w:rFonts w:ascii="Times New Roman" w:hAnsi="Times New Roman" w:eastAsia="宋体" w:cs="Times New Roman"/>
      <w:b/>
      <w:bCs/>
      <w:sz w:val="30"/>
      <w:szCs w:val="30"/>
      <w:lang w:val="en-US" w:eastAsia="zh-CN" w:bidi="ar-SA"/>
    </w:rPr>
  </w:style>
  <w:style w:type="character" w:styleId="975" w:customStyle="1">
    <w:name w:val="L2 Char Char"/>
    <w:link w:val="722"/>
    <w:uiPriority w:val="0"/>
    <w:qFormat/>
    <w:rPr>
      <w:rFonts w:ascii="Times New Roman" w:hAnsi="Times New Roman" w:eastAsia="宋体" w:cs="Times New Roman"/>
      <w:sz w:val="18"/>
      <w:szCs w:val="18"/>
      <w:lang w:val="en-US" w:eastAsia="zh-CN" w:bidi="ar-SA"/>
    </w:rPr>
  </w:style>
  <w:style w:type="character" w:styleId="976" w:customStyle="1">
    <w:name w:val="Appendix Char Char"/>
    <w:link w:val="722"/>
    <w:uiPriority w:val="0"/>
    <w:qFormat/>
    <w:rPr>
      <w:rFonts w:ascii="Arial" w:hAnsi="Arial" w:eastAsia="黑体" w:cs="Times New Roman"/>
      <w:sz w:val="21"/>
      <w:szCs w:val="21"/>
      <w:lang w:val="en-US" w:eastAsia="zh-CN" w:bidi="ar-SA"/>
    </w:rPr>
  </w:style>
  <w:style w:type="character" w:styleId="977" w:customStyle="1">
    <w:name w:val="签名 Char"/>
    <w:link w:val="978"/>
    <w:uiPriority w:val="0"/>
    <w:qFormat/>
    <w:rPr>
      <w:rFonts w:ascii="Times New Roman" w:hAnsi="Times New Roman" w:eastAsia="仿宋_GB2312" w:cs="Times New Roman"/>
      <w:sz w:val="24"/>
    </w:rPr>
  </w:style>
  <w:style w:type="paragraph" w:styleId="978" w:customStyle="1">
    <w:name w:val="签名1"/>
    <w:basedOn w:val="722"/>
    <w:link w:val="977"/>
    <w:uiPriority w:val="0"/>
    <w:qFormat/>
    <w:pPr>
      <w:jc w:val="center"/>
      <w:spacing w:after="600" w:line="312" w:lineRule="atLeast"/>
    </w:pPr>
    <w:rPr>
      <w:rFonts w:eastAsia="仿宋_GB2312"/>
      <w:sz w:val="24"/>
      <w:szCs w:val="20"/>
    </w:rPr>
  </w:style>
  <w:style w:type="character" w:styleId="979" w:customStyle="1">
    <w:name w:val="正文文本缩进 2 Char"/>
    <w:link w:val="980"/>
    <w:uiPriority w:val="0"/>
    <w:qFormat/>
    <w:rPr>
      <w:rFonts w:ascii="Times New Roman" w:hAnsi="Times New Roman" w:eastAsia="宋体" w:cs="Times New Roman"/>
      <w:sz w:val="24"/>
      <w:szCs w:val="24"/>
    </w:rPr>
  </w:style>
  <w:style w:type="paragraph" w:styleId="980" w:customStyle="1">
    <w:name w:val="正文文本缩进 21"/>
    <w:basedOn w:val="722"/>
    <w:link w:val="979"/>
    <w:uiPriority w:val="0"/>
    <w:qFormat/>
    <w:pPr>
      <w:ind w:left="1" w:firstLine="480"/>
      <w:spacing w:line="400" w:lineRule="exact"/>
      <w:tabs>
        <w:tab w:val="left" w:pos="360" w:leader="none"/>
      </w:tabs>
    </w:pPr>
    <w:rPr>
      <w:sz w:val="24"/>
    </w:rPr>
  </w:style>
  <w:style w:type="character" w:styleId="981" w:customStyle="1">
    <w:name w:val="blue1"/>
    <w:link w:val="722"/>
    <w:uiPriority w:val="0"/>
    <w:qFormat/>
    <w:rPr>
      <w:rFonts w:hint="eastAsia" w:ascii="宋体" w:hAnsi="宋体" w:eastAsia="宋体" w:cs="Times New Roman"/>
      <w:b/>
      <w:bCs/>
      <w:color w:val="0099cc"/>
      <w:sz w:val="27"/>
      <w:szCs w:val="27"/>
    </w:rPr>
  </w:style>
  <w:style w:type="character" w:styleId="982" w:customStyle="1">
    <w:name w:val="明显参考1"/>
    <w:link w:val="722"/>
    <w:uiPriority w:val="0"/>
    <w:qFormat/>
    <w:rPr>
      <w:rFonts w:ascii="Times New Roman" w:hAnsi="Times New Roman" w:eastAsia="宋体" w:cs="Times New Roman"/>
      <w:b/>
      <w:bCs/>
      <w:smallCaps/>
      <w:color w:val="da1f28"/>
      <w:spacing w:val="5"/>
      <w:u w:val="single"/>
    </w:rPr>
  </w:style>
  <w:style w:type="character" w:styleId="983" w:customStyle="1">
    <w:name w:val="样式3+缩进2字符 Char"/>
    <w:link w:val="984"/>
    <w:uiPriority w:val="0"/>
    <w:qFormat/>
    <w:rPr>
      <w:rFonts w:ascii="Calibri" w:hAnsi="Calibri" w:eastAsia="宋体" w:cs="Times New Roman"/>
      <w:sz w:val="24"/>
      <w:szCs w:val="22"/>
      <w:lang w:bidi="en-US"/>
    </w:rPr>
  </w:style>
  <w:style w:type="paragraph" w:styleId="984" w:customStyle="1">
    <w:name w:val="样式3+缩进2字符"/>
    <w:basedOn w:val="722"/>
    <w:link w:val="983"/>
    <w:uiPriority w:val="0"/>
    <w:qFormat/>
    <w:pPr>
      <w:ind w:firstLine="200"/>
      <w:jc w:val="left"/>
      <w:spacing w:after="200" w:line="360" w:lineRule="auto"/>
      <w:widowControl/>
    </w:pPr>
    <w:rPr>
      <w:rFonts w:ascii="Calibri" w:hAnsi="Calibri"/>
      <w:sz w:val="24"/>
      <w:szCs w:val="22"/>
      <w:lang w:bidi="en-US"/>
    </w:rPr>
  </w:style>
  <w:style w:type="character" w:styleId="985" w:customStyle="1">
    <w:name w:val="NormalCharacter1"/>
    <w:link w:val="722"/>
    <w:uiPriority w:val="0"/>
    <w:qFormat/>
  </w:style>
  <w:style w:type="character" w:styleId="986" w:customStyle="1">
    <w:name w:val="Book Title"/>
    <w:link w:val="722"/>
    <w:uiPriority w:val="0"/>
    <w:qFormat/>
    <w:rPr>
      <w:rFonts w:ascii="Times New Roman" w:hAnsi="Times New Roman" w:eastAsia="宋体" w:cs="Times New Roman"/>
      <w:b/>
      <w:bCs/>
      <w:smallCaps/>
      <w:spacing w:val="5"/>
    </w:rPr>
  </w:style>
  <w:style w:type="character" w:styleId="987" w:customStyle="1">
    <w:name w:val="标题 3 Char"/>
    <w:link w:val="915"/>
    <w:uiPriority w:val="9"/>
    <w:qFormat/>
    <w:rPr>
      <w:rFonts w:ascii="Arial" w:hAnsi="Arial" w:eastAsia="黑体" w:cs="Times New Roman"/>
      <w:b/>
      <w:bCs/>
      <w:sz w:val="30"/>
      <w:szCs w:val="30"/>
    </w:rPr>
  </w:style>
  <w:style w:type="character" w:styleId="988" w:customStyle="1">
    <w:name w:val="para1"/>
    <w:link w:val="722"/>
    <w:uiPriority w:val="0"/>
    <w:qFormat/>
    <w:rPr>
      <w:rFonts w:ascii="Arial" w:hAnsi="Arial" w:eastAsia="宋体" w:cs="Arial"/>
      <w:sz w:val="18"/>
      <w:szCs w:val="18"/>
    </w:rPr>
  </w:style>
  <w:style w:type="character" w:styleId="989" w:customStyle="1">
    <w:name w:val="px141"/>
    <w:link w:val="722"/>
    <w:uiPriority w:val="0"/>
    <w:qFormat/>
    <w:rPr>
      <w:rFonts w:ascii="ˎ̥" w:hAnsi="ˎ̥" w:eastAsia="宋体" w:cs="Times New Roman"/>
      <w:sz w:val="21"/>
      <w:szCs w:val="21"/>
    </w:rPr>
  </w:style>
  <w:style w:type="character" w:styleId="990" w:customStyle="1">
    <w:name w:val="日期 Char"/>
    <w:link w:val="991"/>
    <w:uiPriority w:val="0"/>
    <w:qFormat/>
    <w:rPr>
      <w:rFonts w:ascii="Times New Roman" w:hAnsi="Times New Roman" w:eastAsia="宋体" w:cs="Times New Roman"/>
      <w:sz w:val="24"/>
    </w:rPr>
  </w:style>
  <w:style w:type="paragraph" w:styleId="991" w:customStyle="1">
    <w:name w:val="日期1"/>
    <w:basedOn w:val="722"/>
    <w:next w:val="722"/>
    <w:link w:val="990"/>
    <w:uiPriority w:val="0"/>
    <w:qFormat/>
    <w:rPr>
      <w:sz w:val="24"/>
      <w:szCs w:val="20"/>
    </w:rPr>
  </w:style>
  <w:style w:type="character" w:styleId="992" w:customStyle="1">
    <w:name w:val="标题 1 Char"/>
    <w:link w:val="911"/>
    <w:uiPriority w:val="9"/>
    <w:qFormat/>
    <w:rPr>
      <w:rFonts w:ascii="Times New Roman" w:hAnsi="Times New Roman" w:eastAsia="黑体" w:cs="Times New Roman"/>
      <w:b/>
      <w:bCs/>
      <w:sz w:val="32"/>
      <w:szCs w:val="32"/>
    </w:rPr>
  </w:style>
  <w:style w:type="character" w:styleId="993" w:customStyle="1">
    <w:name w:val="word1"/>
    <w:link w:val="722"/>
    <w:uiPriority w:val="0"/>
    <w:qFormat/>
    <w:rPr>
      <w:rFonts w:ascii="ˎ̥" w:hAnsi="ˎ̥" w:eastAsia="宋体" w:cs="Times New Roman"/>
      <w:color w:val="000000"/>
      <w:sz w:val="18"/>
      <w:szCs w:val="18"/>
    </w:rPr>
  </w:style>
  <w:style w:type="character" w:styleId="994" w:customStyle="1">
    <w:name w:val="p141"/>
    <w:link w:val="722"/>
    <w:uiPriority w:val="0"/>
    <w:qFormat/>
    <w:rPr>
      <w:rFonts w:ascii="Times New Roman" w:hAnsi="Times New Roman" w:eastAsia="宋体" w:cs="Times New Roman"/>
      <w:color w:val="000000"/>
      <w:sz w:val="28"/>
      <w:szCs w:val="28"/>
      <w:u w:val="none"/>
    </w:rPr>
  </w:style>
  <w:style w:type="character" w:styleId="995" w:customStyle="1">
    <w:name w:val="Intense Emphasis"/>
    <w:link w:val="722"/>
    <w:uiPriority w:val="0"/>
    <w:qFormat/>
    <w:rPr>
      <w:rFonts w:ascii="Times New Roman" w:hAnsi="Times New Roman" w:eastAsia="宋体" w:cs="Times New Roman"/>
      <w:b/>
      <w:bCs/>
      <w:i/>
      <w:iCs/>
      <w:color w:val="4f81bd"/>
    </w:rPr>
  </w:style>
  <w:style w:type="character" w:styleId="996" w:customStyle="1">
    <w:name w:val="引用 Char"/>
    <w:link w:val="997"/>
    <w:uiPriority w:val="0"/>
    <w:qFormat/>
    <w:rPr>
      <w:rFonts w:ascii="Times New Roman" w:hAnsi="Times New Roman" w:eastAsia="宋体" w:cs="Times New Roman"/>
      <w:i/>
      <w:iCs/>
      <w:color w:val="000000"/>
      <w:sz w:val="24"/>
      <w:szCs w:val="24"/>
    </w:rPr>
  </w:style>
  <w:style w:type="paragraph" w:styleId="997">
    <w:name w:val="Quote"/>
    <w:basedOn w:val="722"/>
    <w:next w:val="722"/>
    <w:link w:val="996"/>
    <w:uiPriority w:val="0"/>
    <w:qFormat/>
    <w:pPr>
      <w:spacing w:line="360" w:lineRule="auto"/>
    </w:pPr>
    <w:rPr>
      <w:i/>
      <w:iCs/>
      <w:color w:val="000000"/>
      <w:sz w:val="24"/>
    </w:rPr>
  </w:style>
  <w:style w:type="character" w:styleId="998" w:customStyle="1">
    <w:name w:val="标题 8 Char"/>
    <w:link w:val="920"/>
    <w:uiPriority w:val="0"/>
    <w:qFormat/>
    <w:rPr>
      <w:rFonts w:ascii="Arial" w:hAnsi="Arial" w:eastAsia="黑体" w:cs="Times New Roman"/>
      <w:sz w:val="24"/>
    </w:rPr>
  </w:style>
  <w:style w:type="character" w:styleId="999" w:customStyle="1">
    <w:name w:val="样式 宋体 小四"/>
    <w:link w:val="722"/>
    <w:uiPriority w:val="0"/>
    <w:qFormat/>
    <w:rPr>
      <w:rFonts w:ascii="宋体" w:hAnsi="宋体" w:eastAsia="宋体" w:cs="Times New Roman"/>
      <w:sz w:val="24"/>
    </w:rPr>
  </w:style>
  <w:style w:type="character" w:styleId="1000" w:customStyle="1">
    <w:name w:val="明显引用 Char"/>
    <w:link w:val="1001"/>
    <w:uiPriority w:val="0"/>
    <w:qFormat/>
    <w:rPr>
      <w:rFonts w:ascii="Times New Roman" w:hAnsi="Times New Roman" w:eastAsia="宋体" w:cs="Times New Roman"/>
      <w:b/>
      <w:bCs/>
      <w:i/>
      <w:iCs/>
      <w:color w:val="4f81bd"/>
      <w:sz w:val="24"/>
      <w:szCs w:val="24"/>
    </w:rPr>
  </w:style>
  <w:style w:type="paragraph" w:styleId="1001">
    <w:name w:val="Intense Quote"/>
    <w:basedOn w:val="722"/>
    <w:next w:val="722"/>
    <w:link w:val="1000"/>
    <w:uiPriority w:val="0"/>
    <w:qFormat/>
    <w:pPr>
      <w:ind w:left="936" w:right="936"/>
      <w:spacing w:before="200" w:after="280" w:line="360" w:lineRule="auto"/>
      <w:pBdr>
        <w:bottom w:val="single" w:color="4F81BD" w:sz="4" w:space="4"/>
      </w:pBdr>
    </w:pPr>
    <w:rPr>
      <w:b/>
      <w:bCs/>
      <w:i/>
      <w:iCs/>
      <w:color w:val="4f81bd"/>
      <w:sz w:val="24"/>
    </w:rPr>
  </w:style>
  <w:style w:type="character" w:styleId="1002" w:customStyle="1">
    <w:name w:val="正文文本缩进 3 Char"/>
    <w:link w:val="1003"/>
    <w:uiPriority w:val="0"/>
    <w:qFormat/>
    <w:rPr>
      <w:rFonts w:ascii="Times New Roman" w:hAnsi="Times New Roman" w:eastAsia="宋体" w:cs="Times New Roman"/>
      <w:sz w:val="24"/>
      <w:szCs w:val="24"/>
    </w:rPr>
  </w:style>
  <w:style w:type="paragraph" w:styleId="1003" w:customStyle="1">
    <w:name w:val="正文文本缩进 311"/>
    <w:basedOn w:val="722"/>
    <w:link w:val="1002"/>
    <w:uiPriority w:val="0"/>
    <w:qFormat/>
    <w:pPr>
      <w:ind w:firstLine="480"/>
      <w:spacing w:line="400" w:lineRule="exact"/>
    </w:pPr>
    <w:rPr>
      <w:sz w:val="24"/>
    </w:rPr>
  </w:style>
  <w:style w:type="character" w:styleId="1004" w:customStyle="1">
    <w:name w:val="FtrF Char2"/>
    <w:link w:val="722"/>
    <w:uiPriority w:val="0"/>
    <w:qFormat/>
    <w:rPr>
      <w:rFonts w:ascii="Times New Roman" w:hAnsi="Times New Roman" w:eastAsia="宋体" w:cs="Times New Roman"/>
      <w:sz w:val="18"/>
      <w:szCs w:val="18"/>
      <w:lang w:val="en-US" w:eastAsia="zh-CN" w:bidi="ar-SA"/>
    </w:rPr>
  </w:style>
  <w:style w:type="character" w:styleId="1005" w:customStyle="1">
    <w:name w:val="copy-h"/>
    <w:link w:val="722"/>
    <w:uiPriority w:val="0"/>
    <w:qFormat/>
    <w:rPr>
      <w:rFonts w:ascii="Times New Roman" w:hAnsi="Times New Roman" w:eastAsia="宋体" w:cs="Times New Roman"/>
    </w:rPr>
  </w:style>
  <w:style w:type="character" w:styleId="1006" w:customStyle="1">
    <w:name w:val="省厅正文 Char"/>
    <w:link w:val="1007"/>
    <w:uiPriority w:val="0"/>
    <w:qFormat/>
    <w:rPr>
      <w:rFonts w:ascii="Times New Roman" w:hAnsi="Times New Roman" w:eastAsia="仿宋_GB2312" w:cs="Times New Roman"/>
      <w:sz w:val="32"/>
      <w:szCs w:val="32"/>
    </w:rPr>
  </w:style>
  <w:style w:type="paragraph" w:styleId="1007" w:customStyle="1">
    <w:name w:val="省厅正文"/>
    <w:basedOn w:val="722"/>
    <w:link w:val="1006"/>
    <w:uiPriority w:val="0"/>
    <w:qFormat/>
    <w:pPr>
      <w:ind w:firstLine="640"/>
      <w:spacing w:line="336" w:lineRule="auto"/>
    </w:pPr>
    <w:rPr>
      <w:rFonts w:eastAsia="仿宋_GB2312"/>
      <w:sz w:val="32"/>
      <w:szCs w:val="32"/>
    </w:rPr>
  </w:style>
  <w:style w:type="character" w:styleId="1008" w:customStyle="1">
    <w:name w:val="注释标题 Char"/>
    <w:link w:val="1009"/>
    <w:uiPriority w:val="0"/>
    <w:qFormat/>
    <w:rPr>
      <w:rFonts w:ascii="Times New Roman" w:hAnsi="Times New Roman" w:eastAsia="宋体" w:cs="Times New Roman"/>
    </w:rPr>
  </w:style>
  <w:style w:type="paragraph" w:styleId="1009" w:customStyle="1">
    <w:name w:val="注释标题1"/>
    <w:basedOn w:val="722"/>
    <w:next w:val="722"/>
    <w:link w:val="1008"/>
    <w:uiPriority w:val="0"/>
    <w:qFormat/>
    <w:pPr>
      <w:jc w:val="center"/>
    </w:pPr>
    <w:rPr>
      <w:sz w:val="20"/>
      <w:szCs w:val="20"/>
    </w:rPr>
  </w:style>
  <w:style w:type="character" w:styleId="1010" w:customStyle="1">
    <w:name w:val="页脚 Char"/>
    <w:link w:val="1011"/>
    <w:uiPriority w:val="99"/>
    <w:qFormat/>
    <w:rPr>
      <w:rFonts w:ascii="Times New Roman" w:hAnsi="Times New Roman" w:eastAsia="宋体" w:cs="Times New Roman"/>
      <w:sz w:val="18"/>
      <w:szCs w:val="18"/>
    </w:rPr>
  </w:style>
  <w:style w:type="paragraph" w:styleId="1011" w:customStyle="1">
    <w:name w:val="页脚1"/>
    <w:basedOn w:val="722"/>
    <w:link w:val="1010"/>
    <w:uiPriority w:val="99"/>
    <w:qFormat/>
    <w:pPr>
      <w:jc w:val="left"/>
      <w:tabs>
        <w:tab w:val="center" w:pos="4153" w:leader="none"/>
        <w:tab w:val="right" w:pos="8306" w:leader="none"/>
      </w:tabs>
    </w:pPr>
    <w:rPr>
      <w:sz w:val="18"/>
      <w:szCs w:val="18"/>
    </w:rPr>
  </w:style>
  <w:style w:type="character" w:styleId="1012" w:customStyle="1">
    <w:name w:val="正文首行缩进 Char"/>
    <w:link w:val="722"/>
    <w:uiPriority w:val="0"/>
    <w:qFormat/>
    <w:rPr>
      <w:rFonts w:ascii="Times New Roman" w:hAnsi="Times New Roman" w:eastAsia="宋体" w:cs="Times New Roman"/>
      <w:sz w:val="24"/>
      <w:szCs w:val="24"/>
    </w:rPr>
  </w:style>
  <w:style w:type="character" w:styleId="1013" w:customStyle="1">
    <w:name w:val="lh151"/>
    <w:link w:val="722"/>
    <w:uiPriority w:val="0"/>
    <w:qFormat/>
    <w:rPr>
      <w:rFonts w:ascii="Times New Roman" w:hAnsi="Times New Roman" w:eastAsia="宋体" w:cs="Times New Roman"/>
      <w:color w:val="666666"/>
    </w:rPr>
  </w:style>
  <w:style w:type="character" w:styleId="1014" w:customStyle="1">
    <w:name w:val="正文首行缩进 Char1"/>
    <w:link w:val="1015"/>
    <w:uiPriority w:val="0"/>
    <w:qFormat/>
    <w:rPr>
      <w:rFonts w:ascii="Times New Roman" w:hAnsi="Times New Roman" w:eastAsia="宋体" w:cs="Times New Roman"/>
      <w:sz w:val="21"/>
      <w:szCs w:val="24"/>
    </w:rPr>
  </w:style>
  <w:style w:type="paragraph" w:styleId="1015" w:customStyle="1">
    <w:name w:val="正文首行缩进1"/>
    <w:basedOn w:val="962"/>
    <w:link w:val="1014"/>
    <w:uiPriority w:val="0"/>
    <w:qFormat/>
    <w:pPr>
      <w:ind w:firstLine="420"/>
    </w:pPr>
  </w:style>
  <w:style w:type="character" w:styleId="1016" w:customStyle="1">
    <w:name w:val="标题 6 Char"/>
    <w:link w:val="918"/>
    <w:uiPriority w:val="0"/>
    <w:qFormat/>
    <w:rPr>
      <w:rFonts w:ascii="Arial" w:hAnsi="Arial" w:eastAsia="黑体" w:cs="Times New Roman"/>
      <w:b/>
      <w:sz w:val="24"/>
    </w:rPr>
  </w:style>
  <w:style w:type="character" w:styleId="1017" w:customStyle="1">
    <w:name w:val="文档结构图 Char"/>
    <w:link w:val="1018"/>
    <w:uiPriority w:val="99"/>
    <w:qFormat/>
    <w:rPr>
      <w:rFonts w:ascii="Times New Roman" w:hAnsi="Times New Roman" w:eastAsia="宋体" w:cs="Times New Roman"/>
      <w:sz w:val="21"/>
      <w:szCs w:val="24"/>
      <w:shd w:val="clear" w:color="auto" w:fill="000080"/>
    </w:rPr>
  </w:style>
  <w:style w:type="paragraph" w:styleId="1018" w:customStyle="1">
    <w:name w:val="文档结构图1"/>
    <w:basedOn w:val="722"/>
    <w:link w:val="1017"/>
    <w:uiPriority w:val="99"/>
    <w:qFormat/>
    <w:pPr>
      <w:shd w:val="clear" w:color="auto" w:fill="000080"/>
    </w:pPr>
  </w:style>
  <w:style w:type="character" w:styleId="1019" w:customStyle="1">
    <w:name w:val="font51"/>
    <w:basedOn w:val="922"/>
    <w:link w:val="722"/>
    <w:uiPriority w:val="0"/>
    <w:qFormat/>
    <w:rPr>
      <w:rFonts w:hint="eastAsia" w:ascii="宋体" w:hAnsi="宋体" w:eastAsia="宋体" w:cs="宋体"/>
      <w:b/>
      <w:color w:val="000000"/>
      <w:sz w:val="20"/>
      <w:szCs w:val="20"/>
      <w:u w:val="none"/>
    </w:rPr>
  </w:style>
  <w:style w:type="character" w:styleId="1020" w:customStyle="1">
    <w:name w:val="正文首行缩进 Char Char"/>
    <w:link w:val="722"/>
    <w:uiPriority w:val="0"/>
    <w:qFormat/>
    <w:rPr>
      <w:rFonts w:ascii="Times New Roman" w:hAnsi="Times New Roman" w:eastAsia="宋体" w:cs="Times New Roman"/>
      <w:szCs w:val="24"/>
    </w:rPr>
  </w:style>
  <w:style w:type="character" w:styleId="1021" w:customStyle="1">
    <w:name w:val="纯文本 Char"/>
    <w:link w:val="1022"/>
    <w:uiPriority w:val="0"/>
    <w:qFormat/>
    <w:rPr>
      <w:rFonts w:ascii="宋体" w:hAnsi="Courier New" w:eastAsia="宋体" w:cs="Times New Roman"/>
      <w:sz w:val="21"/>
      <w:szCs w:val="21"/>
      <w:lang w:val="en-US" w:eastAsia="zh-CN" w:bidi="ar-SA"/>
    </w:rPr>
  </w:style>
  <w:style w:type="paragraph" w:styleId="1022" w:customStyle="1">
    <w:name w:val="纯文本112"/>
    <w:basedOn w:val="722"/>
    <w:link w:val="1021"/>
    <w:uiPriority w:val="0"/>
    <w:qFormat/>
    <w:pPr>
      <w:jc w:val="left"/>
      <w:widowControl/>
    </w:pPr>
    <w:rPr>
      <w:rFonts w:ascii="宋体" w:hAnsi="Courier New"/>
      <w:szCs w:val="21"/>
    </w:rPr>
  </w:style>
  <w:style w:type="character" w:styleId="1023" w:customStyle="1">
    <w:name w:val="标题 5 Char"/>
    <w:link w:val="917"/>
    <w:uiPriority w:val="0"/>
    <w:qFormat/>
    <w:rPr>
      <w:rFonts w:ascii="Arial" w:hAnsi="Arial" w:eastAsia="黑体" w:cs="Times New Roman"/>
      <w:b/>
      <w:bCs/>
      <w:sz w:val="28"/>
      <w:szCs w:val="28"/>
    </w:rPr>
  </w:style>
  <w:style w:type="character" w:styleId="1024" w:customStyle="1">
    <w:name w:val="Plain Text Char Char"/>
    <w:link w:val="722"/>
    <w:uiPriority w:val="0"/>
    <w:qFormat/>
    <w:rPr>
      <w:rFonts w:ascii="宋体" w:hAnsi="Courier New" w:eastAsia="楷体_GB2312"/>
      <w:sz w:val="28"/>
      <w:lang w:val="en-US" w:eastAsia="zh-CN" w:bidi="ar-SA"/>
    </w:rPr>
  </w:style>
  <w:style w:type="character" w:styleId="1025" w:customStyle="1">
    <w:name w:val="Char Char7"/>
    <w:link w:val="722"/>
    <w:uiPriority w:val="0"/>
    <w:qFormat/>
    <w:rPr>
      <w:rFonts w:ascii="宋体" w:hAnsi="宋体" w:eastAsia="宋体" w:cs="Times New Roman"/>
      <w:sz w:val="24"/>
      <w:szCs w:val="24"/>
    </w:rPr>
  </w:style>
  <w:style w:type="character" w:styleId="1026" w:customStyle="1">
    <w:name w:val="普通文字 Char Char Char"/>
    <w:link w:val="722"/>
    <w:uiPriority w:val="0"/>
    <w:qFormat/>
    <w:rPr>
      <w:rFonts w:ascii="宋体" w:hAnsi="Courier New" w:eastAsia="楷体_GB2312" w:cs="Times New Roman"/>
      <w:sz w:val="28"/>
      <w:lang w:val="en-US" w:eastAsia="zh-CN" w:bidi="ar-SA"/>
    </w:rPr>
  </w:style>
  <w:style w:type="character" w:styleId="1027" w:customStyle="1">
    <w:name w:val="Char Char10"/>
    <w:link w:val="722"/>
    <w:uiPriority w:val="0"/>
    <w:qFormat/>
    <w:rPr>
      <w:rFonts w:ascii="Times New Roman" w:hAnsi="Times New Roman" w:eastAsia="宋体" w:cs="Times New Roman"/>
      <w:sz w:val="24"/>
      <w:szCs w:val="24"/>
    </w:rPr>
  </w:style>
  <w:style w:type="character" w:styleId="1028" w:customStyle="1">
    <w:name w:val="nr1"/>
    <w:link w:val="722"/>
    <w:uiPriority w:val="0"/>
    <w:qFormat/>
    <w:rPr>
      <w:rFonts w:ascii="Times New Roman" w:hAnsi="Times New Roman" w:eastAsia="宋体" w:cs="Times New Roman"/>
      <w:color w:val="666666"/>
      <w:sz w:val="18"/>
      <w:szCs w:val="18"/>
      <w:u w:val="none"/>
    </w:rPr>
  </w:style>
  <w:style w:type="character" w:styleId="1029" w:customStyle="1">
    <w:name w:val="p21"/>
    <w:link w:val="722"/>
    <w:uiPriority w:val="0"/>
    <w:qFormat/>
    <w:rPr>
      <w:rFonts w:ascii="ˎ̥" w:hAnsi="ˎ̥" w:eastAsia="宋体" w:cs="Times New Roman"/>
      <w:sz w:val="20"/>
      <w:szCs w:val="20"/>
    </w:rPr>
  </w:style>
  <w:style w:type="character" w:styleId="1030" w:customStyle="1">
    <w:name w:val="font21"/>
    <w:link w:val="722"/>
    <w:uiPriority w:val="0"/>
    <w:qFormat/>
    <w:rPr>
      <w:rFonts w:ascii="宋体" w:hAnsi="宋体" w:eastAsia="宋体" w:cs="宋体"/>
      <w:color w:val="000000"/>
      <w:sz w:val="18"/>
      <w:szCs w:val="18"/>
      <w:u w:val="none"/>
    </w:rPr>
  </w:style>
  <w:style w:type="character" w:styleId="1031" w:customStyle="1">
    <w:name w:val="paragraph1 Char"/>
    <w:link w:val="1032"/>
    <w:uiPriority w:val="0"/>
    <w:qFormat/>
    <w:rPr>
      <w:rFonts w:ascii="Times New Roman" w:hAnsi="Times New Roman" w:eastAsia="宋体" w:cs="Times New Roman"/>
      <w:sz w:val="24"/>
      <w:szCs w:val="24"/>
    </w:rPr>
  </w:style>
  <w:style w:type="paragraph" w:styleId="1032" w:customStyle="1">
    <w:name w:val="paragraph1"/>
    <w:basedOn w:val="722"/>
    <w:link w:val="1031"/>
    <w:uiPriority w:val="0"/>
    <w:qFormat/>
    <w:pPr>
      <w:ind w:firstLine="480"/>
      <w:spacing w:line="360" w:lineRule="auto"/>
    </w:pPr>
    <w:rPr>
      <w:sz w:val="24"/>
    </w:rPr>
  </w:style>
  <w:style w:type="character" w:styleId="1033" w:customStyle="1">
    <w:name w:val="标题 4 + 宋体 Char"/>
    <w:link w:val="1034"/>
    <w:uiPriority w:val="0"/>
    <w:qFormat/>
    <w:rPr>
      <w:rFonts w:ascii="宋体" w:hAnsi="宋体" w:eastAsia="宋体" w:cs="Times New Roman"/>
      <w:b/>
      <w:bCs/>
      <w:sz w:val="24"/>
      <w:szCs w:val="24"/>
    </w:rPr>
  </w:style>
  <w:style w:type="paragraph" w:styleId="1034" w:customStyle="1">
    <w:name w:val="标题 4 + 宋体"/>
    <w:basedOn w:val="916"/>
    <w:link w:val="1033"/>
    <w:uiPriority w:val="0"/>
    <w:qFormat/>
    <w:pPr>
      <w:numPr>
        <w:ilvl w:val="0"/>
        <w:numId w:val="0"/>
      </w:numPr>
      <w:jc w:val="both"/>
      <w:spacing w:line="360" w:lineRule="auto"/>
    </w:pPr>
    <w:rPr>
      <w:rFonts w:ascii="宋体" w:hAnsi="宋体" w:eastAsia="宋体"/>
      <w:sz w:val="24"/>
      <w:szCs w:val="24"/>
    </w:rPr>
  </w:style>
  <w:style w:type="character" w:styleId="1035" w:customStyle="1">
    <w:name w:val="style791"/>
    <w:link w:val="722"/>
    <w:uiPriority w:val="0"/>
    <w:qFormat/>
    <w:rPr>
      <w:rFonts w:ascii="Times New Roman" w:hAnsi="Times New Roman" w:eastAsia="宋体" w:cs="Times New Roman"/>
    </w:rPr>
  </w:style>
  <w:style w:type="character" w:styleId="1036" w:customStyle="1">
    <w:name w:val="副标题 Char"/>
    <w:link w:val="1037"/>
    <w:uiPriority w:val="0"/>
    <w:qFormat/>
    <w:rPr>
      <w:rFonts w:ascii="Cambria" w:hAnsi="Cambria" w:eastAsia="宋体" w:cs="Times New Roman"/>
      <w:b/>
      <w:bCs/>
      <w:sz w:val="32"/>
      <w:szCs w:val="32"/>
    </w:rPr>
  </w:style>
  <w:style w:type="paragraph" w:styleId="1037" w:customStyle="1">
    <w:name w:val="副标题1"/>
    <w:basedOn w:val="722"/>
    <w:next w:val="722"/>
    <w:link w:val="1036"/>
    <w:uiPriority w:val="0"/>
    <w:qFormat/>
    <w:pPr>
      <w:jc w:val="center"/>
      <w:spacing w:before="240" w:after="60" w:line="312" w:lineRule="auto"/>
      <w:outlineLvl w:val="1"/>
    </w:pPr>
    <w:rPr>
      <w:rFonts w:ascii="Cambria" w:hAnsi="Cambria"/>
      <w:b/>
      <w:bCs/>
      <w:sz w:val="32"/>
      <w:szCs w:val="32"/>
    </w:rPr>
  </w:style>
  <w:style w:type="character" w:styleId="1038" w:customStyle="1">
    <w:name w:val="text1"/>
    <w:link w:val="722"/>
    <w:uiPriority w:val="0"/>
    <w:qFormat/>
    <w:rPr>
      <w:rFonts w:ascii="Times New Roman" w:hAnsi="Times New Roman" w:eastAsia="宋体" w:cs="Times New Roman"/>
      <w:color w:val="666666"/>
      <w:sz w:val="18"/>
      <w:szCs w:val="18"/>
      <w:u w:val="none"/>
    </w:rPr>
  </w:style>
  <w:style w:type="character" w:styleId="1039" w:customStyle="1">
    <w:name w:val="font11"/>
    <w:link w:val="722"/>
    <w:uiPriority w:val="0"/>
    <w:qFormat/>
    <w:rPr>
      <w:rFonts w:ascii="Times New Roman" w:hAnsi="Times New Roman" w:eastAsia="宋体" w:cs="Times New Roman"/>
      <w:color w:val="000000"/>
      <w:sz w:val="20"/>
      <w:szCs w:val="20"/>
      <w:u w:val="none"/>
    </w:rPr>
  </w:style>
  <w:style w:type="character" w:styleId="1040" w:customStyle="1">
    <w:name w:val="fontstrikethrough"/>
    <w:basedOn w:val="922"/>
    <w:link w:val="722"/>
    <w:uiPriority w:val="0"/>
    <w:qFormat/>
    <w:rPr>
      <w:strike/>
    </w:rPr>
  </w:style>
  <w:style w:type="character" w:styleId="1041" w:customStyle="1">
    <w:name w:val="style1 style3"/>
    <w:link w:val="722"/>
    <w:uiPriority w:val="0"/>
    <w:qFormat/>
    <w:rPr>
      <w:rFonts w:ascii="Times New Roman" w:hAnsi="Times New Roman" w:eastAsia="宋体" w:cs="Times New Roman"/>
    </w:rPr>
  </w:style>
  <w:style w:type="character" w:styleId="1042" w:customStyle="1">
    <w:name w:val="Subtle Reference"/>
    <w:link w:val="722"/>
    <w:uiPriority w:val="0"/>
    <w:qFormat/>
    <w:rPr>
      <w:rFonts w:ascii="Times New Roman" w:hAnsi="Times New Roman" w:eastAsia="宋体" w:cs="Times New Roman"/>
      <w:smallCaps/>
      <w:color w:val="c0504d"/>
      <w:u w:val="single"/>
    </w:rPr>
  </w:style>
  <w:style w:type="character" w:styleId="1043" w:customStyle="1">
    <w:name w:val="正文1 Char"/>
    <w:link w:val="722"/>
    <w:uiPriority w:val="0"/>
    <w:qFormat/>
    <w:rPr>
      <w:rFonts w:ascii="Times New Roman" w:hAnsi="Times New Roman" w:eastAsia="宋体" w:cs="Times New Roman"/>
      <w:bCs/>
      <w:color w:val="000000"/>
      <w:sz w:val="24"/>
      <w:szCs w:val="32"/>
      <w:lang w:val="en-US" w:eastAsia="zh-CN" w:bidi="ar-SA"/>
    </w:rPr>
  </w:style>
  <w:style w:type="character" w:styleId="1044" w:customStyle="1">
    <w:name w:val="列出段落 Char"/>
    <w:link w:val="1045"/>
    <w:uiPriority w:val="0"/>
    <w:qFormat/>
    <w:rPr>
      <w:rFonts w:ascii="Calibri" w:hAnsi="Calibri" w:eastAsia="宋体" w:cs="Times New Roman"/>
      <w:sz w:val="21"/>
      <w:szCs w:val="22"/>
    </w:rPr>
  </w:style>
  <w:style w:type="paragraph" w:styleId="1045">
    <w:name w:val="List Paragraph"/>
    <w:basedOn w:val="722"/>
    <w:link w:val="1044"/>
    <w:uiPriority w:val="0"/>
    <w:qFormat/>
    <w:pPr>
      <w:ind w:firstLine="420"/>
    </w:pPr>
    <w:rPr>
      <w:rFonts w:ascii="Calibri" w:hAnsi="Calibri"/>
      <w:szCs w:val="22"/>
    </w:rPr>
  </w:style>
  <w:style w:type="character" w:styleId="1046" w:customStyle="1">
    <w:name w:val="正文文本 3 Char"/>
    <w:link w:val="1047"/>
    <w:uiPriority w:val="0"/>
    <w:qFormat/>
    <w:rPr>
      <w:rFonts w:ascii="宋体" w:hAnsi="宋体" w:eastAsia="宋体" w:cs="Times New Roman"/>
      <w:sz w:val="21"/>
      <w:szCs w:val="24"/>
    </w:rPr>
  </w:style>
  <w:style w:type="paragraph" w:styleId="1047" w:customStyle="1">
    <w:name w:val="正文文本 31"/>
    <w:basedOn w:val="722"/>
    <w:link w:val="1046"/>
    <w:uiPriority w:val="0"/>
    <w:qFormat/>
    <w:pPr>
      <w:spacing w:line="500" w:lineRule="exact"/>
    </w:pPr>
    <w:rPr>
      <w:rFonts w:ascii="宋体" w:hAnsi="宋体"/>
    </w:rPr>
  </w:style>
  <w:style w:type="character" w:styleId="1048" w:customStyle="1">
    <w:name w:val="+正文 Char3"/>
    <w:link w:val="1049"/>
    <w:uiPriority w:val="0"/>
    <w:qFormat/>
    <w:rPr>
      <w:sz w:val="24"/>
    </w:rPr>
  </w:style>
  <w:style w:type="paragraph" w:styleId="1049" w:customStyle="1">
    <w:name w:val="+正文"/>
    <w:basedOn w:val="722"/>
    <w:link w:val="1048"/>
    <w:uiPriority w:val="0"/>
    <w:qFormat/>
    <w:pPr>
      <w:ind w:firstLine="200"/>
      <w:spacing w:line="360" w:lineRule="auto"/>
    </w:pPr>
    <w:rPr>
      <w:sz w:val="24"/>
      <w:szCs w:val="20"/>
    </w:rPr>
  </w:style>
  <w:style w:type="character" w:styleId="1050" w:customStyle="1">
    <w:name w:val="font_blue1"/>
    <w:link w:val="722"/>
    <w:uiPriority w:val="0"/>
    <w:qFormat/>
    <w:rPr>
      <w:rFonts w:ascii="Times New Roman" w:hAnsi="Times New Roman" w:eastAsia="宋体" w:cs="Times New Roman"/>
      <w:b/>
      <w:bCs/>
      <w:color w:val="0070bc"/>
      <w:spacing w:val="500"/>
      <w:sz w:val="24"/>
      <w:szCs w:val="24"/>
      <w:u w:val="none"/>
    </w:rPr>
  </w:style>
  <w:style w:type="character" w:styleId="1051" w:customStyle="1">
    <w:name w:val="font01"/>
    <w:link w:val="722"/>
    <w:uiPriority w:val="0"/>
    <w:qFormat/>
    <w:rPr>
      <w:rFonts w:ascii="宋体" w:hAnsi="宋体" w:eastAsia="宋体" w:cs="宋体"/>
      <w:color w:val="000000"/>
      <w:sz w:val="18"/>
      <w:szCs w:val="18"/>
      <w:u w:val="none"/>
    </w:rPr>
  </w:style>
  <w:style w:type="character" w:styleId="1052" w:customStyle="1">
    <w:name w:val="Intense Reference"/>
    <w:link w:val="722"/>
    <w:uiPriority w:val="0"/>
    <w:qFormat/>
    <w:rPr>
      <w:rFonts w:ascii="Times New Roman" w:hAnsi="Times New Roman" w:eastAsia="宋体" w:cs="Times New Roman"/>
      <w:b/>
      <w:bCs/>
      <w:smallCaps/>
      <w:color w:val="c0504d"/>
      <w:spacing w:val="5"/>
      <w:u w:val="single"/>
    </w:rPr>
  </w:style>
  <w:style w:type="character" w:styleId="1053" w:customStyle="1">
    <w:name w:val="text-01"/>
    <w:link w:val="722"/>
    <w:uiPriority w:val="0"/>
    <w:qFormat/>
    <w:rPr>
      <w:rFonts w:ascii="Verdana" w:hAnsi="Verdana" w:eastAsia="宋体" w:cs="Times New Roman"/>
      <w:spacing w:val="240"/>
      <w:sz w:val="18"/>
      <w:szCs w:val="18"/>
    </w:rPr>
  </w:style>
  <w:style w:type="character" w:styleId="1054" w:customStyle="1">
    <w:name w:val="style1"/>
    <w:link w:val="722"/>
    <w:uiPriority w:val="0"/>
    <w:qFormat/>
    <w:rPr>
      <w:rFonts w:ascii="Times New Roman" w:hAnsi="Times New Roman" w:eastAsia="宋体" w:cs="Times New Roman"/>
    </w:rPr>
  </w:style>
  <w:style w:type="character" w:styleId="1055" w:customStyle="1">
    <w:name w:val="ca-0"/>
    <w:link w:val="722"/>
    <w:uiPriority w:val="0"/>
    <w:qFormat/>
    <w:rPr>
      <w:rFonts w:ascii="Times New Roman" w:hAnsi="Times New Roman" w:eastAsia="宋体" w:cs="Times New Roman"/>
    </w:rPr>
  </w:style>
  <w:style w:type="character" w:styleId="1056" w:customStyle="1">
    <w:name w:val="Appendix Char Char1"/>
    <w:link w:val="722"/>
    <w:uiPriority w:val="0"/>
    <w:qFormat/>
    <w:rPr>
      <w:rFonts w:ascii="Arial" w:hAnsi="Arial" w:eastAsia="黑体" w:cs="Times New Roman"/>
      <w:sz w:val="21"/>
      <w:szCs w:val="21"/>
      <w:lang w:val="en-US" w:eastAsia="zh-CN" w:bidi="ar-SA"/>
    </w:rPr>
  </w:style>
  <w:style w:type="character" w:styleId="1057" w:customStyle="1">
    <w:name w:val="Default Char"/>
    <w:link w:val="1058"/>
    <w:uiPriority w:val="0"/>
    <w:qFormat/>
    <w:rPr>
      <w:rFonts w:ascii="宋体"/>
      <w:color w:val="000000"/>
      <w:sz w:val="24"/>
      <w:szCs w:val="24"/>
      <w:lang w:val="en-US" w:eastAsia="zh-CN" w:bidi="ar-SA"/>
    </w:rPr>
  </w:style>
  <w:style w:type="paragraph" w:styleId="1058" w:customStyle="1">
    <w:name w:val="Default"/>
    <w:link w:val="1057"/>
    <w:uiPriority w:val="0"/>
    <w:qFormat/>
    <w:pPr>
      <w:widowControl w:val="off"/>
    </w:pPr>
    <w:rPr>
      <w:rFonts w:hint="default" w:ascii="宋体" w:hAnsi="Calibri" w:eastAsia="宋体" w:cs="Times New Roman"/>
      <w:color w:val="000000"/>
      <w:sz w:val="24"/>
      <w:szCs w:val="24"/>
      <w:lang w:val="en-US" w:eastAsia="zh-CN" w:bidi="ar-SA"/>
    </w:rPr>
  </w:style>
  <w:style w:type="character" w:styleId="1059" w:customStyle="1">
    <w:name w:val="trumbowyg-msg-error1"/>
    <w:basedOn w:val="922"/>
    <w:link w:val="722"/>
    <w:uiPriority w:val="0"/>
    <w:qFormat/>
    <w:rPr>
      <w:color w:val="e74c3c"/>
    </w:rPr>
  </w:style>
  <w:style w:type="character" w:styleId="1060" w:customStyle="1">
    <w:name w:val="正文小标题 Char"/>
    <w:link w:val="722"/>
    <w:uiPriority w:val="0"/>
    <w:qFormat/>
    <w:rPr>
      <w:rFonts w:ascii="Times New Roman" w:hAnsi="Times New Roman" w:eastAsia="宋体" w:cs="Times New Roman"/>
      <w:sz w:val="24"/>
      <w:szCs w:val="24"/>
      <w:lang w:val="en-US" w:eastAsia="zh-CN" w:bidi="ar-SA"/>
    </w:rPr>
  </w:style>
  <w:style w:type="character" w:styleId="1061" w:customStyle="1">
    <w:name w:val="标题 9 Char"/>
    <w:link w:val="921"/>
    <w:uiPriority w:val="0"/>
    <w:qFormat/>
    <w:rPr>
      <w:rFonts w:ascii="Arial" w:hAnsi="Arial" w:eastAsia="黑体" w:cs="Times New Roman"/>
      <w:sz w:val="21"/>
    </w:rPr>
  </w:style>
  <w:style w:type="character" w:styleId="1062" w:customStyle="1">
    <w:name w:val="red1"/>
    <w:link w:val="722"/>
    <w:uiPriority w:val="0"/>
    <w:qFormat/>
    <w:rPr>
      <w:rFonts w:ascii="Verdana" w:hAnsi="Verdana" w:eastAsia="宋体" w:cs="Times New Roman"/>
      <w:color w:val="cc0000"/>
      <w:sz w:val="18"/>
      <w:szCs w:val="18"/>
    </w:rPr>
  </w:style>
  <w:style w:type="character" w:styleId="1063" w:customStyle="1">
    <w:name w:val="param-value"/>
    <w:link w:val="722"/>
    <w:uiPriority w:val="0"/>
    <w:qFormat/>
    <w:rPr>
      <w:rFonts w:ascii="Times New Roman" w:hAnsi="Times New Roman" w:eastAsia="宋体" w:cs="Times New Roman"/>
    </w:rPr>
  </w:style>
  <w:style w:type="character" w:styleId="1064" w:customStyle="1">
    <w:name w:val="正文（缩进） Char2"/>
    <w:link w:val="1065"/>
    <w:uiPriority w:val="0"/>
    <w:qFormat/>
    <w:rPr>
      <w:rFonts w:ascii="Times New Roman" w:hAnsi="Times New Roman" w:eastAsia="宋体" w:cs="Times New Roman"/>
      <w:sz w:val="24"/>
      <w:szCs w:val="24"/>
    </w:rPr>
  </w:style>
  <w:style w:type="paragraph" w:styleId="1065" w:customStyle="1">
    <w:name w:val="正文（缩进）"/>
    <w:basedOn w:val="722"/>
    <w:link w:val="1064"/>
    <w:uiPriority w:val="0"/>
    <w:qFormat/>
    <w:pPr>
      <w:ind w:firstLine="480"/>
      <w:spacing w:line="360" w:lineRule="auto"/>
    </w:pPr>
    <w:rPr>
      <w:sz w:val="24"/>
    </w:rPr>
  </w:style>
  <w:style w:type="character" w:styleId="1066" w:customStyle="1">
    <w:name w:val="称呼 Char"/>
    <w:link w:val="1067"/>
    <w:uiPriority w:val="0"/>
    <w:qFormat/>
    <w:rPr>
      <w:rFonts w:ascii="Times New Roman" w:hAnsi="Times New Roman" w:eastAsia="黑体" w:cs="Times New Roman"/>
      <w:sz w:val="24"/>
      <w:szCs w:val="24"/>
    </w:rPr>
  </w:style>
  <w:style w:type="paragraph" w:styleId="1067" w:customStyle="1">
    <w:name w:val="称呼1"/>
    <w:basedOn w:val="722"/>
    <w:next w:val="722"/>
    <w:link w:val="1066"/>
    <w:uiPriority w:val="0"/>
    <w:qFormat/>
    <w:rPr>
      <w:rFonts w:eastAsia="黑体"/>
      <w:sz w:val="24"/>
    </w:rPr>
  </w:style>
  <w:style w:type="character" w:styleId="1068" w:customStyle="1">
    <w:name w:val="trumbowyg-msg-error"/>
    <w:basedOn w:val="922"/>
    <w:link w:val="722"/>
    <w:uiPriority w:val="0"/>
    <w:qFormat/>
    <w:rPr>
      <w:color w:val="e74c3c"/>
    </w:rPr>
  </w:style>
  <w:style w:type="character" w:styleId="1069" w:customStyle="1">
    <w:name w:val="FtrF Char"/>
    <w:link w:val="722"/>
    <w:uiPriority w:val="0"/>
    <w:qFormat/>
    <w:rPr>
      <w:rFonts w:ascii="Times New Roman" w:hAnsi="Times New Roman" w:eastAsia="宋体" w:cs="Times New Roman"/>
      <w:sz w:val="18"/>
      <w:szCs w:val="18"/>
    </w:rPr>
  </w:style>
  <w:style w:type="character" w:styleId="1070" w:customStyle="1">
    <w:name w:val="批注主题 Char"/>
    <w:link w:val="1071"/>
    <w:uiPriority w:val="0"/>
    <w:qFormat/>
    <w:rPr>
      <w:rFonts w:ascii="Times New Roman" w:hAnsi="Times New Roman" w:eastAsia="宋体" w:cs="Times New Roman"/>
      <w:b/>
      <w:bCs/>
      <w:sz w:val="21"/>
      <w:szCs w:val="24"/>
    </w:rPr>
  </w:style>
  <w:style w:type="paragraph" w:styleId="1071" w:customStyle="1">
    <w:name w:val="批注主题1"/>
    <w:basedOn w:val="947"/>
    <w:next w:val="947"/>
    <w:link w:val="1070"/>
    <w:uiPriority w:val="0"/>
    <w:qFormat/>
    <w:rPr>
      <w:b/>
      <w:bCs/>
    </w:rPr>
  </w:style>
  <w:style w:type="character" w:styleId="1072" w:customStyle="1">
    <w:name w:val="lh131"/>
    <w:link w:val="722"/>
    <w:uiPriority w:val="0"/>
    <w:qFormat/>
    <w:rPr>
      <w:rFonts w:ascii="Times New Roman" w:hAnsi="Times New Roman" w:eastAsia="宋体" w:cs="Times New Roman"/>
      <w:sz w:val="24"/>
      <w:szCs w:val="24"/>
      <w:lang w:val="en-US" w:eastAsia="zh-CN" w:bidi="ar-SA"/>
    </w:rPr>
  </w:style>
  <w:style w:type="character" w:styleId="1073" w:customStyle="1">
    <w:name w:val="param-name"/>
    <w:link w:val="722"/>
    <w:uiPriority w:val="0"/>
    <w:qFormat/>
    <w:rPr>
      <w:rFonts w:ascii="Times New Roman" w:hAnsi="Times New Roman" w:eastAsia="宋体" w:cs="Times New Roman"/>
    </w:rPr>
  </w:style>
  <w:style w:type="character" w:styleId="1074" w:customStyle="1">
    <w:name w:val="标题 4 Char"/>
    <w:link w:val="916"/>
    <w:uiPriority w:val="0"/>
    <w:qFormat/>
    <w:rPr>
      <w:rFonts w:ascii="Arial" w:hAnsi="Arial" w:eastAsia="黑体" w:cs="Times New Roman"/>
      <w:b/>
      <w:bCs/>
      <w:sz w:val="30"/>
      <w:szCs w:val="30"/>
    </w:rPr>
  </w:style>
  <w:style w:type="character" w:styleId="1075" w:customStyle="1">
    <w:name w:val="并列 Char Char"/>
    <w:link w:val="722"/>
    <w:uiPriority w:val="0"/>
    <w:qFormat/>
    <w:rPr>
      <w:rFonts w:ascii="Times New Roman" w:hAnsi="Times New Roman" w:eastAsia="宋体" w:cs="Times New Roman"/>
      <w:sz w:val="24"/>
      <w:szCs w:val="24"/>
      <w:lang w:val="en-US" w:eastAsia="zh-CN" w:bidi="ar-SA"/>
    </w:rPr>
  </w:style>
  <w:style w:type="character" w:styleId="1076" w:customStyle="1">
    <w:name w:val="orange1"/>
    <w:link w:val="722"/>
    <w:uiPriority w:val="0"/>
    <w:qFormat/>
    <w:rPr>
      <w:rFonts w:ascii="Times New Roman" w:hAnsi="Times New Roman" w:eastAsia="宋体" w:cs="Times New Roman"/>
      <w:color w:val="de6f00"/>
    </w:rPr>
  </w:style>
  <w:style w:type="character" w:styleId="1077" w:customStyle="1">
    <w:name w:val="Subtle Emphasis"/>
    <w:link w:val="722"/>
    <w:uiPriority w:val="0"/>
    <w:qFormat/>
    <w:rPr>
      <w:rFonts w:ascii="Times New Roman" w:hAnsi="Times New Roman" w:eastAsia="宋体" w:cs="Times New Roman"/>
      <w:i/>
      <w:iCs/>
      <w:color w:val="808080"/>
    </w:rPr>
  </w:style>
  <w:style w:type="character" w:styleId="1078" w:customStyle="1">
    <w:name w:val="正文缩进（首行缩进两字） Char"/>
    <w:link w:val="722"/>
    <w:uiPriority w:val="0"/>
    <w:qFormat/>
    <w:rPr>
      <w:rFonts w:ascii="Times New Roman" w:hAnsi="Times New Roman" w:eastAsia="宋体" w:cs="Times New Roman"/>
      <w:sz w:val="24"/>
      <w:szCs w:val="24"/>
      <w:lang w:val="en-US" w:eastAsia="zh-CN" w:bidi="ar-SA"/>
    </w:rPr>
  </w:style>
  <w:style w:type="paragraph" w:styleId="1079" w:customStyle="1">
    <w:name w:val="p0"/>
    <w:basedOn w:val="722"/>
    <w:next w:val="944"/>
    <w:uiPriority w:val="0"/>
    <w:qFormat/>
    <w:pPr>
      <w:widowControl/>
    </w:pPr>
    <w:rPr>
      <w:rFonts w:ascii="Calibri" w:hAnsi="Calibri" w:eastAsia="宋体" w:cs="宋体"/>
      <w:szCs w:val="21"/>
    </w:rPr>
  </w:style>
  <w:style w:type="paragraph" w:styleId="1080" w:customStyle="1">
    <w:name w:val="列表项目符号1"/>
    <w:basedOn w:val="722"/>
    <w:uiPriority w:val="0"/>
    <w:qFormat/>
    <w:pPr>
      <w:ind w:left="357" w:hanging="357"/>
      <w:spacing w:line="500" w:lineRule="exact"/>
      <w:tabs>
        <w:tab w:val="left" w:pos="420" w:leader="none"/>
      </w:tabs>
    </w:pPr>
    <w:rPr>
      <w:rFonts w:ascii="Times New Roman" w:hAnsi="Times New Roman" w:eastAsia="宋体" w:cs="Times New Roman"/>
      <w:sz w:val="24"/>
      <w:szCs w:val="20"/>
    </w:rPr>
  </w:style>
  <w:style w:type="paragraph" w:styleId="1081" w:customStyle="1">
    <w:name w:val="目录 91"/>
    <w:basedOn w:val="722"/>
    <w:next w:val="722"/>
    <w:uiPriority w:val="0"/>
    <w:qFormat/>
    <w:pPr>
      <w:ind w:left="1680"/>
      <w:jc w:val="left"/>
    </w:pPr>
    <w:rPr>
      <w:rFonts w:ascii="Calibri" w:hAnsi="Calibri" w:eastAsia="宋体" w:cs="Times New Roman"/>
      <w:sz w:val="18"/>
      <w:szCs w:val="18"/>
    </w:rPr>
  </w:style>
  <w:style w:type="paragraph" w:styleId="1082" w:customStyle="1">
    <w:name w:val="Char2"/>
    <w:basedOn w:val="722"/>
    <w:uiPriority w:val="0"/>
    <w:qFormat/>
    <w:pPr>
      <w:jc w:val="left"/>
      <w:spacing w:after="160" w:line="240" w:lineRule="exact"/>
      <w:widowControl/>
    </w:pPr>
    <w:rPr>
      <w:rFonts w:ascii="Verdana" w:hAnsi="Verdana" w:eastAsia="宋体" w:cs="Times New Roman"/>
      <w:szCs w:val="20"/>
      <w:lang w:eastAsia="en-US"/>
    </w:rPr>
  </w:style>
  <w:style w:type="paragraph" w:styleId="1083" w:customStyle="1">
    <w:name w:val="正文0"/>
    <w:basedOn w:val="722"/>
    <w:uiPriority w:val="0"/>
    <w:qFormat/>
    <w:pPr>
      <w:ind w:left="215" w:firstLine="431"/>
      <w:spacing w:before="120" w:line="360" w:lineRule="auto"/>
    </w:pPr>
    <w:rPr>
      <w:rFonts w:ascii="Times New Roman" w:hAnsi="Times New Roman" w:eastAsia="宋体" w:cs="Times New Roman"/>
      <w:sz w:val="24"/>
      <w:szCs w:val="20"/>
    </w:rPr>
  </w:style>
  <w:style w:type="paragraph" w:styleId="1084" w:customStyle="1">
    <w:name w:val="目录 31"/>
    <w:basedOn w:val="722"/>
    <w:next w:val="722"/>
    <w:uiPriority w:val="0"/>
    <w:qFormat/>
    <w:pPr>
      <w:ind w:left="420"/>
      <w:jc w:val="left"/>
    </w:pPr>
    <w:rPr>
      <w:rFonts w:ascii="Calibri" w:hAnsi="Calibri" w:eastAsia="宋体" w:cs="Times New Roman"/>
      <w:i/>
      <w:iCs/>
      <w:sz w:val="20"/>
      <w:szCs w:val="20"/>
    </w:rPr>
  </w:style>
  <w:style w:type="paragraph" w:styleId="1085" w:customStyle="1">
    <w:name w:val="目录 71"/>
    <w:basedOn w:val="722"/>
    <w:next w:val="722"/>
    <w:uiPriority w:val="0"/>
    <w:qFormat/>
    <w:pPr>
      <w:ind w:left="1260"/>
      <w:jc w:val="left"/>
    </w:pPr>
    <w:rPr>
      <w:rFonts w:ascii="Calibri" w:hAnsi="Calibri" w:eastAsia="宋体" w:cs="Times New Roman"/>
      <w:sz w:val="18"/>
      <w:szCs w:val="18"/>
    </w:rPr>
  </w:style>
  <w:style w:type="paragraph" w:styleId="1086" w:customStyle="1">
    <w:name w:val="xl75"/>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087" w:customStyle="1">
    <w:name w:val="寄信人地址1"/>
    <w:basedOn w:val="722"/>
    <w:uiPriority w:val="0"/>
    <w:qFormat/>
    <w:rPr>
      <w:rFonts w:ascii="Arial" w:hAnsi="Arial" w:eastAsia="楷体_GB2312" w:cs="Times New Roman"/>
      <w:sz w:val="26"/>
      <w:szCs w:val="20"/>
    </w:rPr>
  </w:style>
  <w:style w:type="paragraph" w:styleId="1088" w:customStyle="1">
    <w:name w:val="列表接续 21"/>
    <w:basedOn w:val="722"/>
    <w:uiPriority w:val="0"/>
    <w:qFormat/>
    <w:pPr>
      <w:ind w:left="840"/>
      <w:spacing w:after="120"/>
    </w:pPr>
    <w:rPr>
      <w:rFonts w:ascii="Times New Roman" w:hAnsi="Times New Roman" w:eastAsia="宋体" w:cs="Times New Roman"/>
    </w:rPr>
  </w:style>
  <w:style w:type="paragraph" w:styleId="1089" w:customStyle="1">
    <w:name w:val="目录 41"/>
    <w:basedOn w:val="722"/>
    <w:next w:val="722"/>
    <w:uiPriority w:val="0"/>
    <w:qFormat/>
    <w:pPr>
      <w:ind w:left="630"/>
      <w:jc w:val="left"/>
    </w:pPr>
    <w:rPr>
      <w:rFonts w:ascii="Calibri" w:hAnsi="Calibri" w:eastAsia="宋体" w:cs="Times New Roman"/>
      <w:sz w:val="18"/>
      <w:szCs w:val="18"/>
    </w:rPr>
  </w:style>
  <w:style w:type="paragraph" w:styleId="1090"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091" w:customStyle="1">
    <w:name w:val="列表 31"/>
    <w:basedOn w:val="722"/>
    <w:uiPriority w:val="0"/>
    <w:qFormat/>
    <w:pPr>
      <w:ind w:left="100" w:hanging="200"/>
    </w:pPr>
    <w:rPr>
      <w:rFonts w:ascii="Times New Roman" w:hAnsi="Times New Roman" w:eastAsia="宋体" w:cs="Times New Roman"/>
    </w:rPr>
  </w:style>
  <w:style w:type="paragraph" w:styleId="1092" w:customStyle="1">
    <w:name w:val="正文1"/>
    <w:basedOn w:val="722"/>
    <w:uiPriority w:val="0"/>
    <w:qFormat/>
    <w:pPr>
      <w:ind w:firstLine="480"/>
      <w:spacing w:line="440" w:lineRule="exact"/>
    </w:pPr>
    <w:rPr>
      <w:rFonts w:ascii="Times New Roman" w:hAnsi="Times New Roman" w:eastAsia="宋体" w:cs="Times New Roman"/>
      <w:bCs/>
      <w:color w:val="000000"/>
      <w:sz w:val="24"/>
      <w:szCs w:val="32"/>
    </w:rPr>
  </w:style>
  <w:style w:type="paragraph" w:styleId="1093" w:customStyle="1">
    <w:name w:val="段落1"/>
    <w:basedOn w:val="722"/>
    <w:uiPriority w:val="0"/>
    <w:qFormat/>
    <w:pPr>
      <w:ind w:right="23"/>
      <w:spacing w:before="120" w:line="360" w:lineRule="auto"/>
    </w:pPr>
    <w:rPr>
      <w:rFonts w:ascii="宋体" w:hAnsi="宋体" w:eastAsia="宋体" w:cs="Times New Roman"/>
      <w:b/>
      <w:bCs/>
      <w:sz w:val="24"/>
    </w:rPr>
  </w:style>
  <w:style w:type="paragraph" w:styleId="1094" w:customStyle="1">
    <w:name w:val="xl215"/>
    <w:basedOn w:val="72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宋体" w:eastAsia="微软雅黑" w:cs="宋体"/>
      <w:b/>
      <w:bCs/>
      <w:sz w:val="18"/>
      <w:szCs w:val="18"/>
    </w:rPr>
  </w:style>
  <w:style w:type="paragraph" w:styleId="1095" w:customStyle="1">
    <w:name w:val="xl43"/>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096" w:customStyle="1">
    <w:name w:val="文本块1"/>
    <w:basedOn w:val="722"/>
    <w:uiPriority w:val="0"/>
    <w:qFormat/>
    <w:pPr>
      <w:ind w:left="630" w:right="-609" w:firstLine="420"/>
      <w:jc w:val="left"/>
      <w:spacing w:line="360" w:lineRule="auto"/>
      <w:widowControl/>
    </w:pPr>
    <w:rPr>
      <w:rFonts w:hint="eastAsia" w:ascii="仿宋_GB2312" w:hAnsi="Times New Roman" w:eastAsia="仿宋_GB2312" w:cs="Times New Roman"/>
      <w:sz w:val="24"/>
      <w:szCs w:val="20"/>
    </w:rPr>
  </w:style>
  <w:style w:type="paragraph" w:styleId="1097" w:customStyle="1">
    <w:name w:val="xl175"/>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098" w:customStyle="1">
    <w:name w:val="正文2"/>
    <w:basedOn w:val="722"/>
    <w:uiPriority w:val="0"/>
    <w:qFormat/>
    <w:pPr>
      <w:ind w:firstLine="200"/>
      <w:jc w:val="left"/>
      <w:spacing w:after="160" w:line="360" w:lineRule="auto"/>
      <w:widowControl/>
    </w:pPr>
    <w:rPr>
      <w:rFonts w:ascii="Times New Roman" w:hAnsi="Times New Roman" w:eastAsia="宋体" w:cs="Times New Roman"/>
      <w:szCs w:val="20"/>
    </w:rPr>
  </w:style>
  <w:style w:type="paragraph" w:styleId="1099" w:customStyle="1">
    <w:name w:val="xl112"/>
    <w:basedOn w:val="722"/>
    <w:uiPriority w:val="0"/>
    <w:qFormat/>
    <w:pPr>
      <w:jc w:val="left"/>
      <w:spacing w:before="100" w:beforeAutospacing="1" w:after="100" w:afterAutospacing="1"/>
      <w:widowControl/>
      <w:pBdr>
        <w:top w:val="single" w:color="000000" w:sz="4" w:space="0"/>
        <w:left w:val="single" w:color="000000" w:sz="4" w:space="0"/>
        <w:bottom w:val="single" w:color="000000" w:sz="6" w:space="0"/>
        <w:right w:val="single" w:color="000000" w:sz="6" w:space="0"/>
      </w:pBdr>
    </w:pPr>
    <w:rPr>
      <w:rFonts w:ascii="宋体" w:hAnsi="宋体" w:eastAsia="宋体" w:cs="宋体"/>
      <w:sz w:val="22"/>
      <w:szCs w:val="22"/>
    </w:rPr>
  </w:style>
  <w:style w:type="paragraph" w:styleId="1100" w:customStyle="1">
    <w:name w:val="目录 511"/>
    <w:basedOn w:val="722"/>
    <w:next w:val="722"/>
    <w:uiPriority w:val="0"/>
    <w:qFormat/>
    <w:pPr>
      <w:ind w:left="840"/>
      <w:jc w:val="left"/>
    </w:pPr>
    <w:rPr>
      <w:rFonts w:ascii="Calibri" w:hAnsi="Calibri" w:eastAsia="宋体" w:cs="Times New Roman"/>
      <w:sz w:val="18"/>
      <w:szCs w:val="18"/>
    </w:rPr>
  </w:style>
  <w:style w:type="paragraph" w:styleId="1101" w:customStyle="1">
    <w:name w:val="样式 样式 标题 3 + 首行缩进:  2 字符 + 首行缩进:  2 字符"/>
    <w:basedOn w:val="722"/>
    <w:uiPriority w:val="0"/>
    <w:qFormat/>
    <w:pPr>
      <w:keepLines/>
      <w:keepNext/>
      <w:spacing w:before="260" w:after="260"/>
      <w:outlineLvl w:val="2"/>
    </w:pPr>
    <w:rPr>
      <w:rFonts w:ascii="Times New Roman" w:hAnsi="Times New Roman" w:eastAsia="宋体" w:cs="宋体"/>
      <w:b/>
      <w:bCs/>
      <w:sz w:val="30"/>
      <w:szCs w:val="20"/>
    </w:rPr>
  </w:style>
  <w:style w:type="paragraph" w:styleId="1102" w:customStyle="1">
    <w:name w:val="索引 11"/>
    <w:basedOn w:val="722"/>
    <w:next w:val="722"/>
    <w:uiPriority w:val="0"/>
    <w:qFormat/>
    <w:pPr>
      <w:ind w:firstLine="523"/>
      <w:spacing w:line="360" w:lineRule="auto"/>
      <w:tabs>
        <w:tab w:val="left" w:pos="1080" w:leader="none"/>
      </w:tabs>
    </w:pPr>
    <w:rPr>
      <w:rFonts w:ascii="宋体" w:hAnsi="宋体" w:eastAsia="宋体" w:cs="Times New Roman"/>
      <w:sz w:val="24"/>
    </w:rPr>
  </w:style>
  <w:style w:type="paragraph" w:styleId="1103" w:customStyle="1">
    <w:name w:val="xl189"/>
    <w:basedOn w:val="722"/>
    <w:uiPriority w:val="0"/>
    <w:qFormat/>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hAnsi="宋体" w:eastAsia="微软雅黑" w:cs="宋体"/>
      <w:b/>
      <w:bCs/>
      <w:sz w:val="22"/>
      <w:szCs w:val="22"/>
    </w:rPr>
  </w:style>
  <w:style w:type="paragraph" w:styleId="1104" w:customStyle="1">
    <w:name w:val="列表编号1"/>
    <w:basedOn w:val="722"/>
    <w:uiPriority w:val="0"/>
    <w:qFormat/>
    <w:pPr>
      <w:ind w:left="510" w:hanging="510"/>
      <w:jc w:val="left"/>
      <w:widowControl/>
    </w:pPr>
    <w:rPr>
      <w:rFonts w:ascii="宋体" w:hAnsi="宋体" w:eastAsia="宋体" w:cs="宋体"/>
      <w:sz w:val="24"/>
    </w:rPr>
  </w:style>
  <w:style w:type="paragraph" w:styleId="1105" w:customStyle="1">
    <w:name w:val="HTML 预设格式1"/>
    <w:basedOn w:val="72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szCs w:val="20"/>
    </w:rPr>
  </w:style>
  <w:style w:type="paragraph" w:styleId="1106" w:customStyle="1">
    <w:name w:val="P3"/>
    <w:uiPriority w:val="0"/>
    <w:qFormat/>
    <w:pPr>
      <w:ind w:left="2880" w:hanging="576"/>
      <w:jc w:val="both"/>
      <w:spacing w:after="240" w:line="0" w:lineRule="atLeast"/>
      <w:widowControl w:val="off"/>
    </w:pPr>
    <w:rPr>
      <w:rFonts w:hint="default" w:ascii="Calibri" w:hAnsi="Calibri" w:eastAsia="全真中明體" w:cs="Times New Roman"/>
      <w:spacing w:val="30"/>
      <w:sz w:val="24"/>
      <w:lang w:val="en-GB" w:eastAsia="zh-TW" w:bidi="ar-SA"/>
    </w:rPr>
  </w:style>
  <w:style w:type="paragraph" w:styleId="1107" w:customStyle="1">
    <w:name w:val="xl173"/>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color w:val="000000"/>
      <w:sz w:val="18"/>
      <w:szCs w:val="18"/>
    </w:rPr>
  </w:style>
  <w:style w:type="paragraph" w:styleId="1108" w:customStyle="1">
    <w:name w:val="xl76"/>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109" w:customStyle="1">
    <w:name w:val="普通(网站)1"/>
    <w:basedOn w:val="722"/>
    <w:uiPriority w:val="0"/>
    <w:qFormat/>
    <w:pPr>
      <w:jc w:val="left"/>
      <w:spacing w:before="100" w:beforeAutospacing="1" w:after="100" w:afterAutospacing="1"/>
      <w:widowControl/>
    </w:pPr>
    <w:rPr>
      <w:rFonts w:ascii="宋体" w:hAnsi="宋体" w:eastAsia="宋体" w:cs="Times New Roman"/>
      <w:sz w:val="24"/>
    </w:rPr>
  </w:style>
  <w:style w:type="paragraph" w:styleId="1110" w:customStyle="1">
    <w:name w:val="项目介绍"/>
    <w:basedOn w:val="722"/>
    <w:uiPriority w:val="0"/>
    <w:qFormat/>
    <w:pPr>
      <w:jc w:val="left"/>
      <w:widowControl/>
      <w:tabs>
        <w:tab w:val="left" w:pos="5000" w:leader="none"/>
        <w:tab w:val="left" w:pos="5600" w:leader="none"/>
      </w:tabs>
    </w:pPr>
    <w:rPr>
      <w:rFonts w:ascii="Times New Roman" w:hAnsi="Times New Roman" w:eastAsia="楷体_GB2312" w:cs="Times New Roman"/>
      <w:sz w:val="24"/>
      <w:szCs w:val="20"/>
    </w:rPr>
  </w:style>
  <w:style w:type="paragraph" w:styleId="1111" w:customStyle="1">
    <w:name w:val="x1"/>
    <w:basedOn w:val="722"/>
    <w:uiPriority w:val="0"/>
    <w:qFormat/>
    <w:pPr>
      <w:ind w:firstLine="480"/>
      <w:spacing w:line="400" w:lineRule="exact"/>
    </w:pPr>
    <w:rPr>
      <w:rFonts w:ascii="宋体" w:hAnsi="宋体" w:eastAsia="宋体" w:cs="Times New Roman"/>
      <w:sz w:val="24"/>
    </w:rPr>
  </w:style>
  <w:style w:type="paragraph" w:styleId="1112" w:customStyle="1">
    <w:name w:val="Char12"/>
    <w:basedOn w:val="722"/>
    <w:uiPriority w:val="0"/>
    <w:qFormat/>
    <w:pPr>
      <w:jc w:val="left"/>
      <w:spacing w:after="160" w:line="240" w:lineRule="exact"/>
      <w:widowControl/>
    </w:pPr>
    <w:rPr>
      <w:rFonts w:ascii="Verdana" w:hAnsi="Verdana" w:eastAsia="宋体" w:cs="Times New Roman"/>
      <w:szCs w:val="20"/>
      <w:lang w:eastAsia="en-US"/>
    </w:rPr>
  </w:style>
  <w:style w:type="paragraph" w:styleId="1113" w:customStyle="1">
    <w:name w:val="目录 21"/>
    <w:basedOn w:val="722"/>
    <w:next w:val="722"/>
    <w:uiPriority w:val="0"/>
    <w:qFormat/>
    <w:pPr>
      <w:ind w:left="420"/>
    </w:pPr>
    <w:rPr>
      <w:rFonts w:ascii="Times New Roman" w:hAnsi="Times New Roman" w:eastAsia="宋体" w:cs="Times New Roman"/>
    </w:rPr>
  </w:style>
  <w:style w:type="paragraph" w:styleId="1114" w:customStyle="1">
    <w:name w:val="xl90"/>
    <w:basedOn w:val="722"/>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Times New Roman" w:hAnsi="Times New Roman" w:eastAsia="宋体" w:cs="Times New Roman"/>
      <w:sz w:val="24"/>
    </w:rPr>
  </w:style>
  <w:style w:type="paragraph" w:styleId="1115" w:customStyle="1">
    <w:name w:val="列表 21"/>
    <w:basedOn w:val="722"/>
    <w:uiPriority w:val="0"/>
    <w:qFormat/>
    <w:pPr>
      <w:ind w:left="100" w:hanging="200"/>
    </w:pPr>
    <w:rPr>
      <w:rFonts w:ascii="Times New Roman" w:hAnsi="Times New Roman" w:eastAsia="宋体" w:cs="Times New Roman"/>
    </w:rPr>
  </w:style>
  <w:style w:type="paragraph" w:styleId="1116" w:customStyle="1">
    <w:name w:val="列表1"/>
    <w:basedOn w:val="722"/>
    <w:uiPriority w:val="0"/>
    <w:qFormat/>
    <w:pPr>
      <w:ind w:left="200" w:hanging="200"/>
    </w:pPr>
    <w:rPr>
      <w:rFonts w:ascii="Times New Roman" w:hAnsi="Times New Roman" w:eastAsia="宋体" w:cs="Times New Roman"/>
    </w:rPr>
  </w:style>
  <w:style w:type="paragraph" w:styleId="1117" w:customStyle="1">
    <w:name w:val="xl101"/>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118" w:customStyle="1">
    <w:name w:val="P1"/>
    <w:uiPriority w:val="0"/>
    <w:qFormat/>
    <w:pPr>
      <w:ind w:left="2304" w:hanging="576"/>
      <w:jc w:val="both"/>
      <w:spacing w:after="240" w:line="0" w:lineRule="atLeast"/>
      <w:widowControl w:val="off"/>
    </w:pPr>
    <w:rPr>
      <w:rFonts w:hint="default" w:ascii="Calibri" w:hAnsi="Calibri" w:eastAsia="全真中明體" w:cs="Times New Roman"/>
      <w:spacing w:val="30"/>
      <w:sz w:val="24"/>
      <w:lang w:val="en-GB" w:eastAsia="zh-TW" w:bidi="ar-SA"/>
    </w:rPr>
  </w:style>
  <w:style w:type="paragraph" w:styleId="1119" w:customStyle="1">
    <w:name w:val="正文首行缩进 21"/>
    <w:basedOn w:val="938"/>
    <w:next w:val="722"/>
    <w:uiPriority w:val="0"/>
    <w:qFormat/>
    <w:pPr>
      <w:ind w:left="420" w:firstLine="420"/>
      <w:spacing w:after="120" w:line="240" w:lineRule="auto"/>
    </w:pPr>
    <w:rPr>
      <w:rFonts w:ascii="Times New Roman" w:hAnsi="Times New Roman" w:eastAsia="宋体" w:cs="Times New Roman"/>
      <w:sz w:val="21"/>
    </w:rPr>
  </w:style>
  <w:style w:type="paragraph" w:styleId="1120" w:customStyle="1">
    <w:name w:val="目录 81"/>
    <w:basedOn w:val="722"/>
    <w:next w:val="722"/>
    <w:uiPriority w:val="0"/>
    <w:qFormat/>
    <w:pPr>
      <w:ind w:left="1470"/>
      <w:jc w:val="left"/>
    </w:pPr>
    <w:rPr>
      <w:rFonts w:ascii="Calibri" w:hAnsi="Calibri" w:eastAsia="宋体" w:cs="Times New Roman"/>
      <w:sz w:val="18"/>
      <w:szCs w:val="18"/>
    </w:rPr>
  </w:style>
  <w:style w:type="paragraph" w:styleId="1121" w:customStyle="1">
    <w:name w:val="xl73"/>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22" w:customStyle="1">
    <w:name w:val="Char2 Char Char Char Char Char Char"/>
    <w:basedOn w:val="722"/>
    <w:uiPriority w:val="0"/>
    <w:qFormat/>
    <w:pPr>
      <w:ind w:firstLine="200"/>
      <w:spacing w:line="360" w:lineRule="auto"/>
    </w:pPr>
    <w:rPr>
      <w:rFonts w:ascii="Tahoma" w:hAnsi="Tahoma" w:eastAsia="宋体" w:cs="Times New Roman"/>
      <w:sz w:val="24"/>
      <w:szCs w:val="20"/>
    </w:rPr>
  </w:style>
  <w:style w:type="paragraph" w:styleId="1123" w:customStyle="1">
    <w:name w:val="Table Description"/>
    <w:next w:val="722"/>
    <w:uiPriority w:val="0"/>
    <w:qFormat/>
    <w:pPr>
      <w:jc w:val="center"/>
      <w:keepNext/>
      <w:spacing w:before="160" w:after="80"/>
    </w:pPr>
    <w:rPr>
      <w:rFonts w:hint="default" w:ascii="Arial" w:hAnsi="Arial" w:eastAsia="黑体" w:cs="Arial"/>
      <w:sz w:val="18"/>
      <w:szCs w:val="18"/>
      <w:lang w:val="en-US" w:eastAsia="zh-CN" w:bidi="ar-SA"/>
    </w:rPr>
  </w:style>
  <w:style w:type="paragraph" w:styleId="1124" w:customStyle="1">
    <w:name w:val="标题3"/>
    <w:basedOn w:val="722"/>
    <w:next w:val="722"/>
    <w:uiPriority w:val="0"/>
    <w:qFormat/>
    <w:pPr>
      <w:keepLines/>
      <w:keepNext/>
      <w:spacing w:line="360" w:lineRule="auto"/>
      <w:outlineLvl w:val="2"/>
    </w:pPr>
    <w:rPr>
      <w:rFonts w:ascii="Times New Roman" w:hAnsi="Times New Roman" w:eastAsia="宋体" w:cs="Times New Roman"/>
      <w:b/>
      <w:sz w:val="28"/>
      <w:szCs w:val="28"/>
    </w:rPr>
  </w:style>
  <w:style w:type="paragraph" w:styleId="1125" w:customStyle="1">
    <w:name w:val="目录 61"/>
    <w:basedOn w:val="722"/>
    <w:next w:val="722"/>
    <w:uiPriority w:val="0"/>
    <w:qFormat/>
    <w:pPr>
      <w:ind w:left="1050"/>
      <w:jc w:val="left"/>
    </w:pPr>
    <w:rPr>
      <w:rFonts w:ascii="Calibri" w:hAnsi="Calibri" w:eastAsia="宋体" w:cs="Times New Roman"/>
      <w:sz w:val="18"/>
      <w:szCs w:val="18"/>
    </w:rPr>
  </w:style>
  <w:style w:type="paragraph" w:styleId="1126" w:customStyle="1">
    <w:name w:val="H-TextFormat"/>
    <w:uiPriority w:val="0"/>
    <w:qFormat/>
    <w:rPr>
      <w:rFonts w:hint="default" w:ascii="Arial" w:hAnsi="Arial" w:eastAsia="宋体" w:cs="Times New Roman"/>
      <w:sz w:val="22"/>
      <w:lang w:val="en-GB" w:eastAsia="en-US" w:bidi="ar-SA"/>
    </w:rPr>
  </w:style>
  <w:style w:type="paragraph" w:styleId="1127" w:customStyle="1">
    <w:name w:val="目录 11"/>
    <w:basedOn w:val="722"/>
    <w:next w:val="722"/>
    <w:uiPriority w:val="0"/>
    <w:qFormat/>
    <w:pPr>
      <w:jc w:val="left"/>
      <w:tabs>
        <w:tab w:val="right" w:pos="8296" w:leader="dot"/>
      </w:tabs>
    </w:pPr>
    <w:rPr>
      <w:rFonts w:ascii="宋体" w:hAnsi="宋体" w:eastAsia="宋体" w:cs="Times New Roman"/>
      <w:sz w:val="24"/>
    </w:rPr>
  </w:style>
  <w:style w:type="paragraph" w:styleId="1128" w:customStyle="1">
    <w:name w:val="Char6"/>
    <w:basedOn w:val="722"/>
    <w:uiPriority w:val="0"/>
    <w:qFormat/>
    <w:pPr>
      <w:jc w:val="left"/>
      <w:spacing w:after="160" w:line="240" w:lineRule="exact"/>
      <w:widowControl/>
    </w:pPr>
    <w:rPr>
      <w:rFonts w:ascii="Verdana" w:hAnsi="Verdana" w:eastAsia="宋体" w:cs="Times New Roman"/>
      <w:szCs w:val="20"/>
      <w:lang w:eastAsia="en-US"/>
    </w:rPr>
  </w:style>
  <w:style w:type="paragraph" w:styleId="1129" w:customStyle="1">
    <w:name w:val="xl110"/>
    <w:basedOn w:val="722"/>
    <w:uiPriority w:val="0"/>
    <w:qFormat/>
    <w:pPr>
      <w:jc w:val="center"/>
      <w:spacing w:before="100" w:beforeAutospacing="1" w:after="100" w:afterAutospacing="1"/>
      <w:widowControl/>
      <w:pBdr>
        <w:top w:val="single" w:color="000000" w:sz="4" w:space="0"/>
        <w:left w:val="single" w:color="000000" w:sz="6" w:space="0"/>
        <w:bottom w:val="single" w:color="000000" w:sz="6" w:space="0"/>
        <w:right w:val="single" w:color="000000" w:sz="4" w:space="0"/>
      </w:pBdr>
    </w:pPr>
    <w:rPr>
      <w:rFonts w:ascii="宋体" w:hAnsi="宋体" w:eastAsia="宋体" w:cs="宋体"/>
      <w:b/>
      <w:bCs/>
      <w:sz w:val="22"/>
      <w:szCs w:val="22"/>
    </w:rPr>
  </w:style>
  <w:style w:type="paragraph" w:styleId="1130" w:customStyle="1">
    <w:name w:val="xl34"/>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31" w:customStyle="1">
    <w:name w:val="xl91"/>
    <w:basedOn w:val="72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Times New Roman" w:hAnsi="Times New Roman" w:eastAsia="宋体" w:cs="Times New Roman"/>
      <w:sz w:val="24"/>
    </w:rPr>
  </w:style>
  <w:style w:type="paragraph" w:styleId="1132" w:customStyle="1">
    <w:name w:val="xl115"/>
    <w:basedOn w:val="722"/>
    <w:uiPriority w:val="0"/>
    <w:qFormat/>
    <w:pPr>
      <w:jc w:val="center"/>
      <w:spacing w:before="100" w:beforeAutospacing="1" w:after="100" w:afterAutospacing="1"/>
      <w:widowControl/>
      <w:pBdr>
        <w:top w:val="single" w:color="000000" w:sz="4" w:space="0"/>
        <w:left w:val="single" w:color="000000" w:sz="4" w:space="0"/>
        <w:bottom w:val="single" w:color="000000" w:sz="6" w:space="0"/>
      </w:pBdr>
    </w:pPr>
    <w:rPr>
      <w:rFonts w:ascii="宋体" w:hAnsi="宋体" w:eastAsia="宋体" w:cs="宋体"/>
      <w:b/>
      <w:bCs/>
      <w:sz w:val="22"/>
      <w:szCs w:val="22"/>
    </w:rPr>
  </w:style>
  <w:style w:type="paragraph" w:styleId="1133" w:customStyle="1">
    <w:name w:val="正文3"/>
    <w:uiPriority w:val="0"/>
    <w:qFormat/>
    <w:pPr>
      <w:jc w:val="both"/>
      <w:spacing w:line="312" w:lineRule="atLeast"/>
      <w:widowControl w:val="off"/>
    </w:pPr>
    <w:rPr>
      <w:rFonts w:hint="default" w:ascii="宋体" w:hAnsi="Calibri" w:eastAsia="宋体" w:cs="Times New Roman"/>
      <w:sz w:val="28"/>
      <w:lang w:val="en-US" w:eastAsia="zh-CN" w:bidi="ar-SA"/>
    </w:rPr>
  </w:style>
  <w:style w:type="paragraph" w:styleId="1134" w:customStyle="1">
    <w:name w:val="xl120"/>
    <w:basedOn w:val="722"/>
    <w:uiPriority w:val="0"/>
    <w:qFormat/>
    <w:pPr>
      <w:jc w:val="center"/>
      <w:spacing w:before="100" w:beforeAutospacing="1" w:after="100" w:afterAutospacing="1"/>
      <w:widowControl/>
      <w:pBdr>
        <w:top w:val="single" w:color="000000" w:sz="4" w:space="0"/>
        <w:bottom w:val="single" w:color="000000" w:sz="6" w:space="0"/>
      </w:pBdr>
    </w:pPr>
    <w:rPr>
      <w:rFonts w:ascii="宋体" w:hAnsi="宋体" w:eastAsia="宋体" w:cs="宋体"/>
      <w:b/>
      <w:bCs/>
      <w:sz w:val="22"/>
      <w:szCs w:val="22"/>
    </w:rPr>
  </w:style>
  <w:style w:type="paragraph" w:styleId="1135" w:customStyle="1">
    <w:name w:val="样式 正文文本缩进 2 + Century Gothic 四号 行距: 多倍行距 1.75 字行"/>
    <w:basedOn w:val="722"/>
    <w:uiPriority w:val="0"/>
    <w:qFormat/>
    <w:pPr>
      <w:ind w:firstLine="207"/>
      <w:spacing w:line="396" w:lineRule="auto"/>
    </w:pPr>
    <w:rPr>
      <w:rFonts w:ascii="Century Gothic" w:hAnsi="Times New Roman" w:eastAsia="宋体" w:cs="宋体"/>
      <w:sz w:val="28"/>
      <w:szCs w:val="20"/>
    </w:rPr>
  </w:style>
  <w:style w:type="paragraph" w:styleId="1136" w:customStyle="1">
    <w:name w:val="xl89"/>
    <w:basedOn w:val="722"/>
    <w:uiPriority w:val="0"/>
    <w:qFormat/>
    <w:pP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4"/>
    </w:rPr>
  </w:style>
  <w:style w:type="paragraph" w:styleId="1137" w:customStyle="1">
    <w:name w:val="并列"/>
    <w:basedOn w:val="722"/>
    <w:uiPriority w:val="0"/>
    <w:qFormat/>
    <w:pPr>
      <w:numPr>
        <w:ilvl w:val="0"/>
        <w:numId w:val="3"/>
      </w:numPr>
      <w:spacing w:line="440" w:lineRule="exact"/>
      <w:outlineLvl w:val="8"/>
    </w:pPr>
    <w:rPr>
      <w:rFonts w:ascii="Times New Roman" w:hAnsi="Times New Roman" w:eastAsia="宋体" w:cs="Times New Roman"/>
      <w:sz w:val="24"/>
    </w:rPr>
  </w:style>
  <w:style w:type="paragraph" w:styleId="1138" w:customStyle="1">
    <w:name w:val="xl35"/>
    <w:basedOn w:val="72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4"/>
    </w:rPr>
  </w:style>
  <w:style w:type="paragraph" w:styleId="1139" w:customStyle="1">
    <w:name w:val="样式 标题 2H2Heading 2 HiddenHeading 2 CCBSheading 22nd levelh...1"/>
    <w:basedOn w:val="913"/>
    <w:uiPriority w:val="0"/>
    <w:qFormat/>
    <w:pPr>
      <w:numPr>
        <w:ilvl w:val="0"/>
        <w:numId w:val="0"/>
      </w:numPr>
      <w:ind w:left="576" w:hanging="576"/>
      <w:jc w:val="both"/>
    </w:pPr>
    <w:rPr>
      <w:rFonts w:ascii="宋体" w:hAnsi="宋体" w:eastAsia="宋体" w:cs="Times New Roman"/>
      <w:b w:val="0"/>
      <w:bCs w:val="0"/>
      <w:sz w:val="28"/>
      <w:szCs w:val="28"/>
    </w:rPr>
  </w:style>
  <w:style w:type="paragraph" w:styleId="1140" w:customStyle="1">
    <w:name w:val="xl209"/>
    <w:basedOn w:val="722"/>
    <w:uiPriority w:val="0"/>
    <w:qFormat/>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hAnsi="宋体" w:eastAsia="微软雅黑" w:cs="宋体"/>
      <w:b/>
      <w:bCs/>
      <w:sz w:val="20"/>
      <w:szCs w:val="20"/>
    </w:rPr>
  </w:style>
  <w:style w:type="paragraph" w:styleId="1141" w:customStyle="1">
    <w:name w:val="wfxRecipient"/>
    <w:basedOn w:val="722"/>
    <w:uiPriority w:val="0"/>
    <w:qFormat/>
    <w:pPr>
      <w:jc w:val="left"/>
      <w:widowControl/>
    </w:pPr>
    <w:rPr>
      <w:rFonts w:ascii="Times New Roman" w:hAnsi="Times New Roman" w:eastAsia="宋体" w:cs="Times New Roman"/>
      <w:sz w:val="20"/>
      <w:szCs w:val="20"/>
      <w:lang w:eastAsia="en-US"/>
    </w:rPr>
  </w:style>
  <w:style w:type="paragraph" w:styleId="1142" w:customStyle="1">
    <w:name w:val="xl109"/>
    <w:basedOn w:val="722"/>
    <w:uiPriority w:val="0"/>
    <w:qFormat/>
    <w:pPr>
      <w:jc w:val="left"/>
      <w:spacing w:before="100" w:beforeAutospacing="1" w:after="100" w:afterAutospacing="1"/>
      <w:widowControl/>
      <w:pBdr>
        <w:bottom w:val="single" w:color="000000" w:sz="4" w:space="0"/>
      </w:pBdr>
    </w:pPr>
    <w:rPr>
      <w:rFonts w:ascii="宋体" w:hAnsi="宋体" w:eastAsia="宋体" w:cs="宋体"/>
      <w:sz w:val="22"/>
      <w:szCs w:val="22"/>
    </w:rPr>
  </w:style>
  <w:style w:type="paragraph" w:styleId="1143" w:customStyle="1">
    <w:name w:val="产品描述"/>
    <w:uiPriority w:val="0"/>
    <w:qFormat/>
    <w:pPr>
      <w:ind w:firstLine="397"/>
      <w:jc w:val="both"/>
      <w:spacing w:line="270" w:lineRule="atLeast"/>
      <w:widowControl w:val="off"/>
    </w:pPr>
    <w:rPr>
      <w:rFonts w:hint="default" w:ascii="宋体" w:hAnsi="Calibri" w:eastAsia="宋体" w:cs="Times New Roman"/>
      <w:sz w:val="18"/>
      <w:szCs w:val="18"/>
      <w:lang w:val="en-US" w:eastAsia="zh-CN" w:bidi="ar-SA"/>
    </w:rPr>
  </w:style>
  <w:style w:type="paragraph" w:styleId="1144" w:customStyle="1">
    <w:name w:val="xl129"/>
    <w:basedOn w:val="722"/>
    <w:uiPriority w:val="0"/>
    <w:qFormat/>
    <w:pPr>
      <w:jc w:val="center"/>
      <w:spacing w:before="100" w:beforeAutospacing="1" w:after="100" w:afterAutospacing="1"/>
      <w:widowControl/>
      <w:pBdr>
        <w:top w:val="single" w:color="000000" w:sz="4" w:space="0"/>
        <w:right w:val="single" w:color="000000" w:sz="4" w:space="0"/>
      </w:pBdr>
    </w:pPr>
    <w:rPr>
      <w:rFonts w:ascii="宋体" w:hAnsi="宋体" w:eastAsia="宋体" w:cs="宋体"/>
      <w:b/>
      <w:bCs/>
      <w:sz w:val="20"/>
      <w:szCs w:val="20"/>
    </w:rPr>
  </w:style>
  <w:style w:type="paragraph" w:styleId="1145" w:customStyle="1">
    <w:name w:val="xl180"/>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146" w:customStyle="1">
    <w:name w:val="xl67"/>
    <w:basedOn w:val="72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47" w:customStyle="1">
    <w:name w:val="附件圈"/>
    <w:basedOn w:val="1148"/>
    <w:uiPriority w:val="0"/>
    <w:qFormat/>
    <w:pPr>
      <w:numPr>
        <w:ilvl w:val="0"/>
        <w:numId w:val="4"/>
      </w:numPr>
      <w:tabs>
        <w:tab w:val="left" w:pos="1080" w:leader="none"/>
      </w:tabs>
    </w:pPr>
    <w:rPr>
      <w:rFonts w:ascii="Times New Roman" w:hAnsi="Times New Roman" w:eastAsia="宋体" w:cs="Times New Roman"/>
    </w:rPr>
  </w:style>
  <w:style w:type="paragraph" w:styleId="1148" w:customStyle="1">
    <w:name w:val="附件(1)"/>
    <w:basedOn w:val="722"/>
    <w:uiPriority w:val="0"/>
    <w:qFormat/>
    <w:pPr>
      <w:ind w:left="432" w:hanging="432"/>
      <w:spacing w:line="360" w:lineRule="auto"/>
      <w:tabs>
        <w:tab w:val="left" w:pos="1080" w:leader="none"/>
      </w:tabs>
    </w:pPr>
    <w:rPr>
      <w:rFonts w:ascii="Times New Roman" w:hAnsi="Times New Roman" w:eastAsia="宋体" w:cs="Times New Roman"/>
      <w:sz w:val="24"/>
    </w:rPr>
  </w:style>
  <w:style w:type="paragraph" w:styleId="1149" w:customStyle="1">
    <w:name w:val="xl32"/>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50" w:customStyle="1">
    <w:name w:val="style41"/>
    <w:basedOn w:val="722"/>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151" w:customStyle="1">
    <w:name w:val="并列样式"/>
    <w:basedOn w:val="722"/>
    <w:next w:val="722"/>
    <w:uiPriority w:val="0"/>
    <w:qFormat/>
    <w:pPr>
      <w:ind w:left="720" w:hanging="720"/>
      <w:spacing w:before="120" w:after="120" w:line="360" w:lineRule="exact"/>
      <w:tabs>
        <w:tab w:val="left" w:pos="720" w:leader="none"/>
        <w:tab w:val="left" w:pos="839" w:leader="none"/>
      </w:tabs>
    </w:pPr>
    <w:rPr>
      <w:rFonts w:ascii="Times New Roman" w:hAnsi="Times New Roman" w:eastAsia="宋体" w:cs="Times New Roman"/>
      <w:sz w:val="24"/>
      <w:szCs w:val="20"/>
    </w:rPr>
  </w:style>
  <w:style w:type="paragraph" w:styleId="1152" w:customStyle="1">
    <w:name w:val="Char3 Char Char Char"/>
    <w:basedOn w:val="722"/>
    <w:uiPriority w:val="0"/>
    <w:qFormat/>
    <w:pPr>
      <w:jc w:val="left"/>
      <w:spacing w:after="160" w:line="240" w:lineRule="exact"/>
      <w:widowControl/>
    </w:pPr>
    <w:rPr>
      <w:rFonts w:ascii="Verdana" w:hAnsi="Verdana" w:eastAsia="宋体" w:cs="Times New Roman"/>
      <w:sz w:val="20"/>
      <w:szCs w:val="20"/>
      <w:lang w:eastAsia="en-US"/>
    </w:rPr>
  </w:style>
  <w:style w:type="paragraph" w:styleId="1153" w:customStyle="1">
    <w:name w:val="表格 居中"/>
    <w:basedOn w:val="722"/>
    <w:uiPriority w:val="0"/>
    <w:qFormat/>
    <w:pPr>
      <w:jc w:val="center"/>
    </w:pPr>
    <w:rPr>
      <w:rFonts w:ascii="Times New Roman" w:hAnsi="Times New Roman" w:eastAsia="宋体" w:cs="Times New Roman"/>
      <w:szCs w:val="20"/>
    </w:rPr>
  </w:style>
  <w:style w:type="paragraph" w:styleId="1154" w:customStyle="1">
    <w:name w:val="Char1"/>
    <w:basedOn w:val="722"/>
    <w:uiPriority w:val="0"/>
    <w:qFormat/>
    <w:pPr>
      <w:ind w:left="431" w:hanging="431"/>
    </w:pPr>
    <w:rPr>
      <w:rFonts w:ascii="Times New Roman" w:hAnsi="Times New Roman" w:eastAsia="宋体" w:cs="Times New Roman"/>
      <w:sz w:val="24"/>
    </w:rPr>
  </w:style>
  <w:style w:type="paragraph" w:styleId="1155" w:customStyle="1">
    <w:name w:val="Char Char2"/>
    <w:basedOn w:val="722"/>
    <w:uiPriority w:val="0"/>
    <w:qFormat/>
    <w:rPr>
      <w:rFonts w:ascii="Times New Roman" w:hAnsi="Times New Roman" w:eastAsia="宋体" w:cs="Times New Roman"/>
      <w:sz w:val="22"/>
    </w:rPr>
  </w:style>
  <w:style w:type="paragraph" w:styleId="1156" w:customStyle="1">
    <w:name w:val="xl108"/>
    <w:basedOn w:val="722"/>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宋体"/>
      <w:sz w:val="22"/>
      <w:szCs w:val="22"/>
    </w:rPr>
  </w:style>
  <w:style w:type="paragraph" w:styleId="1157" w:customStyle="1">
    <w:name w:val="font0"/>
    <w:basedOn w:val="722"/>
    <w:uiPriority w:val="0"/>
    <w:qFormat/>
    <w:pPr>
      <w:jc w:val="left"/>
      <w:spacing w:before="100" w:beforeAutospacing="1" w:after="100" w:afterAutospacing="1"/>
      <w:widowControl/>
    </w:pPr>
    <w:rPr>
      <w:rFonts w:ascii="宋体" w:hAnsi="宋体" w:eastAsia="宋体" w:cs="宋体"/>
      <w:sz w:val="24"/>
    </w:rPr>
  </w:style>
  <w:style w:type="paragraph" w:styleId="1158" w:customStyle="1">
    <w:name w:val="xl104"/>
    <w:basedOn w:val="722"/>
    <w:uiPriority w:val="0"/>
    <w:qFormat/>
    <w:pPr>
      <w:jc w:val="left"/>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eastAsia="宋体" w:cs="宋体"/>
      <w:b/>
      <w:bCs/>
      <w:sz w:val="22"/>
      <w:szCs w:val="22"/>
    </w:rPr>
  </w:style>
  <w:style w:type="paragraph" w:styleId="1159" w:customStyle="1">
    <w:name w:val="xl207"/>
    <w:basedOn w:val="722"/>
    <w:uiPriority w:val="0"/>
    <w:qFormat/>
    <w:pPr>
      <w:jc w:val="left"/>
      <w:spacing w:before="100" w:beforeAutospacing="1" w:after="100" w:afterAutospacing="1"/>
      <w:widowControl/>
      <w:pBdr>
        <w:top w:val="single" w:color="000000" w:sz="4" w:space="0"/>
        <w:bottom w:val="single" w:color="000000" w:sz="4" w:space="0"/>
      </w:pBdr>
    </w:pPr>
    <w:rPr>
      <w:rFonts w:ascii="微软雅黑" w:hAnsi="宋体" w:eastAsia="微软雅黑" w:cs="宋体"/>
      <w:b/>
      <w:bCs/>
      <w:sz w:val="20"/>
      <w:szCs w:val="20"/>
    </w:rPr>
  </w:style>
  <w:style w:type="paragraph" w:styleId="1160" w:customStyle="1">
    <w:name w:val="style2"/>
    <w:basedOn w:val="722"/>
    <w:uiPriority w:val="0"/>
    <w:qFormat/>
    <w:pPr>
      <w:jc w:val="left"/>
      <w:spacing w:before="100" w:beforeAutospacing="1" w:after="100" w:afterAutospacing="1"/>
      <w:widowControl/>
    </w:pPr>
    <w:rPr>
      <w:rFonts w:ascii="宋体" w:hAnsi="宋体" w:eastAsia="宋体" w:cs="宋体"/>
      <w:sz w:val="24"/>
    </w:rPr>
  </w:style>
  <w:style w:type="paragraph" w:styleId="1161" w:customStyle="1">
    <w:name w:val="三级条标题"/>
    <w:basedOn w:val="1162"/>
    <w:next w:val="764"/>
    <w:uiPriority w:val="0"/>
    <w:qFormat/>
    <w:pPr>
      <w:numPr>
        <w:ilvl w:val="4"/>
      </w:numPr>
      <w:outlineLvl w:val="4"/>
    </w:pPr>
    <w:rPr>
      <w:rFonts w:ascii="Times New Roman" w:hAnsi="Times New Roman" w:eastAsia="宋体" w:cs="Times New Roman"/>
    </w:rPr>
  </w:style>
  <w:style w:type="paragraph" w:styleId="1162" w:customStyle="1">
    <w:name w:val="二级条标题"/>
    <w:basedOn w:val="1163"/>
    <w:next w:val="764"/>
    <w:uiPriority w:val="0"/>
    <w:qFormat/>
    <w:pPr>
      <w:numPr>
        <w:ilvl w:val="3"/>
      </w:numPr>
      <w:outlineLvl w:val="3"/>
    </w:pPr>
    <w:rPr>
      <w:rFonts w:ascii="Times New Roman" w:hAnsi="Times New Roman" w:eastAsia="宋体" w:cs="Times New Roman"/>
    </w:rPr>
  </w:style>
  <w:style w:type="paragraph" w:styleId="1163" w:customStyle="1">
    <w:name w:val="一级条标题"/>
    <w:next w:val="764"/>
    <w:uiPriority w:val="0"/>
    <w:qFormat/>
    <w:pPr>
      <w:numPr>
        <w:ilvl w:val="2"/>
        <w:numId w:val="5"/>
      </w:numPr>
      <w:outlineLvl w:val="2"/>
    </w:pPr>
    <w:rPr>
      <w:rFonts w:hint="default" w:ascii="Calibri" w:hAnsi="Calibri" w:eastAsia="黑体" w:cs="Times New Roman"/>
      <w:sz w:val="21"/>
      <w:lang w:val="en-US" w:eastAsia="zh-CN" w:bidi="ar-SA"/>
    </w:rPr>
  </w:style>
  <w:style w:type="paragraph" w:styleId="1164" w:customStyle="1">
    <w:name w:val="纯文本2"/>
    <w:basedOn w:val="722"/>
    <w:uiPriority w:val="0"/>
    <w:qFormat/>
    <w:rPr>
      <w:rFonts w:ascii="宋体" w:hAnsi="Courier New" w:eastAsia="宋体" w:cs="Times New Roman"/>
    </w:rPr>
  </w:style>
  <w:style w:type="paragraph" w:styleId="1165" w:customStyle="1">
    <w:name w:val="Char Char Char Char Char Char Char Char Char Char Char Char Char Char Char Char"/>
    <w:basedOn w:val="722"/>
    <w:uiPriority w:val="0"/>
    <w:qFormat/>
    <w:rPr>
      <w:rFonts w:ascii="Tahoma" w:hAnsi="Tahoma" w:eastAsia="仿宋_GB2312" w:cs="Times New Roman"/>
      <w:color w:val="000000"/>
      <w:sz w:val="24"/>
      <w:szCs w:val="20"/>
    </w:rPr>
  </w:style>
  <w:style w:type="paragraph" w:styleId="1166" w:customStyle="1">
    <w:name w:val="font8"/>
    <w:basedOn w:val="722"/>
    <w:uiPriority w:val="0"/>
    <w:qFormat/>
    <w:pPr>
      <w:jc w:val="left"/>
      <w:spacing w:before="100" w:beforeAutospacing="1" w:after="100" w:afterAutospacing="1"/>
      <w:widowControl/>
    </w:pPr>
    <w:rPr>
      <w:rFonts w:ascii="宋体" w:hAnsi="宋体" w:eastAsia="宋体" w:cs="宋体"/>
      <w:sz w:val="24"/>
    </w:rPr>
  </w:style>
  <w:style w:type="paragraph" w:styleId="1167" w:customStyle="1">
    <w:name w:val="小标题"/>
    <w:basedOn w:val="1092"/>
    <w:next w:val="1092"/>
    <w:uiPriority w:val="0"/>
    <w:qFormat/>
    <w:pPr>
      <w:ind w:firstLine="0"/>
      <w:spacing w:line="360" w:lineRule="auto"/>
    </w:pPr>
    <w:rPr>
      <w:rFonts w:ascii="宋体" w:hAnsi="宋体" w:eastAsia="宋体" w:cs="Times New Roman"/>
      <w:b/>
    </w:rPr>
  </w:style>
  <w:style w:type="paragraph" w:styleId="1168" w:customStyle="1">
    <w:name w:val="Char1 Char Char Char"/>
    <w:basedOn w:val="722"/>
    <w:uiPriority w:val="0"/>
    <w:qFormat/>
    <w:rPr>
      <w:rFonts w:ascii="Tahoma" w:hAnsi="Tahoma" w:eastAsia="宋体" w:cs="Times New Roman"/>
      <w:sz w:val="24"/>
      <w:szCs w:val="20"/>
    </w:rPr>
  </w:style>
  <w:style w:type="paragraph" w:styleId="1169" w:customStyle="1">
    <w:name w:val="Char7"/>
    <w:basedOn w:val="722"/>
    <w:uiPriority w:val="0"/>
    <w:qFormat/>
    <w:pPr>
      <w:jc w:val="left"/>
      <w:spacing w:after="160" w:line="240" w:lineRule="exact"/>
      <w:widowControl/>
    </w:pPr>
    <w:rPr>
      <w:rFonts w:ascii="Verdana" w:hAnsi="Verdana" w:eastAsia="宋体" w:cs="Times New Roman"/>
      <w:szCs w:val="20"/>
      <w:lang w:eastAsia="en-US"/>
    </w:rPr>
  </w:style>
  <w:style w:type="paragraph" w:styleId="1170" w:customStyle="1">
    <w:name w:val="Normal Bullets"/>
    <w:basedOn w:val="722"/>
    <w:uiPriority w:val="0"/>
    <w:qFormat/>
    <w:pPr>
      <w:jc w:val="left"/>
      <w:spacing w:after="120"/>
      <w:widowControl/>
    </w:pPr>
    <w:rPr>
      <w:rFonts w:ascii="Palatino Linotype" w:hAnsi="Palatino Linotype" w:eastAsia="宋体" w:cs="Times New Roman"/>
      <w:sz w:val="20"/>
      <w:lang w:eastAsia="en-US"/>
    </w:rPr>
  </w:style>
  <w:style w:type="paragraph" w:styleId="1171" w:customStyle="1">
    <w:name w:val="Char Char Char Char"/>
    <w:basedOn w:val="722"/>
    <w:uiPriority w:val="0"/>
    <w:qFormat/>
    <w:pPr>
      <w:jc w:val="left"/>
      <w:spacing w:after="160" w:line="240" w:lineRule="exact"/>
      <w:widowControl/>
    </w:pPr>
    <w:rPr>
      <w:rFonts w:ascii="Verdana" w:hAnsi="Verdana" w:eastAsia="仿宋_GB2312" w:cs="Times New Roman"/>
      <w:sz w:val="24"/>
      <w:szCs w:val="20"/>
      <w:lang w:eastAsia="en-US"/>
    </w:rPr>
  </w:style>
  <w:style w:type="paragraph" w:styleId="1172" w:customStyle="1">
    <w:name w:val="xl174"/>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173" w:customStyle="1">
    <w:name w:val="xl58"/>
    <w:basedOn w:val="72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74" w:customStyle="1">
    <w:name w:val="8"/>
    <w:uiPriority w:val="0"/>
    <w:qFormat/>
    <w:pPr>
      <w:jc w:val="right"/>
      <w:spacing w:line="240" w:lineRule="atLeast"/>
      <w:widowControl w:val="off"/>
    </w:pPr>
    <w:rPr>
      <w:rFonts w:hint="default" w:ascii="宋体" w:hAnsi="Calibri" w:eastAsia="宋体" w:cs="Times New Roman"/>
      <w:sz w:val="18"/>
      <w:szCs w:val="18"/>
      <w:lang w:val="en-US" w:eastAsia="zh-CN" w:bidi="ar-SA"/>
    </w:rPr>
  </w:style>
  <w:style w:type="paragraph" w:styleId="1175" w:customStyle="1">
    <w:name w:val="xl164"/>
    <w:basedOn w:val="722"/>
    <w:uiPriority w:val="0"/>
    <w:qFormat/>
    <w:pPr>
      <w:jc w:val="left"/>
      <w:spacing w:before="100" w:beforeAutospacing="1" w:after="100" w:afterAutospacing="1"/>
      <w:widowControl/>
    </w:pPr>
    <w:rPr>
      <w:rFonts w:ascii="Courier New" w:hAnsi="Courier New" w:eastAsia="宋体" w:cs="Courier New"/>
      <w:sz w:val="24"/>
    </w:rPr>
  </w:style>
  <w:style w:type="paragraph" w:styleId="1176" w:customStyle="1">
    <w:name w:val="Table Text"/>
    <w:basedOn w:val="722"/>
    <w:uiPriority w:val="0"/>
    <w:semiHidden/>
    <w:qFormat/>
    <w:rPr>
      <w:rFonts w:ascii="宋体" w:hAnsi="宋体" w:eastAsia="宋体" w:cs="宋体"/>
      <w:sz w:val="18"/>
      <w:szCs w:val="18"/>
      <w:lang w:val="en-US" w:eastAsia="en-US" w:bidi="ar-SA"/>
    </w:rPr>
  </w:style>
  <w:style w:type="paragraph" w:styleId="1177" w:customStyle="1">
    <w:name w:val="xl72"/>
    <w:basedOn w:val="72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Times New Roman" w:hAnsi="Times New Roman" w:eastAsia="宋体" w:cs="Times New Roman"/>
      <w:sz w:val="24"/>
    </w:rPr>
  </w:style>
  <w:style w:type="paragraph" w:styleId="1178" w:customStyle="1">
    <w:name w:val="默认段落字体 Para Char Char Char Char Char Char Char Char Char1 Char Char Char Char"/>
    <w:basedOn w:val="722"/>
    <w:uiPriority w:val="0"/>
    <w:qFormat/>
    <w:rPr>
      <w:rFonts w:ascii="Tahoma" w:hAnsi="Tahoma" w:eastAsia="宋体" w:cs="Times New Roman"/>
      <w:sz w:val="24"/>
      <w:szCs w:val="20"/>
    </w:rPr>
  </w:style>
  <w:style w:type="paragraph" w:styleId="1179" w:customStyle="1">
    <w:name w:val="xl179"/>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180" w:customStyle="1">
    <w:name w:val="font10"/>
    <w:basedOn w:val="722"/>
    <w:uiPriority w:val="0"/>
    <w:qFormat/>
    <w:pPr>
      <w:jc w:val="left"/>
      <w:spacing w:before="100" w:beforeAutospacing="1" w:after="100" w:afterAutospacing="1"/>
      <w:widowControl/>
    </w:pPr>
    <w:rPr>
      <w:rFonts w:ascii="宋体" w:hAnsi="宋体" w:eastAsia="宋体" w:cs="宋体"/>
      <w:sz w:val="24"/>
    </w:rPr>
  </w:style>
  <w:style w:type="paragraph" w:styleId="1181" w:customStyle="1">
    <w:name w:val="xl97"/>
    <w:basedOn w:val="72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4"/>
    </w:rPr>
  </w:style>
  <w:style w:type="paragraph" w:styleId="1182" w:customStyle="1">
    <w:name w:val="样式 样式 正文文本缩进 + 仿宋_GB2312 小四 首行缩进:  0 厘米 行距: 1.5 倍行距 + (中文) 仿宋_GB... Char Char"/>
    <w:basedOn w:val="722"/>
    <w:uiPriority w:val="0"/>
    <w:qFormat/>
    <w:pPr>
      <w:ind w:firstLine="480"/>
      <w:spacing w:line="360" w:lineRule="auto"/>
    </w:pPr>
    <w:rPr>
      <w:rFonts w:ascii="仿宋_GB2312" w:hAnsi="Times New Roman" w:eastAsia="新宋体" w:cs="Times New Roman"/>
      <w:sz w:val="24"/>
      <w:szCs w:val="20"/>
    </w:rPr>
  </w:style>
  <w:style w:type="paragraph" w:styleId="1183" w:customStyle="1">
    <w:name w:val="缺省文本"/>
    <w:basedOn w:val="722"/>
    <w:uiPriority w:val="0"/>
    <w:qFormat/>
    <w:pPr>
      <w:jc w:val="left"/>
      <w:spacing w:line="360" w:lineRule="auto"/>
    </w:pPr>
    <w:rPr>
      <w:rFonts w:ascii="Times New Roman" w:hAnsi="Times New Roman" w:eastAsia="宋体" w:cs="Times New Roman"/>
      <w:szCs w:val="20"/>
    </w:rPr>
  </w:style>
  <w:style w:type="paragraph" w:styleId="1184" w:customStyle="1">
    <w:name w:val="xl78"/>
    <w:basedOn w:val="72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85" w:customStyle="1">
    <w:name w:val="xl131"/>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szCs w:val="22"/>
    </w:rPr>
  </w:style>
  <w:style w:type="paragraph" w:styleId="1186" w:customStyle="1">
    <w:name w:val="正文 A"/>
    <w:uiPriority w:val="0"/>
    <w:qFormat/>
    <w:pPr>
      <w:jc w:val="both"/>
      <w:widowControl w:val="off"/>
    </w:pPr>
    <w:rPr>
      <w:rFonts w:hint="default" w:ascii="Calibri" w:hAnsi="Calibri" w:eastAsia="Arial Unicode MS" w:cs="Arial Unicode MS"/>
      <w:color w:val="000000"/>
      <w:sz w:val="21"/>
      <w:szCs w:val="21"/>
      <w:lang w:val="en-US" w:eastAsia="zh-CN" w:bidi="ar-SA"/>
    </w:rPr>
  </w:style>
  <w:style w:type="paragraph" w:styleId="1187" w:customStyle="1">
    <w:name w:val="表格题注"/>
    <w:next w:val="722"/>
    <w:uiPriority w:val="0"/>
    <w:qFormat/>
    <w:pPr>
      <w:ind w:left="1089" w:hanging="369"/>
      <w:jc w:val="center"/>
      <w:keepLines/>
    </w:pPr>
    <w:rPr>
      <w:rFonts w:hint="default" w:ascii="Arial" w:hAnsi="Arial" w:eastAsia="宋体" w:cs="Times New Roman"/>
      <w:sz w:val="18"/>
      <w:szCs w:val="18"/>
      <w:lang w:val="en-US" w:eastAsia="zh-CN" w:bidi="ar-SA"/>
    </w:rPr>
  </w:style>
  <w:style w:type="paragraph" w:styleId="1188" w:customStyle="1">
    <w:name w:val="xl197"/>
    <w:basedOn w:val="722"/>
    <w:uiPriority w:val="0"/>
    <w:qFormat/>
    <w:pPr>
      <w:jc w:val="left"/>
      <w:spacing w:before="100" w:beforeAutospacing="1" w:after="100" w:afterAutospacing="1"/>
      <w:widowControl/>
    </w:pPr>
    <w:rPr>
      <w:rFonts w:ascii="Courier New" w:hAnsi="Courier New" w:eastAsia="宋体" w:cs="Courier New"/>
      <w:sz w:val="20"/>
      <w:szCs w:val="20"/>
    </w:rPr>
  </w:style>
  <w:style w:type="paragraph" w:styleId="1189" w:customStyle="1">
    <w:name w:val="xl167"/>
    <w:basedOn w:val="72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宋体" w:eastAsia="微软雅黑" w:cs="宋体"/>
      <w:sz w:val="18"/>
      <w:szCs w:val="18"/>
    </w:rPr>
  </w:style>
  <w:style w:type="paragraph" w:styleId="1190" w:customStyle="1">
    <w:name w:val="xl124"/>
    <w:basedOn w:val="72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2"/>
      <w:szCs w:val="22"/>
    </w:rPr>
  </w:style>
  <w:style w:type="paragraph" w:styleId="1191" w:customStyle="1">
    <w:name w:val="规范正文"/>
    <w:basedOn w:val="722"/>
    <w:uiPriority w:val="0"/>
    <w:qFormat/>
    <w:pPr>
      <w:ind w:left="480"/>
      <w:spacing w:line="360" w:lineRule="auto"/>
    </w:pPr>
    <w:rPr>
      <w:rFonts w:ascii="Times New Roman" w:hAnsi="Times New Roman" w:eastAsia="宋体" w:cs="Times New Roman"/>
      <w:sz w:val="24"/>
      <w:szCs w:val="20"/>
    </w:rPr>
  </w:style>
  <w:style w:type="paragraph" w:styleId="1192" w:customStyle="1">
    <w:name w:val="xl205"/>
    <w:basedOn w:val="722"/>
    <w:uiPriority w:val="0"/>
    <w:qFormat/>
    <w:pPr>
      <w:jc w:val="center"/>
      <w:spacing w:before="100" w:beforeAutospacing="1" w:after="100" w:afterAutospacing="1"/>
      <w:widowControl/>
      <w:pBdr>
        <w:bottom w:val="single" w:color="000000" w:sz="8" w:space="0"/>
      </w:pBdr>
    </w:pPr>
    <w:rPr>
      <w:rFonts w:ascii="黑体" w:hAnsi="宋体" w:eastAsia="黑体" w:cs="宋体"/>
      <w:b/>
      <w:bCs/>
      <w:sz w:val="32"/>
      <w:szCs w:val="32"/>
    </w:rPr>
  </w:style>
  <w:style w:type="paragraph" w:styleId="1193" w:customStyle="1">
    <w:name w:val="正文四号"/>
    <w:basedOn w:val="722"/>
    <w:uiPriority w:val="0"/>
    <w:qFormat/>
    <w:pPr>
      <w:ind w:firstLine="200"/>
      <w:spacing w:line="360" w:lineRule="auto"/>
    </w:pPr>
    <w:rPr>
      <w:rFonts w:ascii="Times New Roman" w:hAnsi="Times New Roman" w:eastAsia="仿宋_GB2312" w:cs="宋体"/>
      <w:sz w:val="28"/>
      <w:szCs w:val="20"/>
    </w:rPr>
  </w:style>
  <w:style w:type="paragraph" w:styleId="1194" w:customStyle="1">
    <w:name w:val="5"/>
    <w:basedOn w:val="722"/>
    <w:uiPriority w:val="0"/>
    <w:qFormat/>
    <w:pPr>
      <w:spacing w:line="360" w:lineRule="auto"/>
    </w:pPr>
    <w:rPr>
      <w:rFonts w:ascii="Times New Roman" w:hAnsi="Times New Roman" w:eastAsia="宋体" w:cs="Times New Roman"/>
      <w:sz w:val="24"/>
    </w:rPr>
  </w:style>
  <w:style w:type="paragraph" w:styleId="1195" w:customStyle="1">
    <w:name w:val="表格文字"/>
    <w:basedOn w:val="722"/>
    <w:uiPriority w:val="0"/>
    <w:qFormat/>
    <w:pPr>
      <w:jc w:val="left"/>
    </w:pPr>
    <w:rPr>
      <w:rFonts w:ascii="Times New Roman" w:hAnsi="Times New Roman" w:eastAsia="宋体" w:cs="Times New Roman"/>
      <w:szCs w:val="21"/>
    </w:rPr>
  </w:style>
  <w:style w:type="paragraph" w:styleId="1196" w:customStyle="1">
    <w:name w:val="xl182"/>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197" w:customStyle="1">
    <w:name w:val="xl40"/>
    <w:basedOn w:val="722"/>
    <w:uiPriority w:val="0"/>
    <w:qFormat/>
    <w:pPr>
      <w:jc w:val="left"/>
      <w:spacing w:before="100" w:beforeAutospacing="1" w:after="100" w:afterAutospacing="1"/>
      <w:widowControl/>
    </w:pPr>
    <w:rPr>
      <w:rFonts w:ascii="宋体" w:hAnsi="宋体" w:eastAsia="宋体" w:cs="宋体"/>
      <w:b/>
      <w:bCs/>
      <w:sz w:val="28"/>
      <w:szCs w:val="28"/>
    </w:rPr>
  </w:style>
  <w:style w:type="paragraph" w:styleId="1198" w:customStyle="1">
    <w:name w:val="xl52"/>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199" w:customStyle="1">
    <w:name w:val="五级条标题"/>
    <w:basedOn w:val="1200"/>
    <w:next w:val="764"/>
    <w:uiPriority w:val="0"/>
    <w:qFormat/>
    <w:pPr>
      <w:numPr>
        <w:ilvl w:val="6"/>
      </w:numPr>
      <w:outlineLvl w:val="6"/>
    </w:pPr>
    <w:rPr>
      <w:rFonts w:ascii="Times New Roman" w:hAnsi="Times New Roman" w:eastAsia="宋体" w:cs="Times New Roman"/>
    </w:rPr>
  </w:style>
  <w:style w:type="paragraph" w:styleId="1200" w:customStyle="1">
    <w:name w:val="四级条标题"/>
    <w:basedOn w:val="1161"/>
    <w:next w:val="764"/>
    <w:uiPriority w:val="0"/>
    <w:qFormat/>
    <w:pPr>
      <w:numPr>
        <w:ilvl w:val="5"/>
      </w:numPr>
      <w:outlineLvl w:val="5"/>
    </w:pPr>
    <w:rPr>
      <w:rFonts w:ascii="Times New Roman" w:hAnsi="Times New Roman" w:eastAsia="宋体" w:cs="Times New Roman"/>
    </w:rPr>
  </w:style>
  <w:style w:type="paragraph" w:styleId="1201" w:customStyle="1">
    <w:name w:val="xl191"/>
    <w:basedOn w:val="722"/>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hAnsi="宋体" w:eastAsia="微软雅黑" w:cs="宋体"/>
      <w:b/>
      <w:bCs/>
      <w:sz w:val="22"/>
      <w:szCs w:val="22"/>
    </w:rPr>
  </w:style>
  <w:style w:type="paragraph" w:styleId="1202" w:customStyle="1">
    <w:name w:val="默认段落字体 Para Char Char Char Char Char Char Char"/>
    <w:basedOn w:val="722"/>
    <w:uiPriority w:val="0"/>
    <w:qFormat/>
    <w:rPr>
      <w:rFonts w:ascii="Tahoma" w:hAnsi="Tahoma" w:eastAsia="宋体" w:cs="Times New Roman"/>
      <w:sz w:val="24"/>
      <w:szCs w:val="20"/>
    </w:rPr>
  </w:style>
  <w:style w:type="paragraph" w:styleId="1203" w:customStyle="1">
    <w:name w:val="Char Char Char Char1 Char Char Char"/>
    <w:basedOn w:val="1018"/>
    <w:uiPriority w:val="0"/>
    <w:qFormat/>
    <w:pPr>
      <w:ind w:firstLine="454"/>
      <w:jc w:val="left"/>
      <w:widowControl/>
    </w:pPr>
    <w:rPr>
      <w:rFonts w:ascii="Tahoma" w:hAnsi="Tahoma" w:eastAsia="宋体" w:cs="宋体"/>
      <w:szCs w:val="20"/>
    </w:rPr>
  </w:style>
  <w:style w:type="paragraph" w:styleId="1204" w:customStyle="1">
    <w:name w:val="条例"/>
    <w:basedOn w:val="722"/>
    <w:uiPriority w:val="0"/>
    <w:qFormat/>
    <w:pPr>
      <w:ind w:left="2" w:right="210" w:firstLine="2"/>
      <w:keepLines/>
      <w:spacing w:line="320" w:lineRule="exact"/>
      <w:widowControl/>
    </w:pPr>
    <w:rPr>
      <w:rFonts w:ascii="宋体" w:hAnsi="宋体" w:eastAsia="宋体" w:cs="Times New Roman"/>
      <w:sz w:val="24"/>
      <w:szCs w:val="20"/>
    </w:rPr>
  </w:style>
  <w:style w:type="paragraph" w:styleId="1205" w:customStyle="1">
    <w:name w:val="xl195"/>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206" w:customStyle="1">
    <w:name w:val="表"/>
    <w:basedOn w:val="722"/>
    <w:uiPriority w:val="0"/>
    <w:qFormat/>
    <w:pPr>
      <w:ind w:left="-57" w:right="-57"/>
      <w:jc w:val="center"/>
      <w:spacing w:before="60" w:after="60"/>
    </w:pPr>
    <w:rPr>
      <w:rFonts w:ascii="Times New Roman" w:hAnsi="Times New Roman" w:eastAsia="宋体" w:cs="Times New Roman"/>
      <w:color w:val="000000"/>
      <w:szCs w:val="20"/>
    </w:rPr>
  </w:style>
  <w:style w:type="paragraph" w:styleId="1207" w:customStyle="1">
    <w:name w:val="xl82"/>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208" w:customStyle="1">
    <w:name w:val="body_text"/>
    <w:basedOn w:val="722"/>
    <w:uiPriority w:val="0"/>
    <w:qFormat/>
    <w:pPr>
      <w:spacing w:before="100" w:beforeAutospacing="1" w:after="100" w:afterAutospacing="1" w:line="320" w:lineRule="atLeast"/>
      <w:widowControl/>
    </w:pPr>
    <w:rPr>
      <w:rFonts w:ascii="ˎ̥" w:hAnsi="ˎ̥" w:eastAsia="宋体" w:cs="宋体"/>
      <w:sz w:val="20"/>
      <w:szCs w:val="20"/>
    </w:rPr>
  </w:style>
  <w:style w:type="paragraph" w:styleId="1209" w:customStyle="1">
    <w:name w:val="HR-18"/>
    <w:basedOn w:val="722"/>
    <w:next w:val="722"/>
    <w:uiPriority w:val="0"/>
    <w:qFormat/>
    <w:pPr>
      <w:jc w:val="left"/>
      <w:widowControl/>
    </w:pPr>
    <w:rPr>
      <w:rFonts w:ascii="Arial" w:hAnsi="Arial" w:eastAsia="宋体" w:cs="Times New Roman"/>
      <w:sz w:val="36"/>
      <w:szCs w:val="20"/>
      <w:lang w:val="en-AU" w:eastAsia="en-US"/>
    </w:rPr>
  </w:style>
  <w:style w:type="paragraph" w:styleId="1210" w:customStyle="1">
    <w:name w:val="word"/>
    <w:basedOn w:val="722"/>
    <w:uiPriority w:val="0"/>
    <w:qFormat/>
    <w:pPr>
      <w:jc w:val="left"/>
      <w:spacing w:before="100" w:beforeAutospacing="1" w:after="100" w:afterAutospacing="1" w:line="270" w:lineRule="atLeast"/>
      <w:widowControl/>
    </w:pPr>
    <w:rPr>
      <w:rFonts w:ascii="ˎ̥" w:hAnsi="ˎ̥" w:eastAsia="宋体" w:cs="宋体"/>
      <w:color w:val="000000"/>
      <w:sz w:val="18"/>
      <w:szCs w:val="18"/>
    </w:rPr>
  </w:style>
  <w:style w:type="paragraph" w:styleId="1211" w:customStyle="1">
    <w:name w:val="xl102"/>
    <w:basedOn w:val="722"/>
    <w:uiPriority w:val="0"/>
    <w:qFormat/>
    <w:pPr>
      <w:jc w:val="left"/>
      <w:spacing w:before="100" w:beforeAutospacing="1" w:after="100" w:afterAutospacing="1"/>
      <w:widowControl/>
      <w:pBdr>
        <w:top w:val="single" w:color="000000" w:sz="4" w:space="0"/>
        <w:left w:val="single" w:color="000000" w:sz="4" w:space="0"/>
        <w:right w:val="single" w:color="000000" w:sz="6" w:space="0"/>
      </w:pBdr>
    </w:pPr>
    <w:rPr>
      <w:rFonts w:ascii="宋体" w:hAnsi="宋体" w:eastAsia="宋体" w:cs="宋体"/>
      <w:sz w:val="22"/>
      <w:szCs w:val="22"/>
    </w:rPr>
  </w:style>
  <w:style w:type="paragraph" w:styleId="1212" w:customStyle="1">
    <w:name w:val="xl125"/>
    <w:basedOn w:val="722"/>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2"/>
      <w:szCs w:val="22"/>
    </w:rPr>
  </w:style>
  <w:style w:type="paragraph" w:styleId="1213" w:customStyle="1">
    <w:name w:val="Char Char Char1 Char Char Char"/>
    <w:basedOn w:val="722"/>
    <w:uiPriority w:val="0"/>
    <w:qFormat/>
    <w:pPr>
      <w:ind w:firstLine="200"/>
    </w:pPr>
    <w:rPr>
      <w:rFonts w:ascii="Tahoma" w:hAnsi="Tahoma" w:eastAsia="宋体" w:cs="Times New Roman"/>
      <w:sz w:val="24"/>
      <w:szCs w:val="20"/>
    </w:rPr>
  </w:style>
  <w:style w:type="paragraph" w:styleId="1214" w:customStyle="1">
    <w:name w:val="xl81"/>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215" w:customStyle="1">
    <w:name w:val="xl28"/>
    <w:basedOn w:val="722"/>
    <w:uiPriority w:val="0"/>
    <w:qFormat/>
    <w:pPr>
      <w:jc w:val="left"/>
      <w:spacing w:before="100" w:beforeAutospacing="1" w:after="100" w:afterAutospacing="1"/>
      <w:widowControl/>
    </w:pPr>
    <w:rPr>
      <w:rFonts w:ascii="宋体" w:hAnsi="宋体" w:eastAsia="宋体" w:cs="宋体"/>
      <w:b/>
      <w:bCs/>
      <w:sz w:val="28"/>
      <w:szCs w:val="28"/>
    </w:rPr>
  </w:style>
  <w:style w:type="paragraph" w:styleId="1216" w:customStyle="1">
    <w:name w:val="5B"/>
    <w:uiPriority w:val="0"/>
    <w:qFormat/>
    <w:pPr>
      <w:jc w:val="both"/>
      <w:widowControl w:val="off"/>
    </w:pPr>
    <w:rPr>
      <w:rFonts w:hint="default" w:ascii="宋体" w:hAnsi="Calibri" w:eastAsia="宋体" w:cs="Times New Roman"/>
      <w:color w:val="000000"/>
      <w:sz w:val="18"/>
      <w:szCs w:val="18"/>
      <w:lang w:val="en-US" w:eastAsia="zh-CN" w:bidi="ar-SA"/>
    </w:rPr>
  </w:style>
  <w:style w:type="paragraph" w:styleId="1217" w:customStyle="1">
    <w:name w:val="标准正文中缩进"/>
    <w:basedOn w:val="722"/>
    <w:uiPriority w:val="0"/>
    <w:qFormat/>
    <w:pPr>
      <w:ind w:firstLine="200"/>
      <w:jc w:val="left"/>
      <w:spacing w:line="420" w:lineRule="exact"/>
    </w:pPr>
    <w:rPr>
      <w:rFonts w:ascii="Times New Roman" w:hAnsi="Times New Roman" w:eastAsia="宋体" w:cs="Times New Roman"/>
      <w:sz w:val="24"/>
    </w:rPr>
  </w:style>
  <w:style w:type="paragraph" w:styleId="1218" w:customStyle="1">
    <w:name w:val="xl51"/>
    <w:basedOn w:val="72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219" w:customStyle="1">
    <w:name w:val="xl30"/>
    <w:basedOn w:val="722"/>
    <w:uiPriority w:val="0"/>
    <w:qFormat/>
    <w:pPr>
      <w:jc w:val="center"/>
      <w:spacing w:before="100" w:beforeAutospacing="1" w:after="100" w:afterAutospacing="1"/>
      <w:shd w:val="clear" w:color="auto" w:fill="ffff00"/>
      <w:widowControl/>
      <w:pBdr>
        <w:top w:val="single" w:color="000000" w:sz="8" w:space="0"/>
        <w:left w:val="single" w:color="000000" w:sz="4" w:space="0"/>
        <w:bottom w:val="single" w:color="000000" w:sz="4" w:space="0"/>
        <w:right w:val="single" w:color="000000" w:sz="4" w:space="0"/>
      </w:pBdr>
    </w:pPr>
    <w:rPr>
      <w:rFonts w:ascii="宋体" w:hAnsi="宋体" w:eastAsia="宋体" w:cs="宋体"/>
      <w:b/>
      <w:bCs/>
      <w:sz w:val="24"/>
    </w:rPr>
  </w:style>
  <w:style w:type="paragraph" w:styleId="1220" w:customStyle="1">
    <w:name w:val="正文文本缩进 31"/>
    <w:basedOn w:val="722"/>
    <w:uiPriority w:val="0"/>
    <w:qFormat/>
    <w:pPr>
      <w:ind w:right="-348" w:firstLine="480"/>
      <w:spacing w:after="120" w:line="360" w:lineRule="auto"/>
    </w:pPr>
    <w:rPr>
      <w:rFonts w:ascii="Times New Roman" w:hAnsi="Times New Roman" w:eastAsia="楷体_GB2312" w:cs="Times New Roman"/>
      <w:sz w:val="24"/>
      <w:szCs w:val="20"/>
    </w:rPr>
  </w:style>
  <w:style w:type="paragraph" w:styleId="1221" w:customStyle="1">
    <w:name w:val="xl114"/>
    <w:basedOn w:val="72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222" w:customStyle="1">
    <w:name w:val="纯文本111"/>
    <w:basedOn w:val="722"/>
    <w:uiPriority w:val="0"/>
    <w:qFormat/>
    <w:rPr>
      <w:rFonts w:ascii="宋体" w:hAnsi="Courier New" w:eastAsia="楷体_GB2312" w:cs="Times New Roman"/>
      <w:sz w:val="28"/>
      <w:szCs w:val="20"/>
    </w:rPr>
  </w:style>
  <w:style w:type="paragraph" w:styleId="1223" w:customStyle="1">
    <w:name w:val="xl57"/>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224" w:customStyle="1">
    <w:name w:val="xl68"/>
    <w:basedOn w:val="72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sz w:val="24"/>
    </w:rPr>
  </w:style>
  <w:style w:type="paragraph" w:styleId="1225" w:customStyle="1">
    <w:name w:val="xl107"/>
    <w:basedOn w:val="72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0"/>
      <w:szCs w:val="20"/>
    </w:rPr>
  </w:style>
  <w:style w:type="paragraph" w:styleId="1226" w:customStyle="1">
    <w:name w:val="xl122"/>
    <w:basedOn w:val="722"/>
    <w:uiPriority w:val="0"/>
    <w:qFormat/>
    <w:pPr>
      <w:jc w:val="center"/>
      <w:spacing w:before="100" w:beforeAutospacing="1" w:after="100" w:afterAutospacing="1"/>
      <w:widowControl/>
      <w:pBdr>
        <w:top w:val="single" w:color="000000" w:sz="4" w:space="0"/>
        <w:bottom w:val="single" w:color="000000" w:sz="6" w:space="0"/>
        <w:right w:val="single" w:color="000000" w:sz="4" w:space="0"/>
      </w:pBdr>
    </w:pPr>
    <w:rPr>
      <w:rFonts w:ascii="宋体" w:hAnsi="宋体" w:eastAsia="宋体" w:cs="宋体"/>
      <w:b/>
      <w:bCs/>
      <w:sz w:val="22"/>
      <w:szCs w:val="22"/>
    </w:rPr>
  </w:style>
  <w:style w:type="paragraph" w:styleId="1227" w:customStyle="1">
    <w:name w:val="Char11"/>
    <w:basedOn w:val="722"/>
    <w:uiPriority w:val="0"/>
    <w:qFormat/>
    <w:pPr>
      <w:jc w:val="left"/>
      <w:spacing w:after="160" w:line="240" w:lineRule="exact"/>
      <w:widowControl/>
    </w:pPr>
    <w:rPr>
      <w:rFonts w:ascii="Times New Roman" w:hAnsi="Times New Roman" w:eastAsia="宋体" w:cs="Times New Roman"/>
    </w:rPr>
  </w:style>
  <w:style w:type="paragraph" w:styleId="1228" w:customStyle="1">
    <w:name w:val="插图题注"/>
    <w:next w:val="722"/>
    <w:uiPriority w:val="0"/>
    <w:qFormat/>
    <w:pPr>
      <w:ind w:left="1089" w:hanging="369"/>
      <w:jc w:val="center"/>
    </w:pPr>
    <w:rPr>
      <w:rFonts w:hint="default" w:ascii="Arial" w:hAnsi="Arial" w:eastAsia="宋体" w:cs="Times New Roman"/>
      <w:sz w:val="18"/>
      <w:szCs w:val="18"/>
      <w:lang w:val="en-US" w:eastAsia="zh-CN" w:bidi="ar-SA"/>
    </w:rPr>
  </w:style>
  <w:style w:type="paragraph" w:styleId="1229" w:customStyle="1">
    <w:name w:val="CM51"/>
    <w:basedOn w:val="1058"/>
    <w:next w:val="1058"/>
    <w:uiPriority w:val="0"/>
    <w:qFormat/>
    <w:pPr>
      <w:spacing w:after="103"/>
    </w:pPr>
    <w:rPr>
      <w:rFonts w:ascii="黑体" w:hAnsi="Calibri" w:eastAsia="黑体" w:cs="Times New Roman"/>
      <w:color w:val="000000"/>
    </w:rPr>
  </w:style>
  <w:style w:type="paragraph" w:styleId="1230" w:customStyle="1">
    <w:name w:val="xl127"/>
    <w:basedOn w:val="722"/>
    <w:uiPriority w:val="0"/>
    <w:qFormat/>
    <w:pPr>
      <w:numPr>
        <w:ilvl w:val="8"/>
        <w:numId w:val="6"/>
      </w:num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231" w:customStyle="1">
    <w:name w:val="xl184"/>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232" w:customStyle="1">
    <w:name w:val="正文文本2"/>
    <w:basedOn w:val="722"/>
    <w:uiPriority w:val="0"/>
    <w:qFormat/>
    <w:pPr>
      <w:spacing w:line="360" w:lineRule="auto"/>
    </w:pPr>
    <w:rPr>
      <w:rFonts w:ascii="宋体" w:hAnsi="Times New Roman" w:eastAsia="宋体" w:cs="Times New Roman"/>
      <w:sz w:val="24"/>
    </w:rPr>
  </w:style>
  <w:style w:type="paragraph" w:styleId="1233" w:customStyle="1">
    <w:name w:val="2-2"/>
    <w:basedOn w:val="722"/>
    <w:uiPriority w:val="0"/>
    <w:qFormat/>
    <w:pPr>
      <w:ind w:firstLine="422"/>
      <w:tabs>
        <w:tab w:val="left" w:pos="8820" w:leader="middleDot"/>
      </w:tabs>
    </w:pPr>
    <w:rPr>
      <w:rFonts w:ascii="Times New Roman" w:hAnsi="Times New Roman" w:eastAsia="宋体" w:cs="Times New Roman"/>
      <w:b/>
    </w:rPr>
  </w:style>
  <w:style w:type="paragraph" w:styleId="1234" w:customStyle="1">
    <w:name w:val="Para"/>
    <w:basedOn w:val="722"/>
    <w:uiPriority w:val="0"/>
    <w:qFormat/>
    <w:pPr>
      <w:ind w:firstLine="446"/>
      <w:spacing w:before="120" w:after="120" w:line="288" w:lineRule="auto"/>
      <w:widowControl/>
    </w:pPr>
    <w:rPr>
      <w:rFonts w:ascii="Arial" w:hAnsi="Arial" w:eastAsia="宋体" w:cs="Times New Roman"/>
      <w:sz w:val="20"/>
      <w:szCs w:val="20"/>
      <w:lang w:val="en-GB"/>
    </w:rPr>
  </w:style>
  <w:style w:type="paragraph" w:styleId="1235" w:customStyle="1">
    <w:name w:val="xl190"/>
    <w:basedOn w:val="722"/>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hAnsi="宋体" w:eastAsia="微软雅黑" w:cs="宋体"/>
      <w:b/>
      <w:bCs/>
      <w:sz w:val="22"/>
      <w:szCs w:val="22"/>
    </w:rPr>
  </w:style>
  <w:style w:type="paragraph" w:styleId="1236" w:customStyle="1">
    <w:name w:val="xl92"/>
    <w:basedOn w:val="72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237" w:customStyle="1">
    <w:name w:val="11"/>
    <w:uiPriority w:val="0"/>
    <w:qFormat/>
    <w:pPr>
      <w:ind w:firstLine="369"/>
      <w:jc w:val="both"/>
      <w:widowControl w:val="off"/>
    </w:pPr>
    <w:rPr>
      <w:rFonts w:hint="default" w:ascii="宋体" w:hAnsi="Calibri" w:eastAsia="宋体" w:cs="Times New Roman"/>
      <w:color w:val="000000"/>
      <w:sz w:val="18"/>
      <w:szCs w:val="18"/>
      <w:lang w:val="en-US" w:eastAsia="zh-CN" w:bidi="ar-SA"/>
    </w:rPr>
  </w:style>
  <w:style w:type="paragraph" w:styleId="1238" w:customStyle="1">
    <w:name w:val="xl123"/>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2"/>
      <w:szCs w:val="22"/>
    </w:rPr>
  </w:style>
  <w:style w:type="paragraph" w:styleId="1239" w:customStyle="1">
    <w:name w:val="xl37"/>
    <w:basedOn w:val="72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4"/>
    </w:rPr>
  </w:style>
  <w:style w:type="paragraph" w:styleId="1240" w:customStyle="1">
    <w:name w:val="xl54"/>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241" w:customStyle="1">
    <w:name w:val="Plain Text2"/>
    <w:basedOn w:val="722"/>
    <w:uiPriority w:val="0"/>
    <w:qFormat/>
    <w:rPr>
      <w:rFonts w:ascii="宋体" w:hAnsi="宋体" w:eastAsia="楷体_GB2312" w:cs="Courier New"/>
      <w:color w:val="000000"/>
      <w:sz w:val="28"/>
      <w:szCs w:val="20"/>
    </w:rPr>
  </w:style>
  <w:style w:type="paragraph" w:styleId="1242" w:customStyle="1">
    <w:name w:val="xl111"/>
    <w:basedOn w:val="722"/>
    <w:uiPriority w:val="0"/>
    <w:qFormat/>
    <w:pPr>
      <w:jc w:val="left"/>
      <w:spacing w:before="100" w:beforeAutospacing="1" w:after="100" w:afterAutospacing="1"/>
      <w:widowControl/>
      <w:pBdr>
        <w:top w:val="single" w:color="000000" w:sz="4" w:space="0"/>
        <w:left w:val="single" w:color="000000" w:sz="4" w:space="0"/>
        <w:bottom w:val="single" w:color="000000" w:sz="6" w:space="0"/>
      </w:pBdr>
    </w:pPr>
    <w:rPr>
      <w:rFonts w:ascii="宋体" w:hAnsi="宋体" w:eastAsia="宋体" w:cs="宋体"/>
      <w:b/>
      <w:bCs/>
      <w:sz w:val="22"/>
      <w:szCs w:val="22"/>
    </w:rPr>
  </w:style>
  <w:style w:type="paragraph" w:styleId="1243" w:customStyle="1">
    <w:name w:val="xl178"/>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244" w:customStyle="1">
    <w:name w:val="纯文本11"/>
    <w:basedOn w:val="722"/>
    <w:uiPriority w:val="0"/>
    <w:qFormat/>
    <w:pPr>
      <w:jc w:val="left"/>
      <w:widowControl/>
    </w:pPr>
    <w:rPr>
      <w:rFonts w:ascii="宋体" w:hAnsi="Courier New" w:eastAsia="楷体_GB2312" w:cs="Times New Roman"/>
      <w:sz w:val="26"/>
      <w:szCs w:val="20"/>
    </w:rPr>
  </w:style>
  <w:style w:type="paragraph" w:styleId="1245" w:customStyle="1">
    <w:name w:val="xl194"/>
    <w:basedOn w:val="722"/>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hAnsi="宋体" w:eastAsia="微软雅黑" w:cs="宋体"/>
      <w:b/>
      <w:bCs/>
      <w:sz w:val="22"/>
      <w:szCs w:val="22"/>
    </w:rPr>
  </w:style>
  <w:style w:type="paragraph" w:styleId="1246" w:customStyle="1">
    <w:name w:val="编号1"/>
    <w:basedOn w:val="722"/>
    <w:uiPriority w:val="0"/>
    <w:qFormat/>
    <w:pPr>
      <w:numPr>
        <w:ilvl w:val="0"/>
        <w:numId w:val="2"/>
      </w:numPr>
      <w:ind w:right="210"/>
    </w:pPr>
    <w:rPr>
      <w:rFonts w:ascii="宋体" w:hAnsi="宋体" w:eastAsia="宋体" w:cs="Times New Roman"/>
      <w:spacing w:val="10"/>
    </w:rPr>
  </w:style>
  <w:style w:type="paragraph" w:styleId="1247" w:customStyle="1">
    <w:name w:val="Char1 Char Char Char1"/>
    <w:basedOn w:val="722"/>
    <w:uiPriority w:val="0"/>
    <w:qFormat/>
    <w:rPr>
      <w:rFonts w:ascii="Tahoma" w:hAnsi="Tahoma" w:eastAsia="宋体" w:cs="Times New Roman"/>
      <w:sz w:val="24"/>
      <w:szCs w:val="20"/>
    </w:rPr>
  </w:style>
  <w:style w:type="paragraph" w:styleId="1248" w:customStyle="1">
    <w:name w:val="xl166"/>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eastAsia="宋体" w:cs="Courier New"/>
      <w:sz w:val="24"/>
    </w:rPr>
  </w:style>
  <w:style w:type="paragraph" w:styleId="1249" w:customStyle="1">
    <w:name w:val="xl172"/>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250" w:customStyle="1">
    <w:name w:val="样式1"/>
    <w:basedOn w:val="722"/>
    <w:uiPriority w:val="0"/>
    <w:qFormat/>
    <w:pPr>
      <w:ind w:left="340" w:firstLine="454"/>
      <w:jc w:val="left"/>
      <w:spacing w:line="300" w:lineRule="auto"/>
      <w:widowControl/>
      <w:tabs>
        <w:tab w:val="left" w:pos="567" w:leader="none"/>
      </w:tabs>
    </w:pPr>
    <w:rPr>
      <w:rFonts w:ascii="Times New Roman" w:hAnsi="Times New Roman" w:eastAsia="宋体" w:cs="Times New Roman"/>
      <w:sz w:val="24"/>
      <w:szCs w:val="20"/>
      <w:u w:val="single"/>
    </w:rPr>
  </w:style>
  <w:style w:type="paragraph" w:styleId="1251" w:customStyle="1">
    <w:name w:val="Item Step in Table"/>
    <w:uiPriority w:val="0"/>
    <w:qFormat/>
    <w:pPr>
      <w:numPr>
        <w:ilvl w:val="0"/>
        <w:numId w:val="7"/>
      </w:numPr>
      <w:jc w:val="both"/>
      <w:spacing w:before="40" w:after="40"/>
    </w:pPr>
    <w:rPr>
      <w:rFonts w:hint="default" w:ascii="Arial" w:hAnsi="Arial" w:eastAsia="宋体" w:cs="Arial"/>
      <w:sz w:val="18"/>
      <w:szCs w:val="18"/>
      <w:lang w:val="en-US" w:eastAsia="zh-CN" w:bidi="ar-SA"/>
    </w:rPr>
  </w:style>
  <w:style w:type="paragraph" w:styleId="1252" w:customStyle="1">
    <w:name w:val="xl208"/>
    <w:basedOn w:val="722"/>
    <w:uiPriority w:val="0"/>
    <w:qFormat/>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hAnsi="宋体" w:eastAsia="微软雅黑" w:cs="宋体"/>
      <w:b/>
      <w:bCs/>
      <w:sz w:val="20"/>
      <w:szCs w:val="20"/>
    </w:rPr>
  </w:style>
  <w:style w:type="paragraph" w:styleId="1253" w:customStyle="1">
    <w:name w:val="样式 (中文) 黑体 二号 居中"/>
    <w:basedOn w:val="722"/>
    <w:uiPriority w:val="0"/>
    <w:qFormat/>
    <w:pPr>
      <w:jc w:val="center"/>
      <w:widowControl/>
    </w:pPr>
    <w:rPr>
      <w:rFonts w:ascii="Times New Roman" w:hAnsi="Times New Roman" w:eastAsia="黑体" w:cs="Times New Roman"/>
      <w:sz w:val="44"/>
      <w:szCs w:val="20"/>
    </w:rPr>
  </w:style>
  <w:style w:type="paragraph" w:styleId="1254" w:customStyle="1">
    <w:name w:val="正文 New New New New New New New New New New New New New New New New New New New New New New New New New New New New"/>
    <w:uiPriority w:val="0"/>
    <w:qFormat/>
    <w:pPr>
      <w:jc w:val="both"/>
      <w:widowControl w:val="off"/>
    </w:pPr>
    <w:rPr>
      <w:rFonts w:hint="default" w:ascii="Calibri" w:hAnsi="Calibri" w:eastAsia="宋体" w:cs="Times New Roman"/>
      <w:sz w:val="21"/>
      <w:lang w:val="en-US" w:eastAsia="zh-CN" w:bidi="ar-SA"/>
    </w:rPr>
  </w:style>
  <w:style w:type="paragraph" w:styleId="1255" w:customStyle="1">
    <w:name w:val="已访问的超链接11"/>
    <w:uiPriority w:val="0"/>
    <w:qFormat/>
    <w:pPr>
      <w:jc w:val="both"/>
      <w:widowControl w:val="off"/>
    </w:pPr>
    <w:rPr>
      <w:rFonts w:hint="default" w:ascii="Calibri" w:hAnsi="Calibri" w:eastAsia="宋体" w:cs="Times New Roman"/>
      <w:sz w:val="21"/>
      <w:szCs w:val="24"/>
      <w:lang w:val="en-US" w:eastAsia="zh-CN" w:bidi="ar-SA"/>
    </w:rPr>
  </w:style>
  <w:style w:type="paragraph" w:styleId="1256" w:customStyle="1">
    <w:name w:val="Default Paragraph Font Para Char"/>
    <w:basedOn w:val="722"/>
    <w:uiPriority w:val="0"/>
    <w:qFormat/>
    <w:pPr>
      <w:jc w:val="left"/>
      <w:spacing w:after="160" w:line="240" w:lineRule="exact"/>
      <w:widowControl/>
    </w:pPr>
    <w:rPr>
      <w:rFonts w:ascii="Verdana" w:hAnsi="Verdana" w:eastAsia="宋体" w:cs="Times New Roman"/>
      <w:sz w:val="20"/>
      <w:szCs w:val="20"/>
      <w:lang w:eastAsia="en-US"/>
    </w:rPr>
  </w:style>
  <w:style w:type="paragraph" w:styleId="1257" w:customStyle="1">
    <w:name w:val="xl118"/>
    <w:basedOn w:val="722"/>
    <w:uiPriority w:val="0"/>
    <w:qFormat/>
    <w:pPr>
      <w:jc w:val="center"/>
      <w:spacing w:before="100" w:beforeAutospacing="1" w:after="100" w:afterAutospacing="1"/>
      <w:widowControl/>
      <w:pBdr>
        <w:top w:val="single" w:color="000000" w:sz="6" w:space="0"/>
        <w:bottom w:val="single" w:color="000000" w:sz="4" w:space="0"/>
      </w:pBdr>
    </w:pPr>
    <w:rPr>
      <w:rFonts w:ascii="宋体" w:hAnsi="宋体" w:eastAsia="宋体" w:cs="宋体"/>
      <w:b/>
      <w:bCs/>
      <w:sz w:val="22"/>
      <w:szCs w:val="22"/>
    </w:rPr>
  </w:style>
  <w:style w:type="paragraph" w:styleId="1258" w:customStyle="1">
    <w:name w:val="xl26"/>
    <w:basedOn w:val="722"/>
    <w:uiPriority w:val="0"/>
    <w:qFormat/>
    <w:pPr>
      <w:jc w:val="left"/>
      <w:spacing w:before="100" w:beforeAutospacing="1" w:after="100" w:afterAutospacing="1"/>
      <w:widowControl/>
    </w:pPr>
    <w:rPr>
      <w:rFonts w:ascii="宋体" w:hAnsi="宋体" w:eastAsia="宋体" w:cs="宋体"/>
      <w:sz w:val="24"/>
    </w:rPr>
  </w:style>
  <w:style w:type="paragraph" w:styleId="1259" w:customStyle="1">
    <w:name w:val="font5"/>
    <w:basedOn w:val="722"/>
    <w:uiPriority w:val="0"/>
    <w:qFormat/>
    <w:pPr>
      <w:jc w:val="left"/>
      <w:spacing w:before="100" w:beforeAutospacing="1" w:after="100" w:afterAutospacing="1"/>
      <w:widowControl/>
    </w:pPr>
    <w:rPr>
      <w:rFonts w:ascii="宋体" w:hAnsi="宋体" w:eastAsia="宋体" w:cs="宋体"/>
      <w:sz w:val="18"/>
      <w:szCs w:val="18"/>
    </w:rPr>
  </w:style>
  <w:style w:type="paragraph" w:styleId="1260" w:customStyle="1">
    <w:name w:val="xl192"/>
    <w:basedOn w:val="722"/>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hAnsi="宋体" w:eastAsia="微软雅黑" w:cs="宋体"/>
      <w:b/>
      <w:bCs/>
      <w:sz w:val="22"/>
      <w:szCs w:val="22"/>
    </w:rPr>
  </w:style>
  <w:style w:type="paragraph" w:styleId="1261" w:customStyle="1">
    <w:name w:val="xl63"/>
    <w:basedOn w:val="72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262" w:customStyle="1">
    <w:name w:val="xl27"/>
    <w:basedOn w:val="722"/>
    <w:uiPriority w:val="0"/>
    <w:qFormat/>
    <w:pPr>
      <w:jc w:val="center"/>
      <w:spacing w:before="100" w:beforeAutospacing="1" w:after="100" w:afterAutospacing="1"/>
      <w:widowControl/>
    </w:pPr>
    <w:rPr>
      <w:rFonts w:ascii="宋体" w:hAnsi="宋体" w:eastAsia="宋体" w:cs="宋体"/>
      <w:sz w:val="24"/>
    </w:rPr>
  </w:style>
  <w:style w:type="paragraph" w:styleId="1263" w:customStyle="1">
    <w:name w:val="afont"/>
    <w:basedOn w:val="722"/>
    <w:uiPriority w:val="0"/>
    <w:qFormat/>
    <w:pPr>
      <w:jc w:val="left"/>
      <w:spacing w:before="100" w:after="100" w:line="285" w:lineRule="atLeast"/>
      <w:widowControl/>
    </w:pPr>
    <w:rPr>
      <w:rFonts w:ascii="宋体" w:hAnsi="宋体" w:eastAsia="宋体" w:cs="Times New Roman"/>
      <w:sz w:val="18"/>
      <w:szCs w:val="20"/>
    </w:rPr>
  </w:style>
  <w:style w:type="paragraph" w:styleId="1264" w:customStyle="1">
    <w:name w:val="xl196"/>
    <w:basedOn w:val="72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eastAsia="宋体" w:cs="Courier New"/>
      <w:sz w:val="24"/>
    </w:rPr>
  </w:style>
  <w:style w:type="paragraph" w:styleId="1265" w:customStyle="1">
    <w:name w:val="xl38"/>
    <w:basedOn w:val="722"/>
    <w:uiPriority w:val="0"/>
    <w:qFormat/>
    <w:pPr>
      <w:jc w:val="left"/>
      <w:spacing w:before="100" w:beforeAutospacing="1" w:after="100" w:afterAutospacing="1"/>
      <w:widowControl/>
    </w:pPr>
    <w:rPr>
      <w:rFonts w:ascii="宋体" w:hAnsi="宋体" w:eastAsia="宋体" w:cs="宋体"/>
      <w:b/>
      <w:bCs/>
      <w:sz w:val="28"/>
      <w:szCs w:val="28"/>
    </w:rPr>
  </w:style>
  <w:style w:type="paragraph" w:styleId="1266" w:customStyle="1">
    <w:name w:val="xl55"/>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267" w:customStyle="1">
    <w:name w:val="xl31"/>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268" w:customStyle="1">
    <w:name w:val="xl84"/>
    <w:basedOn w:val="72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4"/>
    </w:rPr>
  </w:style>
  <w:style w:type="paragraph" w:styleId="1269" w:customStyle="1">
    <w:name w:val="font6"/>
    <w:basedOn w:val="722"/>
    <w:uiPriority w:val="0"/>
    <w:qFormat/>
    <w:pPr>
      <w:jc w:val="left"/>
      <w:spacing w:before="100" w:beforeAutospacing="1" w:after="100" w:afterAutospacing="1"/>
      <w:widowControl/>
    </w:pPr>
    <w:rPr>
      <w:rFonts w:ascii="宋体" w:hAnsi="宋体" w:eastAsia="宋体" w:cs="宋体"/>
      <w:b/>
      <w:bCs/>
      <w:sz w:val="28"/>
      <w:szCs w:val="28"/>
    </w:rPr>
  </w:style>
  <w:style w:type="paragraph" w:styleId="1270" w:customStyle="1">
    <w:name w:val="xl204"/>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271" w:customStyle="1">
    <w:name w:val="样式 列表项目符号 + 段前: 0.5 行 段后: 0.25 行 + 段前: 0.25 行 段后: 0.25 行"/>
    <w:basedOn w:val="722"/>
    <w:uiPriority w:val="0"/>
    <w:qFormat/>
    <w:pPr>
      <w:ind w:left="-25" w:right="238" w:firstLine="658"/>
      <w:jc w:val="left"/>
      <w:spacing w:before="60" w:after="60" w:line="360" w:lineRule="auto"/>
      <w:widowControl/>
      <w:tabs>
        <w:tab w:val="left" w:pos="567" w:leader="none"/>
      </w:tabs>
    </w:pPr>
    <w:rPr>
      <w:rFonts w:ascii="仿宋_GB2312" w:hAnsi="Times New Roman" w:eastAsia="仿宋_GB2312" w:cs="宋体"/>
      <w:sz w:val="28"/>
      <w:szCs w:val="28"/>
      <w:lang w:val="en-AU"/>
    </w:rPr>
  </w:style>
  <w:style w:type="paragraph" w:styleId="1272" w:customStyle="1">
    <w:name w:val="xl193"/>
    <w:basedOn w:val="722"/>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hAnsi="宋体" w:eastAsia="微软雅黑" w:cs="宋体"/>
      <w:b/>
      <w:bCs/>
      <w:sz w:val="22"/>
      <w:szCs w:val="22"/>
    </w:rPr>
  </w:style>
  <w:style w:type="paragraph" w:styleId="1273" w:customStyle="1">
    <w:name w:val="附件1."/>
    <w:basedOn w:val="911"/>
    <w:uiPriority w:val="0"/>
    <w:qFormat/>
    <w:pPr>
      <w:numPr>
        <w:ilvl w:val="0"/>
        <w:numId w:val="0"/>
      </w:numPr>
      <w:ind w:left="567" w:hanging="567"/>
      <w:jc w:val="both"/>
      <w:keepLines w:val="0"/>
      <w:keepNext w:val="0"/>
      <w:spacing w:line="360" w:lineRule="auto"/>
      <w:tabs>
        <w:tab w:val="left" w:pos="360" w:leader="none"/>
        <w:tab w:val="left" w:pos="420" w:leader="none"/>
      </w:tabs>
    </w:pPr>
    <w:rPr>
      <w:rFonts w:ascii="Times New Roman" w:hAnsi="Times New Roman" w:eastAsia="宋体" w:cs="Times New Roman"/>
      <w:sz w:val="24"/>
      <w:szCs w:val="44"/>
    </w:rPr>
  </w:style>
  <w:style w:type="paragraph" w:styleId="1274" w:customStyle="1">
    <w:name w:val="目录"/>
    <w:basedOn w:val="722"/>
    <w:uiPriority w:val="0"/>
    <w:qFormat/>
    <w:rPr>
      <w:rFonts w:ascii="Times New Roman" w:hAnsi="Times New Roman" w:eastAsia="楷体_GB2312" w:cs="Times New Roman"/>
      <w:b/>
      <w:color w:val="ff00ff"/>
      <w:sz w:val="48"/>
    </w:rPr>
  </w:style>
  <w:style w:type="paragraph" w:styleId="1275" w:customStyle="1">
    <w:name w:val="xl46"/>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8"/>
      <w:szCs w:val="28"/>
    </w:rPr>
  </w:style>
  <w:style w:type="paragraph" w:styleId="1276" w:customStyle="1">
    <w:name w:val="附件标题"/>
    <w:basedOn w:val="722"/>
    <w:uiPriority w:val="0"/>
    <w:qFormat/>
    <w:pPr>
      <w:jc w:val="center"/>
      <w:spacing w:line="360" w:lineRule="auto"/>
    </w:pPr>
    <w:rPr>
      <w:rFonts w:ascii="Arial" w:hAnsi="Arial" w:eastAsia="黑体" w:cs="Times New Roman"/>
      <w:sz w:val="24"/>
    </w:rPr>
  </w:style>
  <w:style w:type="paragraph" w:styleId="1277" w:customStyle="1">
    <w:name w:val="xl181"/>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278" w:customStyle="1">
    <w:name w:val="Char4"/>
    <w:basedOn w:val="722"/>
    <w:uiPriority w:val="0"/>
    <w:qFormat/>
    <w:pPr>
      <w:jc w:val="left"/>
      <w:spacing w:after="160" w:line="240" w:lineRule="exact"/>
      <w:widowControl/>
    </w:pPr>
    <w:rPr>
      <w:rFonts w:ascii="Verdana" w:hAnsi="Verdana" w:eastAsia="宋体" w:cs="Times New Roman"/>
      <w:szCs w:val="20"/>
      <w:lang w:eastAsia="en-US"/>
    </w:rPr>
  </w:style>
  <w:style w:type="paragraph" w:styleId="1279" w:customStyle="1">
    <w:name w:val="杨昂超式样黑体主"/>
    <w:basedOn w:val="722"/>
    <w:uiPriority w:val="0"/>
    <w:qFormat/>
    <w:rPr>
      <w:rFonts w:ascii="方正黑体简体" w:hAnsi="Times New Roman" w:eastAsia="方正黑体简体" w:cs="Times New Roman"/>
      <w:sz w:val="24"/>
    </w:rPr>
  </w:style>
  <w:style w:type="paragraph" w:styleId="1280" w:customStyle="1">
    <w:name w:val="xl119"/>
    <w:basedOn w:val="722"/>
    <w:uiPriority w:val="0"/>
    <w:qFormat/>
    <w:pPr>
      <w:jc w:val="center"/>
      <w:spacing w:before="100" w:beforeAutospacing="1" w:after="100" w:afterAutospacing="1"/>
      <w:widowControl/>
      <w:pBdr>
        <w:top w:val="single" w:color="000000" w:sz="6" w:space="0"/>
        <w:bottom w:val="single" w:color="000000" w:sz="4" w:space="0"/>
        <w:right w:val="single" w:color="000000" w:sz="4" w:space="0"/>
      </w:pBdr>
    </w:pPr>
    <w:rPr>
      <w:rFonts w:ascii="宋体" w:hAnsi="宋体" w:eastAsia="宋体" w:cs="宋体"/>
      <w:b/>
      <w:bCs/>
      <w:sz w:val="22"/>
      <w:szCs w:val="22"/>
    </w:rPr>
  </w:style>
  <w:style w:type="paragraph" w:styleId="1281" w:customStyle="1">
    <w:name w:val="xl200"/>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282" w:customStyle="1">
    <w:name w:val="gray"/>
    <w:basedOn w:val="722"/>
    <w:uiPriority w:val="0"/>
    <w:qFormat/>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283" w:customStyle="1">
    <w:name w:val="xl36"/>
    <w:basedOn w:val="722"/>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4"/>
    </w:rPr>
  </w:style>
  <w:style w:type="paragraph" w:styleId="1284" w:customStyle="1">
    <w:name w:val="PlainText1"/>
    <w:basedOn w:val="722"/>
    <w:uiPriority w:val="0"/>
    <w:qFormat/>
    <w:rPr>
      <w:rFonts w:ascii="宋体" w:hAnsi="Courier New" w:eastAsia="楷体_GB2312"/>
      <w:sz w:val="28"/>
    </w:rPr>
  </w:style>
  <w:style w:type="paragraph" w:styleId="1285" w:customStyle="1">
    <w:name w:val="xl93"/>
    <w:basedOn w:val="722"/>
    <w:uiPriority w:val="0"/>
    <w:qFormat/>
    <w:pPr>
      <w:jc w:val="center"/>
      <w:spacing w:before="100" w:beforeAutospacing="1" w:after="100" w:afterAutospacing="1"/>
      <w:shd w:val="clear" w:color="auto" w:fill="ffffff"/>
      <w:widowControl/>
      <w:pBdr>
        <w:top w:val="single" w:color="000000" w:sz="4" w:space="0"/>
        <w:left w:val="single" w:color="000000" w:sz="8" w:space="0"/>
        <w:bottom w:val="single" w:color="000000" w:sz="8" w:space="0"/>
        <w:right w:val="single" w:color="000000" w:sz="4" w:space="0"/>
      </w:pBdr>
    </w:pPr>
    <w:rPr>
      <w:rFonts w:ascii="宋体" w:hAnsi="宋体" w:eastAsia="宋体" w:cs="宋体"/>
      <w:sz w:val="24"/>
    </w:rPr>
  </w:style>
  <w:style w:type="paragraph" w:styleId="1286" w:customStyle="1">
    <w:name w:val="xl53"/>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287" w:customStyle="1">
    <w:name w:val="NormalIndent1"/>
    <w:basedOn w:val="722"/>
    <w:uiPriority w:val="0"/>
    <w:qFormat/>
    <w:pPr>
      <w:ind w:firstLine="420"/>
      <w:jc w:val="left"/>
    </w:pPr>
    <w:rPr>
      <w:rFonts w:eastAsia="楷体_GB2312"/>
      <w:sz w:val="24"/>
    </w:rPr>
  </w:style>
  <w:style w:type="paragraph" w:styleId="1288" w:customStyle="1">
    <w:name w:val="xl186"/>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289" w:customStyle="1">
    <w:name w:val="xl130"/>
    <w:basedOn w:val="722"/>
    <w:uiPriority w:val="0"/>
    <w:qFormat/>
    <w:pPr>
      <w:jc w:val="left"/>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eastAsia="宋体" w:cs="宋体"/>
      <w:b/>
      <w:bCs/>
      <w:sz w:val="22"/>
      <w:szCs w:val="22"/>
    </w:rPr>
  </w:style>
  <w:style w:type="paragraph" w:styleId="1290" w:customStyle="1">
    <w:name w:val="xl60"/>
    <w:basedOn w:val="722"/>
    <w:uiPriority w:val="0"/>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宋体" w:hAnsi="宋体" w:eastAsia="宋体" w:cs="宋体"/>
      <w:sz w:val="24"/>
    </w:rPr>
  </w:style>
  <w:style w:type="paragraph" w:styleId="1291" w:customStyle="1">
    <w:name w:val="xl98"/>
    <w:basedOn w:val="72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eastAsia="宋体" w:cs="宋体"/>
      <w:b/>
      <w:bCs/>
      <w:sz w:val="24"/>
    </w:rPr>
  </w:style>
  <w:style w:type="paragraph" w:styleId="1292" w:customStyle="1">
    <w:name w:val="1.1d"/>
    <w:basedOn w:val="722"/>
    <w:uiPriority w:val="0"/>
    <w:qFormat/>
    <w:pPr>
      <w:ind w:left="840" w:firstLine="420"/>
    </w:pPr>
    <w:rPr>
      <w:rFonts w:ascii="Times New Roman" w:hAnsi="Times New Roman" w:eastAsia="宋体" w:cs="Times New Roman"/>
      <w:sz w:val="24"/>
    </w:rPr>
  </w:style>
  <w:style w:type="paragraph" w:styleId="1293" w:customStyle="1">
    <w:name w:val="普通正文"/>
    <w:basedOn w:val="722"/>
    <w:uiPriority w:val="0"/>
    <w:qFormat/>
    <w:pPr>
      <w:ind w:firstLine="480"/>
      <w:jc w:val="left"/>
      <w:spacing w:before="120" w:after="120" w:line="360" w:lineRule="auto"/>
    </w:pPr>
    <w:rPr>
      <w:rFonts w:ascii="Arial" w:hAnsi="Arial" w:eastAsia="宋体" w:cs="Times New Roman"/>
      <w:sz w:val="24"/>
    </w:rPr>
  </w:style>
  <w:style w:type="paragraph" w:styleId="1294" w:customStyle="1">
    <w:name w:val="xl116"/>
    <w:basedOn w:val="722"/>
    <w:uiPriority w:val="0"/>
    <w:qFormat/>
    <w:pPr>
      <w:jc w:val="center"/>
      <w:spacing w:before="100" w:beforeAutospacing="1" w:after="100" w:afterAutospacing="1"/>
      <w:widowControl/>
      <w:pBdr>
        <w:top w:val="single" w:color="000000" w:sz="4" w:space="0"/>
        <w:bottom w:val="single" w:color="000000" w:sz="6" w:space="0"/>
      </w:pBdr>
    </w:pPr>
    <w:rPr>
      <w:rFonts w:ascii="宋体" w:hAnsi="宋体" w:eastAsia="宋体" w:cs="宋体"/>
      <w:b/>
      <w:bCs/>
      <w:sz w:val="22"/>
      <w:szCs w:val="22"/>
    </w:rPr>
  </w:style>
  <w:style w:type="paragraph" w:styleId="1295" w:customStyle="1">
    <w:name w:val="Char3"/>
    <w:basedOn w:val="722"/>
    <w:uiPriority w:val="0"/>
    <w:qFormat/>
    <w:pPr>
      <w:jc w:val="left"/>
      <w:spacing w:after="160" w:line="240" w:lineRule="exact"/>
      <w:widowControl/>
    </w:pPr>
    <w:rPr>
      <w:rFonts w:ascii="Verdana" w:hAnsi="Verdana" w:eastAsia="宋体" w:cs="Times New Roman"/>
      <w:szCs w:val="20"/>
      <w:lang w:eastAsia="en-US"/>
    </w:rPr>
  </w:style>
  <w:style w:type="paragraph" w:styleId="1296" w:customStyle="1">
    <w:name w:val="列表内容"/>
    <w:basedOn w:val="722"/>
    <w:next w:val="722"/>
    <w:uiPriority w:val="0"/>
    <w:qFormat/>
    <w:pPr>
      <w:numPr>
        <w:ilvl w:val="0"/>
        <w:numId w:val="8"/>
      </w:numPr>
      <w:ind w:left="0" w:firstLine="200"/>
      <w:jc w:val="left"/>
      <w:widowControl/>
      <w:tabs>
        <w:tab w:val="clear" w:pos="840" w:leader="none"/>
      </w:tabs>
    </w:pPr>
    <w:rPr>
      <w:rFonts w:ascii="Times New Roman" w:hAnsi="Times New Roman" w:eastAsia="宋体" w:cs="Times New Roman"/>
      <w:sz w:val="18"/>
    </w:rPr>
  </w:style>
  <w:style w:type="paragraph" w:styleId="1297" w:customStyle="1">
    <w:name w:val="Char Char Char Char Char Char Char"/>
    <w:basedOn w:val="722"/>
    <w:uiPriority w:val="0"/>
    <w:qFormat/>
    <w:pPr>
      <w:jc w:val="left"/>
      <w:spacing w:after="160" w:line="240" w:lineRule="exact"/>
      <w:widowControl/>
    </w:pPr>
    <w:rPr>
      <w:rFonts w:ascii="Arial" w:hAnsi="Arial" w:eastAsia="Times New Roman" w:cs="Verdana"/>
      <w:b/>
      <w:sz w:val="24"/>
      <w:lang w:eastAsia="en-US"/>
    </w:rPr>
  </w:style>
  <w:style w:type="paragraph" w:styleId="1298" w:customStyle="1">
    <w:name w:val="汉议细等线简8"/>
    <w:uiPriority w:val="0"/>
    <w:qFormat/>
    <w:pPr>
      <w:jc w:val="both"/>
      <w:spacing w:line="260" w:lineRule="atLeast"/>
      <w:widowControl w:val="off"/>
    </w:pPr>
    <w:rPr>
      <w:rFonts w:hint="default" w:ascii="汉仪细等线简" w:hAnsi="Calibri" w:eastAsia="汉仪细等线简" w:cs="Times New Roman"/>
      <w:color w:val="000000"/>
      <w:sz w:val="16"/>
      <w:szCs w:val="16"/>
      <w:lang w:val="en-US" w:eastAsia="zh-CN" w:bidi="ar-SA"/>
    </w:rPr>
  </w:style>
  <w:style w:type="paragraph" w:styleId="1299" w:customStyle="1">
    <w:name w:val="章标题"/>
    <w:next w:val="764"/>
    <w:uiPriority w:val="0"/>
    <w:qFormat/>
    <w:pPr>
      <w:numPr>
        <w:ilvl w:val="1"/>
        <w:numId w:val="5"/>
      </w:numPr>
      <w:jc w:val="both"/>
      <w:outlineLvl w:val="1"/>
    </w:pPr>
    <w:rPr>
      <w:rFonts w:hint="default" w:ascii="黑体" w:hAnsi="Calibri" w:eastAsia="黑体" w:cs="Times New Roman"/>
      <w:sz w:val="21"/>
      <w:lang w:val="en-US" w:eastAsia="zh-CN" w:bidi="ar-SA"/>
    </w:rPr>
  </w:style>
  <w:style w:type="paragraph" w:styleId="1300" w:customStyle="1">
    <w:name w:val="xl100"/>
    <w:basedOn w:val="72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cs="宋体"/>
      <w:b/>
      <w:bCs/>
      <w:sz w:val="24"/>
    </w:rPr>
  </w:style>
  <w:style w:type="paragraph" w:styleId="1301" w:customStyle="1">
    <w:name w:val="表格1"/>
    <w:basedOn w:val="722"/>
    <w:uiPriority w:val="0"/>
    <w:qFormat/>
    <w:pPr>
      <w:jc w:val="left"/>
      <w:spacing w:line="440" w:lineRule="exact"/>
    </w:pPr>
    <w:rPr>
      <w:rFonts w:ascii="宋体" w:hAnsi="宋体" w:eastAsia="宋体" w:cs="Times New Roman"/>
      <w:szCs w:val="20"/>
    </w:rPr>
  </w:style>
  <w:style w:type="paragraph" w:styleId="1302" w:customStyle="1">
    <w:name w:val="xl50"/>
    <w:basedOn w:val="722"/>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4"/>
    </w:rPr>
  </w:style>
  <w:style w:type="paragraph" w:styleId="1303" w:customStyle="1">
    <w:name w:val="xl83"/>
    <w:basedOn w:val="72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4"/>
    </w:rPr>
  </w:style>
  <w:style w:type="paragraph" w:styleId="1304" w:customStyle="1">
    <w:name w:val="xl56"/>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305" w:customStyle="1">
    <w:name w:val="xl169"/>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306" w:customStyle="1">
    <w:name w:val="xl70"/>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07" w:customStyle="1">
    <w:name w:val="xl163"/>
    <w:basedOn w:val="722"/>
    <w:uiPriority w:val="0"/>
    <w:qFormat/>
    <w:pPr>
      <w:jc w:val="left"/>
      <w:spacing w:before="100" w:beforeAutospacing="1" w:after="100" w:afterAutospacing="1"/>
      <w:widowControl/>
    </w:pPr>
    <w:rPr>
      <w:rFonts w:ascii="Courier New" w:hAnsi="Courier New" w:eastAsia="宋体" w:cs="Courier New"/>
      <w:sz w:val="24"/>
    </w:rPr>
  </w:style>
  <w:style w:type="paragraph" w:styleId="1308" w:customStyle="1">
    <w:name w:val="style79"/>
    <w:basedOn w:val="722"/>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309" w:customStyle="1">
    <w:name w:val="xl214"/>
    <w:basedOn w:val="722"/>
    <w:uiPriority w:val="0"/>
    <w:qFormat/>
    <w:pPr>
      <w:jc w:val="left"/>
      <w:spacing w:before="100" w:beforeAutospacing="1" w:after="100" w:afterAutospacing="1"/>
      <w:widowControl/>
    </w:pPr>
    <w:rPr>
      <w:rFonts w:ascii="Courier New" w:hAnsi="Courier New" w:eastAsia="宋体" w:cs="Courier New"/>
      <w:sz w:val="24"/>
    </w:rPr>
  </w:style>
  <w:style w:type="paragraph" w:styleId="1310" w:customStyle="1">
    <w:name w:val="xl66"/>
    <w:basedOn w:val="72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4"/>
    </w:rPr>
  </w:style>
  <w:style w:type="paragraph" w:styleId="1311" w:customStyle="1">
    <w:name w:val="xl103"/>
    <w:basedOn w:val="722"/>
    <w:uiPriority w:val="0"/>
    <w:qFormat/>
    <w:pPr>
      <w:jc w:val="center"/>
      <w:spacing w:before="100" w:beforeAutospacing="1" w:after="100" w:afterAutospacing="1"/>
      <w:widowControl/>
      <w:pBdr>
        <w:top w:val="single" w:color="000000" w:sz="6" w:space="0"/>
        <w:left w:val="single" w:color="000000" w:sz="6" w:space="0"/>
        <w:bottom w:val="single" w:color="000000" w:sz="4" w:space="0"/>
        <w:right w:val="single" w:color="000000" w:sz="4" w:space="0"/>
      </w:pBdr>
    </w:pPr>
    <w:rPr>
      <w:rFonts w:ascii="宋体" w:hAnsi="宋体" w:eastAsia="宋体" w:cs="宋体"/>
      <w:b/>
      <w:bCs/>
      <w:sz w:val="22"/>
      <w:szCs w:val="22"/>
    </w:rPr>
  </w:style>
  <w:style w:type="paragraph" w:styleId="1312" w:customStyle="1">
    <w:name w:val="博康文档样式"/>
    <w:basedOn w:val="722"/>
    <w:uiPriority w:val="0"/>
    <w:qFormat/>
    <w:pPr>
      <w:ind w:firstLine="420"/>
    </w:pPr>
    <w:rPr>
      <w:rFonts w:ascii="宋体" w:hAnsi="宋体" w:eastAsia="宋体" w:cs="Times New Roman"/>
    </w:rPr>
  </w:style>
  <w:style w:type="paragraph" w:styleId="1313" w:customStyle="1">
    <w:name w:val="_Style 12"/>
    <w:basedOn w:val="1018"/>
    <w:uiPriority w:val="0"/>
    <w:qFormat/>
    <w:pPr>
      <w:spacing w:line="360" w:lineRule="auto"/>
    </w:pPr>
    <w:rPr>
      <w:rFonts w:ascii="Times New Roman" w:hAnsi="Times New Roman" w:eastAsia="宋体" w:cs="Times New Roman"/>
    </w:rPr>
  </w:style>
  <w:style w:type="paragraph" w:styleId="1314" w:customStyle="1">
    <w:name w:val="7"/>
    <w:basedOn w:val="722"/>
    <w:next w:val="1003"/>
    <w:uiPriority w:val="0"/>
    <w:qFormat/>
    <w:pPr>
      <w:ind w:firstLine="560"/>
      <w:spacing w:line="440" w:lineRule="exact"/>
    </w:pPr>
    <w:rPr>
      <w:rFonts w:ascii="Times New Roman" w:hAnsi="Times New Roman" w:eastAsia="宋体" w:cs="Times New Roman"/>
    </w:rPr>
  </w:style>
  <w:style w:type="paragraph" w:styleId="1315" w:customStyle="1">
    <w:name w:val="xl87"/>
    <w:basedOn w:val="722"/>
    <w:uiPriority w:val="0"/>
    <w:qFormat/>
    <w:pPr>
      <w:jc w:val="center"/>
      <w:spacing w:before="100" w:beforeAutospacing="1" w:after="100" w:afterAutospacing="1"/>
      <w:shd w:val="clear" w:color="auto" w:fill="ffffff"/>
      <w:widowControl/>
      <w:pBdr>
        <w:top w:val="single" w:color="000000" w:sz="4" w:space="0"/>
        <w:left w:val="single" w:color="000000" w:sz="8" w:space="0"/>
        <w:bottom w:val="single" w:color="000000" w:sz="8" w:space="0"/>
        <w:right w:val="single" w:color="000000" w:sz="4" w:space="0"/>
      </w:pBdr>
    </w:pPr>
    <w:rPr>
      <w:rFonts w:ascii="Times New Roman" w:hAnsi="Times New Roman" w:eastAsia="宋体" w:cs="Times New Roman"/>
      <w:sz w:val="24"/>
    </w:rPr>
  </w:style>
  <w:style w:type="paragraph" w:styleId="1316" w:customStyle="1">
    <w:name w:val="xl113"/>
    <w:basedOn w:val="722"/>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0"/>
      <w:szCs w:val="20"/>
    </w:rPr>
  </w:style>
  <w:style w:type="paragraph" w:styleId="1317" w:customStyle="1">
    <w:name w:val="图5"/>
    <w:basedOn w:val="722"/>
    <w:uiPriority w:val="0"/>
    <w:qFormat/>
    <w:pPr>
      <w:jc w:val="center"/>
      <w:spacing w:line="220" w:lineRule="atLeast"/>
    </w:pPr>
    <w:rPr>
      <w:rFonts w:hint="eastAsia" w:ascii="仿宋_GB2312" w:hAnsi="Times New Roman" w:eastAsia="仿宋_GB2312" w:cs="Times New Roman"/>
      <w:szCs w:val="20"/>
    </w:rPr>
  </w:style>
  <w:style w:type="paragraph" w:styleId="1318" w:customStyle="1">
    <w:name w:val="xl106"/>
    <w:basedOn w:val="722"/>
    <w:uiPriority w:val="0"/>
    <w:qFormat/>
    <w:pPr>
      <w:jc w:val="left"/>
      <w:spacing w:before="100" w:beforeAutospacing="1" w:after="100" w:afterAutospacing="1"/>
      <w:widowControl/>
      <w:pBdr>
        <w:top w:val="single" w:color="000000" w:sz="6" w:space="0"/>
        <w:left w:val="single" w:color="000000" w:sz="4" w:space="0"/>
        <w:bottom w:val="single" w:color="000000" w:sz="4" w:space="0"/>
        <w:right w:val="single" w:color="000000" w:sz="6" w:space="0"/>
      </w:pBdr>
    </w:pPr>
    <w:rPr>
      <w:rFonts w:ascii="宋体" w:hAnsi="宋体" w:eastAsia="宋体" w:cs="宋体"/>
      <w:sz w:val="22"/>
      <w:szCs w:val="22"/>
    </w:rPr>
  </w:style>
  <w:style w:type="paragraph" w:styleId="1319" w:customStyle="1">
    <w:name w:val="xl171"/>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320" w:customStyle="1">
    <w:name w:val="xl69"/>
    <w:basedOn w:val="722"/>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eastAsia="宋体" w:cs="宋体"/>
      <w:sz w:val="24"/>
    </w:rPr>
  </w:style>
  <w:style w:type="paragraph" w:styleId="1321" w:customStyle="1">
    <w:name w:val="xl203"/>
    <w:basedOn w:val="722"/>
    <w:uiPriority w:val="0"/>
    <w:qFormat/>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hAnsi="宋体" w:eastAsia="微软雅黑" w:cs="宋体"/>
      <w:b/>
      <w:bCs/>
      <w:sz w:val="22"/>
      <w:szCs w:val="22"/>
    </w:rPr>
  </w:style>
  <w:style w:type="paragraph" w:styleId="1322" w:customStyle="1">
    <w:name w:val="xl128"/>
    <w:basedOn w:val="722"/>
    <w:uiPriority w:val="0"/>
    <w:qFormat/>
    <w:pPr>
      <w:numPr>
        <w:ilvl w:val="7"/>
        <w:numId w:val="6"/>
      </w:numPr>
      <w:jc w:val="center"/>
      <w:spacing w:before="100" w:beforeAutospacing="1" w:after="100" w:afterAutospacing="1"/>
      <w:widowControl/>
      <w:pBdr>
        <w:top w:val="single" w:color="000000" w:sz="4" w:space="0"/>
      </w:pBdr>
    </w:pPr>
    <w:rPr>
      <w:rFonts w:ascii="宋体" w:hAnsi="宋体" w:eastAsia="宋体" w:cs="宋体"/>
      <w:b/>
      <w:bCs/>
      <w:sz w:val="20"/>
      <w:szCs w:val="20"/>
    </w:rPr>
  </w:style>
  <w:style w:type="paragraph" w:styleId="1323" w:customStyle="1">
    <w:name w:val="font7"/>
    <w:basedOn w:val="722"/>
    <w:uiPriority w:val="0"/>
    <w:qFormat/>
    <w:pPr>
      <w:jc w:val="left"/>
      <w:spacing w:before="100" w:beforeAutospacing="1" w:after="100" w:afterAutospacing="1"/>
      <w:widowControl/>
    </w:pPr>
    <w:rPr>
      <w:rFonts w:ascii="宋体" w:hAnsi="宋体" w:eastAsia="宋体" w:cs="宋体"/>
      <w:sz w:val="24"/>
    </w:rPr>
  </w:style>
  <w:style w:type="paragraph" w:styleId="1324" w:customStyle="1">
    <w:name w:val="xl47"/>
    <w:basedOn w:val="722"/>
    <w:uiPriority w:val="0"/>
    <w:qFormat/>
    <w:pPr>
      <w:jc w:val="center"/>
      <w:spacing w:before="100" w:beforeAutospacing="1" w:after="100" w:afterAutospacing="1"/>
      <w:shd w:val="clear" w:color="auto" w:fill="ffff00"/>
      <w:widowControl/>
      <w:pBdr>
        <w:top w:val="single" w:color="000000" w:sz="8" w:space="0"/>
        <w:left w:val="single" w:color="000000" w:sz="4" w:space="0"/>
        <w:bottom w:val="single" w:color="000000" w:sz="4" w:space="0"/>
        <w:right w:val="single" w:color="000000" w:sz="4" w:space="0"/>
      </w:pBdr>
    </w:pPr>
    <w:rPr>
      <w:rFonts w:ascii="宋体" w:hAnsi="宋体" w:eastAsia="宋体" w:cs="宋体"/>
      <w:sz w:val="24"/>
    </w:rPr>
  </w:style>
  <w:style w:type="paragraph" w:styleId="1325" w:customStyle="1">
    <w:name w:val="xl65"/>
    <w:basedOn w:val="722"/>
    <w:uiPriority w:val="0"/>
    <w:qFormat/>
    <w:pPr>
      <w:jc w:val="left"/>
      <w:spacing w:before="100" w:beforeAutospacing="1" w:after="100" w:afterAutospacing="1"/>
      <w:widowControl/>
    </w:pPr>
    <w:rPr>
      <w:rFonts w:ascii="Times New Roman" w:hAnsi="Times New Roman" w:eastAsia="宋体" w:cs="Times New Roman"/>
      <w:b/>
      <w:bCs/>
      <w:sz w:val="28"/>
      <w:szCs w:val="28"/>
    </w:rPr>
  </w:style>
  <w:style w:type="paragraph" w:styleId="1326" w:customStyle="1">
    <w:name w:val="xl29"/>
    <w:basedOn w:val="722"/>
    <w:uiPriority w:val="0"/>
    <w:qFormat/>
    <w:pPr>
      <w:jc w:val="center"/>
      <w:spacing w:before="100" w:beforeAutospacing="1" w:after="100" w:afterAutospacing="1"/>
      <w:shd w:val="clear" w:color="auto" w:fill="ffff00"/>
      <w:widowControl/>
      <w:pBdr>
        <w:top w:val="single" w:color="000000" w:sz="8" w:space="0"/>
        <w:left w:val="single" w:color="000000" w:sz="8" w:space="0"/>
        <w:bottom w:val="single" w:color="000000" w:sz="4" w:space="0"/>
        <w:right w:val="single" w:color="000000" w:sz="4" w:space="0"/>
      </w:pBdr>
    </w:pPr>
    <w:rPr>
      <w:rFonts w:ascii="宋体" w:hAnsi="宋体" w:eastAsia="宋体" w:cs="宋体"/>
      <w:b/>
      <w:bCs/>
      <w:sz w:val="24"/>
    </w:rPr>
  </w:style>
  <w:style w:type="paragraph" w:styleId="1327" w:customStyle="1">
    <w:name w:val="列出段落1"/>
    <w:basedOn w:val="722"/>
    <w:uiPriority w:val="34"/>
    <w:qFormat/>
    <w:pPr>
      <w:ind w:firstLine="200"/>
    </w:pPr>
    <w:rPr>
      <w:rFonts w:ascii="Times New Roman" w:hAnsi="Times New Roman" w:eastAsia="宋体" w:cs="Times New Roman"/>
      <w:color w:val="000000"/>
    </w:rPr>
  </w:style>
  <w:style w:type="paragraph" w:styleId="1328" w:customStyle="1">
    <w:name w:val="定货2"/>
    <w:uiPriority w:val="0"/>
    <w:qFormat/>
    <w:pPr>
      <w:jc w:val="both"/>
      <w:spacing w:line="230" w:lineRule="atLeast"/>
      <w:widowControl w:val="off"/>
    </w:pPr>
    <w:rPr>
      <w:rFonts w:hint="default" w:ascii="宋体" w:hAnsi="Calibri" w:eastAsia="宋体" w:cs="Times New Roman"/>
      <w:sz w:val="18"/>
      <w:szCs w:val="18"/>
      <w:lang w:val="en-US" w:eastAsia="zh-CN" w:bidi="ar-SA"/>
    </w:rPr>
  </w:style>
  <w:style w:type="paragraph" w:styleId="1329" w:customStyle="1">
    <w:name w:val="jwm12"/>
    <w:basedOn w:val="722"/>
    <w:uiPriority w:val="0"/>
    <w:qFormat/>
    <w:pPr>
      <w:jc w:val="left"/>
      <w:spacing w:before="100" w:beforeAutospacing="1" w:after="100" w:afterAutospacing="1"/>
      <w:widowControl/>
    </w:pPr>
    <w:rPr>
      <w:rFonts w:ascii="宋体" w:hAnsi="宋体" w:eastAsia="宋体" w:cs="宋体"/>
      <w:sz w:val="24"/>
    </w:rPr>
  </w:style>
  <w:style w:type="paragraph" w:styleId="1330" w:customStyle="1">
    <w:name w:val="样式 标题 2H2Heading 2 HiddenHeading 2 CCBSheading 22nd levelh..."/>
    <w:basedOn w:val="913"/>
    <w:uiPriority w:val="0"/>
    <w:qFormat/>
    <w:pPr>
      <w:numPr>
        <w:ilvl w:val="0"/>
        <w:numId w:val="0"/>
      </w:numPr>
      <w:ind w:left="576" w:hanging="576"/>
      <w:jc w:val="both"/>
    </w:pPr>
    <w:rPr>
      <w:rFonts w:ascii="Times New Roman" w:hAnsi="Times New Roman" w:eastAsia="宋体" w:cs="宋体"/>
      <w:b w:val="0"/>
      <w:bCs w:val="0"/>
      <w:sz w:val="28"/>
      <w:szCs w:val="28"/>
    </w:rPr>
  </w:style>
  <w:style w:type="paragraph" w:styleId="1331" w:customStyle="1">
    <w:name w:val="Char1 Char Char Char Char Char"/>
    <w:basedOn w:val="722"/>
    <w:uiPriority w:val="0"/>
    <w:qFormat/>
    <w:pPr>
      <w:ind w:left="431" w:hanging="431"/>
    </w:pPr>
    <w:rPr>
      <w:rFonts w:ascii="Times New Roman" w:hAnsi="Times New Roman" w:eastAsia="宋体" w:cs="Times New Roman"/>
      <w:sz w:val="24"/>
    </w:rPr>
  </w:style>
  <w:style w:type="paragraph" w:styleId="1332" w:customStyle="1">
    <w:name w:val="xl71"/>
    <w:basedOn w:val="72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0"/>
      <w:szCs w:val="20"/>
    </w:rPr>
  </w:style>
  <w:style w:type="paragraph" w:styleId="1333" w:customStyle="1">
    <w:name w:val="样式 标题 2 + 首行缩进:  0.62 字符"/>
    <w:basedOn w:val="913"/>
    <w:uiPriority w:val="0"/>
    <w:qFormat/>
    <w:pPr>
      <w:numPr>
        <w:ilvl w:val="0"/>
        <w:numId w:val="0"/>
      </w:numPr>
      <w:ind w:firstLine="187"/>
      <w:jc w:val="both"/>
      <w:spacing w:line="360" w:lineRule="auto"/>
    </w:pPr>
    <w:rPr>
      <w:rFonts w:ascii="Times New Roman" w:hAnsi="Times New Roman" w:eastAsia="宋体" w:cs="宋体"/>
      <w:szCs w:val="20"/>
    </w:rPr>
  </w:style>
  <w:style w:type="paragraph" w:styleId="1334" w:customStyle="1">
    <w:name w:val="xl94"/>
    <w:basedOn w:val="722"/>
    <w:uiPriority w:val="0"/>
    <w:qFormat/>
    <w:pPr>
      <w:jc w:val="righ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335" w:customStyle="1">
    <w:name w:val="正文段"/>
    <w:basedOn w:val="722"/>
    <w:uiPriority w:val="0"/>
    <w:qFormat/>
    <w:pPr>
      <w:ind w:firstLine="454"/>
      <w:spacing w:after="240" w:line="240" w:lineRule="atLeast"/>
      <w:widowControl/>
    </w:pPr>
    <w:rPr>
      <w:rFonts w:ascii="宋体" w:hAnsi="Times New Roman" w:eastAsia="宋体" w:cs="Times New Roman"/>
      <w:sz w:val="24"/>
      <w:szCs w:val="20"/>
    </w:rPr>
  </w:style>
  <w:style w:type="paragraph" w:styleId="1336" w:customStyle="1">
    <w:name w:val="xl211"/>
    <w:basedOn w:val="722"/>
    <w:uiPriority w:val="0"/>
    <w:qFormat/>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hAnsi="宋体" w:eastAsia="微软雅黑" w:cs="宋体"/>
      <w:b/>
      <w:bCs/>
      <w:sz w:val="20"/>
      <w:szCs w:val="20"/>
    </w:rPr>
  </w:style>
  <w:style w:type="paragraph" w:styleId="1337" w:customStyle="1">
    <w:name w:val="xl126"/>
    <w:basedOn w:val="722"/>
    <w:uiPriority w:val="0"/>
    <w:qFormat/>
    <w:pPr>
      <w:jc w:val="center"/>
      <w:spacing w:before="100" w:beforeAutospacing="1" w:after="100" w:afterAutospacing="1"/>
      <w:widowControl/>
      <w:pBdr>
        <w:bottom w:val="single" w:color="000000" w:sz="4" w:space="0"/>
        <w:right w:val="single" w:color="000000" w:sz="4" w:space="0"/>
      </w:pBdr>
    </w:pPr>
    <w:rPr>
      <w:rFonts w:ascii="宋体" w:hAnsi="宋体" w:eastAsia="宋体" w:cs="宋体"/>
      <w:b/>
      <w:bCs/>
      <w:sz w:val="20"/>
      <w:szCs w:val="20"/>
    </w:rPr>
  </w:style>
  <w:style w:type="paragraph" w:styleId="1338" w:customStyle="1">
    <w:name w:val="xl212"/>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339" w:customStyle="1">
    <w:name w:val="首行缩进"/>
    <w:basedOn w:val="722"/>
    <w:uiPriority w:val="0"/>
    <w:qFormat/>
    <w:pPr>
      <w:ind w:firstLine="480"/>
    </w:pPr>
    <w:rPr>
      <w:rFonts w:cs="Times New Roman"/>
      <w:szCs w:val="20"/>
      <w:lang w:val="zh-CN"/>
    </w:rPr>
  </w:style>
  <w:style w:type="paragraph" w:styleId="1340" w:customStyle="1">
    <w:name w:val="xl74"/>
    <w:basedOn w:val="72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341" w:customStyle="1">
    <w:name w:val="xl188"/>
    <w:basedOn w:val="722"/>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hAnsi="宋体" w:eastAsia="微软雅黑" w:cs="宋体"/>
      <w:sz w:val="18"/>
      <w:szCs w:val="18"/>
    </w:rPr>
  </w:style>
  <w:style w:type="paragraph" w:styleId="1342" w:customStyle="1">
    <w:name w:val="xl64"/>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343" w:customStyle="1">
    <w:name w:val="xl39"/>
    <w:basedOn w:val="722"/>
    <w:uiPriority w:val="0"/>
    <w:qFormat/>
    <w:pPr>
      <w:jc w:val="center"/>
      <w:spacing w:before="100" w:beforeAutospacing="1" w:after="100" w:afterAutospacing="1"/>
      <w:widowControl/>
    </w:pPr>
    <w:rPr>
      <w:rFonts w:ascii="宋体" w:hAnsi="宋体" w:eastAsia="宋体" w:cs="宋体"/>
      <w:b/>
      <w:bCs/>
      <w:sz w:val="28"/>
      <w:szCs w:val="28"/>
    </w:rPr>
  </w:style>
  <w:style w:type="paragraph" w:styleId="1344">
    <w:name w:val="No Spacing"/>
    <w:uiPriority w:val="0"/>
    <w:qFormat/>
    <w:pPr>
      <w:jc w:val="both"/>
      <w:widowControl w:val="off"/>
    </w:pPr>
    <w:rPr>
      <w:rFonts w:hint="default" w:ascii="Calibri" w:hAnsi="Calibri" w:eastAsia="宋体" w:cs="Times New Roman"/>
      <w:sz w:val="24"/>
      <w:szCs w:val="24"/>
      <w:lang w:val="en-US" w:eastAsia="zh-CN" w:bidi="ar-SA"/>
    </w:rPr>
  </w:style>
  <w:style w:type="paragraph" w:styleId="1345" w:customStyle="1">
    <w:name w:val="xl85"/>
    <w:basedOn w:val="72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Times New Roman" w:hAnsi="Times New Roman" w:eastAsia="宋体" w:cs="Times New Roman"/>
      <w:sz w:val="24"/>
    </w:rPr>
  </w:style>
  <w:style w:type="paragraph" w:styleId="1346" w:customStyle="1">
    <w:name w:val="xl199"/>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347" w:customStyle="1">
    <w:name w:val="xl165"/>
    <w:basedOn w:val="722"/>
    <w:uiPriority w:val="0"/>
    <w:qFormat/>
    <w:pPr>
      <w:jc w:val="left"/>
      <w:spacing w:before="100" w:beforeAutospacing="1" w:after="100" w:afterAutospacing="1"/>
      <w:widowControl/>
    </w:pPr>
    <w:rPr>
      <w:rFonts w:ascii="Courier New" w:hAnsi="Courier New" w:eastAsia="宋体" w:cs="Courier New"/>
      <w:sz w:val="24"/>
    </w:rPr>
  </w:style>
  <w:style w:type="paragraph" w:styleId="1348" w:customStyle="1">
    <w:name w:val="xl213"/>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349" w:customStyle="1">
    <w:name w:val="样式 中软正文 + 首行缩进:  2 字符"/>
    <w:basedOn w:val="722"/>
    <w:uiPriority w:val="0"/>
    <w:qFormat/>
    <w:pPr>
      <w:ind w:firstLine="420"/>
      <w:jc w:val="left"/>
      <w:spacing w:after="120" w:line="440" w:lineRule="exact"/>
      <w:widowControl/>
    </w:pPr>
    <w:rPr>
      <w:rFonts w:ascii="Arial" w:hAnsi="Arial" w:eastAsia="宋体" w:cs="Times New Roman"/>
      <w:sz w:val="24"/>
      <w:szCs w:val="20"/>
    </w:rPr>
  </w:style>
  <w:style w:type="paragraph" w:styleId="1350" w:customStyle="1">
    <w:name w:val="xl99"/>
    <w:basedOn w:val="72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cs="宋体"/>
      <w:b/>
      <w:bCs/>
      <w:sz w:val="24"/>
    </w:rPr>
  </w:style>
  <w:style w:type="paragraph" w:styleId="1351" w:customStyle="1">
    <w:name w:val="列项——（一级）"/>
    <w:uiPriority w:val="0"/>
    <w:qFormat/>
    <w:pPr>
      <w:ind w:left="420" w:hanging="420"/>
      <w:jc w:val="both"/>
      <w:widowControl w:val="off"/>
      <w:tabs>
        <w:tab w:val="left" w:pos="420" w:leader="none"/>
      </w:tabs>
    </w:pPr>
    <w:rPr>
      <w:rFonts w:hint="default" w:ascii="宋体" w:hAnsi="Calibri" w:eastAsia="宋体" w:cs="Times New Roman"/>
      <w:sz w:val="21"/>
      <w:lang w:val="en-US" w:eastAsia="zh-CN" w:bidi="ar-SA"/>
    </w:rPr>
  </w:style>
  <w:style w:type="paragraph" w:styleId="1352" w:customStyle="1">
    <w:name w:val="xl202"/>
    <w:basedOn w:val="722"/>
    <w:uiPriority w:val="0"/>
    <w:qFormat/>
    <w:pPr>
      <w:jc w:val="center"/>
      <w:spacing w:before="100" w:beforeAutospacing="1" w:after="100" w:afterAutospacing="1"/>
      <w:widowControl/>
      <w:pBdr>
        <w:top w:val="single" w:color="000000" w:sz="4" w:space="0"/>
        <w:bottom w:val="single" w:color="000000" w:sz="4" w:space="0"/>
      </w:pBdr>
    </w:pPr>
    <w:rPr>
      <w:rFonts w:ascii="微软雅黑" w:hAnsi="宋体" w:eastAsia="微软雅黑" w:cs="宋体"/>
      <w:b/>
      <w:bCs/>
      <w:sz w:val="22"/>
      <w:szCs w:val="22"/>
    </w:rPr>
  </w:style>
  <w:style w:type="paragraph" w:styleId="1353" w:customStyle="1">
    <w:name w:val="符号列表"/>
    <w:basedOn w:val="722"/>
    <w:uiPriority w:val="0"/>
    <w:qFormat/>
    <w:pPr>
      <w:ind w:left="420" w:hanging="420"/>
      <w:spacing w:line="440" w:lineRule="exact"/>
      <w:tabs>
        <w:tab w:val="left" w:pos="420" w:leader="none"/>
      </w:tabs>
    </w:pPr>
    <w:rPr>
      <w:rFonts w:ascii="Times New Roman" w:hAnsi="Times New Roman" w:eastAsia="宋体" w:cs="Times New Roman"/>
      <w:sz w:val="24"/>
      <w:szCs w:val="20"/>
    </w:rPr>
  </w:style>
  <w:style w:type="paragraph" w:styleId="1354" w:customStyle="1">
    <w:name w:val="南通方案正文"/>
    <w:basedOn w:val="722"/>
    <w:uiPriority w:val="0"/>
    <w:qFormat/>
    <w:pPr>
      <w:ind w:firstLine="480"/>
      <w:jc w:val="left"/>
      <w:spacing w:line="360" w:lineRule="auto"/>
      <w:widowControl/>
    </w:pPr>
    <w:rPr>
      <w:rFonts w:ascii="宋体" w:hAnsi="宋体" w:eastAsia="宋体" w:cs="宋体"/>
      <w:sz w:val="24"/>
      <w:szCs w:val="20"/>
    </w:rPr>
  </w:style>
  <w:style w:type="paragraph" w:styleId="1355" w:customStyle="1">
    <w:name w:val="小四 段落 宋体 Char Char"/>
    <w:basedOn w:val="1104"/>
    <w:uiPriority w:val="0"/>
    <w:qFormat/>
    <w:pPr>
      <w:ind w:left="0" w:right="113" w:firstLine="425"/>
      <w:spacing w:line="360" w:lineRule="auto"/>
    </w:pPr>
    <w:rPr>
      <w:rFonts w:ascii="Times New Roman" w:hAnsi="Times New Roman" w:eastAsia="宋体" w:cs="Times New Roman"/>
    </w:rPr>
  </w:style>
  <w:style w:type="paragraph" w:styleId="1356" w:customStyle="1">
    <w:name w:val="普通(Web)1"/>
    <w:basedOn w:val="722"/>
    <w:next w:val="1109"/>
    <w:uiPriority w:val="0"/>
    <w:qFormat/>
    <w:pPr>
      <w:jc w:val="left"/>
      <w:spacing w:before="100" w:beforeAutospacing="1" w:after="100" w:afterAutospacing="1"/>
      <w:widowControl/>
    </w:pPr>
    <w:rPr>
      <w:rFonts w:ascii="宋体" w:hAnsi="宋体" w:eastAsia="宋体" w:cs="Times New Roman"/>
      <w:color w:val="000000"/>
      <w:sz w:val="24"/>
    </w:rPr>
  </w:style>
  <w:style w:type="paragraph" w:styleId="1357" w:customStyle="1">
    <w:name w:val="xl187"/>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358" w:customStyle="1">
    <w:name w:val="xl201"/>
    <w:basedOn w:val="722"/>
    <w:uiPriority w:val="0"/>
    <w:qFormat/>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hAnsi="宋体" w:eastAsia="微软雅黑" w:cs="宋体"/>
      <w:b/>
      <w:bCs/>
      <w:sz w:val="22"/>
      <w:szCs w:val="22"/>
    </w:rPr>
  </w:style>
  <w:style w:type="paragraph" w:styleId="1359" w:customStyle="1">
    <w:name w:val="前言、引言标题"/>
    <w:next w:val="722"/>
    <w:uiPriority w:val="0"/>
    <w:qFormat/>
    <w:pPr>
      <w:numPr>
        <w:ilvl w:val="0"/>
        <w:numId w:val="5"/>
      </w:numPr>
      <w:jc w:val="center"/>
      <w:spacing w:before="640" w:after="560"/>
      <w:shd w:val="clear" w:color="ffffff" w:fill="ffffff"/>
      <w:outlineLvl w:val="0"/>
    </w:pPr>
    <w:rPr>
      <w:rFonts w:hint="default" w:ascii="黑体" w:hAnsi="Calibri" w:eastAsia="黑体" w:cs="Times New Roman"/>
      <w:sz w:val="32"/>
      <w:lang w:val="en-US" w:eastAsia="zh-CN" w:bidi="ar-SA"/>
    </w:rPr>
  </w:style>
  <w:style w:type="paragraph" w:styleId="1360" w:customStyle="1">
    <w:name w:val="Char Char Char Char1"/>
    <w:basedOn w:val="722"/>
    <w:uiPriority w:val="0"/>
    <w:qFormat/>
    <w:pPr>
      <w:jc w:val="left"/>
      <w:spacing w:after="160" w:line="240" w:lineRule="exact"/>
      <w:widowControl/>
    </w:pPr>
    <w:rPr>
      <w:rFonts w:ascii="Arial" w:hAnsi="Arial" w:eastAsia="Times New Roman" w:cs="Verdana"/>
      <w:b/>
      <w:sz w:val="24"/>
      <w:szCs w:val="20"/>
      <w:lang w:eastAsia="en-US"/>
    </w:rPr>
  </w:style>
  <w:style w:type="paragraph" w:styleId="1361" w:customStyle="1">
    <w:name w:val="Char"/>
    <w:basedOn w:val="722"/>
    <w:uiPriority w:val="0"/>
    <w:qFormat/>
    <w:pPr>
      <w:jc w:val="left"/>
      <w:spacing w:after="160" w:line="240" w:lineRule="exact"/>
      <w:widowControl/>
    </w:pPr>
    <w:rPr>
      <w:rFonts w:ascii="Verdana" w:hAnsi="Verdana" w:eastAsia="宋体" w:cs="Times New Roman"/>
      <w:szCs w:val="20"/>
      <w:lang w:eastAsia="en-US"/>
    </w:rPr>
  </w:style>
  <w:style w:type="paragraph" w:styleId="1362" w:customStyle="1">
    <w:name w:val="xl42"/>
    <w:basedOn w:val="72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363" w:customStyle="1">
    <w:name w:val="xl121"/>
    <w:basedOn w:val="722"/>
    <w:uiPriority w:val="0"/>
    <w:qFormat/>
    <w:pPr>
      <w:jc w:val="center"/>
      <w:spacing w:before="100" w:beforeAutospacing="1" w:after="100" w:afterAutospacing="1"/>
      <w:widowControl/>
      <w:pBdr>
        <w:top w:val="single" w:color="000000" w:sz="4" w:space="0"/>
        <w:bottom w:val="single" w:color="000000" w:sz="6" w:space="0"/>
        <w:right w:val="single" w:color="000000" w:sz="4" w:space="0"/>
      </w:pBdr>
    </w:pPr>
    <w:rPr>
      <w:rFonts w:ascii="宋体" w:hAnsi="宋体" w:eastAsia="宋体" w:cs="宋体"/>
      <w:b/>
      <w:bCs/>
      <w:sz w:val="22"/>
      <w:szCs w:val="22"/>
    </w:rPr>
  </w:style>
  <w:style w:type="paragraph" w:styleId="1364" w:customStyle="1">
    <w:name w:val="xl185"/>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365" w:customStyle="1">
    <w:name w:val="xl45"/>
    <w:basedOn w:val="72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4"/>
    </w:rPr>
  </w:style>
  <w:style w:type="paragraph" w:styleId="1366" w:customStyle="1">
    <w:name w:val="TOC Heading"/>
    <w:basedOn w:val="911"/>
    <w:next w:val="722"/>
    <w:uiPriority w:val="0"/>
    <w:qFormat/>
    <w:pPr>
      <w:numPr>
        <w:ilvl w:val="0"/>
        <w:numId w:val="0"/>
      </w:numPr>
      <w:spacing w:line="276" w:lineRule="auto"/>
      <w:widowControl/>
      <w:outlineLvl w:val="9"/>
    </w:pPr>
    <w:rPr>
      <w:rFonts w:ascii="Cambria" w:hAnsi="Cambria" w:eastAsia="宋体" w:cs="Times New Roman"/>
      <w:color w:val="365f91"/>
      <w:sz w:val="28"/>
      <w:szCs w:val="28"/>
    </w:rPr>
  </w:style>
  <w:style w:type="paragraph" w:styleId="1367" w:customStyle="1">
    <w:name w:val="xl176"/>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368" w:customStyle="1">
    <w:name w:val="xl210"/>
    <w:basedOn w:val="722"/>
    <w:uiPriority w:val="0"/>
    <w:qFormat/>
    <w:pPr>
      <w:jc w:val="left"/>
      <w:spacing w:before="100" w:beforeAutospacing="1" w:after="100" w:afterAutospacing="1"/>
      <w:widowControl/>
      <w:pBdr>
        <w:top w:val="single" w:color="000000" w:sz="4" w:space="0"/>
        <w:bottom w:val="single" w:color="000000" w:sz="4" w:space="0"/>
      </w:pBdr>
    </w:pPr>
    <w:rPr>
      <w:rFonts w:ascii="微软雅黑" w:hAnsi="宋体" w:eastAsia="微软雅黑" w:cs="宋体"/>
      <w:b/>
      <w:bCs/>
      <w:sz w:val="20"/>
      <w:szCs w:val="20"/>
    </w:rPr>
  </w:style>
  <w:style w:type="paragraph" w:styleId="1369" w:customStyle="1">
    <w:name w:val="xl80"/>
    <w:basedOn w:val="72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370" w:customStyle="1">
    <w:name w:val="xl25"/>
    <w:basedOn w:val="722"/>
    <w:uiPriority w:val="0"/>
    <w:qFormat/>
    <w:pPr>
      <w:jc w:val="center"/>
      <w:spacing w:before="100" w:beforeAutospacing="1" w:after="100" w:afterAutospacing="1"/>
      <w:widowControl/>
    </w:pPr>
    <w:rPr>
      <w:rFonts w:ascii="宋体" w:hAnsi="宋体" w:eastAsia="宋体" w:cs="宋体"/>
      <w:sz w:val="24"/>
    </w:rPr>
  </w:style>
  <w:style w:type="paragraph" w:styleId="1371" w:customStyle="1">
    <w:name w:val="xl198"/>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372" w:customStyle="1">
    <w:name w:val="xl218"/>
    <w:basedOn w:val="722"/>
    <w:uiPriority w:val="0"/>
    <w:qFormat/>
    <w:pPr>
      <w:jc w:val="center"/>
      <w:spacing w:before="100" w:beforeAutospacing="1" w:after="100" w:afterAutospacing="1"/>
      <w:widowControl/>
    </w:pPr>
    <w:rPr>
      <w:rFonts w:ascii="Courier New" w:hAnsi="Courier New" w:eastAsia="宋体" w:cs="Courier New"/>
      <w:sz w:val="24"/>
    </w:rPr>
  </w:style>
  <w:style w:type="paragraph" w:styleId="1373" w:customStyle="1">
    <w:name w:val="xl48"/>
    <w:basedOn w:val="722"/>
    <w:uiPriority w:val="0"/>
    <w:qFormat/>
    <w:pPr>
      <w:jc w:val="center"/>
      <w:spacing w:before="100" w:beforeAutospacing="1" w:after="100" w:afterAutospacing="1"/>
      <w:shd w:val="clear" w:color="auto" w:fill="ffff00"/>
      <w:widowControl/>
      <w:pBdr>
        <w:top w:val="single" w:color="000000" w:sz="8" w:space="0"/>
        <w:left w:val="single" w:color="000000" w:sz="4" w:space="0"/>
        <w:bottom w:val="single" w:color="000000" w:sz="4" w:space="0"/>
        <w:right w:val="single" w:color="000000" w:sz="4" w:space="0"/>
      </w:pBdr>
    </w:pPr>
    <w:rPr>
      <w:rFonts w:ascii="宋体" w:hAnsi="宋体" w:eastAsia="宋体" w:cs="宋体"/>
      <w:sz w:val="24"/>
    </w:rPr>
  </w:style>
  <w:style w:type="paragraph" w:styleId="1374" w:customStyle="1">
    <w:name w:val="xl77"/>
    <w:basedOn w:val="722"/>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375" w:customStyle="1">
    <w:name w:val="xl117"/>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376" w:customStyle="1">
    <w:name w:val="xl41"/>
    <w:basedOn w:val="722"/>
    <w:uiPriority w:val="0"/>
    <w:qFormat/>
    <w:pPr>
      <w:jc w:val="center"/>
      <w:spacing w:before="100" w:beforeAutospacing="1" w:after="100" w:afterAutospacing="1"/>
      <w:shd w:val="clear" w:color="auto" w:fill="ffff00"/>
      <w:widowControl/>
      <w:pBdr>
        <w:top w:val="single" w:color="000000" w:sz="8" w:space="0"/>
        <w:left w:val="single" w:color="000000" w:sz="4" w:space="0"/>
        <w:bottom w:val="single" w:color="000000" w:sz="4" w:space="0"/>
        <w:right w:val="single" w:color="000000" w:sz="4" w:space="0"/>
      </w:pBdr>
    </w:pPr>
    <w:rPr>
      <w:rFonts w:ascii="宋体" w:hAnsi="宋体" w:eastAsia="宋体" w:cs="宋体"/>
      <w:sz w:val="24"/>
    </w:rPr>
  </w:style>
  <w:style w:type="paragraph" w:styleId="1377" w:customStyle="1">
    <w:name w:val="Revision"/>
    <w:uiPriority w:val="0"/>
    <w:qFormat/>
    <w:rPr>
      <w:rFonts w:hint="default" w:ascii="Arial" w:hAnsi="Arial" w:eastAsia="宋体" w:cs="Times New Roman"/>
      <w:sz w:val="24"/>
      <w:szCs w:val="24"/>
      <w:lang w:val="en-US" w:eastAsia="zh-CN" w:bidi="ar-SA"/>
    </w:rPr>
  </w:style>
  <w:style w:type="paragraph" w:styleId="1378" w:customStyle="1">
    <w:name w:val="Char5"/>
    <w:basedOn w:val="722"/>
    <w:uiPriority w:val="0"/>
    <w:qFormat/>
    <w:pPr>
      <w:jc w:val="left"/>
      <w:spacing w:after="160" w:line="240" w:lineRule="exact"/>
      <w:widowControl/>
    </w:pPr>
    <w:rPr>
      <w:rFonts w:ascii="Verdana" w:hAnsi="Verdana" w:eastAsia="宋体" w:cs="Times New Roman"/>
      <w:szCs w:val="20"/>
      <w:lang w:eastAsia="en-US"/>
    </w:rPr>
  </w:style>
  <w:style w:type="paragraph" w:styleId="1379" w:customStyle="1">
    <w:name w:val="xl170"/>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380" w:customStyle="1">
    <w:name w:val="xl88"/>
    <w:basedOn w:val="722"/>
    <w:uiPriority w:val="0"/>
    <w:qFormat/>
    <w:pP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4"/>
    </w:rPr>
  </w:style>
  <w:style w:type="paragraph" w:styleId="1381" w:customStyle="1">
    <w:name w:val="xl86"/>
    <w:basedOn w:val="722"/>
    <w:uiPriority w:val="0"/>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Times New Roman" w:hAnsi="Times New Roman" w:eastAsia="宋体" w:cs="Times New Roman"/>
      <w:sz w:val="24"/>
    </w:rPr>
  </w:style>
  <w:style w:type="paragraph" w:styleId="1382" w:customStyle="1">
    <w:name w:val="xl49"/>
    <w:basedOn w:val="72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383" w:customStyle="1">
    <w:name w:val="Bullet"/>
    <w:basedOn w:val="722"/>
    <w:uiPriority w:val="0"/>
    <w:qFormat/>
    <w:pPr>
      <w:ind w:firstLine="420"/>
      <w:spacing w:before="60" w:after="60" w:line="288" w:lineRule="auto"/>
      <w:widowControl/>
    </w:pPr>
    <w:rPr>
      <w:rFonts w:ascii="宋体" w:hAnsi="宋体" w:eastAsia="宋体" w:cs="Times New Roman"/>
      <w:bCs/>
      <w:szCs w:val="21"/>
    </w:rPr>
  </w:style>
  <w:style w:type="paragraph" w:styleId="1384" w:customStyle="1">
    <w:name w:val="xl44"/>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385" w:customStyle="1">
    <w:name w:val="xl96"/>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24"/>
    </w:rPr>
  </w:style>
  <w:style w:type="paragraph" w:styleId="1386" w:customStyle="1">
    <w:name w:val="Char Char Char Char Char Char Char Char Char1 Char"/>
    <w:basedOn w:val="1018"/>
    <w:uiPriority w:val="0"/>
    <w:qFormat/>
    <w:pPr>
      <w:spacing w:line="360" w:lineRule="auto"/>
    </w:pPr>
    <w:rPr>
      <w:rFonts w:ascii="Times New Roman" w:hAnsi="Times New Roman" w:eastAsia="楷体_GB2312" w:cs="Times New Roman"/>
      <w:sz w:val="28"/>
      <w:szCs w:val="20"/>
    </w:rPr>
  </w:style>
  <w:style w:type="paragraph" w:styleId="1387" w:customStyle="1">
    <w:name w:val="xl217"/>
    <w:basedOn w:val="722"/>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宋体" w:eastAsia="微软雅黑" w:cs="宋体"/>
      <w:b/>
      <w:bCs/>
      <w:sz w:val="18"/>
      <w:szCs w:val="18"/>
    </w:rPr>
  </w:style>
  <w:style w:type="paragraph" w:styleId="1388" w:customStyle="1">
    <w:name w:val="news"/>
    <w:basedOn w:val="722"/>
    <w:uiPriority w:val="0"/>
    <w:qFormat/>
    <w:pPr>
      <w:jc w:val="left"/>
      <w:spacing w:before="100" w:beforeAutospacing="1" w:after="100" w:afterAutospacing="1" w:line="300" w:lineRule="atLeast"/>
      <w:widowControl/>
    </w:pPr>
    <w:rPr>
      <w:rFonts w:ascii="Times New Roman" w:hAnsi="Times New Roman" w:eastAsia="Arial Unicode MS" w:cs="Arial Unicode MS"/>
      <w:color w:val="000000"/>
      <w:szCs w:val="21"/>
    </w:rPr>
  </w:style>
  <w:style w:type="paragraph" w:styleId="1389" w:customStyle="1">
    <w:name w:val="style6"/>
    <w:basedOn w:val="722"/>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90" w:customStyle="1">
    <w:name w:val="正文31"/>
    <w:basedOn w:val="722"/>
    <w:uiPriority w:val="0"/>
    <w:qFormat/>
    <w:pPr>
      <w:ind w:left="420" w:hanging="420"/>
      <w:spacing w:before="120" w:line="300" w:lineRule="auto"/>
      <w:tabs>
        <w:tab w:val="left" w:pos="420" w:leader="none"/>
      </w:tabs>
    </w:pPr>
    <w:rPr>
      <w:rFonts w:ascii="宋体" w:hAnsi="Arial" w:eastAsia="宋体" w:cs="Times New Roman"/>
      <w:sz w:val="24"/>
      <w:szCs w:val="20"/>
    </w:rPr>
  </w:style>
  <w:style w:type="paragraph" w:styleId="1391" w:customStyle="1">
    <w:name w:val="xl61"/>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392" w:customStyle="1">
    <w:name w:val="xl59"/>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93" w:customStyle="1">
    <w:name w:val="列出段落"/>
    <w:basedOn w:val="722"/>
    <w:uiPriority w:val="34"/>
    <w:qFormat/>
    <w:pPr>
      <w:ind w:firstLine="420"/>
    </w:pPr>
    <w:rPr>
      <w:rFonts w:ascii="Calibri" w:hAnsi="Calibri" w:eastAsia="宋体" w:cs="Times New Roman"/>
      <w:szCs w:val="22"/>
    </w:rPr>
  </w:style>
  <w:style w:type="paragraph" w:styleId="1394" w:customStyle="1">
    <w:name w:val="font9"/>
    <w:basedOn w:val="722"/>
    <w:uiPriority w:val="0"/>
    <w:qFormat/>
    <w:pPr>
      <w:jc w:val="left"/>
      <w:spacing w:before="100" w:beforeAutospacing="1" w:after="100" w:afterAutospacing="1"/>
      <w:widowControl/>
    </w:pPr>
    <w:rPr>
      <w:rFonts w:ascii="Times New Roman" w:hAnsi="Times New Roman" w:eastAsia="宋体" w:cs="Times New Roman"/>
      <w:sz w:val="24"/>
    </w:rPr>
  </w:style>
  <w:style w:type="paragraph" w:styleId="1395" w:customStyle="1">
    <w:name w:val="xl62"/>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396" w:customStyle="1">
    <w:name w:val="Char Char5 Char Char Char Char Char Char Char Char Char Char Char Char Char Char Char Char Char Char Char Char Char Char Char"/>
    <w:basedOn w:val="722"/>
    <w:uiPriority w:val="0"/>
    <w:qFormat/>
    <w:pPr>
      <w:spacing w:line="360" w:lineRule="auto"/>
    </w:pPr>
    <w:rPr>
      <w:rFonts w:ascii="Tahoma" w:hAnsi="Tahoma" w:eastAsia="宋体" w:cs="Times New Roman"/>
      <w:sz w:val="36"/>
      <w:szCs w:val="36"/>
    </w:rPr>
  </w:style>
  <w:style w:type="paragraph" w:styleId="1397" w:customStyle="1">
    <w:name w:val="xl216"/>
    <w:basedOn w:val="722"/>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宋体" w:eastAsia="微软雅黑" w:cs="宋体"/>
      <w:b/>
      <w:bCs/>
      <w:sz w:val="18"/>
      <w:szCs w:val="18"/>
    </w:rPr>
  </w:style>
  <w:style w:type="paragraph" w:styleId="1398" w:customStyle="1">
    <w:name w:val="xl168"/>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399" w:customStyle="1">
    <w:name w:val="xl183"/>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400" w:customStyle="1">
    <w:name w:val="Plain Text1"/>
    <w:basedOn w:val="722"/>
    <w:uiPriority w:val="0"/>
    <w:qFormat/>
    <w:rPr>
      <w:rFonts w:ascii="宋体" w:hAnsi="Courier New" w:eastAsia="宋体" w:cs="Times New Roman"/>
      <w:sz w:val="26"/>
      <w:szCs w:val="20"/>
    </w:rPr>
  </w:style>
  <w:style w:type="paragraph" w:styleId="1401" w:customStyle="1">
    <w:name w:val="xl95"/>
    <w:basedOn w:val="722"/>
    <w:uiPriority w:val="0"/>
    <w:qFormat/>
    <w:pPr>
      <w:jc w:val="left"/>
      <w:spacing w:before="100" w:beforeAutospacing="1" w:after="100" w:afterAutospacing="1"/>
      <w:widowControl/>
    </w:pPr>
    <w:rPr>
      <w:rFonts w:ascii="宋体" w:hAnsi="宋体" w:eastAsia="宋体" w:cs="宋体"/>
      <w:b/>
      <w:bCs/>
      <w:sz w:val="24"/>
    </w:rPr>
  </w:style>
  <w:style w:type="paragraph" w:styleId="1402" w:customStyle="1">
    <w:name w:val="00"/>
    <w:basedOn w:val="722"/>
    <w:uiPriority w:val="0"/>
    <w:qFormat/>
    <w:pPr>
      <w:jc w:val="left"/>
    </w:pPr>
    <w:rPr>
      <w:rFonts w:ascii="黑体" w:hAnsi="Times New Roman" w:eastAsia="黑体" w:cs="Times New Roman"/>
      <w:b/>
      <w:bCs/>
      <w:sz w:val="20"/>
      <w:szCs w:val="20"/>
    </w:rPr>
  </w:style>
  <w:style w:type="paragraph" w:styleId="1403" w:customStyle="1">
    <w:name w:val="xl206"/>
    <w:basedOn w:val="722"/>
    <w:uiPriority w:val="0"/>
    <w:qFormat/>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hAnsi="宋体" w:eastAsia="微软雅黑" w:cs="宋体"/>
      <w:b/>
      <w:bCs/>
      <w:sz w:val="20"/>
      <w:szCs w:val="20"/>
    </w:rPr>
  </w:style>
  <w:style w:type="paragraph" w:styleId="1404" w:customStyle="1">
    <w:name w:val="xl177"/>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405" w:customStyle="1">
    <w:name w:val="xl33"/>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406" w:customStyle="1">
    <w:name w:val="xl79"/>
    <w:basedOn w:val="72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407" w:customStyle="1">
    <w:name w:val="小四 段落 宋体 Char"/>
    <w:basedOn w:val="1104"/>
    <w:uiPriority w:val="0"/>
    <w:qFormat/>
    <w:pPr>
      <w:ind w:left="0" w:right="-33" w:firstLine="480"/>
      <w:spacing w:line="360" w:lineRule="auto"/>
      <w:widowControl w:val="off"/>
    </w:pPr>
    <w:rPr>
      <w:rFonts w:ascii="Times New Roman" w:hAnsi="Times New Roman" w:eastAsia="宋体" w:cs="Times New Roman"/>
    </w:rPr>
  </w:style>
  <w:style w:type="paragraph" w:styleId="1408" w:customStyle="1">
    <w:name w:val="xl105"/>
    <w:basedOn w:val="722"/>
    <w:uiPriority w:val="0"/>
    <w:qFormat/>
    <w:pPr>
      <w:jc w:val="left"/>
      <w:spacing w:before="100" w:beforeAutospacing="1" w:after="100" w:afterAutospacing="1"/>
      <w:widowControl/>
      <w:pBdr>
        <w:top w:val="single" w:color="000000" w:sz="6" w:space="0"/>
        <w:left w:val="single" w:color="000000" w:sz="4" w:space="0"/>
        <w:bottom w:val="single" w:color="000000" w:sz="4" w:space="0"/>
      </w:pBdr>
    </w:pPr>
    <w:rPr>
      <w:rFonts w:ascii="宋体" w:hAnsi="宋体" w:eastAsia="宋体" w:cs="宋体"/>
      <w:b/>
      <w:bCs/>
      <w:sz w:val="22"/>
      <w:szCs w:val="22"/>
    </w:rPr>
  </w:style>
  <w:style w:type="table" w:styleId="1409" w:customStyle="1">
    <w:name w:val="Table Normal"/>
    <w:uiPriority w:val="0"/>
    <w:unhideWhenUsed/>
    <w:qFormat/>
    <w:tblPr/>
  </w:style>
  <w:style w:type="table" w:styleId="1410" w:customStyle="1">
    <w:name w:val="网格型 71"/>
    <w:basedOn w:val="923"/>
    <w:uiPriority w:val="0"/>
    <w:qFormat/>
    <w:pPr>
      <w:jc w:val="both"/>
      <w:spacing w:line="360" w:lineRule="auto"/>
      <w:widowControl w:val="off"/>
    </w:pPr>
    <w:rPr>
      <w:rFonts w:ascii="Times New Roman" w:hAnsi="Times New Roman" w:eastAsia="宋体" w:cs="Times New Roman"/>
      <w:b/>
      <w:bCs/>
    </w:rPr>
    <w:tblPr/>
  </w:style>
  <w:style w:type="table" w:styleId="1411" w:customStyle="1">
    <w:name w:val="网格型1"/>
    <w:basedOn w:val="923"/>
    <w:uiPriority w:val="39"/>
    <w:qFormat/>
    <w:pPr>
      <w:jc w:val="both"/>
      <w:widowControl w:val="off"/>
    </w:pPr>
    <w:rPr>
      <w:rFonts w:ascii="Times New Roman" w:hAnsi="Times New Roman" w:eastAsia="宋体" w:cs="Times New Roman"/>
    </w:rPr>
    <w:tblPr/>
  </w:style>
  <w:style w:type="character" w:styleId="1412" w:customStyle="1">
    <w:name w:val="font31"/>
    <w:basedOn w:val="732"/>
    <w:uiPriority w:val="0"/>
    <w:qFormat/>
    <w:rPr>
      <w:rFonts w:hint="eastAsia" w:ascii="宋体" w:hAnsi="宋体" w:eastAsia="宋体" w:cs="宋体"/>
      <w:color w:val="000000"/>
      <w:sz w:val="20"/>
      <w:szCs w:val="20"/>
      <w:u w:val="none"/>
    </w:rPr>
  </w:style>
  <w:style w:type="character" w:styleId="1413" w:customStyle="1">
    <w:name w:val="NormalCharacter"/>
    <w:uiPriority w:val="0"/>
    <w:semiHidden/>
    <w:qFormat/>
  </w:style>
  <w:style w:type="paragraph" w:styleId="1414" w:customStyle="1">
    <w:name w:val="纯文本6"/>
    <w:basedOn w:val="722"/>
    <w:uiPriority w:val="0"/>
    <w:qFormat/>
    <w:rPr>
      <w:rFonts w:ascii="宋体" w:hAnsi="Courier New" w:eastAsia="楷体_GB2312" w:cs="宋体"/>
      <w:sz w:val="28"/>
      <w:szCs w:val="20"/>
    </w:rPr>
  </w:style>
  <w:style w:type="paragraph" w:styleId="1415" w:customStyle="1">
    <w:name w:val="Plain Text"/>
    <w:basedOn w:val="722"/>
    <w:uiPriority w:val="0"/>
    <w:qFormat/>
    <w:rPr>
      <w:rFonts w:ascii="宋体" w:hAnsi="Courier New" w:eastAsia="楷体_GB2312" w:cs="Times New Roman"/>
      <w:sz w:val="28"/>
      <w:szCs w:val="20"/>
    </w:rPr>
  </w:style>
  <w:style w:type="numbering" w:styleId="14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dc:title>
  <dc:creator>a</dc:creator>
  <cp:lastModifiedBy>卞玥霏</cp:lastModifiedBy>
  <cp:revision>10</cp:revision>
  <dcterms:created xsi:type="dcterms:W3CDTF">2020-06-04T04:55:00Z</dcterms:created>
  <dcterms:modified xsi:type="dcterms:W3CDTF">2026-04-13T03:29:55Z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eyJoZGlkIjoiYTFjOGE4NzA0OWVmOGVjZTJjYTY4NDk5ODUzNTZlNzIiLCJ1c2VySWQiOiI1NDQ4Njk0NDIifQ==</vt:lpwstr>
  </property>
  <property fmtid="{D5CDD505-2E9C-101B-9397-08002B2CF9AE}" pid="4" name="ICV">
    <vt:lpwstr>6260CCCAB3A24155969ABEF2E06DB4B5_13</vt:lpwstr>
  </property>
</Properties>
</file>