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r>
      <w:r/>
    </w:p>
    <w:p>
      <w:pPr>
        <w:ind w:left="0"/>
        <w:jc w:val="center"/>
        <w:rPr>
          <w:rFonts w:hint="eastAsia" w:ascii="宋体" w:hAnsi="宋体"/>
          <w:b/>
          <w:sz w:val="108"/>
        </w:rPr>
      </w:pPr>
      <w:r>
        <w:rPr>
          <w:rFonts w:hint="eastAsia" w:ascii="宋体" w:hAnsi="宋体"/>
          <w:b/>
          <w:sz w:val="108"/>
        </w:rPr>
        <w:t xml:space="preserve">苏州市政府采购</w:t>
      </w:r>
      <w:r/>
    </w:p>
    <w:p>
      <w:pPr>
        <w:ind w:left="0"/>
        <w:jc w:val="center"/>
        <w:rPr>
          <w:rFonts w:hint="eastAsia" w:ascii="宋体" w:hAnsi="宋体"/>
          <w:b/>
          <w:sz w:val="108"/>
        </w:rPr>
      </w:pPr>
      <w:r>
        <w:rPr>
          <w:rFonts w:hint="eastAsia" w:ascii="宋体" w:hAnsi="宋体"/>
          <w:b/>
          <w:sz w:val="108"/>
        </w:rPr>
        <w:t xml:space="preserve">招标文件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1842"/>
        <w:jc w:val="left"/>
        <w:spacing w:line="480" w:lineRule="auto"/>
        <w:tabs>
          <w:tab w:val="center" w:pos="6264" w:leader="none"/>
        </w:tabs>
        <w:rPr>
          <w:rFonts w:hint="eastAsia" w:ascii="宋体" w:hAnsi="宋体"/>
          <w:b/>
          <w:sz w:val="32"/>
        </w:rPr>
      </w:pPr>
      <w:r>
        <w:rPr>
          <w:rFonts w:hint="eastAsia" w:ascii="宋体" w:hAnsi="宋体"/>
          <w:b/>
          <w:sz w:val="32"/>
        </w:rPr>
      </w:r>
      <w:r/>
    </w:p>
    <w:p>
      <w:pPr>
        <w:ind w:left="1842"/>
        <w:jc w:val="left"/>
        <w:spacing w:line="480" w:lineRule="auto"/>
        <w:tabs>
          <w:tab w:val="center" w:pos="6264" w:leader="none"/>
        </w:tabs>
        <w:rPr>
          <w:rFonts w:hint="eastAsia" w:ascii="宋体" w:hAnsi="宋体"/>
          <w:b/>
          <w:sz w:val="32"/>
        </w:rPr>
      </w:pPr>
      <w:r>
        <w:rPr>
          <w:rFonts w:hint="eastAsia" w:ascii="宋体" w:hAnsi="宋体"/>
          <w:b/>
          <w:sz w:val="32"/>
        </w:rPr>
        <w:t xml:space="preserve">项目编号：JSZC-320500-JZCG-G2026-0085</w:t>
      </w:r>
      <w:r/>
    </w:p>
    <w:p>
      <w:pPr>
        <w:ind w:left="1842"/>
        <w:jc w:val="left"/>
        <w:spacing w:line="480" w:lineRule="auto"/>
        <w:tabs>
          <w:tab w:val="center" w:pos="6264" w:leader="none"/>
        </w:tabs>
        <w:rPr>
          <w:rFonts w:hint="eastAsia" w:ascii="宋体" w:hAnsi="宋体"/>
          <w:b/>
          <w:sz w:val="32"/>
        </w:rPr>
      </w:pPr>
      <w:r>
        <w:rPr>
          <w:rFonts w:hint="eastAsia" w:ascii="宋体" w:hAnsi="宋体"/>
          <w:b/>
          <w:sz w:val="32"/>
        </w:rPr>
        <w:t xml:space="preserve">采购单位：苏州市疾病预防控制中心</w:t>
      </w:r>
      <w:r/>
    </w:p>
    <w:p>
      <w:pPr>
        <w:ind w:left="1842"/>
        <w:jc w:val="left"/>
        <w:spacing w:line="480" w:lineRule="auto"/>
        <w:tabs>
          <w:tab w:val="center" w:pos="6264" w:leader="none"/>
        </w:tabs>
        <w:rPr>
          <w:rFonts w:hint="eastAsia" w:ascii="宋体" w:hAnsi="宋体"/>
          <w:b/>
          <w:sz w:val="32"/>
        </w:rPr>
      </w:pPr>
      <w:r>
        <w:rPr>
          <w:rFonts w:hint="eastAsia" w:ascii="宋体" w:hAnsi="宋体"/>
          <w:b/>
          <w:sz w:val="32"/>
        </w:rPr>
        <w:t xml:space="preserve">项目名称：“数字疾控二期”软件</w:t>
      </w:r>
      <w:r/>
    </w:p>
    <w:p>
      <w:pPr>
        <w:ind w:left="1842"/>
        <w:jc w:val="left"/>
        <w:spacing w:line="480" w:lineRule="auto"/>
        <w:tabs>
          <w:tab w:val="center" w:pos="6264" w:leader="none"/>
        </w:tabs>
        <w:rPr>
          <w:rFonts w:hint="eastAsia" w:ascii="宋体" w:hAnsi="宋体"/>
          <w:b/>
          <w:sz w:val="32"/>
        </w:rPr>
      </w:pPr>
      <w:r>
        <w:rPr>
          <w:rFonts w:hint="eastAsia" w:ascii="宋体" w:hAnsi="宋体"/>
          <w:b/>
          <w:sz w:val="32"/>
        </w:rPr>
        <w:t xml:space="preserve">项目类别：服务类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867"/>
      </w:pPr>
      <w:r/>
      <w:r/>
    </w:p>
    <w:p>
      <w:pPr>
        <w:rPr>
          <w:rFonts w:ascii="Times New Roman" w:hAnsi="Times New Roman" w:cs="Times New Roman"/>
        </w:rPr>
      </w:pPr>
      <w:r>
        <w:rPr>
          <w:rFonts w:ascii="Times New Roman" w:hAnsi="Times New Roman" w:cs="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苏州市政府集中采购中心</w:t>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年4月</w:t>
      </w:r>
      <w:r/>
    </w:p>
    <w:p>
      <w:pPr>
        <w:ind w:left="0"/>
        <w:jc w:val="center"/>
        <w:rPr>
          <w:rFonts w:hint="eastAsia"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874"/>
        <w:ind w:firstLine="0"/>
        <w:jc w:val="left"/>
        <w:spacing w:before="120" w:after="120"/>
        <w:tabs>
          <w:tab w:val="right" w:pos="9856" w:leader="dot"/>
        </w:tabs>
        <w:rPr>
          <w:rStyle w:val="906"/>
          <w:rFonts w:hint="eastAsia" w:ascii="宋体" w:hAnsi="宋体" w:cs="Calibri"/>
          <w:bCs/>
          <w:caps/>
          <w:color w:val="auto"/>
          <w:sz w:val="32"/>
          <w:szCs w:val="32"/>
        </w:rPr>
        <w:outlineLvl w:val="9"/>
      </w:pPr>
      <w:r>
        <w:rPr>
          <w:rFonts w:hint="eastAsia" w:ascii="宋体" w:hAnsi="宋体" w:cs="Calibri"/>
          <w:bCs/>
          <w:caps/>
          <w:color w:val="auto"/>
          <w:sz w:val="32"/>
          <w:szCs w:val="32"/>
        </w:rPr>
      </w:r>
      <w:r/>
    </w:p>
    <w:p>
      <w:pPr>
        <w:pStyle w:val="874"/>
        <w:ind w:firstLine="0"/>
        <w:jc w:val="left"/>
        <w:spacing w:before="120" w:after="120"/>
        <w:tabs>
          <w:tab w:val="right" w:pos="9854" w:leader="dot"/>
        </w:tabs>
        <w:rPr>
          <w:rStyle w:val="906"/>
          <w:rFonts w:hint="eastAsia" w:ascii="宋体" w:hAnsi="宋体" w:cs="Calibri"/>
          <w:bCs/>
          <w:caps/>
          <w:color w:val="auto"/>
          <w:sz w:val="32"/>
          <w:szCs w:val="32"/>
        </w:rPr>
        <w:outlineLvl w:val="9"/>
      </w:pPr>
      <w:r>
        <w:rPr>
          <w:rStyle w:val="906"/>
          <w:rFonts w:ascii="宋体" w:hAnsi="宋体" w:cs="Calibri"/>
          <w:bCs/>
          <w:caps/>
          <w:color w:val="auto"/>
          <w:sz w:val="32"/>
        </w:rPr>
        <w:fldChar w:fldCharType="begin"/>
      </w:r>
      <w:r>
        <w:rPr>
          <w:rStyle w:val="906"/>
          <w:rFonts w:ascii="宋体" w:hAnsi="宋体" w:cs="Calibri"/>
          <w:bCs/>
          <w:caps/>
          <w:color w:val="auto"/>
          <w:sz w:val="32"/>
        </w:rPr>
        <w:instrText xml:space="preserve"> TOC \o "1-1" \h \z \u </w:instrText>
      </w:r>
      <w:r>
        <w:rPr>
          <w:rStyle w:val="906"/>
          <w:rFonts w:ascii="宋体" w:hAnsi="宋体" w:cs="Calibri"/>
          <w:bCs/>
          <w:caps/>
          <w:color w:val="auto"/>
          <w:sz w:val="32"/>
        </w:rPr>
        <w:fldChar w:fldCharType="separate"/>
      </w:r>
      <w:hyperlink w:tooltip="#_Toc105397776" w:anchor="_Toc105397776" w:history="1">
        <w:r>
          <w:rPr>
            <w:rStyle w:val="906"/>
            <w:rFonts w:ascii="宋体" w:hAnsi="宋体" w:cs="Calibri"/>
            <w:bCs/>
            <w:caps/>
            <w:color w:val="auto"/>
            <w:sz w:val="32"/>
            <w:szCs w:val="32"/>
          </w:rPr>
          <w:t xml:space="preserve">第一章 投标邀请函</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_Toc105397776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hint="eastAsia" w:ascii="宋体" w:hAnsi="宋体" w:cs="Calibri"/>
            <w:bCs/>
            <w:caps/>
            <w:color w:val="auto"/>
            <w:sz w:val="32"/>
            <w:szCs w:val="32"/>
          </w:rPr>
          <w:t xml:space="preserve">5</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hint="eastAsia" w:ascii="宋体" w:hAnsi="宋体" w:cs="Calibri"/>
          <w:bCs/>
          <w:caps/>
          <w:color w:val="auto"/>
          <w:sz w:val="32"/>
          <w:szCs w:val="32"/>
        </w:rPr>
        <w:outlineLvl w:val="9"/>
      </w:pPr>
      <w:r/>
      <w:hyperlink w:tooltip="#_Toc105397777" w:anchor="_Toc105397777" w:history="1">
        <w:r>
          <w:rPr>
            <w:rStyle w:val="906"/>
            <w:rFonts w:ascii="宋体" w:hAnsi="宋体" w:cs="Calibri"/>
            <w:bCs/>
            <w:caps/>
            <w:color w:val="auto"/>
            <w:sz w:val="32"/>
            <w:szCs w:val="32"/>
          </w:rPr>
          <w:t xml:space="preserve">第二章 投标人须知</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_Toc105397777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hint="eastAsia" w:ascii="宋体" w:hAnsi="宋体" w:cs="Calibri"/>
            <w:bCs/>
            <w:caps/>
            <w:color w:val="auto"/>
            <w:sz w:val="32"/>
            <w:szCs w:val="32"/>
          </w:rPr>
          <w:t xml:space="preserve">8</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hint="eastAsia" w:ascii="宋体" w:hAnsi="宋体" w:cs="Calibri"/>
          <w:bCs/>
          <w:caps/>
          <w:color w:val="auto"/>
          <w:sz w:val="32"/>
          <w:szCs w:val="32"/>
        </w:rPr>
        <w:outlineLvl w:val="9"/>
      </w:pPr>
      <w:r/>
      <w:hyperlink w:tooltip="#_Toc105397778" w:anchor="_Toc105397778" w:history="1">
        <w:r>
          <w:rPr>
            <w:rStyle w:val="906"/>
            <w:rFonts w:ascii="宋体" w:hAnsi="宋体" w:cs="Calibri"/>
            <w:bCs/>
            <w:caps/>
            <w:color w:val="auto"/>
            <w:sz w:val="32"/>
            <w:szCs w:val="32"/>
          </w:rPr>
          <w:t xml:space="preserve">第三章 投标文件格式</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_Toc105397778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hint="eastAsia" w:ascii="宋体" w:hAnsi="宋体" w:cs="Calibri"/>
            <w:bCs/>
            <w:caps/>
            <w:color w:val="auto"/>
            <w:sz w:val="32"/>
            <w:szCs w:val="32"/>
          </w:rPr>
          <w:t xml:space="preserve">20</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hint="eastAsia" w:ascii="宋体" w:hAnsi="宋体" w:cs="Calibri"/>
          <w:bCs/>
          <w:caps/>
          <w:color w:val="auto"/>
          <w:sz w:val="32"/>
          <w:szCs w:val="32"/>
        </w:rPr>
        <w:outlineLvl w:val="9"/>
      </w:pPr>
      <w:r/>
      <w:hyperlink w:tooltip="#_Toc105397793" w:anchor="_Toc105397793" w:history="1">
        <w:r>
          <w:rPr>
            <w:rStyle w:val="906"/>
            <w:rFonts w:ascii="宋体" w:hAnsi="宋体" w:cs="Calibri"/>
            <w:bCs/>
            <w:caps/>
            <w:color w:val="auto"/>
            <w:sz w:val="32"/>
            <w:szCs w:val="32"/>
          </w:rPr>
          <w:t xml:space="preserve">第四章 招标书</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_Toc105397793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hint="eastAsia" w:ascii="宋体" w:hAnsi="宋体" w:cs="Calibri"/>
            <w:bCs/>
            <w:caps/>
            <w:color w:val="auto"/>
            <w:sz w:val="32"/>
            <w:szCs w:val="32"/>
          </w:rPr>
          <w:t xml:space="preserve">33</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hint="eastAsia" w:ascii="宋体" w:hAnsi="宋体" w:cs="Calibri"/>
          <w:bCs/>
          <w:caps/>
          <w:color w:val="auto"/>
          <w:sz w:val="32"/>
          <w:szCs w:val="32"/>
        </w:rPr>
        <w:outlineLvl w:val="9"/>
      </w:pPr>
      <w:r/>
      <w:hyperlink w:tooltip="#_Toc105397794" w:anchor="_Toc105397794" w:history="1">
        <w:r>
          <w:rPr>
            <w:rStyle w:val="906"/>
            <w:rFonts w:ascii="宋体" w:hAnsi="宋体" w:cs="Calibri"/>
            <w:bCs/>
            <w:caps/>
            <w:color w:val="auto"/>
            <w:sz w:val="32"/>
            <w:szCs w:val="32"/>
          </w:rPr>
          <w:t xml:space="preserve">第五章 合同及主要条款</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_Toc105397794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hint="eastAsia" w:ascii="宋体" w:hAnsi="宋体" w:cs="Calibri"/>
            <w:bCs/>
            <w:caps/>
            <w:color w:val="auto"/>
            <w:sz w:val="32"/>
            <w:szCs w:val="32"/>
          </w:rPr>
          <w:t xml:space="preserve">52</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hint="eastAsia" w:ascii="宋体" w:hAnsi="宋体" w:cs="Calibri"/>
          <w:bCs/>
          <w:caps/>
          <w:color w:val="auto"/>
          <w:sz w:val="32"/>
          <w:szCs w:val="32"/>
        </w:rPr>
        <w:outlineLvl w:val="9"/>
      </w:pPr>
      <w:r/>
      <w:hyperlink w:tooltip="#_Toc105397795" w:anchor="_Toc105397795" w:history="1">
        <w:r>
          <w:rPr>
            <w:rStyle w:val="906"/>
            <w:rFonts w:ascii="宋体" w:hAnsi="宋体" w:cs="Calibri"/>
            <w:bCs/>
            <w:caps/>
            <w:color w:val="auto"/>
            <w:sz w:val="32"/>
            <w:szCs w:val="32"/>
          </w:rPr>
          <w:t xml:space="preserve">第六章 评标办法和评分标准</w:t>
        </w:r>
        <w:r>
          <w:rPr>
            <w:rStyle w:val="906"/>
            <w:rFonts w:ascii="宋体" w:hAnsi="宋体" w:cs="Calibri"/>
            <w:bCs/>
            <w:caps/>
            <w:color w:val="auto"/>
            <w:sz w:val="32"/>
            <w:szCs w:val="32"/>
          </w:rPr>
          <w:tab/>
        </w:r>
        <w:r>
          <w:rPr>
            <w:rStyle w:val="906"/>
            <w:rFonts w:hint="eastAsia" w:ascii="宋体" w:hAnsi="宋体" w:cs="Calibri"/>
            <w:bCs/>
            <w:caps/>
            <w:color w:val="auto"/>
            <w:sz w:val="32"/>
            <w:szCs w:val="32"/>
          </w:rPr>
          <w:t xml:space="preserve">6</w:t>
        </w:r>
      </w:hyperlink>
      <w:r>
        <w:rPr>
          <w:rStyle w:val="906"/>
          <w:rFonts w:hint="eastAsia" w:ascii="宋体" w:hAnsi="宋体" w:cs="Calibri"/>
          <w:bCs/>
          <w:caps/>
          <w:color w:val="auto"/>
          <w:sz w:val="32"/>
          <w:szCs w:val="32"/>
        </w:rPr>
        <w:t xml:space="preserve">0</w:t>
      </w:r>
      <w:r/>
    </w:p>
    <w:p>
      <w:pPr>
        <w:pStyle w:val="874"/>
        <w:ind w:firstLine="0"/>
        <w:jc w:val="left"/>
        <w:spacing w:before="120" w:after="120"/>
        <w:tabs>
          <w:tab w:val="right" w:pos="9856" w:leader="dot"/>
        </w:tabs>
        <w:rPr>
          <w:rFonts w:hint="eastAsia" w:ascii="宋体" w:hAnsi="宋体"/>
          <w:sz w:val="32"/>
          <w:szCs w:val="32"/>
        </w:rPr>
        <w:outlineLvl w:val="9"/>
      </w:pPr>
      <w:r>
        <w:rPr>
          <w:rStyle w:val="906"/>
          <w:rFonts w:ascii="宋体" w:hAnsi="宋体" w:cs="Calibri"/>
          <w:bCs/>
          <w:caps/>
          <w:color w:val="auto"/>
          <w:sz w:val="32"/>
        </w:rPr>
        <w:fldChar w:fldCharType="end"/>
      </w:r>
      <w:r/>
    </w:p>
    <w:p>
      <w:pPr>
        <w:ind w:left="0"/>
        <w:rPr>
          <w:rFonts w:hint="eastAsia" w:ascii="宋体" w:hAnsi="宋体" w:cs="Times New Roman"/>
          <w:sz w:val="32"/>
          <w:szCs w:val="32"/>
        </w:rPr>
      </w:pPr>
      <w:r>
        <w:rPr>
          <w:rFonts w:hint="eastAsia" w:ascii="宋体" w:hAnsi="宋体" w:cs="Times New Roman"/>
          <w:sz w:val="32"/>
          <w:szCs w:val="32"/>
        </w:rPr>
      </w:r>
      <w:r/>
    </w:p>
    <w:p>
      <w:pPr>
        <w:ind w:left="0"/>
        <w:jc w:val="center"/>
        <w:rPr>
          <w:rFonts w:hint="eastAsia" w:ascii="宋体" w:hAnsi="宋体"/>
          <w:b/>
          <w:spacing w:val="20"/>
          <w:sz w:val="30"/>
        </w:rPr>
      </w:pPr>
      <w:r>
        <w:rPr>
          <w:rFonts w:ascii="宋体" w:hAnsi="宋体"/>
        </w:rPr>
        <w:br w:type="page" w:clear="all"/>
      </w:r>
      <w:bookmarkStart w:id="0" w:name="_Toc16121"/>
      <w:r/>
      <w:bookmarkStart w:id="1" w:name="_Toc17003"/>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JSZC-320500-JZCG-G2026-0085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“数字疾控二期”软件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地址：苏州高新区邓尉路105号狮山科技馆7楼</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联系人: 宋工</w:t>
            </w:r>
            <w:r/>
          </w:p>
          <w:p>
            <w:pPr>
              <w:ind w:left="0"/>
              <w:jc w:val="left"/>
              <w:spacing w:line="440" w:lineRule="exact"/>
              <w:rPr>
                <w:rFonts w:hint="eastAsia" w:ascii="宋体" w:hAnsi="宋体"/>
                <w:sz w:val="21"/>
                <w:szCs w:val="21"/>
              </w:rPr>
            </w:pPr>
            <w:r>
              <w:rPr>
                <w:rFonts w:hint="eastAsia" w:ascii="宋体" w:hAnsi="宋体" w:cs="Times New Roman"/>
                <w:sz w:val="21"/>
                <w:szCs w:val="21"/>
              </w:rPr>
              <w:t xml:space="preserve">电话/传真：0512-69829956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名称：苏州市疾病预防控制中心</w:t>
            </w:r>
            <w:r/>
          </w:p>
          <w:p>
            <w:pPr>
              <w:ind w:left="0"/>
              <w:jc w:val="left"/>
              <w:spacing w:line="440" w:lineRule="exact"/>
              <w:rPr>
                <w:rFonts w:hint="eastAsia" w:ascii="宋体" w:hAnsi="宋体"/>
                <w:sz w:val="21"/>
                <w:szCs w:val="21"/>
              </w:rPr>
            </w:pPr>
            <w:r>
              <w:rPr>
                <w:rFonts w:hint="eastAsia" w:ascii="宋体" w:hAnsi="宋体"/>
                <w:sz w:val="21"/>
                <w:szCs w:val="21"/>
              </w:rPr>
              <w:t xml:space="preserve">地址：苏州市姑苏区三香路72号</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孙忠保</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联系电话：18962168210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2026-05-15  09:30</w:t>
            </w:r>
            <w:r>
              <w:rPr>
                <w:rFonts w:hint="eastAsia" w:ascii="宋体" w:hAnsi="宋体" w:cs="Times New Roman"/>
                <w:sz w:val="21"/>
                <w:szCs w:val="21"/>
                <w:u w:val="single"/>
              </w:rPr>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2026-05-15  09:30</w:t>
            </w:r>
            <w:r>
              <w:rPr>
                <w:rFonts w:hint="eastAsia"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hint="eastAsia"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2026-05-15  09:30</w:t>
            </w:r>
            <w:r>
              <w:rPr>
                <w:rFonts w:hint="eastAsia"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hint="eastAsia"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5"/>
              <w:ind w:left="0"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5"/>
              <w:ind w:left="0"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hint="eastAsia" w:ascii="宋体" w:hAnsi="宋体"/>
          <w:b/>
          <w:sz w:val="44"/>
          <w:szCs w:val="22"/>
        </w:rPr>
      </w:pPr>
      <w:r/>
      <w:bookmarkStart w:id="3" w:name="_Toc7166"/>
      <w:r/>
      <w:bookmarkStart w:id="4" w:name="_Toc28592"/>
      <w:r/>
      <w:r/>
    </w:p>
    <w:p>
      <w:pPr>
        <w:ind w:left="0"/>
        <w:jc w:val="center"/>
        <w:rPr>
          <w:rFonts w:hint="eastAsia" w:ascii="宋体" w:hAnsi="宋体"/>
          <w:b/>
          <w:sz w:val="44"/>
          <w:szCs w:val="22"/>
        </w:rPr>
      </w:pPr>
      <w:r>
        <w:rPr>
          <w:rFonts w:hint="eastAsia" w:ascii="宋体" w:hAnsi="宋体"/>
          <w:b/>
          <w:sz w:val="44"/>
          <w:szCs w:val="22"/>
        </w:rPr>
      </w:r>
      <w:r/>
    </w:p>
    <w:p>
      <w:pPr>
        <w:pStyle w:val="867"/>
        <w:rPr>
          <w:rFonts w:hint="eastAsia" w:ascii="宋体" w:hAnsi="宋体"/>
        </w:rPr>
      </w:pPr>
      <w:r>
        <w:rPr>
          <w:rFonts w:hint="eastAsia" w:ascii="宋体" w:hAnsi="宋体"/>
        </w:rPr>
      </w:r>
      <w:r/>
    </w:p>
    <w:p>
      <w:pPr>
        <w:ind w:left="0"/>
        <w:jc w:val="center"/>
        <w:rPr>
          <w:rFonts w:hint="eastAsia" w:ascii="宋体" w:hAnsi="宋体"/>
          <w:b/>
          <w:sz w:val="44"/>
          <w:szCs w:val="22"/>
        </w:rPr>
      </w:pPr>
      <w:r>
        <w:rPr>
          <w:rFonts w:hint="eastAsia" w:ascii="宋体" w:hAnsi="宋体"/>
          <w:b/>
          <w:sz w:val="44"/>
          <w:szCs w:val="22"/>
        </w:rPr>
      </w:r>
      <w:r/>
    </w:p>
    <w:p>
      <w:pPr>
        <w:pStyle w:val="867"/>
        <w:rPr>
          <w:rFonts w:hint="eastAsia" w:ascii="宋体" w:hAnsi="宋体"/>
        </w:rPr>
      </w:pPr>
      <w:r>
        <w:rPr>
          <w:rFonts w:hint="eastAsia" w:ascii="宋体" w:hAnsi="宋体"/>
        </w:rPr>
      </w:r>
      <w:r/>
    </w:p>
    <w:p>
      <w:pPr>
        <w:pStyle w:val="859"/>
        <w:rPr>
          <w:rFonts w:hint="eastAsia" w:ascii="宋体" w:hAnsi="宋体" w:cs="Times New Roman"/>
        </w:rPr>
      </w:pPr>
      <w:r>
        <w:rPr>
          <w:rFonts w:hint="eastAsia" w:ascii="宋体" w:hAnsi="宋体" w:cs="Times New Roman"/>
        </w:rPr>
      </w:r>
      <w:r/>
    </w:p>
    <w:p>
      <w:pPr>
        <w:ind w:left="0"/>
        <w:rPr>
          <w:rFonts w:hint="eastAsia" w:ascii="宋体" w:hAnsi="宋体"/>
          <w:b/>
          <w:sz w:val="44"/>
          <w:szCs w:val="22"/>
        </w:rPr>
      </w:pPr>
      <w:r>
        <w:rPr>
          <w:rFonts w:hint="eastAsia" w:ascii="宋体" w:hAnsi="宋体"/>
          <w:b/>
          <w:sz w:val="44"/>
          <w:szCs w:val="22"/>
        </w:rPr>
      </w:r>
      <w:r/>
    </w:p>
    <w:p>
      <w:pPr>
        <w:pStyle w:val="841"/>
        <w:ind w:left="431" w:firstLine="17"/>
        <w:jc w:val="center"/>
        <w:spacing w:before="0" w:after="0" w:line="360" w:lineRule="auto"/>
        <w:rPr>
          <w:rStyle w:val="971"/>
          <w:rFonts w:hint="eastAsia"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“数字疾控二期”软件</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rPr>
        <w:t xml:space="preserve">2026-05-15  09:30</w:t>
      </w:r>
      <w:r>
        <w:rPr>
          <w:rFonts w:hint="eastAsia" w:ascii="宋体" w:hAnsi="宋体"/>
          <w:b/>
          <w:sz w:val="21"/>
          <w:szCs w:val="21"/>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59"/>
        <w:ind w:left="0" w:firstLine="422"/>
        <w:spacing w:line="360" w:lineRule="auto"/>
        <w:rPr>
          <w:rFonts w:hint="eastAsia" w:ascii="宋体" w:hAnsi="宋体"/>
          <w:b/>
          <w:sz w:val="21"/>
          <w:szCs w:val="21"/>
        </w:rPr>
      </w:pPr>
      <w:r>
        <w:rPr>
          <w:rFonts w:hint="eastAsia" w:ascii="宋体" w:hAnsi="宋体"/>
          <w:b/>
          <w:sz w:val="21"/>
          <w:szCs w:val="21"/>
        </w:rPr>
        <w:t xml:space="preserve">一、项目基本情况 </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1.项目编号：JSZC-320500-JZCG-G2026-0085</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2.项目名称：“数字疾控二期”软件 </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3.采购方式：公开招标</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4.预算金额：人民币壹佰叁拾万元整（¥1300000.00）</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5.最高限价：人民币壹佰叁拾万元整（¥1300000.00）</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6.合同履行期限：签订合同后一年内完成项目。本项目除中心网站、数字</w:t>
      </w:r>
      <w:r>
        <w:rPr>
          <w:rFonts w:hint="eastAsia" w:ascii="宋体" w:hAnsi="宋体"/>
          <w:sz w:val="21"/>
          <w:szCs w:val="21"/>
        </w:rPr>
        <w:t xml:space="preserve">疾控移动版质</w:t>
      </w:r>
      <w:r>
        <w:rPr>
          <w:rFonts w:hint="eastAsia" w:ascii="宋体" w:hAnsi="宋体"/>
          <w:sz w:val="21"/>
          <w:szCs w:val="21"/>
        </w:rPr>
        <w:t xml:space="preserve">保1年；杀毒软件质保3年外；其余整体质保期为5年。</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7.采购需求：“数字疾控二期”软件</w:t>
      </w:r>
      <w:r/>
    </w:p>
    <w:p>
      <w:pPr>
        <w:pStyle w:val="859"/>
        <w:ind w:left="0" w:firstLine="422"/>
        <w:spacing w:line="360" w:lineRule="auto"/>
        <w:rPr>
          <w:rFonts w:hint="eastAsia" w:ascii="宋体" w:hAnsi="宋体"/>
          <w:b/>
          <w:sz w:val="21"/>
          <w:szCs w:val="21"/>
        </w:rPr>
      </w:pPr>
      <w:r>
        <w:rPr>
          <w:rFonts w:hint="eastAsia" w:ascii="宋体" w:hAnsi="宋体"/>
          <w:b/>
          <w:sz w:val="21"/>
          <w:szCs w:val="21"/>
        </w:rPr>
        <w:t xml:space="preserve">二、供应商的资格要求 </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（1）具有独立承担民事责任的能力；</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（6）法律、行政法规规定的其他条件。 </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2.落实政府采购政策需满足的资格要求：无</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3.本项目的特定资格要求：无</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4.联合体及转包、分包：本项目不接受联合体，不得转包、分包本项目。</w:t>
      </w:r>
      <w:r/>
    </w:p>
    <w:p>
      <w:pPr>
        <w:pStyle w:val="859"/>
        <w:ind w:left="0" w:firstLine="422"/>
        <w:spacing w:line="360" w:lineRule="auto"/>
        <w:rPr>
          <w:rFonts w:hint="eastAsia" w:ascii="宋体" w:hAnsi="宋体"/>
          <w:b/>
          <w:sz w:val="21"/>
          <w:szCs w:val="21"/>
        </w:rPr>
      </w:pPr>
      <w:r>
        <w:rPr>
          <w:rFonts w:hint="eastAsia" w:ascii="宋体" w:hAnsi="宋体"/>
          <w:b/>
          <w:sz w:val="21"/>
          <w:szCs w:val="21"/>
        </w:rPr>
        <w:t xml:space="preserve">三、获取招标文件 </w:t>
      </w:r>
      <w:r/>
    </w:p>
    <w:p>
      <w:pPr>
        <w:pStyle w:val="859"/>
        <w:ind w:left="0" w:firstLine="420"/>
        <w:spacing w:line="360" w:lineRule="auto"/>
        <w:rPr>
          <w:rFonts w:hint="eastAsia" w:ascii="宋体" w:hAnsi="宋体"/>
          <w:b/>
          <w:sz w:val="21"/>
          <w:szCs w:val="21"/>
        </w:rPr>
      </w:pPr>
      <w:r>
        <w:rPr>
          <w:rFonts w:hint="eastAsia" w:ascii="宋体" w:hAnsi="宋体"/>
          <w:sz w:val="21"/>
          <w:szCs w:val="21"/>
        </w:rPr>
        <w:t xml:space="preserve">1.时间：自公告发布之日起5个工作日</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3.方式：</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（1）CA证书办理</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苏州现场办理地址：苏州高新区邓尉路105号狮山科技馆1楼服务大厅，咨询电话;</w:t>
      </w:r>
      <w:r>
        <w:rPr>
          <w:rFonts w:hint="eastAsia"/>
        </w:rPr>
        <w:t xml:space="preserve"> </w:t>
      </w:r>
      <w:r>
        <w:rPr>
          <w:rFonts w:hint="eastAsia" w:ascii="宋体" w:hAnsi="宋体"/>
          <w:b/>
          <w:sz w:val="21"/>
          <w:szCs w:val="21"/>
        </w:rPr>
        <w:t xml:space="preserve">0512-65737699。</w:t>
      </w:r>
      <w:r/>
    </w:p>
    <w:p>
      <w:pPr>
        <w:pStyle w:val="859"/>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bookmarkStart w:id="6" w:name="OLE_LINK40"/>
      <w:r/>
      <w:bookmarkStart w:id="7" w:name="OLE_LINK39"/>
      <w:r>
        <w:rPr>
          <w:rFonts w:ascii="宋体" w:hAnsi="宋体"/>
          <w:sz w:val="21"/>
          <w:szCs w:val="21"/>
        </w:rPr>
        <w:t xml:space="preserve">13914088964</w:t>
      </w:r>
      <w:bookmarkEnd w:id="6"/>
      <w:r/>
      <w:bookmarkEnd w:id="7"/>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4.售价：免费</w:t>
      </w:r>
      <w:r/>
    </w:p>
    <w:p>
      <w:pPr>
        <w:pStyle w:val="859"/>
        <w:ind w:left="0" w:firstLine="422"/>
        <w:spacing w:line="360" w:lineRule="auto"/>
        <w:rPr>
          <w:rFonts w:hint="eastAsia" w:ascii="宋体" w:hAnsi="宋体"/>
          <w:b/>
          <w:sz w:val="21"/>
          <w:szCs w:val="21"/>
        </w:rPr>
      </w:pPr>
      <w:r>
        <w:rPr>
          <w:rFonts w:hint="eastAsia" w:ascii="宋体" w:hAnsi="宋体"/>
          <w:b/>
          <w:sz w:val="21"/>
          <w:szCs w:val="21"/>
        </w:rPr>
        <w:t xml:space="preserve">四、提交投标文件截止时间、开标时间和地点</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b/>
          <w:bCs/>
          <w:sz w:val="21"/>
          <w:szCs w:val="21"/>
          <w:u w:val="single"/>
        </w:rPr>
        <w:t xml:space="preserve">2026-05-15  09:30</w:t>
      </w:r>
      <w:r>
        <w:rPr>
          <w:rFonts w:hint="eastAsia" w:ascii="宋体" w:hAnsi="宋体"/>
          <w:b/>
          <w:bCs/>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sz w:val="21"/>
          <w:szCs w:val="21"/>
          <w:u w:val="single"/>
        </w:rPr>
        <w:t xml:space="preserve">2026-05-15  09:30</w:t>
      </w:r>
      <w:r>
        <w:rPr>
          <w:rFonts w:hint="eastAsia" w:ascii="宋体" w:hAnsi="宋体"/>
          <w:sz w:val="21"/>
          <w:szCs w:val="21"/>
          <w:u w:val="single"/>
        </w:rPr>
      </w:r>
      <w:r>
        <w:rPr>
          <w:rFonts w:hint="eastAsia" w:ascii="宋体" w:hAnsi="宋体"/>
          <w:sz w:val="21"/>
          <w:szCs w:val="21"/>
        </w:rPr>
        <w:t xml:space="preserve">（北京时间）；</w:t>
      </w:r>
      <w:r/>
    </w:p>
    <w:p>
      <w:pPr>
        <w:pStyle w:val="859"/>
        <w:ind w:left="0" w:firstLine="420"/>
        <w:spacing w:line="360"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859"/>
        <w:ind w:left="0" w:firstLine="420"/>
        <w:spacing w:line="360"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59"/>
        <w:ind w:left="0" w:firstLine="420"/>
        <w:spacing w:line="360" w:lineRule="auto"/>
        <w:rPr>
          <w:rFonts w:hint="eastAsia"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59"/>
        <w:ind w:left="0" w:firstLine="422"/>
        <w:spacing w:line="360" w:lineRule="auto"/>
        <w:rPr>
          <w:rFonts w:hint="eastAsia"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59"/>
        <w:ind w:left="0" w:firstLine="422"/>
        <w:spacing w:line="360" w:lineRule="auto"/>
        <w:rPr>
          <w:rFonts w:hint="eastAsia" w:ascii="宋体" w:hAnsi="宋体"/>
          <w:b/>
          <w:sz w:val="21"/>
          <w:szCs w:val="21"/>
        </w:rPr>
      </w:pPr>
      <w:r>
        <w:rPr>
          <w:rFonts w:hint="eastAsia" w:ascii="宋体" w:hAnsi="宋体"/>
          <w:b/>
          <w:sz w:val="21"/>
          <w:szCs w:val="21"/>
        </w:rPr>
        <w:t xml:space="preserve">五、公告期限</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859"/>
        <w:ind w:left="0" w:firstLine="422"/>
        <w:spacing w:line="360" w:lineRule="auto"/>
        <w:rPr>
          <w:rFonts w:hint="eastAsia"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0"/>
              <w:ind w:left="0" w:firstLine="0"/>
              <w:jc w:val="center"/>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0"/>
              <w:ind w:left="0" w:firstLine="0"/>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0"/>
              <w:ind w:left="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cs="宋体" w:asciiTheme="minorEastAsia" w:hAnsiTheme="minorEastAsia" w:eastAsiaTheme="minorEastAsia"/>
                <w:color w:val="000000"/>
                <w:sz w:val="21"/>
                <w:szCs w:val="21"/>
              </w:rPr>
              <w:t xml:space="preserve">苏财购〔2021〕</w:t>
            </w:r>
            <w:r>
              <w:rPr>
                <w:rFonts w:hint="eastAsia" w:cs="宋体" w:asciiTheme="minorEastAsia" w:hAnsiTheme="minorEastAsia" w:eastAsiaTheme="minorEastAsia"/>
                <w:color w:val="000000"/>
                <w:sz w:val="21"/>
                <w:szCs w:val="21"/>
              </w:rPr>
              <w:t xml:space="preserve">82号)及苏州市财政局、人民银行苏州市分行相关文件要求，按照双方自愿的原则提供便捷、优惠的贷款服务。</w:t>
            </w:r>
            <w:r/>
          </w:p>
        </w:tc>
      </w:tr>
    </w:tbl>
    <w:p>
      <w:pPr>
        <w:pStyle w:val="859"/>
        <w:ind w:left="0" w:firstLine="422"/>
        <w:spacing w:line="360" w:lineRule="auto"/>
        <w:rPr>
          <w:rFonts w:hint="eastAsia" w:ascii="宋体" w:hAnsi="宋体"/>
          <w:b/>
          <w:sz w:val="21"/>
          <w:szCs w:val="21"/>
        </w:rPr>
      </w:pPr>
      <w:r>
        <w:rPr>
          <w:rFonts w:hint="eastAsia" w:ascii="宋体" w:hAnsi="宋体"/>
          <w:b/>
          <w:sz w:val="21"/>
          <w:szCs w:val="21"/>
        </w:rPr>
        <w:t xml:space="preserve">七、对本次招标提出询问，请按以下方式联系</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1.采购人信息 </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名称：苏州市疾病预防控制中心</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地址：苏州市姑苏区三香路72号</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孙忠保</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联系电话：18962168210</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2.采购代理机构信息 </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名称：苏州市政府集中采购中心 </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地址：苏州高新区邓尉路105号狮山科技馆7楼 </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联系方式：0512-69829956 </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3.项目联系方式</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联系人: 宋工</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电话/传真：0512-69829956</w:t>
      </w:r>
      <w:r/>
    </w:p>
    <w:p>
      <w:pPr>
        <w:ind w:left="0" w:firstLine="420"/>
        <w:spacing w:line="460" w:lineRule="exact"/>
        <w:rPr>
          <w:rFonts w:hint="eastAsia" w:ascii="宋体" w:hAnsi="宋体"/>
          <w:sz w:val="21"/>
          <w:szCs w:val="21"/>
        </w:rPr>
      </w:pPr>
      <w:r>
        <w:rPr>
          <w:rFonts w:hint="eastAsia" w:ascii="宋体" w:hAnsi="宋体"/>
          <w:sz w:val="21"/>
          <w:szCs w:val="21"/>
        </w:rPr>
      </w:r>
      <w:r/>
    </w:p>
    <w:p>
      <w:pPr>
        <w:ind w:left="0" w:firstLine="420"/>
        <w:spacing w:line="460" w:lineRule="exact"/>
        <w:rPr>
          <w:rFonts w:hint="eastAsia" w:ascii="宋体" w:hAnsi="宋体"/>
          <w:sz w:val="21"/>
          <w:szCs w:val="21"/>
        </w:rPr>
      </w:pPr>
      <w:r>
        <w:rPr>
          <w:rFonts w:hint="eastAsia" w:ascii="宋体" w:hAnsi="宋体"/>
          <w:sz w:val="21"/>
          <w:szCs w:val="21"/>
        </w:rPr>
      </w:r>
      <w:r/>
    </w:p>
    <w:p>
      <w:pPr>
        <w:pStyle w:val="853"/>
      </w:pPr>
      <w:r/>
      <w:r/>
    </w:p>
    <w:p>
      <w:r/>
      <w:r/>
    </w:p>
    <w:p>
      <w:pPr>
        <w:pStyle w:val="853"/>
      </w:pPr>
      <w:r/>
      <w:r/>
    </w:p>
    <w:p>
      <w:r/>
      <w:r/>
    </w:p>
    <w:p>
      <w:pPr>
        <w:pStyle w:val="853"/>
      </w:pPr>
      <w:r/>
      <w:r/>
    </w:p>
    <w:p>
      <w:r/>
      <w:r/>
    </w:p>
    <w:p>
      <w:pPr>
        <w:pStyle w:val="853"/>
      </w:pPr>
      <w:r/>
      <w:r/>
    </w:p>
    <w:p>
      <w:r/>
      <w:r/>
    </w:p>
    <w:p>
      <w:pPr>
        <w:pStyle w:val="853"/>
      </w:pPr>
      <w:r/>
      <w:r/>
    </w:p>
    <w:p>
      <w:r/>
      <w:r/>
    </w:p>
    <w:p>
      <w:pPr>
        <w:pStyle w:val="853"/>
      </w:pPr>
      <w:r/>
      <w:r/>
    </w:p>
    <w:p>
      <w:pPr>
        <w:pStyle w:val="853"/>
        <w:ind w:left="0" w:firstLine="0"/>
      </w:pPr>
      <w:r/>
      <w:r/>
    </w:p>
    <w:p>
      <w:pPr>
        <w:pStyle w:val="841"/>
        <w:ind w:left="0" w:firstLine="0"/>
        <w:jc w:val="center"/>
        <w:rPr>
          <w:rFonts w:hint="eastAsia" w:ascii="宋体" w:hAnsi="宋体"/>
          <w:b/>
          <w:sz w:val="44"/>
          <w:szCs w:val="22"/>
        </w:rPr>
      </w:pPr>
      <w:r/>
      <w:bookmarkStart w:id="8" w:name="_Toc105397777"/>
      <w:r/>
      <w:bookmarkStart w:id="9" w:name="_Toc6217"/>
      <w:r/>
      <w:bookmarkStart w:id="10"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59"/>
        <w:ind w:left="0" w:firstLine="422"/>
        <w:spacing w:line="360" w:lineRule="auto"/>
        <w:rPr>
          <w:rFonts w:hint="eastAsia" w:ascii="宋体" w:hAnsi="宋体"/>
          <w:b/>
          <w:sz w:val="21"/>
          <w:szCs w:val="21"/>
        </w:rPr>
      </w:pPr>
      <w:r/>
      <w:bookmarkStart w:id="12" w:name="_Toc20132"/>
      <w:r/>
      <w:bookmarkStart w:id="13" w:name="_Toc13437"/>
      <w:r>
        <w:rPr>
          <w:rFonts w:hint="eastAsia" w:ascii="宋体" w:hAnsi="宋体"/>
          <w:b/>
          <w:sz w:val="21"/>
          <w:szCs w:val="21"/>
        </w:rPr>
        <w:t xml:space="preserve">一、说明和释义</w:t>
      </w:r>
      <w:bookmarkEnd w:id="12"/>
      <w:r/>
      <w:bookmarkEnd w:id="13"/>
      <w:r/>
      <w:r/>
    </w:p>
    <w:p>
      <w:pPr>
        <w:pStyle w:val="859"/>
        <w:ind w:left="0" w:firstLine="422"/>
        <w:spacing w:line="360" w:lineRule="auto"/>
        <w:rPr>
          <w:rFonts w:hint="eastAsia" w:ascii="宋体" w:hAnsi="宋体"/>
          <w:b/>
          <w:sz w:val="21"/>
          <w:szCs w:val="21"/>
        </w:rPr>
      </w:pPr>
      <w:r/>
      <w:bookmarkStart w:id="14" w:name="_Toc9408"/>
      <w:r>
        <w:rPr>
          <w:rFonts w:hint="eastAsia" w:ascii="宋体" w:hAnsi="宋体"/>
          <w:b/>
          <w:sz w:val="21"/>
          <w:szCs w:val="21"/>
        </w:rPr>
        <w:t xml:space="preserve">1.说明</w:t>
      </w:r>
      <w:bookmarkEnd w:id="14"/>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1.1本招标文件仅适用苏州市政府集中采购中心组织的招标活动。</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1.3本招标文件的解释权属苏州市政府集中采购中心。</w:t>
      </w:r>
      <w:r/>
    </w:p>
    <w:p>
      <w:pPr>
        <w:pStyle w:val="859"/>
        <w:ind w:left="0" w:firstLine="422"/>
        <w:spacing w:line="360" w:lineRule="auto"/>
        <w:rPr>
          <w:rFonts w:hint="eastAsia" w:ascii="宋体" w:hAnsi="宋体"/>
          <w:b/>
          <w:sz w:val="21"/>
          <w:szCs w:val="21"/>
        </w:rPr>
      </w:pPr>
      <w:r/>
      <w:bookmarkStart w:id="15" w:name="_Toc27555"/>
      <w:r>
        <w:rPr>
          <w:rFonts w:hint="eastAsia" w:ascii="宋体" w:hAnsi="宋体"/>
          <w:b/>
          <w:sz w:val="21"/>
          <w:szCs w:val="21"/>
        </w:rPr>
        <w:t xml:space="preserve">2.词语释义</w:t>
      </w:r>
      <w:bookmarkEnd w:id="15"/>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2.1 采购人：指依法进行政府采购的国家机关、事业单位、团体组织。</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859"/>
        <w:ind w:left="0" w:firstLine="422"/>
        <w:spacing w:line="360" w:lineRule="auto"/>
        <w:rPr>
          <w:rFonts w:hint="eastAsia" w:ascii="宋体" w:hAnsi="宋体"/>
          <w:sz w:val="21"/>
          <w:szCs w:val="21"/>
        </w:rPr>
      </w:pPr>
      <w:r>
        <w:rPr>
          <w:rFonts w:hint="eastAsia" w:ascii="宋体" w:hAnsi="宋体"/>
          <w:b/>
          <w:sz w:val="21"/>
          <w:szCs w:val="21"/>
        </w:rPr>
        <w:t xml:space="preserve">二、投标人</w:t>
      </w:r>
      <w:bookmarkEnd w:id="16"/>
      <w:r/>
      <w:bookmarkEnd w:id="17"/>
      <w:r/>
      <w:r/>
    </w:p>
    <w:p>
      <w:pPr>
        <w:pStyle w:val="859"/>
        <w:ind w:left="0" w:firstLine="422"/>
        <w:spacing w:line="360" w:lineRule="auto"/>
        <w:rPr>
          <w:rFonts w:hint="eastAsia" w:ascii="宋体" w:hAnsi="宋体"/>
          <w:b/>
          <w:sz w:val="21"/>
          <w:szCs w:val="21"/>
        </w:rPr>
      </w:pPr>
      <w:r>
        <w:rPr>
          <w:rFonts w:hint="eastAsia" w:ascii="宋体" w:hAnsi="宋体"/>
          <w:b/>
          <w:sz w:val="21"/>
          <w:szCs w:val="21"/>
        </w:rPr>
        <w:t xml:space="preserve">3.合格投标人的资格条件：</w:t>
      </w:r>
      <w:r/>
    </w:p>
    <w:p>
      <w:pPr>
        <w:pStyle w:val="898"/>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98"/>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898"/>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898"/>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898"/>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898"/>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98"/>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898"/>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3.2落实政府采购政策需满足的资格要求：无</w:t>
      </w:r>
      <w:r/>
    </w:p>
    <w:p>
      <w:pPr>
        <w:pStyle w:val="898"/>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3.3本项目的特定资格要求：无</w:t>
      </w:r>
      <w:r/>
    </w:p>
    <w:p>
      <w:pPr>
        <w:pStyle w:val="898"/>
        <w:ind w:left="0" w:firstLine="422"/>
        <w:spacing w:before="0" w:after="0" w:line="360" w:lineRule="auto"/>
        <w:rPr>
          <w:rFonts w:hint="eastAsia" w:ascii="宋体" w:hAnsi="宋体"/>
          <w:b/>
          <w:sz w:val="21"/>
          <w:szCs w:val="21"/>
        </w:rPr>
      </w:pPr>
      <w:r>
        <w:rPr>
          <w:rFonts w:hint="eastAsia" w:ascii="宋体" w:hAnsi="宋体"/>
          <w:b/>
          <w:sz w:val="21"/>
          <w:szCs w:val="21"/>
        </w:rPr>
        <w:t xml:space="preserve">4.投标人代表</w:t>
      </w:r>
      <w:r/>
    </w:p>
    <w:p>
      <w:pPr>
        <w:pStyle w:val="898"/>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98"/>
        <w:ind w:left="0" w:firstLine="422"/>
        <w:spacing w:before="0" w:after="0" w:line="360" w:lineRule="auto"/>
        <w:rPr>
          <w:rFonts w:hint="eastAsia" w:ascii="宋体" w:hAnsi="宋体"/>
          <w:b/>
          <w:sz w:val="21"/>
          <w:szCs w:val="21"/>
        </w:rPr>
      </w:pPr>
      <w:r>
        <w:rPr>
          <w:rFonts w:hint="eastAsia" w:ascii="宋体" w:hAnsi="宋体"/>
          <w:b/>
          <w:sz w:val="21"/>
          <w:szCs w:val="21"/>
        </w:rPr>
        <w:t xml:space="preserve">5.投标费用</w:t>
      </w:r>
      <w:r/>
    </w:p>
    <w:p>
      <w:pPr>
        <w:pStyle w:val="898"/>
        <w:ind w:left="0" w:firstLine="420"/>
        <w:spacing w:before="0" w:after="0" w:line="360" w:lineRule="auto"/>
        <w:rPr>
          <w:rFonts w:hint="eastAsia"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59"/>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59"/>
        <w:ind w:left="0" w:firstLine="422"/>
        <w:spacing w:line="360" w:lineRule="auto"/>
        <w:rPr>
          <w:rFonts w:hint="eastAsia" w:ascii="宋体" w:hAnsi="宋体"/>
          <w:b/>
          <w:sz w:val="21"/>
          <w:szCs w:val="21"/>
        </w:rPr>
      </w:pPr>
      <w:r>
        <w:rPr>
          <w:rFonts w:hint="eastAsia" w:ascii="宋体" w:hAnsi="宋体"/>
          <w:b/>
          <w:sz w:val="21"/>
          <w:szCs w:val="21"/>
        </w:rPr>
        <w:t xml:space="preserve">6.联合投标及转包、分包</w:t>
      </w:r>
      <w:r/>
    </w:p>
    <w:p>
      <w:pPr>
        <w:pStyle w:val="859"/>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6.1本项目不接受联合体投标。</w:t>
      </w:r>
      <w:r/>
    </w:p>
    <w:p>
      <w:pPr>
        <w:pStyle w:val="859"/>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859"/>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59"/>
        <w:ind w:left="0" w:firstLine="422"/>
        <w:spacing w:line="360" w:lineRule="auto"/>
        <w:rPr>
          <w:rFonts w:hint="eastAsia" w:ascii="宋体" w:hAnsi="宋体"/>
          <w:b/>
          <w:sz w:val="21"/>
          <w:szCs w:val="21"/>
        </w:rPr>
      </w:pPr>
      <w:r>
        <w:rPr>
          <w:rFonts w:hint="eastAsia" w:ascii="宋体" w:hAnsi="宋体"/>
          <w:b/>
          <w:sz w:val="21"/>
          <w:szCs w:val="21"/>
        </w:rPr>
        <w:t xml:space="preserve">三、招标文件的说明</w:t>
      </w:r>
      <w:bookmarkEnd w:id="18"/>
      <w:r/>
      <w:bookmarkEnd w:id="19"/>
      <w:r/>
      <w:r/>
    </w:p>
    <w:p>
      <w:pPr>
        <w:pStyle w:val="859"/>
        <w:ind w:left="0" w:firstLine="422"/>
        <w:spacing w:line="360" w:lineRule="auto"/>
        <w:rPr>
          <w:rFonts w:hint="eastAsia" w:ascii="宋体" w:hAnsi="宋体"/>
          <w:b/>
          <w:sz w:val="21"/>
          <w:szCs w:val="21"/>
        </w:rPr>
      </w:pPr>
      <w:r>
        <w:rPr>
          <w:rFonts w:hint="eastAsia" w:ascii="宋体" w:hAnsi="宋体"/>
          <w:b/>
          <w:sz w:val="21"/>
          <w:szCs w:val="21"/>
        </w:rPr>
        <w:t xml:space="preserve">7.招标文件</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rPr>
      </w:pPr>
      <w:r>
        <w:rPr>
          <w:rFonts w:hint="eastAsia" w:ascii="宋体" w:hAnsi="宋体"/>
          <w:b/>
          <w:sz w:val="21"/>
          <w:szCs w:val="21"/>
        </w:rPr>
        <w:t xml:space="preserve">8.招标文件的澄清和修改</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hint="eastAsia"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rPr>
      </w:pPr>
      <w:r>
        <w:rPr>
          <w:rFonts w:hint="eastAsia" w:ascii="宋体" w:hAnsi="宋体"/>
          <w:b/>
          <w:sz w:val="21"/>
          <w:szCs w:val="21"/>
        </w:rPr>
        <w:t xml:space="preserve">10.投标质疑</w:t>
      </w:r>
      <w:r/>
    </w:p>
    <w:p>
      <w:pPr>
        <w:pStyle w:val="859"/>
        <w:ind w:left="0" w:firstLine="420"/>
        <w:spacing w:line="360" w:lineRule="auto"/>
        <w:rPr>
          <w:rFonts w:hint="eastAsia" w:ascii="宋体" w:hAnsi="宋体"/>
          <w:sz w:val="21"/>
          <w:szCs w:val="21"/>
        </w:rPr>
      </w:pPr>
      <w:r/>
      <w:bookmarkStart w:id="20" w:name="_Toc19463"/>
      <w:r/>
      <w:bookmarkStart w:id="21"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（2）质疑项目的名称、编号；</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（3）具体、明确的质疑事项和与质疑事项相关的请求；</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（4）事实依据；</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（5）必要的法律依据；</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（6）提出质疑的日期。</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59"/>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59"/>
        <w:ind w:left="0" w:firstLine="420"/>
        <w:spacing w:line="360" w:lineRule="auto"/>
        <w:rPr>
          <w:rFonts w:hint="eastAsia"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42"/>
      <w:r/>
      <w:bookmarkStart w:id="23" w:name="OLE_LINK38"/>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4"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2"/>
      <w:r/>
      <w:bookmarkEnd w:id="23"/>
      <w:r/>
      <w:bookmarkEnd w:id="24"/>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10.5接收质疑函的方式：书面形式（当场送达或邮寄方式）。</w:t>
      </w:r>
      <w:r/>
    </w:p>
    <w:p>
      <w:pPr>
        <w:pStyle w:val="859"/>
        <w:ind w:left="0" w:firstLine="422"/>
        <w:spacing w:line="360" w:lineRule="auto"/>
        <w:rPr>
          <w:rFonts w:hint="eastAsia" w:ascii="宋体" w:hAnsi="宋体"/>
          <w:b/>
          <w:sz w:val="21"/>
          <w:szCs w:val="21"/>
        </w:rPr>
      </w:pPr>
      <w:r>
        <w:rPr>
          <w:rFonts w:hint="eastAsia" w:ascii="宋体" w:hAnsi="宋体"/>
          <w:b/>
          <w:sz w:val="21"/>
          <w:szCs w:val="21"/>
        </w:rPr>
        <w:t xml:space="preserve">质疑联系人：金工</w:t>
      </w:r>
      <w:r/>
    </w:p>
    <w:p>
      <w:pPr>
        <w:pStyle w:val="859"/>
        <w:ind w:left="0" w:firstLine="422"/>
        <w:spacing w:line="360" w:lineRule="auto"/>
        <w:rPr>
          <w:rFonts w:hint="eastAsia" w:ascii="宋体" w:hAnsi="宋体"/>
          <w:b/>
          <w:sz w:val="21"/>
          <w:szCs w:val="21"/>
        </w:rPr>
      </w:pPr>
      <w:r/>
      <w:bookmarkStart w:id="25" w:name="OLE_LINK33"/>
      <w:r/>
      <w:bookmarkStart w:id="26" w:name="OLE_LINK35"/>
      <w:r/>
      <w:bookmarkStart w:id="27" w:name="OLE_LINK32"/>
      <w:r/>
      <w:bookmarkStart w:id="28" w:name="OLE_LINK41"/>
      <w:r/>
      <w:bookmarkStart w:id="29" w:name="OLE_LINK22"/>
      <w:r>
        <w:rPr>
          <w:rFonts w:hint="eastAsia" w:ascii="宋体" w:hAnsi="宋体"/>
          <w:b/>
          <w:sz w:val="21"/>
          <w:szCs w:val="21"/>
        </w:rPr>
        <w:t xml:space="preserve">联系电话：0512-69826795</w:t>
      </w:r>
      <w:r/>
    </w:p>
    <w:p>
      <w:pPr>
        <w:pStyle w:val="859"/>
        <w:ind w:left="0" w:firstLine="422"/>
        <w:spacing w:line="360" w:lineRule="auto"/>
        <w:rPr>
          <w:rFonts w:hint="eastAsia"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5"/>
      <w:bookmarkEnd w:id="26"/>
      <w:bookmarkEnd w:id="27"/>
      <w:bookmarkEnd w:id="28"/>
      <w:bookmarkEnd w:id="29"/>
      <w:r/>
    </w:p>
    <w:p>
      <w:pPr>
        <w:pStyle w:val="859"/>
        <w:ind w:left="0" w:firstLine="422"/>
        <w:spacing w:line="360" w:lineRule="auto"/>
        <w:rPr>
          <w:rFonts w:hint="eastAsia" w:ascii="宋体" w:hAnsi="宋体"/>
          <w:b/>
          <w:sz w:val="21"/>
          <w:szCs w:val="21"/>
        </w:rPr>
      </w:pPr>
      <w:r>
        <w:rPr>
          <w:rFonts w:hint="eastAsia" w:ascii="宋体" w:hAnsi="宋体"/>
          <w:b/>
          <w:sz w:val="21"/>
          <w:szCs w:val="21"/>
        </w:rPr>
        <w:t xml:space="preserve">四、投标文件说明</w:t>
      </w:r>
      <w:bookmarkEnd w:id="20"/>
      <w:r/>
      <w:bookmarkEnd w:id="21"/>
      <w:r/>
      <w:r/>
    </w:p>
    <w:p>
      <w:pPr>
        <w:pStyle w:val="859"/>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实质性响应，否则，其投标可能被拒绝。</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59"/>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13. 知识产权</w:t>
      </w:r>
      <w:r/>
    </w:p>
    <w:p>
      <w:pPr>
        <w:ind w:left="0" w:firstLine="420"/>
        <w:spacing w:line="360" w:lineRule="auto"/>
        <w:rPr>
          <w:rFonts w:hint="eastAsia"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14.1.4.1关于资格文件的声明函（格式见第三章）；</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59"/>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98"/>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98"/>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98"/>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59"/>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59"/>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59"/>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hint="eastAsia"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hint="eastAsia"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hint="eastAsia"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hint="eastAsia"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hint="eastAsia"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75"/>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5"/>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5"/>
        <w:ind w:left="0" w:firstLine="430"/>
        <w:spacing w:line="360" w:lineRule="auto"/>
        <w:rPr>
          <w:rFonts w:hint="eastAsia"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5"/>
        <w:ind w:left="0" w:firstLine="430"/>
        <w:spacing w:line="360" w:lineRule="auto"/>
        <w:rPr>
          <w:rFonts w:hint="eastAsia"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5"/>
        <w:ind w:left="0" w:firstLine="430"/>
        <w:spacing w:line="360" w:lineRule="auto"/>
        <w:rPr>
          <w:rFonts w:hint="eastAsia"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5"/>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w:t>
      </w:r>
      <w:r>
        <w:rPr>
          <w:rFonts w:hint="eastAsia" w:ascii="宋体" w:hAnsi="宋体"/>
          <w:sz w:val="21"/>
          <w:szCs w:val="21"/>
          <w:lang w:val="zh-CN"/>
        </w:rPr>
        <w:t xml:space="preserve">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5"/>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5"/>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5"/>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5"/>
        <w:ind w:left="0" w:firstLine="428"/>
        <w:spacing w:line="360" w:lineRule="auto"/>
        <w:rPr>
          <w:rFonts w:hint="eastAsia"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5"/>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5"/>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30" w:name="_Toc31150"/>
      <w:r/>
      <w:bookmarkStart w:id="3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bookmarkEnd w:id="31"/>
      <w:r/>
    </w:p>
    <w:p>
      <w:pPr>
        <w:pStyle w:val="1075"/>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5"/>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75"/>
        <w:ind w:left="0" w:firstLine="42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859"/>
        <w:ind w:left="0" w:firstLine="420"/>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75"/>
        <w:ind w:left="0" w:firstLine="422"/>
        <w:spacing w:line="360" w:lineRule="auto"/>
        <w:rPr>
          <w:rFonts w:hint="eastAsia"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5"/>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5"/>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5"/>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075"/>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5"/>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5"/>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32" w:name="_Toc22837"/>
      <w:r/>
      <w:bookmarkStart w:id="3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5"/>
        <w:ind w:left="0" w:firstLine="420"/>
        <w:spacing w:line="360" w:lineRule="auto"/>
        <w:rPr>
          <w:rFonts w:hint="eastAsia"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075"/>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75"/>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5"/>
        <w:ind w:left="0" w:firstLine="420"/>
        <w:spacing w:line="360" w:lineRule="auto"/>
        <w:rPr>
          <w:rFonts w:hint="eastAsia"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5"/>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5"/>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（一）招标公告刊登的媒体名称、开标日期和地点；</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（二）投标人名单和评标委员会成员名单；</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（三）评标方法和标准；</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5"/>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5"/>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5"/>
        <w:ind w:left="0" w:firstLine="422"/>
        <w:spacing w:line="360" w:lineRule="auto"/>
        <w:rPr>
          <w:rFonts w:hint="eastAsia" w:ascii="宋体" w:hAnsi="宋体" w:cs="宋体"/>
          <w:b/>
          <w:color w:val="000000" w:themeColor="text1"/>
          <w:sz w:val="21"/>
          <w:szCs w:val="21"/>
        </w:rPr>
      </w:pPr>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75"/>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6"/>
      <w:r/>
      <w:bookmarkStart w:id="36" w:name="OLE_LINK5"/>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075"/>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bookmarkStart w:id="37" w:name="OLE_LINK14"/>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bookmarkEnd w:id="37"/>
      <w:r/>
    </w:p>
    <w:p>
      <w:pPr>
        <w:pStyle w:val="1075"/>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w:t>
      </w:r>
      <w:bookmarkStart w:id="38" w:name="OLE_LINK16"/>
      <w:r/>
      <w:bookmarkStart w:id="39" w:name="OLE_LINK15"/>
      <w:r>
        <w:rPr>
          <w:rFonts w:hint="eastAsia" w:ascii="宋体" w:hAnsi="宋体" w:cs="宋体"/>
          <w:b/>
          <w:color w:val="000000" w:themeColor="text1"/>
          <w:sz w:val="21"/>
          <w:szCs w:val="21"/>
          <w:lang w:val="en-US"/>
        </w:rPr>
        <w:t xml:space="preserve">投标报价低于通过符合性审查的次低报价供应商投标报价50%的，即投标报价&lt;通过符合性审查的次低报价供应商投标报价×50%；</w:t>
      </w:r>
      <w:bookmarkEnd w:id="38"/>
      <w:r/>
      <w:bookmarkEnd w:id="39"/>
      <w:r/>
      <w:r/>
    </w:p>
    <w:p>
      <w:pPr>
        <w:pStyle w:val="1075"/>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75"/>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w:t>
      </w:r>
      <w:bookmarkStart w:id="40" w:name="OLE_LINK30"/>
      <w:r/>
      <w:bookmarkStart w:id="41" w:name="OLE_LINK29"/>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75"/>
        <w:ind w:left="0" w:firstLine="422"/>
        <w:spacing w:line="360" w:lineRule="auto"/>
        <w:rPr>
          <w:color w:val="333333"/>
          <w:shd w:val="clear" w:color="auto" w:fill="ffffff"/>
        </w:rPr>
      </w:pPr>
      <w:r/>
      <w:bookmarkStart w:id="42" w:name="OLE_LINK3"/>
      <w:r/>
      <w:bookmarkStart w:id="43" w:name="OLE_LINK4"/>
      <w:r/>
      <w:bookmarkStart w:id="44" w:name="OLE_LINK31"/>
      <w:r/>
      <w:bookmarkStart w:id="45" w:name="OLE_LINK34"/>
      <w:r/>
      <w:bookmarkEnd w:id="40"/>
      <w:r/>
      <w:bookmarkEnd w:id="41"/>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6" w:name="OLE_LINK2"/>
      <w:r/>
      <w:bookmarkStart w:id="47" w:name="OLE_LINK1"/>
      <w:r>
        <w:rPr>
          <w:rFonts w:hint="eastAsia" w:ascii="宋体" w:hAnsi="宋体"/>
          <w:b/>
          <w:color w:val="000000" w:themeColor="text1"/>
          <w:sz w:val="21"/>
          <w:szCs w:val="21"/>
        </w:rPr>
        <w:t xml:space="preserve">评标委员会</w:t>
      </w:r>
      <w:bookmarkEnd w:id="46"/>
      <w:r/>
      <w:bookmarkEnd w:id="47"/>
      <w:r>
        <w:rPr>
          <w:rFonts w:hint="eastAsia" w:ascii="宋体" w:hAnsi="宋体"/>
          <w:b/>
          <w:color w:val="000000" w:themeColor="text1"/>
          <w:sz w:val="21"/>
          <w:szCs w:val="21"/>
        </w:rPr>
        <w:t xml:space="preserve">应当要求相关供应商在评标现场合理的时间内对投标价格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解释，提供项目具体成本测算等与报价合理性相关的书面说明及相关证明材料</w:t>
      </w:r>
      <w:bookmarkStart w:id="48" w:name="OLE_LINK9"/>
      <w:r/>
      <w:bookmarkStart w:id="49" w:name="OLE_LINK10"/>
      <w:r>
        <w:rPr>
          <w:rFonts w:hint="eastAsia" w:ascii="宋体" w:hAnsi="宋体"/>
          <w:b/>
          <w:color w:val="000000" w:themeColor="text1"/>
          <w:sz w:val="21"/>
          <w:szCs w:val="21"/>
        </w:rPr>
        <w:t xml:space="preserve">，</w:t>
      </w:r>
      <w:bookmarkEnd w:id="48"/>
      <w:r/>
      <w:bookmarkEnd w:id="49"/>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75"/>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75"/>
        <w:ind w:left="0" w:firstLine="422"/>
        <w:spacing w:line="360" w:lineRule="auto"/>
        <w:rPr>
          <w:rFonts w:hint="eastAsia"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75"/>
        <w:ind w:left="0" w:firstLine="422"/>
        <w:spacing w:line="360" w:lineRule="auto"/>
        <w:rPr>
          <w:rFonts w:hint="eastAsia"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2"/>
      <w:r/>
      <w:bookmarkEnd w:id="43"/>
      <w:r/>
      <w:bookmarkEnd w:id="44"/>
      <w:bookmarkEnd w:id="45"/>
      <w:r/>
    </w:p>
    <w:p>
      <w:pPr>
        <w:pStyle w:val="1075"/>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bookmarkEnd w:id="34"/>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075"/>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5"/>
        <w:ind w:left="0" w:firstLine="422"/>
        <w:spacing w:line="360" w:lineRule="auto"/>
        <w:rPr>
          <w:rFonts w:hint="eastAsia"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5"/>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5"/>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（六）法律、法规和招标文件规定的其他无效情形。</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（五）不同投标人的投标文件相互混装。</w:t>
      </w:r>
      <w:r/>
    </w:p>
    <w:p>
      <w:pPr>
        <w:pStyle w:val="1075"/>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075"/>
        <w:ind w:left="0" w:firstLine="422"/>
        <w:spacing w:line="360" w:lineRule="auto"/>
        <w:rPr>
          <w:rFonts w:hint="eastAsia"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5"/>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075"/>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0" w:name="_Toc18442"/>
      <w:r/>
      <w:bookmarkStart w:id="51" w:name="_Toc19501"/>
      <w:r/>
      <w:r/>
    </w:p>
    <w:p>
      <w:pPr>
        <w:pStyle w:val="1075"/>
        <w:ind w:left="0" w:firstLine="422"/>
        <w:spacing w:line="360" w:lineRule="auto"/>
        <w:rPr>
          <w:rFonts w:hint="eastAsia" w:ascii="宋体" w:hAnsi="宋体" w:cs="宋体"/>
          <w:sz w:val="21"/>
          <w:szCs w:val="21"/>
        </w:rPr>
      </w:pPr>
      <w:r>
        <w:rPr>
          <w:rFonts w:hint="eastAsia" w:ascii="宋体" w:hAnsi="宋体"/>
          <w:b/>
          <w:sz w:val="21"/>
          <w:szCs w:val="21"/>
        </w:rPr>
        <w:t xml:space="preserve">七、授予合同</w:t>
      </w:r>
      <w:bookmarkEnd w:id="50"/>
      <w:r/>
      <w:bookmarkEnd w:id="51"/>
      <w:r/>
      <w:r/>
    </w:p>
    <w:p>
      <w:pPr>
        <w:pStyle w:val="1075"/>
        <w:ind w:left="0" w:firstLine="422"/>
        <w:spacing w:line="360" w:lineRule="auto"/>
        <w:rPr>
          <w:rFonts w:hint="eastAsia"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5"/>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5"/>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5"/>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5"/>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5"/>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5"/>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5"/>
        <w:ind w:left="0" w:firstLine="420"/>
        <w:spacing w:line="360" w:lineRule="auto"/>
        <w:rPr>
          <w:rFonts w:hint="eastAsia"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5"/>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075"/>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2" w:name="_Toc21029"/>
      <w:r/>
      <w:bookmarkStart w:id="53" w:name="_Toc8186"/>
      <w:r/>
      <w:r/>
    </w:p>
    <w:p>
      <w:pPr>
        <w:pStyle w:val="1075"/>
        <w:ind w:left="0" w:firstLine="422"/>
        <w:spacing w:line="360" w:lineRule="auto"/>
        <w:rPr>
          <w:rFonts w:hint="eastAsia" w:ascii="宋体" w:hAnsi="宋体" w:cs="宋体"/>
          <w:sz w:val="21"/>
          <w:szCs w:val="21"/>
        </w:rPr>
      </w:pPr>
      <w:r>
        <w:rPr>
          <w:rFonts w:hint="eastAsia" w:ascii="宋体" w:hAnsi="宋体"/>
          <w:b/>
          <w:sz w:val="21"/>
          <w:szCs w:val="21"/>
        </w:rPr>
        <w:t xml:space="preserve">八、其他事项</w:t>
      </w:r>
      <w:bookmarkEnd w:id="52"/>
      <w:r/>
      <w:bookmarkEnd w:id="53"/>
      <w:r/>
      <w:r/>
    </w:p>
    <w:p>
      <w:pPr>
        <w:pStyle w:val="1075"/>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5"/>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5"/>
        <w:ind w:left="0" w:firstLine="422"/>
        <w:spacing w:line="360" w:lineRule="auto"/>
        <w:rPr>
          <w:rFonts w:hint="eastAsia"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5"/>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5"/>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5"/>
        <w:ind w:left="0" w:firstLine="0"/>
        <w:spacing w:line="360" w:lineRule="auto"/>
        <w:rPr>
          <w:rFonts w:hint="eastAsia" w:ascii="宋体" w:hAnsi="宋体" w:cs="宋体"/>
          <w:sz w:val="21"/>
          <w:szCs w:val="21"/>
        </w:rPr>
      </w:pPr>
      <w:r>
        <w:rPr>
          <w:rFonts w:hint="eastAsia" w:ascii="宋体" w:hAnsi="宋体" w:cs="宋体"/>
          <w:sz w:val="21"/>
          <w:szCs w:val="21"/>
        </w:rPr>
      </w:r>
      <w:r/>
    </w:p>
    <w:p>
      <w:pPr>
        <w:pStyle w:val="841"/>
        <w:ind w:left="0" w:firstLine="0"/>
        <w:jc w:val="center"/>
        <w:rPr>
          <w:rFonts w:hint="eastAsia" w:ascii="宋体" w:hAnsi="宋体"/>
          <w:sz w:val="21"/>
          <w:szCs w:val="21"/>
          <w:lang w:val="zh-CN"/>
        </w:rPr>
      </w:pPr>
      <w:r/>
      <w:bookmarkStart w:id="54" w:name="_Toc7264"/>
      <w:r/>
      <w:bookmarkStart w:id="55" w:name="_Toc105397778"/>
      <w:r/>
      <w:bookmarkStart w:id="56" w:name="_Toc24711"/>
      <w:r>
        <w:rPr>
          <w:rFonts w:hint="eastAsia" w:ascii="宋体" w:hAnsi="宋体"/>
          <w:b/>
          <w:sz w:val="44"/>
          <w:szCs w:val="22"/>
        </w:rPr>
        <w:br w:type="page" w:clear="all"/>
      </w:r>
      <w:r>
        <w:rPr>
          <w:rFonts w:hint="eastAsia" w:ascii="宋体" w:hAnsi="宋体"/>
          <w:b/>
          <w:sz w:val="44"/>
          <w:szCs w:val="22"/>
        </w:rPr>
        <w:t xml:space="preserve">第三章  </w:t>
      </w:r>
      <w:bookmarkStart w:id="57" w:name="投标文件格式"/>
      <w:r/>
      <w:bookmarkEnd w:id="57"/>
      <w:r>
        <w:rPr>
          <w:rFonts w:hint="eastAsia" w:ascii="宋体" w:hAnsi="宋体"/>
          <w:b/>
          <w:sz w:val="44"/>
          <w:szCs w:val="22"/>
        </w:rPr>
        <w:t xml:space="preserve">投标文件格式</w:t>
      </w:r>
      <w:bookmarkEnd w:id="54"/>
      <w:r/>
      <w:bookmarkEnd w:id="55"/>
      <w:r/>
      <w:bookmarkEnd w:id="56"/>
      <w:r/>
      <w:r/>
    </w:p>
    <w:p>
      <w:pPr>
        <w:ind w:left="0"/>
        <w:spacing w:line="440" w:lineRule="exact"/>
        <w:rPr>
          <w:rFonts w:hint="eastAsia" w:ascii="宋体" w:hAnsi="宋体"/>
          <w:b/>
          <w:sz w:val="21"/>
          <w:szCs w:val="21"/>
        </w:rPr>
      </w:pPr>
      <w:r>
        <w:rPr>
          <w:rFonts w:ascii="宋体" w:hAnsi="宋体"/>
          <w:b/>
          <w:sz w:val="21"/>
          <w:szCs w:val="21"/>
        </w:rPr>
        <w:t xml:space="preserve">说明：</w:t>
      </w:r>
      <w:r/>
    </w:p>
    <w:p>
      <w:pPr>
        <w:pStyle w:val="1075"/>
        <w:ind w:left="0" w:firstLine="420"/>
        <w:spacing w:line="440" w:lineRule="exact"/>
        <w:rPr>
          <w:rFonts w:hint="eastAsia"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rPr>
        <w:outlineLvl w:val="0"/>
      </w:pPr>
      <w:r/>
      <w:bookmarkStart w:id="58" w:name="_Toc17036"/>
      <w:r/>
      <w:bookmarkStart w:id="59" w:name="_Toc3821"/>
      <w:r/>
      <w:bookmarkStart w:id="60" w:name="_Toc71810480"/>
      <w:r/>
      <w:bookmarkStart w:id="61" w:name="_Toc105397779"/>
      <w:r>
        <w:rPr>
          <w:rFonts w:hint="eastAsia" w:ascii="宋体" w:hAnsi="宋体"/>
          <w:b/>
          <w:sz w:val="21"/>
          <w:szCs w:val="21"/>
        </w:rPr>
        <w:t xml:space="preserve">附件1.投标函</w:t>
      </w:r>
      <w:bookmarkEnd w:id="58"/>
      <w:r/>
      <w:bookmarkEnd w:id="59"/>
      <w:r/>
      <w:bookmarkEnd w:id="60"/>
      <w:r/>
      <w:bookmarkEnd w:id="61"/>
      <w:r/>
      <w:r/>
    </w:p>
    <w:p>
      <w:pPr>
        <w:ind w:left="0" w:firstLine="4638"/>
        <w:jc w:val="left"/>
        <w:spacing w:line="440" w:lineRule="exact"/>
        <w:rPr>
          <w:rFonts w:hint="eastAsia" w:ascii="宋体" w:hAnsi="宋体"/>
          <w:b/>
          <w:sz w:val="21"/>
          <w:szCs w:val="21"/>
        </w:rPr>
      </w:pPr>
      <w:r>
        <w:rPr>
          <w:rFonts w:hint="eastAsia" w:ascii="宋体" w:hAnsi="宋体"/>
          <w:b/>
          <w:sz w:val="21"/>
          <w:szCs w:val="21"/>
        </w:rPr>
        <w:t xml:space="preserve">投标函</w:t>
      </w:r>
      <w:r/>
    </w:p>
    <w:p>
      <w:pPr>
        <w:ind w:left="0"/>
        <w:spacing w:line="440" w:lineRule="exact"/>
        <w:rPr>
          <w:rFonts w:hint="eastAsia"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hint="eastAsia"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hint="eastAsia" w:ascii="宋体" w:hAnsi="宋体"/>
          <w:b/>
          <w:sz w:val="21"/>
          <w:szCs w:val="21"/>
        </w:rPr>
        <w:outlineLvl w:val="0"/>
      </w:pPr>
      <w:r>
        <w:rPr>
          <w:rFonts w:ascii="宋体" w:hAnsi="宋体"/>
          <w:b/>
          <w:sz w:val="21"/>
          <w:szCs w:val="21"/>
        </w:rPr>
        <w:br w:type="page" w:clear="all"/>
      </w:r>
      <w:bookmarkStart w:id="62" w:name="_Toc71810481"/>
      <w:r/>
      <w:bookmarkStart w:id="63"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2"/>
      <w:r/>
      <w:bookmarkEnd w:id="63"/>
      <w:r/>
      <w:r/>
    </w:p>
    <w:p>
      <w:pPr>
        <w:rPr>
          <w:rFonts w:hint="eastAsia" w:ascii="宋体" w:hAnsi="宋体"/>
          <w:sz w:val="21"/>
          <w:szCs w:val="21"/>
        </w:rPr>
      </w:pPr>
      <w:r>
        <w:rPr>
          <w:rFonts w:hint="eastAsia" w:ascii="宋体" w:hAnsi="宋体"/>
          <w:sz w:val="21"/>
          <w:szCs w:val="21"/>
        </w:rPr>
      </w:r>
      <w:r/>
    </w:p>
    <w:p>
      <w:pPr>
        <w:ind w:left="0"/>
        <w:jc w:val="center"/>
        <w:rPr>
          <w:rFonts w:hint="eastAsia"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投标人全称（加盖公章）：</w:t>
      </w:r>
      <w:bookmarkStart w:id="64" w:name="TBR"/>
      <w:r/>
      <w:bookmarkEnd w:id="64"/>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项目编号：  </w:t>
      </w:r>
      <w:bookmarkStart w:id="65" w:name="XMBH"/>
      <w:r/>
      <w:bookmarkEnd w:id="65"/>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分包号：</w:t>
      </w:r>
      <w:bookmarkStart w:id="66" w:name="FBH"/>
      <w:r/>
      <w:bookmarkEnd w:id="6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bookmarkStart w:id="67" w:name="XMMC"/>
            <w:r/>
            <w:bookmarkEnd w:id="6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rPr>
            </w:pPr>
            <w:r>
              <w:rPr>
                <w:rFonts w:hint="eastAsia" w:ascii="宋体" w:hAnsi="宋体"/>
                <w:sz w:val="21"/>
                <w:szCs w:val="21"/>
              </w:rPr>
              <w:t xml:space="preserve">小写：</w:t>
            </w:r>
            <w:bookmarkStart w:id="68" w:name="JEXX"/>
            <w:r/>
            <w:bookmarkEnd w:id="68"/>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sz w:val="21"/>
                <w:szCs w:val="21"/>
              </w:rPr>
            </w:pPr>
            <w:r/>
            <w:bookmarkStart w:id="69" w:name="JEDX"/>
            <w:r/>
            <w:bookmarkEnd w:id="69"/>
            <w:r/>
            <w:r/>
          </w:p>
        </w:tc>
      </w:tr>
    </w:tbl>
    <w:p>
      <w:pPr>
        <w:spacing w:line="600" w:lineRule="exact"/>
        <w:rPr>
          <w:rFonts w:hint="eastAsia" w:ascii="宋体" w:hAnsi="宋体" w:cs="Times New Roman"/>
          <w:sz w:val="21"/>
          <w:szCs w:val="21"/>
        </w:rPr>
      </w:pPr>
      <w:r>
        <w:rPr>
          <w:rFonts w:hint="eastAsia" w:ascii="宋体" w:hAnsi="宋体" w:cs="Times New Roman"/>
          <w:sz w:val="21"/>
          <w:szCs w:val="21"/>
        </w:rPr>
      </w:r>
      <w:r/>
    </w:p>
    <w:p>
      <w:pPr>
        <w:ind w:left="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0" w:name="NF"/>
      <w:r/>
      <w:bookmarkEnd w:id="70"/>
      <w:r>
        <w:rPr>
          <w:rFonts w:hint="eastAsia" w:ascii="宋体" w:hAnsi="宋体"/>
          <w:sz w:val="21"/>
          <w:szCs w:val="21"/>
        </w:rPr>
        <w:t xml:space="preserve"> 年 </w:t>
      </w:r>
      <w:bookmarkStart w:id="71" w:name="YF"/>
      <w:r/>
      <w:bookmarkEnd w:id="71"/>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2" w:name="RI"/>
      <w:r/>
      <w:bookmarkEnd w:id="72"/>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867"/>
        <w:rPr>
          <w:rFonts w:hint="eastAsia" w:ascii="宋体" w:hAnsi="宋体"/>
        </w:rPr>
      </w:pPr>
      <w:r>
        <w:rPr>
          <w:rFonts w:hint="eastAsia" w:ascii="宋体" w:hAnsi="宋体"/>
        </w:rPr>
      </w:r>
      <w:r/>
    </w:p>
    <w:p>
      <w:pPr>
        <w:ind w:left="0"/>
        <w:spacing w:line="440" w:lineRule="exact"/>
        <w:rPr>
          <w:rFonts w:hint="eastAsia" w:ascii="宋体" w:hAnsi="宋体"/>
          <w:b/>
          <w:sz w:val="21"/>
          <w:szCs w:val="21"/>
        </w:rPr>
      </w:pPr>
      <w:r/>
      <w:bookmarkStart w:id="73" w:name="_Toc241"/>
      <w:r/>
      <w:bookmarkStart w:id="74" w:name="_Toc7945"/>
      <w:r/>
      <w:bookmarkStart w:id="75" w:name="_Toc71810482"/>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pStyle w:val="867"/>
      </w:pPr>
      <w:r/>
      <w:r/>
    </w:p>
    <w:p>
      <w:pPr>
        <w:ind w:left="0"/>
        <w:spacing w:line="440" w:lineRule="exact"/>
        <w:rPr>
          <w:rFonts w:hint="eastAsia" w:ascii="宋体" w:hAnsi="宋体"/>
          <w:b/>
          <w:sz w:val="21"/>
          <w:szCs w:val="21"/>
        </w:rPr>
      </w:pPr>
      <w:r>
        <w:rPr>
          <w:rFonts w:hint="eastAsia" w:ascii="宋体" w:hAnsi="宋体"/>
          <w:b/>
          <w:sz w:val="21"/>
          <w:szCs w:val="21"/>
        </w:rPr>
      </w:r>
      <w:r/>
    </w:p>
    <w:p>
      <w:pPr>
        <w:ind w:left="0"/>
        <w:rPr>
          <w:rFonts w:hint="eastAsia" w:ascii="宋体" w:hAnsi="宋体"/>
          <w:b/>
          <w:sz w:val="21"/>
          <w:szCs w:val="21"/>
        </w:rPr>
        <w:outlineLvl w:val="0"/>
      </w:pPr>
      <w:r/>
      <w:bookmarkStart w:id="76" w:name="_Toc105397781"/>
      <w:r>
        <w:rPr>
          <w:rFonts w:ascii="宋体" w:hAnsi="宋体"/>
          <w:b/>
          <w:sz w:val="21"/>
          <w:szCs w:val="21"/>
        </w:rPr>
        <w:t xml:space="preserve">附件3</w:t>
      </w:r>
      <w:bookmarkEnd w:id="73"/>
      <w:r/>
      <w:bookmarkEnd w:id="74"/>
      <w:r>
        <w:rPr>
          <w:rFonts w:hint="eastAsia" w:ascii="宋体" w:hAnsi="宋体"/>
          <w:b/>
          <w:sz w:val="21"/>
          <w:szCs w:val="21"/>
        </w:rPr>
        <w:t xml:space="preserve">.公开分项报价</w:t>
      </w:r>
      <w:bookmarkEnd w:id="75"/>
      <w:r/>
      <w:bookmarkEnd w:id="76"/>
      <w:r/>
      <w:r/>
    </w:p>
    <w:p>
      <w:pPr>
        <w:pStyle w:val="853"/>
      </w:pPr>
      <w:r/>
      <w:r/>
    </w:p>
    <w:p>
      <w:pPr>
        <w:ind w:left="0"/>
        <w:jc w:val="center"/>
        <w:spacing w:line="360" w:lineRule="auto"/>
        <w:widowControl w:val="off"/>
        <w:rPr>
          <w:rFonts w:hint="eastAsia"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hint="eastAsia"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hint="eastAsia"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hint="eastAsia" w:ascii="宋体" w:hAnsi="宋体"/>
          <w:sz w:val="21"/>
          <w:szCs w:val="21"/>
        </w:rPr>
      </w:pPr>
      <w:r>
        <w:rPr>
          <w:rFonts w:hint="eastAsia" w:ascii="宋体" w:hAnsi="宋体"/>
          <w:sz w:val="21"/>
          <w:szCs w:val="21"/>
        </w:rPr>
      </w:r>
      <w:r/>
    </w:p>
    <w:p>
      <w:pPr>
        <w:ind w:right="840" w:firstLine="5250"/>
        <w:spacing w:line="360" w:lineRule="auto"/>
        <w:rPr>
          <w:rFonts w:hint="eastAsia" w:ascii="宋体" w:hAnsi="宋体"/>
          <w:sz w:val="21"/>
        </w:rPr>
      </w:pPr>
      <w:r>
        <w:rPr>
          <w:rFonts w:ascii="宋体" w:hAnsi="宋体"/>
          <w:sz w:val="21"/>
        </w:rPr>
        <w:t xml:space="preserve">投标人（盖章）：</w:t>
      </w:r>
      <w:r/>
    </w:p>
    <w:p>
      <w:pPr>
        <w:jc w:val="right"/>
        <w:spacing w:line="360" w:lineRule="auto"/>
        <w:rPr>
          <w:rFonts w:hint="eastAsia" w:ascii="宋体" w:hAnsi="宋体"/>
          <w:sz w:val="21"/>
        </w:rPr>
      </w:pPr>
      <w:r>
        <w:rPr>
          <w:rFonts w:ascii="宋体" w:hAnsi="宋体"/>
          <w:sz w:val="21"/>
        </w:rPr>
        <w:t xml:space="preserve">法定代表人或代理人（签字或盖章）：</w:t>
      </w:r>
      <w:r/>
    </w:p>
    <w:p>
      <w:pPr>
        <w:ind w:left="0" w:firstLine="6300"/>
        <w:spacing w:line="360" w:lineRule="auto"/>
        <w:rPr>
          <w:rFonts w:hint="eastAsia"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hint="eastAsia" w:ascii="宋体" w:hAnsi="宋体"/>
          <w:sz w:val="21"/>
          <w:szCs w:val="21"/>
        </w:rPr>
      </w:pPr>
      <w:r>
        <w:rPr>
          <w:rFonts w:hint="eastAsia" w:ascii="宋体" w:hAnsi="宋体"/>
          <w:sz w:val="21"/>
          <w:szCs w:val="21"/>
        </w:rPr>
        <w:t xml:space="preserve">注：</w:t>
      </w:r>
      <w:r/>
    </w:p>
    <w:p>
      <w:pPr>
        <w:ind w:left="0"/>
        <w:spacing w:line="360" w:lineRule="auto"/>
        <w:widowControl w:val="off"/>
        <w:rPr>
          <w:rFonts w:hint="eastAsia"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hint="eastAsia" w:ascii="宋体" w:hAnsi="宋体"/>
          <w:sz w:val="21"/>
          <w:szCs w:val="21"/>
        </w:rPr>
      </w:pPr>
      <w:r>
        <w:rPr>
          <w:rFonts w:ascii="宋体" w:hAnsi="宋体"/>
          <w:sz w:val="21"/>
          <w:szCs w:val="21"/>
        </w:rPr>
        <w:t xml:space="preserve"> </w:t>
      </w:r>
      <w:r/>
    </w:p>
    <w:p>
      <w:pPr>
        <w:pStyle w:val="900"/>
        <w:ind w:left="400" w:firstLine="400"/>
      </w:pPr>
      <w:r/>
      <w:r/>
    </w:p>
    <w:p>
      <w:pPr>
        <w:ind w:left="0"/>
        <w:jc w:val="center"/>
        <w:spacing w:line="360" w:lineRule="auto"/>
        <w:widowControl w:val="off"/>
        <w:rPr>
          <w:rFonts w:hint="eastAsia" w:ascii="宋体" w:hAnsi="宋体"/>
          <w:sz w:val="21"/>
          <w:szCs w:val="21"/>
        </w:rPr>
      </w:pPr>
      <w:r>
        <w:rPr>
          <w:rFonts w:hint="eastAsia" w:ascii="宋体" w:hAnsi="宋体"/>
          <w:sz w:val="21"/>
          <w:szCs w:val="21"/>
        </w:rPr>
      </w:r>
      <w:r/>
    </w:p>
    <w:p>
      <w:pPr>
        <w:ind w:left="0"/>
        <w:rPr>
          <w:rFonts w:hint="eastAsia" w:ascii="宋体" w:hAnsi="宋体"/>
          <w:sz w:val="21"/>
          <w:szCs w:val="21"/>
        </w:rPr>
        <w:outlineLvl w:val="0"/>
      </w:pPr>
      <w:r>
        <w:rPr>
          <w:rFonts w:ascii="宋体" w:hAnsi="宋体"/>
          <w:b/>
          <w:sz w:val="21"/>
          <w:szCs w:val="21"/>
        </w:rPr>
        <w:br w:type="page" w:clear="all"/>
      </w:r>
      <w:bookmarkStart w:id="77" w:name="_Toc71810483"/>
      <w:r/>
      <w:bookmarkStart w:id="78"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7"/>
      <w:r/>
      <w:bookmarkEnd w:id="78"/>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pStyle w:val="867"/>
        <w:rPr>
          <w:rFonts w:hint="eastAsia" w:ascii="宋体" w:hAnsi="宋体"/>
        </w:rPr>
      </w:pPr>
      <w:r>
        <w:rPr>
          <w:rFonts w:hint="eastAsia" w:ascii="宋体" w:hAnsi="宋体"/>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outlineLvl w:val="0"/>
      </w:pPr>
      <w:r>
        <w:rPr>
          <w:rFonts w:ascii="宋体" w:hAnsi="宋体"/>
          <w:sz w:val="21"/>
          <w:szCs w:val="21"/>
          <w:lang w:val="zh-CN"/>
        </w:rPr>
        <w:br w:type="page" w:clear="all"/>
      </w:r>
      <w:bookmarkStart w:id="79" w:name="_Toc71810484"/>
      <w:r/>
      <w:bookmarkStart w:id="80" w:name="_Toc19621"/>
      <w:r/>
      <w:bookmarkStart w:id="81" w:name="_Toc105397783"/>
      <w:r/>
      <w:bookmarkStart w:id="82"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9"/>
      <w:r/>
      <w:bookmarkEnd w:id="80"/>
      <w:r/>
      <w:bookmarkEnd w:id="81"/>
      <w:r/>
      <w:bookmarkEnd w:id="82"/>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hint="eastAsia"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（招标文件中明确的所属行业）行业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hint="eastAsia" w:ascii="宋体" w:hAnsi="宋体"/>
          <w:sz w:val="21"/>
          <w:szCs w:val="21"/>
        </w:rPr>
      </w:pPr>
      <w:r>
        <w:rPr>
          <w:rFonts w:hint="eastAsia" w:ascii="宋体" w:hAnsi="宋体"/>
          <w:sz w:val="21"/>
          <w:szCs w:val="21"/>
        </w:rPr>
      </w:r>
      <w:r/>
    </w:p>
    <w:p>
      <w:pPr>
        <w:ind w:firstLine="4200"/>
        <w:spacing w:line="360" w:lineRule="auto"/>
        <w:rPr>
          <w:rFonts w:hint="eastAsia"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hint="eastAsia"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hint="eastAsia" w:ascii="宋体" w:hAnsi="宋体"/>
          <w:b/>
        </w:rPr>
      </w:pPr>
      <w:r>
        <w:rPr>
          <w:rFonts w:ascii="宋体" w:hAnsi="宋体"/>
          <w:sz w:val="21"/>
          <w:szCs w:val="21"/>
          <w:lang w:val="zh-CN"/>
        </w:rPr>
        <w:br w:type="page" w:clear="all"/>
      </w:r>
      <w:bookmarkStart w:id="83" w:name="_Toc71810485"/>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lang w:val="zh-CN"/>
        </w:rPr>
      </w:pPr>
      <w:r>
        <w:rPr>
          <w:rFonts w:hint="eastAsia" w:ascii="宋体" w:hAnsi="宋体" w:cs="Times New Roman"/>
          <w:lang w:val="zh-CN"/>
        </w:rPr>
      </w:r>
      <w:r/>
    </w:p>
    <w:p>
      <w:pPr>
        <w:pStyle w:val="867"/>
        <w:rPr>
          <w:rFonts w:hint="eastAsia" w:ascii="宋体" w:hAnsi="宋体"/>
          <w:lang w:val="zh-CN"/>
        </w:rPr>
      </w:pPr>
      <w:r>
        <w:rPr>
          <w:rFonts w:hint="eastAsia" w:ascii="宋体" w:hAnsi="宋体"/>
          <w:lang w:val="zh-CN"/>
        </w:rPr>
      </w:r>
      <w:r/>
    </w:p>
    <w:p>
      <w:pPr>
        <w:ind w:left="0"/>
        <w:jc w:val="left"/>
        <w:rPr>
          <w:rFonts w:hint="eastAsia" w:ascii="宋体" w:hAnsi="宋体"/>
          <w:b/>
          <w:bCs/>
          <w:sz w:val="21"/>
          <w:szCs w:val="21"/>
        </w:rPr>
        <w:outlineLvl w:val="0"/>
      </w:pPr>
      <w:r/>
      <w:bookmarkStart w:id="84"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3"/>
      <w:r/>
      <w:bookmarkEnd w:id="84"/>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85" w:name="_Toc32206"/>
      <w:r/>
      <w:bookmarkStart w:id="86" w:name="_Toc3869"/>
      <w:r/>
      <w:bookmarkStart w:id="87"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5"/>
      <w:r/>
      <w:bookmarkEnd w:id="86"/>
      <w:r/>
      <w:bookmarkEnd w:id="87"/>
      <w:r/>
      <w:r/>
    </w:p>
    <w:p>
      <w:pPr>
        <w:ind w:left="0" w:firstLine="420"/>
        <w:spacing w:line="360" w:lineRule="auto"/>
        <w:rPr>
          <w:rFonts w:hint="eastAsia"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3"/>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0"/>
        <w:ind w:left="0" w:firstLine="0"/>
        <w:rPr>
          <w:rFonts w:hint="eastAsia" w:ascii="宋体" w:hAnsi="宋体"/>
          <w:b/>
          <w:lang w:val="zh-CN"/>
        </w:rPr>
      </w:pPr>
      <w:r>
        <w:rPr>
          <w:rFonts w:hint="eastAsia" w:ascii="宋体" w:hAnsi="宋体"/>
          <w:b/>
          <w:lang w:val="zh-CN"/>
        </w:rPr>
      </w:r>
      <w:r/>
    </w:p>
    <w:p>
      <w:pPr>
        <w:pStyle w:val="900"/>
        <w:ind w:left="0" w:firstLine="0"/>
        <w:rPr>
          <w:rFonts w:hint="eastAsia"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0"/>
        <w:ind w:left="0" w:firstLine="40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0"/>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0"/>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0"/>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0"/>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0"/>
        <w:ind w:left="0" w:firstLine="400"/>
        <w:rPr>
          <w:rFonts w:hint="eastAsia"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0"/>
        <w:ind w:left="0" w:firstLine="402"/>
        <w:rPr>
          <w:rFonts w:hint="eastAsia"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0"/>
        <w:ind w:left="0" w:firstLine="402"/>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rPr>
          <w:rFonts w:ascii="宋体" w:hAnsi="宋体"/>
          <w:sz w:val="21"/>
          <w:szCs w:val="21"/>
          <w:lang w:val="zh-CN"/>
        </w:rPr>
        <w:br w:type="page" w:clear="all"/>
      </w:r>
      <w:bookmarkStart w:id="88" w:name="_Toc71810487"/>
      <w:r/>
      <w:bookmarkStart w:id="89" w:name="_Toc105397785"/>
      <w:r>
        <w:rPr>
          <w:rFonts w:ascii="宋体" w:hAnsi="宋体"/>
          <w:b/>
          <w:sz w:val="21"/>
          <w:szCs w:val="21"/>
        </w:rPr>
        <w:t xml:space="preserve">附件7</w:t>
      </w:r>
      <w:r>
        <w:rPr>
          <w:rFonts w:hint="eastAsia" w:ascii="宋体" w:hAnsi="宋体"/>
          <w:b/>
          <w:sz w:val="21"/>
          <w:szCs w:val="21"/>
        </w:rPr>
        <w:t xml:space="preserve">.</w:t>
      </w:r>
      <w:bookmarkEnd w:id="88"/>
      <w:r>
        <w:rPr>
          <w:rFonts w:hint="eastAsia" w:ascii="宋体" w:hAnsi="宋体"/>
          <w:b/>
          <w:sz w:val="21"/>
          <w:szCs w:val="21"/>
        </w:rPr>
        <w:t xml:space="preserve">偏离表（技术、商务）</w:t>
      </w:r>
      <w:bookmarkEnd w:id="89"/>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rPr>
          <w:rFonts w:hint="eastAsia"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hint="eastAsia" w:ascii="宋体" w:hAnsi="宋体"/>
          <w:sz w:val="21"/>
          <w:szCs w:val="21"/>
        </w:rPr>
      </w:pPr>
      <w:r/>
      <w:bookmarkStart w:id="90" w:name="_Toc27138"/>
      <w:r/>
      <w:bookmarkStart w:id="91" w:name="_Toc31973"/>
      <w:r>
        <w:rPr>
          <w:rFonts w:ascii="宋体" w:hAnsi="宋体"/>
          <w:sz w:val="21"/>
          <w:szCs w:val="21"/>
        </w:rPr>
        <w:t xml:space="preserve"> </w:t>
      </w:r>
      <w:r/>
    </w:p>
    <w:p>
      <w:pPr>
        <w:pStyle w:val="867"/>
        <w:rPr>
          <w:rFonts w:hint="eastAsia" w:ascii="宋体" w:hAnsi="宋体" w:cs="宋体"/>
          <w:sz w:val="21"/>
          <w:szCs w:val="21"/>
        </w:rPr>
      </w:pPr>
      <w:r>
        <w:rPr>
          <w:rFonts w:hint="eastAsia" w:ascii="宋体" w:hAnsi="宋体" w:cs="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pStyle w:val="867"/>
        <w:rPr>
          <w:rFonts w:hint="eastAsia" w:ascii="宋体" w:hAnsi="宋体"/>
        </w:rPr>
      </w:pPr>
      <w:r>
        <w:rPr>
          <w:rFonts w:hint="eastAsia" w:ascii="宋体" w:hAnsi="宋体"/>
        </w:rPr>
      </w:r>
      <w:r/>
    </w:p>
    <w:p>
      <w:pPr>
        <w:pStyle w:val="859"/>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pStyle w:val="867"/>
        <w:rPr>
          <w:rFonts w:hint="eastAsia" w:ascii="宋体" w:hAnsi="宋体"/>
        </w:rPr>
      </w:pPr>
      <w:r>
        <w:rPr>
          <w:rFonts w:hint="eastAsia" w:ascii="宋体" w:hAnsi="宋体"/>
        </w:rPr>
      </w:r>
      <w:r/>
    </w:p>
    <w:p>
      <w:pPr>
        <w:pStyle w:val="859"/>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92"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2"/>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spacing w:line="360" w:lineRule="auto"/>
        <w:widowControl w:val="off"/>
        <w:rPr>
          <w:rFonts w:hint="eastAsia"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hint="eastAsia" w:ascii="宋体" w:hAnsi="宋体"/>
          <w:sz w:val="21"/>
        </w:rPr>
      </w:pPr>
      <w:r>
        <w:rPr>
          <w:rFonts w:ascii="宋体" w:hAnsi="宋体"/>
          <w:sz w:val="21"/>
        </w:rPr>
        <w:t xml:space="preserve">投标人（盖章）：</w:t>
      </w:r>
      <w:r/>
    </w:p>
    <w:p>
      <w:pPr>
        <w:jc w:val="right"/>
        <w:spacing w:line="360" w:lineRule="auto"/>
        <w:rPr>
          <w:rFonts w:hint="eastAsia" w:ascii="宋体" w:hAnsi="宋体"/>
          <w:sz w:val="21"/>
        </w:rPr>
      </w:pPr>
      <w:r>
        <w:rPr>
          <w:rFonts w:ascii="宋体" w:hAnsi="宋体"/>
          <w:sz w:val="21"/>
        </w:rPr>
        <w:t xml:space="preserve">法定代表人或代理人（签字或盖章）：</w:t>
      </w:r>
      <w:r/>
    </w:p>
    <w:p>
      <w:pPr>
        <w:ind w:left="0" w:firstLine="6300"/>
        <w:spacing w:line="360" w:lineRule="auto"/>
        <w:rPr>
          <w:rFonts w:hint="eastAsia"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hint="eastAsia" w:ascii="宋体" w:hAnsi="宋体"/>
          <w:b/>
          <w:sz w:val="21"/>
          <w:szCs w:val="21"/>
        </w:rPr>
        <w:outlineLvl w:val="0"/>
      </w:pPr>
      <w:r/>
      <w:bookmarkStart w:id="93" w:name="_Toc105397787"/>
      <w:r/>
      <w:bookmarkStart w:id="94"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93"/>
      <w:r/>
      <w:bookmarkEnd w:id="94"/>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hint="eastAsia"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7"/>
        <w:rPr>
          <w:rFonts w:hint="eastAsia" w:ascii="宋体" w:hAnsi="宋体"/>
        </w:rPr>
      </w:pPr>
      <w:r>
        <w:rPr>
          <w:rFonts w:hint="eastAsia" w:ascii="宋体" w:hAnsi="宋体"/>
        </w:rPr>
      </w:r>
      <w:r/>
    </w:p>
    <w:p>
      <w:pPr>
        <w:pStyle w:val="859"/>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rPr>
          <w:rFonts w:ascii="宋体" w:hAnsi="宋体"/>
          <w:sz w:val="21"/>
          <w:szCs w:val="21"/>
        </w:rPr>
        <w:br w:type="page" w:clear="all"/>
      </w:r>
      <w:bookmarkStart w:id="95" w:name="_Toc105397788"/>
      <w:r/>
      <w:bookmarkStart w:id="96" w:name="_Toc71810490"/>
      <w:r/>
      <w:bookmarkEnd w:id="90"/>
      <w:r/>
      <w:bookmarkEnd w:id="9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5"/>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hint="eastAsia"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w:t>
            </w:r>
            <w:r>
              <w:rPr>
                <w:rFonts w:hint="eastAsia" w:ascii="宋体" w:hAnsi="宋体" w:cs="Times New Roman"/>
                <w:sz w:val="21"/>
                <w:szCs w:val="21"/>
              </w:rPr>
              <w:t xml:space="preserve">不够可</w:t>
            </w:r>
            <w:r>
              <w:rPr>
                <w:rFonts w:hint="eastAsia" w:ascii="宋体" w:hAnsi="宋体" w:cs="Times New Roman"/>
                <w:sz w:val="21"/>
                <w:szCs w:val="21"/>
              </w:rPr>
              <w:t xml:space="preserve">另加页附后。</w:t>
            </w:r>
            <w:r/>
          </w:p>
        </w:tc>
      </w:tr>
      <w:tr>
        <w:trPr>
          <w:trHeight w:val="8385"/>
        </w:trPr>
        <w:tc>
          <w:tcPr>
            <w:tcW w:w="9874" w:type="dxa"/>
            <w:textDirection w:val="lrTb"/>
            <w:noWrap w:val="false"/>
          </w:tcPr>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7"/>
        <w:rPr>
          <w:rFonts w:hint="eastAsia" w:ascii="宋体" w:hAnsi="宋体"/>
        </w:rPr>
      </w:pPr>
      <w:r>
        <w:rPr>
          <w:rFonts w:hint="eastAsia" w:ascii="宋体" w:hAnsi="宋体"/>
        </w:rPr>
      </w:r>
      <w:r/>
    </w:p>
    <w:p>
      <w:pPr>
        <w:pStyle w:val="859"/>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97"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6"/>
      <w:r/>
      <w:bookmarkEnd w:id="97"/>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hint="eastAsia" w:ascii="宋体" w:hAnsi="宋体"/>
          <w:b/>
          <w:color w:val="ff0000"/>
          <w:sz w:val="21"/>
          <w:szCs w:val="21"/>
        </w:rPr>
      </w:pPr>
      <w:r>
        <w:rPr>
          <w:rFonts w:hint="eastAsia" w:ascii="宋体" w:hAnsi="宋体"/>
          <w:b/>
          <w:color w:val="ff0000"/>
          <w:sz w:val="21"/>
          <w:szCs w:val="21"/>
        </w:rPr>
      </w:r>
      <w:r/>
    </w:p>
    <w:p>
      <w:pPr>
        <w:ind w:left="0"/>
        <w:jc w:val="center"/>
        <w:rPr>
          <w:rFonts w:hint="eastAsia"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u w:val="single"/>
        </w:rPr>
      </w:r>
      <w:r/>
    </w:p>
    <w:p>
      <w:pPr>
        <w:ind w:left="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3"/>
        <w:ind w:left="0" w:firstLine="420"/>
        <w:spacing w:line="360" w:lineRule="auto"/>
        <w:rPr>
          <w:rFonts w:hint="eastAsia"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lang w:val="zh-CN"/>
        </w:rPr>
      </w:pPr>
      <w:r/>
      <w:bookmarkStart w:id="98" w:name="OLE_LINK48"/>
      <w:r/>
      <w:bookmarkStart w:id="99" w:name="OLE_LINK7"/>
      <w:r/>
      <w:bookmarkStart w:id="100" w:name="OLE_LINK8"/>
      <w:r>
        <w:rPr>
          <w:rFonts w:hint="eastAsia" w:ascii="宋体" w:hAnsi="宋体"/>
          <w:b/>
          <w:color w:val="000000" w:themeColor="text1"/>
          <w:sz w:val="21"/>
          <w:szCs w:val="21"/>
          <w:lang w:val="zh-CN"/>
        </w:rPr>
        <w:t xml:space="preserve">备注：根据招标文件第二章“投标人须知”第26.4</w:t>
      </w:r>
      <w:bookmarkStart w:id="101"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01"/>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8"/>
      <w:bookmarkEnd w:id="99"/>
      <w:bookmarkEnd w:id="100"/>
      <w:r/>
    </w:p>
    <w:p>
      <w:pPr>
        <w:ind w:firstLine="483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3"/>
        <w:rPr>
          <w:lang w:val="zh-CN"/>
        </w:rPr>
      </w:pPr>
      <w:r>
        <w:rPr>
          <w:lang w:val="zh-CN"/>
        </w:rPr>
      </w:r>
      <w:r/>
    </w:p>
    <w:p>
      <w:pPr>
        <w:rPr>
          <w:lang w:val="zh-CN"/>
        </w:rPr>
      </w:pPr>
      <w:r>
        <w:rPr>
          <w:lang w:val="zh-CN"/>
        </w:rPr>
      </w:r>
      <w:r/>
    </w:p>
    <w:p>
      <w:pPr>
        <w:pStyle w:val="853"/>
        <w:rPr>
          <w:lang w:val="zh-CN"/>
        </w:rPr>
      </w:pPr>
      <w:r>
        <w:rPr>
          <w:lang w:val="zh-CN"/>
        </w:rPr>
      </w:r>
      <w:r/>
    </w:p>
    <w:p>
      <w:pPr>
        <w:pStyle w:val="841"/>
        <w:ind w:left="0" w:firstLine="0"/>
        <w:jc w:val="center"/>
        <w:rPr>
          <w:rFonts w:hint="eastAsia" w:ascii="宋体" w:hAnsi="宋体"/>
          <w:b/>
          <w:sz w:val="44"/>
          <w:szCs w:val="22"/>
        </w:rPr>
      </w:pPr>
      <w:r/>
      <w:bookmarkStart w:id="102" w:name="_Toc4098"/>
      <w:r/>
      <w:bookmarkStart w:id="103" w:name="_Toc105397793"/>
      <w:r/>
      <w:bookmarkStart w:id="104" w:name="_Toc23660"/>
      <w:r>
        <w:rPr>
          <w:rFonts w:hint="eastAsia" w:ascii="宋体" w:hAnsi="宋体"/>
          <w:b/>
          <w:sz w:val="44"/>
          <w:szCs w:val="22"/>
        </w:rPr>
        <w:t xml:space="preserve">第四章  </w:t>
      </w:r>
      <w:bookmarkStart w:id="105" w:name="招标书"/>
      <w:r/>
      <w:bookmarkEnd w:id="105"/>
      <w:r>
        <w:rPr>
          <w:rFonts w:hint="eastAsia" w:ascii="宋体" w:hAnsi="宋体"/>
          <w:b/>
          <w:sz w:val="44"/>
          <w:szCs w:val="22"/>
        </w:rPr>
        <w:t xml:space="preserve">招标书</w:t>
      </w:r>
      <w:bookmarkEnd w:id="102"/>
      <w:r/>
      <w:bookmarkEnd w:id="103"/>
      <w:r/>
      <w:bookmarkEnd w:id="104"/>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苏州市疾病预防控制中心</w:t>
      </w:r>
      <w:r>
        <w:rPr>
          <w:rFonts w:ascii="宋体" w:hAnsi="宋体"/>
          <w:sz w:val="21"/>
        </w:rPr>
        <w:t xml:space="preserve">的委托，就</w:t>
      </w:r>
      <w:r>
        <w:rPr>
          <w:rFonts w:hint="eastAsia" w:ascii="宋体" w:hAnsi="宋体"/>
          <w:sz w:val="21"/>
          <w:u w:val="single"/>
        </w:rPr>
        <w:t xml:space="preserve">“数字疾控二期”软件</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一、项目编号：JSZC-320500-JZCG-G2026-0085</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二、项目名称：“数字疾控二期”软件</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三、预算金额：人民币壹佰叁拾万元整（¥1300000.00）</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四、最高限价：人民币壹佰叁拾万元整（¥1300000.00）</w:t>
      </w:r>
      <w:r/>
    </w:p>
    <w:p>
      <w:pPr>
        <w:ind w:left="0" w:firstLine="420"/>
        <w:spacing w:line="360" w:lineRule="auto"/>
        <w:tabs>
          <w:tab w:val="left" w:pos="420" w:leader="none"/>
        </w:tabs>
        <w:rPr>
          <w:rFonts w:hint="eastAsia" w:ascii="宋体" w:hAnsi="宋体"/>
          <w:sz w:val="21"/>
          <w:highlight w:val="yellow"/>
        </w:rPr>
      </w:pPr>
      <w:r>
        <w:rPr>
          <w:rFonts w:hint="eastAsia" w:ascii="宋体" w:hAnsi="宋体"/>
          <w:sz w:val="21"/>
        </w:rPr>
        <w:t xml:space="preserve">五、合同履行期限：签订合同后一年内完成项目。本项目除中心网</w:t>
      </w:r>
      <w:r>
        <w:rPr>
          <w:rFonts w:hint="eastAsia" w:ascii="宋体" w:hAnsi="宋体"/>
          <w:sz w:val="21"/>
        </w:rPr>
        <w:t xml:space="preserve">站、数字</w:t>
      </w:r>
      <w:r>
        <w:rPr>
          <w:rFonts w:hint="eastAsia" w:ascii="宋体" w:hAnsi="宋体"/>
          <w:sz w:val="21"/>
        </w:rPr>
        <w:t xml:space="preserve">疾控移动版质</w:t>
      </w:r>
      <w:r>
        <w:rPr>
          <w:rFonts w:hint="eastAsia" w:ascii="宋体" w:hAnsi="宋体"/>
          <w:sz w:val="21"/>
        </w:rPr>
        <w:t xml:space="preserve">保1年；杀毒软件质保3年外；其余整体质保期为5年。</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六、招标内容：</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（一）项目概况</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当前，公众对健康安全的高度关注和对防控响应速度的期待显著提升。与此同时，信息技术的飞速发展和移动互联网的深度普及，深刻改变了公众获取信息、接受服务以及参与公共事务的方式，对公共服务部门尤其是</w:t>
      </w:r>
      <w:r>
        <w:rPr>
          <w:rFonts w:hint="eastAsia" w:ascii="宋体" w:hAnsi="宋体"/>
          <w:sz w:val="21"/>
        </w:rPr>
        <w:t xml:space="preserve">疾控机构</w:t>
      </w:r>
      <w:r>
        <w:rPr>
          <w:rFonts w:hint="eastAsia" w:ascii="宋体" w:hAnsi="宋体"/>
          <w:sz w:val="21"/>
        </w:rPr>
        <w:t xml:space="preserve">的信息化、智能化、便捷化水平提出了更高要求。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苏州市疾控中心在前期信息化建设（“数字疾控一期”）中初步解决了数据分散、标准</w:t>
      </w:r>
      <w:r>
        <w:rPr>
          <w:rFonts w:hint="eastAsia" w:ascii="宋体" w:hAnsi="宋体"/>
          <w:sz w:val="21"/>
        </w:rPr>
        <w:t xml:space="preserve">不</w:t>
      </w:r>
      <w:r>
        <w:rPr>
          <w:rFonts w:hint="eastAsia" w:ascii="宋体" w:hAnsi="宋体"/>
          <w:sz w:val="21"/>
        </w:rPr>
        <w:t xml:space="preserve">一等</w:t>
      </w:r>
      <w:r>
        <w:rPr>
          <w:rFonts w:hint="eastAsia" w:ascii="宋体" w:hAnsi="宋体"/>
          <w:sz w:val="21"/>
        </w:rPr>
        <w:t xml:space="preserve">基础性问题。然而，面对不断演变的公共卫生形势和社会需求，现有能力仍需深化：传染病监测预警的早期性、精准性和响应速度需进一步提升以应对疫情快速传播的风险；实验室检测、样本资源管理及科研支撑能力需系统性优化以满足生命健康产业快速发展和科研协同创新的迫切需求；行政执法和后勤保障的移动化、智能化程度亟待加强以适应高效的现代治理要求；公众健康信息的获取和互动渠道应更加畅通、权威且便捷，以便有效回应社会关切、引导舆论并提升公众健康素养。此外，数据安全与业务连续性的保障已成为数字化时代维系公众信任和机构正常运转的生命线。</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数字疾控”二期项目建设，是主动适应社会发展趋势、积极回应公众健康需求、有效应对复杂公共卫生挑战、持续提升城市韧性的必然选择。其核心目标在于：通过建设传染病聚集性疫情实时监测与处置系统，筑牢早期预警防线；通过生物样本数据存储，盘活宝贵科研资源；通过移动集成、实验室管理系统移动化，提升服务效率；通过升级中心网站，强化信息发布能力；并通过数据库审计与异地备份等安全措施，为数字化体系提供坚实保障，最终全方位增强苏州市应对公共卫生风险和保障人民健康的核心能力。“数字疾控”二期建设，主要实现以下系统升级：</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业务系统升级：建设传染病聚集性疫情实时监测与处理系统、实验室信息管理系统移动化、生物样本数据存储。</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行政效能优化：建设门户网站，运用互联网转变政府职能、创新管理服务、提升治理能力，使苏州疾控中心网站成为信息公开、回应关切、提供服务的重要载体；建设涵盖物资管理系统移动化，完成智慧后勤向移动化延伸。</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内部流程协同：移动集成搭建，提升行政效率；</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信息安全增强：建设数据库审计，异地备份机制，支撑体系完善强化数据库审计与异地备份机制。</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通过本项目建设，将</w:t>
      </w:r>
      <w:r>
        <w:rPr>
          <w:rFonts w:hint="eastAsia" w:ascii="宋体" w:hAnsi="宋体"/>
          <w:sz w:val="21"/>
        </w:rPr>
        <w:t xml:space="preserve">构建平急结合</w:t>
      </w:r>
      <w:r>
        <w:rPr>
          <w:rFonts w:hint="eastAsia" w:ascii="宋体" w:hAnsi="宋体"/>
          <w:sz w:val="21"/>
        </w:rPr>
        <w:t xml:space="preserve">的立体防控网络，</w:t>
      </w:r>
      <w:r>
        <w:rPr>
          <w:rFonts w:hint="eastAsia" w:ascii="宋体" w:hAnsi="宋体"/>
          <w:sz w:val="21"/>
        </w:rPr>
        <w:t xml:space="preserve">推动疾控体系</w:t>
      </w:r>
      <w:r>
        <w:rPr>
          <w:rFonts w:hint="eastAsia" w:ascii="宋体" w:hAnsi="宋体"/>
          <w:sz w:val="21"/>
        </w:rPr>
        <w:t xml:space="preserve">从数据互通向智能决策转型，全面提升监测预警与应急处置能力。</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（二）采购主要内容</w:t>
      </w:r>
      <w:r/>
    </w:p>
    <w:tbl>
      <w:tblPr>
        <w:tblW w:w="8646"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410"/>
        <w:gridCol w:w="850"/>
        <w:gridCol w:w="992"/>
        <w:gridCol w:w="3402"/>
      </w:tblGrid>
      <w:tr>
        <w:trP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标的</w:t>
            </w:r>
            <w:r>
              <w:rPr>
                <w:rFonts w:hint="eastAsia" w:ascii="宋体" w:hAnsi="宋体"/>
                <w:sz w:val="21"/>
                <w:szCs w:val="21"/>
              </w:rPr>
              <w:t xml:space="preserve">物内容</w:t>
            </w:r>
            <w:r>
              <w:rPr>
                <w:rFonts w:hint="eastAsia" w:ascii="宋体" w:hAnsi="宋体"/>
                <w:sz w:val="21"/>
                <w:szCs w:val="21"/>
              </w:rPr>
              <w:t xml:space="preserve">名称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left="0"/>
              <w:jc w:val="center"/>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技术参数和功能要求</w:t>
            </w:r>
            <w:r/>
          </w:p>
        </w:tc>
      </w:tr>
      <w:tr>
        <w:trPr>
          <w:trHeight w:val="331"/>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数字疾控二期</w:t>
            </w:r>
            <w:r>
              <w:rPr>
                <w:rFonts w:hint="eastAsia" w:ascii="宋体" w:hAnsi="宋体"/>
                <w:sz w:val="21"/>
                <w:szCs w:val="21"/>
              </w:rPr>
              <w:t xml:space="preserve">软件</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项</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详见：</w:t>
            </w:r>
            <w:r>
              <w:rPr>
                <w:rFonts w:hint="eastAsia" w:ascii="宋体" w:hAnsi="宋体"/>
                <w:sz w:val="21"/>
                <w:szCs w:val="21"/>
              </w:rPr>
              <w:t xml:space="preserve">数字疾控二期</w:t>
            </w:r>
            <w:r>
              <w:rPr>
                <w:rFonts w:hint="eastAsia" w:ascii="宋体" w:hAnsi="宋体"/>
                <w:sz w:val="21"/>
                <w:szCs w:val="21"/>
              </w:rPr>
              <w:t xml:space="preserve">软件功能要求</w:t>
            </w:r>
            <w:r/>
          </w:p>
        </w:tc>
      </w:tr>
    </w:tbl>
    <w:p>
      <w:pPr>
        <w:ind w:left="0" w:firstLine="420"/>
        <w:spacing w:line="360" w:lineRule="auto"/>
        <w:tabs>
          <w:tab w:val="left" w:pos="0" w:leader="none"/>
        </w:tabs>
        <w:rPr>
          <w:rFonts w:hint="eastAsia" w:ascii="宋体" w:hAnsi="宋体"/>
          <w:sz w:val="21"/>
        </w:rPr>
      </w:pPr>
      <w:r>
        <w:rPr>
          <w:rFonts w:hint="eastAsia" w:ascii="宋体" w:hAnsi="宋体"/>
          <w:sz w:val="21"/>
        </w:rPr>
        <w:t xml:space="preserve">（三）采购清单</w:t>
      </w:r>
      <w:r/>
    </w:p>
    <w:tbl>
      <w:tblPr>
        <w:tblW w:w="8657" w:type="dxa"/>
        <w:tblInd w:w="534" w:type="dxa"/>
        <w:tblLayout w:type="fixed"/>
        <w:tblLook w:val="04A0" w:firstRow="1" w:lastRow="0" w:firstColumn="1" w:lastColumn="0" w:noHBand="0" w:noVBand="1"/>
      </w:tblPr>
      <w:tblGrid>
        <w:gridCol w:w="991"/>
        <w:gridCol w:w="2552"/>
        <w:gridCol w:w="850"/>
        <w:gridCol w:w="850"/>
        <w:gridCol w:w="3414"/>
      </w:tblGrid>
      <w:tr>
        <w:trPr>
          <w:trHeight w:val="50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设备名称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数量</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单位</w:t>
            </w:r>
            <w:r/>
          </w:p>
        </w:tc>
        <w:tc>
          <w:tcPr>
            <w:tcBorders>
              <w:top w:val="single" w:color="000000" w:sz="4" w:space="0"/>
              <w:left w:val="none" w:color="000000" w:sz="4" w:space="0"/>
              <w:bottom w:val="single" w:color="000000" w:sz="4" w:space="0"/>
              <w:right w:val="single" w:color="000000" w:sz="4" w:space="0"/>
            </w:tcBorders>
            <w:tcW w:w="3414" w:type="dxa"/>
            <w:vAlign w:val="center"/>
            <w:textDirection w:val="lrTb"/>
            <w:noWrap/>
          </w:tcPr>
          <w:p>
            <w:pPr>
              <w:ind w:left="0"/>
              <w:jc w:val="center"/>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备注</w:t>
            </w:r>
            <w:r/>
          </w:p>
        </w:tc>
      </w:tr>
      <w:tr>
        <w:trPr>
          <w:trHeight w:val="50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中心网站</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套</w:t>
            </w:r>
            <w:r/>
          </w:p>
        </w:tc>
        <w:tc>
          <w:tcPr>
            <w:tcBorders>
              <w:top w:val="single" w:color="000000" w:sz="4" w:space="0"/>
              <w:left w:val="none" w:color="000000" w:sz="4" w:space="0"/>
              <w:bottom w:val="single" w:color="000000" w:sz="4" w:space="0"/>
              <w:right w:val="single" w:color="000000" w:sz="4" w:space="0"/>
            </w:tcBorders>
            <w:tcW w:w="3414" w:type="dxa"/>
            <w:vAlign w:val="center"/>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2</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数字疾控移动</w:t>
            </w:r>
            <w:r>
              <w:rPr>
                <w:rFonts w:hint="eastAsia" w:ascii="宋体" w:hAnsi="宋体"/>
                <w:sz w:val="21"/>
                <w:szCs w:val="21"/>
              </w:rPr>
              <w:t xml:space="preserve">版（接入苏政服）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套</w:t>
            </w:r>
            <w:r/>
          </w:p>
        </w:tc>
        <w:tc>
          <w:tcPr>
            <w:tcBorders>
              <w:top w:val="single" w:color="000000" w:sz="4" w:space="0"/>
              <w:left w:val="none" w:color="000000" w:sz="4" w:space="0"/>
              <w:bottom w:val="single" w:color="000000" w:sz="4" w:space="0"/>
              <w:right w:val="single" w:color="000000" w:sz="4" w:space="0"/>
            </w:tcBorders>
            <w:tcW w:w="3414" w:type="dxa"/>
            <w:vAlign w:val="center"/>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3</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杀毒软件</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套</w:t>
            </w:r>
            <w:r/>
          </w:p>
        </w:tc>
        <w:tc>
          <w:tcPr>
            <w:tcBorders>
              <w:top w:val="single" w:color="000000" w:sz="4" w:space="0"/>
              <w:left w:val="none" w:color="000000" w:sz="4" w:space="0"/>
              <w:bottom w:val="single" w:color="000000" w:sz="4" w:space="0"/>
              <w:right w:val="single" w:color="000000" w:sz="4" w:space="0"/>
            </w:tcBorders>
            <w:tcW w:w="3414" w:type="dxa"/>
            <w:vAlign w:val="center"/>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r>
      <w:tr>
        <w:trPr>
          <w:trHeight w:val="537"/>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4</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虚拟化软件</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套</w:t>
            </w:r>
            <w:r/>
          </w:p>
        </w:tc>
        <w:tc>
          <w:tcPr>
            <w:tcBorders>
              <w:top w:val="single" w:color="000000" w:sz="4" w:space="0"/>
              <w:left w:val="none" w:color="000000" w:sz="4" w:space="0"/>
              <w:bottom w:val="single" w:color="000000" w:sz="4" w:space="0"/>
              <w:right w:val="single" w:color="000000" w:sz="4" w:space="0"/>
            </w:tcBorders>
            <w:tcW w:w="3414" w:type="dxa"/>
            <w:vAlign w:val="center"/>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4个CPU虚拟化软件许可</w:t>
            </w:r>
            <w:r/>
          </w:p>
        </w:tc>
      </w:tr>
    </w:tbl>
    <w:p>
      <w:pPr>
        <w:ind w:left="0" w:firstLine="420"/>
        <w:jc w:val="left"/>
        <w:spacing w:line="480" w:lineRule="exact"/>
        <w:tabs>
          <w:tab w:val="left" w:pos="420" w:leader="none"/>
          <w:tab w:val="left" w:pos="1260" w:leader="none"/>
          <w:tab w:val="left" w:pos="1440" w:leader="none"/>
        </w:tabs>
        <w:rPr>
          <w:rFonts w:hint="eastAsia" w:ascii="宋体" w:hAnsi="宋体"/>
          <w:sz w:val="21"/>
        </w:rPr>
      </w:pPr>
      <w:r>
        <w:rPr>
          <w:rFonts w:hint="eastAsia" w:ascii="宋体" w:hAnsi="宋体"/>
          <w:sz w:val="21"/>
        </w:rPr>
        <w:t xml:space="preserve">（四）</w:t>
      </w:r>
      <w:r>
        <w:rPr>
          <w:rFonts w:hint="eastAsia" w:ascii="宋体" w:hAnsi="宋体"/>
          <w:sz w:val="21"/>
          <w:szCs w:val="21"/>
        </w:rPr>
        <w:t xml:space="preserve">技术参数和功能要求（</w:t>
      </w:r>
      <w:r>
        <w:rPr>
          <w:rFonts w:hint="eastAsia" w:ascii="宋体" w:hAnsi="宋体"/>
          <w:sz w:val="21"/>
          <w:szCs w:val="21"/>
        </w:rPr>
        <w:t xml:space="preserve">须支持信创</w:t>
      </w:r>
      <w:r>
        <w:rPr>
          <w:rFonts w:hint="eastAsia" w:ascii="宋体" w:hAnsi="宋体"/>
          <w:sz w:val="21"/>
          <w:szCs w:val="21"/>
        </w:rPr>
        <w:t xml:space="preserve">）</w:t>
      </w:r>
      <w:r/>
    </w:p>
    <w:p>
      <w:pPr>
        <w:ind w:left="0" w:firstLine="420"/>
        <w:jc w:val="left"/>
        <w:spacing w:line="480" w:lineRule="exac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1、中心网站</w:t>
      </w:r>
      <w:r/>
    </w:p>
    <w:tbl>
      <w:tblPr>
        <w:tblW w:w="9776" w:type="dxa"/>
        <w:tblInd w:w="113" w:type="dxa"/>
        <w:tblLayout w:type="fixed"/>
        <w:tblLook w:val="04A0" w:firstRow="1" w:lastRow="0" w:firstColumn="1" w:lastColumn="0" w:noHBand="0" w:noVBand="1"/>
      </w:tblPr>
      <w:tblGrid>
        <w:gridCol w:w="988"/>
        <w:gridCol w:w="1417"/>
        <w:gridCol w:w="1208"/>
        <w:gridCol w:w="6163"/>
      </w:tblGrid>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模块</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系统名称</w:t>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指标项</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功能要求</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中心网站</w:t>
            </w:r>
            <w:r/>
          </w:p>
        </w:tc>
        <w:tc>
          <w:tcPr>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网站前台设计</w:t>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风格设计</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rPr>
                <w:rFonts w:hint="eastAsia" w:ascii="宋体" w:hAnsi="宋体"/>
                <w:color w:val="000000"/>
                <w:sz w:val="21"/>
                <w:szCs w:val="21"/>
              </w:rPr>
            </w:pPr>
            <w:r>
              <w:rPr>
                <w:rFonts w:ascii="宋体" w:hAnsi="宋体"/>
                <w:color w:val="000000"/>
                <w:sz w:val="21"/>
                <w:szCs w:val="21"/>
              </w:rPr>
              <w:t xml:space="preserve">1、徽标：体现当地特色和时代风采，与网站总体风格协调统一。颜色和造型简洁明快，让人一目了然，印象深刻，并且适合放置在其他任何色系的网站中。</w:t>
            </w:r>
            <w:r>
              <w:rPr>
                <w:rFonts w:ascii="宋体" w:hAnsi="宋体"/>
                <w:color w:val="000000"/>
                <w:sz w:val="21"/>
                <w:szCs w:val="21"/>
              </w:rPr>
              <w:br/>
              <w:t xml:space="preserve">2、统一的视觉风格：苏州疾控中心网站采用统一的视觉风格，子页面的设计风格应承袭主页面的基本特征。网站在主页面的设计上应以庄重朴实的风格体现政府形象；以亲和便捷的界面、简洁明快的布局展示政府亲民、开放的风采。</w:t>
            </w:r>
            <w:r>
              <w:rPr>
                <w:rFonts w:ascii="宋体" w:hAnsi="宋体"/>
                <w:color w:val="000000"/>
                <w:sz w:val="21"/>
                <w:szCs w:val="21"/>
              </w:rPr>
              <w:br/>
              <w:t xml:space="preserve">3、展现方式多样：网站除了基本的文字展现方式之外，将通过图片、声音、视频信息多种多样的展现方式，使整个网站活泼、生动、形象，提高网站的整体形象。</w:t>
            </w:r>
            <w:r>
              <w:rPr>
                <w:rFonts w:ascii="宋体" w:hAnsi="宋体"/>
                <w:color w:val="000000"/>
                <w:sz w:val="21"/>
                <w:szCs w:val="21"/>
              </w:rPr>
              <w:br/>
              <w:t xml:space="preserve">4、快速浏览：网站严格控制页面的K数，尽量保持在100K以下。减小图形文件的大小，每个图形元素最终减慢了网页的传输速度。确保所有图形化提供的信息在用户访问网站而没有图形元素的时候可以用文本形式访问读取。</w:t>
            </w:r>
            <w:r>
              <w:rPr>
                <w:rFonts w:ascii="宋体" w:hAnsi="宋体"/>
                <w:color w:val="000000"/>
                <w:sz w:val="21"/>
                <w:szCs w:val="21"/>
              </w:rPr>
              <w:br/>
              <w:t xml:space="preserve">自适应：为保障网站的页面可以良好的适配PC端和移动端，通过使用HTML5技术建设网站，实现电脑、手机和其他终端机的自适应呈现，在不同终端获得相对的效果。</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网站栏目设计</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(1)政务公开专栏</w:t>
            </w:r>
            <w:r>
              <w:rPr>
                <w:rFonts w:hint="eastAsia" w:ascii="宋体" w:hAnsi="宋体"/>
                <w:color w:val="000000"/>
                <w:sz w:val="21"/>
                <w:szCs w:val="21"/>
              </w:rPr>
              <w:br/>
              <w:t xml:space="preserve">中心概况展示：支持机构职能、组织架构、领导信息、联系方式</w:t>
            </w:r>
            <w:r>
              <w:rPr>
                <w:rFonts w:hint="eastAsia" w:ascii="宋体" w:hAnsi="宋体"/>
                <w:color w:val="000000"/>
                <w:sz w:val="21"/>
                <w:szCs w:val="21"/>
              </w:rPr>
              <w:t xml:space="preserve">等基础信息的结构化呈现，信息更新响应时效，满足公众对政务主体的基础认知需求。</w:t>
            </w:r>
            <w:r>
              <w:rPr>
                <w:rFonts w:hint="eastAsia" w:ascii="宋体" w:hAnsi="宋体"/>
                <w:color w:val="000000"/>
                <w:sz w:val="21"/>
                <w:szCs w:val="21"/>
              </w:rPr>
              <w:br/>
              <w:t xml:space="preserve">政策法律法规管理：需整合国家、省、市及本单位层级的政策文件、法律法规、规范性文件，支持按发布时间、效力层级、业务领域多维度检索，提供原文下载、政策解读关联展示功能，确保政策信息的权威性与可追溯性。</w:t>
            </w:r>
            <w:r>
              <w:rPr>
                <w:rFonts w:hint="eastAsia" w:ascii="宋体" w:hAnsi="宋体"/>
                <w:color w:val="000000"/>
                <w:sz w:val="21"/>
                <w:szCs w:val="21"/>
              </w:rPr>
              <w:br/>
              <w:t xml:space="preserve">中心管理信息公开：涵盖内部管理制度、工作动态、财政预决算、人事任免等内容，要求分类清晰、更新及时，财政信息需符合国家预决算公开格式标准，保障公众对政务运行的知情权。</w:t>
            </w:r>
            <w:r>
              <w:rPr>
                <w:rFonts w:hint="eastAsia" w:ascii="宋体" w:hAnsi="宋体"/>
                <w:color w:val="000000"/>
                <w:sz w:val="21"/>
                <w:szCs w:val="21"/>
              </w:rPr>
              <w:br/>
              <w:t xml:space="preserve">监督投诉渠道：需提供在线投诉表单、投诉进度查询、反馈结果公示功能，支持匿名/实名投诉模式，投诉响应时限，建立投诉数据闭环管理机制，确保监督渠道畅通可追溯。</w:t>
            </w:r>
            <w:r>
              <w:rPr>
                <w:rFonts w:hint="eastAsia" w:ascii="宋体" w:hAnsi="宋体"/>
                <w:color w:val="000000"/>
                <w:sz w:val="21"/>
                <w:szCs w:val="21"/>
              </w:rPr>
              <w:br/>
              <w:t xml:space="preserve">业务科室功能展示：明确各科室职责范围、办事流程、岗位职责、服务时限等信息，关联对应业务办理入口，实现“科室职能 — 办事指南 — 在线办理” 的一体化跳转，提升公众办事指引效率。</w:t>
            </w:r>
            <w:r>
              <w:rPr>
                <w:rFonts w:hint="eastAsia" w:ascii="宋体" w:hAnsi="宋体"/>
                <w:color w:val="000000"/>
                <w:sz w:val="21"/>
                <w:szCs w:val="21"/>
              </w:rPr>
              <w:br/>
              <w:t xml:space="preserve">招标信息发布：支持招标公告、中标公示、采购需求等信息的规范化发布，需包含项目名称、预算金额、招标方式、截止时间等核心要素，符合《政府采购信息发布管理办法》等相关规定，确保招标过程公开透明。</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疾病控制专栏</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应急处置与保障：</w:t>
            </w:r>
            <w:r/>
          </w:p>
          <w:p>
            <w:pPr>
              <w:ind w:left="0"/>
              <w:jc w:val="left"/>
              <w:rPr>
                <w:rFonts w:hint="eastAsia" w:ascii="宋体" w:hAnsi="宋体"/>
                <w:color w:val="000000"/>
                <w:sz w:val="21"/>
                <w:szCs w:val="21"/>
              </w:rPr>
            </w:pPr>
            <w:r>
              <w:rPr>
                <w:rFonts w:hint="eastAsia" w:ascii="宋体" w:hAnsi="宋体"/>
                <w:color w:val="000000"/>
                <w:sz w:val="21"/>
                <w:szCs w:val="21"/>
              </w:rPr>
              <w:t xml:space="preserve">需具备突发公共卫生事件、预警响应、应急资源调度（含人员，物资，车辆）、事件分级处置可视化流程等信息发布。</w:t>
            </w:r>
            <w:r>
              <w:rPr>
                <w:rFonts w:hint="eastAsia" w:ascii="宋体" w:hAnsi="宋体"/>
                <w:color w:val="000000"/>
                <w:sz w:val="21"/>
                <w:szCs w:val="21"/>
              </w:rPr>
              <w:br/>
              <w:t xml:space="preserve">传染疾病控制：需实现传染病疾病控制相关信息的发布，支持法定传染病病例信息和流行病学调查数据信息的录入和展示，支持可视化传播链的展示。</w:t>
            </w:r>
            <w:r>
              <w:rPr>
                <w:rFonts w:hint="eastAsia" w:ascii="宋体" w:hAnsi="宋体"/>
                <w:color w:val="000000"/>
                <w:sz w:val="21"/>
                <w:szCs w:val="21"/>
              </w:rPr>
              <w:br/>
              <w:t xml:space="preserve">慢性疾病控制：支持慢性病干预方案内容发布，支持慢病随访记录内容录入和发布。</w:t>
            </w:r>
            <w:r>
              <w:rPr>
                <w:rFonts w:hint="eastAsia" w:ascii="宋体" w:hAnsi="宋体"/>
                <w:color w:val="000000"/>
                <w:sz w:val="21"/>
                <w:szCs w:val="21"/>
              </w:rPr>
              <w:br/>
              <w:t xml:space="preserve">寄生虫病与地方病防控：支持寄生虫病与地方防控情况信息发布，包括病例监测数据发布，地方患病率变化趋势图发布。</w:t>
            </w:r>
            <w:r>
              <w:rPr>
                <w:rFonts w:hint="eastAsia" w:ascii="宋体" w:hAnsi="宋体"/>
                <w:color w:val="000000"/>
                <w:sz w:val="21"/>
                <w:szCs w:val="21"/>
              </w:rPr>
              <w:br/>
              <w:t xml:space="preserve">结核病防控：支持结核病防止核心信息及知识点要点发布，苏州市结核病防控机构信息发布，苏州市结核病诊治定点医疗机构信息发布。</w:t>
            </w:r>
            <w:r>
              <w:rPr>
                <w:rFonts w:hint="eastAsia" w:ascii="宋体" w:hAnsi="宋体"/>
                <w:color w:val="000000"/>
                <w:sz w:val="21"/>
                <w:szCs w:val="21"/>
              </w:rPr>
              <w:br/>
              <w:t xml:space="preserve">艾滋病防控：支持艾滋病相关宣传教育知识要点内容发布。</w:t>
            </w:r>
            <w:r>
              <w:rPr>
                <w:rFonts w:hint="eastAsia" w:ascii="宋体" w:hAnsi="宋体"/>
                <w:color w:val="000000"/>
                <w:sz w:val="21"/>
                <w:szCs w:val="21"/>
              </w:rPr>
              <w:br/>
              <w:t xml:space="preserve">免疫预防与相关传染病：支持免疫预防相关宣传教育知识要点内容发布。支持国家免疫政策发布，传染病相关知识发布。</w:t>
            </w:r>
            <w:r>
              <w:rPr>
                <w:rFonts w:hint="eastAsia" w:ascii="宋体" w:hAnsi="宋体"/>
                <w:color w:val="000000"/>
                <w:sz w:val="21"/>
                <w:szCs w:val="21"/>
              </w:rPr>
              <w:br/>
              <w:t xml:space="preserve">消毒与媒介生物防控：支持消毒与媒介生物防控相关宣传教育知识要点内容发布。</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公共卫生专栏</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营养监测与干预：</w:t>
            </w:r>
            <w:r>
              <w:rPr>
                <w:rFonts w:hint="eastAsia" w:ascii="宋体" w:hAnsi="宋体"/>
                <w:color w:val="000000"/>
                <w:sz w:val="21"/>
                <w:szCs w:val="21"/>
              </w:rPr>
              <w:t xml:space="preserve">需支持</w:t>
            </w:r>
            <w:r>
              <w:rPr>
                <w:rFonts w:hint="eastAsia" w:ascii="宋体" w:hAnsi="宋体"/>
                <w:color w:val="000000"/>
                <w:sz w:val="21"/>
                <w:szCs w:val="21"/>
              </w:rPr>
              <w:t xml:space="preserve">人群营养状况调查数据发布，膳食结构分析信息发布，重点人群（儿童，老年人，孕产妇）营养评估内容发布，个性化营养指导方案发布。</w:t>
            </w:r>
            <w:r>
              <w:rPr>
                <w:rFonts w:hint="eastAsia" w:ascii="宋体" w:hAnsi="宋体"/>
                <w:color w:val="000000"/>
                <w:sz w:val="21"/>
                <w:szCs w:val="21"/>
              </w:rPr>
              <w:br/>
            </w:r>
            <w:r>
              <w:rPr>
                <w:rFonts w:hint="eastAsia" w:ascii="宋体" w:hAnsi="宋体"/>
                <w:color w:val="000000"/>
                <w:sz w:val="21"/>
                <w:szCs w:val="21"/>
              </w:rPr>
              <w:t xml:space="preserve">职业放射卫生：需实现职业健康管理相关制度和技术规范内容发布。</w:t>
            </w:r>
            <w:r/>
          </w:p>
          <w:p>
            <w:pPr>
              <w:ind w:left="0"/>
              <w:jc w:val="left"/>
              <w:rPr>
                <w:rFonts w:hint="eastAsia" w:ascii="宋体" w:hAnsi="宋体"/>
                <w:color w:val="000000"/>
                <w:sz w:val="21"/>
                <w:szCs w:val="21"/>
              </w:rPr>
            </w:pPr>
            <w:r>
              <w:rPr>
                <w:rFonts w:hint="eastAsia" w:ascii="宋体" w:hAnsi="宋体"/>
                <w:color w:val="000000"/>
                <w:sz w:val="21"/>
                <w:szCs w:val="21"/>
              </w:rPr>
              <w:t xml:space="preserve">环境与健康：</w:t>
            </w:r>
            <w:r>
              <w:rPr>
                <w:rFonts w:hint="eastAsia" w:ascii="宋体" w:hAnsi="宋体"/>
                <w:color w:val="000000"/>
                <w:sz w:val="21"/>
                <w:szCs w:val="21"/>
              </w:rPr>
              <w:t xml:space="preserve">需支持</w:t>
            </w:r>
            <w:r>
              <w:rPr>
                <w:rFonts w:hint="eastAsia" w:ascii="宋体" w:hAnsi="宋体"/>
                <w:color w:val="000000"/>
                <w:sz w:val="21"/>
                <w:szCs w:val="21"/>
              </w:rPr>
              <w:t xml:space="preserve">空气质量，饮用水水质，土壤污染等环境监测数据发布。</w:t>
            </w:r>
            <w:r>
              <w:rPr>
                <w:rFonts w:hint="eastAsia" w:ascii="宋体" w:hAnsi="宋体"/>
                <w:color w:val="000000"/>
                <w:sz w:val="21"/>
                <w:szCs w:val="21"/>
              </w:rPr>
              <w:br/>
              <w:t xml:space="preserve">学校卫生与学生健康促进：需涵盖学校卫生监测数据发布，学生健康体检数据发布，支持常见病（近视，龋齿）筛查结果数据发布，集成健康知识宣教。</w:t>
            </w:r>
            <w:r>
              <w:rPr>
                <w:rFonts w:hint="eastAsia" w:ascii="宋体" w:hAnsi="宋体"/>
                <w:color w:val="000000"/>
                <w:sz w:val="21"/>
                <w:szCs w:val="21"/>
              </w:rPr>
              <w:br/>
              <w:t xml:space="preserve">实验室检验检测：支持实验室检验检测的相关数据或信息的录入和发布。</w:t>
            </w:r>
            <w:r/>
          </w:p>
          <w:p>
            <w:pPr>
              <w:ind w:left="0"/>
              <w:jc w:val="left"/>
              <w:rPr>
                <w:rFonts w:hint="eastAsia" w:ascii="宋体" w:hAnsi="宋体"/>
                <w:color w:val="000000"/>
                <w:sz w:val="21"/>
                <w:szCs w:val="21"/>
              </w:rPr>
            </w:pPr>
            <w:r>
              <w:rPr>
                <w:rFonts w:hint="eastAsia" w:ascii="宋体" w:hAnsi="宋体"/>
                <w:color w:val="000000"/>
                <w:sz w:val="21"/>
                <w:szCs w:val="21"/>
              </w:rPr>
              <w:t xml:space="preserve">食品安全与食源性疾病： 实现食源性疾病相关知识宣教内容发布，具备食品安全抽检结果公示功能。</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健康促进专栏</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学校健康促进：支持健康知识宣教内容发布，学校健康环境监测数据发布，学生健康体检数据分析报告发布</w:t>
            </w:r>
            <w:r>
              <w:rPr>
                <w:rFonts w:hint="eastAsia" w:ascii="宋体" w:hAnsi="宋体"/>
                <w:color w:val="000000"/>
                <w:sz w:val="21"/>
                <w:szCs w:val="21"/>
              </w:rPr>
              <w:br/>
              <w:t xml:space="preserve">医院健康促进：医院健康促进医院评估结果公布，健康促进基本要求内容发布</w:t>
            </w:r>
            <w:r>
              <w:rPr>
                <w:rFonts w:hint="eastAsia" w:ascii="宋体" w:hAnsi="宋体"/>
                <w:color w:val="000000"/>
                <w:sz w:val="21"/>
                <w:szCs w:val="21"/>
              </w:rPr>
              <w:br/>
              <w:t xml:space="preserve">社区健康促进：支持健康讲座、义诊活动预告发布。</w:t>
            </w:r>
            <w:r>
              <w:rPr>
                <w:rFonts w:hint="eastAsia" w:ascii="宋体" w:hAnsi="宋体"/>
                <w:color w:val="000000"/>
                <w:sz w:val="21"/>
                <w:szCs w:val="21"/>
              </w:rPr>
              <w:br/>
              <w:t xml:space="preserve">单位与场所健康促进：支持职业病预防，健康生活方式指导内容发布。</w:t>
            </w:r>
            <w:r>
              <w:rPr>
                <w:rFonts w:hint="eastAsia" w:ascii="宋体" w:hAnsi="宋体"/>
                <w:color w:val="000000"/>
                <w:sz w:val="21"/>
                <w:szCs w:val="21"/>
              </w:rPr>
              <w:br/>
              <w:t xml:space="preserve">健康促进基地：需实现基地资质信息公示、集成健康科普，技能培训宣传与效果反馈功能。</w:t>
            </w:r>
            <w:r>
              <w:rPr>
                <w:rFonts w:hint="eastAsia" w:ascii="宋体" w:hAnsi="宋体"/>
                <w:color w:val="000000"/>
                <w:sz w:val="21"/>
                <w:szCs w:val="21"/>
              </w:rPr>
              <w:br/>
              <w:t xml:space="preserve">健康素养促进：需整合健康科普知识（图文、视频、音频）资源库，支持按人群、健康主题多维度检索。</w:t>
            </w:r>
            <w:r/>
          </w:p>
          <w:p>
            <w:pPr>
              <w:ind w:left="0"/>
              <w:jc w:val="left"/>
              <w:rPr>
                <w:rFonts w:hint="eastAsia" w:ascii="宋体" w:hAnsi="宋体"/>
                <w:color w:val="000000"/>
                <w:sz w:val="21"/>
                <w:szCs w:val="21"/>
              </w:rPr>
            </w:pPr>
            <w:r>
              <w:rPr>
                <w:rFonts w:hint="eastAsia" w:ascii="宋体" w:hAnsi="宋体"/>
                <w:color w:val="000000"/>
                <w:sz w:val="21"/>
                <w:szCs w:val="21"/>
              </w:rPr>
              <w:t xml:space="preserve">烟草流行控制：</w:t>
            </w:r>
            <w:r>
              <w:rPr>
                <w:rFonts w:hint="eastAsia" w:ascii="宋体" w:hAnsi="宋体"/>
                <w:color w:val="000000"/>
                <w:sz w:val="21"/>
                <w:szCs w:val="21"/>
              </w:rPr>
              <w:t xml:space="preserve">需支持</w:t>
            </w:r>
            <w:r>
              <w:rPr>
                <w:rFonts w:hint="eastAsia" w:ascii="宋体" w:hAnsi="宋体"/>
                <w:color w:val="000000"/>
                <w:sz w:val="21"/>
                <w:szCs w:val="21"/>
              </w:rPr>
              <w:t xml:space="preserve">控烟监测数据（场所控</w:t>
            </w:r>
            <w:r>
              <w:rPr>
                <w:rFonts w:hint="eastAsia" w:ascii="宋体" w:hAnsi="宋体"/>
                <w:color w:val="000000"/>
                <w:sz w:val="21"/>
                <w:szCs w:val="21"/>
              </w:rPr>
              <w:t xml:space="preserve">烟合规</w:t>
            </w:r>
            <w:r>
              <w:rPr>
                <w:rFonts w:hint="eastAsia" w:ascii="宋体" w:hAnsi="宋体"/>
                <w:color w:val="000000"/>
                <w:sz w:val="21"/>
                <w:szCs w:val="21"/>
              </w:rPr>
              <w:t xml:space="preserve">率、吸烟人群分布）录入，涵盖控烟宣传教育资源发布。</w:t>
            </w:r>
            <w:r/>
          </w:p>
          <w:p>
            <w:pPr>
              <w:ind w:left="0"/>
              <w:jc w:val="left"/>
              <w:rPr>
                <w:rFonts w:hint="eastAsia" w:ascii="宋体" w:hAnsi="宋体"/>
                <w:color w:val="000000"/>
                <w:sz w:val="21"/>
                <w:szCs w:val="21"/>
              </w:rPr>
            </w:pPr>
            <w:r>
              <w:rPr>
                <w:rFonts w:hint="eastAsia" w:ascii="宋体" w:hAnsi="宋体"/>
                <w:color w:val="000000"/>
                <w:sz w:val="21"/>
                <w:szCs w:val="21"/>
              </w:rPr>
              <w:t xml:space="preserve">健康家园：需实现家庭健康知识宣教内容发布。</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区县之窗专栏</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需展示</w:t>
            </w:r>
            <w:r>
              <w:rPr>
                <w:rFonts w:hint="eastAsia" w:ascii="宋体" w:hAnsi="宋体"/>
                <w:color w:val="000000"/>
                <w:sz w:val="21"/>
                <w:szCs w:val="21"/>
              </w:rPr>
              <w:t xml:space="preserve">苏州各区县开展的有关疾病和健康活动信息，用户通过这个栏目点击可查看各区县活动的具体详细内容。</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中心文化专栏</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党建行风：</w:t>
            </w:r>
            <w:r>
              <w:rPr>
                <w:rFonts w:hint="eastAsia" w:ascii="宋体" w:hAnsi="宋体"/>
                <w:color w:val="000000"/>
                <w:sz w:val="21"/>
                <w:szCs w:val="21"/>
              </w:rPr>
              <w:t xml:space="preserve">需支持</w:t>
            </w:r>
            <w:r>
              <w:rPr>
                <w:rFonts w:hint="eastAsia" w:ascii="宋体" w:hAnsi="宋体"/>
                <w:color w:val="000000"/>
                <w:sz w:val="21"/>
                <w:szCs w:val="21"/>
              </w:rPr>
              <w:t xml:space="preserve">党组织架构展示、党员信息管理（发展党员流程），集成党建活动（主题党日、组织生活会）计划与纪实功能，关联行风建设规范（服务准则、投诉处理）公示与执行情况跟踪，提供党建与业务融合工作报表生成，符合《中国共产党党和国家机关基层组织工作条例》要求。</w:t>
            </w:r>
            <w:r>
              <w:rPr>
                <w:rFonts w:hint="eastAsia" w:ascii="宋体" w:hAnsi="宋体"/>
                <w:color w:val="000000"/>
                <w:sz w:val="21"/>
                <w:szCs w:val="21"/>
              </w:rPr>
              <w:br/>
              <w:t xml:space="preserve">廉政文化：需包含廉政教育资源库（案例、法规、警示视频），具备廉政监督投诉渠道与处理结果公示功能，关联干部廉政档案动态更新，满足党风廉政建设相关规范。</w:t>
            </w:r>
            <w:r>
              <w:rPr>
                <w:rFonts w:hint="eastAsia" w:ascii="宋体" w:hAnsi="宋体"/>
                <w:color w:val="000000"/>
                <w:sz w:val="21"/>
                <w:szCs w:val="21"/>
              </w:rPr>
              <w:br/>
              <w:t xml:space="preserve">职工之家：对接内部工会系统，提供工会工作统计分析功能（会员覆盖率，活动参与率。适配工会组织管理标准。）</w:t>
            </w:r>
            <w:r>
              <w:rPr>
                <w:rFonts w:hint="eastAsia" w:ascii="宋体" w:hAnsi="宋体"/>
                <w:color w:val="000000"/>
                <w:sz w:val="21"/>
                <w:szCs w:val="21"/>
              </w:rPr>
              <w:br/>
              <w:t xml:space="preserve">青年园地：支持青年团员组织活动（志愿服务，主题学习）策划与纪实内容发布。支持青年人才培养计划（培训，轮岗）跟踪与成果展示。</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通知公告专栏</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系统</w:t>
            </w:r>
            <w:r>
              <w:rPr>
                <w:rFonts w:hint="eastAsia" w:ascii="宋体" w:hAnsi="宋体"/>
                <w:color w:val="000000"/>
                <w:sz w:val="21"/>
                <w:szCs w:val="21"/>
              </w:rPr>
              <w:t xml:space="preserve">需支持</w:t>
            </w:r>
            <w:r>
              <w:rPr>
                <w:rFonts w:hint="eastAsia" w:ascii="宋体" w:hAnsi="宋体"/>
                <w:color w:val="000000"/>
                <w:sz w:val="21"/>
                <w:szCs w:val="21"/>
              </w:rPr>
              <w:t xml:space="preserve">展示苏州市疾病预防控制中心开展活动的最新的通知公告，方便用户及时查看最新通知公告信息。</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工作动态专栏</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系统</w:t>
            </w:r>
            <w:r>
              <w:rPr>
                <w:rFonts w:hint="eastAsia" w:ascii="宋体" w:hAnsi="宋体"/>
                <w:color w:val="000000"/>
                <w:sz w:val="21"/>
                <w:szCs w:val="21"/>
              </w:rPr>
              <w:t xml:space="preserve">需展示</w:t>
            </w:r>
            <w:r>
              <w:rPr>
                <w:rFonts w:hint="eastAsia" w:ascii="宋体" w:hAnsi="宋体"/>
                <w:color w:val="000000"/>
                <w:sz w:val="21"/>
                <w:szCs w:val="21"/>
              </w:rPr>
              <w:t xml:space="preserve">苏州市疾病预防控制中心的开展的一些工作动态，方便及时查看工作状态信息，及时了解工作进程。</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热线新闻专栏</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系统</w:t>
            </w:r>
            <w:r>
              <w:rPr>
                <w:rFonts w:hint="eastAsia" w:ascii="宋体" w:hAnsi="宋体"/>
                <w:color w:val="000000"/>
                <w:sz w:val="21"/>
                <w:szCs w:val="21"/>
              </w:rPr>
              <w:t xml:space="preserve">需支持</w:t>
            </w:r>
            <w:r>
              <w:rPr>
                <w:rFonts w:hint="eastAsia" w:ascii="宋体" w:hAnsi="宋体"/>
                <w:color w:val="000000"/>
                <w:sz w:val="21"/>
                <w:szCs w:val="21"/>
              </w:rPr>
              <w:t xml:space="preserve">当前的热点新闻内容，方便点击查看当前的一些热点新闻。</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下载专区专栏</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系统需提供可下载的文档附件。包括一些工作人员报名表、意见表、职业病诊断就诊登记表、宣传材料。</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健康教育专栏</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jc w:val="left"/>
              <w:rPr>
                <w:rFonts w:hint="eastAsia" w:ascii="宋体" w:hAnsi="宋体"/>
                <w:szCs w:val="21"/>
              </w:rPr>
            </w:pPr>
            <w:r>
              <w:rPr>
                <w:rFonts w:hint="eastAsia" w:ascii="宋体" w:hAnsi="宋体"/>
                <w:szCs w:val="21"/>
              </w:rPr>
              <w:t xml:space="preserve">新型冠状病毒感染肺炎：支持新型冠状病毒感染肺炎相关知识宣教内容发布；</w:t>
            </w:r>
            <w:r/>
          </w:p>
          <w:p>
            <w:pPr>
              <w:ind w:left="0"/>
              <w:jc w:val="left"/>
              <w:rPr>
                <w:rFonts w:hint="eastAsia" w:ascii="宋体" w:hAnsi="宋体"/>
                <w:color w:val="000000"/>
                <w:sz w:val="21"/>
                <w:szCs w:val="21"/>
              </w:rPr>
            </w:pPr>
            <w:r>
              <w:rPr>
                <w:rFonts w:hint="eastAsia" w:ascii="宋体" w:hAnsi="宋体"/>
                <w:color w:val="000000"/>
                <w:sz w:val="21"/>
                <w:szCs w:val="21"/>
              </w:rPr>
              <w:t xml:space="preserve">流感防控：实现流感样病例监测统计数据发布，聚集性疫情溯源</w:t>
            </w:r>
            <w:r>
              <w:rPr>
                <w:rFonts w:hint="eastAsia" w:ascii="宋体" w:hAnsi="宋体"/>
                <w:color w:val="000000"/>
                <w:sz w:val="21"/>
                <w:szCs w:val="21"/>
              </w:rPr>
              <w:t xml:space="preserve">玉传播</w:t>
            </w:r>
            <w:r>
              <w:rPr>
                <w:rFonts w:hint="eastAsia" w:ascii="宋体" w:hAnsi="宋体"/>
                <w:color w:val="000000"/>
                <w:sz w:val="21"/>
                <w:szCs w:val="21"/>
              </w:rPr>
              <w:t xml:space="preserve">链分析结果发布，提供流感流行趋势预测与健康提示推送。相关知识宣教内容发布。</w:t>
            </w:r>
            <w:r>
              <w:rPr>
                <w:rFonts w:hint="eastAsia" w:ascii="宋体" w:hAnsi="宋体"/>
                <w:color w:val="000000"/>
                <w:sz w:val="21"/>
                <w:szCs w:val="21"/>
              </w:rPr>
              <w:br/>
              <w:t xml:space="preserve">结核病防控：支持结核病相关知识宣教内容发布</w:t>
            </w:r>
            <w:r>
              <w:rPr>
                <w:rFonts w:hint="eastAsia" w:ascii="宋体" w:hAnsi="宋体"/>
                <w:color w:val="000000"/>
                <w:sz w:val="21"/>
                <w:szCs w:val="21"/>
              </w:rPr>
              <w:br/>
              <w:t xml:space="preserve">登革热防控：支持登革热相关知识宣教内容发布</w:t>
            </w:r>
            <w:r>
              <w:rPr>
                <w:rFonts w:hint="eastAsia" w:ascii="宋体" w:hAnsi="宋体"/>
                <w:color w:val="000000"/>
                <w:sz w:val="21"/>
                <w:szCs w:val="21"/>
              </w:rPr>
              <w:br/>
            </w:r>
            <w:r>
              <w:rPr>
                <w:rFonts w:hint="eastAsia" w:ascii="宋体" w:hAnsi="宋体"/>
                <w:color w:val="000000"/>
                <w:sz w:val="21"/>
                <w:szCs w:val="21"/>
              </w:rPr>
              <w:t xml:space="preserve">寨卡病毒</w:t>
            </w:r>
            <w:r>
              <w:rPr>
                <w:rFonts w:hint="eastAsia" w:ascii="宋体" w:hAnsi="宋体"/>
                <w:color w:val="000000"/>
                <w:sz w:val="21"/>
                <w:szCs w:val="21"/>
              </w:rPr>
              <w:t xml:space="preserve">防控：</w:t>
            </w:r>
            <w:r/>
          </w:p>
          <w:p>
            <w:pPr>
              <w:ind w:left="0"/>
              <w:jc w:val="left"/>
              <w:rPr>
                <w:rFonts w:hint="eastAsia" w:ascii="宋体" w:hAnsi="宋体"/>
                <w:color w:val="000000"/>
                <w:sz w:val="21"/>
                <w:szCs w:val="21"/>
              </w:rPr>
            </w:pPr>
            <w:r>
              <w:rPr>
                <w:rFonts w:hint="eastAsia" w:ascii="宋体" w:hAnsi="宋体"/>
                <w:color w:val="000000"/>
                <w:sz w:val="21"/>
                <w:szCs w:val="21"/>
              </w:rPr>
              <w:t xml:space="preserve">寨卡病毒</w:t>
            </w:r>
            <w:r>
              <w:rPr>
                <w:rFonts w:hint="eastAsia" w:ascii="宋体" w:hAnsi="宋体"/>
                <w:color w:val="000000"/>
                <w:sz w:val="21"/>
                <w:szCs w:val="21"/>
              </w:rPr>
              <w:t xml:space="preserve">相关知识宣教内容发布</w:t>
            </w:r>
            <w:r>
              <w:rPr>
                <w:rFonts w:hint="eastAsia" w:ascii="宋体" w:hAnsi="宋体"/>
                <w:color w:val="000000"/>
                <w:sz w:val="21"/>
                <w:szCs w:val="21"/>
              </w:rPr>
              <w:br/>
              <w:t xml:space="preserve">中东呼吸综合征防控：中东呼吸综合征相关知识宣教内容发布。</w:t>
            </w:r>
            <w:r>
              <w:rPr>
                <w:rFonts w:hint="eastAsia" w:ascii="宋体" w:hAnsi="宋体"/>
                <w:color w:val="000000"/>
                <w:sz w:val="21"/>
                <w:szCs w:val="21"/>
              </w:rPr>
              <w:br/>
              <w:t xml:space="preserve">艾滋病防控：艾滋病相关知识宣教内容发布。</w:t>
            </w:r>
            <w:r>
              <w:rPr>
                <w:rFonts w:hint="eastAsia" w:ascii="宋体" w:hAnsi="宋体"/>
                <w:color w:val="000000"/>
                <w:sz w:val="21"/>
                <w:szCs w:val="21"/>
              </w:rPr>
              <w:br/>
            </w:r>
            <w:r>
              <w:rPr>
                <w:rFonts w:hint="eastAsia" w:ascii="宋体" w:hAnsi="宋体"/>
                <w:color w:val="000000"/>
                <w:sz w:val="21"/>
                <w:szCs w:val="21"/>
              </w:rPr>
              <w:t xml:space="preserve">诺如病毒</w:t>
            </w:r>
            <w:r>
              <w:rPr>
                <w:rFonts w:hint="eastAsia" w:ascii="宋体" w:hAnsi="宋体"/>
                <w:color w:val="000000"/>
                <w:sz w:val="21"/>
                <w:szCs w:val="21"/>
              </w:rPr>
              <w:t xml:space="preserve">防控：</w:t>
            </w:r>
            <w:r>
              <w:rPr>
                <w:rFonts w:hint="eastAsia" w:ascii="宋体" w:hAnsi="宋体"/>
                <w:color w:val="000000"/>
                <w:sz w:val="21"/>
                <w:szCs w:val="21"/>
              </w:rPr>
              <w:t xml:space="preserve">诺如病毒</w:t>
            </w:r>
            <w:r>
              <w:rPr>
                <w:rFonts w:hint="eastAsia" w:ascii="宋体" w:hAnsi="宋体"/>
                <w:color w:val="000000"/>
                <w:sz w:val="21"/>
                <w:szCs w:val="21"/>
              </w:rPr>
              <w:t xml:space="preserve">相关知识宣教内容发布。</w:t>
            </w:r>
            <w:r>
              <w:rPr>
                <w:rFonts w:hint="eastAsia" w:ascii="宋体" w:hAnsi="宋体"/>
                <w:color w:val="000000"/>
                <w:sz w:val="21"/>
                <w:szCs w:val="21"/>
              </w:rPr>
              <w:br/>
              <w:t xml:space="preserve">埃博拉病毒防控：埃博拉病毒相关知识宣教内容发布。</w:t>
            </w:r>
            <w:r>
              <w:rPr>
                <w:rFonts w:hint="eastAsia" w:ascii="宋体" w:hAnsi="宋体"/>
                <w:color w:val="000000"/>
                <w:sz w:val="21"/>
                <w:szCs w:val="21"/>
              </w:rPr>
              <w:br/>
              <w:t xml:space="preserve">控烟管理：支持公共场所控烟宣教内容发布，吸烟人群统计结果发布。</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视频专区专栏</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rPr>
                <w:rFonts w:hint="eastAsia" w:ascii="宋体" w:hAnsi="宋体"/>
                <w:color w:val="000000"/>
                <w:sz w:val="21"/>
                <w:szCs w:val="21"/>
              </w:rPr>
            </w:pPr>
            <w:r>
              <w:rPr>
                <w:rFonts w:hint="eastAsia" w:ascii="宋体" w:hAnsi="宋体"/>
                <w:color w:val="000000"/>
                <w:sz w:val="21"/>
                <w:szCs w:val="21"/>
              </w:rPr>
              <w:t xml:space="preserve">系统支持跟疾病和健康相关的视频，用户可通过点击该栏目的视频进入学习相关知识内容。</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s="Times New Roman"/>
                <w:strike/>
                <w:color w:val="ff0000"/>
                <w:sz w:val="21"/>
                <w:szCs w:val="21"/>
              </w:rPr>
            </w:pPr>
            <w:r>
              <w:rPr>
                <w:rFonts w:ascii="宋体" w:hAnsi="宋体" w:cs="Times New Roman"/>
                <w:sz w:val="21"/>
                <w:szCs w:val="21"/>
              </w:rPr>
              <w:t xml:space="preserve">“中心门户网站”栏目设计</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themeColor="text1"/>
                <w:sz w:val="21"/>
                <w:szCs w:val="21"/>
              </w:rPr>
              <w:t xml:space="preserve">预防医学诊疗：支持预防医学相关医学知识和宣教内容发布，包括地方病和慢性病专家咨询和承认预防接种。</w:t>
            </w:r>
            <w:r>
              <w:rPr>
                <w:rFonts w:hint="eastAsia" w:ascii="宋体" w:hAnsi="宋体"/>
                <w:color w:val="000000"/>
                <w:sz w:val="21"/>
                <w:szCs w:val="21"/>
              </w:rPr>
              <w:br/>
              <w:t xml:space="preserve">儿童预防接种：支持儿童预防接种计划发布。</w:t>
            </w:r>
            <w:r>
              <w:rPr>
                <w:rFonts w:hint="eastAsia" w:ascii="宋体" w:hAnsi="宋体"/>
                <w:color w:val="000000"/>
                <w:sz w:val="21"/>
                <w:szCs w:val="21"/>
              </w:rPr>
              <w:br/>
            </w:r>
            <w:r>
              <w:rPr>
                <w:rFonts w:hint="eastAsia" w:ascii="宋体" w:hAnsi="宋体"/>
                <w:color w:val="000000" w:themeColor="text1"/>
                <w:sz w:val="21"/>
                <w:szCs w:val="21"/>
              </w:rPr>
              <w:t xml:space="preserve">性病艾滋病咨询检测：支持性病艾滋病相关知识和宣教内容发布。</w:t>
            </w:r>
            <w:r>
              <w:rPr>
                <w:rFonts w:hint="eastAsia" w:ascii="宋体" w:hAnsi="宋体"/>
                <w:color w:val="000000"/>
                <w:sz w:val="21"/>
                <w:szCs w:val="21"/>
              </w:rPr>
              <w:br/>
              <w:t xml:space="preserve">职业与放射卫生：实现职业暴露风险评估、职业相关疾病预警及干预等相关内容发布，展示职业病诊断和中华人民共和国职业防治法相关内容。</w:t>
            </w:r>
            <w:r>
              <w:rPr>
                <w:rFonts w:hint="eastAsia" w:ascii="宋体" w:hAnsi="宋体"/>
                <w:color w:val="000000"/>
                <w:sz w:val="21"/>
                <w:szCs w:val="21"/>
              </w:rPr>
              <w:br/>
              <w:t xml:space="preserve">环境卫生：支持空气质量、饮用水水质、土壤污染等环境监测数据录入，关键人群健康影响分析报告发布。提供呼叫健康风险评估报告发布。</w:t>
            </w:r>
            <w:r>
              <w:rPr>
                <w:rFonts w:hint="eastAsia" w:ascii="宋体" w:hAnsi="宋体"/>
                <w:color w:val="000000"/>
                <w:sz w:val="21"/>
                <w:szCs w:val="21"/>
              </w:rPr>
              <w:br/>
              <w:t xml:space="preserve">消毒产品等委托检测：支持消毒产品、涉水产品等委托检测情况相关信息发布</w:t>
            </w:r>
            <w:r/>
          </w:p>
          <w:p>
            <w:pPr>
              <w:ind w:left="0"/>
              <w:jc w:val="left"/>
              <w:rPr>
                <w:rFonts w:hint="eastAsia" w:ascii="宋体" w:hAnsi="宋体"/>
                <w:strike/>
                <w:color w:val="ff0000"/>
                <w:sz w:val="21"/>
                <w:szCs w:val="21"/>
              </w:rPr>
            </w:pPr>
            <w:r>
              <w:rPr>
                <w:rFonts w:hint="eastAsia" w:ascii="宋体" w:hAnsi="宋体"/>
                <w:color w:val="000000"/>
                <w:sz w:val="21"/>
                <w:szCs w:val="21"/>
              </w:rPr>
              <w:t xml:space="preserve">学校卫生学生健康促进：支持近视、龋齿等常见病筛查统计结果发布，集成健康宣教资源发布。</w:t>
            </w:r>
            <w:r>
              <w:rPr>
                <w:rFonts w:hint="eastAsia" w:ascii="宋体" w:hAnsi="宋体"/>
                <w:color w:val="000000"/>
                <w:sz w:val="21"/>
                <w:szCs w:val="21"/>
              </w:rPr>
              <w:br/>
            </w:r>
            <w:r>
              <w:rPr>
                <w:rFonts w:hint="eastAsia" w:ascii="宋体" w:hAnsi="宋体"/>
                <w:color w:val="000000"/>
                <w:sz w:val="21"/>
                <w:szCs w:val="21"/>
              </w:rPr>
              <w:t xml:space="preserve">食品卫生：支持食品卫生监测数据录入与发布，支持食物中毒事件处置记录发布。</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卫生监督</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rPr>
                <w:rFonts w:hint="eastAsia" w:ascii="宋体" w:hAnsi="宋体"/>
                <w:color w:val="000000"/>
                <w:sz w:val="21"/>
                <w:szCs w:val="21"/>
              </w:rPr>
            </w:pPr>
            <w:r>
              <w:rPr>
                <w:rFonts w:hint="eastAsia" w:ascii="宋体" w:hAnsi="宋体"/>
                <w:color w:val="000000"/>
                <w:sz w:val="21"/>
                <w:szCs w:val="21"/>
              </w:rPr>
              <w:t xml:space="preserve">系统</w:t>
            </w:r>
            <w:r>
              <w:rPr>
                <w:rFonts w:hint="eastAsia" w:ascii="宋体" w:hAnsi="宋体"/>
                <w:color w:val="000000"/>
                <w:sz w:val="21"/>
                <w:szCs w:val="21"/>
              </w:rPr>
              <w:t xml:space="preserve">需包括</w:t>
            </w:r>
            <w:r>
              <w:rPr>
                <w:rFonts w:hint="eastAsia" w:ascii="宋体" w:hAnsi="宋体"/>
                <w:color w:val="000000"/>
                <w:sz w:val="21"/>
                <w:szCs w:val="21"/>
              </w:rPr>
              <w:t xml:space="preserve">许可服务、法制稽查、医疗服务监督等卫生监督信息发布功能。</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导航栏目</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系统需包括“苏州市卫生健康委员会”、“江苏省疾病预防控制中心”、“区县之窗”</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网站前台应用功能</w:t>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图文广告</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rPr>
                <w:rFonts w:hint="eastAsia" w:ascii="宋体" w:hAnsi="宋体"/>
                <w:color w:val="000000"/>
                <w:sz w:val="21"/>
                <w:szCs w:val="21"/>
              </w:rPr>
            </w:pPr>
            <w:r>
              <w:rPr>
                <w:rFonts w:hint="eastAsia" w:ascii="宋体" w:hAnsi="宋体"/>
                <w:color w:val="000000"/>
                <w:sz w:val="21"/>
                <w:szCs w:val="21"/>
              </w:rPr>
              <w:t xml:space="preserve">网站前台</w:t>
            </w:r>
            <w:r>
              <w:rPr>
                <w:rFonts w:hint="eastAsia" w:ascii="宋体" w:hAnsi="宋体"/>
                <w:color w:val="000000"/>
                <w:sz w:val="21"/>
                <w:szCs w:val="21"/>
              </w:rPr>
              <w:t xml:space="preserve">首页需支持</w:t>
            </w:r>
            <w:r>
              <w:rPr>
                <w:rFonts w:hint="eastAsia" w:ascii="宋体" w:hAnsi="宋体"/>
                <w:color w:val="000000"/>
                <w:sz w:val="21"/>
                <w:szCs w:val="21"/>
              </w:rPr>
              <w:t xml:space="preserve">将流感实验室检测工作场景进行滚动播放。使公众能够快速了解苏州市疾控中心的工作状况。</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投诉举报</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需支持</w:t>
            </w:r>
            <w:r>
              <w:rPr>
                <w:rFonts w:hint="eastAsia" w:ascii="宋体" w:hAnsi="宋体"/>
                <w:color w:val="000000"/>
                <w:sz w:val="21"/>
                <w:szCs w:val="21"/>
              </w:rPr>
              <w:t xml:space="preserve">苏州疾控中心网站提供投诉举报服务，通过填写姓名、联系地址、联系电话、邮件、主题、投诉内容相关信息，选择信箱点击发送进行投诉举报。</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互动问答</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rPr>
                <w:rFonts w:hint="eastAsia" w:ascii="宋体" w:hAnsi="宋体"/>
                <w:color w:val="000000"/>
                <w:sz w:val="21"/>
                <w:szCs w:val="21"/>
              </w:rPr>
            </w:pPr>
            <w:r>
              <w:rPr>
                <w:rFonts w:ascii="宋体" w:hAnsi="宋体"/>
                <w:color w:val="000000"/>
                <w:sz w:val="21"/>
                <w:szCs w:val="21"/>
              </w:rPr>
              <w:t xml:space="preserve">需支持</w:t>
            </w:r>
            <w:r>
              <w:rPr>
                <w:rFonts w:ascii="宋体" w:hAnsi="宋体"/>
                <w:color w:val="000000"/>
                <w:sz w:val="21"/>
                <w:szCs w:val="21"/>
              </w:rPr>
              <w:t xml:space="preserve">我的提问：苏州疾控中心网站提供我的提问服务，通过填写姓名、主题、内容相关信息，进行问题提问。</w:t>
            </w:r>
            <w:r>
              <w:rPr>
                <w:rFonts w:ascii="宋体" w:hAnsi="宋体"/>
                <w:color w:val="000000"/>
                <w:sz w:val="21"/>
                <w:szCs w:val="21"/>
              </w:rPr>
              <w:br/>
            </w:r>
            <w:r>
              <w:rPr>
                <w:rFonts w:ascii="宋体" w:hAnsi="宋体"/>
                <w:color w:val="000000"/>
                <w:sz w:val="21"/>
                <w:szCs w:val="21"/>
              </w:rPr>
              <w:t xml:space="preserve">需支持</w:t>
            </w:r>
            <w:r>
              <w:rPr>
                <w:rFonts w:ascii="宋体" w:hAnsi="宋体"/>
                <w:color w:val="000000"/>
                <w:sz w:val="21"/>
                <w:szCs w:val="21"/>
              </w:rPr>
              <w:t xml:space="preserve">咨询问题：苏州疾控中心网站提供咨询问题服务，通过填写姓名、主题、内容相关信息，进行问题咨询。</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科普馆预约</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需支持</w:t>
            </w:r>
            <w:r>
              <w:rPr>
                <w:rFonts w:hint="eastAsia" w:ascii="宋体" w:hAnsi="宋体"/>
                <w:color w:val="000000"/>
                <w:sz w:val="21"/>
                <w:szCs w:val="21"/>
              </w:rPr>
              <w:t xml:space="preserve">苏州疾控中心网站提供科普馆预约服务，用户可通过该服务进行预约操作。</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网站内容发布平台</w:t>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内容管理</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rPr>
                <w:rFonts w:hint="eastAsia" w:ascii="宋体" w:hAnsi="宋体"/>
                <w:color w:val="000000"/>
                <w:sz w:val="21"/>
                <w:szCs w:val="21"/>
              </w:rPr>
            </w:pPr>
            <w:r>
              <w:rPr>
                <w:rFonts w:hint="eastAsia" w:ascii="宋体" w:hAnsi="宋体"/>
                <w:color w:val="000000"/>
                <w:sz w:val="21"/>
                <w:szCs w:val="21"/>
              </w:rPr>
              <w:t xml:space="preserve">为加强对信息内容、功能方面的日常运行维护，确保网站能够及时响应用户的需求，网站为主站信息采编人员及所有子站的内容管理人员提供内容管理功能。</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left w:val="single" w:color="000000" w:sz="4" w:space="0"/>
              <w:right w:val="single" w:color="000000" w:sz="4" w:space="0"/>
            </w:tcBorders>
            <w:tcW w:w="1417" w:type="dxa"/>
            <w:vAlign w:val="center"/>
            <w:vMerge w:val="continue"/>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信息采编</w:t>
            </w:r>
            <w:r/>
          </w:p>
        </w:tc>
        <w:tc>
          <w:tcPr>
            <w:shd w:val="clear" w:color="auto" w:fill="auto"/>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rPr>
                <w:rFonts w:hint="eastAsia" w:ascii="宋体" w:hAnsi="宋体"/>
                <w:color w:val="000000"/>
                <w:sz w:val="21"/>
                <w:szCs w:val="21"/>
              </w:rPr>
            </w:pPr>
            <w:r>
              <w:rPr>
                <w:rFonts w:hint="eastAsia" w:ascii="宋体" w:hAnsi="宋体"/>
                <w:color w:val="000000"/>
                <w:sz w:val="21"/>
                <w:szCs w:val="21"/>
              </w:rPr>
              <w:t xml:space="preserve">需提供信息的编辑、发布、查看、评论功能，主要功能包括：信息发布、我发布的信息、信息评论、待办信息。</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信息管理</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需提供给管理员使用，管理所有发布的信息，包括删除、停止、重新发布、转移、更新序号操作。支持信息变更记录功能，信息被编辑后存储所有变更的记录。</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流程管理</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rPr>
                <w:rFonts w:hint="eastAsia" w:ascii="宋体" w:hAnsi="宋体"/>
                <w:color w:val="000000"/>
                <w:sz w:val="21"/>
                <w:szCs w:val="21"/>
              </w:rPr>
            </w:pPr>
            <w:r>
              <w:rPr>
                <w:rFonts w:hint="eastAsia" w:ascii="宋体" w:hAnsi="宋体"/>
                <w:color w:val="000000"/>
                <w:sz w:val="21"/>
                <w:szCs w:val="21"/>
              </w:rPr>
              <w:t xml:space="preserve">对于政府网站特定的信息栏目，</w:t>
            </w:r>
            <w:r>
              <w:rPr>
                <w:rFonts w:hint="eastAsia" w:ascii="宋体" w:hAnsi="宋体"/>
                <w:color w:val="000000" w:themeColor="text1"/>
                <w:sz w:val="21"/>
                <w:szCs w:val="21"/>
              </w:rPr>
              <w:t xml:space="preserve">可制定信息发布审核流程</w:t>
            </w:r>
            <w:r>
              <w:rPr>
                <w:rFonts w:hint="eastAsia" w:ascii="宋体" w:hAnsi="宋体"/>
                <w:color w:val="ff0000"/>
                <w:sz w:val="21"/>
                <w:szCs w:val="21"/>
              </w:rPr>
              <w:t xml:space="preserve">。</w:t>
            </w:r>
            <w:r>
              <w:rPr>
                <w:rFonts w:hint="eastAsia" w:ascii="宋体" w:hAnsi="宋体"/>
                <w:color w:val="000000"/>
                <w:sz w:val="21"/>
                <w:szCs w:val="21"/>
              </w:rPr>
              <w:t xml:space="preserve">系统需提供了图形化的流程定义方法，无需任何编程，就可以快速地构建各种需要控制的流程。需要用户审核的信息在用户登录网站内容管理系统后集中显示。</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归档管理</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themeColor="text1"/>
                <w:sz w:val="21"/>
                <w:szCs w:val="21"/>
              </w:rPr>
              <w:t xml:space="preserve">需支持</w:t>
            </w:r>
            <w:r>
              <w:rPr>
                <w:rFonts w:hint="eastAsia" w:ascii="宋体" w:hAnsi="宋体"/>
                <w:color w:val="000000" w:themeColor="text1"/>
                <w:sz w:val="21"/>
                <w:szCs w:val="21"/>
              </w:rPr>
              <w:t xml:space="preserve">网页归档，对网站历史网页进行整理、存储和利用过程。网站遇整合迁移、改版情况，要对有价值的原网页进行归档处理。归档后的页面能通过正常访问，并在显著位置清晰注明“已归档”和归档时间。</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信息复制</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rPr>
                <w:rFonts w:hint="eastAsia" w:ascii="宋体" w:hAnsi="宋体"/>
                <w:color w:val="000000"/>
                <w:sz w:val="21"/>
                <w:szCs w:val="21"/>
              </w:rPr>
            </w:pPr>
            <w:r>
              <w:rPr>
                <w:rFonts w:hint="eastAsia" w:ascii="宋体" w:hAnsi="宋体"/>
                <w:color w:val="000000"/>
                <w:sz w:val="21"/>
                <w:szCs w:val="21"/>
              </w:rPr>
              <w:t xml:space="preserve">需支持</w:t>
            </w:r>
            <w:r>
              <w:rPr>
                <w:rFonts w:hint="eastAsia" w:ascii="宋体" w:hAnsi="宋体"/>
                <w:color w:val="000000"/>
                <w:sz w:val="21"/>
                <w:szCs w:val="21"/>
              </w:rPr>
              <w:t xml:space="preserve">信息复制功能将不同站点的信息灵活复制到其他站点中，以便更加合理地进行信息复用。</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分类信息</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需支持</w:t>
            </w:r>
            <w:r>
              <w:rPr>
                <w:rFonts w:hint="eastAsia" w:ascii="宋体" w:hAnsi="宋体"/>
                <w:color w:val="000000"/>
                <w:sz w:val="21"/>
                <w:szCs w:val="21"/>
              </w:rPr>
              <w:t xml:space="preserve">网站分类的基本管理，并可根据网站分类对信息重新进行筛选划分，网站页面可根据分类进行网站信息的展示。</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栏目管理</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rPr>
                <w:rFonts w:hint="eastAsia" w:ascii="宋体" w:hAnsi="宋体"/>
                <w:color w:val="000000"/>
                <w:sz w:val="21"/>
                <w:szCs w:val="21"/>
              </w:rPr>
            </w:pPr>
            <w:r>
              <w:rPr>
                <w:rFonts w:hint="eastAsia" w:ascii="宋体" w:hAnsi="宋体"/>
                <w:color w:val="000000"/>
                <w:sz w:val="21"/>
                <w:szCs w:val="21"/>
              </w:rPr>
              <w:t xml:space="preserve">需实现栏目的管理，</w:t>
            </w:r>
            <w:r>
              <w:rPr>
                <w:rFonts w:hint="eastAsia" w:ascii="宋体" w:hAnsi="宋体"/>
                <w:color w:val="000000"/>
                <w:sz w:val="21"/>
                <w:szCs w:val="21"/>
              </w:rPr>
              <w:t xml:space="preserve">需支持</w:t>
            </w:r>
            <w:r>
              <w:rPr>
                <w:rFonts w:hint="eastAsia" w:ascii="宋体" w:hAnsi="宋体"/>
                <w:color w:val="000000"/>
                <w:sz w:val="21"/>
                <w:szCs w:val="21"/>
              </w:rPr>
              <w:t xml:space="preserve">无限频道栏目管理，可根据需要设定栏目的管理权限。栏目信息以模板形式进行发布，提供预览功能，用户可以自己新增二级栏目并定义视觉效果。可定制栏目发布流程，对需要审核的栏目进行快速流程定制。</w:t>
            </w:r>
            <w:r>
              <w:rPr>
                <w:rFonts w:hint="eastAsia" w:ascii="宋体" w:hAnsi="宋体"/>
                <w:color w:val="000000"/>
                <w:sz w:val="21"/>
                <w:szCs w:val="21"/>
              </w:rPr>
              <w:br/>
            </w:r>
            <w:r>
              <w:rPr>
                <w:rFonts w:hint="eastAsia" w:ascii="宋体" w:hAnsi="宋体"/>
                <w:color w:val="000000"/>
                <w:sz w:val="21"/>
                <w:szCs w:val="21"/>
              </w:rPr>
              <w:t xml:space="preserve">栏目需根据频道建设的需要，进行增、</w:t>
            </w:r>
            <w:r>
              <w:rPr>
                <w:rFonts w:hint="eastAsia" w:ascii="宋体" w:hAnsi="宋体"/>
                <w:color w:val="000000"/>
                <w:sz w:val="21"/>
                <w:szCs w:val="21"/>
              </w:rPr>
              <w:t xml:space="preserve">删</w:t>
            </w:r>
            <w:r>
              <w:rPr>
                <w:rFonts w:hint="eastAsia" w:ascii="宋体" w:hAnsi="宋体"/>
                <w:color w:val="000000"/>
                <w:sz w:val="21"/>
                <w:szCs w:val="21"/>
              </w:rPr>
              <w:t xml:space="preserve">、改、查操作，并需对栏目进行复制，根据展示需要进行排序。</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模板管理</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themeColor="text1"/>
                <w:sz w:val="21"/>
                <w:szCs w:val="21"/>
              </w:rPr>
              <w:t xml:space="preserve">需提供页面风格配置功能，需在网站开发时将定制多套网站风格模板，管理人员需根据不同的时期，具体的需求，进行页面风格的切换，保证网站页面的新鲜感，提升网站页面的美观体验。</w:t>
            </w:r>
            <w:r>
              <w:rPr>
                <w:rFonts w:hint="eastAsia" w:ascii="宋体" w:hAnsi="宋体"/>
                <w:color w:val="000000" w:themeColor="text1"/>
                <w:sz w:val="21"/>
                <w:szCs w:val="21"/>
              </w:rPr>
              <w:br/>
              <w:t xml:space="preserve">需模板管理主要对网站栏目模板进行设置，需分级设置模板。用户可以方便、灵活地直接在后台修改、调整某些页面。</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模块管理</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rPr>
                <w:rFonts w:hint="eastAsia" w:ascii="宋体" w:hAnsi="宋体"/>
                <w:color w:val="000000"/>
                <w:sz w:val="21"/>
                <w:szCs w:val="21"/>
              </w:rPr>
            </w:pPr>
            <w:r>
              <w:rPr>
                <w:rFonts w:hint="eastAsia" w:ascii="宋体" w:hAnsi="宋体"/>
                <w:color w:val="000000"/>
                <w:sz w:val="21"/>
                <w:szCs w:val="21"/>
              </w:rPr>
              <w:t xml:space="preserve">模块管理需实现模块的新增、修改及模块的权限设置。让不同的人员和具有不同角色的用户分别拥有各自对应的模块操作权限。</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专题管理</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专题管理是针对热点事件进行统一全面的报道，其中包括新闻、图片、宣传。网站提供专题的发布、管理功能。</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访问统计</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ind w:left="0"/>
              <w:rPr>
                <w:rFonts w:hint="eastAsia" w:ascii="宋体" w:hAnsi="宋体"/>
                <w:color w:val="000000"/>
                <w:sz w:val="21"/>
                <w:szCs w:val="21"/>
              </w:rPr>
            </w:pPr>
            <w:r>
              <w:rPr>
                <w:rFonts w:hint="eastAsia" w:ascii="宋体" w:hAnsi="宋体"/>
                <w:color w:val="000000"/>
                <w:sz w:val="21"/>
                <w:szCs w:val="21"/>
              </w:rPr>
              <w:t xml:space="preserve">需支持</w:t>
            </w:r>
            <w:r>
              <w:rPr>
                <w:rFonts w:hint="eastAsia" w:ascii="宋体" w:hAnsi="宋体"/>
                <w:color w:val="000000"/>
                <w:sz w:val="21"/>
                <w:szCs w:val="21"/>
              </w:rPr>
              <w:t xml:space="preserve">访问统计功能，访问统计系统通过专业的统计分析，对各门户网站的</w:t>
            </w:r>
            <w:r>
              <w:rPr>
                <w:rFonts w:hint="eastAsia" w:ascii="宋体" w:hAnsi="宋体"/>
                <w:color w:val="000000"/>
                <w:sz w:val="21"/>
                <w:szCs w:val="21"/>
              </w:rPr>
              <w:t xml:space="preserve">实际访问</w:t>
            </w:r>
            <w:r>
              <w:rPr>
                <w:rFonts w:hint="eastAsia" w:ascii="宋体" w:hAnsi="宋体"/>
                <w:color w:val="000000"/>
                <w:sz w:val="21"/>
                <w:szCs w:val="21"/>
              </w:rPr>
              <w:t xml:space="preserve">情况记录并归类，以及在此基础上进行细致的统计、分析，充分挖掘有价值的访问信息，为网站收集用户信息、用户群体，加强沟通，提高和改进网站建设具有重要意义。</w:t>
            </w:r>
            <w:r/>
          </w:p>
        </w:tc>
      </w:tr>
    </w:tbl>
    <w:p>
      <w:pPr>
        <w:ind w:left="0"/>
        <w:spacing w:line="360" w:lineRule="auto"/>
        <w:tabs>
          <w:tab w:val="left" w:pos="0" w:leader="none"/>
        </w:tabs>
        <w:rPr>
          <w:rFonts w:hint="eastAsia"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数字疾控移动</w:t>
      </w:r>
      <w:r>
        <w:rPr>
          <w:rFonts w:hint="eastAsia" w:ascii="宋体" w:hAnsi="宋体"/>
          <w:color w:val="000000"/>
          <w:sz w:val="21"/>
          <w:szCs w:val="21"/>
        </w:rPr>
        <w:t xml:space="preserve">版（接入苏政服）</w:t>
      </w:r>
      <w:r/>
    </w:p>
    <w:tbl>
      <w:tblPr>
        <w:tblW w:w="9776" w:type="dxa"/>
        <w:tblInd w:w="113" w:type="dxa"/>
        <w:tblLook w:val="04A0" w:firstRow="1" w:lastRow="0" w:firstColumn="1" w:lastColumn="0" w:noHBand="0" w:noVBand="1"/>
      </w:tblPr>
      <w:tblGrid>
        <w:gridCol w:w="988"/>
        <w:gridCol w:w="1417"/>
        <w:gridCol w:w="1559"/>
        <w:gridCol w:w="5812"/>
      </w:tblGrid>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模块</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系统名称</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指标项</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功能要求</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数字疾控移动</w:t>
            </w:r>
            <w:r>
              <w:rPr>
                <w:rFonts w:hint="eastAsia" w:ascii="宋体" w:hAnsi="宋体"/>
                <w:color w:val="000000"/>
                <w:sz w:val="21"/>
                <w:szCs w:val="21"/>
              </w:rPr>
              <w:t xml:space="preserve">版</w:t>
            </w:r>
            <w:r/>
          </w:p>
        </w:tc>
        <w:tc>
          <w:tcPr>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传染病聚集性疫情实时监测与处理模块</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管理端</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用户登录：系统</w:t>
            </w:r>
            <w:r>
              <w:rPr>
                <w:rFonts w:hint="eastAsia" w:ascii="宋体" w:hAnsi="宋体"/>
                <w:color w:val="000000"/>
                <w:sz w:val="21"/>
                <w:szCs w:val="21"/>
              </w:rPr>
              <w:t xml:space="preserve">需支持</w:t>
            </w:r>
            <w:r>
              <w:rPr>
                <w:rFonts w:hint="eastAsia" w:ascii="宋体" w:hAnsi="宋体"/>
                <w:color w:val="000000"/>
                <w:sz w:val="21"/>
                <w:szCs w:val="21"/>
              </w:rPr>
              <w:t xml:space="preserve">通过输入用户名、密码进行系统登录；</w:t>
            </w:r>
            <w:r>
              <w:rPr>
                <w:rFonts w:hint="eastAsia" w:ascii="宋体" w:hAnsi="宋体"/>
                <w:color w:val="000000"/>
                <w:sz w:val="21"/>
                <w:szCs w:val="21"/>
              </w:rPr>
              <w:t xml:space="preserve">需支持</w:t>
            </w:r>
            <w:r>
              <w:rPr>
                <w:rFonts w:hint="eastAsia" w:ascii="宋体" w:hAnsi="宋体"/>
                <w:color w:val="000000"/>
                <w:sz w:val="21"/>
                <w:szCs w:val="21"/>
              </w:rPr>
              <w:t xml:space="preserve">"记住密码"操作；如用户名/密码输入不正确时，则进行提示；</w:t>
            </w:r>
            <w:r>
              <w:rPr>
                <w:rFonts w:hint="eastAsia" w:ascii="宋体" w:hAnsi="宋体"/>
                <w:color w:val="000000"/>
                <w:sz w:val="21"/>
                <w:szCs w:val="21"/>
              </w:rPr>
              <w:br/>
              <w:t xml:space="preserve">个人中心：在用户登录后</w:t>
            </w:r>
            <w:r>
              <w:rPr>
                <w:rFonts w:hint="eastAsia" w:ascii="宋体" w:hAnsi="宋体"/>
                <w:color w:val="000000"/>
                <w:sz w:val="21"/>
                <w:szCs w:val="21"/>
              </w:rPr>
              <w:t xml:space="preserve">需支持</w:t>
            </w:r>
            <w:r>
              <w:rPr>
                <w:rFonts w:hint="eastAsia" w:ascii="宋体" w:hAnsi="宋体"/>
                <w:color w:val="000000"/>
                <w:sz w:val="21"/>
                <w:szCs w:val="21"/>
              </w:rPr>
              <w:t xml:space="preserve">查看当前登录人的个人信息、包含：姓名、工号、联系方式、用户名、职称、隶属组织、当前角色等；</w:t>
            </w:r>
            <w:r>
              <w:rPr>
                <w:rFonts w:hint="eastAsia" w:ascii="宋体" w:hAnsi="宋体"/>
                <w:color w:val="000000"/>
                <w:sz w:val="21"/>
                <w:szCs w:val="21"/>
              </w:rPr>
              <w:br/>
              <w:t xml:space="preserve">账户密码：需提供修改密码的操作；要求采用明文加密的方式，点击按钮可查看密码和隐藏密码；</w:t>
            </w:r>
            <w:r>
              <w:rPr>
                <w:rFonts w:hint="eastAsia" w:ascii="宋体" w:hAnsi="宋体"/>
                <w:color w:val="000000"/>
                <w:sz w:val="21"/>
                <w:szCs w:val="21"/>
              </w:rPr>
              <w:br/>
              <w:t xml:space="preserve">查询统计：</w:t>
            </w:r>
            <w:r>
              <w:rPr>
                <w:rFonts w:hint="eastAsia" w:ascii="宋体" w:hAnsi="宋体"/>
                <w:color w:val="000000"/>
                <w:sz w:val="21"/>
                <w:szCs w:val="21"/>
              </w:rPr>
              <w:t xml:space="preserve">需支持</w:t>
            </w:r>
            <w:r>
              <w:rPr>
                <w:rFonts w:hint="eastAsia" w:ascii="宋体" w:hAnsi="宋体"/>
                <w:color w:val="000000"/>
                <w:sz w:val="21"/>
                <w:szCs w:val="21"/>
              </w:rPr>
              <w:t xml:space="preserve">对移动入口提交的数据进行查询统计，支持各个维度的查询</w:t>
            </w:r>
            <w:r>
              <w:rPr>
                <w:rFonts w:hint="eastAsia" w:ascii="宋体" w:hAnsi="宋体"/>
                <w:color w:val="000000"/>
                <w:sz w:val="21"/>
                <w:szCs w:val="21"/>
              </w:rPr>
              <w:br/>
              <w:t xml:space="preserve">用户管理：需对医院使用该系统的用户进行管理，包括：登录账号、角色权限、密码等</w:t>
            </w:r>
            <w:r>
              <w:rPr>
                <w:rFonts w:hint="eastAsia" w:ascii="宋体" w:hAnsi="宋体"/>
                <w:color w:val="000000"/>
                <w:sz w:val="21"/>
                <w:szCs w:val="21"/>
              </w:rPr>
              <w:br/>
              <w:t xml:space="preserve">角色设置：系统</w:t>
            </w:r>
            <w:r>
              <w:rPr>
                <w:rFonts w:hint="eastAsia" w:ascii="宋体" w:hAnsi="宋体"/>
                <w:color w:val="000000"/>
                <w:sz w:val="21"/>
                <w:szCs w:val="21"/>
              </w:rPr>
              <w:t xml:space="preserve">需支持</w:t>
            </w:r>
            <w:r>
              <w:rPr>
                <w:rFonts w:hint="eastAsia" w:ascii="宋体" w:hAnsi="宋体"/>
                <w:color w:val="000000"/>
                <w:sz w:val="21"/>
                <w:szCs w:val="21"/>
              </w:rPr>
              <w:t xml:space="preserve">给一类用户设置一种角色，该角色需分配不同的数据权限和功能权限。不同角色的用户，登录到系统后看到的功能和数据不同</w:t>
            </w:r>
            <w:r>
              <w:rPr>
                <w:rFonts w:hint="eastAsia" w:ascii="宋体" w:hAnsi="宋体"/>
                <w:color w:val="000000"/>
                <w:sz w:val="21"/>
                <w:szCs w:val="21"/>
              </w:rPr>
              <w:br/>
              <w:t xml:space="preserve">数据显示设置：需根据用户权限，对敏感信息进行设置。不同权限展示不同数据内容</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移动入口</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left="0" w:firstLine="420"/>
              <w:rPr>
                <w:rFonts w:hint="eastAsia" w:ascii="宋体" w:hAnsi="宋体"/>
                <w:color w:val="000000"/>
                <w:sz w:val="21"/>
                <w:szCs w:val="21"/>
              </w:rPr>
            </w:pPr>
            <w:r>
              <w:rPr>
                <w:rFonts w:ascii="宋体" w:hAnsi="宋体"/>
                <w:color w:val="000000"/>
                <w:sz w:val="21"/>
                <w:szCs w:val="21"/>
              </w:rPr>
              <w:t xml:space="preserve">用户登录：系统</w:t>
            </w:r>
            <w:r>
              <w:rPr>
                <w:rFonts w:ascii="宋体" w:hAnsi="宋体"/>
                <w:color w:val="000000"/>
                <w:sz w:val="21"/>
                <w:szCs w:val="21"/>
              </w:rPr>
              <w:t xml:space="preserve">需支持</w:t>
            </w:r>
            <w:r>
              <w:rPr>
                <w:rFonts w:ascii="宋体" w:hAnsi="宋体"/>
                <w:color w:val="000000"/>
                <w:sz w:val="21"/>
                <w:szCs w:val="21"/>
              </w:rPr>
              <w:t xml:space="preserve">通过输入用户名、密码进行系统登录；</w:t>
            </w:r>
            <w:r>
              <w:rPr>
                <w:rFonts w:ascii="宋体" w:hAnsi="宋体"/>
                <w:color w:val="000000"/>
                <w:sz w:val="21"/>
                <w:szCs w:val="21"/>
              </w:rPr>
              <w:t xml:space="preserve">需支持</w:t>
            </w:r>
            <w:r>
              <w:rPr>
                <w:rFonts w:ascii="宋体" w:hAnsi="宋体"/>
                <w:color w:val="000000"/>
                <w:sz w:val="21"/>
                <w:szCs w:val="21"/>
              </w:rPr>
              <w:t xml:space="preserve">"记住密码"操作；如用户名/密码输入不正确时，则进行提示；</w:t>
            </w:r>
            <w:r>
              <w:rPr>
                <w:rFonts w:ascii="宋体" w:hAnsi="宋体"/>
                <w:color w:val="000000"/>
                <w:sz w:val="21"/>
                <w:szCs w:val="21"/>
              </w:rPr>
              <w:br/>
              <w:t xml:space="preserve">个人中心：在用户登录后需查看当前登录人的个人信息、包含：姓名、工号、联系方式、隶属组织等；</w:t>
            </w:r>
            <w:r>
              <w:rPr>
                <w:rFonts w:ascii="宋体" w:hAnsi="宋体"/>
                <w:color w:val="000000"/>
                <w:sz w:val="21"/>
                <w:szCs w:val="21"/>
              </w:rPr>
              <w:br/>
              <w:t xml:space="preserve">账户密码：需提供修改密码的操作；要求采用明文加密的方式，点击按钮可查看密码和隐藏密码；</w:t>
            </w:r>
            <w:r/>
          </w:p>
          <w:p>
            <w:pPr>
              <w:ind w:left="0"/>
              <w:rPr>
                <w:rFonts w:hint="eastAsia" w:ascii="宋体" w:hAnsi="宋体"/>
                <w:color w:val="000000"/>
                <w:sz w:val="21"/>
                <w:szCs w:val="21"/>
              </w:rPr>
            </w:pPr>
            <w:r>
              <w:rPr>
                <w:rFonts w:hint="eastAsia" w:ascii="宋体" w:hAnsi="宋体"/>
                <w:color w:val="000000"/>
                <w:sz w:val="21"/>
                <w:szCs w:val="21"/>
              </w:rPr>
              <w:t xml:space="preserve">数据录入：支持录入疫情数并</w:t>
            </w:r>
            <w:r>
              <w:rPr>
                <w:rFonts w:hint="eastAsia" w:ascii="宋体" w:hAnsi="宋体"/>
                <w:color w:val="000000"/>
                <w:sz w:val="21"/>
                <w:szCs w:val="21"/>
              </w:rPr>
              <w:t xml:space="preserve">据通过</w:t>
            </w:r>
            <w:r>
              <w:rPr>
                <w:rFonts w:hint="eastAsia" w:ascii="宋体" w:hAnsi="宋体"/>
                <w:color w:val="000000"/>
                <w:sz w:val="21"/>
                <w:szCs w:val="21"/>
              </w:rPr>
              <w:t xml:space="preserve">无线网络实时上传到移动</w:t>
            </w:r>
            <w:r>
              <w:rPr>
                <w:rFonts w:hint="eastAsia" w:ascii="宋体" w:hAnsi="宋体"/>
                <w:color w:val="000000"/>
                <w:sz w:val="21"/>
                <w:szCs w:val="21"/>
              </w:rPr>
              <w:t xml:space="preserve">版管理端</w:t>
            </w:r>
            <w:r>
              <w:rPr>
                <w:rFonts w:hint="eastAsia" w:ascii="宋体" w:hAnsi="宋体"/>
                <w:color w:val="000000"/>
                <w:sz w:val="21"/>
                <w:szCs w:val="21"/>
              </w:rPr>
              <w:t xml:space="preserve">，并含有指令回传功能；支持数据加密和安全传输功能，保障数据在传输过程中的安全性和保密性；</w:t>
            </w:r>
            <w:r/>
          </w:p>
          <w:p>
            <w:pPr>
              <w:ind w:left="0"/>
              <w:rPr>
                <w:rFonts w:hint="eastAsia" w:ascii="宋体" w:hAnsi="宋体"/>
                <w:color w:val="000000"/>
                <w:sz w:val="21"/>
                <w:szCs w:val="21"/>
              </w:rPr>
            </w:pPr>
            <w:r>
              <w:rPr>
                <w:rFonts w:ascii="宋体" w:hAnsi="宋体"/>
                <w:color w:val="000000"/>
                <w:sz w:val="21"/>
                <w:szCs w:val="21"/>
              </w:rPr>
              <w:t xml:space="preserve">录入历史查询：需通过时间、地点、患者姓名等关键信息检索历史采集的疫情信息，</w:t>
            </w:r>
            <w:r>
              <w:rPr>
                <w:rFonts w:ascii="宋体" w:hAnsi="宋体"/>
                <w:color w:val="000000"/>
                <w:sz w:val="21"/>
                <w:szCs w:val="21"/>
              </w:rPr>
              <w:t xml:space="preserve">需支持</w:t>
            </w:r>
            <w:r>
              <w:rPr>
                <w:rFonts w:ascii="宋体" w:hAnsi="宋体"/>
                <w:color w:val="000000"/>
                <w:sz w:val="21"/>
                <w:szCs w:val="21"/>
              </w:rPr>
              <w:t xml:space="preserve">按月度、季度、年度统计</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实验室管理模块</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样品检验移动化管理</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left="0" w:firstLine="420"/>
              <w:rPr>
                <w:rFonts w:hint="eastAsia" w:ascii="宋体" w:hAnsi="宋体"/>
                <w:color w:val="000000"/>
                <w:sz w:val="21"/>
                <w:szCs w:val="21"/>
              </w:rPr>
            </w:pPr>
            <w:r>
              <w:rPr>
                <w:rFonts w:hint="eastAsia" w:ascii="宋体" w:hAnsi="宋体"/>
                <w:color w:val="000000"/>
                <w:sz w:val="21"/>
                <w:szCs w:val="21"/>
              </w:rPr>
              <w:t xml:space="preserve">1.采样记录表</w:t>
            </w:r>
            <w:r/>
          </w:p>
          <w:p>
            <w:pPr>
              <w:ind w:left="0" w:firstLine="420"/>
              <w:rPr>
                <w:rFonts w:hint="eastAsia" w:ascii="宋体" w:hAnsi="宋体"/>
                <w:color w:val="000000"/>
                <w:sz w:val="21"/>
                <w:szCs w:val="21"/>
              </w:rPr>
            </w:pPr>
            <w:r>
              <w:rPr>
                <w:rFonts w:hint="eastAsia" w:ascii="宋体" w:hAnsi="宋体"/>
                <w:color w:val="000000"/>
                <w:sz w:val="21"/>
                <w:szCs w:val="21"/>
              </w:rPr>
              <w:t xml:space="preserve">实现通过移动入口，填写采样记录表，包含受检单位相关信息、采样时间、采样环境、样品信息、签名等。</w:t>
            </w:r>
            <w:r/>
          </w:p>
          <w:p>
            <w:pPr>
              <w:ind w:left="0" w:firstLine="420"/>
              <w:rPr>
                <w:rFonts w:hint="eastAsia" w:ascii="宋体" w:hAnsi="宋体"/>
                <w:color w:val="000000"/>
                <w:sz w:val="21"/>
                <w:szCs w:val="21"/>
              </w:rPr>
            </w:pPr>
            <w:r>
              <w:rPr>
                <w:rFonts w:hint="eastAsia" w:ascii="宋体" w:hAnsi="宋体"/>
                <w:color w:val="000000"/>
                <w:sz w:val="21"/>
                <w:szCs w:val="21"/>
              </w:rPr>
              <w:t xml:space="preserve">2.现场检测记录表</w:t>
            </w:r>
            <w:r/>
          </w:p>
          <w:p>
            <w:pPr>
              <w:ind w:left="0" w:firstLine="420"/>
              <w:rPr>
                <w:rFonts w:hint="eastAsia" w:ascii="宋体" w:hAnsi="宋体"/>
                <w:color w:val="000000"/>
                <w:sz w:val="21"/>
                <w:szCs w:val="21"/>
              </w:rPr>
            </w:pPr>
            <w:r>
              <w:rPr>
                <w:rFonts w:hint="eastAsia" w:ascii="宋体" w:hAnsi="宋体"/>
                <w:color w:val="000000"/>
                <w:sz w:val="21"/>
                <w:szCs w:val="21"/>
              </w:rPr>
              <w:t xml:space="preserve">实现通过移动入口填写现场检测记录表，包含受检单位、检测环境、样品信息、检测结果等。</w:t>
            </w:r>
            <w:r/>
          </w:p>
          <w:p>
            <w:pPr>
              <w:ind w:left="0" w:firstLine="420"/>
              <w:rPr>
                <w:rFonts w:hint="eastAsia" w:ascii="宋体" w:hAnsi="宋体"/>
                <w:color w:val="000000"/>
                <w:sz w:val="21"/>
                <w:szCs w:val="21"/>
              </w:rPr>
            </w:pPr>
            <w:r>
              <w:rPr>
                <w:rFonts w:hint="eastAsia" w:ascii="宋体" w:hAnsi="宋体"/>
                <w:color w:val="000000"/>
                <w:sz w:val="21"/>
                <w:szCs w:val="21"/>
              </w:rPr>
              <w:t xml:space="preserve">3.样品登记</w:t>
            </w:r>
            <w:r/>
          </w:p>
          <w:p>
            <w:pPr>
              <w:ind w:left="0" w:firstLine="420"/>
              <w:rPr>
                <w:rFonts w:hint="eastAsia" w:ascii="宋体" w:hAnsi="宋体"/>
                <w:color w:val="000000"/>
                <w:sz w:val="21"/>
                <w:szCs w:val="21"/>
              </w:rPr>
            </w:pPr>
            <w:r>
              <w:rPr>
                <w:rFonts w:hint="eastAsia" w:ascii="宋体" w:hAnsi="宋体"/>
                <w:color w:val="000000"/>
                <w:sz w:val="21"/>
                <w:szCs w:val="21"/>
              </w:rPr>
              <w:t xml:space="preserve">实现通过新增、删除、修改送检/受检单位信息；对于已经存在的送检/受检单位信息可以直接选择，对于新录入的送检/受检单位信息可以自动保存；送样日期、采样日期等均默认为当前系统日期并可以进行修改。采样人员默认为当前用户，可选择多个人员。</w:t>
            </w:r>
            <w:r/>
          </w:p>
          <w:p>
            <w:pPr>
              <w:ind w:left="0" w:firstLine="420"/>
              <w:rPr>
                <w:rFonts w:hint="eastAsia" w:ascii="宋体" w:hAnsi="宋体"/>
                <w:color w:val="000000"/>
                <w:sz w:val="21"/>
                <w:szCs w:val="21"/>
              </w:rPr>
            </w:pPr>
            <w:r>
              <w:rPr>
                <w:rFonts w:hint="eastAsia" w:ascii="宋体" w:hAnsi="宋体"/>
                <w:color w:val="000000"/>
                <w:sz w:val="21"/>
                <w:szCs w:val="21"/>
              </w:rPr>
              <w:t xml:space="preserve">通过新增、删除、修改样品相关信息，支持根据样品类型配置不同的样品信息。</w:t>
            </w:r>
            <w:r/>
          </w:p>
          <w:p>
            <w:pPr>
              <w:ind w:left="0" w:firstLine="420"/>
              <w:rPr>
                <w:rFonts w:hint="eastAsia" w:ascii="宋体" w:hAnsi="宋体"/>
                <w:color w:val="000000"/>
                <w:sz w:val="21"/>
                <w:szCs w:val="21"/>
              </w:rPr>
            </w:pPr>
            <w:r>
              <w:rPr>
                <w:rFonts w:hint="eastAsia" w:ascii="宋体" w:hAnsi="宋体"/>
                <w:color w:val="000000"/>
                <w:sz w:val="21"/>
                <w:szCs w:val="21"/>
              </w:rPr>
              <w:t xml:space="preserve">4.实验室收样</w:t>
            </w:r>
            <w:r/>
          </w:p>
          <w:p>
            <w:pPr>
              <w:ind w:left="0" w:firstLine="420"/>
              <w:rPr>
                <w:rFonts w:hint="eastAsia" w:ascii="宋体" w:hAnsi="宋体"/>
                <w:color w:val="000000"/>
                <w:sz w:val="21"/>
                <w:szCs w:val="21"/>
              </w:rPr>
            </w:pPr>
            <w:r>
              <w:rPr>
                <w:rFonts w:hint="eastAsia" w:ascii="宋体" w:hAnsi="宋体"/>
                <w:color w:val="000000"/>
                <w:sz w:val="21"/>
                <w:szCs w:val="21"/>
              </w:rPr>
              <w:t xml:space="preserve">实现检测科室相关人员收到样品后，通过确认收样，支持批量收样，</w:t>
            </w:r>
            <w:r>
              <w:rPr>
                <w:rFonts w:hint="eastAsia" w:ascii="宋体" w:hAnsi="宋体"/>
                <w:color w:val="000000"/>
                <w:sz w:val="21"/>
                <w:szCs w:val="21"/>
              </w:rPr>
              <w:t xml:space="preserve">收样后</w:t>
            </w:r>
            <w:r>
              <w:rPr>
                <w:rFonts w:hint="eastAsia" w:ascii="宋体" w:hAnsi="宋体"/>
                <w:color w:val="000000"/>
                <w:sz w:val="21"/>
                <w:szCs w:val="21"/>
              </w:rPr>
              <w:t xml:space="preserve">自动将</w:t>
            </w:r>
            <w:r>
              <w:rPr>
                <w:rFonts w:hint="eastAsia" w:ascii="宋体" w:hAnsi="宋体"/>
                <w:color w:val="000000"/>
                <w:sz w:val="21"/>
                <w:szCs w:val="21"/>
              </w:rPr>
              <w:t xml:space="preserve">收样状态从</w:t>
            </w:r>
            <w:r>
              <w:rPr>
                <w:rFonts w:hint="eastAsia" w:ascii="宋体" w:hAnsi="宋体"/>
                <w:color w:val="000000"/>
                <w:sz w:val="21"/>
                <w:szCs w:val="21"/>
              </w:rPr>
              <w:t xml:space="preserve">“未收样”更新为“已收样”。</w:t>
            </w:r>
            <w:r/>
          </w:p>
          <w:p>
            <w:pPr>
              <w:ind w:left="0" w:firstLine="420"/>
              <w:rPr>
                <w:rFonts w:hint="eastAsia" w:ascii="宋体" w:hAnsi="宋体"/>
                <w:color w:val="000000"/>
                <w:sz w:val="21"/>
                <w:szCs w:val="21"/>
              </w:rPr>
            </w:pPr>
            <w:r>
              <w:rPr>
                <w:rFonts w:hint="eastAsia" w:ascii="宋体" w:hAnsi="宋体"/>
                <w:color w:val="000000"/>
                <w:sz w:val="21"/>
                <w:szCs w:val="21"/>
              </w:rPr>
              <w:t xml:space="preserve">5.结果录入</w:t>
            </w:r>
            <w:r/>
          </w:p>
          <w:p>
            <w:pPr>
              <w:ind w:left="0" w:firstLine="420"/>
              <w:rPr>
                <w:rFonts w:hint="eastAsia" w:ascii="宋体" w:hAnsi="宋体"/>
                <w:color w:val="000000"/>
                <w:sz w:val="21"/>
                <w:szCs w:val="21"/>
              </w:rPr>
            </w:pPr>
            <w:r>
              <w:rPr>
                <w:rFonts w:hint="eastAsia" w:ascii="宋体" w:hAnsi="宋体"/>
                <w:color w:val="000000"/>
                <w:sz w:val="21"/>
                <w:szCs w:val="21"/>
              </w:rPr>
              <w:t xml:space="preserve">实现通过录入原始记录，实现自动推送待录入任务至对应检测人员移动入口，支持手动领取未分配任务，支持自动填充任务编号、样品名称、检测项目、检测方法，支持分段记录操作步骤，支持记录关键操作时间，支持上</w:t>
            </w:r>
            <w:r>
              <w:rPr>
                <w:rFonts w:hint="eastAsia" w:ascii="宋体" w:hAnsi="宋体"/>
                <w:color w:val="000000"/>
                <w:sz w:val="21"/>
                <w:szCs w:val="21"/>
              </w:rPr>
              <w:t xml:space="preserve">传操作</w:t>
            </w:r>
            <w:r>
              <w:rPr>
                <w:rFonts w:hint="eastAsia" w:ascii="宋体" w:hAnsi="宋体"/>
                <w:color w:val="000000"/>
                <w:sz w:val="21"/>
                <w:szCs w:val="21"/>
              </w:rPr>
              <w:t xml:space="preserve">现场照片。</w:t>
            </w:r>
            <w:r/>
          </w:p>
          <w:p>
            <w:pPr>
              <w:ind w:left="0" w:firstLine="420"/>
              <w:rPr>
                <w:rFonts w:hint="eastAsia" w:ascii="宋体" w:hAnsi="宋体"/>
                <w:color w:val="000000"/>
                <w:sz w:val="21"/>
                <w:szCs w:val="21"/>
              </w:rPr>
            </w:pPr>
            <w:r>
              <w:rPr>
                <w:rFonts w:hint="eastAsia" w:ascii="宋体" w:hAnsi="宋体"/>
                <w:color w:val="000000"/>
                <w:sz w:val="21"/>
                <w:szCs w:val="21"/>
              </w:rPr>
              <w:t xml:space="preserve">6.结果复核</w:t>
            </w:r>
            <w:r/>
          </w:p>
          <w:p>
            <w:pPr>
              <w:ind w:left="0" w:firstLine="420"/>
              <w:rPr>
                <w:rFonts w:hint="eastAsia" w:ascii="宋体" w:hAnsi="宋体"/>
                <w:color w:val="000000"/>
                <w:sz w:val="21"/>
                <w:szCs w:val="21"/>
              </w:rPr>
            </w:pPr>
            <w:r>
              <w:rPr>
                <w:rFonts w:hint="eastAsia" w:ascii="宋体" w:hAnsi="宋体"/>
                <w:color w:val="000000"/>
                <w:sz w:val="21"/>
                <w:szCs w:val="21"/>
              </w:rPr>
              <w:t xml:space="preserve">实现相关具有原始记录复核权限的检测人员进入移动系统后，自动显示出需要复核的检测项目或样品及报告；复核人员根据检测人员填写的原始记录通过移动入口逐一复核或批量复核;复核不通过的样品可退回到原始记录录入。</w:t>
            </w:r>
            <w:r/>
          </w:p>
          <w:p>
            <w:pPr>
              <w:ind w:left="0" w:firstLine="420"/>
              <w:rPr>
                <w:rFonts w:hint="eastAsia" w:ascii="宋体" w:hAnsi="宋体"/>
                <w:color w:val="000000"/>
                <w:sz w:val="21"/>
                <w:szCs w:val="21"/>
              </w:rPr>
            </w:pPr>
            <w:r>
              <w:rPr>
                <w:rFonts w:hint="eastAsia" w:ascii="宋体" w:hAnsi="宋体"/>
                <w:color w:val="000000"/>
                <w:sz w:val="21"/>
                <w:szCs w:val="21"/>
              </w:rPr>
              <w:t xml:space="preserve">7.结果审核</w:t>
            </w:r>
            <w:r/>
          </w:p>
          <w:p>
            <w:pPr>
              <w:ind w:left="0" w:firstLine="420"/>
              <w:rPr>
                <w:rFonts w:hint="eastAsia" w:ascii="宋体" w:hAnsi="宋体"/>
                <w:color w:val="000000"/>
                <w:sz w:val="21"/>
                <w:szCs w:val="21"/>
              </w:rPr>
            </w:pPr>
            <w:r>
              <w:rPr>
                <w:rFonts w:hint="eastAsia" w:ascii="宋体" w:hAnsi="宋体"/>
                <w:color w:val="000000"/>
                <w:sz w:val="21"/>
                <w:szCs w:val="21"/>
              </w:rPr>
              <w:t xml:space="preserve">实现相关具有结果审核权限的检测人员进入系统后，系统自动显示出需要审核的检测项目或样品及报告；审核人员根据检测人员填写的原始记录逐一审核或批量审核。</w:t>
            </w:r>
            <w:r/>
          </w:p>
          <w:p>
            <w:pPr>
              <w:ind w:left="0" w:firstLine="420"/>
              <w:rPr>
                <w:rFonts w:hint="eastAsia" w:ascii="宋体" w:hAnsi="宋体"/>
                <w:color w:val="000000"/>
                <w:sz w:val="21"/>
                <w:szCs w:val="21"/>
              </w:rPr>
            </w:pPr>
            <w:r>
              <w:rPr>
                <w:rFonts w:hint="eastAsia" w:ascii="宋体" w:hAnsi="宋体"/>
                <w:color w:val="000000"/>
                <w:sz w:val="21"/>
                <w:szCs w:val="21"/>
              </w:rPr>
              <w:t xml:space="preserve">8.报告评价</w:t>
            </w:r>
            <w:r/>
          </w:p>
          <w:p>
            <w:pPr>
              <w:ind w:left="0" w:firstLine="420"/>
              <w:rPr>
                <w:rFonts w:hint="eastAsia" w:ascii="宋体" w:hAnsi="宋体"/>
                <w:color w:val="000000"/>
                <w:sz w:val="21"/>
                <w:szCs w:val="21"/>
              </w:rPr>
            </w:pPr>
            <w:r>
              <w:rPr>
                <w:rFonts w:hint="eastAsia" w:ascii="宋体" w:hAnsi="宋体"/>
                <w:color w:val="000000"/>
                <w:sz w:val="21"/>
                <w:szCs w:val="21"/>
              </w:rPr>
              <w:t xml:space="preserve">具有相关权限人员通过移动入口实现对需要评价的报告进行评价功能，系统自动生成评价报告描述内容。</w:t>
            </w:r>
            <w:r/>
          </w:p>
          <w:p>
            <w:pPr>
              <w:ind w:left="0" w:firstLine="420"/>
              <w:rPr>
                <w:rFonts w:hint="eastAsia" w:ascii="宋体" w:hAnsi="宋体"/>
                <w:color w:val="000000"/>
                <w:sz w:val="21"/>
                <w:szCs w:val="21"/>
              </w:rPr>
            </w:pPr>
            <w:r>
              <w:rPr>
                <w:rFonts w:hint="eastAsia" w:ascii="宋体" w:hAnsi="宋体"/>
                <w:color w:val="000000"/>
                <w:sz w:val="21"/>
                <w:szCs w:val="21"/>
              </w:rPr>
              <w:t xml:space="preserve">9.报告批准</w:t>
            </w:r>
            <w:r/>
          </w:p>
          <w:p>
            <w:pPr>
              <w:ind w:left="0" w:firstLine="420"/>
              <w:rPr>
                <w:rFonts w:hint="eastAsia" w:ascii="宋体" w:hAnsi="宋体"/>
                <w:color w:val="000000"/>
                <w:sz w:val="21"/>
                <w:szCs w:val="21"/>
              </w:rPr>
            </w:pPr>
            <w:r>
              <w:rPr>
                <w:rFonts w:hint="eastAsia" w:ascii="宋体" w:hAnsi="宋体"/>
                <w:color w:val="000000"/>
                <w:sz w:val="21"/>
                <w:szCs w:val="21"/>
              </w:rPr>
              <w:t xml:space="preserve">实现允许系统预设的授权签字人，通过移动入口实现报告电子化签发流程，支持签发完成后在报告中生成电子签名。</w:t>
            </w:r>
            <w:r/>
          </w:p>
          <w:p>
            <w:pPr>
              <w:ind w:left="0" w:firstLine="420"/>
              <w:rPr>
                <w:rFonts w:hint="eastAsia" w:ascii="宋体" w:hAnsi="宋体"/>
                <w:color w:val="000000"/>
                <w:sz w:val="21"/>
                <w:szCs w:val="21"/>
              </w:rPr>
            </w:pPr>
            <w:r>
              <w:rPr>
                <w:rFonts w:hint="eastAsia" w:ascii="宋体" w:hAnsi="宋体"/>
                <w:color w:val="000000"/>
                <w:sz w:val="21"/>
                <w:szCs w:val="21"/>
              </w:rPr>
              <w:t xml:space="preserve">10.报告存档</w:t>
            </w:r>
            <w:r/>
          </w:p>
          <w:p>
            <w:pPr>
              <w:ind w:left="0" w:firstLine="420"/>
              <w:rPr>
                <w:rFonts w:hint="eastAsia" w:ascii="宋体" w:hAnsi="宋体"/>
                <w:color w:val="000000"/>
                <w:sz w:val="21"/>
                <w:szCs w:val="21"/>
              </w:rPr>
            </w:pPr>
            <w:r>
              <w:rPr>
                <w:rFonts w:hint="eastAsia" w:ascii="宋体" w:hAnsi="宋体"/>
                <w:color w:val="000000"/>
                <w:sz w:val="21"/>
                <w:szCs w:val="21"/>
              </w:rPr>
              <w:t xml:space="preserve">实现质管人员通过移动入口快速检索历史报告的需求，支持按检测领域、报告编号、时间范围、条件组合查询。</w:t>
            </w:r>
            <w:r/>
          </w:p>
          <w:p>
            <w:pPr>
              <w:ind w:left="0" w:firstLine="420"/>
              <w:rPr>
                <w:rFonts w:hint="eastAsia" w:ascii="宋体" w:hAnsi="宋体"/>
                <w:color w:val="000000"/>
                <w:sz w:val="21"/>
                <w:szCs w:val="21"/>
              </w:rPr>
            </w:pPr>
            <w:r>
              <w:rPr>
                <w:rFonts w:hint="eastAsia" w:ascii="宋体" w:hAnsi="宋体"/>
                <w:color w:val="000000"/>
                <w:sz w:val="21"/>
                <w:szCs w:val="21"/>
              </w:rPr>
              <w:t xml:space="preserve">11.检验流程管理</w:t>
            </w:r>
            <w:r/>
          </w:p>
          <w:p>
            <w:pPr>
              <w:ind w:left="0" w:firstLine="420"/>
              <w:rPr>
                <w:rFonts w:hint="eastAsia" w:ascii="宋体" w:hAnsi="宋体"/>
                <w:color w:val="000000"/>
                <w:sz w:val="21"/>
                <w:szCs w:val="21"/>
              </w:rPr>
            </w:pPr>
            <w:r>
              <w:rPr>
                <w:rFonts w:hint="eastAsia" w:ascii="宋体" w:hAnsi="宋体"/>
                <w:color w:val="000000"/>
                <w:sz w:val="21"/>
                <w:szCs w:val="21"/>
              </w:rPr>
              <w:t xml:space="preserve">通过移动入口检验流程管理实现检测报告全流程展示功能，支持查看检测报告各个节点完成时间、人员、节点、状态。</w:t>
            </w:r>
            <w:r/>
          </w:p>
          <w:p>
            <w:pPr>
              <w:ind w:left="0" w:firstLine="420"/>
              <w:rPr>
                <w:rFonts w:hint="eastAsia" w:ascii="宋体" w:hAnsi="宋体"/>
                <w:color w:val="000000"/>
                <w:sz w:val="21"/>
                <w:szCs w:val="21"/>
              </w:rPr>
            </w:pPr>
            <w:r>
              <w:rPr>
                <w:rFonts w:hint="eastAsia" w:ascii="宋体" w:hAnsi="宋体"/>
                <w:color w:val="000000"/>
                <w:sz w:val="21"/>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left w:val="single" w:color="000000" w:sz="4" w:space="0"/>
              <w:right w:val="single" w:color="000000" w:sz="4" w:space="0"/>
            </w:tcBorders>
            <w:tcW w:w="1417" w:type="dxa"/>
            <w:vAlign w:val="center"/>
            <w:vMerge w:val="continue"/>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仪器设备移动管理</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left="0"/>
              <w:rPr>
                <w:rFonts w:hint="eastAsia" w:ascii="宋体" w:hAnsi="宋体"/>
                <w:color w:val="000000"/>
                <w:sz w:val="21"/>
                <w:szCs w:val="21"/>
              </w:rPr>
            </w:pPr>
            <w:r>
              <w:rPr>
                <w:rFonts w:ascii="宋体" w:hAnsi="宋体"/>
                <w:color w:val="000000"/>
                <w:sz w:val="21"/>
                <w:szCs w:val="21"/>
              </w:rPr>
              <w:t xml:space="preserve">1.检定/校准</w:t>
            </w:r>
            <w:r>
              <w:rPr>
                <w:rFonts w:ascii="宋体" w:hAnsi="宋体"/>
                <w:color w:val="000000"/>
                <w:sz w:val="21"/>
                <w:szCs w:val="21"/>
              </w:rPr>
              <w:br/>
              <w:t xml:space="preserve">需实现通过移动入口提交检定校准计划/检定校准结果确认，申请人提交后，在审批流程启动前撤回，</w:t>
            </w:r>
            <w:r>
              <w:rPr>
                <w:rFonts w:ascii="宋体" w:hAnsi="宋体"/>
                <w:color w:val="000000"/>
                <w:sz w:val="21"/>
                <w:szCs w:val="21"/>
              </w:rPr>
              <w:t xml:space="preserve">需支持</w:t>
            </w:r>
            <w:r>
              <w:rPr>
                <w:rFonts w:ascii="宋体" w:hAnsi="宋体"/>
                <w:color w:val="000000"/>
                <w:sz w:val="21"/>
                <w:szCs w:val="21"/>
              </w:rPr>
              <w:t xml:space="preserve">自定义审批节点，</w:t>
            </w:r>
            <w:r>
              <w:rPr>
                <w:rFonts w:ascii="宋体" w:hAnsi="宋体"/>
                <w:color w:val="000000"/>
                <w:sz w:val="21"/>
                <w:szCs w:val="21"/>
              </w:rPr>
              <w:t xml:space="preserve">需支持</w:t>
            </w:r>
            <w:r>
              <w:rPr>
                <w:rFonts w:ascii="宋体" w:hAnsi="宋体"/>
                <w:color w:val="000000"/>
                <w:sz w:val="21"/>
                <w:szCs w:val="21"/>
              </w:rPr>
              <w:t xml:space="preserve">审批人退回时填写具体原因，</w:t>
            </w:r>
            <w:r>
              <w:rPr>
                <w:rFonts w:ascii="宋体" w:hAnsi="宋体"/>
                <w:color w:val="000000"/>
                <w:sz w:val="21"/>
                <w:szCs w:val="21"/>
              </w:rPr>
              <w:t xml:space="preserve">需支持</w:t>
            </w:r>
            <w:r>
              <w:rPr>
                <w:rFonts w:ascii="宋体" w:hAnsi="宋体"/>
                <w:color w:val="000000"/>
                <w:sz w:val="21"/>
                <w:szCs w:val="21"/>
              </w:rPr>
              <w:t xml:space="preserve">手动调整计划日期、检定机构等。</w:t>
            </w:r>
            <w:r>
              <w:rPr>
                <w:rFonts w:ascii="宋体" w:hAnsi="宋体"/>
                <w:color w:val="000000"/>
                <w:sz w:val="21"/>
                <w:szCs w:val="21"/>
              </w:rPr>
              <w:br/>
              <w:t xml:space="preserve">2.期间核查</w:t>
            </w:r>
            <w:r>
              <w:rPr>
                <w:rFonts w:ascii="宋体" w:hAnsi="宋体"/>
                <w:color w:val="000000"/>
                <w:sz w:val="21"/>
                <w:szCs w:val="21"/>
              </w:rPr>
              <w:br/>
              <w:t xml:space="preserve">需实现期间核查计划与记录的</w:t>
            </w:r>
            <w:r>
              <w:rPr>
                <w:rFonts w:ascii="宋体" w:hAnsi="宋体"/>
                <w:color w:val="000000"/>
                <w:sz w:val="21"/>
                <w:szCs w:val="21"/>
              </w:rPr>
              <w:t xml:space="preserve">移动化全流程</w:t>
            </w:r>
            <w:r>
              <w:rPr>
                <w:rFonts w:ascii="宋体" w:hAnsi="宋体"/>
                <w:color w:val="000000"/>
                <w:sz w:val="21"/>
                <w:szCs w:val="21"/>
              </w:rPr>
              <w:t xml:space="preserve">管理（计划制定→任务分配→现场执行→结果审核→归档），</w:t>
            </w:r>
            <w:r>
              <w:rPr>
                <w:rFonts w:ascii="宋体" w:hAnsi="宋体"/>
                <w:color w:val="000000"/>
                <w:sz w:val="21"/>
                <w:szCs w:val="21"/>
              </w:rPr>
              <w:t xml:space="preserve">需支持</w:t>
            </w:r>
            <w:r>
              <w:rPr>
                <w:rFonts w:ascii="宋体" w:hAnsi="宋体"/>
                <w:color w:val="000000"/>
                <w:sz w:val="21"/>
                <w:szCs w:val="21"/>
              </w:rPr>
              <w:t xml:space="preserve">审核过程自动记录审核人、时间、修改意见。</w:t>
            </w:r>
            <w:r>
              <w:rPr>
                <w:rFonts w:ascii="宋体" w:hAnsi="宋体"/>
                <w:color w:val="000000"/>
                <w:sz w:val="21"/>
                <w:szCs w:val="21"/>
              </w:rPr>
              <w:br/>
              <w:t xml:space="preserve">3.使用记录</w:t>
            </w:r>
            <w:r>
              <w:rPr>
                <w:rFonts w:ascii="宋体" w:hAnsi="宋体"/>
                <w:color w:val="000000"/>
                <w:sz w:val="21"/>
                <w:szCs w:val="21"/>
              </w:rPr>
              <w:br/>
              <w:t xml:space="preserve">需实现通过移动入口查看仪器使用记录，</w:t>
            </w:r>
            <w:r>
              <w:rPr>
                <w:rFonts w:ascii="宋体" w:hAnsi="宋体"/>
                <w:color w:val="000000"/>
                <w:sz w:val="21"/>
                <w:szCs w:val="21"/>
              </w:rPr>
              <w:t xml:space="preserve">需支持</w:t>
            </w:r>
            <w:r>
              <w:rPr>
                <w:rFonts w:ascii="宋体" w:hAnsi="宋体"/>
                <w:color w:val="000000"/>
                <w:sz w:val="21"/>
                <w:szCs w:val="21"/>
              </w:rPr>
              <w:t xml:space="preserve">通过仪器名称、仪器编号、使用人、使用日期筛选。</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质量体系移动化管理</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1.文件控制</w:t>
            </w:r>
            <w:r>
              <w:rPr>
                <w:rFonts w:hint="eastAsia" w:ascii="宋体" w:hAnsi="宋体"/>
                <w:color w:val="000000"/>
                <w:sz w:val="21"/>
                <w:szCs w:val="21"/>
              </w:rPr>
              <w:br/>
              <w:t xml:space="preserve">需实现通过移动入口预览质量手册/程序文件/作业指导书/受控表单/检测能力表/生物安全管理手册/其他文件，</w:t>
            </w:r>
            <w:r>
              <w:rPr>
                <w:rFonts w:hint="eastAsia" w:ascii="宋体" w:hAnsi="宋体"/>
                <w:color w:val="000000"/>
                <w:sz w:val="21"/>
                <w:szCs w:val="21"/>
              </w:rPr>
              <w:t xml:space="preserve">需支持</w:t>
            </w:r>
            <w:r>
              <w:rPr>
                <w:rFonts w:hint="eastAsia" w:ascii="宋体" w:hAnsi="宋体"/>
                <w:color w:val="000000"/>
                <w:sz w:val="21"/>
                <w:szCs w:val="21"/>
              </w:rPr>
              <w:t xml:space="preserve">PDF/Word/图片等格式文件的高保真展示，确保检测人员在外出场景下清晰查阅，允许授权用户修改文件编号，便于动态更新手册版本或分类标识；通过上传人、文件名称、上</w:t>
            </w:r>
            <w:r>
              <w:rPr>
                <w:rFonts w:hint="eastAsia" w:ascii="宋体" w:hAnsi="宋体"/>
                <w:color w:val="000000"/>
                <w:sz w:val="21"/>
                <w:szCs w:val="21"/>
              </w:rPr>
              <w:t xml:space="preserve">传时间</w:t>
            </w:r>
            <w:r>
              <w:rPr>
                <w:rFonts w:hint="eastAsia" w:ascii="宋体" w:hAnsi="宋体"/>
                <w:color w:val="000000"/>
                <w:sz w:val="21"/>
                <w:szCs w:val="21"/>
              </w:rPr>
              <w:t xml:space="preserve">等条件快速定位目标文件。</w:t>
            </w:r>
            <w:r>
              <w:rPr>
                <w:rFonts w:hint="eastAsia" w:ascii="宋体" w:hAnsi="宋体"/>
                <w:color w:val="000000"/>
                <w:sz w:val="21"/>
                <w:szCs w:val="21"/>
              </w:rPr>
              <w:br/>
              <w:t xml:space="preserve">需通过移动入口实现文件新增、修改、发放回收、到文件废止的全流程管理。</w:t>
            </w:r>
            <w:r>
              <w:rPr>
                <w:rFonts w:hint="eastAsia" w:ascii="宋体" w:hAnsi="宋体"/>
                <w:color w:val="000000"/>
                <w:sz w:val="21"/>
                <w:szCs w:val="21"/>
              </w:rPr>
              <w:br/>
              <w:t xml:space="preserve">2.人员管理</w:t>
            </w:r>
            <w:r>
              <w:rPr>
                <w:rFonts w:hint="eastAsia" w:ascii="宋体" w:hAnsi="宋体"/>
                <w:color w:val="000000"/>
                <w:sz w:val="21"/>
                <w:szCs w:val="21"/>
              </w:rPr>
              <w:br/>
              <w:t xml:space="preserve">（1）培训与考核记录</w:t>
            </w:r>
            <w:r>
              <w:rPr>
                <w:rFonts w:hint="eastAsia" w:ascii="宋体" w:hAnsi="宋体"/>
                <w:color w:val="000000"/>
                <w:sz w:val="21"/>
                <w:szCs w:val="21"/>
              </w:rPr>
              <w:br/>
              <w:t xml:space="preserve">需实现通过移动入口实现培训记录的实时查询、考核结果的动态追踪，</w:t>
            </w:r>
            <w:r>
              <w:rPr>
                <w:rFonts w:hint="eastAsia" w:ascii="宋体" w:hAnsi="宋体"/>
                <w:color w:val="000000"/>
                <w:sz w:val="21"/>
                <w:szCs w:val="21"/>
              </w:rPr>
              <w:t xml:space="preserve">需支持</w:t>
            </w:r>
            <w:r>
              <w:rPr>
                <w:rFonts w:hint="eastAsia" w:ascii="宋体" w:hAnsi="宋体"/>
                <w:color w:val="000000"/>
                <w:sz w:val="21"/>
                <w:szCs w:val="21"/>
              </w:rPr>
              <w:t xml:space="preserve">多维度筛选、文件上传下载。</w:t>
            </w:r>
            <w:r>
              <w:rPr>
                <w:rFonts w:hint="eastAsia" w:ascii="宋体" w:hAnsi="宋体"/>
                <w:color w:val="000000"/>
                <w:sz w:val="21"/>
                <w:szCs w:val="21"/>
              </w:rPr>
              <w:br/>
              <w:t xml:space="preserve">（2）监督监控</w:t>
            </w:r>
            <w:r>
              <w:rPr>
                <w:rFonts w:hint="eastAsia" w:ascii="宋体" w:hAnsi="宋体"/>
                <w:color w:val="000000"/>
                <w:sz w:val="21"/>
                <w:szCs w:val="21"/>
              </w:rPr>
              <w:br/>
              <w:t xml:space="preserve">需通过移动入口实现质量监督/监控计划及记录的全生命周期管理（制定、执行、审批、归档）及多维度数据检索，</w:t>
            </w:r>
            <w:r>
              <w:rPr>
                <w:rFonts w:hint="eastAsia" w:ascii="宋体" w:hAnsi="宋体"/>
                <w:color w:val="000000"/>
                <w:sz w:val="21"/>
                <w:szCs w:val="21"/>
              </w:rPr>
              <w:t xml:space="preserve">需支持</w:t>
            </w:r>
            <w:r>
              <w:rPr>
                <w:rFonts w:hint="eastAsia" w:ascii="宋体" w:hAnsi="宋体"/>
                <w:color w:val="000000"/>
                <w:sz w:val="21"/>
                <w:szCs w:val="21"/>
              </w:rPr>
              <w:t xml:space="preserve">上传/下载相关附件资料。</w:t>
            </w:r>
            <w:r>
              <w:rPr>
                <w:rFonts w:hint="eastAsia" w:ascii="宋体" w:hAnsi="宋体"/>
                <w:color w:val="000000"/>
                <w:sz w:val="21"/>
                <w:szCs w:val="21"/>
              </w:rPr>
              <w:br/>
              <w:t xml:space="preserve">（3）能力授权和持续能力评价</w:t>
            </w:r>
            <w:r>
              <w:rPr>
                <w:rFonts w:hint="eastAsia" w:ascii="宋体" w:hAnsi="宋体"/>
                <w:color w:val="000000"/>
                <w:sz w:val="21"/>
                <w:szCs w:val="21"/>
              </w:rPr>
              <w:br/>
              <w:t xml:space="preserve">需通过移动入口实现人员项目权限设置功能。通过移动入口提交能力授权申请，</w:t>
            </w:r>
            <w:r>
              <w:rPr>
                <w:rFonts w:hint="eastAsia" w:ascii="宋体" w:hAnsi="宋体"/>
                <w:color w:val="000000"/>
                <w:sz w:val="21"/>
                <w:szCs w:val="21"/>
              </w:rPr>
              <w:t xml:space="preserve">需支持</w:t>
            </w:r>
            <w:r>
              <w:rPr>
                <w:rFonts w:hint="eastAsia" w:ascii="宋体" w:hAnsi="宋体"/>
                <w:color w:val="000000"/>
                <w:sz w:val="21"/>
                <w:szCs w:val="21"/>
              </w:rPr>
              <w:t xml:space="preserve">申请人主动撤回，支持审批节点可退回至指定前置环节。</w:t>
            </w:r>
            <w:r>
              <w:rPr>
                <w:rFonts w:hint="eastAsia" w:ascii="宋体" w:hAnsi="宋体"/>
                <w:color w:val="000000"/>
                <w:sz w:val="21"/>
                <w:szCs w:val="21"/>
              </w:rPr>
              <w:br/>
            </w:r>
            <w:r>
              <w:rPr>
                <w:rFonts w:hint="eastAsia" w:ascii="宋体" w:hAnsi="宋体"/>
                <w:color w:val="000000"/>
                <w:sz w:val="21"/>
                <w:szCs w:val="21"/>
              </w:rPr>
              <w:t xml:space="preserve">需实现人员持续能力评价表填写、审批、回撤、回退全流程移动化操作，</w:t>
            </w:r>
            <w:r>
              <w:rPr>
                <w:rFonts w:hint="eastAsia" w:ascii="宋体" w:hAnsi="宋体"/>
                <w:color w:val="000000"/>
                <w:sz w:val="21"/>
                <w:szCs w:val="21"/>
              </w:rPr>
              <w:t xml:space="preserve">需支持</w:t>
            </w:r>
            <w:r>
              <w:rPr>
                <w:rFonts w:hint="eastAsia" w:ascii="宋体" w:hAnsi="宋体"/>
                <w:color w:val="000000"/>
                <w:sz w:val="21"/>
                <w:szCs w:val="21"/>
              </w:rPr>
              <w:t xml:space="preserve">发起人对人员持续能力评价表回撤，</w:t>
            </w:r>
            <w:r>
              <w:rPr>
                <w:rFonts w:hint="eastAsia" w:ascii="宋体" w:hAnsi="宋体"/>
                <w:color w:val="000000"/>
                <w:sz w:val="21"/>
                <w:szCs w:val="21"/>
              </w:rPr>
              <w:t xml:space="preserve">需支持</w:t>
            </w:r>
            <w:r>
              <w:rPr>
                <w:rFonts w:hint="eastAsia" w:ascii="宋体" w:hAnsi="宋体"/>
                <w:color w:val="000000"/>
                <w:sz w:val="21"/>
                <w:szCs w:val="21"/>
              </w:rPr>
              <w:t xml:space="preserve">多级审批，</w:t>
            </w:r>
            <w:r>
              <w:rPr>
                <w:rFonts w:hint="eastAsia" w:ascii="宋体" w:hAnsi="宋体"/>
                <w:color w:val="000000"/>
                <w:sz w:val="21"/>
                <w:szCs w:val="21"/>
              </w:rPr>
              <w:t xml:space="preserve">需支持</w:t>
            </w:r>
            <w:r>
              <w:rPr>
                <w:rFonts w:hint="eastAsia" w:ascii="宋体" w:hAnsi="宋体"/>
                <w:color w:val="000000"/>
                <w:sz w:val="21"/>
                <w:szCs w:val="21"/>
              </w:rPr>
              <w:t xml:space="preserve">审批回退功能。</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ind w:left="0"/>
              <w:jc w:val="center"/>
              <w:rPr>
                <w:rFonts w:hint="eastAsia" w:ascii="宋体" w:hAnsi="宋体" w:cs="Times New Roman"/>
                <w:color w:val="000000"/>
                <w:sz w:val="21"/>
                <w:szCs w:val="21"/>
              </w:rPr>
            </w:pPr>
            <w:r>
              <w:rPr>
                <w:rFonts w:ascii="宋体" w:hAnsi="宋体" w:cs="Times New Roman"/>
                <w:color w:val="000000"/>
                <w:sz w:val="21"/>
                <w:szCs w:val="21"/>
              </w:rPr>
              <w:t xml:space="preserve"> 智慧后勤管理模块</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智慧报修系统</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报修工</w:t>
            </w:r>
            <w:r>
              <w:rPr>
                <w:rFonts w:hint="eastAsia" w:ascii="宋体" w:hAnsi="宋体"/>
                <w:color w:val="000000"/>
                <w:sz w:val="21"/>
                <w:szCs w:val="21"/>
              </w:rPr>
              <w:t xml:space="preserve">单申请</w:t>
            </w:r>
            <w:r>
              <w:rPr>
                <w:rFonts w:hint="eastAsia" w:ascii="宋体" w:hAnsi="宋体"/>
                <w:color w:val="000000"/>
                <w:sz w:val="21"/>
                <w:szCs w:val="21"/>
              </w:rPr>
              <w:br/>
              <w:t xml:space="preserve">系统需设有报修入口，允许具备相应权限的人员通过移动入口录入报修明细并提交报修申请。报修申请涵盖报修部门、存放位置、报修图片上传、报修语音录入及报修描述等内容；同时</w:t>
            </w:r>
            <w:r>
              <w:rPr>
                <w:rFonts w:hint="eastAsia" w:ascii="宋体" w:hAnsi="宋体"/>
                <w:color w:val="000000"/>
                <w:sz w:val="21"/>
                <w:szCs w:val="21"/>
              </w:rPr>
              <w:t xml:space="preserve">需支持通过扫码</w:t>
            </w:r>
            <w:r>
              <w:rPr>
                <w:rFonts w:hint="eastAsia" w:ascii="宋体" w:hAnsi="宋体"/>
                <w:color w:val="000000"/>
                <w:sz w:val="21"/>
                <w:szCs w:val="21"/>
              </w:rPr>
              <w:t xml:space="preserve">精准定位至具体设备进行报修。</w:t>
            </w:r>
            <w:r>
              <w:rPr>
                <w:rFonts w:hint="eastAsia" w:ascii="宋体" w:hAnsi="宋体"/>
                <w:color w:val="000000"/>
                <w:sz w:val="21"/>
                <w:szCs w:val="21"/>
              </w:rPr>
              <w:br/>
              <w:t xml:space="preserve">2.维修工单审批</w:t>
            </w:r>
            <w:r>
              <w:rPr>
                <w:rFonts w:hint="eastAsia" w:ascii="宋体" w:hAnsi="宋体"/>
                <w:color w:val="000000"/>
                <w:sz w:val="21"/>
                <w:szCs w:val="21"/>
              </w:rPr>
              <w:br/>
              <w:t xml:space="preserve">系统需为审核人员提供线上工单审核入口，</w:t>
            </w:r>
            <w:r>
              <w:rPr>
                <w:rFonts w:hint="eastAsia" w:ascii="宋体" w:hAnsi="宋体"/>
                <w:color w:val="000000"/>
                <w:sz w:val="21"/>
                <w:szCs w:val="21"/>
              </w:rPr>
              <w:t xml:space="preserve">需支持</w:t>
            </w:r>
            <w:r>
              <w:rPr>
                <w:rFonts w:hint="eastAsia" w:ascii="宋体" w:hAnsi="宋体"/>
                <w:color w:val="000000"/>
                <w:sz w:val="21"/>
                <w:szCs w:val="21"/>
              </w:rPr>
              <w:t xml:space="preserve">对用户通过移动入口提交的报修登记工单进行实时审核操作。审核流程涵盖工单信息完整性校验、故障紧急程度判定及处理优先级标记。审核人员可在线查看工单详情，结合设备档案信息快速判断是否需要派单维修，或驳回不符合报修规范的申请。该功能需实现报修流程的电子化流转，避免传统纸质工单传递延迟问题，显著提升维修响应效率与流程规范性。</w:t>
            </w:r>
            <w:r>
              <w:rPr>
                <w:rFonts w:hint="eastAsia" w:ascii="宋体" w:hAnsi="宋体"/>
                <w:color w:val="000000"/>
                <w:sz w:val="21"/>
                <w:szCs w:val="21"/>
              </w:rPr>
              <w:br/>
              <w:t xml:space="preserve">3.维修费用审批</w:t>
            </w:r>
            <w:r>
              <w:rPr>
                <w:rFonts w:hint="eastAsia" w:ascii="宋体" w:hAnsi="宋体"/>
                <w:color w:val="000000"/>
                <w:sz w:val="21"/>
                <w:szCs w:val="21"/>
              </w:rPr>
              <w:br/>
              <w:t xml:space="preserve">针对维修过程中产生的费用申请，系统需提供线上审批通道。申请人提交费用明细后，审批人员可查阅费用清单、关联工单信息及供应商报价依据，对费用合理性进行审核。</w:t>
            </w:r>
            <w:r>
              <w:rPr>
                <w:rFonts w:hint="eastAsia" w:ascii="宋体" w:hAnsi="宋体"/>
                <w:color w:val="000000"/>
                <w:sz w:val="21"/>
                <w:szCs w:val="21"/>
              </w:rPr>
              <w:t xml:space="preserve">需支持</w:t>
            </w:r>
            <w:r>
              <w:rPr>
                <w:rFonts w:hint="eastAsia" w:ascii="宋体" w:hAnsi="宋体"/>
                <w:color w:val="000000"/>
                <w:sz w:val="21"/>
                <w:szCs w:val="21"/>
              </w:rPr>
              <w:t xml:space="preserve">多级审批机制，审批意见实时同步至申请人，确保维修成本可控。通过数字化审批流程，解决传统费用审批周期长、纸质凭证管理繁琐的问题，需实现维修费用的规范化管控。</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s="Times New Roman"/>
                <w:color w:val="000000"/>
                <w:sz w:val="21"/>
                <w:szCs w:val="21"/>
              </w:rPr>
            </w:pPr>
            <w:r>
              <w:rPr>
                <w:rFonts w:hint="eastAsia" w:ascii="宋体" w:hAnsi="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center"/>
              <w:rPr>
                <w:rFonts w:hint="eastAsia" w:ascii="宋体" w:hAnsi="宋体"/>
                <w:color w:val="000000"/>
                <w:sz w:val="21"/>
                <w:szCs w:val="21"/>
              </w:rPr>
            </w:pPr>
            <w:r>
              <w:rPr>
                <w:rFonts w:ascii="宋体" w:hAnsi="宋体"/>
                <w:color w:val="000000"/>
                <w:sz w:val="21"/>
                <w:szCs w:val="21"/>
              </w:rPr>
              <w:t xml:space="preserve">智慧巡检</w:t>
            </w:r>
            <w:r>
              <w:rPr>
                <w:rFonts w:ascii="宋体" w:hAnsi="宋体" w:cs="Times New Roman"/>
                <w:color w:val="000000"/>
                <w:sz w:val="21"/>
                <w:szCs w:val="21"/>
              </w:rPr>
              <w:t xml:space="preserve">/</w:t>
            </w:r>
            <w:r>
              <w:rPr>
                <w:rFonts w:ascii="宋体" w:hAnsi="宋体"/>
                <w:color w:val="000000"/>
                <w:sz w:val="21"/>
                <w:szCs w:val="21"/>
              </w:rPr>
              <w:t xml:space="preserve">保养系统</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left="0" w:firstLine="420"/>
              <w:rPr>
                <w:rFonts w:hint="eastAsia" w:ascii="宋体" w:hAnsi="宋体"/>
                <w:color w:val="000000"/>
                <w:sz w:val="21"/>
                <w:szCs w:val="21"/>
              </w:rPr>
            </w:pPr>
            <w:r>
              <w:rPr>
                <w:rFonts w:ascii="宋体" w:hAnsi="宋体"/>
                <w:color w:val="000000"/>
                <w:sz w:val="21"/>
                <w:szCs w:val="21"/>
              </w:rPr>
              <w:t xml:space="preserve">1.巡检/保养</w:t>
            </w:r>
            <w:r>
              <w:rPr>
                <w:rFonts w:ascii="宋体" w:hAnsi="宋体"/>
                <w:color w:val="000000"/>
                <w:sz w:val="21"/>
                <w:szCs w:val="21"/>
              </w:rPr>
              <w:br/>
              <w:t xml:space="preserve">系统需根据设备管理规则预设不同频率的巡检保养任务，在移动界面以任务列表形式展示。任务详情包含任务名称、所属设备、当前进度、基本操作指引及完成状态。点击单个任务可查看具体设备的完成情况，包括各巡检点的实测数据、保养记录及异常情况备注。</w:t>
            </w:r>
            <w:r>
              <w:rPr>
                <w:rFonts w:ascii="宋体" w:hAnsi="宋体"/>
                <w:color w:val="000000"/>
                <w:sz w:val="21"/>
                <w:szCs w:val="21"/>
              </w:rPr>
              <w:br/>
              <w:t xml:space="preserve">2.保养费用审批</w:t>
            </w:r>
            <w:r>
              <w:rPr>
                <w:rFonts w:ascii="宋体" w:hAnsi="宋体"/>
                <w:color w:val="000000"/>
                <w:sz w:val="21"/>
                <w:szCs w:val="21"/>
              </w:rPr>
              <w:br/>
              <w:t xml:space="preserve">针对巡检保养过程中产生的费用申请，系统需提供移动审批接口。审批人员可在线查阅保养任务详情、费用明细及供应</w:t>
            </w:r>
            <w:r>
              <w:rPr>
                <w:rFonts w:ascii="宋体" w:hAnsi="宋体"/>
                <w:color w:val="000000"/>
                <w:sz w:val="21"/>
                <w:szCs w:val="21"/>
              </w:rPr>
              <w:t xml:space="preserve">商服务</w:t>
            </w:r>
            <w:r>
              <w:rPr>
                <w:rFonts w:ascii="宋体" w:hAnsi="宋体"/>
                <w:color w:val="000000"/>
                <w:sz w:val="21"/>
                <w:szCs w:val="21"/>
              </w:rPr>
              <w:t xml:space="preserve">记录，对费用支出的必要性与合</w:t>
            </w:r>
            <w:r>
              <w:rPr>
                <w:rFonts w:ascii="宋体" w:hAnsi="宋体"/>
                <w:color w:val="000000"/>
                <w:sz w:val="21"/>
                <w:szCs w:val="21"/>
              </w:rPr>
              <w:t xml:space="preserve">规</w:t>
            </w:r>
            <w:r>
              <w:rPr>
                <w:rFonts w:ascii="宋体" w:hAnsi="宋体"/>
                <w:color w:val="000000"/>
                <w:sz w:val="21"/>
                <w:szCs w:val="21"/>
              </w:rPr>
              <w:t xml:space="preserve">性进行审核。</w:t>
            </w:r>
            <w:r>
              <w:rPr>
                <w:rFonts w:ascii="宋体" w:hAnsi="宋体"/>
                <w:color w:val="000000"/>
                <w:sz w:val="21"/>
                <w:szCs w:val="21"/>
              </w:rPr>
              <w:t xml:space="preserve">需支持</w:t>
            </w:r>
            <w:r>
              <w:rPr>
                <w:rFonts w:ascii="宋体" w:hAnsi="宋体"/>
                <w:color w:val="000000"/>
                <w:sz w:val="21"/>
                <w:szCs w:val="21"/>
              </w:rPr>
              <w:t xml:space="preserve">与历史保养费用数据对比分析，自动标记异常费用项并提示审核人员重点关注。需通过线上审批流程，实现保养成本的精细化管理，避免不必要的开支，提升设备维护资金使用效率。</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s="Times New Roman"/>
                <w:color w:val="000000"/>
                <w:sz w:val="21"/>
                <w:szCs w:val="21"/>
              </w:rPr>
            </w:pPr>
            <w:r>
              <w:rPr>
                <w:rFonts w:hint="eastAsia" w:ascii="宋体" w:hAnsi="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智慧物资系统</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left="0" w:firstLine="420"/>
              <w:rPr>
                <w:rFonts w:hint="eastAsia" w:ascii="宋体" w:hAnsi="宋体"/>
                <w:color w:val="000000"/>
                <w:sz w:val="21"/>
                <w:szCs w:val="21"/>
              </w:rPr>
            </w:pPr>
            <w:r>
              <w:rPr>
                <w:rFonts w:hint="eastAsia" w:ascii="宋体" w:hAnsi="宋体"/>
                <w:color w:val="000000"/>
                <w:sz w:val="21"/>
                <w:szCs w:val="21"/>
              </w:rPr>
              <w:t xml:space="preserve">1.物资全流程</w:t>
            </w:r>
            <w:r/>
          </w:p>
          <w:p>
            <w:pPr>
              <w:ind w:left="0" w:firstLine="420"/>
              <w:rPr>
                <w:rFonts w:hint="eastAsia" w:ascii="宋体" w:hAnsi="宋体"/>
                <w:color w:val="000000"/>
                <w:sz w:val="21"/>
                <w:szCs w:val="21"/>
              </w:rPr>
            </w:pPr>
            <w:r>
              <w:rPr>
                <w:rFonts w:hint="eastAsia" w:ascii="宋体" w:hAnsi="宋体"/>
                <w:color w:val="000000"/>
                <w:sz w:val="21"/>
                <w:szCs w:val="21"/>
              </w:rPr>
              <w:t xml:space="preserve">系统全面支持物资</w:t>
            </w:r>
            <w:r>
              <w:rPr>
                <w:rFonts w:hint="eastAsia" w:ascii="宋体" w:hAnsi="宋体"/>
                <w:color w:val="000000"/>
                <w:sz w:val="21"/>
                <w:szCs w:val="21"/>
              </w:rPr>
              <w:t xml:space="preserve">采购全</w:t>
            </w:r>
            <w:r>
              <w:rPr>
                <w:rFonts w:hint="eastAsia" w:ascii="宋体" w:hAnsi="宋体"/>
                <w:color w:val="000000"/>
                <w:sz w:val="21"/>
                <w:szCs w:val="21"/>
              </w:rPr>
              <w:t xml:space="preserve">流程的移动操作，涵盖以下环节：</w:t>
            </w:r>
            <w:r/>
          </w:p>
          <w:p>
            <w:pPr>
              <w:ind w:left="0" w:firstLine="420"/>
              <w:rPr>
                <w:rFonts w:hint="eastAsia" w:ascii="宋体" w:hAnsi="宋体"/>
                <w:color w:val="000000"/>
                <w:sz w:val="21"/>
                <w:szCs w:val="21"/>
              </w:rPr>
            </w:pPr>
            <w:r>
              <w:rPr>
                <w:rFonts w:hint="eastAsia" w:ascii="宋体" w:hAnsi="宋体"/>
                <w:color w:val="000000"/>
                <w:sz w:val="21"/>
                <w:szCs w:val="21"/>
              </w:rPr>
              <w:t xml:space="preserve">科室申购：录入科室申购的基础信息，选择所需申购的物资及数量，提交审批；</w:t>
            </w:r>
            <w:r/>
          </w:p>
          <w:p>
            <w:pPr>
              <w:ind w:left="0" w:firstLine="420"/>
              <w:rPr>
                <w:rFonts w:hint="eastAsia" w:ascii="宋体" w:hAnsi="宋体"/>
                <w:color w:val="000000"/>
                <w:sz w:val="21"/>
                <w:szCs w:val="21"/>
              </w:rPr>
            </w:pPr>
            <w:r>
              <w:rPr>
                <w:rFonts w:hint="eastAsia" w:ascii="宋体" w:hAnsi="宋体"/>
                <w:color w:val="000000"/>
                <w:sz w:val="21"/>
                <w:szCs w:val="21"/>
              </w:rPr>
              <w:t xml:space="preserve">二采询价</w:t>
            </w:r>
            <w:r>
              <w:rPr>
                <w:rFonts w:hint="eastAsia" w:ascii="宋体" w:hAnsi="宋体"/>
                <w:color w:val="000000"/>
                <w:sz w:val="21"/>
                <w:szCs w:val="21"/>
              </w:rPr>
              <w:t xml:space="preserve">：支持二次采购价格的录入与确认；</w:t>
            </w:r>
            <w:r/>
          </w:p>
          <w:p>
            <w:pPr>
              <w:ind w:left="0" w:firstLine="420"/>
              <w:rPr>
                <w:rFonts w:hint="eastAsia" w:ascii="宋体" w:hAnsi="宋体"/>
                <w:color w:val="000000"/>
                <w:sz w:val="21"/>
                <w:szCs w:val="21"/>
              </w:rPr>
            </w:pPr>
            <w:r>
              <w:rPr>
                <w:rFonts w:hint="eastAsia" w:ascii="宋体" w:hAnsi="宋体"/>
                <w:color w:val="000000"/>
                <w:sz w:val="21"/>
                <w:szCs w:val="21"/>
              </w:rPr>
              <w:t xml:space="preserve">采购收货：支持对采购订单进行全量收货、分批收货及收货终止操作；</w:t>
            </w:r>
            <w:r/>
          </w:p>
          <w:p>
            <w:pPr>
              <w:ind w:left="0" w:firstLine="420"/>
              <w:rPr>
                <w:rFonts w:hint="eastAsia" w:ascii="宋体" w:hAnsi="宋体"/>
                <w:color w:val="000000"/>
                <w:sz w:val="21"/>
                <w:szCs w:val="21"/>
              </w:rPr>
            </w:pPr>
            <w:r>
              <w:rPr>
                <w:rFonts w:hint="eastAsia" w:ascii="宋体" w:hAnsi="宋体"/>
                <w:color w:val="000000"/>
                <w:sz w:val="21"/>
                <w:szCs w:val="21"/>
              </w:rPr>
              <w:t xml:space="preserve">物资发放：支持将采购到的货物向科室发放，</w:t>
            </w:r>
            <w:r>
              <w:rPr>
                <w:rFonts w:hint="eastAsia" w:ascii="宋体" w:hAnsi="宋体"/>
                <w:color w:val="000000"/>
                <w:sz w:val="21"/>
                <w:szCs w:val="21"/>
              </w:rPr>
              <w:t xml:space="preserve">提供扫码发放</w:t>
            </w:r>
            <w:r>
              <w:rPr>
                <w:rFonts w:hint="eastAsia" w:ascii="宋体" w:hAnsi="宋体"/>
                <w:color w:val="000000"/>
                <w:sz w:val="21"/>
                <w:szCs w:val="21"/>
              </w:rPr>
              <w:t xml:space="preserve">及分次发放功能；</w:t>
            </w:r>
            <w:r/>
          </w:p>
          <w:p>
            <w:pPr>
              <w:ind w:left="0" w:firstLine="420"/>
              <w:rPr>
                <w:rFonts w:hint="eastAsia" w:ascii="宋体" w:hAnsi="宋体"/>
                <w:color w:val="000000"/>
                <w:sz w:val="21"/>
                <w:szCs w:val="21"/>
              </w:rPr>
            </w:pPr>
            <w:r>
              <w:rPr>
                <w:rFonts w:hint="eastAsia" w:ascii="宋体" w:hAnsi="宋体"/>
                <w:color w:val="000000"/>
                <w:sz w:val="21"/>
                <w:szCs w:val="21"/>
              </w:rPr>
              <w:t xml:space="preserve">科室接收：支持科室对普通物资进行批量接收，对重点物资</w:t>
            </w:r>
            <w:r>
              <w:rPr>
                <w:rFonts w:hint="eastAsia" w:ascii="宋体" w:hAnsi="宋体"/>
                <w:color w:val="000000"/>
                <w:sz w:val="21"/>
                <w:szCs w:val="21"/>
              </w:rPr>
              <w:t xml:space="preserve">进行扫码接收</w:t>
            </w:r>
            <w:r>
              <w:rPr>
                <w:rFonts w:hint="eastAsia" w:ascii="宋体" w:hAnsi="宋体"/>
                <w:color w:val="000000"/>
                <w:sz w:val="21"/>
                <w:szCs w:val="21"/>
              </w:rPr>
              <w:t xml:space="preserve">；</w:t>
            </w:r>
            <w:r/>
          </w:p>
          <w:p>
            <w:pPr>
              <w:ind w:left="0" w:firstLine="420"/>
              <w:rPr>
                <w:rFonts w:hint="eastAsia" w:ascii="宋体" w:hAnsi="宋体"/>
                <w:color w:val="000000"/>
                <w:sz w:val="21"/>
                <w:szCs w:val="21"/>
              </w:rPr>
            </w:pPr>
            <w:r>
              <w:rPr>
                <w:rFonts w:hint="eastAsia" w:ascii="宋体" w:hAnsi="宋体"/>
                <w:color w:val="000000"/>
                <w:sz w:val="21"/>
                <w:szCs w:val="21"/>
              </w:rPr>
              <w:t xml:space="preserve">科室消耗：支持科室对库存物资进行消耗管理，重点物资可</w:t>
            </w:r>
            <w:r>
              <w:rPr>
                <w:rFonts w:hint="eastAsia" w:ascii="宋体" w:hAnsi="宋体"/>
                <w:color w:val="000000"/>
                <w:sz w:val="21"/>
                <w:szCs w:val="21"/>
              </w:rPr>
              <w:t xml:space="preserve">实现扫码消耗</w:t>
            </w:r>
            <w:r>
              <w:rPr>
                <w:rFonts w:hint="eastAsia" w:ascii="宋体" w:hAnsi="宋体"/>
                <w:color w:val="000000"/>
                <w:sz w:val="21"/>
                <w:szCs w:val="21"/>
              </w:rPr>
              <w:t xml:space="preserve">；</w:t>
            </w:r>
            <w:r/>
          </w:p>
          <w:p>
            <w:pPr>
              <w:ind w:left="0" w:firstLine="420"/>
              <w:rPr>
                <w:rFonts w:hint="eastAsia" w:ascii="宋体" w:hAnsi="宋体"/>
                <w:color w:val="000000"/>
                <w:sz w:val="21"/>
                <w:szCs w:val="21"/>
              </w:rPr>
            </w:pPr>
            <w:r>
              <w:rPr>
                <w:rFonts w:hint="eastAsia" w:ascii="宋体" w:hAnsi="宋体"/>
                <w:color w:val="000000"/>
                <w:sz w:val="21"/>
                <w:szCs w:val="21"/>
              </w:rPr>
              <w:t xml:space="preserve">物资流程：支持物资</w:t>
            </w:r>
            <w:r>
              <w:rPr>
                <w:rFonts w:hint="eastAsia" w:ascii="宋体" w:hAnsi="宋体"/>
                <w:color w:val="000000"/>
                <w:sz w:val="21"/>
                <w:szCs w:val="21"/>
              </w:rPr>
              <w:t xml:space="preserve">采购全</w:t>
            </w:r>
            <w:r>
              <w:rPr>
                <w:rFonts w:hint="eastAsia" w:ascii="宋体" w:hAnsi="宋体"/>
                <w:color w:val="000000"/>
                <w:sz w:val="21"/>
                <w:szCs w:val="21"/>
              </w:rPr>
              <w:t xml:space="preserve">流程的节点展示。</w:t>
            </w:r>
            <w:r/>
          </w:p>
          <w:p>
            <w:pPr>
              <w:ind w:left="0" w:firstLine="420"/>
              <w:rPr>
                <w:rFonts w:hint="eastAsia" w:ascii="宋体" w:hAnsi="宋体"/>
                <w:color w:val="000000"/>
                <w:sz w:val="21"/>
                <w:szCs w:val="21"/>
              </w:rPr>
            </w:pPr>
            <w:r>
              <w:rPr>
                <w:rFonts w:hint="eastAsia" w:ascii="宋体" w:hAnsi="宋体"/>
                <w:color w:val="000000"/>
                <w:sz w:val="21"/>
                <w:szCs w:val="21"/>
              </w:rPr>
              <w:t xml:space="preserve">一级功能：审批</w:t>
            </w:r>
            <w:r/>
          </w:p>
          <w:p>
            <w:pPr>
              <w:ind w:left="0" w:firstLine="420"/>
              <w:rPr>
                <w:rFonts w:hint="eastAsia" w:ascii="宋体" w:hAnsi="宋体"/>
                <w:color w:val="000000"/>
                <w:sz w:val="21"/>
                <w:szCs w:val="21"/>
              </w:rPr>
            </w:pPr>
            <w:r>
              <w:rPr>
                <w:rFonts w:hint="eastAsia" w:ascii="宋体" w:hAnsi="宋体"/>
                <w:color w:val="000000"/>
                <w:sz w:val="21"/>
                <w:szCs w:val="21"/>
              </w:rPr>
              <w:t xml:space="preserve">2.科室申购审批</w:t>
            </w:r>
            <w:r/>
          </w:p>
          <w:p>
            <w:pPr>
              <w:ind w:left="0" w:firstLine="420"/>
              <w:rPr>
                <w:rFonts w:hint="eastAsia" w:ascii="宋体" w:hAnsi="宋体"/>
                <w:color w:val="000000"/>
                <w:sz w:val="21"/>
                <w:szCs w:val="21"/>
              </w:rPr>
            </w:pPr>
            <w:r>
              <w:rPr>
                <w:rFonts w:hint="eastAsia" w:ascii="宋体" w:hAnsi="宋体"/>
                <w:color w:val="000000"/>
                <w:sz w:val="21"/>
                <w:szCs w:val="21"/>
              </w:rPr>
              <w:t xml:space="preserve">科室人员通过移动端口提交采购申请单后，系统自动推送至相关负责人进行审批。审批界面展示申请单详情、库存现有量及历史采购记录，支持审批人员根据预算额度、库存周转率等因素决定是否通过申请。若库存充足，可直接驳回申购请求并提示优先使用现有物资，实现库存资源的合理调配。</w:t>
            </w:r>
            <w:r/>
          </w:p>
          <w:p>
            <w:pPr>
              <w:ind w:left="0" w:firstLine="420"/>
              <w:rPr>
                <w:rFonts w:hint="eastAsia" w:ascii="宋体" w:hAnsi="宋体"/>
                <w:color w:val="000000"/>
                <w:sz w:val="21"/>
                <w:szCs w:val="21"/>
              </w:rPr>
            </w:pPr>
            <w:r>
              <w:rPr>
                <w:rFonts w:hint="eastAsia" w:ascii="宋体" w:hAnsi="宋体"/>
                <w:color w:val="000000"/>
                <w:sz w:val="21"/>
                <w:szCs w:val="21"/>
              </w:rPr>
              <w:t xml:space="preserve">3.采购比价审批</w:t>
            </w:r>
            <w:r/>
          </w:p>
          <w:p>
            <w:pPr>
              <w:ind w:left="0" w:firstLine="420"/>
              <w:rPr>
                <w:rFonts w:hint="eastAsia" w:ascii="宋体" w:hAnsi="宋体"/>
                <w:color w:val="000000"/>
                <w:sz w:val="21"/>
                <w:szCs w:val="21"/>
              </w:rPr>
            </w:pPr>
            <w:r>
              <w:rPr>
                <w:rFonts w:hint="eastAsia" w:ascii="宋体" w:hAnsi="宋体"/>
                <w:color w:val="000000"/>
                <w:sz w:val="21"/>
                <w:szCs w:val="21"/>
              </w:rPr>
              <w:t xml:space="preserve">采购部门根据申购需求生成采购订单后，系统触发比价审批流程。审批人员可查看多家供应商报价信息、供货周期及售后服务条款，对比分析后确认订单合理性。支持引入历史比价数据作为参考，自动提醒审批人员关注价格波动较大的物资项，确保采购成本最优。</w:t>
            </w:r>
            <w:r/>
          </w:p>
          <w:p>
            <w:pPr>
              <w:ind w:left="0" w:firstLine="420"/>
              <w:rPr>
                <w:rFonts w:hint="eastAsia" w:ascii="宋体" w:hAnsi="宋体"/>
                <w:color w:val="000000"/>
                <w:sz w:val="21"/>
                <w:szCs w:val="21"/>
              </w:rPr>
            </w:pPr>
            <w:r>
              <w:rPr>
                <w:rFonts w:hint="eastAsia" w:ascii="宋体" w:hAnsi="宋体"/>
                <w:color w:val="000000"/>
                <w:sz w:val="21"/>
                <w:szCs w:val="21"/>
              </w:rPr>
              <w:t xml:space="preserve">4.采购退货审批</w:t>
            </w:r>
            <w:r/>
          </w:p>
          <w:p>
            <w:pPr>
              <w:ind w:left="0" w:firstLine="420"/>
              <w:rPr>
                <w:rFonts w:hint="eastAsia" w:ascii="宋体" w:hAnsi="宋体"/>
                <w:color w:val="000000"/>
                <w:sz w:val="21"/>
                <w:szCs w:val="21"/>
              </w:rPr>
            </w:pPr>
            <w:r>
              <w:rPr>
                <w:rFonts w:hint="eastAsia" w:ascii="宋体" w:hAnsi="宋体"/>
                <w:color w:val="000000"/>
                <w:sz w:val="21"/>
                <w:szCs w:val="21"/>
              </w:rPr>
              <w:t xml:space="preserve">针对不符合质量要求或规格错误的采购物资，申请人提交退货申请后，审批人员可在线审核退货原因、查看物资照片及检测报告，确认无误后批准退货。系统同步更新采购订单状态及库存数量，避免不合格物资流入使用环节，保障物资供应质量。</w:t>
            </w:r>
            <w:r/>
          </w:p>
          <w:p>
            <w:pPr>
              <w:ind w:left="0" w:firstLine="420"/>
              <w:rPr>
                <w:rFonts w:hint="eastAsia" w:ascii="宋体" w:hAnsi="宋体"/>
                <w:color w:val="000000"/>
                <w:sz w:val="21"/>
                <w:szCs w:val="21"/>
              </w:rPr>
            </w:pPr>
            <w:r>
              <w:rPr>
                <w:rFonts w:hint="eastAsia" w:ascii="宋体" w:hAnsi="宋体"/>
                <w:color w:val="000000"/>
                <w:sz w:val="21"/>
                <w:szCs w:val="21"/>
              </w:rPr>
              <w:t xml:space="preserve">5.物资领用审批</w:t>
            </w:r>
            <w:r/>
          </w:p>
          <w:p>
            <w:pPr>
              <w:ind w:left="0" w:firstLine="420"/>
              <w:rPr>
                <w:rFonts w:hint="eastAsia" w:ascii="宋体" w:hAnsi="宋体"/>
                <w:color w:val="000000"/>
                <w:sz w:val="21"/>
                <w:szCs w:val="21"/>
              </w:rPr>
            </w:pPr>
            <w:r>
              <w:rPr>
                <w:rFonts w:hint="eastAsia" w:ascii="宋体" w:hAnsi="宋体"/>
                <w:color w:val="000000"/>
                <w:sz w:val="21"/>
                <w:szCs w:val="21"/>
              </w:rPr>
              <w:t xml:space="preserve">员工提交物资领用申请后，相关负责人通过移动入口审核领用需求的合理性。审批通过后，系统自动扣减库存数量并生成领用记录，支持实时查询各科室物资领用趋势，为库存补货计划提供数据支撑。</w:t>
            </w:r>
            <w:r/>
          </w:p>
          <w:p>
            <w:pPr>
              <w:ind w:left="0" w:firstLine="420"/>
              <w:rPr>
                <w:rFonts w:hint="eastAsia" w:ascii="宋体" w:hAnsi="宋体"/>
                <w:color w:val="000000"/>
                <w:sz w:val="21"/>
                <w:szCs w:val="21"/>
              </w:rPr>
            </w:pPr>
            <w:r>
              <w:rPr>
                <w:rFonts w:hint="eastAsia" w:ascii="宋体" w:hAnsi="宋体"/>
                <w:color w:val="000000"/>
                <w:sz w:val="21"/>
                <w:szCs w:val="21"/>
              </w:rPr>
              <w:t xml:space="preserve">6.物资退库审批</w:t>
            </w:r>
            <w:r/>
          </w:p>
          <w:p>
            <w:pPr>
              <w:ind w:left="0" w:firstLine="420"/>
              <w:rPr>
                <w:rFonts w:hint="eastAsia" w:ascii="宋体" w:hAnsi="宋体"/>
                <w:color w:val="000000"/>
                <w:sz w:val="21"/>
                <w:szCs w:val="21"/>
              </w:rPr>
            </w:pPr>
            <w:r>
              <w:rPr>
                <w:rFonts w:hint="eastAsia" w:ascii="宋体" w:hAnsi="宋体"/>
                <w:color w:val="000000"/>
                <w:sz w:val="21"/>
                <w:szCs w:val="21"/>
              </w:rPr>
              <w:t xml:space="preserve">对于未使用完毕或需回收的物资，员工提交退库申请后，审批人员审核退库物资状态，确认后批准退库并更新库存。该功能规范物资退库流程，避免物资浪费与流失，提升库存管理的准确性。</w:t>
            </w:r>
            <w:r/>
          </w:p>
          <w:p>
            <w:pPr>
              <w:ind w:left="0" w:firstLine="420"/>
              <w:rPr>
                <w:rFonts w:hint="eastAsia" w:ascii="宋体" w:hAnsi="宋体"/>
                <w:color w:val="000000"/>
                <w:sz w:val="21"/>
                <w:szCs w:val="21"/>
              </w:rPr>
            </w:pPr>
            <w:r>
              <w:rPr>
                <w:rFonts w:hint="eastAsia" w:ascii="宋体" w:hAnsi="宋体"/>
                <w:color w:val="000000"/>
                <w:sz w:val="21"/>
                <w:szCs w:val="21"/>
              </w:rPr>
              <w:t xml:space="preserve">7.二级库申领审批</w:t>
            </w:r>
            <w:r/>
          </w:p>
          <w:p>
            <w:pPr>
              <w:ind w:left="0" w:firstLine="420"/>
              <w:rPr>
                <w:rFonts w:hint="eastAsia" w:ascii="宋体" w:hAnsi="宋体"/>
                <w:color w:val="000000"/>
                <w:sz w:val="21"/>
                <w:szCs w:val="21"/>
              </w:rPr>
            </w:pPr>
            <w:r>
              <w:rPr>
                <w:rFonts w:hint="eastAsia" w:ascii="宋体" w:hAnsi="宋体"/>
                <w:color w:val="000000"/>
                <w:sz w:val="21"/>
                <w:szCs w:val="21"/>
              </w:rPr>
              <w:t xml:space="preserve">二级库管理人员提交领用上级仓库物资的申请后，系统将申请单推送至上级仓库负责人审批。审批内容包括申领数量是</w:t>
            </w:r>
            <w:r>
              <w:rPr>
                <w:rFonts w:hint="eastAsia" w:ascii="宋体" w:hAnsi="宋体"/>
                <w:color w:val="000000"/>
                <w:sz w:val="21"/>
                <w:szCs w:val="21"/>
              </w:rPr>
              <w:t xml:space="preserve">否在核定限额内、申领频率是否符合规定，支持结合二级库库存预警数据自动判断是否批准，确保上下级仓库物资调配的科学性。</w:t>
            </w:r>
            <w:r/>
          </w:p>
          <w:p>
            <w:pPr>
              <w:ind w:left="0" w:firstLine="420"/>
              <w:rPr>
                <w:rFonts w:hint="eastAsia" w:ascii="宋体" w:hAnsi="宋体"/>
                <w:color w:val="000000"/>
                <w:sz w:val="21"/>
                <w:szCs w:val="21"/>
              </w:rPr>
            </w:pPr>
            <w:r>
              <w:rPr>
                <w:rFonts w:hint="eastAsia" w:ascii="宋体" w:hAnsi="宋体"/>
                <w:color w:val="000000"/>
                <w:sz w:val="21"/>
                <w:szCs w:val="21"/>
              </w:rPr>
              <w:t xml:space="preserve">8.物资报废审批</w:t>
            </w:r>
            <w:r/>
          </w:p>
          <w:p>
            <w:pPr>
              <w:ind w:left="0" w:firstLine="420"/>
              <w:rPr>
                <w:rFonts w:hint="eastAsia" w:ascii="宋体" w:hAnsi="宋体"/>
                <w:color w:val="000000"/>
                <w:sz w:val="21"/>
                <w:szCs w:val="21"/>
              </w:rPr>
            </w:pPr>
            <w:r>
              <w:rPr>
                <w:rFonts w:hint="eastAsia" w:ascii="宋体" w:hAnsi="宋体"/>
                <w:color w:val="000000"/>
                <w:sz w:val="21"/>
                <w:szCs w:val="21"/>
              </w:rPr>
              <w:t xml:space="preserve">针对达到使用年限、损坏无法修复或无使用价值的物资，申请人提交报废申请并附实物照片及鉴定意见后，审批人员审核报废理由的充分性。通过多级审批（如技术部门鉴定、管理层核准）确保报废决策的合</w:t>
            </w:r>
            <w:r>
              <w:rPr>
                <w:rFonts w:hint="eastAsia" w:ascii="宋体" w:hAnsi="宋体"/>
                <w:color w:val="000000"/>
                <w:sz w:val="21"/>
                <w:szCs w:val="21"/>
              </w:rPr>
              <w:t xml:space="preserve">规</w:t>
            </w:r>
            <w:r>
              <w:rPr>
                <w:rFonts w:hint="eastAsia" w:ascii="宋体" w:hAnsi="宋体"/>
                <w:color w:val="000000"/>
                <w:sz w:val="21"/>
                <w:szCs w:val="21"/>
              </w:rPr>
              <w:t xml:space="preserve">性，报废物资信息同步至财务系统进行资产核销。</w:t>
            </w:r>
            <w:r/>
          </w:p>
          <w:p>
            <w:pPr>
              <w:ind w:left="0" w:firstLine="420"/>
              <w:rPr>
                <w:rFonts w:hint="eastAsia" w:ascii="宋体" w:hAnsi="宋体"/>
                <w:color w:val="000000"/>
                <w:sz w:val="21"/>
                <w:szCs w:val="21"/>
              </w:rPr>
            </w:pPr>
            <w:r>
              <w:rPr>
                <w:rFonts w:hint="eastAsia" w:ascii="宋体" w:hAnsi="宋体"/>
                <w:color w:val="000000"/>
                <w:sz w:val="21"/>
                <w:szCs w:val="21"/>
              </w:rPr>
              <w:t xml:space="preserve">9采购收货</w:t>
            </w:r>
            <w:r/>
          </w:p>
          <w:p>
            <w:pPr>
              <w:ind w:left="0" w:firstLine="420"/>
              <w:rPr>
                <w:rFonts w:hint="eastAsia" w:ascii="宋体" w:hAnsi="宋体"/>
                <w:color w:val="000000"/>
                <w:sz w:val="21"/>
                <w:szCs w:val="21"/>
              </w:rPr>
            </w:pPr>
            <w:r>
              <w:rPr>
                <w:rFonts w:hint="eastAsia" w:ascii="宋体" w:hAnsi="宋体"/>
                <w:color w:val="000000"/>
                <w:sz w:val="21"/>
                <w:szCs w:val="21"/>
              </w:rPr>
              <w:t xml:space="preserve">采购订单到货后，仓库管理人员通过移动设备扫描物资条码或输入订单编号，核对实物与订单信息。确认无误后点击收货，系统自动更新库存数量并生成收货记录，支持对接供应商管理系统反馈收货状态，提升采购闭环管理效率。</w:t>
            </w:r>
            <w:r/>
          </w:p>
          <w:p>
            <w:pPr>
              <w:ind w:left="0" w:firstLine="420"/>
              <w:rPr>
                <w:rFonts w:hint="eastAsia" w:ascii="宋体" w:hAnsi="宋体"/>
                <w:color w:val="000000"/>
                <w:sz w:val="21"/>
                <w:szCs w:val="21"/>
              </w:rPr>
            </w:pPr>
            <w:r>
              <w:rPr>
                <w:rFonts w:hint="eastAsia" w:ascii="宋体" w:hAnsi="宋体"/>
                <w:color w:val="000000"/>
                <w:sz w:val="21"/>
                <w:szCs w:val="21"/>
              </w:rPr>
              <w:t xml:space="preserve">10.物资发放</w:t>
            </w:r>
            <w:r/>
          </w:p>
          <w:p>
            <w:pPr>
              <w:ind w:left="0" w:firstLine="420"/>
              <w:rPr>
                <w:rFonts w:hint="eastAsia" w:ascii="宋体" w:hAnsi="宋体"/>
                <w:color w:val="000000"/>
                <w:sz w:val="21"/>
                <w:szCs w:val="21"/>
              </w:rPr>
            </w:pPr>
            <w:r>
              <w:rPr>
                <w:rFonts w:hint="eastAsia" w:ascii="宋体" w:hAnsi="宋体"/>
                <w:color w:val="000000"/>
                <w:sz w:val="21"/>
                <w:szCs w:val="21"/>
              </w:rPr>
              <w:t xml:space="preserve">仓库管理人员在移动界面查看所有物资领用申请单，根据审批状态进行发放操作，高值物资、耗材</w:t>
            </w:r>
            <w:r>
              <w:rPr>
                <w:rFonts w:hint="eastAsia" w:ascii="宋体" w:hAnsi="宋体"/>
                <w:color w:val="000000"/>
                <w:sz w:val="21"/>
                <w:szCs w:val="21"/>
              </w:rPr>
              <w:t xml:space="preserve">支持扫码发放</w:t>
            </w:r>
            <w:r>
              <w:rPr>
                <w:rFonts w:hint="eastAsia" w:ascii="宋体" w:hAnsi="宋体"/>
                <w:color w:val="000000"/>
                <w:sz w:val="21"/>
                <w:szCs w:val="21"/>
              </w:rPr>
              <w:t xml:space="preserve">。支持按申请单批次打印发放凭证，扫描物资条码完成出库核销，实时更新库存台账。发放过程中可记录实际发放数量，并自动通知领用人领取，确保物资发放流程清晰可追溯。</w:t>
            </w:r>
            <w:r/>
          </w:p>
          <w:p>
            <w:pPr>
              <w:ind w:left="0" w:firstLine="420"/>
              <w:rPr>
                <w:rFonts w:hint="eastAsia" w:ascii="宋体" w:hAnsi="宋体"/>
                <w:color w:val="000000"/>
                <w:sz w:val="21"/>
                <w:szCs w:val="21"/>
              </w:rPr>
            </w:pPr>
            <w:r>
              <w:rPr>
                <w:rFonts w:hint="eastAsia" w:ascii="宋体" w:hAnsi="宋体"/>
                <w:color w:val="000000"/>
                <w:sz w:val="21"/>
                <w:szCs w:val="21"/>
              </w:rPr>
              <w:t xml:space="preserve">11.科室消耗</w:t>
            </w:r>
            <w:r/>
          </w:p>
          <w:p>
            <w:pPr>
              <w:ind w:left="0" w:firstLine="420"/>
              <w:rPr>
                <w:rFonts w:hint="eastAsia" w:ascii="宋体" w:hAnsi="宋体"/>
                <w:color w:val="000000"/>
                <w:sz w:val="21"/>
                <w:szCs w:val="21"/>
              </w:rPr>
            </w:pPr>
            <w:r>
              <w:rPr>
                <w:rFonts w:hint="eastAsia" w:ascii="宋体" w:hAnsi="宋体"/>
                <w:color w:val="000000"/>
                <w:sz w:val="21"/>
                <w:szCs w:val="21"/>
              </w:rPr>
              <w:t xml:space="preserve">二级库领用的物资发放至科室后，科室人员可在移动入口记录物资消耗情况（如消耗时间、用途、消耗数量），高值物资、耗材</w:t>
            </w:r>
            <w:r>
              <w:rPr>
                <w:rFonts w:hint="eastAsia" w:ascii="宋体" w:hAnsi="宋体"/>
                <w:color w:val="000000"/>
                <w:sz w:val="21"/>
                <w:szCs w:val="21"/>
              </w:rPr>
              <w:t xml:space="preserve">支持扫码消耗</w:t>
            </w:r>
            <w:r>
              <w:rPr>
                <w:rFonts w:hint="eastAsia" w:ascii="宋体" w:hAnsi="宋体"/>
                <w:color w:val="000000"/>
                <w:sz w:val="21"/>
                <w:szCs w:val="21"/>
              </w:rPr>
              <w:t xml:space="preserve">。系统根据消耗记录生成科室物资消耗报表，展示各类物资的使用趋势，帮助科室管理人员掌握资源使用情况，优化成本控制策略。</w:t>
            </w:r>
            <w:r/>
          </w:p>
          <w:p>
            <w:pPr>
              <w:ind w:left="0" w:firstLine="420"/>
              <w:rPr>
                <w:rFonts w:hint="eastAsia" w:ascii="宋体" w:hAnsi="宋体"/>
                <w:color w:val="000000"/>
                <w:sz w:val="21"/>
                <w:szCs w:val="21"/>
              </w:rPr>
            </w:pPr>
            <w:r>
              <w:rPr>
                <w:rFonts w:hint="eastAsia" w:ascii="宋体" w:hAnsi="宋体"/>
                <w:color w:val="000000"/>
                <w:sz w:val="21"/>
                <w:szCs w:val="21"/>
              </w:rPr>
              <w:t xml:space="preserve">12.科室接收</w:t>
            </w:r>
            <w:r/>
          </w:p>
          <w:p>
            <w:pPr>
              <w:ind w:left="0" w:firstLine="420"/>
              <w:rPr>
                <w:rFonts w:hint="eastAsia" w:ascii="宋体" w:hAnsi="宋体"/>
                <w:color w:val="000000"/>
                <w:sz w:val="21"/>
                <w:szCs w:val="21"/>
              </w:rPr>
            </w:pPr>
            <w:r>
              <w:rPr>
                <w:rFonts w:hint="eastAsia" w:ascii="宋体" w:hAnsi="宋体"/>
                <w:color w:val="000000"/>
                <w:sz w:val="21"/>
                <w:szCs w:val="21"/>
              </w:rPr>
              <w:t xml:space="preserve">仓库完成物资发放后，科室人员通过移动界面确认接收物资，核对实际收到的数量、规格与发放单是否一致。若存在差异，可在线反馈至仓库管理人员进行核查处理。接收确认操作完成后，系统正式将物资归属变更为科室，明确管理责任。</w:t>
            </w:r>
            <w:r/>
          </w:p>
          <w:p>
            <w:pPr>
              <w:ind w:left="0" w:firstLine="420"/>
              <w:rPr>
                <w:rFonts w:hint="eastAsia" w:ascii="宋体" w:hAnsi="宋体"/>
                <w:color w:val="000000"/>
                <w:sz w:val="21"/>
                <w:szCs w:val="21"/>
              </w:rPr>
            </w:pPr>
            <w:r>
              <w:rPr>
                <w:rFonts w:hint="eastAsia" w:ascii="宋体" w:hAnsi="宋体"/>
                <w:color w:val="000000"/>
                <w:sz w:val="21"/>
                <w:szCs w:val="21"/>
              </w:rPr>
              <w:t xml:space="preserve">13.盘点</w:t>
            </w:r>
            <w:r/>
          </w:p>
          <w:p>
            <w:pPr>
              <w:ind w:left="0" w:firstLine="420"/>
              <w:rPr>
                <w:rFonts w:hint="eastAsia" w:ascii="宋体" w:hAnsi="宋体"/>
                <w:color w:val="000000"/>
                <w:szCs w:val="21"/>
              </w:rPr>
            </w:pPr>
            <w:r>
              <w:rPr>
                <w:rFonts w:hint="eastAsia" w:ascii="宋体" w:hAnsi="宋体"/>
                <w:color w:val="000000"/>
                <w:sz w:val="21"/>
                <w:szCs w:val="21"/>
              </w:rPr>
              <w:t xml:space="preserve">仓库管理人员在移动界面发起盘点任务，选择盘点部门及仓库后，系统自动列出该仓库下所有物资信息。操作人员根据实际盘点结果，选择性</w:t>
            </w:r>
            <w:r>
              <w:rPr>
                <w:rFonts w:hint="eastAsia" w:ascii="宋体" w:hAnsi="宋体"/>
                <w:color w:val="000000"/>
                <w:sz w:val="21"/>
                <w:szCs w:val="21"/>
              </w:rPr>
              <w:t xml:space="preserve">勾选并</w:t>
            </w:r>
            <w:r>
              <w:rPr>
                <w:rFonts w:hint="eastAsia" w:ascii="宋体" w:hAnsi="宋体"/>
                <w:color w:val="000000"/>
                <w:sz w:val="21"/>
                <w:szCs w:val="21"/>
              </w:rPr>
              <w:t xml:space="preserve">修改物资数量，</w:t>
            </w:r>
            <w:r>
              <w:rPr>
                <w:rFonts w:hint="eastAsia" w:ascii="宋体" w:hAnsi="宋体"/>
                <w:color w:val="000000"/>
                <w:sz w:val="21"/>
                <w:szCs w:val="21"/>
              </w:rPr>
              <w:t xml:space="preserve">支持分</w:t>
            </w:r>
            <w:r>
              <w:rPr>
                <w:rFonts w:hint="eastAsia" w:ascii="宋体" w:hAnsi="宋体"/>
                <w:color w:val="000000"/>
                <w:sz w:val="21"/>
                <w:szCs w:val="21"/>
              </w:rPr>
              <w:t xml:space="preserve">批次多次盘点，在未点击 “确认盘点” 按钮前可随时调整盘点数据。确认后系统自动生成盘点差异报告，标注账实不符的物资项，便于后续核查与调账处理，确保库存数据真实准确。</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s="Times New Roman"/>
                <w:color w:val="000000"/>
                <w:sz w:val="21"/>
                <w:szCs w:val="21"/>
              </w:rPr>
            </w:pPr>
            <w:r>
              <w:rPr>
                <w:rFonts w:hint="eastAsia" w:ascii="宋体" w:hAnsi="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固定资产管理</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left="0" w:firstLine="420"/>
              <w:rPr>
                <w:rFonts w:hint="eastAsia" w:ascii="宋体" w:hAnsi="宋体"/>
                <w:color w:val="000000"/>
                <w:sz w:val="21"/>
                <w:szCs w:val="21"/>
              </w:rPr>
            </w:pPr>
            <w:r>
              <w:rPr>
                <w:rFonts w:hint="eastAsia" w:ascii="宋体" w:hAnsi="宋体"/>
                <w:color w:val="000000"/>
                <w:sz w:val="21"/>
                <w:szCs w:val="21"/>
              </w:rPr>
              <w:t xml:space="preserve">1.资产盘点</w:t>
            </w:r>
            <w:r>
              <w:rPr>
                <w:rFonts w:hint="eastAsia" w:ascii="宋体" w:hAnsi="宋体"/>
                <w:color w:val="000000"/>
                <w:sz w:val="21"/>
                <w:szCs w:val="21"/>
              </w:rPr>
              <w:br/>
              <w:t xml:space="preserve">操作人员在移动化界面新增资产盘点任务时，选择盘点部门后，系统展示该部门下所有固定资产信息（含资产编号、名称、型号、购置时间、使用状态）。操作人员可根据实际盘点情况，</w:t>
            </w:r>
            <w:r>
              <w:rPr>
                <w:rFonts w:hint="eastAsia" w:ascii="宋体" w:hAnsi="宋体"/>
                <w:color w:val="000000"/>
                <w:sz w:val="21"/>
                <w:szCs w:val="21"/>
              </w:rPr>
              <w:t xml:space="preserve">维护资产状态，记录存放位置变更及责任人信息。系统支持分批多次盘点，未确认盘点结果</w:t>
            </w:r>
            <w:r>
              <w:rPr>
                <w:rFonts w:hint="eastAsia" w:ascii="宋体" w:hAnsi="宋体"/>
                <w:color w:val="000000"/>
                <w:sz w:val="21"/>
                <w:szCs w:val="21"/>
              </w:rPr>
              <w:t xml:space="preserve">前允许</w:t>
            </w:r>
            <w:r>
              <w:rPr>
                <w:rFonts w:hint="eastAsia" w:ascii="宋体" w:hAnsi="宋体"/>
                <w:color w:val="000000"/>
                <w:sz w:val="21"/>
                <w:szCs w:val="21"/>
              </w:rPr>
              <w:t xml:space="preserve">反复修改数据，方便应对复杂的资产清查场景。盘点完成后生成盘点报告，汇总资产实存情况与账面数据差异，为资产清查审计提供依据。</w:t>
            </w:r>
            <w:r>
              <w:rPr>
                <w:rFonts w:hint="eastAsia" w:ascii="宋体" w:hAnsi="宋体"/>
                <w:color w:val="000000"/>
                <w:sz w:val="21"/>
                <w:szCs w:val="21"/>
              </w:rPr>
              <w:br/>
              <w:t xml:space="preserve">2.转科申请</w:t>
            </w:r>
            <w:r>
              <w:rPr>
                <w:rFonts w:hint="eastAsia" w:ascii="宋体" w:hAnsi="宋体"/>
                <w:color w:val="000000"/>
                <w:sz w:val="21"/>
                <w:szCs w:val="21"/>
              </w:rPr>
              <w:br/>
              <w:t xml:space="preserve">因业务需要需将固定资产转移至其他科室时，申请人通过移动入口发起转科申请，填写转移原因、目标科室、转移时间等信息。申请提交后自动触发审批流程，系统实时跟踪申请状态，确保资产转移过程规范有序。</w:t>
            </w:r>
            <w:r>
              <w:rPr>
                <w:rFonts w:hint="eastAsia" w:ascii="宋体" w:hAnsi="宋体"/>
                <w:color w:val="000000"/>
                <w:sz w:val="21"/>
                <w:szCs w:val="21"/>
              </w:rPr>
              <w:br/>
              <w:t xml:space="preserve">3.转科查询</w:t>
            </w:r>
            <w:r>
              <w:rPr>
                <w:rFonts w:hint="eastAsia" w:ascii="宋体" w:hAnsi="宋体"/>
                <w:color w:val="000000"/>
                <w:sz w:val="21"/>
                <w:szCs w:val="21"/>
              </w:rPr>
              <w:br/>
              <w:t xml:space="preserve">用户可在移动化界面查询固定资产的转科记录，输入资产编号或选择时间段后，系统展示该资产的历史转移记录。通过可视化的转移轨迹展示，方便管理人员追溯资产流向，掌握资产在不同科室间的调配情况。</w:t>
            </w:r>
            <w:r>
              <w:rPr>
                <w:rFonts w:hint="eastAsia" w:ascii="宋体" w:hAnsi="宋体"/>
                <w:color w:val="000000"/>
                <w:sz w:val="21"/>
                <w:szCs w:val="21"/>
              </w:rPr>
              <w:br/>
              <w:t xml:space="preserve">4.资产转科审批</w:t>
            </w:r>
            <w:r>
              <w:rPr>
                <w:rFonts w:hint="eastAsia" w:ascii="宋体" w:hAnsi="宋体"/>
                <w:color w:val="000000"/>
                <w:sz w:val="21"/>
                <w:szCs w:val="21"/>
              </w:rPr>
              <w:br/>
              <w:t xml:space="preserve">相关负责人在移动化界面收到资产转科申请后，审核转移的合理性。系统支持多级审批设置，可根据单位实际流程配置多个审批节点，审批意见实时同步至申请人。通过线上审批机制，确保资产转科过程和全流程可追溯，避免资产流失或管理混乱。</w:t>
            </w:r>
            <w:r>
              <w:rPr>
                <w:rFonts w:hint="eastAsia" w:ascii="宋体" w:hAnsi="宋体"/>
                <w:color w:val="000000"/>
                <w:sz w:val="21"/>
                <w:szCs w:val="21"/>
              </w:rPr>
              <w:br/>
              <w:t xml:space="preserve">5.资产交接审批</w:t>
            </w:r>
            <w:r>
              <w:rPr>
                <w:rFonts w:hint="eastAsia" w:ascii="宋体" w:hAnsi="宋体"/>
                <w:color w:val="000000"/>
                <w:sz w:val="21"/>
                <w:szCs w:val="21"/>
              </w:rPr>
              <w:br/>
              <w:t xml:space="preserve">固定资产在科室间转移或责任人变更时，申请人提交交接申请后，审批人员审核交接手续的完整性。系统记录交接时间、交接双方及审批人员信息，生成电子交接凭证，明确资产保管责任，保障固定资产管理的连续性。</w:t>
            </w:r>
            <w:r>
              <w:rPr>
                <w:rFonts w:hint="eastAsia" w:ascii="宋体" w:hAnsi="宋体"/>
                <w:color w:val="000000"/>
                <w:sz w:val="21"/>
                <w:szCs w:val="21"/>
              </w:rPr>
              <w:br/>
              <w:t xml:space="preserve">6.资产报废审批</w:t>
            </w:r>
            <w:r>
              <w:rPr>
                <w:rFonts w:hint="eastAsia" w:ascii="宋体" w:hAnsi="宋体"/>
                <w:color w:val="000000"/>
                <w:sz w:val="21"/>
                <w:szCs w:val="21"/>
              </w:rPr>
              <w:br/>
              <w:t xml:space="preserve">功能说明：针对需要报废的固定资产，申请人提交报废申请并</w:t>
            </w:r>
            <w:r>
              <w:rPr>
                <w:rFonts w:hint="eastAsia" w:ascii="宋体" w:hAnsi="宋体"/>
                <w:color w:val="000000"/>
                <w:sz w:val="21"/>
                <w:szCs w:val="21"/>
              </w:rPr>
              <w:t xml:space="preserve">附技术</w:t>
            </w:r>
            <w:r>
              <w:rPr>
                <w:rFonts w:hint="eastAsia" w:ascii="宋体" w:hAnsi="宋体"/>
                <w:color w:val="000000"/>
                <w:sz w:val="21"/>
                <w:szCs w:val="21"/>
              </w:rPr>
              <w:t xml:space="preserve">鉴定报告后，审批人员审核报废依据的充分性。支持多级审批，系统自动校验资产是否已提足折旧、是否存在抵押等情况，确保报废决策符合财务制度与资产管理规定。</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s="Times New Roman"/>
                <w:color w:val="000000"/>
                <w:sz w:val="21"/>
                <w:szCs w:val="21"/>
              </w:rPr>
            </w:pPr>
            <w:r>
              <w:rPr>
                <w:rFonts w:hint="eastAsia" w:ascii="宋体" w:hAnsi="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机房管理</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left="0" w:firstLine="420"/>
              <w:rPr>
                <w:rFonts w:hint="eastAsia" w:ascii="宋体" w:hAnsi="宋体"/>
                <w:color w:val="000000"/>
                <w:sz w:val="21"/>
                <w:szCs w:val="21"/>
              </w:rPr>
            </w:pPr>
            <w:r>
              <w:rPr>
                <w:rFonts w:hint="eastAsia" w:ascii="宋体" w:hAnsi="宋体"/>
                <w:color w:val="000000"/>
                <w:sz w:val="21"/>
                <w:szCs w:val="21"/>
              </w:rPr>
              <w:t xml:space="preserve">集成机房管理功能，支持机房设备数据与状态查看，数据与PC端同步，提升机房运维便捷性与效率。</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s="Times New Roman"/>
                <w:color w:val="000000"/>
                <w:sz w:val="21"/>
                <w:szCs w:val="21"/>
              </w:rPr>
            </w:pPr>
            <w:r>
              <w:rPr>
                <w:rFonts w:hint="eastAsia" w:ascii="宋体" w:hAnsi="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信息化需求管理</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left="0" w:firstLine="420"/>
              <w:rPr>
                <w:rFonts w:hint="eastAsia" w:ascii="宋体" w:hAnsi="宋体"/>
                <w:color w:val="000000"/>
                <w:sz w:val="21"/>
                <w:szCs w:val="21"/>
              </w:rPr>
            </w:pPr>
            <w:r>
              <w:rPr>
                <w:rFonts w:hint="eastAsia" w:ascii="宋体" w:hAnsi="宋体"/>
                <w:color w:val="000000"/>
                <w:sz w:val="21"/>
                <w:szCs w:val="21"/>
              </w:rPr>
              <w:t xml:space="preserve">提供信息化系统建设需求入口，支持用户进行申请单填写，表单内容可支持表格/图片/文件/文字描述等类型。填写完成后可预览申请内容，确认无误后提交至流程审批环节。</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s="Times New Roman"/>
                <w:color w:val="000000"/>
                <w:sz w:val="21"/>
                <w:szCs w:val="21"/>
              </w:rPr>
            </w:pPr>
            <w:r>
              <w:rPr>
                <w:rFonts w:hint="eastAsia" w:ascii="宋体" w:hAnsi="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表单申请</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left="0" w:firstLine="420"/>
              <w:rPr>
                <w:rFonts w:hint="eastAsia" w:ascii="宋体" w:hAnsi="宋体"/>
                <w:color w:val="000000"/>
                <w:sz w:val="21"/>
                <w:szCs w:val="21"/>
              </w:rPr>
            </w:pPr>
            <w:r>
              <w:rPr>
                <w:rFonts w:hint="eastAsia" w:ascii="宋体" w:hAnsi="宋体"/>
                <w:color w:val="000000"/>
                <w:sz w:val="21"/>
                <w:szCs w:val="21"/>
              </w:rPr>
              <w:t xml:space="preserve">提供标准化表单申请流程入口，支持用户进行表单填写，表单内容根据申请类型动态调整字段，支持附件上传。填写完成后可预览申请内容，确认无误后提交至流程审批环节。</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移动集成模块</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移动集成</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left="0"/>
              <w:rPr>
                <w:rFonts w:hint="eastAsia" w:ascii="宋体" w:hAnsi="宋体"/>
                <w:color w:val="000000"/>
                <w:sz w:val="21"/>
                <w:szCs w:val="21"/>
              </w:rPr>
            </w:pPr>
            <w:r>
              <w:rPr>
                <w:rFonts w:ascii="宋体" w:hAnsi="宋体"/>
                <w:color w:val="000000"/>
                <w:sz w:val="21"/>
                <w:szCs w:val="21"/>
              </w:rPr>
              <w:t xml:space="preserve">（一）用户体系</w:t>
            </w:r>
            <w:r>
              <w:rPr>
                <w:rFonts w:ascii="宋体" w:hAnsi="宋体"/>
                <w:color w:val="000000"/>
                <w:sz w:val="21"/>
                <w:szCs w:val="21"/>
              </w:rPr>
              <w:br/>
              <w:t xml:space="preserve">(1)统一身份认证</w:t>
            </w:r>
            <w:r>
              <w:rPr>
                <w:rFonts w:ascii="宋体" w:hAnsi="宋体"/>
                <w:color w:val="000000"/>
                <w:sz w:val="21"/>
                <w:szCs w:val="21"/>
              </w:rPr>
              <w:br/>
            </w:r>
            <w:r>
              <w:rPr>
                <w:rFonts w:ascii="宋体" w:hAnsi="宋体"/>
                <w:color w:val="000000"/>
                <w:sz w:val="21"/>
                <w:szCs w:val="21"/>
              </w:rPr>
              <w:t xml:space="preserve">需支持</w:t>
            </w:r>
            <w:r>
              <w:rPr>
                <w:rFonts w:ascii="宋体" w:hAnsi="宋体"/>
                <w:color w:val="000000"/>
                <w:sz w:val="21"/>
                <w:szCs w:val="21"/>
              </w:rPr>
              <w:t xml:space="preserve">手机号、工号快捷登录，一次登录即可访问所有集成应</w:t>
            </w:r>
            <w:r>
              <w:rPr>
                <w:rFonts w:ascii="宋体" w:hAnsi="宋体"/>
                <w:color w:val="000000"/>
                <w:sz w:val="21"/>
                <w:szCs w:val="21"/>
              </w:rPr>
              <w:t xml:space="preserve">用，无需重复验证，</w:t>
            </w:r>
            <w:r>
              <w:rPr>
                <w:rFonts w:ascii="宋体" w:hAnsi="宋体"/>
                <w:color w:val="000000"/>
                <w:sz w:val="21"/>
                <w:szCs w:val="21"/>
              </w:rPr>
              <w:t xml:space="preserve">需支持</w:t>
            </w:r>
            <w:r>
              <w:rPr>
                <w:rFonts w:ascii="宋体" w:hAnsi="宋体"/>
                <w:color w:val="000000"/>
                <w:sz w:val="21"/>
                <w:szCs w:val="21"/>
              </w:rPr>
              <w:t xml:space="preserve">账号关联与解绑功能；提供密码修改、找回功能，密码找回支持手机验证码、邮箱验证两种方式，确保用户在忘记密码时能快速重置密码，重新登录应用。</w:t>
            </w:r>
            <w:r>
              <w:rPr>
                <w:rFonts w:ascii="宋体" w:hAnsi="宋体"/>
                <w:color w:val="000000"/>
                <w:sz w:val="21"/>
                <w:szCs w:val="21"/>
              </w:rPr>
              <w:br/>
              <w:t xml:space="preserve">(2)个人中心</w:t>
            </w:r>
            <w:r>
              <w:rPr>
                <w:rFonts w:ascii="宋体" w:hAnsi="宋体"/>
                <w:color w:val="000000"/>
                <w:sz w:val="21"/>
                <w:szCs w:val="21"/>
              </w:rPr>
              <w:br/>
              <w:t xml:space="preserve">用户可编辑头像、昵称、性别、职位等个人信息，展现个人特色；集中展示用户在各集成应用中的基础信息（如账号、工号）、账号状态，</w:t>
            </w:r>
            <w:r>
              <w:rPr>
                <w:rFonts w:ascii="宋体" w:hAnsi="宋体"/>
                <w:color w:val="000000"/>
                <w:sz w:val="21"/>
                <w:szCs w:val="21"/>
              </w:rPr>
              <w:t xml:space="preserve">需支持</w:t>
            </w:r>
            <w:r>
              <w:rPr>
                <w:rFonts w:ascii="宋体" w:hAnsi="宋体"/>
                <w:color w:val="000000"/>
                <w:sz w:val="21"/>
                <w:szCs w:val="21"/>
              </w:rPr>
              <w:t xml:space="preserve">个人信息统一编辑与隐私设置。</w:t>
            </w:r>
            <w:r>
              <w:rPr>
                <w:rFonts w:ascii="宋体" w:hAnsi="宋体"/>
                <w:color w:val="000000"/>
                <w:sz w:val="21"/>
                <w:szCs w:val="21"/>
              </w:rPr>
              <w:br/>
              <w:t xml:space="preserve">(3)安全中心</w:t>
            </w:r>
            <w:r>
              <w:rPr>
                <w:rFonts w:ascii="宋体" w:hAnsi="宋体"/>
                <w:color w:val="000000"/>
                <w:sz w:val="21"/>
                <w:szCs w:val="21"/>
              </w:rPr>
              <w:br/>
              <w:t xml:space="preserve">需提供账号登录日志、异常登录提醒、密码修改、二次验证（如短信验证码、邮箱验证）等功能，保障</w:t>
            </w:r>
            <w:r>
              <w:rPr>
                <w:rFonts w:ascii="宋体" w:hAnsi="宋体"/>
                <w:color w:val="000000"/>
                <w:sz w:val="21"/>
                <w:szCs w:val="21"/>
              </w:rPr>
              <w:t xml:space="preserve">跨应用</w:t>
            </w:r>
            <w:r>
              <w:rPr>
                <w:rFonts w:ascii="宋体" w:hAnsi="宋体"/>
                <w:color w:val="000000"/>
                <w:sz w:val="21"/>
                <w:szCs w:val="21"/>
              </w:rPr>
              <w:t xml:space="preserve">使用的账号安全。</w:t>
            </w:r>
            <w:r>
              <w:rPr>
                <w:rFonts w:ascii="宋体" w:hAnsi="宋体"/>
                <w:color w:val="000000"/>
                <w:sz w:val="21"/>
                <w:szCs w:val="21"/>
              </w:rPr>
              <w:br/>
              <w:t xml:space="preserve">（二）内容展示</w:t>
            </w:r>
            <w:r>
              <w:rPr>
                <w:rFonts w:ascii="宋体" w:hAnsi="宋体"/>
                <w:color w:val="000000"/>
                <w:sz w:val="21"/>
                <w:szCs w:val="21"/>
              </w:rPr>
              <w:br/>
              <w:t xml:space="preserve">扫一扫：</w:t>
            </w:r>
            <w:r>
              <w:rPr>
                <w:rFonts w:ascii="宋体" w:hAnsi="宋体"/>
                <w:color w:val="000000"/>
                <w:sz w:val="21"/>
                <w:szCs w:val="21"/>
              </w:rPr>
              <w:t xml:space="preserve">需支持</w:t>
            </w:r>
            <w:r>
              <w:rPr>
                <w:rFonts w:ascii="宋体" w:hAnsi="宋体"/>
                <w:color w:val="000000"/>
                <w:sz w:val="21"/>
                <w:szCs w:val="21"/>
              </w:rPr>
              <w:t xml:space="preserve">各类业务需要的扫码；</w:t>
            </w:r>
            <w:r>
              <w:rPr>
                <w:rFonts w:ascii="宋体" w:hAnsi="宋体"/>
                <w:color w:val="000000"/>
                <w:sz w:val="21"/>
                <w:szCs w:val="21"/>
              </w:rPr>
              <w:t xml:space="preserve">需支持</w:t>
            </w:r>
            <w:r>
              <w:rPr>
                <w:rFonts w:ascii="宋体" w:hAnsi="宋体"/>
                <w:color w:val="000000"/>
                <w:sz w:val="21"/>
                <w:szCs w:val="21"/>
              </w:rPr>
              <w:t xml:space="preserve">集成移动</w:t>
            </w:r>
            <w:r>
              <w:rPr>
                <w:rFonts w:ascii="宋体" w:hAnsi="宋体"/>
                <w:color w:val="000000"/>
                <w:sz w:val="21"/>
                <w:szCs w:val="21"/>
              </w:rPr>
              <w:t xml:space="preserve">版用户</w:t>
            </w:r>
            <w:r>
              <w:rPr>
                <w:rFonts w:ascii="宋体" w:hAnsi="宋体"/>
                <w:color w:val="000000"/>
                <w:sz w:val="21"/>
                <w:szCs w:val="21"/>
              </w:rPr>
              <w:t xml:space="preserve">与单点登录系统用户打通，</w:t>
            </w:r>
            <w:r>
              <w:rPr>
                <w:rFonts w:ascii="宋体" w:hAnsi="宋体"/>
                <w:color w:val="000000"/>
                <w:sz w:val="21"/>
                <w:szCs w:val="21"/>
              </w:rPr>
              <w:t xml:space="preserve">扫码登录</w:t>
            </w:r>
            <w:r>
              <w:rPr>
                <w:rFonts w:ascii="宋体" w:hAnsi="宋体"/>
                <w:color w:val="000000"/>
                <w:sz w:val="21"/>
                <w:szCs w:val="21"/>
              </w:rPr>
              <w:t xml:space="preserve">单点登录系统。</w:t>
            </w:r>
            <w:r>
              <w:rPr>
                <w:rFonts w:ascii="宋体" w:hAnsi="宋体"/>
                <w:color w:val="000000"/>
                <w:sz w:val="21"/>
                <w:szCs w:val="21"/>
              </w:rPr>
              <w:br/>
              <w:t xml:space="preserve">全局搜索：</w:t>
            </w:r>
            <w:r>
              <w:rPr>
                <w:rFonts w:ascii="宋体" w:hAnsi="宋体"/>
                <w:color w:val="000000"/>
                <w:sz w:val="21"/>
                <w:szCs w:val="21"/>
              </w:rPr>
              <w:t xml:space="preserve">需支持</w:t>
            </w:r>
            <w:r>
              <w:rPr>
                <w:rFonts w:ascii="宋体" w:hAnsi="宋体"/>
                <w:color w:val="000000"/>
                <w:sz w:val="21"/>
                <w:szCs w:val="21"/>
              </w:rPr>
              <w:t xml:space="preserve">跨集成应用搜索内容，可搜索应用名称、内部功能模块、内容关键词等，搜索结果</w:t>
            </w:r>
            <w:r>
              <w:rPr>
                <w:rFonts w:ascii="宋体" w:hAnsi="宋体"/>
                <w:color w:val="000000"/>
                <w:sz w:val="21"/>
                <w:szCs w:val="21"/>
              </w:rPr>
              <w:t xml:space="preserve">按应用</w:t>
            </w:r>
            <w:r>
              <w:rPr>
                <w:rFonts w:ascii="宋体" w:hAnsi="宋体"/>
                <w:color w:val="000000"/>
                <w:sz w:val="21"/>
                <w:szCs w:val="21"/>
              </w:rPr>
              <w:t xml:space="preserve">来源分类展示，并提供快速跳转入口。</w:t>
            </w:r>
            <w:r>
              <w:rPr>
                <w:rFonts w:ascii="宋体" w:hAnsi="宋体"/>
                <w:color w:val="000000"/>
                <w:sz w:val="21"/>
                <w:szCs w:val="21"/>
              </w:rPr>
              <w:br/>
              <w:t xml:space="preserve">统一应用入口：需提供统一的应用入口界面，</w:t>
            </w:r>
            <w:r>
              <w:rPr>
                <w:rFonts w:ascii="宋体" w:hAnsi="宋体"/>
                <w:color w:val="000000"/>
                <w:sz w:val="21"/>
                <w:szCs w:val="21"/>
              </w:rPr>
              <w:t xml:space="preserve">需支持</w:t>
            </w:r>
            <w:r>
              <w:rPr>
                <w:rFonts w:ascii="宋体" w:hAnsi="宋体"/>
                <w:color w:val="000000"/>
                <w:sz w:val="21"/>
                <w:szCs w:val="21"/>
              </w:rPr>
              <w:t xml:space="preserve">以图标、快捷标签等形式展示集成的各类应用，用户可自定义排序或隐藏不常用应用；</w:t>
            </w:r>
            <w:r>
              <w:rPr>
                <w:rFonts w:ascii="宋体" w:hAnsi="宋体"/>
                <w:color w:val="000000"/>
                <w:sz w:val="21"/>
                <w:szCs w:val="21"/>
              </w:rPr>
              <w:t xml:space="preserve">需支持</w:t>
            </w:r>
            <w:r>
              <w:rPr>
                <w:rFonts w:ascii="宋体" w:hAnsi="宋体"/>
                <w:color w:val="000000"/>
                <w:sz w:val="21"/>
                <w:szCs w:val="21"/>
              </w:rPr>
              <w:t xml:space="preserve">各个移动版的入驻，以卡片形式展示各应用入口，第一期“集成传染病聚集性疫情实时监测与处理系统入口、实验室管理系统移动入口、智慧后勤管理系统移动入口”</w:t>
            </w:r>
            <w:r>
              <w:rPr>
                <w:rFonts w:ascii="宋体" w:hAnsi="宋体"/>
                <w:color w:val="000000"/>
                <w:sz w:val="21"/>
                <w:szCs w:val="21"/>
              </w:rPr>
              <w:t xml:space="preserve">需支持</w:t>
            </w:r>
            <w:r>
              <w:rPr>
                <w:rFonts w:ascii="宋体" w:hAnsi="宋体"/>
                <w:color w:val="000000"/>
                <w:sz w:val="21"/>
                <w:szCs w:val="21"/>
              </w:rPr>
              <w:t xml:space="preserve">后续集成其他的移动系统。</w:t>
            </w:r>
            <w:r>
              <w:rPr>
                <w:rFonts w:ascii="宋体" w:hAnsi="宋体"/>
                <w:color w:val="000000"/>
                <w:sz w:val="21"/>
                <w:szCs w:val="21"/>
              </w:rPr>
              <w:br/>
            </w:r>
            <w:r>
              <w:rPr>
                <w:rFonts w:hint="eastAsia" w:ascii="宋体" w:hAnsi="宋体"/>
                <w:color w:val="000000"/>
                <w:sz w:val="21"/>
                <w:szCs w:val="21"/>
              </w:rPr>
              <w:t xml:space="preserve">权限</w:t>
            </w:r>
            <w:r>
              <w:rPr>
                <w:rFonts w:ascii="宋体" w:hAnsi="宋体"/>
                <w:color w:val="000000"/>
                <w:sz w:val="21"/>
                <w:szCs w:val="21"/>
              </w:rPr>
              <w:t xml:space="preserve">集中管理：需集中管理各集成应用的权限申请（如位置、相机、存储等），用户可统一设置权限开关，</w:t>
            </w:r>
            <w:r>
              <w:rPr>
                <w:rFonts w:ascii="宋体" w:hAnsi="宋体"/>
                <w:color w:val="000000"/>
                <w:sz w:val="21"/>
                <w:szCs w:val="21"/>
              </w:rPr>
              <w:t xml:space="preserve">需支持按应用</w:t>
            </w:r>
            <w:r>
              <w:rPr>
                <w:rFonts w:ascii="宋体" w:hAnsi="宋体"/>
                <w:color w:val="000000"/>
                <w:sz w:val="21"/>
                <w:szCs w:val="21"/>
              </w:rPr>
              <w:t xml:space="preserve">分类查看权限使用记录。</w:t>
            </w:r>
            <w:r>
              <w:rPr>
                <w:rFonts w:ascii="宋体" w:hAnsi="宋体"/>
                <w:color w:val="000000"/>
                <w:sz w:val="21"/>
                <w:szCs w:val="21"/>
              </w:rPr>
              <w:br/>
              <w:t xml:space="preserve">应用更新与维护：需自动检测集成应用的版本更新，</w:t>
            </w:r>
            <w:r>
              <w:rPr>
                <w:rFonts w:ascii="宋体" w:hAnsi="宋体"/>
                <w:color w:val="000000"/>
                <w:sz w:val="21"/>
                <w:szCs w:val="21"/>
              </w:rPr>
              <w:t xml:space="preserve">需支持</w:t>
            </w:r>
            <w:r>
              <w:rPr>
                <w:rFonts w:ascii="宋体" w:hAnsi="宋体"/>
                <w:color w:val="000000"/>
                <w:sz w:val="21"/>
                <w:szCs w:val="21"/>
              </w:rPr>
              <w:t xml:space="preserve">批量更新或单独更新，提供应用异常时的修复入口和缓存清理功能。</w:t>
            </w:r>
            <w:r>
              <w:rPr>
                <w:rFonts w:ascii="宋体" w:hAnsi="宋体"/>
                <w:color w:val="000000"/>
                <w:sz w:val="21"/>
                <w:szCs w:val="21"/>
              </w:rPr>
              <w:br/>
              <w:t xml:space="preserve">界面个性化：</w:t>
            </w:r>
            <w:r>
              <w:rPr>
                <w:rFonts w:ascii="宋体" w:hAnsi="宋体"/>
                <w:color w:val="000000"/>
                <w:sz w:val="21"/>
                <w:szCs w:val="21"/>
              </w:rPr>
              <w:t xml:space="preserve">需支持</w:t>
            </w:r>
            <w:r>
              <w:rPr>
                <w:rFonts w:ascii="宋体" w:hAnsi="宋体"/>
                <w:color w:val="000000"/>
                <w:sz w:val="21"/>
                <w:szCs w:val="21"/>
              </w:rPr>
              <w:t xml:space="preserve">自定义主界面主题（如深色/浅色模式、背景图片），个性化方案并切换。</w:t>
            </w:r>
            <w:r>
              <w:rPr>
                <w:rFonts w:ascii="宋体" w:hAnsi="宋体"/>
                <w:color w:val="000000"/>
                <w:sz w:val="21"/>
                <w:szCs w:val="21"/>
              </w:rPr>
              <w:br/>
              <w:t xml:space="preserve">消息聚合：统一接收各集成应用的消息通知（如提醒、通知、互动信息等），</w:t>
            </w:r>
            <w:r>
              <w:rPr>
                <w:rFonts w:ascii="宋体" w:hAnsi="宋体"/>
                <w:color w:val="000000"/>
                <w:sz w:val="21"/>
                <w:szCs w:val="21"/>
              </w:rPr>
              <w:t xml:space="preserve">需支持按应用</w:t>
            </w:r>
            <w:r>
              <w:rPr>
                <w:rFonts w:ascii="宋体" w:hAnsi="宋体"/>
                <w:color w:val="000000"/>
                <w:sz w:val="21"/>
                <w:szCs w:val="21"/>
              </w:rPr>
              <w:t xml:space="preserve">分类查看、标记已读/未读、设置消息免打扰。</w:t>
            </w:r>
            <w:r>
              <w:rPr>
                <w:rFonts w:ascii="宋体" w:hAnsi="宋体"/>
                <w:color w:val="000000"/>
                <w:sz w:val="21"/>
                <w:szCs w:val="21"/>
              </w:rPr>
              <w:br/>
            </w:r>
            <w:r>
              <w:rPr>
                <w:rFonts w:hint="eastAsia" w:ascii="宋体" w:hAnsi="宋体"/>
                <w:color w:val="000000"/>
                <w:sz w:val="21"/>
                <w:szCs w:val="21"/>
              </w:rPr>
              <w:t xml:space="preserve">（三）</w:t>
            </w:r>
            <w:r>
              <w:rPr>
                <w:rFonts w:ascii="宋体" w:hAnsi="宋体"/>
                <w:color w:val="000000"/>
                <w:sz w:val="21"/>
                <w:szCs w:val="21"/>
              </w:rPr>
              <w:t xml:space="preserve">管理端</w:t>
            </w:r>
            <w:r>
              <w:rPr>
                <w:rFonts w:ascii="宋体" w:hAnsi="宋体"/>
                <w:color w:val="000000"/>
                <w:sz w:val="21"/>
                <w:szCs w:val="21"/>
              </w:rPr>
              <w:br/>
              <w:t xml:space="preserve">用户管理：集中管理集成移动版的用户管理，</w:t>
            </w:r>
            <w:r>
              <w:rPr>
                <w:rFonts w:ascii="宋体" w:hAnsi="宋体"/>
                <w:color w:val="000000"/>
                <w:sz w:val="21"/>
                <w:szCs w:val="21"/>
              </w:rPr>
              <w:t xml:space="preserve">需支持</w:t>
            </w:r>
            <w:r>
              <w:rPr>
                <w:rFonts w:ascii="宋体" w:hAnsi="宋体"/>
                <w:color w:val="000000"/>
                <w:sz w:val="21"/>
                <w:szCs w:val="21"/>
              </w:rPr>
              <w:t xml:space="preserve">添加修改，配置状态。</w:t>
            </w:r>
            <w:r>
              <w:rPr>
                <w:rFonts w:ascii="宋体" w:hAnsi="宋体"/>
                <w:color w:val="000000"/>
                <w:sz w:val="21"/>
                <w:szCs w:val="21"/>
              </w:rPr>
              <w:br/>
              <w:t xml:space="preserve">权限管理：</w:t>
            </w:r>
            <w:r>
              <w:rPr>
                <w:rFonts w:ascii="宋体" w:hAnsi="宋体"/>
                <w:color w:val="000000"/>
                <w:sz w:val="21"/>
                <w:szCs w:val="21"/>
              </w:rPr>
              <w:t xml:space="preserve">需支持</w:t>
            </w:r>
            <w:r>
              <w:rPr>
                <w:rFonts w:ascii="宋体" w:hAnsi="宋体"/>
                <w:color w:val="000000"/>
                <w:sz w:val="21"/>
                <w:szCs w:val="21"/>
              </w:rPr>
              <w:t xml:space="preserve">为不同人员配置不同的应用查看权限。</w:t>
            </w:r>
            <w:r>
              <w:rPr>
                <w:rFonts w:ascii="宋体" w:hAnsi="宋体"/>
                <w:color w:val="000000"/>
                <w:sz w:val="21"/>
                <w:szCs w:val="21"/>
              </w:rPr>
              <w:br/>
              <w:t xml:space="preserve">集成应用管理：</w:t>
            </w:r>
            <w:r>
              <w:rPr>
                <w:rFonts w:ascii="宋体" w:hAnsi="宋体"/>
                <w:color w:val="000000"/>
                <w:sz w:val="21"/>
                <w:szCs w:val="21"/>
              </w:rPr>
              <w:t xml:space="preserve">需支持</w:t>
            </w:r>
            <w:r>
              <w:rPr>
                <w:rFonts w:ascii="宋体" w:hAnsi="宋体"/>
                <w:color w:val="000000"/>
                <w:sz w:val="21"/>
                <w:szCs w:val="21"/>
              </w:rPr>
              <w:t xml:space="preserve">对各集成应用的展示图、排列顺序、名称、展示方式等配置。</w:t>
            </w:r>
            <w:r>
              <w:rPr>
                <w:rFonts w:ascii="宋体" w:hAnsi="宋体"/>
                <w:color w:val="000000"/>
                <w:sz w:val="21"/>
                <w:szCs w:val="21"/>
              </w:rPr>
              <w:br/>
              <w:t xml:space="preserve">技术支持：</w:t>
            </w:r>
            <w:r>
              <w:rPr>
                <w:rFonts w:ascii="宋体" w:hAnsi="宋体"/>
                <w:color w:val="000000"/>
                <w:sz w:val="21"/>
                <w:szCs w:val="21"/>
              </w:rPr>
              <w:t xml:space="preserve">需支持扫</w:t>
            </w:r>
            <w:r>
              <w:rPr>
                <w:rFonts w:ascii="宋体" w:hAnsi="宋体"/>
                <w:color w:val="000000"/>
                <w:sz w:val="21"/>
                <w:szCs w:val="21"/>
              </w:rPr>
              <w:t xml:space="preserve">码、语音通讯、视频通讯、文件处理。</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外部平台对接</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left"/>
              <w:rPr>
                <w:rFonts w:hint="eastAsia" w:ascii="宋体" w:hAnsi="宋体"/>
                <w:color w:val="000000"/>
                <w:sz w:val="21"/>
                <w:szCs w:val="21"/>
              </w:rPr>
            </w:pPr>
            <w:r>
              <w:rPr>
                <w:rFonts w:hint="eastAsia" w:ascii="宋体" w:hAnsi="宋体"/>
                <w:color w:val="000000"/>
                <w:sz w:val="21"/>
                <w:szCs w:val="21"/>
              </w:rPr>
              <w:t xml:space="preserve">与苏政服平台对接</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left="0"/>
              <w:rPr>
                <w:rFonts w:hint="eastAsia" w:ascii="宋体" w:hAnsi="宋体"/>
                <w:b/>
                <w:bCs/>
                <w:color w:val="ff0000"/>
                <w:sz w:val="21"/>
                <w:szCs w:val="21"/>
              </w:rPr>
            </w:pPr>
            <w:r>
              <w:rPr>
                <w:rFonts w:hint="eastAsia" w:ascii="宋体" w:hAnsi="宋体"/>
                <w:sz w:val="21"/>
                <w:szCs w:val="21"/>
              </w:rPr>
              <w:t xml:space="preserve">移动部分与苏政服整合，在苏州市政府统一规划下运行</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left"/>
              <w:rPr>
                <w:rFonts w:hint="eastAsia" w:ascii="宋体" w:hAnsi="宋体"/>
                <w:color w:val="000000"/>
                <w:sz w:val="21"/>
                <w:szCs w:val="21"/>
              </w:rPr>
            </w:pPr>
            <w:r>
              <w:rPr>
                <w:rFonts w:hint="eastAsia" w:ascii="宋体" w:hAnsi="宋体"/>
                <w:color w:val="000000"/>
                <w:sz w:val="21"/>
                <w:szCs w:val="21"/>
              </w:rPr>
              <w:t xml:space="preserve">与苏州市卫</w:t>
            </w:r>
            <w:r>
              <w:rPr>
                <w:rFonts w:hint="eastAsia" w:ascii="宋体" w:hAnsi="宋体"/>
                <w:color w:val="000000"/>
                <w:sz w:val="21"/>
                <w:szCs w:val="21"/>
              </w:rPr>
              <w:t xml:space="preserve">健委平台</w:t>
            </w:r>
            <w:r>
              <w:rPr>
                <w:rFonts w:hint="eastAsia" w:ascii="宋体" w:hAnsi="宋体"/>
                <w:color w:val="000000"/>
                <w:sz w:val="21"/>
                <w:szCs w:val="21"/>
              </w:rPr>
              <w:t xml:space="preserve">对接</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系统建设完成后将按照苏州市</w:t>
            </w:r>
            <w:r>
              <w:rPr>
                <w:rFonts w:hint="eastAsia" w:ascii="宋体" w:hAnsi="宋体"/>
                <w:color w:val="000000"/>
                <w:sz w:val="21"/>
                <w:szCs w:val="21"/>
              </w:rPr>
              <w:t xml:space="preserve">卫健委要求</w:t>
            </w:r>
            <w:r>
              <w:rPr>
                <w:rFonts w:hint="eastAsia" w:ascii="宋体" w:hAnsi="宋体"/>
                <w:color w:val="000000"/>
                <w:sz w:val="21"/>
                <w:szCs w:val="21"/>
              </w:rPr>
              <w:t xml:space="preserve">将相关数据上传至苏州市卫生信息中心</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数字疾控移动</w:t>
            </w:r>
            <w:r>
              <w:rPr>
                <w:rFonts w:hint="eastAsia" w:ascii="宋体" w:hAnsi="宋体"/>
                <w:color w:val="000000"/>
                <w:sz w:val="21"/>
                <w:szCs w:val="21"/>
              </w:rPr>
              <w:t xml:space="preserve">版与集成平台对接</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实验室信息管理与资产管理系统协同</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①移动入口需直接查看试剂在智慧后勤系统的库存情况；</w:t>
            </w:r>
            <w:r>
              <w:rPr>
                <w:rFonts w:hint="eastAsia" w:ascii="宋体" w:hAnsi="宋体"/>
                <w:color w:val="000000"/>
                <w:sz w:val="21"/>
                <w:szCs w:val="21"/>
              </w:rPr>
              <w:br/>
              <w:t xml:space="preserve">②移动入口需直接申请智慧后勤系统的试剂耗材；</w:t>
            </w:r>
            <w:r>
              <w:rPr>
                <w:rFonts w:hint="eastAsia" w:ascii="宋体" w:hAnsi="宋体"/>
                <w:color w:val="000000"/>
                <w:sz w:val="21"/>
                <w:szCs w:val="21"/>
              </w:rPr>
              <w:br/>
              <w:t xml:space="preserve">③移动入口需同步智慧后勤的申请审批进度；</w:t>
            </w:r>
            <w:r>
              <w:rPr>
                <w:rFonts w:hint="eastAsia" w:ascii="宋体" w:hAnsi="宋体"/>
                <w:color w:val="000000"/>
                <w:sz w:val="21"/>
                <w:szCs w:val="21"/>
              </w:rPr>
              <w:br/>
              <w:t xml:space="preserve">④移动入口需同步智慧后勤对库存有效期预警。</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实验室模块与</w:t>
            </w:r>
            <w:r>
              <w:rPr>
                <w:rFonts w:hint="eastAsia" w:ascii="宋体" w:hAnsi="宋体"/>
                <w:color w:val="000000"/>
                <w:sz w:val="21"/>
                <w:szCs w:val="21"/>
              </w:rPr>
              <w:t xml:space="preserve">数字疾控移动</w:t>
            </w:r>
            <w:r>
              <w:rPr>
                <w:rFonts w:hint="eastAsia" w:ascii="宋体" w:hAnsi="宋体"/>
                <w:color w:val="000000"/>
                <w:sz w:val="21"/>
                <w:szCs w:val="21"/>
              </w:rPr>
              <w:t xml:space="preserve">版消息同步</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left="0"/>
              <w:rPr>
                <w:rFonts w:hint="eastAsia" w:ascii="宋体" w:hAnsi="宋体"/>
                <w:color w:val="000000"/>
                <w:sz w:val="21"/>
                <w:szCs w:val="21"/>
              </w:rPr>
            </w:pPr>
            <w:r>
              <w:rPr>
                <w:rFonts w:hint="eastAsia" w:ascii="宋体" w:hAnsi="宋体"/>
                <w:color w:val="000000"/>
                <w:sz w:val="21"/>
                <w:szCs w:val="21"/>
              </w:rPr>
              <w:t xml:space="preserve">实验室移动入口需通过平台数据总线实现电子档案在线查阅和检定校准计划审批状态实时同步。系统</w:t>
            </w:r>
            <w:r>
              <w:rPr>
                <w:rFonts w:hint="eastAsia" w:ascii="宋体" w:hAnsi="宋体"/>
                <w:color w:val="000000"/>
                <w:sz w:val="21"/>
                <w:szCs w:val="21"/>
              </w:rPr>
              <w:t xml:space="preserve">需支持</w:t>
            </w:r>
            <w:r>
              <w:rPr>
                <w:rFonts w:hint="eastAsia" w:ascii="宋体" w:hAnsi="宋体"/>
                <w:color w:val="000000"/>
                <w:sz w:val="21"/>
                <w:szCs w:val="21"/>
              </w:rPr>
              <w:t xml:space="preserve">授权人员随时检索设备技术档案、历史检定记录等电子文档，并确保校准计划的审批进度和结果消息即时推送到移动端，保持与平台数据的严格一致，为实验室设备管理提供及时、准确的信息支持。</w:t>
            </w:r>
            <w:r/>
          </w:p>
        </w:tc>
      </w:tr>
      <w:tr>
        <w:trPr>
          <w:trHeight w:val="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实验室模块通过总线将资产记录推送至平台</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left="0"/>
              <w:jc w:val="left"/>
              <w:rPr>
                <w:rFonts w:hint="eastAsia" w:ascii="宋体" w:hAnsi="宋体"/>
                <w:color w:val="000000"/>
                <w:sz w:val="21"/>
                <w:szCs w:val="21"/>
              </w:rPr>
            </w:pPr>
            <w:r>
              <w:rPr>
                <w:rFonts w:hint="eastAsia" w:ascii="宋体" w:hAnsi="宋体"/>
                <w:color w:val="000000"/>
                <w:sz w:val="21"/>
                <w:szCs w:val="21"/>
              </w:rPr>
              <w:t xml:space="preserve">将设备资产信息（包括编号、状态、位置等关键字段）实时传输至中心管理平台，确保资产变动数据及时更新，并与平台现有资产数据库保持同步。该过程采用标准化数据格式和校验机制，保障数据传输的准确性和完整性。</w:t>
            </w:r>
            <w:r/>
          </w:p>
        </w:tc>
      </w:tr>
    </w:tbl>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3、杀毒软件</w:t>
      </w:r>
      <w:r/>
    </w:p>
    <w:tbl>
      <w:tblPr>
        <w:tblW w:w="4833" w:type="pct"/>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31"/>
        <w:gridCol w:w="8294"/>
      </w:tblGrid>
      <w:t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指标项</w:t>
            </w:r>
            <w:r/>
          </w:p>
        </w:tc>
        <w:tc>
          <w:tcPr>
            <w:tcBorders>
              <w:top w:val="single" w:color="auto" w:sz="4" w:space="0"/>
              <w:left w:val="single" w:color="auto" w:sz="4" w:space="0"/>
              <w:bottom w:val="single" w:color="auto" w:sz="4" w:space="0"/>
              <w:right w:val="single" w:color="auto" w:sz="4" w:space="0"/>
            </w:tcBorders>
            <w:tcW w:w="4353" w:type="pct"/>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参数要求</w:t>
            </w:r>
            <w:r/>
          </w:p>
        </w:tc>
      </w:tr>
      <w:tr>
        <w:trPr>
          <w:trHeight w:val="660"/>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部署要求</w:t>
            </w:r>
            <w:r/>
          </w:p>
        </w:tc>
        <w:tc>
          <w:tcPr>
            <w:tcBorders>
              <w:top w:val="single" w:color="auto" w:sz="4" w:space="0"/>
              <w:left w:val="single" w:color="auto" w:sz="4" w:space="0"/>
              <w:bottom w:val="single" w:color="auto" w:sz="4" w:space="0"/>
              <w:right w:val="single" w:color="auto" w:sz="4" w:space="0"/>
            </w:tcBorders>
            <w:tcW w:w="4353" w:type="pct"/>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b/>
                <w:bCs/>
                <w:sz w:val="21"/>
                <w:szCs w:val="21"/>
              </w:rPr>
              <w:t xml:space="preserve">▲系统</w:t>
            </w:r>
            <w:r>
              <w:rPr>
                <w:rFonts w:hint="eastAsia" w:ascii="宋体" w:hAnsi="宋体"/>
                <w:b/>
                <w:bCs/>
                <w:sz w:val="21"/>
                <w:szCs w:val="21"/>
              </w:rPr>
              <w:t xml:space="preserve">需支持</w:t>
            </w:r>
            <w:r>
              <w:rPr>
                <w:rFonts w:hint="eastAsia" w:ascii="宋体" w:hAnsi="宋体"/>
                <w:b/>
                <w:bCs/>
                <w:sz w:val="21"/>
                <w:szCs w:val="21"/>
              </w:rPr>
              <w:t xml:space="preserve">代理部署模式，实现对物理服务器、虚拟服务器统一管理；</w:t>
            </w:r>
            <w:r>
              <w:rPr>
                <w:rFonts w:hint="eastAsia" w:ascii="宋体" w:hAnsi="宋体"/>
                <w:b/>
                <w:bCs/>
                <w:sz w:val="21"/>
                <w:szCs w:val="21"/>
              </w:rPr>
              <w:t xml:space="preserve">支持信创</w:t>
            </w:r>
            <w:r>
              <w:rPr>
                <w:rFonts w:hint="eastAsia" w:ascii="宋体" w:hAnsi="宋体"/>
                <w:b/>
                <w:bCs/>
                <w:sz w:val="21"/>
                <w:szCs w:val="21"/>
              </w:rPr>
              <w:t xml:space="preserve">操作系统管理；私有云、公有云、容器环境统一管理；</w:t>
            </w:r>
            <w:r/>
          </w:p>
        </w:tc>
      </w:tr>
      <w:tr>
        <w:trPr>
          <w:trHeight w:val="796"/>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应用</w:t>
            </w:r>
            <w:r/>
          </w:p>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要求</w:t>
            </w:r>
            <w:r/>
          </w:p>
        </w:tc>
        <w:tc>
          <w:tcPr>
            <w:tcBorders>
              <w:top w:val="single" w:color="auto" w:sz="4" w:space="0"/>
              <w:left w:val="single" w:color="auto" w:sz="4" w:space="0"/>
              <w:bottom w:val="single" w:color="auto" w:sz="4" w:space="0"/>
              <w:right w:val="single" w:color="auto" w:sz="4" w:space="0"/>
            </w:tcBorders>
            <w:tcW w:w="4353" w:type="pct"/>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系统需要可独立完成管理、自带升级功能、特征库升级、</w:t>
            </w:r>
            <w:r>
              <w:rPr>
                <w:rFonts w:hint="eastAsia" w:ascii="宋体" w:hAnsi="宋体"/>
                <w:sz w:val="21"/>
                <w:szCs w:val="21"/>
              </w:rPr>
              <w:t xml:space="preserve">代理云查功能</w:t>
            </w:r>
            <w:r>
              <w:rPr>
                <w:rFonts w:hint="eastAsia" w:ascii="宋体" w:hAnsi="宋体"/>
                <w:sz w:val="21"/>
                <w:szCs w:val="21"/>
              </w:rPr>
              <w:t xml:space="preserve">，无需额外部署升级服务器、代理服务器等节点。</w:t>
            </w:r>
            <w:r/>
          </w:p>
        </w:tc>
      </w:tr>
      <w:tr>
        <w:trPr>
          <w:trHeight w:val="1358"/>
        </w:trPr>
        <w:tc>
          <w:tcPr>
            <w:tcBorders>
              <w:top w:val="single" w:color="auto" w:sz="4" w:space="0"/>
              <w:left w:val="single" w:color="auto" w:sz="4" w:space="0"/>
              <w:right w:val="single" w:color="auto" w:sz="4" w:space="0"/>
            </w:tcBorders>
            <w:tcW w:w="646" w:type="pct"/>
            <w:vAlign w:val="center"/>
            <w:vMerge w:val="restart"/>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病毒查杀</w:t>
            </w:r>
            <w:r/>
          </w:p>
        </w:tc>
        <w:tc>
          <w:tcPr>
            <w:tcBorders>
              <w:top w:val="single" w:color="auto" w:sz="4" w:space="0"/>
              <w:left w:val="single" w:color="auto" w:sz="4" w:space="0"/>
              <w:bottom w:val="single" w:color="auto" w:sz="4" w:space="0"/>
              <w:right w:val="single" w:color="auto" w:sz="4" w:space="0"/>
            </w:tcBorders>
            <w:tcW w:w="4353" w:type="pct"/>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采用主动的方式进行自动化病毒查杀，支持多引擎联动防护Bitdefender、QOWL、</w:t>
            </w:r>
            <w:r>
              <w:rPr>
                <w:rFonts w:hint="eastAsia" w:ascii="宋体" w:hAnsi="宋体"/>
                <w:sz w:val="21"/>
                <w:szCs w:val="21"/>
              </w:rPr>
              <w:t xml:space="preserve">云查杀</w:t>
            </w:r>
            <w:r>
              <w:rPr>
                <w:rFonts w:hint="eastAsia" w:ascii="宋体" w:hAnsi="宋体"/>
                <w:sz w:val="21"/>
                <w:szCs w:val="21"/>
              </w:rPr>
              <w:t xml:space="preserve">、支持灵活开启或停用引擎；支持病毒文件自动隔离、自动删除、修复、监控多种处理方式。支持病毒查杀的结果生成报告。提供防护策略控制可避免启动风暴和查杀风暴。</w:t>
            </w:r>
            <w:r/>
          </w:p>
        </w:tc>
      </w:tr>
      <w:tr>
        <w:trPr>
          <w:trHeight w:val="570"/>
        </w:trPr>
        <w:tc>
          <w:tcPr>
            <w:tcBorders>
              <w:left w:val="single" w:color="auto" w:sz="4" w:space="0"/>
              <w:right w:val="single" w:color="auto" w:sz="4" w:space="0"/>
            </w:tcBorders>
            <w:tcW w:w="646" w:type="pct"/>
            <w:vAlign w:val="center"/>
            <w:vMerge w:val="continue"/>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4353" w:type="pct"/>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产品</w:t>
            </w:r>
            <w:r>
              <w:rPr>
                <w:rFonts w:hint="eastAsia" w:ascii="宋体" w:hAnsi="宋体"/>
                <w:sz w:val="21"/>
                <w:szCs w:val="21"/>
              </w:rPr>
              <w:t xml:space="preserve">需支持</w:t>
            </w:r>
            <w:r>
              <w:rPr>
                <w:rFonts w:hint="eastAsia" w:ascii="宋体" w:hAnsi="宋体"/>
                <w:sz w:val="21"/>
                <w:szCs w:val="21"/>
              </w:rPr>
              <w:t xml:space="preserve">人工智能引擎</w:t>
            </w:r>
            <w:r/>
          </w:p>
        </w:tc>
      </w:tr>
      <w:tr>
        <w:trPr>
          <w:trHeight w:val="353"/>
        </w:trPr>
        <w:tc>
          <w:tcPr>
            <w:tcBorders>
              <w:left w:val="single" w:color="auto" w:sz="4" w:space="0"/>
              <w:right w:val="single" w:color="auto" w:sz="4" w:space="0"/>
            </w:tcBorders>
            <w:tcW w:w="646" w:type="pct"/>
            <w:vAlign w:val="center"/>
            <w:vMerge w:val="continue"/>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4353" w:type="pct"/>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支持提供病毒防护等级设置、支持对操作系统资源占用进行配置；</w:t>
            </w:r>
            <w:r/>
          </w:p>
        </w:tc>
      </w:tr>
      <w:tr>
        <w:trPr>
          <w:trHeight w:val="684"/>
        </w:trPr>
        <w:tc>
          <w:tcPr>
            <w:tcBorders>
              <w:left w:val="single" w:color="auto" w:sz="4" w:space="0"/>
              <w:right w:val="single" w:color="auto" w:sz="4" w:space="0"/>
            </w:tcBorders>
            <w:tcW w:w="646" w:type="pct"/>
            <w:vAlign w:val="center"/>
            <w:vMerge w:val="continue"/>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4353" w:type="pct"/>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针对Linux操作系统提供安全基线检查功能，支持CIS安全基线、</w:t>
            </w:r>
            <w:r>
              <w:rPr>
                <w:rFonts w:hint="eastAsia" w:ascii="宋体" w:hAnsi="宋体"/>
                <w:sz w:val="21"/>
                <w:szCs w:val="21"/>
              </w:rPr>
              <w:t xml:space="preserve">支持等保二级</w:t>
            </w:r>
            <w:r>
              <w:rPr>
                <w:rFonts w:hint="eastAsia" w:ascii="宋体" w:hAnsi="宋体"/>
                <w:sz w:val="21"/>
                <w:szCs w:val="21"/>
              </w:rPr>
              <w:t xml:space="preserve">、</w:t>
            </w:r>
            <w:r>
              <w:rPr>
                <w:rFonts w:hint="eastAsia" w:ascii="宋体" w:hAnsi="宋体"/>
                <w:sz w:val="21"/>
                <w:szCs w:val="21"/>
              </w:rPr>
              <w:t xml:space="preserve">等保三级</w:t>
            </w:r>
            <w:r>
              <w:rPr>
                <w:rFonts w:hint="eastAsia" w:ascii="宋体" w:hAnsi="宋体"/>
                <w:sz w:val="21"/>
                <w:szCs w:val="21"/>
              </w:rPr>
              <w:t xml:space="preserve">基线检查、支持系统配置与服务核查、支持账户安全、应用配置检查。</w:t>
            </w:r>
            <w:r/>
          </w:p>
        </w:tc>
      </w:tr>
      <w:tr>
        <w:trPr>
          <w:trHeight w:val="436"/>
        </w:trPr>
        <w:tc>
          <w:tcPr>
            <w:tcBorders>
              <w:top w:val="single" w:color="auto" w:sz="4" w:space="0"/>
              <w:left w:val="single" w:color="auto" w:sz="4" w:space="0"/>
              <w:right w:val="single" w:color="auto" w:sz="4" w:space="0"/>
            </w:tcBorders>
            <w:tcW w:w="646" w:type="pct"/>
            <w:vAlign w:val="center"/>
            <w:vMerge w:val="restart"/>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入侵防御</w:t>
            </w:r>
            <w:r/>
          </w:p>
        </w:tc>
        <w:tc>
          <w:tcPr>
            <w:tcBorders>
              <w:top w:val="single" w:color="auto" w:sz="4" w:space="0"/>
              <w:left w:val="single" w:color="auto" w:sz="4" w:space="0"/>
              <w:bottom w:val="single" w:color="auto" w:sz="4" w:space="0"/>
              <w:right w:val="single" w:color="auto" w:sz="4" w:space="0"/>
            </w:tcBorders>
            <w:tcW w:w="4353" w:type="pct"/>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系统应支持入侵防御功能，可针对出入虚拟机的流量进行检测识别，防御网络攻击及入侵行为，通过真实漏洞利用流量的特征来检测或阻止漏洞利用。产品预置入侵防御规则应不少于8000条次（不包含自定义规则），需覆盖系统、数据库、应用漏洞、防勒索、防挖矿等多种类型防御规则，防御规则支持严格、高、中三种预定义级别，针入侵威胁，提供检测和阻止模式，可以自动捕获违反规则的网络包，供验证和分析使用。</w:t>
            </w:r>
            <w:r/>
          </w:p>
        </w:tc>
      </w:tr>
      <w:tr>
        <w:trPr>
          <w:trHeight w:val="308"/>
        </w:trPr>
        <w:tc>
          <w:tcPr>
            <w:tcBorders>
              <w:left w:val="single" w:color="auto" w:sz="4" w:space="0"/>
              <w:bottom w:val="single" w:color="auto" w:sz="4" w:space="0"/>
              <w:right w:val="single" w:color="auto" w:sz="4" w:space="0"/>
            </w:tcBorders>
            <w:tcW w:w="646" w:type="pct"/>
            <w:vAlign w:val="center"/>
            <w:vMerge w:val="continue"/>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4353" w:type="pct"/>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支持为IPV6的主机提供入侵防御功能。</w:t>
            </w:r>
            <w:r/>
          </w:p>
        </w:tc>
      </w:tr>
      <w:tr>
        <w:trPr>
          <w:trHeight w:val="2608"/>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分析呈现</w:t>
            </w:r>
            <w:r/>
          </w:p>
        </w:tc>
        <w:tc>
          <w:tcPr>
            <w:tcBorders>
              <w:top w:val="single" w:color="auto" w:sz="4" w:space="0"/>
              <w:left w:val="single" w:color="auto" w:sz="4" w:space="0"/>
              <w:bottom w:val="single" w:color="auto" w:sz="4" w:space="0"/>
              <w:right w:val="single" w:color="auto" w:sz="4" w:space="0"/>
            </w:tcBorders>
            <w:tcW w:w="4353" w:type="pct"/>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1、提供数据中心威胁态势感知，大屏动态展示</w:t>
            </w:r>
            <w:r>
              <w:rPr>
                <w:rFonts w:hint="eastAsia" w:ascii="宋体" w:hAnsi="宋体"/>
                <w:sz w:val="21"/>
                <w:szCs w:val="21"/>
              </w:rPr>
              <w:t xml:space="preserve">安全运</w:t>
            </w:r>
            <w:r>
              <w:rPr>
                <w:rFonts w:hint="eastAsia" w:ascii="宋体" w:hAnsi="宋体"/>
                <w:sz w:val="21"/>
                <w:szCs w:val="21"/>
              </w:rPr>
              <w:t xml:space="preserve">维状况，结合地理位置信息全面呈现威胁攻击详情；</w:t>
            </w:r>
            <w:r/>
          </w:p>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2、支持按总流量、恶意流量、新建连接对流量进行统计和展示； </w:t>
            </w:r>
            <w:r/>
          </w:p>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3、支持按照不同分组、虚拟机/终端、网络协议、网络协议组、国家/地区、城市，分不同威胁类别以柱状图、折线图（曲线图）、饼图、原始日志等形式进行展示，支持手动或者定时定期生成报表；</w:t>
            </w:r>
            <w:r/>
          </w:p>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4、支持日志查询与操作员日志审计功能；</w:t>
            </w:r>
            <w:r/>
          </w:p>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5、网络流量日志，支持端口识别与显示，支持关联进程</w:t>
            </w:r>
            <w:r/>
          </w:p>
        </w:tc>
      </w:tr>
      <w:tr>
        <w:trPr>
          <w:trHeight w:val="675"/>
        </w:trPr>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配置要求</w:t>
            </w:r>
            <w:r/>
          </w:p>
        </w:tc>
        <w:tc>
          <w:tcPr>
            <w:tcBorders>
              <w:top w:val="single" w:color="auto" w:sz="4" w:space="0"/>
              <w:left w:val="single" w:color="auto" w:sz="4" w:space="0"/>
              <w:bottom w:val="single" w:color="auto" w:sz="4" w:space="0"/>
              <w:right w:val="single" w:color="auto" w:sz="4" w:space="0"/>
            </w:tcBorders>
            <w:tcW w:w="8484"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license（授权）不少于20个</w:t>
            </w:r>
            <w:r/>
          </w:p>
        </w:tc>
      </w:tr>
      <w:tr>
        <w:trPr>
          <w:trHeight w:val="675"/>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维保服务</w:t>
            </w:r>
            <w:r/>
          </w:p>
        </w:tc>
        <w:tc>
          <w:tcPr>
            <w:tcBorders>
              <w:top w:val="single" w:color="auto" w:sz="4" w:space="0"/>
              <w:left w:val="single" w:color="auto" w:sz="4" w:space="0"/>
              <w:bottom w:val="single" w:color="auto" w:sz="4" w:space="0"/>
              <w:right w:val="single" w:color="auto" w:sz="4" w:space="0"/>
            </w:tcBorders>
            <w:tcW w:w="4353" w:type="pct"/>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b/>
                <w:bCs/>
                <w:sz w:val="21"/>
                <w:szCs w:val="21"/>
              </w:rPr>
              <w:t xml:space="preserve">▲提供3年原厂质保服务。</w:t>
            </w:r>
            <w:r/>
          </w:p>
        </w:tc>
      </w:tr>
    </w:tbl>
    <w:p>
      <w:pPr>
        <w:ind w:left="0" w:firstLine="420"/>
        <w:jc w:val="left"/>
        <w:spacing w:line="480" w:lineRule="exac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4、虚拟化软件</w:t>
      </w:r>
      <w:r/>
    </w:p>
    <w:tbl>
      <w:tblPr>
        <w:tblW w:w="0" w:type="auto"/>
        <w:tblInd w:w="98" w:type="dxa"/>
        <w:tblLayout w:type="fixed"/>
        <w:tblLook w:val="04A0" w:firstRow="1" w:lastRow="0" w:firstColumn="1" w:lastColumn="0" w:noHBand="0" w:noVBand="1"/>
      </w:tblPr>
      <w:tblGrid>
        <w:gridCol w:w="1658"/>
        <w:gridCol w:w="8133"/>
      </w:tblGrid>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指标项</w:t>
            </w:r>
            <w:r/>
          </w:p>
        </w:tc>
        <w:tc>
          <w:tcPr>
            <w:shd w:val="clear" w:color="auto" w:fill="ffffff"/>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参数要求</w:t>
            </w:r>
            <w:r/>
          </w:p>
        </w:tc>
      </w:tr>
      <w:tr>
        <w:trPr>
          <w:trHeight w:val="280"/>
        </w:trPr>
        <w:tc>
          <w:tcPr>
            <w:tcBorders>
              <w:top w:val="single" w:color="000000" w:sz="4" w:space="0"/>
              <w:left w:val="single" w:color="000000" w:sz="4" w:space="0"/>
              <w:right w:val="single" w:color="000000" w:sz="4" w:space="0"/>
            </w:tcBorders>
            <w:tcW w:w="1658" w:type="dxa"/>
            <w:vAlign w:val="center"/>
            <w:vMerge w:val="restart"/>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计算虚拟化</w:t>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支持ARM架构服务器虚拟化。</w:t>
            </w:r>
            <w:r/>
          </w:p>
        </w:tc>
      </w:tr>
      <w:tr>
        <w:trPr>
          <w:trHeight w:val="280"/>
        </w:trPr>
        <w:tc>
          <w:tcPr>
            <w:tcBorders>
              <w:left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支持虚拟机规格的在线调整，包括CPU、内存等资源，不用</w:t>
            </w:r>
            <w:r>
              <w:rPr>
                <w:rFonts w:hint="eastAsia" w:ascii="宋体" w:hAnsi="宋体"/>
                <w:sz w:val="21"/>
                <w:szCs w:val="21"/>
              </w:rPr>
              <w:t xml:space="preserve">重启即可</w:t>
            </w:r>
            <w:r>
              <w:rPr>
                <w:rFonts w:hint="eastAsia" w:ascii="宋体" w:hAnsi="宋体"/>
                <w:sz w:val="21"/>
                <w:szCs w:val="21"/>
              </w:rPr>
              <w:t xml:space="preserve">生效。</w:t>
            </w:r>
            <w:r/>
          </w:p>
        </w:tc>
      </w:tr>
      <w:tr>
        <w:trPr>
          <w:trHeight w:val="90"/>
        </w:trPr>
        <w:tc>
          <w:tcPr>
            <w:tcBorders>
              <w:left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支持将虚拟机删除后放入回收站，回收站内的虚拟机可复原。</w:t>
            </w:r>
            <w:r/>
          </w:p>
        </w:tc>
      </w:tr>
      <w:tr>
        <w:trPr>
          <w:trHeight w:val="280"/>
        </w:trPr>
        <w:tc>
          <w:tcPr>
            <w:tcBorders>
              <w:left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支持配置存储故障后虚拟机是否HA，以保障业务的高可用。</w:t>
            </w:r>
            <w:r/>
          </w:p>
        </w:tc>
      </w:tr>
      <w:tr>
        <w:trPr>
          <w:trHeight w:val="560"/>
        </w:trPr>
        <w:tc>
          <w:tcPr>
            <w:tcBorders>
              <w:left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支持将物理服务器上的USB设备与虚拟机关联，以满足客户在虚拟化场景下使用U盘、USB加密卡等设备的需求</w:t>
            </w:r>
            <w:r/>
          </w:p>
        </w:tc>
      </w:tr>
      <w:tr>
        <w:trPr>
          <w:trHeight w:val="280"/>
        </w:trPr>
        <w:tc>
          <w:tcPr>
            <w:tcBorders>
              <w:left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b/>
                <w:bCs/>
                <w:sz w:val="21"/>
                <w:szCs w:val="21"/>
              </w:rPr>
              <w:t xml:space="preserve">▲支持将主机的GPU设备、SSD设备直通给虚拟机，提升虚拟机的整体性能。</w:t>
            </w:r>
            <w:r/>
          </w:p>
        </w:tc>
      </w:tr>
      <w:tr>
        <w:trPr>
          <w:trHeight w:val="280"/>
        </w:trPr>
        <w:tc>
          <w:tcPr>
            <w:tcBorders>
              <w:left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支持虚拟机启动阶段的负载均衡策略，虚拟机启动时根据集群内主机的实时CPU、内存负载情况动态选择运行的主机</w:t>
            </w:r>
            <w:r/>
          </w:p>
        </w:tc>
      </w:tr>
      <w:tr>
        <w:trPr>
          <w:trHeight w:val="180"/>
        </w:trPr>
        <w:tc>
          <w:tcPr>
            <w:tcBorders>
              <w:left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支持通过对虚拟机进行分组，不同类型的虚拟机实现逻辑分组管理，</w:t>
            </w:r>
            <w:r>
              <w:rPr>
                <w:rFonts w:hint="eastAsia" w:ascii="宋体" w:hAnsi="宋体"/>
                <w:sz w:val="21"/>
                <w:szCs w:val="21"/>
              </w:rPr>
              <w:t xml:space="preserve">方便运</w:t>
            </w:r>
            <w:r>
              <w:rPr>
                <w:rFonts w:hint="eastAsia" w:ascii="宋体" w:hAnsi="宋体"/>
                <w:sz w:val="21"/>
                <w:szCs w:val="21"/>
              </w:rPr>
              <w:t xml:space="preserve">维，深度最多可以支持5层，并可以对分组虚拟机批量进行关闭、启动、重启、迁移等操作</w:t>
            </w:r>
            <w:r/>
          </w:p>
        </w:tc>
      </w:tr>
      <w:tr>
        <w:trPr>
          <w:trHeight w:val="280"/>
        </w:trPr>
        <w:tc>
          <w:tcPr>
            <w:tcBorders>
              <w:left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支持NUMA技术，优化CPU和内存资源分配，提升性能。</w:t>
            </w:r>
            <w:r/>
          </w:p>
        </w:tc>
      </w:tr>
      <w:tr>
        <w:trPr>
          <w:trHeight w:val="280"/>
        </w:trPr>
        <w:tc>
          <w:tcPr>
            <w:tcBorders>
              <w:left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支持动态电源管理，系统可根据集群的负载情况，自动</w:t>
            </w:r>
            <w:r>
              <w:rPr>
                <w:rFonts w:hint="eastAsia" w:ascii="宋体" w:hAnsi="宋体"/>
                <w:sz w:val="21"/>
                <w:szCs w:val="21"/>
              </w:rPr>
              <w:t xml:space="preserve">上下电主机</w:t>
            </w:r>
            <w:r>
              <w:rPr>
                <w:rFonts w:hint="eastAsia" w:ascii="宋体" w:hAnsi="宋体"/>
                <w:sz w:val="21"/>
                <w:szCs w:val="21"/>
              </w:rPr>
              <w:t xml:space="preserve">，优化数据中心的能耗，达到节能减排的目的。</w:t>
            </w:r>
            <w:r/>
          </w:p>
        </w:tc>
      </w:tr>
      <w:tr>
        <w:trPr>
          <w:trHeight w:val="280"/>
        </w:trPr>
        <w:tc>
          <w:tcPr>
            <w:tcBorders>
              <w:left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使用块存储场景下，虚拟机支持在线导出OVF格式模板，用于虚拟机本地备份或者导入其他平台</w:t>
            </w:r>
            <w:r/>
          </w:p>
        </w:tc>
      </w:tr>
      <w:tr>
        <w:trPr>
          <w:trHeight w:val="280"/>
        </w:trPr>
        <w:tc>
          <w:tcPr>
            <w:tcBorders>
              <w:left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使用块存储场景下，支持对虚拟机进行克隆、开机状态下导出为模板</w:t>
            </w:r>
            <w:r/>
          </w:p>
        </w:tc>
      </w:tr>
      <w:tr>
        <w:trPr>
          <w:trHeight w:val="280"/>
        </w:trPr>
        <w:tc>
          <w:tcPr>
            <w:tcBorders>
              <w:left w:val="single" w:color="000000" w:sz="4" w:space="0"/>
              <w:bottom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支持在线和离线迁移带快照的虚拟机。</w:t>
            </w:r>
            <w:r/>
          </w:p>
        </w:tc>
      </w:tr>
      <w:tr>
        <w:trPr>
          <w:trHeight w:val="280"/>
        </w:trPr>
        <w:tc>
          <w:tcPr>
            <w:tcBorders>
              <w:top w:val="single" w:color="000000" w:sz="4" w:space="0"/>
              <w:left w:val="single" w:color="000000" w:sz="4" w:space="0"/>
              <w:right w:val="single" w:color="000000" w:sz="4" w:space="0"/>
            </w:tcBorders>
            <w:tcW w:w="1658" w:type="dxa"/>
            <w:vAlign w:val="center"/>
            <w:vMerge w:val="restart"/>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存储虚拟化</w:t>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每个虚拟机拥有独立的存储LUN，可以支持将VM的快照，克隆，复制，的能力卸载到存储，以节省主机资源开销。</w:t>
            </w:r>
            <w:r/>
          </w:p>
        </w:tc>
      </w:tr>
      <w:tr>
        <w:trPr>
          <w:trHeight w:val="280"/>
        </w:trPr>
        <w:tc>
          <w:tcPr>
            <w:tcBorders>
              <w:left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虚拟化平台支持使用</w:t>
            </w:r>
            <w:r>
              <w:rPr>
                <w:rFonts w:hint="eastAsia" w:ascii="宋体" w:hAnsi="宋体"/>
                <w:sz w:val="21"/>
                <w:szCs w:val="21"/>
              </w:rPr>
              <w:t xml:space="preserve">NoF</w:t>
            </w:r>
            <w:r>
              <w:rPr>
                <w:rFonts w:hint="eastAsia" w:ascii="宋体" w:hAnsi="宋体"/>
                <w:sz w:val="21"/>
                <w:szCs w:val="21"/>
              </w:rPr>
              <w:t xml:space="preserve">协议（</w:t>
            </w:r>
            <w:r>
              <w:rPr>
                <w:rFonts w:hint="eastAsia" w:ascii="宋体" w:hAnsi="宋体"/>
                <w:sz w:val="21"/>
                <w:szCs w:val="21"/>
              </w:rPr>
              <w:t xml:space="preserve">NVMe</w:t>
            </w:r>
            <w:r>
              <w:rPr>
                <w:rFonts w:hint="eastAsia" w:ascii="宋体" w:hAnsi="宋体"/>
                <w:sz w:val="21"/>
                <w:szCs w:val="21"/>
              </w:rPr>
              <w:t xml:space="preserve"> over Fabric）对接存储系统，以满足高性能的需求 </w:t>
            </w:r>
            <w:r/>
          </w:p>
        </w:tc>
      </w:tr>
      <w:tr>
        <w:trPr>
          <w:trHeight w:val="280"/>
        </w:trPr>
        <w:tc>
          <w:tcPr>
            <w:tcBorders>
              <w:left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虚拟化平台使用存储设备时，</w:t>
            </w:r>
            <w:r>
              <w:rPr>
                <w:rFonts w:hint="eastAsia" w:ascii="宋体" w:hAnsi="宋体"/>
                <w:sz w:val="21"/>
                <w:szCs w:val="21"/>
              </w:rPr>
              <w:t xml:space="preserve">须支持</w:t>
            </w:r>
            <w:r>
              <w:rPr>
                <w:rFonts w:hint="eastAsia" w:ascii="宋体" w:hAnsi="宋体"/>
                <w:sz w:val="21"/>
                <w:szCs w:val="21"/>
              </w:rPr>
              <w:t xml:space="preserve">本地硬盘、IP-SAN、FC-SAN、NAS等不同类型的存储设备</w:t>
            </w:r>
            <w:r/>
          </w:p>
        </w:tc>
      </w:tr>
      <w:tr>
        <w:trPr>
          <w:trHeight w:val="280"/>
        </w:trPr>
        <w:tc>
          <w:tcPr>
            <w:tcBorders>
              <w:left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为提升数据安全性，对接远端存储时，要求指定对接存储时的CHAP信息，支持配置对接存储的存储IP以及端口号；</w:t>
            </w:r>
            <w:r/>
          </w:p>
        </w:tc>
      </w:tr>
      <w:tr>
        <w:trPr>
          <w:trHeight w:val="280"/>
        </w:trPr>
        <w:tc>
          <w:tcPr>
            <w:tcBorders>
              <w:left w:val="single" w:color="000000" w:sz="4" w:space="0"/>
              <w:bottom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支持只迁移虚拟机存储，在迁移设置可指定磁盘的目的配置模式并指定迁移速率控制</w:t>
            </w:r>
            <w:r/>
          </w:p>
        </w:tc>
      </w:tr>
      <w:tr>
        <w:trPr>
          <w:trHeight w:val="280"/>
        </w:trPr>
        <w:tc>
          <w:tcPr>
            <w:tcBorders>
              <w:top w:val="single" w:color="000000" w:sz="4" w:space="0"/>
              <w:left w:val="single" w:color="000000" w:sz="4" w:space="0"/>
              <w:right w:val="single" w:color="000000" w:sz="4" w:space="0"/>
            </w:tcBorders>
            <w:tcW w:w="1658" w:type="dxa"/>
            <w:vAlign w:val="center"/>
            <w:vMerge w:val="restart"/>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网络虚拟化</w:t>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支持对接硬SDN</w:t>
            </w:r>
            <w:r/>
          </w:p>
        </w:tc>
      </w:tr>
      <w:tr>
        <w:trPr>
          <w:trHeight w:val="280"/>
        </w:trPr>
        <w:tc>
          <w:tcPr>
            <w:tcBorders>
              <w:left w:val="single" w:color="000000" w:sz="4" w:space="0"/>
              <w:right w:val="single" w:color="000000" w:sz="4" w:space="0"/>
            </w:tcBorders>
            <w:tcW w:w="1658" w:type="dxa"/>
            <w:vAlign w:val="center"/>
            <w:vMerge w:val="continue"/>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支持配置虚拟交换机，可通过设置安全组、DHCP隔离、广播抑制等能力保障虚拟机网络安全。</w:t>
            </w:r>
            <w:r/>
          </w:p>
        </w:tc>
      </w:tr>
      <w:tr>
        <w:trPr>
          <w:trHeight w:val="280"/>
        </w:trPr>
        <w:tc>
          <w:tcPr>
            <w:tcBorders>
              <w:left w:val="single" w:color="000000" w:sz="4" w:space="0"/>
              <w:right w:val="single" w:color="000000" w:sz="4" w:space="0"/>
            </w:tcBorders>
            <w:tcW w:w="1658" w:type="dxa"/>
            <w:vAlign w:val="center"/>
            <w:vMerge w:val="continue"/>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支持SR-IOV直通，提高网络性能</w:t>
            </w:r>
            <w:r/>
          </w:p>
        </w:tc>
      </w:tr>
      <w:tr>
        <w:trPr>
          <w:trHeight w:val="270"/>
        </w:trPr>
        <w:tc>
          <w:tcPr>
            <w:tcBorders>
              <w:left w:val="single" w:color="000000" w:sz="4" w:space="0"/>
              <w:right w:val="single" w:color="000000" w:sz="4" w:space="0"/>
            </w:tcBorders>
            <w:tcW w:w="1658" w:type="dxa"/>
            <w:vAlign w:val="center"/>
            <w:vMerge w:val="continue"/>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支持虚拟交换机级别的用户态交换技术(OVS+DPDK），提高网络性能</w:t>
            </w:r>
            <w:r/>
          </w:p>
        </w:tc>
      </w:tr>
      <w:tr>
        <w:trPr>
          <w:trHeight w:val="560"/>
        </w:trPr>
        <w:tc>
          <w:tcPr>
            <w:tcBorders>
              <w:left w:val="single" w:color="000000" w:sz="4" w:space="0"/>
              <w:bottom w:val="single" w:color="000000" w:sz="4" w:space="0"/>
              <w:right w:val="single" w:color="000000" w:sz="4" w:space="0"/>
            </w:tcBorders>
            <w:tcW w:w="1658" w:type="dxa"/>
            <w:vAlign w:val="center"/>
            <w:vMerge w:val="continue"/>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虚拟交换机采用主从VLAN实现相同端口组的虚拟机网络设备之间的相互通信或隔离，降低网络维护难度。</w:t>
            </w:r>
            <w:r/>
          </w:p>
        </w:tc>
      </w:tr>
      <w:tr>
        <w:trPr>
          <w:trHeight w:val="560"/>
        </w:trPr>
        <w:tc>
          <w:tcPr>
            <w:tcBorders>
              <w:top w:val="single" w:color="000000" w:sz="4" w:space="0"/>
              <w:left w:val="single" w:color="000000" w:sz="4" w:space="0"/>
              <w:right w:val="single" w:color="000000" w:sz="4" w:space="0"/>
            </w:tcBorders>
            <w:tcW w:w="1658" w:type="dxa"/>
            <w:vAlign w:val="center"/>
            <w:vMerge w:val="restart"/>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容器管理</w:t>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支持通过节点</w:t>
            </w:r>
            <w:r>
              <w:rPr>
                <w:rFonts w:hint="eastAsia" w:ascii="宋体" w:hAnsi="宋体"/>
                <w:sz w:val="21"/>
                <w:szCs w:val="21"/>
              </w:rPr>
              <w:t xml:space="preserve">池管理</w:t>
            </w:r>
            <w:r>
              <w:rPr>
                <w:rFonts w:hint="eastAsia" w:ascii="宋体" w:hAnsi="宋体"/>
                <w:sz w:val="21"/>
                <w:szCs w:val="21"/>
              </w:rPr>
              <w:t xml:space="preserve">K8S工作节点，可通过节点池伸缩工作节点、可批量设置节点标签和注解；</w:t>
            </w:r>
            <w:r/>
          </w:p>
        </w:tc>
      </w:tr>
      <w:tr>
        <w:trPr>
          <w:trHeight w:val="560"/>
        </w:trPr>
        <w:tc>
          <w:tcPr>
            <w:tcBorders>
              <w:left w:val="single" w:color="000000" w:sz="4" w:space="0"/>
              <w:bottom w:val="single" w:color="000000" w:sz="4" w:space="0"/>
              <w:right w:val="single" w:color="000000" w:sz="4" w:space="0"/>
            </w:tcBorders>
            <w:tcW w:w="1658" w:type="dxa"/>
            <w:vAlign w:val="center"/>
            <w:vMerge w:val="continue"/>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支持通过</w:t>
            </w:r>
            <w:r>
              <w:rPr>
                <w:rFonts w:hint="eastAsia" w:ascii="宋体" w:hAnsi="宋体"/>
                <w:sz w:val="21"/>
                <w:szCs w:val="21"/>
              </w:rPr>
              <w:t xml:space="preserve">WebCLI</w:t>
            </w:r>
            <w:r>
              <w:rPr>
                <w:rFonts w:hint="eastAsia" w:ascii="宋体" w:hAnsi="宋体"/>
                <w:sz w:val="21"/>
                <w:szCs w:val="21"/>
              </w:rPr>
              <w:t xml:space="preserve">访问K8S集群，</w:t>
            </w:r>
            <w:r>
              <w:rPr>
                <w:rFonts w:hint="eastAsia" w:ascii="宋体" w:hAnsi="宋体"/>
                <w:sz w:val="21"/>
                <w:szCs w:val="21"/>
              </w:rPr>
              <w:t xml:space="preserve">WebCLI</w:t>
            </w:r>
            <w:r>
              <w:rPr>
                <w:rFonts w:hint="eastAsia" w:ascii="宋体" w:hAnsi="宋体"/>
                <w:sz w:val="21"/>
                <w:szCs w:val="21"/>
              </w:rPr>
              <w:t xml:space="preserve">支持上传</w:t>
            </w:r>
            <w:r>
              <w:rPr>
                <w:rFonts w:hint="eastAsia" w:ascii="宋体" w:hAnsi="宋体"/>
                <w:sz w:val="21"/>
                <w:szCs w:val="21"/>
              </w:rPr>
              <w:t xml:space="preserve">yaml</w:t>
            </w:r>
            <w:r>
              <w:rPr>
                <w:rFonts w:hint="eastAsia" w:ascii="宋体" w:hAnsi="宋体"/>
                <w:sz w:val="21"/>
                <w:szCs w:val="21"/>
              </w:rPr>
              <w:t xml:space="preserve">文件。</w:t>
            </w:r>
            <w:r/>
          </w:p>
        </w:tc>
      </w:tr>
      <w:tr>
        <w:trPr>
          <w:trHeight w:val="560"/>
        </w:trPr>
        <w:tc>
          <w:tcPr>
            <w:tcBorders>
              <w:top w:val="single" w:color="000000" w:sz="4" w:space="0"/>
              <w:left w:val="single" w:color="000000" w:sz="4" w:space="0"/>
              <w:right w:val="single" w:color="000000" w:sz="4" w:space="0"/>
            </w:tcBorders>
            <w:tcW w:w="1658" w:type="dxa"/>
            <w:vAlign w:val="center"/>
            <w:vMerge w:val="restart"/>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虚拟化管理</w:t>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提供图形化的主机和虚拟机指标监控，用户可自定义监控周期，监控指标</w:t>
            </w:r>
            <w:r>
              <w:rPr>
                <w:rFonts w:hint="eastAsia" w:ascii="宋体" w:hAnsi="宋体"/>
                <w:sz w:val="21"/>
                <w:szCs w:val="21"/>
              </w:rPr>
              <w:t xml:space="preserve">需包括</w:t>
            </w:r>
            <w:r>
              <w:rPr>
                <w:rFonts w:hint="eastAsia" w:ascii="宋体" w:hAnsi="宋体"/>
                <w:sz w:val="21"/>
                <w:szCs w:val="21"/>
              </w:rPr>
              <w:t xml:space="preserve">CPU占用率、内存占用率、磁盘占用率、磁盘I/O写入写出、网络流速等，并且支持导出监控数据。</w:t>
            </w:r>
            <w:r/>
          </w:p>
        </w:tc>
      </w:tr>
      <w:tr>
        <w:trPr>
          <w:trHeight w:val="560"/>
        </w:trPr>
        <w:tc>
          <w:tcPr>
            <w:tcBorders>
              <w:left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支持多种类型指标告警，包括但不限于CPU、内存、磁盘使用率，存储IO延时、分区占用率、虚拟</w:t>
            </w:r>
            <w:r>
              <w:rPr>
                <w:rFonts w:hint="eastAsia" w:ascii="宋体" w:hAnsi="宋体"/>
                <w:sz w:val="21"/>
                <w:szCs w:val="21"/>
              </w:rPr>
              <w:t xml:space="preserve">化域资源</w:t>
            </w:r>
            <w:r>
              <w:rPr>
                <w:rFonts w:hint="eastAsia" w:ascii="宋体" w:hAnsi="宋体"/>
                <w:sz w:val="21"/>
                <w:szCs w:val="21"/>
              </w:rPr>
              <w:t xml:space="preserve">占用等，用户可自定义告警阈值</w:t>
            </w:r>
            <w:r/>
          </w:p>
        </w:tc>
      </w:tr>
      <w:tr>
        <w:trPr>
          <w:trHeight w:val="280"/>
        </w:trPr>
        <w:tc>
          <w:tcPr>
            <w:tcBorders>
              <w:left w:val="single" w:color="000000" w:sz="4" w:space="0"/>
              <w:bottom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支持记录操作维护人员通过运维管理系统进行的操作日志。系统操作维护人员可查看日志，不允许删除日志。</w:t>
            </w:r>
            <w:r/>
          </w:p>
        </w:tc>
      </w:tr>
      <w:tr>
        <w:trPr>
          <w:trHeight w:val="280"/>
        </w:trPr>
        <w:tc>
          <w:tcPr>
            <w:tcBorders>
              <w:top w:val="single" w:color="000000" w:sz="4" w:space="0"/>
              <w:left w:val="single" w:color="000000" w:sz="4" w:space="0"/>
              <w:right w:val="single" w:color="000000" w:sz="4" w:space="0"/>
            </w:tcBorders>
            <w:tcW w:w="1658" w:type="dxa"/>
            <w:vAlign w:val="center"/>
            <w:vMerge w:val="restart"/>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可靠性</w:t>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支持同一厂商的无代理备份软件，无需在虚拟机中安装备份客户端，即可将虚拟机备份到存储设备上。</w:t>
            </w:r>
            <w:r/>
          </w:p>
        </w:tc>
      </w:tr>
      <w:tr>
        <w:trPr>
          <w:trHeight w:val="280"/>
        </w:trPr>
        <w:tc>
          <w:tcPr>
            <w:tcBorders>
              <w:left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容</w:t>
            </w:r>
            <w:r>
              <w:rPr>
                <w:rFonts w:hint="eastAsia" w:ascii="宋体" w:hAnsi="宋体"/>
                <w:sz w:val="21"/>
                <w:szCs w:val="21"/>
              </w:rPr>
              <w:t xml:space="preserve">灾状态</w:t>
            </w:r>
            <w:r>
              <w:rPr>
                <w:rFonts w:hint="eastAsia" w:ascii="宋体" w:hAnsi="宋体"/>
                <w:sz w:val="21"/>
                <w:szCs w:val="21"/>
              </w:rPr>
              <w:t xml:space="preserve">中的虚拟机支持在线迁移，以满足容灾的业务场景。</w:t>
            </w:r>
            <w:r/>
          </w:p>
        </w:tc>
      </w:tr>
      <w:tr>
        <w:trPr>
          <w:trHeight w:val="280"/>
        </w:trPr>
        <w:tc>
          <w:tcPr>
            <w:tcBorders>
              <w:left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为保证业务连续性，支持与双活存储配合实现本地存储高可用和同城高可用。</w:t>
            </w:r>
            <w:r/>
          </w:p>
        </w:tc>
      </w:tr>
      <w:tr>
        <w:trPr>
          <w:trHeight w:val="280"/>
        </w:trPr>
        <w:tc>
          <w:tcPr>
            <w:tcBorders>
              <w:left w:val="single" w:color="000000" w:sz="4" w:space="0"/>
              <w:bottom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容灾场景下，支持同城双活、异步复制、两地</w:t>
            </w:r>
            <w:r>
              <w:rPr>
                <w:rFonts w:hint="eastAsia" w:ascii="宋体" w:hAnsi="宋体"/>
                <w:sz w:val="21"/>
                <w:szCs w:val="21"/>
              </w:rPr>
              <w:t xml:space="preserve">三中心</w:t>
            </w:r>
            <w:r>
              <w:rPr>
                <w:rFonts w:hint="eastAsia" w:ascii="宋体" w:hAnsi="宋体"/>
                <w:sz w:val="21"/>
                <w:szCs w:val="21"/>
              </w:rPr>
              <w:t xml:space="preserve">的环形组网和非环形组网等方式，以满足不同场景的容灾需求。</w:t>
            </w:r>
            <w:r/>
          </w:p>
        </w:tc>
      </w:tr>
      <w:tr>
        <w:trPr>
          <w:trHeight w:val="280"/>
        </w:trPr>
        <w:tc>
          <w:tcPr>
            <w:tcBorders>
              <w:top w:val="single" w:color="000000" w:sz="4" w:space="0"/>
              <w:left w:val="single" w:color="000000" w:sz="4" w:space="0"/>
              <w:right w:val="single" w:color="000000" w:sz="4" w:space="0"/>
            </w:tcBorders>
            <w:tcW w:w="1658" w:type="dxa"/>
            <w:vAlign w:val="center"/>
            <w:vMerge w:val="restart"/>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安全性</w:t>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支持图形化界面安全删除虚拟机，虚拟机删除的同时将底层存储空间进行置“0”操作，避免数据后期被恶意恢复</w:t>
            </w:r>
            <w:r/>
          </w:p>
        </w:tc>
      </w:tr>
      <w:tr>
        <w:trPr>
          <w:trHeight w:val="280"/>
        </w:trPr>
        <w:tc>
          <w:tcPr>
            <w:tcBorders>
              <w:left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管理系统支持与现有的LDAP和安全的LDAPS对接，简化账号与权限管理。</w:t>
            </w:r>
            <w:r/>
          </w:p>
        </w:tc>
      </w:tr>
      <w:tr>
        <w:trPr>
          <w:trHeight w:val="280"/>
        </w:trPr>
        <w:tc>
          <w:tcPr>
            <w:tcBorders>
              <w:left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系统支持三员分立的管理运维模式，有系统管理员、安全管理员、安全审计员的三员角色，满足高安全场景的权限分离要求</w:t>
            </w:r>
            <w:r/>
          </w:p>
        </w:tc>
      </w:tr>
      <w:tr>
        <w:trPr>
          <w:trHeight w:val="280"/>
        </w:trPr>
        <w:tc>
          <w:tcPr>
            <w:tcBorders>
              <w:left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支持国家商用密码算法，以满足平台安全合</w:t>
            </w:r>
            <w:r>
              <w:rPr>
                <w:rFonts w:hint="eastAsia" w:ascii="宋体" w:hAnsi="宋体"/>
                <w:sz w:val="21"/>
                <w:szCs w:val="21"/>
              </w:rPr>
              <w:t xml:space="preserve">规</w:t>
            </w:r>
            <w:r>
              <w:rPr>
                <w:rFonts w:hint="eastAsia" w:ascii="宋体" w:hAnsi="宋体"/>
                <w:sz w:val="21"/>
                <w:szCs w:val="21"/>
              </w:rPr>
              <w:t xml:space="preserve">要求。</w:t>
            </w:r>
            <w:r/>
          </w:p>
        </w:tc>
      </w:tr>
      <w:tr>
        <w:trPr>
          <w:trHeight w:val="90"/>
        </w:trPr>
        <w:tc>
          <w:tcPr>
            <w:tcBorders>
              <w:left w:val="single" w:color="000000" w:sz="4" w:space="0"/>
              <w:bottom w:val="single" w:color="000000" w:sz="4" w:space="0"/>
              <w:right w:val="single" w:color="000000" w:sz="4" w:space="0"/>
            </w:tcBorders>
            <w:tcW w:w="1658" w:type="dxa"/>
            <w:vAlign w:val="center"/>
            <w:vMerge w:val="continue"/>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虚拟化操作系统自主可控，未使用CentOS内核或衍生系统</w:t>
            </w:r>
            <w:r/>
          </w:p>
        </w:tc>
      </w:tr>
      <w:tr>
        <w:trPr>
          <w:trHeight w:val="280"/>
        </w:trPr>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配置要求</w:t>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val="false"/>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b/>
                <w:bCs/>
                <w:sz w:val="21"/>
                <w:szCs w:val="21"/>
              </w:rPr>
              <w:t xml:space="preserve">▲配置≥4CPU虚拟化软件许可。</w:t>
            </w:r>
            <w:r/>
          </w:p>
        </w:tc>
      </w:tr>
      <w:tr>
        <w:trPr>
          <w:trHeight w:val="280"/>
        </w:trPr>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sz w:val="21"/>
                <w:szCs w:val="21"/>
              </w:rPr>
              <w:t xml:space="preserve">售后服务</w:t>
            </w:r>
            <w:r/>
          </w:p>
        </w:tc>
        <w:tc>
          <w:tcPr>
            <w:tcBorders>
              <w:top w:val="single" w:color="000000" w:sz="4" w:space="0"/>
              <w:left w:val="none" w:color="000000" w:sz="4" w:space="0"/>
              <w:bottom w:val="single" w:color="000000" w:sz="4" w:space="0"/>
              <w:right w:val="single" w:color="000000" w:sz="4" w:space="0"/>
            </w:tcBorders>
            <w:tcW w:w="8133" w:type="dxa"/>
            <w:vAlign w:val="center"/>
            <w:textDirection w:val="lrTb"/>
            <w:noWrap/>
          </w:tcPr>
          <w:p>
            <w:pPr>
              <w:ind w:left="0"/>
              <w:jc w:val="left"/>
              <w:tabs>
                <w:tab w:val="left" w:pos="420" w:leader="none"/>
                <w:tab w:val="left" w:pos="1260" w:leader="none"/>
                <w:tab w:val="left" w:pos="1440" w:leader="none"/>
              </w:tabs>
              <w:rPr>
                <w:rFonts w:hint="eastAsia" w:ascii="宋体" w:hAnsi="宋体"/>
                <w:sz w:val="21"/>
                <w:szCs w:val="21"/>
              </w:rPr>
            </w:pPr>
            <w:r>
              <w:rPr>
                <w:rFonts w:hint="eastAsia" w:ascii="宋体" w:hAnsi="宋体"/>
                <w:b/>
                <w:bCs/>
                <w:sz w:val="21"/>
                <w:szCs w:val="21"/>
              </w:rPr>
              <w:t xml:space="preserve">▲提供5年原厂</w:t>
            </w:r>
            <w:r>
              <w:rPr>
                <w:rFonts w:hint="eastAsia" w:ascii="宋体" w:hAnsi="宋体"/>
                <w:b/>
                <w:bCs/>
                <w:sz w:val="21"/>
                <w:szCs w:val="21"/>
              </w:rPr>
              <w:t xml:space="preserve">现场维保服务</w:t>
            </w:r>
            <w:r>
              <w:rPr>
                <w:rFonts w:hint="eastAsia" w:ascii="宋体" w:hAnsi="宋体"/>
                <w:b/>
                <w:bCs/>
                <w:sz w:val="21"/>
                <w:szCs w:val="21"/>
              </w:rPr>
              <w:t xml:space="preserve">，在国内设有技术服务热线。</w:t>
            </w:r>
            <w:r/>
          </w:p>
        </w:tc>
      </w:tr>
    </w:tbl>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（五）质保、售后服务及其他要求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1、本项目除中心网站、数字</w:t>
      </w:r>
      <w:r>
        <w:rPr>
          <w:rFonts w:hint="eastAsia" w:ascii="宋体" w:hAnsi="宋体"/>
          <w:sz w:val="21"/>
        </w:rPr>
        <w:t xml:space="preserve">疾控移动版质</w:t>
      </w:r>
      <w:r>
        <w:rPr>
          <w:rFonts w:hint="eastAsia" w:ascii="宋体" w:hAnsi="宋体"/>
          <w:sz w:val="21"/>
        </w:rPr>
        <w:t xml:space="preserve">保1年；杀毒软件质保3年外；其余整体质保期为5年，提供5年7*24H</w:t>
      </w:r>
      <w:r>
        <w:rPr>
          <w:rFonts w:hint="eastAsia" w:ascii="宋体" w:hAnsi="宋体"/>
          <w:sz w:val="21"/>
        </w:rPr>
        <w:t xml:space="preserve">现场维保服务</w:t>
      </w:r>
      <w:r>
        <w:rPr>
          <w:rFonts w:hint="eastAsia" w:ascii="宋体" w:hAnsi="宋体"/>
          <w:sz w:val="21"/>
        </w:rPr>
        <w:t xml:space="preserve">，质保期内，应用软件的升级、维护均免费。</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2、投标人应以优良的服务态度，提供1小时以内响应，4小时到达现场，24小时内提供故障处理方案。质</w:t>
      </w:r>
      <w:r>
        <w:rPr>
          <w:rFonts w:hint="eastAsia" w:ascii="宋体" w:hAnsi="宋体"/>
          <w:sz w:val="21"/>
        </w:rPr>
        <w:t xml:space="preserve">保期间</w:t>
      </w:r>
      <w:r>
        <w:rPr>
          <w:rFonts w:hint="eastAsia" w:ascii="宋体" w:hAnsi="宋体"/>
          <w:sz w:val="21"/>
        </w:rPr>
        <w:t xml:space="preserve">的一切软件及硬件本身故障造成的直接经济损失应全部由中标人负责。</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3、中标单位负责对使用、管理人员进行系统的技术培训，保证使用</w:t>
      </w:r>
      <w:r>
        <w:rPr>
          <w:rFonts w:hint="eastAsia" w:ascii="宋体" w:hAnsi="宋体"/>
          <w:sz w:val="21"/>
        </w:rPr>
        <w:t xml:space="preserve">方培训</w:t>
      </w:r>
      <w:r>
        <w:rPr>
          <w:rFonts w:hint="eastAsia" w:ascii="宋体" w:hAnsi="宋体"/>
          <w:sz w:val="21"/>
        </w:rPr>
        <w:t xml:space="preserve">后具有独立使用和维护系统能力。培训服务涉及的相关费用供应商须在响应报价时考虑其中。</w:t>
      </w:r>
      <w:r/>
    </w:p>
    <w:p>
      <w:pPr>
        <w:ind w:left="0" w:firstLine="420"/>
        <w:spacing w:line="360" w:lineRule="auto"/>
        <w:tabs>
          <w:tab w:val="left" w:pos="420" w:leader="none"/>
          <w:tab w:val="left" w:pos="540" w:leader="none"/>
        </w:tabs>
      </w:pPr>
      <w:r>
        <w:rPr>
          <w:rFonts w:hint="eastAsia" w:ascii="宋体" w:hAnsi="宋体"/>
          <w:sz w:val="21"/>
        </w:rPr>
        <w:t xml:space="preserve">4、项目人员要求：指定1人作为项目负责人，负责跟踪推进项目工作和问题的协调落实；</w:t>
      </w:r>
      <w:r>
        <w:rPr>
          <w:rFonts w:hint="eastAsia" w:ascii="宋体" w:hAnsi="宋体"/>
          <w:sz w:val="21"/>
        </w:rPr>
        <w:t xml:space="preserve">除项目</w:t>
      </w:r>
      <w:r>
        <w:rPr>
          <w:rFonts w:hint="eastAsia" w:ascii="宋体" w:hAnsi="宋体"/>
          <w:sz w:val="21"/>
        </w:rPr>
        <w:t xml:space="preserve">负责人外其他人员要求能够顺利开展项目实施工作。</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（六）验收要求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1.采购人将根据《江苏省财政厅关于印发〈江苏省政府采购履约验收管理办法〉的通知》(苏财</w:t>
      </w:r>
      <w:r>
        <w:rPr>
          <w:rFonts w:hint="eastAsia" w:ascii="宋体" w:hAnsi="宋体"/>
          <w:sz w:val="21"/>
        </w:rPr>
        <w:t xml:space="preserve">规</w:t>
      </w:r>
      <w:r>
        <w:rPr>
          <w:rFonts w:hint="eastAsia" w:ascii="宋体" w:hAnsi="宋体"/>
          <w:sz w:val="21"/>
        </w:rPr>
        <w:t xml:space="preserve">(2024)7号)相关要求，组织项目履约验收基本工作。</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4.采购人将按照验收标准要求组织验收，验收内容和标准至少包括服务质量，用户满意度，服务过程文档资料，数据准确性等内容。</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2.此次投标报价应综合</w:t>
      </w:r>
      <w:r>
        <w:rPr>
          <w:rFonts w:hint="eastAsia" w:ascii="宋体" w:hAnsi="宋体"/>
          <w:sz w:val="21"/>
        </w:rPr>
        <w:t xml:space="preserve">考量</w:t>
      </w:r>
      <w:r>
        <w:rPr>
          <w:rFonts w:hint="eastAsia" w:ascii="宋体" w:hAnsi="宋体"/>
          <w:sz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7"/>
        <w:ind w:firstLine="200"/>
        <w:spacing w:line="360" w:lineRule="auto"/>
        <w:rPr>
          <w:rFonts w:hint="eastAsia" w:ascii="宋体" w:hAnsi="宋体"/>
        </w:rPr>
      </w:pPr>
      <w:r>
        <w:rPr>
          <w:rFonts w:hint="eastAsia" w:ascii="宋体" w:hAnsi="宋体"/>
        </w:r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hint="eastAsia"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软件和信息技术服务业</w:t>
      </w:r>
      <w:r>
        <w:rPr>
          <w:rFonts w:hint="eastAsia" w:ascii="宋体" w:hAnsi="宋体" w:cs="Times New Roman"/>
          <w:b/>
          <w:sz w:val="21"/>
        </w:rPr>
        <w:t xml:space="preserve">。</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sz w:val="21"/>
        </w:rPr>
      </w:pPr>
      <w:r>
        <w:rPr>
          <w:rFonts w:hint="eastAsia" w:ascii="宋体" w:hAnsi="宋体"/>
          <w:sz w:val="21"/>
        </w:rPr>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1"/>
        <w:ind w:left="0" w:firstLine="0"/>
        <w:jc w:val="center"/>
        <w:rPr>
          <w:rFonts w:hint="eastAsia" w:ascii="宋体" w:hAnsi="宋体"/>
          <w:b/>
          <w:sz w:val="44"/>
          <w:szCs w:val="22"/>
        </w:rPr>
      </w:pPr>
      <w:r/>
      <w:bookmarkStart w:id="106" w:name="_Toc5111"/>
      <w:r/>
      <w:bookmarkStart w:id="107" w:name="_Toc11789"/>
      <w:r/>
      <w:bookmarkStart w:id="108" w:name="_Hlk55741158"/>
      <w:r>
        <w:rPr>
          <w:rFonts w:hint="eastAsia" w:ascii="宋体" w:hAnsi="宋体"/>
          <w:b/>
          <w:sz w:val="44"/>
          <w:szCs w:val="22"/>
        </w:rPr>
        <w:br w:type="page" w:clear="all"/>
      </w:r>
      <w:bookmarkStart w:id="109" w:name="_Toc105397794"/>
      <w:r>
        <w:rPr>
          <w:rFonts w:hint="eastAsia" w:ascii="宋体" w:hAnsi="宋体"/>
          <w:b/>
          <w:sz w:val="44"/>
          <w:szCs w:val="22"/>
        </w:rPr>
        <w:t xml:space="preserve">第五章 </w:t>
      </w:r>
      <w:bookmarkStart w:id="110" w:name="合同的特殊条款"/>
      <w:r/>
      <w:bookmarkEnd w:id="110"/>
      <w:r>
        <w:rPr>
          <w:rFonts w:hint="eastAsia" w:ascii="宋体" w:hAnsi="宋体"/>
          <w:b/>
          <w:sz w:val="44"/>
          <w:szCs w:val="22"/>
        </w:rPr>
        <w:t xml:space="preserve"> 合同及主要条款</w:t>
      </w:r>
      <w:bookmarkEnd w:id="106"/>
      <w:r/>
      <w:bookmarkEnd w:id="107"/>
      <w:r/>
      <w:bookmarkEnd w:id="109"/>
      <w:r/>
      <w:r/>
    </w:p>
    <w:p>
      <w:pPr>
        <w:ind w:left="0"/>
        <w:jc w:val="center"/>
        <w:rPr>
          <w:rFonts w:hint="eastAsia" w:ascii="宋体" w:hAnsi="宋体"/>
          <w:b/>
          <w:sz w:val="32"/>
          <w:szCs w:val="32"/>
        </w:rPr>
      </w:pPr>
      <w:r/>
      <w:bookmarkStart w:id="111" w:name="OLE_LINK13"/>
      <w:r/>
      <w:bookmarkStart w:id="112" w:name="_Toc57376410"/>
      <w:r/>
      <w:bookmarkStart w:id="113" w:name="_Toc105397795"/>
      <w:r/>
      <w:bookmarkStart w:id="114" w:name="_Toc27667"/>
      <w:r/>
      <w:bookmarkStart w:id="115" w:name="_Toc8564"/>
      <w:r/>
      <w:bookmarkEnd w:id="108"/>
      <w:r>
        <w:rPr>
          <w:rFonts w:hint="eastAsia" w:ascii="宋体" w:hAnsi="宋体"/>
          <w:b/>
          <w:sz w:val="32"/>
          <w:szCs w:val="32"/>
        </w:rPr>
        <w:t xml:space="preserve">政府采购合同</w:t>
      </w:r>
      <w:r/>
    </w:p>
    <w:p>
      <w:pPr>
        <w:ind w:left="0"/>
        <w:jc w:val="left"/>
        <w:spacing w:line="480" w:lineRule="exact"/>
        <w:rPr>
          <w:rFonts w:hint="eastAsia" w:ascii="宋体" w:hAnsi="宋体"/>
          <w:b/>
          <w:sz w:val="21"/>
          <w:szCs w:val="21"/>
        </w:rPr>
      </w:pPr>
      <w:r>
        <w:rPr>
          <w:rFonts w:hint="eastAsia" w:ascii="宋体" w:hAnsi="宋体"/>
          <w:b/>
          <w:sz w:val="21"/>
          <w:szCs w:val="21"/>
        </w:rPr>
        <w:t xml:space="preserve">项目名称：</w:t>
      </w:r>
      <w:r/>
    </w:p>
    <w:p>
      <w:pPr>
        <w:ind w:left="0"/>
        <w:jc w:val="left"/>
        <w:spacing w:line="480" w:lineRule="exact"/>
        <w:rPr>
          <w:rFonts w:hint="eastAsia" w:ascii="宋体" w:hAnsi="宋体"/>
          <w:b/>
          <w:sz w:val="21"/>
          <w:szCs w:val="21"/>
        </w:rPr>
      </w:pPr>
      <w:r>
        <w:rPr>
          <w:rFonts w:hint="eastAsia" w:ascii="宋体" w:hAnsi="宋体"/>
          <w:b/>
          <w:sz w:val="21"/>
          <w:szCs w:val="21"/>
        </w:rPr>
        <w:t xml:space="preserve">项目编号：</w:t>
      </w:r>
      <w:r/>
    </w:p>
    <w:p>
      <w:pPr>
        <w:ind w:left="0"/>
        <w:jc w:val="left"/>
        <w:spacing w:line="480" w:lineRule="exact"/>
        <w:rPr>
          <w:rFonts w:hint="eastAsia" w:ascii="宋体" w:hAnsi="宋体"/>
          <w:b/>
          <w:sz w:val="21"/>
          <w:szCs w:val="21"/>
        </w:rPr>
      </w:pPr>
      <w:r>
        <w:rPr>
          <w:rFonts w:hint="eastAsia" w:ascii="宋体" w:hAnsi="宋体"/>
          <w:b/>
          <w:sz w:val="21"/>
          <w:szCs w:val="21"/>
        </w:rPr>
        <w:t xml:space="preserve">采购人（甲方）：</w:t>
      </w:r>
      <w:r/>
    </w:p>
    <w:p>
      <w:pPr>
        <w:ind w:left="0"/>
        <w:jc w:val="left"/>
        <w:spacing w:line="480" w:lineRule="exact"/>
        <w:rPr>
          <w:rFonts w:hint="eastAsia"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hint="eastAsia" w:ascii="宋体" w:hAnsi="宋体" w:cs="Times New Roman"/>
          <w:sz w:val="21"/>
          <w:szCs w:val="21"/>
        </w:rPr>
      </w:pPr>
      <w:r>
        <w:rPr>
          <w:rFonts w:hint="eastAsia" w:ascii="宋体" w:hAnsi="宋体" w:cs="Times New Roman"/>
          <w:sz w:val="21"/>
          <w:szCs w:val="21"/>
        </w:rPr>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hint="eastAsia" w:ascii="宋体" w:hAnsi="宋体"/>
          <w:sz w:val="21"/>
          <w:szCs w:val="21"/>
        </w:rPr>
      </w:pPr>
      <w:r>
        <w:rPr>
          <w:rFonts w:hint="eastAsia" w:ascii="宋体" w:hAnsi="宋体"/>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hint="eastAsia"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hint="eastAsia"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                     </w:t>
      </w:r>
      <w:r/>
    </w:p>
    <w:p>
      <w:pPr>
        <w:ind w:left="0" w:firstLine="420"/>
        <w:spacing w:line="360" w:lineRule="auto"/>
        <w:widowControl w:val="off"/>
        <w:rPr>
          <w:rFonts w:hint="eastAsia" w:ascii="宋体" w:hAnsi="宋体"/>
          <w:sz w:val="21"/>
          <w:szCs w:val="21"/>
        </w:rPr>
      </w:pPr>
      <w:r>
        <w:rPr>
          <w:rFonts w:ascii="Wingdings" w:hAnsi="Wingdings" w:eastAsia="Wingdings" w:cs="Wingdings"/>
          <w:sz w:val="21"/>
          <w:szCs w:val="21"/>
        </w:rPr>
        <w:t xml:space="preserve">þ</w:t>
      </w:r>
      <w:r>
        <w:rPr>
          <w:rFonts w:hint="eastAsia" w:ascii="宋体" w:hAnsi="宋体"/>
          <w:sz w:val="21"/>
          <w:szCs w:val="21"/>
        </w:rPr>
        <w:t xml:space="preserve">分期付款：</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（1）合同签订后支付30%作为预付款，货物交付、安装并通过验收后支付尾款。</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（2）在签订合同时，乙方明确表示无需预付款或者主动要求降低预付款比例的，甲方可不适用上述关于预付款的规定。</w:t>
      </w:r>
      <w:r/>
    </w:p>
    <w:p>
      <w:pPr>
        <w:ind w:left="0" w:firstLine="422"/>
        <w:spacing w:line="360" w:lineRule="auto"/>
        <w:widowControl w:val="off"/>
        <w:rPr>
          <w:rFonts w:hint="eastAsia" w:ascii="宋体" w:hAnsi="宋体"/>
          <w:sz w:val="21"/>
          <w:szCs w:val="21"/>
          <w:u w:val="single"/>
        </w:rPr>
      </w:pPr>
      <w:r>
        <w:rPr>
          <w:rFonts w:hint="eastAsia" w:ascii="宋体" w:hAnsi="宋体"/>
          <w:b/>
          <w:sz w:val="21"/>
          <w:szCs w:val="21"/>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数字人民币账户（</w:t>
      </w:r>
      <w:r>
        <w:rPr>
          <w:rFonts w:hint="eastAsia" w:ascii="宋体" w:hAnsi="宋体"/>
          <w:sz w:val="21"/>
          <w:szCs w:val="21"/>
        </w:rPr>
        <w:t xml:space="preserve">数币钱包</w:t>
      </w:r>
      <w:r>
        <w:rPr>
          <w:rFonts w:hint="eastAsia" w:ascii="宋体" w:hAnsi="宋体"/>
          <w:sz w:val="21"/>
          <w:szCs w:val="21"/>
        </w:rPr>
        <w:t xml:space="preserve">ID）：</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hint="eastAsia"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hint="eastAsia"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hint="eastAsia" w:ascii="宋体" w:hAnsi="宋体"/>
          <w:b/>
          <w:bCs/>
          <w:sz w:val="21"/>
          <w:szCs w:val="21"/>
        </w:rPr>
      </w:pPr>
      <w:r>
        <w:rPr>
          <w:rFonts w:hint="eastAsia" w:ascii="宋体" w:hAnsi="宋体"/>
          <w:b/>
          <w:bCs/>
          <w:sz w:val="21"/>
          <w:szCs w:val="21"/>
        </w:rPr>
      </w:r>
      <w:r/>
    </w:p>
    <w:p>
      <w:pPr>
        <w:ind w:left="0" w:firstLine="422"/>
        <w:spacing w:line="480" w:lineRule="exact"/>
        <w:widowControl w:val="off"/>
        <w:rPr>
          <w:rFonts w:hint="eastAsia"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甲方将根据《江苏省财政厅关于印发&lt;江苏省政府采购履约验收管理办法&gt;的通知》（苏财</w:t>
      </w:r>
      <w:r>
        <w:rPr>
          <w:rFonts w:hint="eastAsia" w:ascii="宋体" w:hAnsi="宋体"/>
          <w:sz w:val="21"/>
          <w:szCs w:val="21"/>
        </w:rPr>
        <w:t xml:space="preserve">规</w:t>
      </w:r>
      <w:r>
        <w:rPr>
          <w:rFonts w:hint="eastAsia" w:ascii="宋体" w:hAnsi="宋体"/>
          <w:sz w:val="21"/>
          <w:szCs w:val="21"/>
        </w:rPr>
        <w:t xml:space="preserve">〔2024〕7号）相关要求，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hint="eastAsia"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hint="eastAsia"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hint="eastAsia"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þ</w:t>
      </w:r>
      <w:r>
        <w:rPr>
          <w:rFonts w:hint="eastAsia" w:ascii="宋体" w:hAnsi="宋体"/>
          <w:bCs/>
          <w:sz w:val="21"/>
          <w:szCs w:val="21"/>
        </w:rPr>
        <w:t xml:space="preserve">一次性验收         </w:t>
      </w:r>
      <w:r/>
    </w:p>
    <w:p>
      <w:pPr>
        <w:spacing w:line="480" w:lineRule="exact"/>
        <w:rPr>
          <w:rFonts w:hint="eastAsia"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w:t>
      </w:r>
      <w:r>
        <w:rPr>
          <w:rFonts w:hint="eastAsia" w:ascii="宋体" w:hAnsi="宋体"/>
          <w:sz w:val="21"/>
          <w:szCs w:val="21"/>
        </w:rPr>
        <w:t xml:space="preserve">拒绝或迟延支付。</w:t>
      </w:r>
      <w:r/>
    </w:p>
    <w:p>
      <w:pPr>
        <w:ind w:left="0" w:firstLine="420"/>
        <w:spacing w:line="480" w:lineRule="exact"/>
        <w:widowControl w:val="off"/>
        <w:rPr>
          <w:rFonts w:hint="eastAsia"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hint="eastAsia"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hint="eastAsia" w:ascii="宋体" w:hAnsi="宋体"/>
          <w:b/>
          <w:sz w:val="21"/>
          <w:szCs w:val="21"/>
        </w:rPr>
      </w:pPr>
      <w:r>
        <w:rPr>
          <w:rFonts w:hint="eastAsia" w:ascii="宋体" w:hAnsi="宋体"/>
          <w:b/>
          <w:sz w:val="21"/>
          <w:szCs w:val="21"/>
        </w:rPr>
      </w:r>
      <w:r/>
    </w:p>
    <w:p>
      <w:pPr>
        <w:ind w:left="400"/>
        <w:spacing w:line="480" w:lineRule="exact"/>
        <w:rPr>
          <w:rFonts w:hint="eastAsia"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hint="eastAsia"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hint="eastAsia"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hint="eastAsia" w:ascii="宋体" w:hAnsi="宋体" w:cs="Times New Roman"/>
          <w:b/>
          <w:sz w:val="21"/>
          <w:szCs w:val="21"/>
          <w:lang w:eastAsia="zh"/>
        </w:rPr>
      </w:pPr>
      <w:r>
        <w:rPr>
          <w:rFonts w:hint="eastAsia" w:ascii="宋体" w:hAnsi="宋体" w:cs="Times New Roman"/>
          <w:b/>
          <w:sz w:val="21"/>
          <w:szCs w:val="21"/>
          <w:lang w:eastAsia="zh"/>
        </w:rPr>
      </w:r>
      <w:r/>
    </w:p>
    <w:p>
      <w:pPr>
        <w:ind w:left="420"/>
        <w:spacing w:line="480" w:lineRule="exact"/>
        <w:rPr>
          <w:rFonts w:hint="eastAsia"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hint="eastAsia"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hint="eastAsia" w:ascii="宋体" w:hAnsi="宋体"/>
          <w:b/>
          <w:sz w:val="21"/>
          <w:szCs w:val="21"/>
        </w:rPr>
      </w:pPr>
      <w:r>
        <w:rPr>
          <w:rFonts w:hint="eastAsia" w:ascii="宋体" w:hAnsi="宋体"/>
          <w:b/>
          <w:sz w:val="21"/>
          <w:szCs w:val="21"/>
        </w:rPr>
      </w:r>
      <w:r/>
    </w:p>
    <w:p>
      <w:pPr>
        <w:ind w:left="0" w:firstLine="422"/>
        <w:spacing w:line="480" w:lineRule="exact"/>
        <w:rPr>
          <w:rFonts w:hint="eastAsia"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（4）乙方应执行国家有关规定（如苏州最低工资标准和其他规定），负责</w:t>
      </w:r>
      <w:r>
        <w:rPr>
          <w:rFonts w:hint="eastAsia" w:ascii="宋体" w:hAnsi="宋体"/>
          <w:sz w:val="21"/>
          <w:szCs w:val="21"/>
        </w:rPr>
        <w:t xml:space="preserve">乙方员工</w:t>
      </w:r>
      <w:r>
        <w:rPr>
          <w:rFonts w:hint="eastAsia" w:ascii="宋体" w:hAnsi="宋体"/>
          <w:sz w:val="21"/>
          <w:szCs w:val="21"/>
        </w:rPr>
        <w:t xml:space="preserve">的生病、事故、伤残、死亡和劳务纠纷，甲方不承担任何相关责任。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hint="eastAsia" w:ascii="宋体" w:hAnsi="宋体" w:cs="Times New Roman"/>
          <w:b/>
          <w:sz w:val="21"/>
          <w:szCs w:val="21"/>
        </w:rPr>
      </w:pPr>
      <w:r>
        <w:rPr>
          <w:rFonts w:hint="eastAsia" w:ascii="宋体" w:hAnsi="宋体" w:cs="Times New Roman"/>
          <w:b/>
          <w:sz w:val="21"/>
          <w:szCs w:val="21"/>
        </w:rPr>
      </w:r>
      <w:r/>
    </w:p>
    <w:p>
      <w:pPr>
        <w:ind w:left="0" w:firstLine="422"/>
        <w:spacing w:line="480" w:lineRule="exact"/>
        <w:rPr>
          <w:rFonts w:hint="eastAsia"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hint="eastAsia"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hint="eastAsia"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hint="eastAsia"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r>
      <w:r/>
    </w:p>
    <w:p>
      <w:pPr>
        <w:ind w:left="0" w:firstLine="422"/>
        <w:spacing w:line="480" w:lineRule="exact"/>
        <w:widowControl w:val="off"/>
        <w:rPr>
          <w:rFonts w:hint="eastAsia"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w:t>
      </w:r>
      <w:r>
        <w:rPr>
          <w:rFonts w:hint="eastAsia" w:ascii="宋体" w:hAnsi="宋体"/>
          <w:sz w:val="21"/>
          <w:szCs w:val="21"/>
        </w:rPr>
        <w:t xml:space="preserve">进行合同分包。</w:t>
      </w:r>
      <w:r/>
    </w:p>
    <w:p>
      <w:pPr>
        <w:ind w:left="0" w:firstLine="420"/>
        <w:spacing w:line="480" w:lineRule="exact"/>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hint="eastAsia"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hint="eastAsia" w:ascii="宋体" w:hAnsi="宋体" w:cs="Times New Roman"/>
        </w:rPr>
      </w:pPr>
      <w:r>
        <w:rPr>
          <w:rFonts w:hint="eastAsia"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11"/>
            <w:r/>
          </w:p>
        </w:tc>
      </w:tr>
    </w:tbl>
    <w:p>
      <w:pPr>
        <w:pStyle w:val="900"/>
        <w:ind w:left="0" w:firstLine="0"/>
        <w:rPr>
          <w:rFonts w:hint="eastAsia" w:ascii="宋体" w:hAnsi="宋体"/>
          <w:b/>
          <w:sz w:val="44"/>
          <w:szCs w:val="22"/>
        </w:rPr>
      </w:pPr>
      <w:r>
        <w:rPr>
          <w:rFonts w:hint="eastAsia" w:ascii="宋体" w:hAnsi="宋体"/>
          <w:b/>
          <w:sz w:val="44"/>
          <w:szCs w:val="22"/>
        </w:rPr>
      </w:r>
      <w:r/>
    </w:p>
    <w:p>
      <w:pPr>
        <w:pStyle w:val="900"/>
        <w:ind w:left="400" w:firstLine="883"/>
        <w:rPr>
          <w:rFonts w:hint="eastAsia" w:ascii="宋体" w:hAnsi="宋体"/>
          <w:b/>
          <w:sz w:val="44"/>
          <w:szCs w:val="22"/>
        </w:rPr>
      </w:pPr>
      <w:r>
        <w:rPr>
          <w:rFonts w:hint="eastAsia" w:ascii="宋体" w:hAnsi="宋体"/>
          <w:b/>
          <w:sz w:val="44"/>
          <w:szCs w:val="22"/>
        </w:rPr>
        <w:br w:type="page" w:clear="all"/>
      </w:r>
      <w:r/>
    </w:p>
    <w:p>
      <w:pPr>
        <w:pStyle w:val="841"/>
        <w:ind w:left="0" w:firstLine="0"/>
        <w:jc w:val="center"/>
        <w:rPr>
          <w:rFonts w:hint="eastAsia" w:ascii="宋体" w:hAnsi="宋体"/>
          <w:b/>
          <w:sz w:val="44"/>
          <w:szCs w:val="22"/>
        </w:rPr>
      </w:pPr>
      <w:r>
        <w:rPr>
          <w:rFonts w:hint="eastAsia" w:ascii="宋体" w:hAnsi="宋体"/>
          <w:b/>
          <w:sz w:val="44"/>
          <w:szCs w:val="22"/>
        </w:rPr>
        <w:t xml:space="preserve">第六章 </w:t>
      </w:r>
      <w:bookmarkStart w:id="116" w:name="评分要点"/>
      <w:r/>
      <w:bookmarkEnd w:id="116"/>
      <w:r>
        <w:rPr>
          <w:rFonts w:hint="eastAsia" w:ascii="宋体" w:hAnsi="宋体"/>
          <w:b/>
          <w:sz w:val="44"/>
          <w:szCs w:val="22"/>
        </w:rPr>
        <w:t xml:space="preserve"> 评标办法和评分标准</w:t>
      </w:r>
      <w:bookmarkEnd w:id="112"/>
      <w:r/>
      <w:bookmarkEnd w:id="113"/>
      <w:r/>
      <w:bookmarkEnd w:id="114"/>
      <w:r/>
      <w:bookmarkEnd w:id="115"/>
      <w:r/>
      <w:r/>
    </w:p>
    <w:p>
      <w:pPr>
        <w:ind w:left="0" w:firstLine="422"/>
        <w:spacing w:line="360" w:lineRule="auto"/>
        <w:rPr>
          <w:rFonts w:hint="eastAsia" w:ascii="宋体" w:hAnsi="宋体"/>
          <w:b/>
          <w:sz w:val="21"/>
          <w:szCs w:val="21"/>
        </w:rPr>
      </w:pPr>
      <w:r/>
      <w:bookmarkStart w:id="117" w:name="_Toc16264"/>
      <w:r/>
      <w:bookmarkStart w:id="118" w:name="_Toc17476"/>
      <w:r/>
      <w:bookmarkStart w:id="119" w:name="_Toc698"/>
      <w:r>
        <w:rPr>
          <w:rFonts w:hint="eastAsia" w:ascii="宋体" w:hAnsi="宋体"/>
          <w:b/>
          <w:sz w:val="21"/>
          <w:szCs w:val="21"/>
        </w:rPr>
        <w:t xml:space="preserve">一、评标办法：</w:t>
      </w:r>
      <w:bookmarkEnd w:id="117"/>
      <w:r/>
      <w:bookmarkEnd w:id="118"/>
      <w:r/>
      <w:bookmarkEnd w:id="119"/>
      <w:r/>
      <w:r/>
    </w:p>
    <w:p>
      <w:pPr>
        <w:ind w:left="0" w:firstLine="420"/>
        <w:spacing w:line="360" w:lineRule="auto"/>
        <w:rPr>
          <w:rFonts w:hint="eastAsia"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hint="eastAsia"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hint="eastAsia"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hint="eastAsia" w:ascii="宋体" w:hAnsi="宋体"/>
          <w:sz w:val="21"/>
        </w:rPr>
      </w:pPr>
      <w:r>
        <w:rPr>
          <w:rFonts w:hint="eastAsia" w:ascii="宋体" w:hAnsi="宋体"/>
          <w:sz w:val="21"/>
        </w:rPr>
        <w:t xml:space="preserve">小</w:t>
      </w:r>
      <w:r>
        <w:rPr>
          <w:rFonts w:hint="eastAsia" w:ascii="宋体" w:hAnsi="宋体"/>
          <w:sz w:val="21"/>
        </w:rPr>
        <w:t xml:space="preserve">微企业</w:t>
      </w:r>
      <w:r>
        <w:rPr>
          <w:rFonts w:hint="eastAsia" w:ascii="宋体" w:hAnsi="宋体"/>
          <w:sz w:val="21"/>
        </w:rPr>
        <w:t xml:space="preserve">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hint="eastAsia" w:ascii="宋体" w:hAnsi="宋体"/>
          <w:b/>
          <w:sz w:val="21"/>
          <w:szCs w:val="21"/>
        </w:rPr>
      </w:pPr>
      <w:r>
        <w:rPr>
          <w:rFonts w:hint="eastAsia" w:ascii="宋体" w:hAnsi="宋体"/>
          <w:sz w:val="21"/>
        </w:rPr>
        <w:t xml:space="preserve">注：</w:t>
      </w:r>
      <w:r/>
    </w:p>
    <w:p>
      <w:pPr>
        <w:ind w:left="0" w:firstLine="420"/>
        <w:spacing w:line="360" w:lineRule="auto"/>
        <w:rPr>
          <w:rFonts w:hint="eastAsia"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3"/>
      </w:pPr>
      <w:r/>
      <w:r/>
    </w:p>
    <w:p>
      <w:pPr>
        <w:ind w:left="0" w:firstLine="422"/>
        <w:spacing w:line="360" w:lineRule="auto"/>
        <w:rPr>
          <w:rFonts w:hint="eastAsia"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100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6450"/>
        <w:gridCol w:w="792"/>
      </w:tblGrid>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评审项</w:t>
            </w:r>
            <w:r/>
          </w:p>
        </w:tc>
        <w:tc>
          <w:tcPr>
            <w:tcW w:w="6450"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评审规则</w:t>
            </w:r>
            <w:r/>
          </w:p>
        </w:tc>
        <w:tc>
          <w:tcPr>
            <w:tcW w:w="792"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widowControl w:val="off"/>
              <w:rPr>
                <w:rFonts w:hint="eastAsia" w:ascii="宋体" w:hAnsi="宋体"/>
                <w:b/>
                <w:bCs/>
                <w:color w:val="000000"/>
                <w:sz w:val="21"/>
                <w:szCs w:val="21"/>
                <w:lang w:bidi="ar"/>
              </w:rPr>
            </w:pPr>
            <w:r>
              <w:rPr>
                <w:rFonts w:hint="eastAsia" w:ascii="宋体" w:hAnsi="宋体"/>
                <w:b/>
                <w:bCs/>
                <w:color w:val="000000"/>
                <w:sz w:val="21"/>
                <w:szCs w:val="21"/>
                <w:lang w:bidi="ar"/>
              </w:rPr>
              <w:t xml:space="preserve">（一）价格部分</w:t>
            </w:r>
            <w:r/>
          </w:p>
          <w:p>
            <w:pPr>
              <w:ind w:left="0"/>
              <w:jc w:val="center"/>
              <w:widowControl w:val="off"/>
              <w:rPr>
                <w:rFonts w:hint="eastAsia" w:ascii="宋体" w:hAnsi="宋体"/>
                <w:color w:val="000000"/>
                <w:sz w:val="21"/>
                <w:szCs w:val="21"/>
                <w:lang w:bidi="ar"/>
              </w:rPr>
            </w:pPr>
            <w:r>
              <w:rPr>
                <w:rFonts w:hint="eastAsia" w:ascii="宋体" w:hAnsi="宋体"/>
                <w:b/>
                <w:bCs/>
                <w:color w:val="000000"/>
                <w:sz w:val="21"/>
                <w:szCs w:val="21"/>
                <w:lang w:bidi="ar"/>
              </w:rPr>
              <w:t xml:space="preserve">（10分）</w:t>
            </w:r>
            <w:r/>
          </w:p>
        </w:tc>
        <w:tc>
          <w:tcPr>
            <w:tcW w:w="141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投标报价</w:t>
            </w:r>
            <w:r/>
          </w:p>
        </w:tc>
        <w:tc>
          <w:tcPr>
            <w:tcW w:w="6450"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w:t>
            </w:r>
            <w:r>
              <w:rPr>
                <w:rFonts w:hint="eastAsia" w:ascii="宋体" w:hAnsi="宋体"/>
                <w:color w:val="000000"/>
                <w:sz w:val="21"/>
                <w:szCs w:val="21"/>
                <w:lang w:bidi="ar"/>
              </w:rPr>
              <w:t xml:space="preserve">超财政</w:t>
            </w:r>
            <w:r>
              <w:rPr>
                <w:rFonts w:hint="eastAsia" w:ascii="宋体" w:hAnsi="宋体"/>
                <w:color w:val="000000"/>
                <w:sz w:val="21"/>
                <w:szCs w:val="21"/>
                <w:lang w:bidi="ar"/>
              </w:rPr>
              <w:t xml:space="preserve">预算（或最高限价）的投标报价为无效投标报价。</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w:t>
            </w:r>
            <w:r>
              <w:rPr>
                <w:rFonts w:hint="eastAsia" w:ascii="宋体" w:hAnsi="宋体"/>
                <w:color w:val="000000"/>
                <w:sz w:val="21"/>
                <w:szCs w:val="21"/>
                <w:lang w:bidi="ar"/>
              </w:rPr>
              <w:t xml:space="preserve">分按照</w:t>
            </w:r>
            <w:r>
              <w:rPr>
                <w:rFonts w:hint="eastAsia" w:ascii="宋体" w:hAnsi="宋体"/>
                <w:color w:val="000000"/>
                <w:sz w:val="21"/>
                <w:szCs w:val="21"/>
                <w:lang w:bidi="ar"/>
              </w:rPr>
              <w:t xml:space="preserve">下列公式计算（计算结果四舍五入保留两位小数）。</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投标报价得分＝（评标基准价/投标报价）×10％×100</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因落实政府采购政策进行价格调整的，以调整后的价格计算评标基准价和投标报价。</w:t>
            </w:r>
            <w:r/>
          </w:p>
        </w:tc>
        <w:tc>
          <w:tcPr>
            <w:tcW w:w="792"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lang w:bidi="ar"/>
              </w:rPr>
              <w:t xml:space="preserve">10</w:t>
            </w:r>
            <w:r/>
          </w:p>
        </w:tc>
      </w:tr>
      <w:tr>
        <w:trPr>
          <w:trHeight w:val="113"/>
        </w:trPr>
        <w:tc>
          <w:tcPr>
            <w:tcW w:w="1413" w:type="dxa"/>
            <w:vAlign w:val="center"/>
            <w:vMerge w:val="restart"/>
            <w:textDirection w:val="lrTb"/>
            <w:noWrap w:val="false"/>
          </w:tcPr>
          <w:p>
            <w:pPr>
              <w:ind w:left="0"/>
              <w:widowControl w:val="off"/>
              <w:rPr>
                <w:rFonts w:hint="eastAsia" w:ascii="宋体" w:hAnsi="宋体"/>
                <w:b/>
                <w:bCs/>
                <w:color w:val="000000"/>
                <w:sz w:val="21"/>
                <w:szCs w:val="21"/>
                <w:lang w:bidi="ar"/>
              </w:rPr>
            </w:pPr>
            <w:r>
              <w:rPr>
                <w:rFonts w:hint="eastAsia" w:ascii="宋体" w:hAnsi="宋体"/>
                <w:b/>
                <w:bCs/>
                <w:color w:val="000000"/>
                <w:sz w:val="21"/>
                <w:szCs w:val="21"/>
                <w:lang w:bidi="ar"/>
              </w:rPr>
              <w:t xml:space="preserve">（二）技术方案及实施方案</w:t>
            </w:r>
            <w:r/>
          </w:p>
          <w:p>
            <w:pPr>
              <w:ind w:left="0"/>
              <w:widowControl w:val="off"/>
              <w:rPr>
                <w:rFonts w:hint="eastAsia" w:ascii="宋体" w:hAnsi="宋体"/>
                <w:color w:val="000000"/>
                <w:sz w:val="21"/>
                <w:szCs w:val="21"/>
                <w:lang w:bidi="ar"/>
              </w:rPr>
            </w:pPr>
            <w:r>
              <w:rPr>
                <w:rFonts w:hint="eastAsia" w:ascii="宋体" w:hAnsi="宋体"/>
                <w:b/>
                <w:bCs/>
                <w:color w:val="000000"/>
                <w:sz w:val="21"/>
                <w:szCs w:val="21"/>
                <w:lang w:bidi="ar"/>
              </w:rPr>
              <w:t xml:space="preserve">（48分）</w:t>
            </w:r>
            <w:r/>
          </w:p>
        </w:tc>
        <w:tc>
          <w:tcPr>
            <w:tcW w:w="141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1、投标人基于对本项目的理解，结合招标文件需求，提供</w:t>
            </w:r>
            <w:r>
              <w:rPr>
                <w:rFonts w:hint="eastAsia" w:ascii="宋体" w:hAnsi="宋体"/>
                <w:color w:val="000000"/>
                <w:sz w:val="21"/>
                <w:szCs w:val="21"/>
                <w:lang w:bidi="ar"/>
              </w:rPr>
              <w:t xml:space="preserve">数字疾控移动</w:t>
            </w:r>
            <w:r>
              <w:rPr>
                <w:rFonts w:hint="eastAsia" w:ascii="宋体" w:hAnsi="宋体"/>
                <w:color w:val="000000"/>
                <w:sz w:val="21"/>
                <w:szCs w:val="21"/>
                <w:lang w:bidi="ar"/>
              </w:rPr>
              <w:t xml:space="preserve">版（接入苏政服）建设方案。</w:t>
            </w:r>
            <w:r/>
          </w:p>
        </w:tc>
        <w:tc>
          <w:tcPr>
            <w:tcW w:w="6450"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（1）项目现状分析；</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（2）项目需求分析</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（3）传染病聚集性疫情数据全程监控；</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（4）实验室移动化管理；</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（5）移动后勤业务场景的适配性；</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（6）</w:t>
            </w:r>
            <w:r>
              <w:rPr>
                <w:rFonts w:hint="eastAsia" w:ascii="宋体" w:hAnsi="宋体"/>
                <w:color w:val="000000"/>
                <w:sz w:val="21"/>
                <w:szCs w:val="21"/>
                <w:lang w:bidi="ar"/>
              </w:rPr>
              <w:t xml:space="preserve">数字疾控移动</w:t>
            </w:r>
            <w:r>
              <w:rPr>
                <w:rFonts w:hint="eastAsia" w:ascii="宋体" w:hAnsi="宋体"/>
                <w:color w:val="000000"/>
                <w:sz w:val="21"/>
                <w:szCs w:val="21"/>
                <w:lang w:bidi="ar"/>
              </w:rPr>
              <w:t xml:space="preserve">版与集成平台的兼容性分析。</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上述每项应逐条叙述，方案完整、内容详细、计划清晰明确、并且能结合用户需求提供全面方案的得2分；实施方案、内容基本完整、计划基本可行的得1分；未提供的不得分。本项最高得12分。</w:t>
            </w:r>
            <w:r/>
          </w:p>
        </w:tc>
        <w:tc>
          <w:tcPr>
            <w:tcW w:w="792"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lang w:bidi="ar"/>
              </w:rPr>
              <w:t xml:space="preserve">12</w:t>
            </w:r>
            <w:r/>
          </w:p>
        </w:tc>
      </w:tr>
      <w:tr>
        <w:trPr>
          <w:trHeight w:val="1638"/>
        </w:trPr>
        <w:tc>
          <w:tcPr>
            <w:tcW w:w="1413" w:type="dxa"/>
            <w:vAlign w:val="center"/>
            <w:vMerge w:val="continue"/>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r>
            <w:r/>
          </w:p>
        </w:tc>
        <w:tc>
          <w:tcPr>
            <w:tcW w:w="141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2、投标人基于对本项目的理解，结合招标文件需求，提供虚拟化技术解决方案。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r>
            <w:r/>
          </w:p>
        </w:tc>
        <w:tc>
          <w:tcPr>
            <w:tcW w:w="6450"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（1）组网规划；</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（2）基础设施管理；</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（3）资源编排发放；</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（4）租户运营管理。</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上述每项应逐条叙述，方案完整、内容详细、计划清晰明确、并且能结合用户需求提供全面方案的得2分；实施方案、内容基本完整、计划基本可行的得1分；未提供的不得分。本项最高得8分。</w:t>
            </w:r>
            <w:r/>
          </w:p>
        </w:tc>
        <w:tc>
          <w:tcPr>
            <w:tcW w:w="792"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lang w:bidi="ar"/>
              </w:rPr>
              <w:t xml:space="preserve">8</w:t>
            </w:r>
            <w:r/>
          </w:p>
        </w:tc>
      </w:tr>
      <w:tr>
        <w:trPr>
          <w:trHeight w:val="113"/>
        </w:trPr>
        <w:tc>
          <w:tcPr>
            <w:tcW w:w="1413" w:type="dxa"/>
            <w:vAlign w:val="center"/>
            <w:vMerge w:val="continue"/>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r>
            <w:r/>
          </w:p>
        </w:tc>
        <w:tc>
          <w:tcPr>
            <w:tcW w:w="141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3、投标人结合类似项目经验及本项目的特点，提供实施组织方案。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r>
            <w:r/>
          </w:p>
        </w:tc>
        <w:tc>
          <w:tcPr>
            <w:tcW w:w="6450"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（1）组织机构；</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（2）进度控制；</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（3）工作程序和步骤；</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（4）管理和协调方法；</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（5）安装调试、系统集成、试运行、测试、验收。</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上述每项应逐条叙述，方案完整、内容详细、计划清晰明确、并且能结合用户需求提供全面方案的得2分；实施方案、内容基本完整、计划基本可行的得1分；未提供的不得分。本项最高得10分。</w:t>
            </w:r>
            <w:r/>
          </w:p>
        </w:tc>
        <w:tc>
          <w:tcPr>
            <w:tcW w:w="792"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lang w:bidi="ar"/>
              </w:rPr>
              <w:t xml:space="preserve">10</w:t>
            </w:r>
            <w:r/>
          </w:p>
        </w:tc>
      </w:tr>
      <w:tr>
        <w:trPr>
          <w:trHeight w:val="113"/>
        </w:trPr>
        <w:tc>
          <w:tcPr>
            <w:tcW w:w="1413" w:type="dxa"/>
            <w:vAlign w:val="center"/>
            <w:vMerge w:val="continue"/>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r>
            <w:r/>
          </w:p>
        </w:tc>
        <w:tc>
          <w:tcPr>
            <w:tcW w:w="141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4、投标人基于对本项目</w:t>
            </w:r>
            <w:r>
              <w:rPr>
                <w:rFonts w:hint="eastAsia" w:ascii="宋体" w:hAnsi="宋体"/>
                <w:color w:val="000000"/>
                <w:sz w:val="21"/>
                <w:szCs w:val="21"/>
                <w:lang w:bidi="ar"/>
              </w:rPr>
              <w:t xml:space="preserve">的理解，结合招标文件需求，提供售后及培训服务方案。</w:t>
            </w:r>
            <w:r/>
          </w:p>
        </w:tc>
        <w:tc>
          <w:tcPr>
            <w:tcW w:w="6450"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（1）售后服务承诺及保障措施</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（2）响应及处理周期</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（3）服务范围</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（4）培训计划</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（5）培训内容</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上述每项应逐条叙述，方案完整、内容详细、计划清晰明确、并且能结合用户需求提供全面方案的得2分；实施方案、内容基本完整、计划基本可行的得1分；未提供的不得分。本项最高得10分。</w:t>
            </w:r>
            <w:r/>
          </w:p>
        </w:tc>
        <w:tc>
          <w:tcPr>
            <w:tcW w:w="792"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lang w:bidi="ar"/>
              </w:rPr>
              <w:t xml:space="preserve">10</w:t>
            </w:r>
            <w:r/>
          </w:p>
        </w:tc>
      </w:tr>
      <w:tr>
        <w:trPr>
          <w:trHeight w:val="782"/>
        </w:trPr>
        <w:tc>
          <w:tcPr>
            <w:tcW w:w="1413" w:type="dxa"/>
            <w:vAlign w:val="center"/>
            <w:vMerge w:val="continue"/>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r>
            <w:r/>
          </w:p>
        </w:tc>
        <w:tc>
          <w:tcPr>
            <w:tcW w:w="141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5、投标人基于对本项目的理解，结合招标文件需求，提供质量管理与应急方案</w:t>
            </w:r>
            <w:r/>
          </w:p>
        </w:tc>
        <w:tc>
          <w:tcPr>
            <w:tcW w:w="6450"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（1）质量风险</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（2）质量控制措施</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（3）风险管理</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（4）应急管理方案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上述每项应逐条叙述，方案完整、内容详细、计划清晰明确、并且能结合用户需求提供全面方案的得2分；实施方案、内容基本完整、计划基本可行的得1分；未提供的不得分。本项最高得8分。</w:t>
            </w:r>
            <w:r/>
          </w:p>
        </w:tc>
        <w:tc>
          <w:tcPr>
            <w:tcW w:w="792"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lang w:bidi="ar"/>
              </w:rPr>
              <w:t xml:space="preserve">8</w:t>
            </w:r>
            <w:r/>
          </w:p>
        </w:tc>
      </w:tr>
      <w:tr>
        <w:trPr>
          <w:trHeight w:val="782"/>
        </w:trPr>
        <w:tc>
          <w:tcPr>
            <w:tcW w:w="1413" w:type="dxa"/>
            <w:vAlign w:val="center"/>
            <w:vMerge w:val="restart"/>
            <w:textDirection w:val="lrTb"/>
            <w:noWrap w:val="false"/>
          </w:tcPr>
          <w:p>
            <w:pPr>
              <w:ind w:left="0"/>
              <w:jc w:val="center"/>
              <w:widowControl w:val="off"/>
              <w:rPr>
                <w:rFonts w:hint="eastAsia" w:ascii="宋体" w:hAnsi="宋体"/>
                <w:b/>
                <w:bCs/>
                <w:color w:val="000000"/>
                <w:sz w:val="21"/>
                <w:szCs w:val="21"/>
                <w:lang w:bidi="ar"/>
              </w:rPr>
            </w:pPr>
            <w:r>
              <w:rPr>
                <w:rFonts w:hint="eastAsia" w:ascii="宋体" w:hAnsi="宋体"/>
                <w:b/>
                <w:bCs/>
                <w:color w:val="000000"/>
                <w:sz w:val="21"/>
                <w:szCs w:val="21"/>
                <w:lang w:bidi="ar"/>
              </w:rPr>
              <w:t xml:space="preserve">（三）软件功能视频演示</w:t>
            </w:r>
            <w:r/>
          </w:p>
          <w:p>
            <w:pPr>
              <w:ind w:left="0"/>
              <w:jc w:val="center"/>
              <w:widowControl w:val="off"/>
              <w:rPr>
                <w:rFonts w:hint="eastAsia" w:ascii="宋体" w:hAnsi="宋体"/>
                <w:b/>
                <w:bCs/>
                <w:color w:val="000000"/>
                <w:sz w:val="21"/>
                <w:szCs w:val="21"/>
                <w:lang w:bidi="ar"/>
              </w:rPr>
            </w:pPr>
            <w:r>
              <w:rPr>
                <w:rFonts w:hint="eastAsia" w:ascii="宋体" w:hAnsi="宋体"/>
                <w:b/>
                <w:bCs/>
                <w:color w:val="000000"/>
                <w:sz w:val="21"/>
                <w:szCs w:val="21"/>
                <w:lang w:bidi="ar"/>
              </w:rPr>
              <w:t xml:space="preserve">（13分）</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（注：1.供应商根据采购文件要求进行演示，演示时间不超过20分钟，演示</w:t>
            </w:r>
            <w:r>
              <w:rPr>
                <w:rFonts w:hint="eastAsia" w:ascii="宋体" w:hAnsi="宋体"/>
                <w:color w:val="000000"/>
                <w:sz w:val="21"/>
                <w:szCs w:val="21"/>
                <w:lang w:bidi="ar"/>
              </w:rPr>
              <w:t xml:space="preserve">时供应</w:t>
            </w:r>
            <w:r>
              <w:rPr>
                <w:rFonts w:hint="eastAsia" w:ascii="宋体" w:hAnsi="宋体"/>
                <w:color w:val="000000"/>
                <w:sz w:val="21"/>
                <w:szCs w:val="21"/>
                <w:lang w:bidi="ar"/>
              </w:rPr>
              <w:t xml:space="preserve">商不得进入评审室。 2.供应商需在“苏州政府采购交易管理平台-上传投标文件-上传演示文件”处上</w:t>
            </w:r>
            <w:r>
              <w:rPr>
                <w:rFonts w:hint="eastAsia" w:ascii="宋体" w:hAnsi="宋体"/>
                <w:color w:val="000000"/>
                <w:sz w:val="21"/>
                <w:szCs w:val="21"/>
                <w:lang w:bidi="ar"/>
              </w:rPr>
              <w:t xml:space="preserve">传电子档演示</w:t>
            </w:r>
            <w:r>
              <w:rPr>
                <w:rFonts w:hint="eastAsia" w:ascii="宋体" w:hAnsi="宋体"/>
                <w:color w:val="000000"/>
                <w:sz w:val="21"/>
                <w:szCs w:val="21"/>
                <w:lang w:bidi="ar"/>
              </w:rPr>
              <w:t xml:space="preserve">文件，单个文件最大不超过100M，上</w:t>
            </w:r>
            <w:r>
              <w:rPr>
                <w:rFonts w:hint="eastAsia" w:ascii="宋体" w:hAnsi="宋体"/>
                <w:color w:val="000000"/>
                <w:sz w:val="21"/>
                <w:szCs w:val="21"/>
                <w:lang w:bidi="ar"/>
              </w:rPr>
              <w:t xml:space="preserve">传数量</w:t>
            </w:r>
            <w:r>
              <w:rPr>
                <w:rFonts w:hint="eastAsia" w:ascii="宋体" w:hAnsi="宋体"/>
                <w:color w:val="000000"/>
                <w:sz w:val="21"/>
                <w:szCs w:val="21"/>
                <w:lang w:bidi="ar"/>
              </w:rPr>
              <w:t xml:space="preserve">最多5个，文件格式仅限PPT、PPTX、MP4、MKV、MOV、</w:t>
            </w:r>
            <w:r>
              <w:rPr>
                <w:rFonts w:hint="eastAsia" w:ascii="宋体" w:hAnsi="宋体"/>
                <w:color w:val="000000"/>
                <w:sz w:val="21"/>
                <w:szCs w:val="21"/>
                <w:lang w:bidi="ar"/>
              </w:rPr>
              <w:t xml:space="preserve">AVI。 3.演示内容确保真实且作为项目履约验收的重要参考依据。因供应商上传文件本身损坏等自身原因导致演示资料无法正常读取的视为无效演示，本项不得分，由供应商自行承担责任。</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w:t>
            </w:r>
            <w:r/>
          </w:p>
        </w:tc>
        <w:tc>
          <w:tcPr>
            <w:tcW w:w="141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数字疾控移动</w:t>
            </w:r>
            <w:r>
              <w:rPr>
                <w:rFonts w:hint="eastAsia" w:ascii="宋体" w:hAnsi="宋体"/>
                <w:color w:val="000000"/>
                <w:sz w:val="21"/>
                <w:szCs w:val="21"/>
                <w:lang w:bidi="ar"/>
              </w:rPr>
              <w:t xml:space="preserve">版中传染病聚集性疫情实时监测与处理模块具有以下功能，</w:t>
            </w:r>
            <w:r>
              <w:rPr>
                <w:rFonts w:hint="eastAsia" w:ascii="宋体" w:hAnsi="宋体"/>
                <w:color w:val="000000"/>
                <w:sz w:val="21"/>
                <w:szCs w:val="21"/>
                <w:lang w:bidi="ar"/>
              </w:rPr>
              <w:t xml:space="preserve">每完全</w:t>
            </w:r>
            <w:r>
              <w:rPr>
                <w:rFonts w:hint="eastAsia" w:ascii="宋体" w:hAnsi="宋体"/>
                <w:color w:val="000000"/>
                <w:sz w:val="21"/>
                <w:szCs w:val="21"/>
                <w:lang w:bidi="ar"/>
              </w:rPr>
              <w:t xml:space="preserve">实现一项功能得1分，共2分：</w:t>
            </w:r>
            <w:r/>
          </w:p>
        </w:tc>
        <w:tc>
          <w:tcPr>
            <w:tcW w:w="6450"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（1）传染病聚集性疫情管理</w:t>
            </w:r>
            <w:r>
              <w:rPr>
                <w:rFonts w:hint="eastAsia" w:ascii="宋体" w:hAnsi="宋体"/>
                <w:color w:val="000000"/>
                <w:sz w:val="21"/>
                <w:szCs w:val="21"/>
                <w:lang w:bidi="ar"/>
              </w:rPr>
              <w:t xml:space="preserve">端具有</w:t>
            </w:r>
            <w:r>
              <w:rPr>
                <w:rFonts w:hint="eastAsia" w:ascii="宋体" w:hAnsi="宋体"/>
                <w:color w:val="000000"/>
                <w:sz w:val="21"/>
                <w:szCs w:val="21"/>
                <w:lang w:bidi="ar"/>
              </w:rPr>
              <w:t xml:space="preserve">分析报告功能，可根据录入的数据实时进行统计、生成疫情分析报告；包括病例数、发病率、死亡率、治愈率等；</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（2）传染病聚集性疫情移动</w:t>
            </w:r>
            <w:r>
              <w:rPr>
                <w:rFonts w:hint="eastAsia" w:ascii="宋体" w:hAnsi="宋体"/>
                <w:color w:val="000000"/>
                <w:sz w:val="21"/>
                <w:szCs w:val="21"/>
                <w:lang w:bidi="ar"/>
              </w:rPr>
              <w:t xml:space="preserve">端具有</w:t>
            </w:r>
            <w:r>
              <w:rPr>
                <w:rFonts w:hint="eastAsia" w:ascii="宋体" w:hAnsi="宋体"/>
                <w:color w:val="000000"/>
                <w:sz w:val="21"/>
                <w:szCs w:val="21"/>
                <w:lang w:bidi="ar"/>
              </w:rPr>
              <w:t xml:space="preserve">数据录入功能，可上传疫情数据，包括姓名、性别、年龄、疾病名称、传染源、确诊医院。</w:t>
            </w:r>
            <w:r/>
          </w:p>
        </w:tc>
        <w:tc>
          <w:tcPr>
            <w:tcW w:w="792"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lang w:bidi="ar"/>
              </w:rPr>
              <w:t xml:space="preserve">2</w:t>
            </w:r>
            <w:r/>
          </w:p>
        </w:tc>
      </w:tr>
      <w:tr>
        <w:trPr>
          <w:trHeight w:val="782"/>
        </w:trPr>
        <w:tc>
          <w:tcPr>
            <w:tcW w:w="1413" w:type="dxa"/>
            <w:vAlign w:val="center"/>
            <w:vMerge w:val="continue"/>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r>
            <w:r/>
          </w:p>
        </w:tc>
        <w:tc>
          <w:tcPr>
            <w:tcW w:w="141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数字疾控移动</w:t>
            </w:r>
            <w:r>
              <w:rPr>
                <w:rFonts w:hint="eastAsia" w:ascii="宋体" w:hAnsi="宋体"/>
                <w:color w:val="000000"/>
                <w:sz w:val="21"/>
                <w:szCs w:val="21"/>
                <w:lang w:bidi="ar"/>
              </w:rPr>
              <w:t xml:space="preserve">版中智慧后勤管理模块具有“物资管理”功能，包含以下内容，</w:t>
            </w:r>
            <w:r>
              <w:rPr>
                <w:rFonts w:hint="eastAsia" w:ascii="宋体" w:hAnsi="宋体"/>
                <w:color w:val="000000"/>
                <w:sz w:val="21"/>
                <w:szCs w:val="21"/>
                <w:lang w:bidi="ar"/>
              </w:rPr>
              <w:t xml:space="preserve">每完全</w:t>
            </w:r>
            <w:r>
              <w:rPr>
                <w:rFonts w:hint="eastAsia" w:ascii="宋体" w:hAnsi="宋体"/>
                <w:color w:val="000000"/>
                <w:sz w:val="21"/>
                <w:szCs w:val="21"/>
                <w:lang w:bidi="ar"/>
              </w:rPr>
              <w:t xml:space="preserve">实现一项功能得1分，共5分：</w:t>
            </w:r>
            <w:r/>
          </w:p>
        </w:tc>
        <w:tc>
          <w:tcPr>
            <w:tcW w:w="6450"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（1）科室申购：可录入科室申购的基础信息，包含申请科室、申请人，可选择所需申购的物资名称及数量，提交审批；</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二采询价</w:t>
            </w:r>
            <w:r>
              <w:rPr>
                <w:rFonts w:hint="eastAsia" w:ascii="宋体" w:hAnsi="宋体"/>
                <w:color w:val="000000"/>
                <w:sz w:val="21"/>
                <w:szCs w:val="21"/>
                <w:lang w:bidi="ar"/>
              </w:rPr>
              <w:t xml:space="preserve">：支持二次采购价格的录入，可对多个供应商的价格进行比价，可录入比价结论；</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（3）采购收货：可对采购订单进行全量收货、分批收货及收货终止操作；物资发放：可将采购到的货物向科室发放，可扫码发放及分次发放功能；</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（4）科室接收：科室可以对普通物资进行批量接收，对重点物资</w:t>
            </w:r>
            <w:r>
              <w:rPr>
                <w:rFonts w:hint="eastAsia" w:ascii="宋体" w:hAnsi="宋体"/>
                <w:color w:val="000000"/>
                <w:sz w:val="21"/>
                <w:szCs w:val="21"/>
                <w:lang w:bidi="ar"/>
              </w:rPr>
              <w:t xml:space="preserve">进行扫码接收</w:t>
            </w:r>
            <w:r>
              <w:rPr>
                <w:rFonts w:hint="eastAsia" w:ascii="宋体" w:hAnsi="宋体"/>
                <w:color w:val="000000"/>
                <w:sz w:val="21"/>
                <w:szCs w:val="21"/>
                <w:lang w:bidi="ar"/>
              </w:rPr>
              <w:t xml:space="preserve">；科室消耗：科室对库存物资进行消耗，重点物资可</w:t>
            </w:r>
            <w:r>
              <w:rPr>
                <w:rFonts w:hint="eastAsia" w:ascii="宋体" w:hAnsi="宋体"/>
                <w:color w:val="000000"/>
                <w:sz w:val="21"/>
                <w:szCs w:val="21"/>
                <w:lang w:bidi="ar"/>
              </w:rPr>
              <w:t xml:space="preserve">实现扫码消耗</w:t>
            </w:r>
            <w:r>
              <w:rPr>
                <w:rFonts w:hint="eastAsia"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（5）物资流程：可展示物资采购的全流程的节点。</w:t>
            </w:r>
            <w:r/>
          </w:p>
        </w:tc>
        <w:tc>
          <w:tcPr>
            <w:tcW w:w="792"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lang w:bidi="ar"/>
              </w:rPr>
              <w:t xml:space="preserve">5</w:t>
            </w:r>
            <w:r/>
          </w:p>
        </w:tc>
      </w:tr>
      <w:tr>
        <w:trPr>
          <w:trHeight w:val="274"/>
        </w:trPr>
        <w:tc>
          <w:tcPr>
            <w:tcW w:w="1413" w:type="dxa"/>
            <w:vAlign w:val="center"/>
            <w:vMerge w:val="continue"/>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r>
            <w:r/>
          </w:p>
        </w:tc>
        <w:tc>
          <w:tcPr>
            <w:tcW w:w="141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数字疾控移动</w:t>
            </w:r>
            <w:r>
              <w:rPr>
                <w:rFonts w:hint="eastAsia" w:ascii="宋体" w:hAnsi="宋体"/>
                <w:color w:val="000000"/>
                <w:sz w:val="21"/>
                <w:szCs w:val="21"/>
                <w:lang w:bidi="ar"/>
              </w:rPr>
              <w:t xml:space="preserve">版中实验室管理模块具有“样品管理”功能，包含以下内容，</w:t>
            </w:r>
            <w:r>
              <w:rPr>
                <w:rFonts w:hint="eastAsia" w:ascii="宋体" w:hAnsi="宋体"/>
                <w:color w:val="000000"/>
                <w:sz w:val="21"/>
                <w:szCs w:val="21"/>
                <w:lang w:bidi="ar"/>
              </w:rPr>
              <w:t xml:space="preserve">每完全</w:t>
            </w:r>
            <w:r>
              <w:rPr>
                <w:rFonts w:hint="eastAsia" w:ascii="宋体" w:hAnsi="宋体"/>
                <w:color w:val="000000"/>
                <w:sz w:val="21"/>
                <w:szCs w:val="21"/>
                <w:lang w:bidi="ar"/>
              </w:rPr>
              <w:t xml:space="preserve">实现一项功能得1分，共3分：</w:t>
            </w:r>
            <w:r/>
          </w:p>
        </w:tc>
        <w:tc>
          <w:tcPr>
            <w:tcW w:w="6450"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（1）采样记录表：可填写采样记录表，包含受检单位相关信息、采样时间、采样环境、样品信息等；</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样品登记：对于已经存在的送检/受检单位信息需直接选择，对于新录入的送检/受检单位信息需自动保存；送样日期、采样日期等均默认为当前系统日期并需进行修改。采样人员默认为当前用户，可选择多个人员；可根据样品类型配置不同的样品信息；</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（3）实验室收样：可支持批量收样，</w:t>
            </w:r>
            <w:r>
              <w:rPr>
                <w:rFonts w:hint="eastAsia" w:ascii="宋体" w:hAnsi="宋体"/>
                <w:color w:val="000000"/>
                <w:sz w:val="21"/>
                <w:szCs w:val="21"/>
                <w:lang w:bidi="ar"/>
              </w:rPr>
              <w:t xml:space="preserve">收样后</w:t>
            </w:r>
            <w:r>
              <w:rPr>
                <w:rFonts w:hint="eastAsia" w:ascii="宋体" w:hAnsi="宋体"/>
                <w:color w:val="000000"/>
                <w:sz w:val="21"/>
                <w:szCs w:val="21"/>
                <w:lang w:bidi="ar"/>
              </w:rPr>
              <w:t xml:space="preserve">自动将</w:t>
            </w:r>
            <w:r>
              <w:rPr>
                <w:rFonts w:hint="eastAsia" w:ascii="宋体" w:hAnsi="宋体"/>
                <w:color w:val="000000"/>
                <w:sz w:val="21"/>
                <w:szCs w:val="21"/>
                <w:lang w:bidi="ar"/>
              </w:rPr>
              <w:t xml:space="preserve">收样状态从</w:t>
            </w:r>
            <w:r>
              <w:rPr>
                <w:rFonts w:hint="eastAsia" w:ascii="宋体" w:hAnsi="宋体"/>
                <w:color w:val="000000"/>
                <w:sz w:val="21"/>
                <w:szCs w:val="21"/>
                <w:lang w:bidi="ar"/>
              </w:rPr>
              <w:t xml:space="preserve">“未收</w:t>
            </w:r>
            <w:r>
              <w:rPr>
                <w:rFonts w:hint="eastAsia" w:ascii="宋体" w:hAnsi="宋体"/>
                <w:color w:val="000000"/>
                <w:sz w:val="21"/>
                <w:szCs w:val="21"/>
                <w:lang w:bidi="ar"/>
              </w:rPr>
              <w:t xml:space="preserve">样”更新为“已收样”。</w:t>
            </w:r>
            <w:r/>
          </w:p>
        </w:tc>
        <w:tc>
          <w:tcPr>
            <w:tcW w:w="792"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lang w:bidi="ar"/>
              </w:rPr>
              <w:t xml:space="preserve">3</w:t>
            </w:r>
            <w:r/>
          </w:p>
        </w:tc>
      </w:tr>
      <w:tr>
        <w:trPr>
          <w:trHeight w:val="977"/>
        </w:trPr>
        <w:tc>
          <w:tcPr>
            <w:tcW w:w="1413" w:type="dxa"/>
            <w:vAlign w:val="center"/>
            <w:vMerge w:val="continue"/>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r>
            <w:r/>
          </w:p>
        </w:tc>
        <w:tc>
          <w:tcPr>
            <w:tcW w:w="141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数字疾控移动</w:t>
            </w:r>
            <w:r>
              <w:rPr>
                <w:rFonts w:hint="eastAsia" w:ascii="宋体" w:hAnsi="宋体"/>
                <w:color w:val="000000"/>
                <w:sz w:val="21"/>
                <w:szCs w:val="21"/>
                <w:lang w:bidi="ar"/>
              </w:rPr>
              <w:t xml:space="preserve">版中实验室管理模块具有“报告管理”功能，包含以下内容，</w:t>
            </w:r>
            <w:r>
              <w:rPr>
                <w:rFonts w:hint="eastAsia" w:ascii="宋体" w:hAnsi="宋体"/>
                <w:color w:val="000000"/>
                <w:sz w:val="21"/>
                <w:szCs w:val="21"/>
                <w:lang w:bidi="ar"/>
              </w:rPr>
              <w:t xml:space="preserve">每完全</w:t>
            </w:r>
            <w:r>
              <w:rPr>
                <w:rFonts w:hint="eastAsia" w:ascii="宋体" w:hAnsi="宋体"/>
                <w:color w:val="000000"/>
                <w:sz w:val="21"/>
                <w:szCs w:val="21"/>
                <w:lang w:bidi="ar"/>
              </w:rPr>
              <w:t xml:space="preserve">实现一项功能得1分，共3分：</w:t>
            </w:r>
            <w:r/>
          </w:p>
        </w:tc>
        <w:tc>
          <w:tcPr>
            <w:tcW w:w="6450"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（1）结果录入：可手动领取未分配任务，</w:t>
            </w:r>
            <w:r>
              <w:rPr>
                <w:rFonts w:hint="eastAsia" w:ascii="宋体" w:hAnsi="宋体"/>
                <w:color w:val="000000"/>
                <w:sz w:val="21"/>
                <w:szCs w:val="21"/>
                <w:lang w:bidi="ar"/>
              </w:rPr>
              <w:t xml:space="preserve">需支持</w:t>
            </w:r>
            <w:r>
              <w:rPr>
                <w:rFonts w:hint="eastAsia" w:ascii="宋体" w:hAnsi="宋体"/>
                <w:color w:val="000000"/>
                <w:sz w:val="21"/>
                <w:szCs w:val="21"/>
                <w:lang w:bidi="ar"/>
              </w:rPr>
              <w:t xml:space="preserve">自动填充任务编号、样品名称、检测项目、检测方法，</w:t>
            </w:r>
            <w:r>
              <w:rPr>
                <w:rFonts w:hint="eastAsia" w:ascii="宋体" w:hAnsi="宋体"/>
                <w:color w:val="000000"/>
                <w:sz w:val="21"/>
                <w:szCs w:val="21"/>
                <w:lang w:bidi="ar"/>
              </w:rPr>
              <w:t xml:space="preserve">需支持</w:t>
            </w:r>
            <w:r>
              <w:rPr>
                <w:rFonts w:hint="eastAsia" w:ascii="宋体" w:hAnsi="宋体"/>
                <w:color w:val="000000"/>
                <w:sz w:val="21"/>
                <w:szCs w:val="21"/>
                <w:lang w:bidi="ar"/>
              </w:rPr>
              <w:t xml:space="preserve">分段记录操作步骤，</w:t>
            </w:r>
            <w:r>
              <w:rPr>
                <w:rFonts w:hint="eastAsia" w:ascii="宋体" w:hAnsi="宋体"/>
                <w:color w:val="000000"/>
                <w:sz w:val="21"/>
                <w:szCs w:val="21"/>
                <w:lang w:bidi="ar"/>
              </w:rPr>
              <w:t xml:space="preserve">需支持</w:t>
            </w:r>
            <w:r>
              <w:rPr>
                <w:rFonts w:hint="eastAsia" w:ascii="宋体" w:hAnsi="宋体"/>
                <w:color w:val="000000"/>
                <w:sz w:val="21"/>
                <w:szCs w:val="21"/>
                <w:lang w:bidi="ar"/>
              </w:rPr>
              <w:t xml:space="preserve">记录关键操作时间，</w:t>
            </w:r>
            <w:r>
              <w:rPr>
                <w:rFonts w:hint="eastAsia" w:ascii="宋体" w:hAnsi="宋体"/>
                <w:color w:val="000000"/>
                <w:sz w:val="21"/>
                <w:szCs w:val="21"/>
                <w:lang w:bidi="ar"/>
              </w:rPr>
              <w:t xml:space="preserve">需支持上传操作</w:t>
            </w:r>
            <w:r>
              <w:rPr>
                <w:rFonts w:hint="eastAsia" w:ascii="宋体" w:hAnsi="宋体"/>
                <w:color w:val="000000"/>
                <w:sz w:val="21"/>
                <w:szCs w:val="21"/>
                <w:lang w:bidi="ar"/>
              </w:rPr>
              <w:t xml:space="preserve">现场照片；</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结果审核/复核&amp;报告评价：系统自动显示出需要审核的检测项目或样品及报告；审核人员根据检测人员填写的原始记录逐一审核或批量审核并支持复核检测项目或样品及报告；相关权限人员可通过移动入口实现对指定报告进行评价，系统自动生成评价报告描述内容；</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（3）检验流程管理：可实现检测报告全流程展示功能，支持查看检测报告各个节点完成时间、人员、节点、状态。</w:t>
            </w:r>
            <w:r/>
          </w:p>
        </w:tc>
        <w:tc>
          <w:tcPr>
            <w:tcW w:w="792"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lang w:bidi="ar"/>
              </w:rPr>
              <w:t xml:space="preserve">3</w:t>
            </w:r>
            <w:r/>
          </w:p>
        </w:tc>
      </w:tr>
      <w:tr>
        <w:trPr>
          <w:trHeight w:val="977"/>
        </w:trPr>
        <w:tc>
          <w:tcPr>
            <w:tcW w:w="1413" w:type="dxa"/>
            <w:vAlign w:val="center"/>
            <w:vMerge w:val="restart"/>
            <w:textDirection w:val="lrTb"/>
            <w:noWrap w:val="false"/>
          </w:tcPr>
          <w:p>
            <w:pPr>
              <w:ind w:left="0"/>
              <w:jc w:val="center"/>
              <w:widowControl w:val="off"/>
              <w:rPr>
                <w:rFonts w:hint="eastAsia" w:ascii="宋体" w:hAnsi="宋体"/>
                <w:b/>
                <w:bCs/>
                <w:color w:val="000000"/>
                <w:sz w:val="21"/>
                <w:szCs w:val="21"/>
                <w:lang w:bidi="ar"/>
              </w:rPr>
            </w:pPr>
            <w:r>
              <w:rPr>
                <w:rFonts w:hint="eastAsia" w:ascii="宋体" w:hAnsi="宋体"/>
                <w:b/>
                <w:bCs/>
                <w:color w:val="000000"/>
                <w:sz w:val="21"/>
                <w:szCs w:val="21"/>
                <w:lang w:bidi="ar"/>
              </w:rPr>
              <w:t xml:space="preserve">（四）技术指标与履约能力比较 （29分）</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r>
            <w:r/>
          </w:p>
        </w:tc>
        <w:tc>
          <w:tcPr>
            <w:tcW w:w="141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w:t>
            </w:r>
            <w:bookmarkStart w:id="120" w:name="_Hlk124321582"/>
            <w:r>
              <w:rPr>
                <w:rFonts w:hint="eastAsia" w:ascii="宋体" w:hAnsi="宋体"/>
                <w:color w:val="000000"/>
                <w:sz w:val="21"/>
                <w:szCs w:val="21"/>
                <w:lang w:bidi="ar"/>
              </w:rPr>
              <w:t xml:space="preserve">技术指标符合性</w:t>
            </w:r>
            <w:bookmarkEnd w:id="120"/>
            <w:r/>
            <w:r/>
          </w:p>
        </w:tc>
        <w:tc>
          <w:tcPr>
            <w:tcW w:w="6450" w:type="dxa"/>
            <w:vAlign w:val="center"/>
            <w:textDirection w:val="lrTb"/>
            <w:noWrap w:val="false"/>
          </w:tcPr>
          <w:p>
            <w:pPr>
              <w:ind w:left="0"/>
              <w:spacing w:line="440" w:lineRule="exact"/>
              <w:tabs>
                <w:tab w:val="left" w:pos="0" w:leader="none"/>
              </w:tabs>
              <w:rPr>
                <w:rFonts w:hint="eastAsia" w:ascii="宋体" w:hAnsi="宋体"/>
                <w:color w:val="000000"/>
                <w:sz w:val="21"/>
                <w:szCs w:val="21"/>
                <w:lang w:bidi="ar"/>
              </w:rPr>
            </w:pPr>
            <w:r>
              <w:rPr>
                <w:rFonts w:hint="eastAsia" w:ascii="宋体" w:hAnsi="宋体"/>
                <w:color w:val="000000"/>
                <w:sz w:val="21"/>
                <w:szCs w:val="21"/>
                <w:lang w:bidi="ar"/>
              </w:rPr>
              <w:t xml:space="preserve">响应单位按照采购文件格式填写技术要求偏离表，标注“▲”技术参数每符合一项得2分，最高得10分。</w:t>
            </w:r>
            <w:r/>
          </w:p>
        </w:tc>
        <w:tc>
          <w:tcPr>
            <w:tcW w:w="792"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lang w:bidi="ar"/>
              </w:rPr>
              <w:t xml:space="preserve">10</w:t>
            </w:r>
            <w:r/>
          </w:p>
        </w:tc>
      </w:tr>
      <w:tr>
        <w:trPr>
          <w:trHeight w:val="977"/>
        </w:trPr>
        <w:tc>
          <w:tcPr>
            <w:tcW w:w="1413" w:type="dxa"/>
            <w:vAlign w:val="center"/>
            <w:vMerge w:val="continue"/>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r>
            <w:r/>
          </w:p>
        </w:tc>
        <w:tc>
          <w:tcPr>
            <w:tcW w:w="1417" w:type="dxa"/>
            <w:vAlign w:val="center"/>
            <w:vMerge w:val="restart"/>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▲人员情况</w:t>
            </w:r>
            <w:r/>
          </w:p>
        </w:tc>
        <w:tc>
          <w:tcPr>
            <w:tcW w:w="6450"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1.本项目团队中的项目负责人具有中级职称证书得1分；副高级职称证书得2分；正高级职称证书得3分。最高得3分；</w:t>
            </w:r>
            <w:r/>
          </w:p>
          <w:p>
            <w:pPr>
              <w:ind w:left="0"/>
              <w:widowControl w:val="off"/>
              <w:rPr>
                <w:rFonts w:hint="eastAsia" w:ascii="宋体" w:hAnsi="宋体"/>
                <w:color w:val="000000"/>
                <w:sz w:val="21"/>
                <w:szCs w:val="21"/>
                <w:lang w:bidi="ar"/>
              </w:rPr>
            </w:pPr>
            <w:r>
              <w:rPr>
                <w:rFonts w:hint="eastAsia" w:ascii="宋体" w:hAnsi="宋体"/>
                <w:b/>
                <w:bCs/>
                <w:color w:val="000000"/>
                <w:sz w:val="21"/>
                <w:szCs w:val="21"/>
                <w:lang w:bidi="ar"/>
              </w:rPr>
              <w:t xml:space="preserve">注：响应文件中需提供人员相关证书证明资料及投标单位为其缴纳的最近一期</w:t>
            </w:r>
            <w:r>
              <w:rPr>
                <w:rFonts w:hint="eastAsia" w:ascii="宋体" w:hAnsi="宋体"/>
                <w:b/>
                <w:bCs/>
                <w:color w:val="000000"/>
                <w:sz w:val="21"/>
                <w:szCs w:val="21"/>
                <w:lang w:bidi="ar"/>
              </w:rPr>
              <w:t xml:space="preserve">社保证明</w:t>
            </w:r>
            <w:r>
              <w:rPr>
                <w:rFonts w:hint="eastAsia" w:ascii="宋体" w:hAnsi="宋体"/>
                <w:b/>
                <w:bCs/>
                <w:color w:val="000000"/>
                <w:sz w:val="21"/>
                <w:szCs w:val="21"/>
                <w:lang w:bidi="ar"/>
              </w:rPr>
              <w:t xml:space="preserve">，需加盖响应单位公章。不提供不得分。</w:t>
            </w:r>
            <w:r/>
          </w:p>
        </w:tc>
        <w:tc>
          <w:tcPr>
            <w:tcW w:w="792"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lang w:bidi="ar"/>
              </w:rPr>
              <w:t xml:space="preserve">3</w:t>
            </w:r>
            <w:r/>
          </w:p>
        </w:tc>
      </w:tr>
      <w:tr>
        <w:trPr>
          <w:trHeight w:val="2054"/>
        </w:trPr>
        <w:tc>
          <w:tcPr>
            <w:tcW w:w="1413" w:type="dxa"/>
            <w:vAlign w:val="center"/>
            <w:vMerge w:val="continue"/>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r>
            <w:r/>
          </w:p>
        </w:tc>
        <w:tc>
          <w:tcPr>
            <w:tcW w:w="1417" w:type="dxa"/>
            <w:vAlign w:val="center"/>
            <w:vMerge w:val="continue"/>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r>
            <w:r/>
          </w:p>
        </w:tc>
        <w:tc>
          <w:tcPr>
            <w:tcW w:w="6450"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2、响应单位投入本项目的项目组人员（项目负责人除外）具有中级及以上相关专业技术工程师证书，注册信息安全管理人员证书的，每提供一类得2分，同</w:t>
            </w:r>
            <w:r>
              <w:rPr>
                <w:rFonts w:hint="eastAsia" w:ascii="宋体" w:hAnsi="宋体"/>
                <w:color w:val="000000"/>
                <w:sz w:val="21"/>
                <w:szCs w:val="21"/>
                <w:lang w:bidi="ar"/>
              </w:rPr>
              <w:t xml:space="preserve">一人员</w:t>
            </w:r>
            <w:r>
              <w:rPr>
                <w:rFonts w:hint="eastAsia" w:ascii="宋体" w:hAnsi="宋体"/>
                <w:color w:val="000000"/>
                <w:sz w:val="21"/>
                <w:szCs w:val="21"/>
                <w:lang w:bidi="ar"/>
              </w:rPr>
              <w:t xml:space="preserve">多本证书只计一次，同一证书多人持有只计一次，最高得4分。</w:t>
            </w:r>
            <w:r/>
          </w:p>
          <w:p>
            <w:pPr>
              <w:ind w:left="0"/>
              <w:widowControl w:val="off"/>
              <w:rPr>
                <w:rFonts w:hint="eastAsia" w:ascii="宋体" w:hAnsi="宋体"/>
                <w:color w:val="000000"/>
                <w:sz w:val="21"/>
                <w:szCs w:val="21"/>
                <w:lang w:bidi="ar"/>
              </w:rPr>
            </w:pPr>
            <w:r>
              <w:rPr>
                <w:rFonts w:hint="eastAsia" w:ascii="宋体" w:hAnsi="宋体"/>
                <w:b/>
                <w:bCs/>
                <w:color w:val="000000"/>
                <w:sz w:val="21"/>
                <w:szCs w:val="21"/>
                <w:lang w:bidi="ar"/>
              </w:rPr>
              <w:t xml:space="preserve">注：响应文件中需提供人员相关证书证明资料及投标单位为其缴纳的最近一期</w:t>
            </w:r>
            <w:r>
              <w:rPr>
                <w:rFonts w:hint="eastAsia" w:ascii="宋体" w:hAnsi="宋体"/>
                <w:b/>
                <w:bCs/>
                <w:color w:val="000000"/>
                <w:sz w:val="21"/>
                <w:szCs w:val="21"/>
                <w:lang w:bidi="ar"/>
              </w:rPr>
              <w:t xml:space="preserve">社保证明</w:t>
            </w:r>
            <w:r>
              <w:rPr>
                <w:rFonts w:hint="eastAsia" w:ascii="宋体" w:hAnsi="宋体"/>
                <w:b/>
                <w:bCs/>
                <w:color w:val="000000"/>
                <w:sz w:val="21"/>
                <w:szCs w:val="21"/>
                <w:lang w:bidi="ar"/>
              </w:rPr>
              <w:t xml:space="preserve">，需加盖响应单位公章。不提供不得分。</w:t>
            </w:r>
            <w:r/>
          </w:p>
        </w:tc>
        <w:tc>
          <w:tcPr>
            <w:tcW w:w="792"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lang w:bidi="ar"/>
              </w:rPr>
              <w:t xml:space="preserve">4</w:t>
            </w:r>
            <w:r/>
          </w:p>
        </w:tc>
      </w:tr>
      <w:tr>
        <w:trPr>
          <w:trHeight w:val="90"/>
        </w:trPr>
        <w:tc>
          <w:tcPr>
            <w:tcW w:w="1413" w:type="dxa"/>
            <w:vAlign w:val="center"/>
            <w:vMerge w:val="continue"/>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r>
            <w:r/>
          </w:p>
        </w:tc>
        <w:tc>
          <w:tcPr>
            <w:tcW w:w="1417" w:type="dxa"/>
            <w:vAlign w:val="center"/>
            <w:vMerge w:val="restart"/>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▲履约能力</w:t>
            </w:r>
            <w:r/>
          </w:p>
        </w:tc>
        <w:tc>
          <w:tcPr>
            <w:tcW w:w="6450"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1、投标单位具有有效期内的质量管理体系认证证书、环境管理体系认证证书、职业健康安全管理体系认证证书的，</w:t>
            </w:r>
            <w:r>
              <w:rPr>
                <w:rFonts w:hint="eastAsia" w:ascii="宋体" w:hAnsi="宋体"/>
                <w:color w:val="000000"/>
                <w:sz w:val="21"/>
                <w:szCs w:val="21"/>
                <w:lang w:bidi="ar"/>
              </w:rPr>
              <w:t xml:space="preserve">每具有</w:t>
            </w:r>
            <w:r>
              <w:rPr>
                <w:rFonts w:hint="eastAsia" w:ascii="宋体" w:hAnsi="宋体"/>
                <w:color w:val="000000"/>
                <w:sz w:val="21"/>
                <w:szCs w:val="21"/>
                <w:lang w:bidi="ar"/>
              </w:rPr>
              <w:t xml:space="preserve">1个得1分，最高3分。</w:t>
            </w:r>
            <w:r/>
          </w:p>
          <w:p>
            <w:pPr>
              <w:ind w:left="0"/>
              <w:widowControl w:val="off"/>
              <w:rPr>
                <w:rFonts w:hint="eastAsia" w:ascii="宋体" w:hAnsi="宋体"/>
                <w:color w:val="000000"/>
                <w:sz w:val="21"/>
                <w:szCs w:val="21"/>
                <w:lang w:bidi="ar"/>
              </w:rPr>
            </w:pPr>
            <w:r>
              <w:rPr>
                <w:rFonts w:hint="eastAsia" w:ascii="宋体" w:hAnsi="宋体"/>
                <w:b/>
                <w:bCs/>
                <w:color w:val="000000"/>
                <w:sz w:val="21"/>
                <w:szCs w:val="21"/>
                <w:lang w:bidi="ar"/>
              </w:rPr>
              <w:t xml:space="preserve">注：投标文件中需提供证书的复印件</w:t>
            </w:r>
            <w:r>
              <w:rPr>
                <w:rFonts w:hint="eastAsia" w:ascii="宋体" w:hAnsi="宋体"/>
                <w:b/>
                <w:bCs/>
                <w:color w:val="000000"/>
                <w:sz w:val="21"/>
                <w:szCs w:val="21"/>
                <w:lang w:bidi="ar"/>
              </w:rPr>
              <w:t xml:space="preserve">以及官网查询</w:t>
            </w:r>
            <w:r>
              <w:rPr>
                <w:rFonts w:hint="eastAsia" w:ascii="宋体" w:hAnsi="宋体"/>
                <w:b/>
                <w:bCs/>
                <w:color w:val="000000"/>
                <w:sz w:val="21"/>
                <w:szCs w:val="21"/>
                <w:lang w:bidi="ar"/>
              </w:rPr>
              <w:t xml:space="preserve">认证截图并加盖投标单位公章，未按要求提供相关证明不得分。</w:t>
            </w:r>
            <w:r/>
          </w:p>
        </w:tc>
        <w:tc>
          <w:tcPr>
            <w:tcW w:w="792"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lang w:bidi="ar"/>
              </w:rPr>
              <w:t xml:space="preserve">3</w:t>
            </w:r>
            <w:r/>
          </w:p>
        </w:tc>
      </w:tr>
      <w:tr>
        <w:trPr>
          <w:trHeight w:val="977"/>
        </w:trPr>
        <w:tc>
          <w:tcPr>
            <w:tcW w:w="1413" w:type="dxa"/>
            <w:vAlign w:val="center"/>
            <w:vMerge w:val="continue"/>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r>
            <w:r/>
          </w:p>
        </w:tc>
        <w:tc>
          <w:tcPr>
            <w:tcW w:w="1417" w:type="dxa"/>
            <w:vAlign w:val="center"/>
            <w:vMerge w:val="continue"/>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r>
            <w:r/>
          </w:p>
        </w:tc>
        <w:tc>
          <w:tcPr>
            <w:tcW w:w="6450"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2、投标单位具有有效期内的信息安全管理体系认证证书、信息技术服务管理认证证书的，</w:t>
            </w:r>
            <w:r>
              <w:rPr>
                <w:rFonts w:hint="eastAsia" w:ascii="宋体" w:hAnsi="宋体"/>
                <w:color w:val="000000"/>
                <w:sz w:val="21"/>
                <w:szCs w:val="21"/>
                <w:lang w:bidi="ar"/>
              </w:rPr>
              <w:t xml:space="preserve">每具有</w:t>
            </w:r>
            <w:r>
              <w:rPr>
                <w:rFonts w:hint="eastAsia" w:ascii="宋体" w:hAnsi="宋体"/>
                <w:color w:val="000000"/>
                <w:sz w:val="21"/>
                <w:szCs w:val="21"/>
                <w:lang w:bidi="ar"/>
              </w:rPr>
              <w:t xml:space="preserve">1个得2分，最高4分。</w:t>
            </w:r>
            <w:r/>
          </w:p>
          <w:p>
            <w:pPr>
              <w:ind w:left="0"/>
              <w:widowControl w:val="off"/>
              <w:rPr>
                <w:rFonts w:hint="eastAsia" w:ascii="宋体" w:hAnsi="宋体"/>
                <w:color w:val="000000"/>
                <w:sz w:val="21"/>
                <w:szCs w:val="21"/>
                <w:lang w:bidi="ar"/>
              </w:rPr>
            </w:pPr>
            <w:r>
              <w:rPr>
                <w:rFonts w:hint="eastAsia" w:ascii="宋体" w:hAnsi="宋体"/>
                <w:b/>
                <w:bCs/>
                <w:color w:val="000000"/>
                <w:sz w:val="21"/>
                <w:szCs w:val="21"/>
                <w:lang w:val="zh-CN" w:bidi="ar"/>
              </w:rPr>
              <w:t xml:space="preserve">注：投标文件中需提供证书的复印件</w:t>
            </w:r>
            <w:r>
              <w:rPr>
                <w:rFonts w:hint="eastAsia" w:ascii="宋体" w:hAnsi="宋体"/>
                <w:b/>
                <w:bCs/>
                <w:color w:val="000000"/>
                <w:sz w:val="21"/>
                <w:szCs w:val="21"/>
                <w:lang w:val="zh-CN" w:bidi="ar"/>
              </w:rPr>
              <w:t xml:space="preserve">以及官网查询</w:t>
            </w:r>
            <w:r>
              <w:rPr>
                <w:rFonts w:hint="eastAsia" w:ascii="宋体" w:hAnsi="宋体"/>
                <w:b/>
                <w:bCs/>
                <w:color w:val="000000"/>
                <w:sz w:val="21"/>
                <w:szCs w:val="21"/>
                <w:lang w:val="zh-CN" w:bidi="ar"/>
              </w:rPr>
              <w:t xml:space="preserve">认证截图并加盖投标单位公章，未按要求提供相关证明不得分。</w:t>
            </w:r>
            <w:r/>
          </w:p>
        </w:tc>
        <w:tc>
          <w:tcPr>
            <w:tcW w:w="792"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lang w:bidi="ar"/>
              </w:rPr>
              <w:t xml:space="preserve">4</w:t>
            </w:r>
            <w:r/>
          </w:p>
        </w:tc>
      </w:tr>
      <w:tr>
        <w:trPr>
          <w:trHeight w:val="270"/>
        </w:trPr>
        <w:tc>
          <w:tcPr>
            <w:tcW w:w="1413" w:type="dxa"/>
            <w:vAlign w:val="center"/>
            <w:vMerge w:val="continue"/>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r>
            <w:r/>
          </w:p>
        </w:tc>
        <w:tc>
          <w:tcPr>
            <w:tcW w:w="141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▲类似业绩</w:t>
            </w:r>
            <w:r/>
          </w:p>
        </w:tc>
        <w:tc>
          <w:tcPr>
            <w:tcW w:w="6450"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响应单位自2023年1月1日（以合同签订日期为准）以来承担过类似项目业绩，每提供一份得2.5分，最高5分。</w:t>
            </w:r>
            <w:r/>
          </w:p>
          <w:p>
            <w:pPr>
              <w:ind w:left="0"/>
              <w:widowControl w:val="off"/>
              <w:rPr>
                <w:rFonts w:hint="eastAsia" w:ascii="宋体" w:hAnsi="宋体"/>
                <w:color w:val="000000"/>
                <w:sz w:val="21"/>
                <w:szCs w:val="21"/>
                <w:lang w:bidi="ar"/>
              </w:rPr>
            </w:pPr>
            <w:r>
              <w:rPr>
                <w:rFonts w:hint="eastAsia" w:ascii="宋体" w:hAnsi="宋体"/>
                <w:b/>
                <w:bCs/>
                <w:color w:val="000000"/>
                <w:sz w:val="21"/>
                <w:szCs w:val="21"/>
                <w:lang w:val="zh-CN" w:bidi="ar"/>
              </w:rPr>
              <w:t xml:space="preserve">注：投标文件中提供合同复印件。材料不提供或提供不全或无法认定</w:t>
            </w:r>
            <w:r>
              <w:rPr>
                <w:rFonts w:hint="eastAsia" w:ascii="宋体" w:hAnsi="宋体"/>
                <w:b/>
                <w:bCs/>
                <w:color w:val="000000"/>
                <w:sz w:val="21"/>
                <w:szCs w:val="21"/>
                <w:lang w:val="zh-CN" w:bidi="ar"/>
              </w:rPr>
              <w:t xml:space="preserve">的，对应评分项不得分。</w:t>
            </w:r>
            <w:r/>
          </w:p>
        </w:tc>
        <w:tc>
          <w:tcPr>
            <w:tcW w:w="792"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lang w:bidi="ar"/>
              </w:rPr>
              <w:t xml:space="preserve">5</w:t>
            </w:r>
            <w:r/>
          </w:p>
        </w:tc>
      </w:tr>
    </w:tbl>
    <w:p>
      <w:pPr>
        <w:ind w:left="0" w:firstLine="422"/>
        <w:spacing w:line="360" w:lineRule="auto"/>
        <w:rPr>
          <w:rFonts w:hint="eastAsia"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hint="eastAsia" w:ascii="宋体" w:hAnsi="宋体"/>
          <w:sz w:val="21"/>
        </w:rPr>
      </w:pPr>
      <w:r>
        <w:rPr>
          <w:rFonts w:hint="eastAsia" w:ascii="宋体" w:hAnsi="宋体"/>
          <w:sz w:val="21"/>
        </w:rPr>
        <w:t xml:space="preserve">备注：</w:t>
      </w:r>
      <w:r/>
    </w:p>
    <w:p>
      <w:pPr>
        <w:ind w:left="0" w:firstLine="420"/>
        <w:spacing w:line="360" w:lineRule="auto"/>
        <w:rPr>
          <w:rFonts w:hint="eastAsia" w:ascii="宋体" w:hAnsi="宋体"/>
          <w:sz w:val="21"/>
        </w:rPr>
      </w:pPr>
      <w:r>
        <w:rPr>
          <w:rFonts w:hint="eastAsia" w:ascii="宋体" w:hAnsi="宋体"/>
          <w:sz w:val="21"/>
        </w:rPr>
        <w:t xml:space="preserve">1.针对评分标准中评分的每一条，投标人均应提供相关资料并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hint="eastAsia"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sz w:val="21"/>
        </w:rPr>
      </w:pPr>
      <w:r>
        <w:rPr>
          <w:rFonts w:hint="eastAsia" w:ascii="宋体" w:hAnsi="宋体"/>
          <w:sz w:val="21"/>
        </w:rPr>
        <w:t xml:space="preserve">3.投标人必须保证全部投标资料的真实性，如有虚假或对招标文件所要求说明的情况故意隐瞒或虚报，视为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0"/>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0"/>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0"/>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0"/>
        <w:ind w:firstLine="600"/>
        <w:spacing w:line="24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0"/>
        <w:ind w:firstLine="600"/>
        <w:spacing w:line="240" w:lineRule="auto"/>
        <w:rPr>
          <w:rFonts w:hint="eastAsia"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both"/>
      <w:pBdr>
        <w:bottom w:val="single" w:color="auto" w:sz="4"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0"/>
    <w:link w:val="841"/>
    <w:uiPriority w:val="9"/>
    <w:rPr>
      <w:rFonts w:ascii="Arial" w:hAnsi="Arial" w:eastAsia="Arial" w:cs="Arial"/>
      <w:sz w:val="40"/>
      <w:szCs w:val="40"/>
    </w:rPr>
  </w:style>
  <w:style w:type="character" w:styleId="15">
    <w:name w:val="Heading 2 Char"/>
    <w:basedOn w:val="850"/>
    <w:link w:val="842"/>
    <w:uiPriority w:val="9"/>
    <w:rPr>
      <w:rFonts w:ascii="Arial" w:hAnsi="Arial" w:eastAsia="Arial" w:cs="Arial"/>
      <w:sz w:val="34"/>
    </w:rPr>
  </w:style>
  <w:style w:type="character" w:styleId="17">
    <w:name w:val="Heading 3 Char"/>
    <w:basedOn w:val="850"/>
    <w:link w:val="843"/>
    <w:uiPriority w:val="9"/>
    <w:rPr>
      <w:rFonts w:ascii="Arial" w:hAnsi="Arial" w:eastAsia="Arial" w:cs="Arial"/>
      <w:sz w:val="30"/>
      <w:szCs w:val="30"/>
    </w:rPr>
  </w:style>
  <w:style w:type="character" w:styleId="19">
    <w:name w:val="Heading 4 Char"/>
    <w:basedOn w:val="850"/>
    <w:link w:val="844"/>
    <w:uiPriority w:val="9"/>
    <w:rPr>
      <w:rFonts w:ascii="Arial" w:hAnsi="Arial" w:eastAsia="Arial" w:cs="Arial"/>
      <w:b/>
      <w:bCs/>
      <w:sz w:val="26"/>
      <w:szCs w:val="26"/>
    </w:rPr>
  </w:style>
  <w:style w:type="character" w:styleId="21">
    <w:name w:val="Heading 5 Char"/>
    <w:basedOn w:val="850"/>
    <w:link w:val="845"/>
    <w:uiPriority w:val="9"/>
    <w:rPr>
      <w:rFonts w:ascii="Arial" w:hAnsi="Arial" w:eastAsia="Arial" w:cs="Arial"/>
      <w:b/>
      <w:bCs/>
      <w:sz w:val="24"/>
      <w:szCs w:val="24"/>
    </w:rPr>
  </w:style>
  <w:style w:type="character" w:styleId="23">
    <w:name w:val="Heading 6 Char"/>
    <w:basedOn w:val="850"/>
    <w:link w:val="846"/>
    <w:uiPriority w:val="9"/>
    <w:rPr>
      <w:rFonts w:ascii="Arial" w:hAnsi="Arial" w:eastAsia="Arial" w:cs="Arial"/>
      <w:b/>
      <w:bCs/>
      <w:sz w:val="22"/>
      <w:szCs w:val="22"/>
    </w:rPr>
  </w:style>
  <w:style w:type="character" w:styleId="25">
    <w:name w:val="Heading 7 Char"/>
    <w:basedOn w:val="850"/>
    <w:link w:val="847"/>
    <w:uiPriority w:val="9"/>
    <w:rPr>
      <w:rFonts w:ascii="Arial" w:hAnsi="Arial" w:eastAsia="Arial" w:cs="Arial"/>
      <w:b/>
      <w:bCs/>
      <w:i/>
      <w:iCs/>
      <w:sz w:val="22"/>
      <w:szCs w:val="22"/>
    </w:rPr>
  </w:style>
  <w:style w:type="character" w:styleId="27">
    <w:name w:val="Heading 8 Char"/>
    <w:basedOn w:val="850"/>
    <w:link w:val="848"/>
    <w:uiPriority w:val="9"/>
    <w:rPr>
      <w:rFonts w:ascii="Arial" w:hAnsi="Arial" w:eastAsia="Arial" w:cs="Arial"/>
      <w:i/>
      <w:iCs/>
      <w:sz w:val="22"/>
      <w:szCs w:val="22"/>
    </w:rPr>
  </w:style>
  <w:style w:type="character" w:styleId="29">
    <w:name w:val="Heading 9 Char"/>
    <w:basedOn w:val="850"/>
    <w:link w:val="84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0"/>
    <w:next w:val="840"/>
    <w:link w:val="34"/>
    <w:uiPriority w:val="10"/>
    <w:qFormat/>
    <w:pPr>
      <w:contextualSpacing/>
      <w:spacing w:before="300" w:after="200"/>
    </w:pPr>
    <w:rPr>
      <w:sz w:val="48"/>
      <w:szCs w:val="48"/>
    </w:rPr>
  </w:style>
  <w:style w:type="character" w:styleId="34">
    <w:name w:val="Title Char"/>
    <w:basedOn w:val="850"/>
    <w:link w:val="33"/>
    <w:uiPriority w:val="10"/>
    <w:rPr>
      <w:sz w:val="48"/>
      <w:szCs w:val="48"/>
    </w:rPr>
  </w:style>
  <w:style w:type="character" w:styleId="36">
    <w:name w:val="Subtitle Char"/>
    <w:basedOn w:val="850"/>
    <w:link w:val="887"/>
    <w:uiPriority w:val="11"/>
    <w:rPr>
      <w:sz w:val="24"/>
      <w:szCs w:val="24"/>
    </w:rPr>
  </w:style>
  <w:style w:type="character" w:styleId="38">
    <w:name w:val="Quote Char"/>
    <w:link w:val="1092"/>
    <w:uiPriority w:val="29"/>
    <w:rPr>
      <w:i/>
    </w:rPr>
  </w:style>
  <w:style w:type="character" w:styleId="40">
    <w:name w:val="Intense Quote Char"/>
    <w:link w:val="1218"/>
    <w:uiPriority w:val="30"/>
    <w:rPr>
      <w:i/>
    </w:rPr>
  </w:style>
  <w:style w:type="character" w:styleId="42">
    <w:name w:val="Header Char"/>
    <w:basedOn w:val="850"/>
    <w:link w:val="885"/>
    <w:uiPriority w:val="99"/>
  </w:style>
  <w:style w:type="character" w:styleId="44">
    <w:name w:val="Footer Char"/>
    <w:basedOn w:val="850"/>
    <w:link w:val="883"/>
    <w:uiPriority w:val="99"/>
  </w:style>
  <w:style w:type="character" w:styleId="46">
    <w:name w:val="Caption Char"/>
    <w:basedOn w:val="860"/>
    <w:link w:val="883"/>
    <w:uiPriority w:val="99"/>
  </w:style>
  <w:style w:type="table" w:styleId="48">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0"/>
    <w:uiPriority w:val="99"/>
    <w:rPr>
      <w:sz w:val="18"/>
    </w:rPr>
  </w:style>
  <w:style w:type="character" w:styleId="178">
    <w:name w:val="Endnote Text Char"/>
    <w:link w:val="880"/>
    <w:uiPriority w:val="99"/>
    <w:rPr>
      <w:sz w:val="20"/>
    </w:rPr>
  </w:style>
  <w:style w:type="character" w:styleId="179">
    <w:name w:val="endnote reference"/>
    <w:basedOn w:val="850"/>
    <w:uiPriority w:val="99"/>
    <w:semiHidden/>
    <w:unhideWhenUsed/>
    <w:rPr>
      <w:vertAlign w:val="superscript"/>
    </w:rPr>
  </w:style>
  <w:style w:type="paragraph" w:styleId="189">
    <w:name w:val="TOC Heading"/>
    <w:uiPriority w:val="39"/>
    <w:unhideWhenUsed/>
  </w:style>
  <w:style w:type="paragraph" w:styleId="190">
    <w:name w:val="table of figures"/>
    <w:basedOn w:val="840"/>
    <w:next w:val="840"/>
    <w:uiPriority w:val="99"/>
    <w:unhideWhenUsed/>
    <w:pPr>
      <w:spacing w:after="0" w:afterAutospacing="0"/>
    </w:pPr>
  </w:style>
  <w:style w:type="paragraph" w:styleId="840" w:default="1">
    <w:name w:val="Normal"/>
    <w:next w:val="853"/>
    <w:qFormat/>
    <w:pPr>
      <w:ind w:left="1024"/>
      <w:jc w:val="both"/>
    </w:pPr>
    <w:rPr>
      <w:rFonts w:ascii="Calibri" w:hAnsi="Calibri"/>
    </w:rPr>
  </w:style>
  <w:style w:type="paragraph" w:styleId="841">
    <w:name w:val="Heading 1"/>
    <w:basedOn w:val="840"/>
    <w:next w:val="840"/>
    <w:qFormat/>
    <w:pPr>
      <w:ind w:left="432" w:firstLine="18"/>
      <w:spacing w:before="340" w:after="330" w:line="578" w:lineRule="auto"/>
      <w:outlineLvl w:val="0"/>
    </w:pPr>
  </w:style>
  <w:style w:type="paragraph" w:styleId="842">
    <w:name w:val="Heading 2"/>
    <w:basedOn w:val="840"/>
    <w:next w:val="840"/>
    <w:qFormat/>
    <w:pPr>
      <w:ind w:left="576" w:firstLine="24"/>
      <w:spacing w:before="260" w:after="260" w:line="416" w:lineRule="auto"/>
      <w:outlineLvl w:val="1"/>
    </w:pPr>
    <w:rPr>
      <w:rFonts w:ascii="Times New Roman" w:hAnsi="Times New Roman" w:cs="Times New Roman"/>
    </w:rPr>
  </w:style>
  <w:style w:type="paragraph" w:styleId="843">
    <w:name w:val="Heading 3"/>
    <w:basedOn w:val="840"/>
    <w:next w:val="854"/>
    <w:qFormat/>
    <w:pPr>
      <w:ind w:left="720"/>
      <w:spacing w:before="260" w:after="260" w:line="416" w:lineRule="auto"/>
      <w:outlineLvl w:val="2"/>
    </w:pPr>
    <w:rPr>
      <w:rFonts w:ascii="Times New Roman" w:hAnsi="Times New Roman" w:cs="Times New Roman"/>
    </w:rPr>
  </w:style>
  <w:style w:type="paragraph" w:styleId="844">
    <w:name w:val="Heading 4"/>
    <w:basedOn w:val="841"/>
    <w:next w:val="840"/>
    <w:qFormat/>
    <w:pPr>
      <w:ind w:left="864" w:firstLine="24"/>
      <w:spacing w:before="280" w:after="290" w:line="376" w:lineRule="auto"/>
      <w:outlineLvl w:val="3"/>
    </w:pPr>
    <w:rPr>
      <w:rFonts w:ascii="Times New Roman" w:hAnsi="Times New Roman" w:cs="Times New Roman"/>
    </w:rPr>
  </w:style>
  <w:style w:type="paragraph" w:styleId="845">
    <w:name w:val="Heading 5"/>
    <w:basedOn w:val="841"/>
    <w:next w:val="840"/>
    <w:qFormat/>
    <w:pPr>
      <w:ind w:left="1008"/>
      <w:spacing w:before="280" w:after="290" w:line="376" w:lineRule="auto"/>
      <w:outlineLvl w:val="4"/>
    </w:pPr>
    <w:rPr>
      <w:rFonts w:ascii="Times New Roman" w:hAnsi="Times New Roman" w:cs="Times New Roman"/>
    </w:rPr>
  </w:style>
  <w:style w:type="paragraph" w:styleId="846">
    <w:name w:val="Heading 6"/>
    <w:basedOn w:val="841"/>
    <w:next w:val="840"/>
    <w:qFormat/>
    <w:pPr>
      <w:ind w:left="1152" w:firstLine="20"/>
      <w:spacing w:before="240" w:after="64" w:line="320" w:lineRule="auto"/>
      <w:outlineLvl w:val="5"/>
    </w:pPr>
    <w:rPr>
      <w:rFonts w:ascii="Times New Roman" w:hAnsi="Times New Roman" w:cs="Times New Roman"/>
    </w:rPr>
  </w:style>
  <w:style w:type="paragraph" w:styleId="847">
    <w:name w:val="Heading 7"/>
    <w:basedOn w:val="841"/>
    <w:next w:val="840"/>
    <w:qFormat/>
    <w:pPr>
      <w:ind w:left="1296" w:firstLine="14"/>
      <w:spacing w:before="240" w:after="64" w:line="320" w:lineRule="auto"/>
      <w:outlineLvl w:val="6"/>
    </w:pPr>
    <w:rPr>
      <w:rFonts w:ascii="Times New Roman" w:hAnsi="Times New Roman" w:cs="Times New Roman"/>
    </w:rPr>
  </w:style>
  <w:style w:type="paragraph" w:styleId="848">
    <w:name w:val="Heading 8"/>
    <w:basedOn w:val="841"/>
    <w:next w:val="840"/>
    <w:qFormat/>
    <w:pPr>
      <w:ind w:left="1440"/>
      <w:spacing w:before="240" w:after="64" w:line="320" w:lineRule="auto"/>
      <w:outlineLvl w:val="7"/>
    </w:pPr>
    <w:rPr>
      <w:rFonts w:ascii="Times New Roman" w:hAnsi="Times New Roman" w:cs="Times New Roman"/>
    </w:rPr>
  </w:style>
  <w:style w:type="paragraph" w:styleId="849">
    <w:name w:val="Heading 9"/>
    <w:basedOn w:val="841"/>
    <w:next w:val="840"/>
    <w:qFormat/>
    <w:pPr>
      <w:ind w:left="1584" w:firstLine="22"/>
      <w:spacing w:before="240" w:after="64" w:line="320" w:lineRule="auto"/>
      <w:outlineLvl w:val="8"/>
    </w:pPr>
    <w:rPr>
      <w:rFonts w:ascii="Times New Roman" w:hAnsi="Times New Roman" w:cs="Times New Roman"/>
    </w:rPr>
  </w:style>
  <w:style w:type="character" w:styleId="850" w:default="1">
    <w:name w:val="Default Paragraph Font"/>
    <w:uiPriority w:val="1"/>
    <w:semiHidden/>
    <w:unhideWhenUsed/>
  </w:style>
  <w:style w:type="table" w:styleId="851" w:default="1">
    <w:name w:val="Normal Table"/>
    <w:uiPriority w:val="99"/>
    <w:semiHidden/>
    <w:unhideWhenUsed/>
    <w:tblPr>
      <w:tblInd w:w="0" w:type="dxa"/>
      <w:tblCellMar>
        <w:left w:w="108" w:type="dxa"/>
        <w:top w:w="0" w:type="dxa"/>
        <w:right w:w="108" w:type="dxa"/>
        <w:bottom w:w="0" w:type="dxa"/>
      </w:tblCellMar>
    </w:tblPr>
  </w:style>
  <w:style w:type="numbering" w:styleId="852" w:default="1">
    <w:name w:val="No List"/>
    <w:uiPriority w:val="99"/>
    <w:semiHidden/>
    <w:unhideWhenUsed/>
  </w:style>
  <w:style w:type="paragraph" w:styleId="853">
    <w:name w:val="Body Text Indent"/>
    <w:basedOn w:val="840"/>
    <w:next w:val="840"/>
    <w:qFormat/>
    <w:pPr>
      <w:ind w:left="420" w:firstLine="1188"/>
      <w:spacing w:line="360" w:lineRule="exact"/>
    </w:pPr>
    <w:rPr>
      <w:rFonts w:ascii="Times New Roman" w:hAnsi="Times New Roman" w:cs="Times New Roman"/>
    </w:rPr>
  </w:style>
  <w:style w:type="paragraph" w:styleId="854" w:customStyle="1">
    <w:name w:val="正文2"/>
    <w:basedOn w:val="840"/>
    <w:next w:val="840"/>
    <w:qFormat/>
    <w:pPr>
      <w:ind w:left="0" w:hanging="2155"/>
      <w:spacing w:line="360" w:lineRule="auto"/>
      <w:shd w:val="clear" w:color="auto" w:fill="ffffff"/>
    </w:pPr>
    <w:rPr>
      <w:rFonts w:ascii="宋体" w:hAnsi="宋体"/>
    </w:rPr>
  </w:style>
  <w:style w:type="paragraph" w:styleId="855">
    <w:name w:val="toc 7"/>
    <w:basedOn w:val="841"/>
    <w:next w:val="840"/>
    <w:qFormat/>
    <w:pPr>
      <w:ind w:left="1640" w:firstLine="3784"/>
      <w:spacing w:before="0" w:after="0" w:line="360" w:lineRule="auto"/>
    </w:pPr>
    <w:rPr>
      <w:rFonts w:ascii="Times New Roman" w:hAnsi="Times New Roman" w:cs="Times New Roman"/>
    </w:rPr>
  </w:style>
  <w:style w:type="paragraph" w:styleId="856">
    <w:name w:val="List Bullet 4"/>
    <w:basedOn w:val="841"/>
    <w:next w:val="857"/>
    <w:qFormat/>
    <w:pPr>
      <w:ind w:left="1620" w:firstLine="2652"/>
      <w:spacing w:before="0" w:after="0" w:line="360" w:lineRule="auto"/>
    </w:pPr>
    <w:rPr>
      <w:rFonts w:ascii="Times New Roman" w:hAnsi="Times New Roman" w:cs="Times New Roman"/>
    </w:rPr>
  </w:style>
  <w:style w:type="paragraph" w:styleId="857">
    <w:name w:val="List Bullet 2"/>
    <w:basedOn w:val="841"/>
    <w:next w:val="840"/>
    <w:qFormat/>
    <w:pPr>
      <w:ind w:left="900" w:firstLine="2652"/>
      <w:spacing w:before="0" w:after="0" w:line="360" w:lineRule="auto"/>
    </w:pPr>
    <w:rPr>
      <w:rFonts w:ascii="Times New Roman" w:hAnsi="Times New Roman" w:cs="Times New Roman"/>
    </w:rPr>
  </w:style>
  <w:style w:type="paragraph" w:styleId="858">
    <w:name w:val="List Number"/>
    <w:basedOn w:val="841"/>
    <w:next w:val="840"/>
    <w:qFormat/>
    <w:pPr>
      <w:ind w:left="454" w:firstLine="2788"/>
      <w:spacing w:before="0" w:after="0" w:line="240" w:lineRule="auto"/>
    </w:pPr>
    <w:rPr>
      <w:rFonts w:ascii="Times New Roman" w:hAnsi="Times New Roman" w:cs="Times New Roman"/>
    </w:rPr>
  </w:style>
  <w:style w:type="paragraph" w:styleId="859">
    <w:name w:val="Normal Indent"/>
    <w:basedOn w:val="840"/>
    <w:next w:val="840"/>
    <w:link w:val="909"/>
    <w:qFormat/>
    <w:pPr>
      <w:ind w:left="420" w:firstLine="4772"/>
    </w:pPr>
  </w:style>
  <w:style w:type="paragraph" w:styleId="860">
    <w:name w:val="Caption"/>
    <w:basedOn w:val="841"/>
    <w:next w:val="840"/>
    <w:qFormat/>
    <w:pPr>
      <w:ind w:left="200" w:firstLine="2248"/>
      <w:jc w:val="center"/>
      <w:spacing w:before="0" w:after="0" w:line="240" w:lineRule="auto"/>
    </w:pPr>
    <w:rPr>
      <w:rFonts w:ascii="Times New Roman" w:hAnsi="Times New Roman" w:cs="Times New Roman"/>
    </w:rPr>
  </w:style>
  <w:style w:type="paragraph" w:styleId="861">
    <w:name w:val="List Bullet"/>
    <w:basedOn w:val="841"/>
    <w:next w:val="840"/>
    <w:qFormat/>
    <w:pPr>
      <w:ind w:left="900" w:firstLine="2652"/>
      <w:spacing w:before="0" w:after="0" w:line="360" w:lineRule="auto"/>
    </w:pPr>
    <w:rPr>
      <w:rFonts w:ascii="Times New Roman" w:hAnsi="Times New Roman" w:cs="Times New Roman"/>
    </w:rPr>
  </w:style>
  <w:style w:type="paragraph" w:styleId="862">
    <w:name w:val="Document Map"/>
    <w:basedOn w:val="841"/>
    <w:next w:val="863"/>
    <w:qFormat/>
    <w:pPr>
      <w:ind w:left="0" w:firstLine="4"/>
      <w:spacing w:before="0" w:after="0" w:line="240" w:lineRule="auto"/>
      <w:shd w:val="clear" w:color="000000" w:fill="000080"/>
    </w:pPr>
    <w:rPr>
      <w:rFonts w:ascii="Times New Roman" w:hAnsi="Times New Roman" w:cs="Times New Roman"/>
    </w:rPr>
  </w:style>
  <w:style w:type="paragraph" w:styleId="863">
    <w:name w:val="annotation subject"/>
    <w:next w:val="840"/>
    <w:qFormat/>
    <w:pPr>
      <w:ind w:firstLine="4608"/>
      <w:spacing w:line="360" w:lineRule="auto"/>
    </w:pPr>
    <w:rPr>
      <w:rFonts w:ascii="Calibri" w:hAnsi="Calibri"/>
    </w:rPr>
  </w:style>
  <w:style w:type="paragraph" w:styleId="864">
    <w:name w:val="annotation text"/>
    <w:basedOn w:val="841"/>
    <w:next w:val="840"/>
    <w:qFormat/>
    <w:pPr>
      <w:ind w:left="0" w:firstLine="3584"/>
      <w:spacing w:before="0" w:after="0" w:line="360" w:lineRule="auto"/>
    </w:pPr>
    <w:rPr>
      <w:rFonts w:ascii="Times New Roman" w:hAnsi="Times New Roman" w:cs="Times New Roman"/>
    </w:rPr>
  </w:style>
  <w:style w:type="paragraph" w:styleId="865">
    <w:name w:val="Body Text 3"/>
    <w:basedOn w:val="841"/>
    <w:next w:val="840"/>
    <w:qFormat/>
    <w:pPr>
      <w:ind w:left="0" w:firstLine="2048"/>
      <w:spacing w:before="0" w:after="0" w:line="500" w:lineRule="exact"/>
    </w:pPr>
    <w:rPr>
      <w:rFonts w:ascii="Times New Roman" w:hAnsi="Times New Roman" w:cs="Times New Roman"/>
    </w:rPr>
  </w:style>
  <w:style w:type="paragraph" w:styleId="866">
    <w:name w:val="List Bullet 3"/>
    <w:basedOn w:val="841"/>
    <w:next w:val="840"/>
    <w:qFormat/>
    <w:pPr>
      <w:ind w:left="900" w:firstLine="2652"/>
      <w:spacing w:before="0" w:after="0" w:line="360" w:lineRule="auto"/>
    </w:pPr>
    <w:rPr>
      <w:rFonts w:ascii="Times New Roman" w:hAnsi="Times New Roman" w:cs="Times New Roman"/>
    </w:rPr>
  </w:style>
  <w:style w:type="paragraph" w:styleId="867">
    <w:name w:val="Body Text"/>
    <w:basedOn w:val="840"/>
    <w:next w:val="840"/>
    <w:qFormat/>
    <w:pPr>
      <w:ind w:left="0" w:firstLine="2560"/>
    </w:pPr>
    <w:rPr>
      <w:rFonts w:ascii="Times New Roman" w:hAnsi="Times New Roman" w:cs="Times New Roman"/>
    </w:rPr>
  </w:style>
  <w:style w:type="paragraph" w:styleId="868">
    <w:name w:val="List Number 3"/>
    <w:basedOn w:val="841"/>
    <w:next w:val="840"/>
    <w:qFormat/>
    <w:pPr>
      <w:ind w:left="420" w:firstLine="3584"/>
      <w:spacing w:before="0" w:after="0" w:line="240" w:lineRule="auto"/>
    </w:pPr>
    <w:rPr>
      <w:rFonts w:ascii="Times New Roman" w:hAnsi="Times New Roman" w:cs="Times New Roman"/>
    </w:rPr>
  </w:style>
  <w:style w:type="paragraph" w:styleId="869">
    <w:name w:val="List 2"/>
    <w:basedOn w:val="841"/>
    <w:next w:val="855"/>
    <w:qFormat/>
    <w:pPr>
      <w:ind w:left="100" w:firstLine="3640"/>
      <w:spacing w:before="0" w:after="0" w:line="240" w:lineRule="auto"/>
    </w:pPr>
    <w:rPr>
      <w:rFonts w:ascii="Times New Roman" w:hAnsi="Times New Roman" w:cs="Times New Roman"/>
    </w:rPr>
  </w:style>
  <w:style w:type="paragraph" w:styleId="870">
    <w:name w:val="Block Text"/>
    <w:basedOn w:val="841"/>
    <w:next w:val="840"/>
    <w:qFormat/>
    <w:pPr>
      <w:ind w:left="420" w:right="33" w:firstLine="2560"/>
      <w:spacing w:before="0" w:after="0" w:line="240" w:lineRule="auto"/>
    </w:pPr>
    <w:rPr>
      <w:rFonts w:ascii="Times New Roman" w:hAnsi="Times New Roman" w:cs="Times New Roman"/>
    </w:rPr>
  </w:style>
  <w:style w:type="paragraph" w:styleId="871">
    <w:name w:val="toc 5"/>
    <w:basedOn w:val="841"/>
    <w:next w:val="840"/>
    <w:qFormat/>
    <w:pPr>
      <w:ind w:left="1160" w:firstLine="3784"/>
      <w:spacing w:before="0" w:after="0" w:line="360" w:lineRule="auto"/>
    </w:pPr>
    <w:rPr>
      <w:rFonts w:ascii="Times New Roman" w:hAnsi="Times New Roman" w:cs="Times New Roman"/>
    </w:rPr>
  </w:style>
  <w:style w:type="paragraph" w:styleId="872">
    <w:name w:val="toc 3"/>
    <w:basedOn w:val="841"/>
    <w:next w:val="840"/>
    <w:qFormat/>
    <w:pPr>
      <w:ind w:left="0" w:firstLine="1024"/>
      <w:spacing w:before="0" w:after="0" w:line="360" w:lineRule="auto"/>
    </w:pPr>
    <w:rPr>
      <w:rFonts w:ascii="Times New Roman" w:hAnsi="Times New Roman" w:cs="Times New Roman"/>
    </w:rPr>
  </w:style>
  <w:style w:type="paragraph" w:styleId="873">
    <w:name w:val="Plain Text"/>
    <w:basedOn w:val="841"/>
    <w:next w:val="874"/>
    <w:qFormat/>
    <w:pPr>
      <w:ind w:left="0" w:firstLine="2048"/>
      <w:spacing w:before="0" w:after="0" w:line="240" w:lineRule="auto"/>
    </w:pPr>
    <w:rPr>
      <w:rFonts w:ascii="Times New Roman" w:hAnsi="Times New Roman" w:cs="Times New Roman"/>
    </w:rPr>
  </w:style>
  <w:style w:type="paragraph" w:styleId="874">
    <w:name w:val="toc 1"/>
    <w:basedOn w:val="841"/>
    <w:next w:val="840"/>
    <w:uiPriority w:val="39"/>
    <w:qFormat/>
    <w:pPr>
      <w:ind w:left="0" w:firstLine="4608"/>
      <w:spacing w:before="0" w:after="0" w:line="240" w:lineRule="auto"/>
    </w:pPr>
    <w:rPr>
      <w:rFonts w:ascii="Times New Roman" w:hAnsi="Times New Roman" w:cs="Times New Roman"/>
    </w:rPr>
  </w:style>
  <w:style w:type="paragraph" w:styleId="875">
    <w:name w:val="List Bullet 5"/>
    <w:basedOn w:val="841"/>
    <w:next w:val="876"/>
    <w:qFormat/>
    <w:pPr>
      <w:ind w:left="2040" w:firstLine="2560"/>
      <w:spacing w:before="0" w:after="0" w:line="360" w:lineRule="auto"/>
    </w:pPr>
    <w:rPr>
      <w:rFonts w:ascii="Times New Roman" w:hAnsi="Times New Roman" w:cs="Times New Roman"/>
    </w:rPr>
  </w:style>
  <w:style w:type="paragraph" w:styleId="876" w:customStyle="1">
    <w:name w:val="正文首行缩进1"/>
    <w:next w:val="868"/>
    <w:qFormat/>
    <w:pPr>
      <w:ind w:left="420" w:firstLine="2724"/>
      <w:spacing w:after="120" w:line="360" w:lineRule="auto"/>
    </w:pPr>
    <w:rPr>
      <w:rFonts w:ascii="Calibri" w:hAnsi="Calibri"/>
    </w:rPr>
  </w:style>
  <w:style w:type="paragraph" w:styleId="877">
    <w:name w:val="toc 8"/>
    <w:basedOn w:val="841"/>
    <w:next w:val="840"/>
    <w:qFormat/>
    <w:pPr>
      <w:ind w:left="1880" w:firstLine="3784"/>
      <w:spacing w:before="0" w:after="0" w:line="360" w:lineRule="auto"/>
    </w:pPr>
    <w:rPr>
      <w:rFonts w:ascii="Times New Roman" w:hAnsi="Times New Roman" w:cs="Times New Roman"/>
    </w:rPr>
  </w:style>
  <w:style w:type="paragraph" w:styleId="878">
    <w:name w:val="Date"/>
    <w:basedOn w:val="841"/>
    <w:next w:val="840"/>
    <w:qFormat/>
    <w:pPr>
      <w:ind w:left="0" w:firstLine="2560"/>
      <w:spacing w:before="0" w:after="0" w:line="240" w:lineRule="auto"/>
    </w:pPr>
    <w:rPr>
      <w:rFonts w:ascii="Times New Roman" w:hAnsi="Times New Roman" w:cs="Times New Roman"/>
    </w:rPr>
  </w:style>
  <w:style w:type="paragraph" w:styleId="879">
    <w:name w:val="Body Text Indent 2"/>
    <w:basedOn w:val="841"/>
    <w:next w:val="853"/>
    <w:qFormat/>
    <w:pPr>
      <w:ind w:left="481" w:firstLine="2784"/>
      <w:spacing w:before="0" w:after="0" w:line="400" w:lineRule="exact"/>
    </w:pPr>
    <w:rPr>
      <w:rFonts w:ascii="Times New Roman" w:hAnsi="Times New Roman" w:cs="Times New Roman"/>
    </w:rPr>
  </w:style>
  <w:style w:type="paragraph" w:styleId="880">
    <w:name w:val="endnote text"/>
    <w:basedOn w:val="841"/>
    <w:next w:val="881"/>
    <w:qFormat/>
    <w:pPr>
      <w:ind w:left="0" w:firstLine="2560"/>
      <w:spacing w:before="0" w:after="0" w:line="360" w:lineRule="auto"/>
    </w:pPr>
    <w:rPr>
      <w:rFonts w:ascii="Times New Roman" w:hAnsi="Times New Roman" w:cs="Times New Roman"/>
    </w:rPr>
  </w:style>
  <w:style w:type="paragraph" w:styleId="881" w:customStyle="1">
    <w:name w:val="Char11"/>
    <w:basedOn w:val="841"/>
    <w:next w:val="840"/>
    <w:qFormat/>
    <w:pPr>
      <w:ind w:left="0" w:firstLine="3584"/>
      <w:spacing w:before="0" w:after="0" w:line="240" w:lineRule="auto"/>
    </w:pPr>
    <w:rPr>
      <w:rFonts w:ascii="Times New Roman" w:hAnsi="Times New Roman" w:cs="Times New Roman"/>
    </w:rPr>
  </w:style>
  <w:style w:type="paragraph" w:styleId="882">
    <w:name w:val="Balloon Text"/>
    <w:basedOn w:val="841"/>
    <w:next w:val="858"/>
    <w:qFormat/>
    <w:pPr>
      <w:ind w:left="0" w:firstLine="2048"/>
      <w:spacing w:before="0" w:after="0" w:line="240" w:lineRule="auto"/>
    </w:pPr>
    <w:rPr>
      <w:rFonts w:ascii="Times New Roman" w:hAnsi="Times New Roman" w:cs="Times New Roman"/>
    </w:rPr>
  </w:style>
  <w:style w:type="paragraph" w:styleId="883">
    <w:name w:val="Footer"/>
    <w:basedOn w:val="840"/>
    <w:next w:val="884"/>
    <w:link w:val="910"/>
    <w:qFormat/>
    <w:pPr>
      <w:ind w:left="0" w:firstLine="3584"/>
    </w:pPr>
  </w:style>
  <w:style w:type="paragraph" w:styleId="884" w:customStyle="1">
    <w:name w:val="Char Char Char Char Char Char Char Char Char Char Char Char Char"/>
    <w:basedOn w:val="841"/>
    <w:next w:val="840"/>
    <w:qFormat/>
    <w:pPr>
      <w:ind w:left="0" w:firstLine="3584"/>
      <w:spacing w:before="0" w:after="160" w:line="240" w:lineRule="exact"/>
    </w:pPr>
    <w:rPr>
      <w:rFonts w:ascii="Times New Roman" w:hAnsi="Times New Roman" w:cs="Times New Roman"/>
    </w:rPr>
  </w:style>
  <w:style w:type="paragraph" w:styleId="885">
    <w:name w:val="Header"/>
    <w:basedOn w:val="841"/>
    <w:next w:val="878"/>
    <w:link w:val="911"/>
    <w:qFormat/>
    <w:pPr>
      <w:ind w:left="0" w:firstLine="3584"/>
      <w:jc w:val="center"/>
      <w:spacing w:before="0" w:after="0" w:line="240" w:lineRule="auto"/>
    </w:pPr>
  </w:style>
  <w:style w:type="paragraph" w:styleId="886">
    <w:name w:val="toc 4"/>
    <w:basedOn w:val="841"/>
    <w:next w:val="840"/>
    <w:qFormat/>
    <w:pPr>
      <w:ind w:left="1260" w:firstLine="1024"/>
      <w:spacing w:before="0" w:after="0" w:line="240" w:lineRule="auto"/>
    </w:pPr>
    <w:rPr>
      <w:rFonts w:ascii="Times New Roman" w:hAnsi="Times New Roman" w:cs="Times New Roman"/>
    </w:rPr>
  </w:style>
  <w:style w:type="paragraph" w:styleId="887">
    <w:name w:val="Subtitle"/>
    <w:next w:val="840"/>
    <w:qFormat/>
    <w:pPr>
      <w:ind w:left="1024"/>
      <w:jc w:val="center"/>
      <w:spacing w:after="60"/>
    </w:pPr>
    <w:rPr>
      <w:rFonts w:ascii="Calibri" w:hAnsi="Calibri"/>
    </w:rPr>
  </w:style>
  <w:style w:type="paragraph" w:styleId="888">
    <w:name w:val="List"/>
    <w:basedOn w:val="841"/>
    <w:next w:val="889"/>
    <w:qFormat/>
    <w:pPr>
      <w:ind w:left="200" w:firstLine="3640"/>
      <w:spacing w:before="0" w:after="0" w:line="240" w:lineRule="auto"/>
    </w:pPr>
    <w:rPr>
      <w:rFonts w:ascii="Times New Roman" w:hAnsi="Times New Roman" w:cs="Times New Roman"/>
    </w:rPr>
  </w:style>
  <w:style w:type="paragraph" w:styleId="889">
    <w:name w:val="Body Text First Indent"/>
    <w:next w:val="840"/>
    <w:qFormat/>
    <w:pPr>
      <w:ind w:left="420" w:firstLine="3748"/>
      <w:spacing w:after="120"/>
    </w:pPr>
    <w:rPr>
      <w:rFonts w:ascii="Calibri" w:hAnsi="Calibri"/>
    </w:rPr>
  </w:style>
  <w:style w:type="paragraph" w:styleId="890">
    <w:name w:val="footnote text"/>
    <w:basedOn w:val="841"/>
    <w:next w:val="870"/>
    <w:qFormat/>
    <w:pPr>
      <w:ind w:left="0" w:firstLine="3584"/>
      <w:spacing w:before="0" w:after="0" w:line="360" w:lineRule="auto"/>
    </w:pPr>
    <w:rPr>
      <w:rFonts w:ascii="Times New Roman" w:hAnsi="Times New Roman" w:cs="Times New Roman"/>
    </w:rPr>
  </w:style>
  <w:style w:type="paragraph" w:styleId="891">
    <w:name w:val="toc 6"/>
    <w:basedOn w:val="841"/>
    <w:next w:val="840"/>
    <w:qFormat/>
    <w:pPr>
      <w:ind w:left="1400" w:firstLine="3784"/>
      <w:spacing w:before="0" w:after="0" w:line="360" w:lineRule="auto"/>
    </w:pPr>
    <w:rPr>
      <w:rFonts w:ascii="Times New Roman" w:hAnsi="Times New Roman" w:cs="Times New Roman"/>
    </w:rPr>
  </w:style>
  <w:style w:type="paragraph" w:styleId="892">
    <w:name w:val="List 5"/>
    <w:basedOn w:val="841"/>
    <w:next w:val="867"/>
    <w:qFormat/>
    <w:pPr>
      <w:ind w:left="2100" w:firstLine="3676"/>
      <w:spacing w:before="0" w:after="0" w:line="240" w:lineRule="auto"/>
    </w:pPr>
    <w:rPr>
      <w:rFonts w:ascii="Times New Roman" w:hAnsi="Times New Roman" w:cs="Times New Roman"/>
    </w:rPr>
  </w:style>
  <w:style w:type="paragraph" w:styleId="893">
    <w:name w:val="Body Text Indent 3"/>
    <w:basedOn w:val="841"/>
    <w:next w:val="891"/>
    <w:qFormat/>
    <w:pPr>
      <w:ind w:left="480" w:firstLine="2784"/>
      <w:spacing w:before="0" w:after="0" w:line="400" w:lineRule="exact"/>
    </w:pPr>
    <w:rPr>
      <w:rFonts w:ascii="Times New Roman" w:hAnsi="Times New Roman" w:cs="Times New Roman"/>
    </w:rPr>
  </w:style>
  <w:style w:type="paragraph" w:styleId="894">
    <w:name w:val="toc 2"/>
    <w:basedOn w:val="841"/>
    <w:next w:val="840"/>
    <w:qFormat/>
    <w:pPr>
      <w:ind w:left="0" w:firstLine="1024"/>
      <w:spacing w:before="0" w:after="0" w:line="360" w:lineRule="auto"/>
    </w:pPr>
    <w:rPr>
      <w:rFonts w:ascii="Times New Roman" w:hAnsi="Times New Roman" w:cs="Times New Roman"/>
    </w:rPr>
  </w:style>
  <w:style w:type="paragraph" w:styleId="895">
    <w:name w:val="toc 9"/>
    <w:basedOn w:val="841"/>
    <w:next w:val="840"/>
    <w:qFormat/>
    <w:pPr>
      <w:ind w:left="2120" w:firstLine="3784"/>
      <w:spacing w:before="0" w:after="0" w:line="360" w:lineRule="auto"/>
    </w:pPr>
    <w:rPr>
      <w:rFonts w:ascii="Times New Roman" w:hAnsi="Times New Roman" w:cs="Times New Roman"/>
    </w:rPr>
  </w:style>
  <w:style w:type="paragraph" w:styleId="896">
    <w:name w:val="Body Text 2"/>
    <w:basedOn w:val="841"/>
    <w:next w:val="861"/>
    <w:qFormat/>
    <w:pPr>
      <w:ind w:left="0" w:firstLine="1024"/>
      <w:spacing w:before="0" w:after="120" w:line="480" w:lineRule="auto"/>
    </w:pPr>
    <w:rPr>
      <w:rFonts w:ascii="Times New Roman" w:hAnsi="Times New Roman" w:cs="Times New Roman"/>
    </w:rPr>
  </w:style>
  <w:style w:type="paragraph" w:styleId="897">
    <w:name w:val="HTML Preformatted"/>
    <w:basedOn w:val="841"/>
    <w:next w:val="860"/>
    <w:qFormat/>
    <w:pPr>
      <w:ind w:left="0" w:firstLine="2048"/>
      <w:spacing w:before="0" w:after="0" w:line="253" w:lineRule="atLeast"/>
    </w:pPr>
    <w:rPr>
      <w:rFonts w:ascii="Times New Roman" w:hAnsi="Times New Roman" w:cs="Times New Roman"/>
    </w:rPr>
  </w:style>
  <w:style w:type="paragraph" w:styleId="898">
    <w:name w:val="Normal (Web)"/>
    <w:basedOn w:val="840"/>
    <w:next w:val="869"/>
    <w:qFormat/>
    <w:pPr>
      <w:ind w:left="15" w:right="15" w:firstLine="4608"/>
      <w:spacing w:before="60" w:after="60" w:line="312" w:lineRule="auto"/>
    </w:pPr>
    <w:rPr>
      <w:rFonts w:ascii="Times New Roman" w:hAnsi="Times New Roman" w:cs="Times New Roman"/>
    </w:rPr>
  </w:style>
  <w:style w:type="paragraph" w:styleId="899">
    <w:name w:val="index 1"/>
    <w:basedOn w:val="841"/>
    <w:next w:val="840"/>
    <w:qFormat/>
    <w:pPr>
      <w:ind w:left="0" w:firstLine="3584"/>
      <w:spacing w:before="0" w:after="0" w:line="240" w:lineRule="auto"/>
    </w:pPr>
    <w:rPr>
      <w:rFonts w:ascii="Times New Roman" w:hAnsi="Times New Roman" w:cs="Times New Roman"/>
    </w:rPr>
  </w:style>
  <w:style w:type="paragraph" w:styleId="900">
    <w:name w:val="Body Text First Indent 2"/>
    <w:basedOn w:val="853"/>
    <w:link w:val="1259"/>
    <w:unhideWhenUsed/>
    <w:qFormat/>
    <w:pPr>
      <w:ind w:firstLine="420"/>
    </w:pPr>
  </w:style>
  <w:style w:type="table" w:styleId="90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2">
    <w:name w:val="Strong"/>
    <w:qFormat/>
    <w:rPr>
      <w:rFonts w:ascii="Times New Roman" w:hAnsi="Times New Roman" w:eastAsia="宋体" w:cs="Times New Roman"/>
      <w:b/>
      <w:sz w:val="20"/>
    </w:rPr>
  </w:style>
  <w:style w:type="character" w:styleId="903">
    <w:name w:val="page number"/>
    <w:qFormat/>
    <w:rPr>
      <w:rFonts w:ascii="Times New Roman" w:hAnsi="Times New Roman" w:eastAsia="宋体" w:cs="Times New Roman"/>
      <w:sz w:val="20"/>
    </w:rPr>
  </w:style>
  <w:style w:type="character" w:styleId="904">
    <w:name w:val="FollowedHyperlink"/>
    <w:qFormat/>
    <w:rPr>
      <w:rFonts w:ascii="Times New Roman" w:hAnsi="Times New Roman" w:eastAsia="宋体" w:cs="Times New Roman"/>
      <w:color w:val="800080"/>
      <w:sz w:val="20"/>
      <w:u w:val="single"/>
    </w:rPr>
  </w:style>
  <w:style w:type="character" w:styleId="905">
    <w:name w:val="Emphasis"/>
    <w:qFormat/>
    <w:rPr>
      <w:rFonts w:ascii="Times New Roman" w:hAnsi="Times New Roman" w:eastAsia="宋体" w:cs="Times New Roman"/>
      <w:i/>
      <w:sz w:val="21"/>
    </w:rPr>
  </w:style>
  <w:style w:type="character" w:styleId="906">
    <w:name w:val="Hyperlink"/>
    <w:uiPriority w:val="99"/>
    <w:qFormat/>
    <w:rPr>
      <w:rFonts w:ascii="Times New Roman" w:hAnsi="Times New Roman" w:eastAsia="宋体" w:cs="Times New Roman"/>
      <w:color w:val="0000ff"/>
      <w:sz w:val="20"/>
      <w:u w:val="single"/>
    </w:rPr>
  </w:style>
  <w:style w:type="character" w:styleId="907">
    <w:name w:val="annotation reference"/>
    <w:qFormat/>
    <w:rPr>
      <w:rFonts w:ascii="Times New Roman" w:hAnsi="Times New Roman" w:eastAsia="宋体" w:cs="Times New Roman"/>
      <w:sz w:val="20"/>
    </w:rPr>
  </w:style>
  <w:style w:type="character" w:styleId="908">
    <w:name w:val="footnote reference"/>
    <w:qFormat/>
    <w:rPr>
      <w:rFonts w:ascii="Times New Roman" w:hAnsi="Times New Roman" w:eastAsia="宋体" w:cs="Times New Roman"/>
      <w:vertAlign w:val="superscript"/>
    </w:rPr>
  </w:style>
  <w:style w:type="character" w:styleId="909" w:customStyle="1">
    <w:name w:val="正文缩进 字符"/>
    <w:link w:val="859"/>
    <w:qFormat/>
    <w:rPr>
      <w:rFonts w:ascii="Calibri" w:hAnsi="Calibri" w:eastAsia="宋体" w:cs="Times New Roman"/>
    </w:rPr>
  </w:style>
  <w:style w:type="character" w:styleId="910" w:customStyle="1">
    <w:name w:val="页脚 字符"/>
    <w:link w:val="883"/>
    <w:qFormat/>
    <w:rPr>
      <w:rFonts w:ascii="Calibri" w:hAnsi="Calibri" w:eastAsia="宋体" w:cs="Times New Roman"/>
    </w:rPr>
  </w:style>
  <w:style w:type="character" w:styleId="911" w:customStyle="1">
    <w:name w:val="页眉 字符"/>
    <w:link w:val="885"/>
    <w:qFormat/>
    <w:rPr>
      <w:rFonts w:ascii="Calibri" w:hAnsi="Calibri" w:eastAsia="宋体" w:cs="Times New Roman"/>
    </w:rPr>
  </w:style>
  <w:style w:type="character" w:styleId="912" w:customStyle="1">
    <w:name w:val="日期 Char"/>
    <w:qFormat/>
    <w:rPr>
      <w:rFonts w:ascii="Times New Roman" w:hAnsi="Times New Roman" w:eastAsia="宋体" w:cs="Times New Roman"/>
      <w:sz w:val="20"/>
    </w:rPr>
  </w:style>
  <w:style w:type="character" w:styleId="913" w:customStyle="1">
    <w:name w:val="批注引用1"/>
    <w:qFormat/>
    <w:rPr>
      <w:rFonts w:ascii="Times New Roman" w:hAnsi="Times New Roman" w:eastAsia="宋体" w:cs="Times New Roman"/>
      <w:sz w:val="20"/>
    </w:rPr>
  </w:style>
  <w:style w:type="character" w:styleId="914" w:customStyle="1">
    <w:name w:val="应答文本 Char Char"/>
    <w:qFormat/>
    <w:rPr>
      <w:rFonts w:ascii="Times New Roman" w:hAnsi="Times New Roman" w:eastAsia="宋体" w:cs="Times New Roman"/>
      <w:sz w:val="20"/>
    </w:rPr>
  </w:style>
  <w:style w:type="character" w:styleId="915" w:customStyle="1">
    <w:name w:val="图片0 Char Char"/>
    <w:qFormat/>
    <w:rPr>
      <w:rFonts w:ascii="Times New Roman" w:hAnsi="Times New Roman" w:eastAsia="宋体" w:cs="Times New Roman"/>
      <w:sz w:val="20"/>
    </w:rPr>
  </w:style>
  <w:style w:type="character" w:styleId="916" w:customStyle="1">
    <w:name w:val="尾注文本 Char"/>
    <w:qFormat/>
    <w:rPr>
      <w:rFonts w:ascii="Times New Roman" w:hAnsi="Times New Roman" w:eastAsia="宋体" w:cs="Times New Roman"/>
      <w:sz w:val="20"/>
    </w:rPr>
  </w:style>
  <w:style w:type="character" w:styleId="917" w:customStyle="1">
    <w:name w:val="文档结构图 字符"/>
    <w:qFormat/>
    <w:rPr>
      <w:rFonts w:ascii="Microsoft YaHei UI" w:hAnsi="Times New Roman" w:eastAsia="Microsoft YaHei UI" w:cs="Times New Roman"/>
      <w:sz w:val="18"/>
      <w:szCs w:val="18"/>
    </w:rPr>
  </w:style>
  <w:style w:type="character" w:styleId="918" w:customStyle="1">
    <w:name w:val="_Style 337"/>
    <w:qFormat/>
    <w:rPr>
      <w:rFonts w:ascii="Times New Roman" w:hAnsi="Times New Roman" w:eastAsia="宋体" w:cs="Times New Roman"/>
      <w:color w:val="auto"/>
      <w:sz w:val="21"/>
    </w:rPr>
  </w:style>
  <w:style w:type="character" w:styleId="919" w:customStyle="1">
    <w:name w:val="正文文本 字符"/>
    <w:qFormat/>
    <w:rPr>
      <w:rFonts w:ascii="Times New Roman" w:hAnsi="Times New Roman" w:eastAsia="宋体" w:cs="Times New Roman"/>
      <w:sz w:val="21"/>
    </w:rPr>
  </w:style>
  <w:style w:type="character" w:styleId="920" w:customStyle="1">
    <w:name w:val="批注文字 字符"/>
    <w:qFormat/>
    <w:rPr>
      <w:rFonts w:ascii="Times New Roman" w:hAnsi="Times New Roman" w:eastAsia="宋体" w:cs="Times New Roman"/>
      <w:sz w:val="20"/>
    </w:rPr>
  </w:style>
  <w:style w:type="character" w:styleId="921" w:customStyle="1">
    <w:name w:val="批注文字 Char1"/>
    <w:qFormat/>
    <w:rPr>
      <w:rFonts w:ascii="Times New Roman" w:hAnsi="Times New Roman" w:eastAsia="宋体" w:cs="Times New Roman"/>
      <w:sz w:val="20"/>
    </w:rPr>
  </w:style>
  <w:style w:type="character" w:styleId="922" w:customStyle="1">
    <w:name w:val="txt"/>
    <w:qFormat/>
    <w:rPr>
      <w:rFonts w:ascii="Times New Roman" w:hAnsi="Times New Roman" w:eastAsia="宋体" w:cs="Times New Roman"/>
      <w:sz w:val="20"/>
    </w:rPr>
  </w:style>
  <w:style w:type="character" w:styleId="923" w:customStyle="1">
    <w:name w:val="标书正文 Char"/>
    <w:qFormat/>
    <w:rPr>
      <w:rFonts w:ascii="Times New Roman" w:hAnsi="Times New Roman" w:eastAsia="宋体" w:cs="Times New Roman"/>
      <w:sz w:val="20"/>
    </w:rPr>
  </w:style>
  <w:style w:type="character" w:styleId="924" w:customStyle="1">
    <w:name w:val="font21"/>
    <w:qFormat/>
    <w:rPr>
      <w:rFonts w:hint="eastAsia" w:ascii="宋体" w:hAnsi="宋体" w:eastAsia="宋体" w:cs="宋体"/>
      <w:color w:val="ff0000"/>
      <w:sz w:val="24"/>
      <w:szCs w:val="24"/>
      <w:u w:val="none"/>
    </w:rPr>
  </w:style>
  <w:style w:type="character" w:styleId="925" w:customStyle="1">
    <w:name w:val="apple-converted-space"/>
    <w:qFormat/>
    <w:rPr>
      <w:rFonts w:ascii="Times New Roman" w:hAnsi="Times New Roman" w:eastAsia="宋体" w:cs="Times New Roman"/>
      <w:sz w:val="20"/>
    </w:rPr>
  </w:style>
  <w:style w:type="character" w:styleId="926" w:customStyle="1">
    <w:name w:val="纯文本 Char1"/>
    <w:qFormat/>
    <w:rPr>
      <w:rFonts w:ascii="Times New Roman" w:hAnsi="Times New Roman" w:eastAsia="宋体" w:cs="Times New Roman"/>
      <w:sz w:val="20"/>
    </w:rPr>
  </w:style>
  <w:style w:type="character" w:styleId="927" w:customStyle="1">
    <w:name w:val="para1"/>
    <w:qFormat/>
    <w:rPr>
      <w:rFonts w:ascii="Times New Roman" w:hAnsi="Times New Roman" w:eastAsia="宋体" w:cs="Times New Roman"/>
      <w:sz w:val="20"/>
    </w:rPr>
  </w:style>
  <w:style w:type="character" w:styleId="928" w:customStyle="1">
    <w:name w:val="HTML 预设格式 Char1"/>
    <w:qFormat/>
    <w:rPr>
      <w:rFonts w:ascii="Times New Roman" w:hAnsi="Times New Roman" w:eastAsia="宋体" w:cs="Times New Roman"/>
      <w:sz w:val="20"/>
    </w:rPr>
  </w:style>
  <w:style w:type="character" w:styleId="929" w:customStyle="1">
    <w:name w:val="批注文字 Char"/>
    <w:qFormat/>
    <w:rPr>
      <w:rFonts w:ascii="Times New Roman" w:hAnsi="Times New Roman" w:eastAsia="宋体" w:cs="Times New Roman"/>
      <w:sz w:val="20"/>
    </w:rPr>
  </w:style>
  <w:style w:type="character" w:styleId="930" w:customStyle="1">
    <w:name w:val="文档结构图 Char"/>
    <w:qFormat/>
    <w:rPr>
      <w:rFonts w:ascii="Times New Roman" w:hAnsi="Times New Roman" w:eastAsia="宋体" w:cs="Times New Roman"/>
      <w:sz w:val="20"/>
    </w:rPr>
  </w:style>
  <w:style w:type="character" w:styleId="931" w:customStyle="1">
    <w:name w:val="超级链接"/>
    <w:qFormat/>
    <w:rPr>
      <w:rFonts w:ascii="Times New Roman" w:hAnsi="Times New Roman" w:eastAsia="宋体" w:cs="Times New Roman"/>
      <w:color w:val="0000ff"/>
      <w:sz w:val="20"/>
      <w:u w:val="single"/>
    </w:rPr>
  </w:style>
  <w:style w:type="character" w:styleId="932" w:customStyle="1">
    <w:name w:val="p141"/>
    <w:qFormat/>
    <w:rPr>
      <w:rFonts w:ascii="Times New Roman" w:hAnsi="Times New Roman" w:eastAsia="宋体" w:cs="Times New Roman"/>
      <w:color w:val="000000"/>
      <w:sz w:val="20"/>
      <w:u w:val="none"/>
    </w:rPr>
  </w:style>
  <w:style w:type="character" w:styleId="933" w:customStyle="1">
    <w:name w:val="宏文本 Char"/>
    <w:qFormat/>
    <w:rPr>
      <w:rFonts w:ascii="Times New Roman" w:hAnsi="Times New Roman" w:eastAsia="宋体" w:cs="Times New Roman"/>
      <w:sz w:val="20"/>
    </w:rPr>
  </w:style>
  <w:style w:type="character" w:styleId="934" w:customStyle="1">
    <w:name w:val="_Style 313"/>
    <w:qFormat/>
    <w:rPr>
      <w:rFonts w:ascii="Times New Roman" w:hAnsi="Times New Roman" w:eastAsia="宋体" w:cs="Times New Roman"/>
      <w:b/>
      <w:i/>
      <w:sz w:val="21"/>
    </w:rPr>
  </w:style>
  <w:style w:type="character" w:styleId="935" w:customStyle="1">
    <w:name w:val="页脚 Char1"/>
    <w:qFormat/>
    <w:rPr>
      <w:rFonts w:ascii="Times New Roman" w:hAnsi="Times New Roman" w:eastAsia="宋体" w:cs="Times New Roman"/>
      <w:sz w:val="20"/>
    </w:rPr>
  </w:style>
  <w:style w:type="character" w:styleId="936" w:customStyle="1">
    <w:name w:val="页眉 Char"/>
    <w:qFormat/>
    <w:rPr>
      <w:rFonts w:ascii="Times New Roman" w:hAnsi="Times New Roman" w:eastAsia="宋体" w:cs="Times New Roman"/>
      <w:sz w:val="20"/>
    </w:rPr>
  </w:style>
  <w:style w:type="character" w:styleId="937" w:customStyle="1">
    <w:name w:val="标题 7 Char"/>
    <w:qFormat/>
    <w:rPr>
      <w:rFonts w:ascii="Times New Roman" w:hAnsi="Times New Roman" w:eastAsia="宋体" w:cs="Times New Roman"/>
      <w:b/>
      <w:sz w:val="20"/>
    </w:rPr>
  </w:style>
  <w:style w:type="character" w:styleId="938" w:customStyle="1">
    <w:name w:val="Char Char12"/>
    <w:qFormat/>
    <w:rPr>
      <w:rFonts w:ascii="Times New Roman" w:hAnsi="Times New Roman" w:eastAsia="宋体" w:cs="Times New Roman"/>
      <w:sz w:val="20"/>
    </w:rPr>
  </w:style>
  <w:style w:type="character" w:styleId="939" w:customStyle="1">
    <w:name w:val="标题 3 Char"/>
    <w:qFormat/>
    <w:rPr>
      <w:rFonts w:ascii="Times New Roman" w:hAnsi="Times New Roman" w:eastAsia="宋体" w:cs="Times New Roman"/>
      <w:b/>
      <w:sz w:val="20"/>
    </w:rPr>
  </w:style>
  <w:style w:type="character" w:styleId="940" w:customStyle="1">
    <w:name w:val="正文（首行缩进 2 字符） Char Char"/>
    <w:qFormat/>
    <w:rPr>
      <w:rFonts w:ascii="Times New Roman" w:hAnsi="Times New Roman" w:eastAsia="宋体" w:cs="Times New Roman"/>
      <w:sz w:val="20"/>
    </w:rPr>
  </w:style>
  <w:style w:type="character" w:styleId="941" w:customStyle="1">
    <w:name w:val="表格用 Char Char"/>
    <w:qFormat/>
    <w:rPr>
      <w:rFonts w:ascii="Times New Roman" w:hAnsi="Times New Roman" w:eastAsia="宋体" w:cs="Times New Roman"/>
      <w:sz w:val="20"/>
    </w:rPr>
  </w:style>
  <w:style w:type="character" w:styleId="942" w:customStyle="1">
    <w:name w:val="正文文本缩进 3 Char1"/>
    <w:qFormat/>
    <w:rPr>
      <w:rFonts w:ascii="Times New Roman" w:hAnsi="Times New Roman" w:eastAsia="宋体" w:cs="Times New Roman"/>
      <w:sz w:val="20"/>
    </w:rPr>
  </w:style>
  <w:style w:type="character" w:styleId="943" w:customStyle="1">
    <w:name w:val="正文缩进 Char"/>
    <w:qFormat/>
    <w:rPr>
      <w:rFonts w:ascii="Times New Roman" w:hAnsi="Times New Roman" w:eastAsia="宋体" w:cs="Times New Roman"/>
      <w:sz w:val="20"/>
    </w:rPr>
  </w:style>
  <w:style w:type="character" w:styleId="944" w:customStyle="1">
    <w:name w:val="批注框文本 Char1"/>
    <w:qFormat/>
    <w:rPr>
      <w:rFonts w:ascii="Times New Roman" w:hAnsi="Times New Roman" w:eastAsia="宋体" w:cs="Times New Roman"/>
      <w:sz w:val="20"/>
    </w:rPr>
  </w:style>
  <w:style w:type="character" w:styleId="945" w:customStyle="1">
    <w:name w:val="Char Char13"/>
    <w:qFormat/>
    <w:rPr>
      <w:rFonts w:ascii="Times New Roman" w:hAnsi="Times New Roman" w:eastAsia="宋体" w:cs="Times New Roman"/>
      <w:sz w:val="20"/>
    </w:rPr>
  </w:style>
  <w:style w:type="character" w:styleId="946" w:customStyle="1">
    <w:name w:val="样式2 Char"/>
    <w:qFormat/>
    <w:rPr>
      <w:rFonts w:ascii="Times New Roman" w:hAnsi="Times New Roman" w:eastAsia="宋体" w:cs="Times New Roman"/>
      <w:b/>
      <w:sz w:val="20"/>
    </w:rPr>
  </w:style>
  <w:style w:type="character" w:styleId="947" w:customStyle="1">
    <w:name w:val="页脚 Char"/>
    <w:qFormat/>
    <w:rPr>
      <w:rFonts w:ascii="Times New Roman" w:hAnsi="Times New Roman" w:eastAsia="宋体" w:cs="Times New Roman"/>
      <w:sz w:val="20"/>
    </w:rPr>
  </w:style>
  <w:style w:type="character" w:styleId="948" w:customStyle="1">
    <w:name w:val="标准文本 Char"/>
    <w:qFormat/>
    <w:rPr>
      <w:rFonts w:ascii="Times New Roman" w:hAnsi="Times New Roman" w:eastAsia="宋体" w:cs="Times New Roman"/>
      <w:sz w:val="20"/>
    </w:rPr>
  </w:style>
  <w:style w:type="character" w:styleId="949" w:customStyle="1">
    <w:name w:val="font01"/>
    <w:qFormat/>
    <w:rPr>
      <w:rFonts w:hint="eastAsia" w:ascii="宋体" w:hAnsi="宋体" w:eastAsia="宋体" w:cs="宋体"/>
      <w:color w:val="000000"/>
      <w:sz w:val="24"/>
      <w:szCs w:val="24"/>
      <w:u w:val="none"/>
    </w:rPr>
  </w:style>
  <w:style w:type="character" w:styleId="950" w:customStyle="1">
    <w:name w:val="标题 3 Char1"/>
    <w:qFormat/>
    <w:rPr>
      <w:rFonts w:ascii="Times New Roman" w:hAnsi="Times New Roman" w:eastAsia="宋体" w:cs="Times New Roman"/>
      <w:b/>
      <w:sz w:val="20"/>
      <w:u w:val="single"/>
    </w:rPr>
  </w:style>
  <w:style w:type="character" w:styleId="951" w:customStyle="1">
    <w:name w:val="表格 Char Char"/>
    <w:qFormat/>
    <w:rPr>
      <w:rFonts w:ascii="Times New Roman" w:hAnsi="Times New Roman" w:eastAsia="宋体" w:cs="Times New Roman"/>
      <w:sz w:val="20"/>
    </w:rPr>
  </w:style>
  <w:style w:type="character" w:styleId="952" w:customStyle="1">
    <w:name w:val="正文首行缩进 Char"/>
    <w:qFormat/>
    <w:rPr>
      <w:rFonts w:ascii="Times New Roman" w:hAnsi="Times New Roman" w:eastAsia="宋体" w:cs="Times New Roman"/>
      <w:sz w:val="20"/>
    </w:rPr>
  </w:style>
  <w:style w:type="character" w:styleId="953" w:customStyle="1">
    <w:name w:val="标题 9 Char"/>
    <w:qFormat/>
    <w:rPr>
      <w:rFonts w:ascii="Times New Roman" w:hAnsi="Times New Roman" w:eastAsia="宋体" w:cs="Times New Roman"/>
      <w:sz w:val="20"/>
    </w:rPr>
  </w:style>
  <w:style w:type="character" w:styleId="954" w:customStyle="1">
    <w:name w:val="lh151"/>
    <w:qFormat/>
    <w:rPr>
      <w:rFonts w:ascii="Times New Roman" w:hAnsi="Times New Roman" w:eastAsia="宋体" w:cs="Times New Roman"/>
      <w:color w:val="666666"/>
      <w:sz w:val="20"/>
    </w:rPr>
  </w:style>
  <w:style w:type="character" w:styleId="955" w:customStyle="1">
    <w:name w:val="日期 Char1"/>
    <w:qFormat/>
    <w:rPr>
      <w:rFonts w:ascii="Times New Roman" w:hAnsi="Times New Roman" w:eastAsia="宋体" w:cs="Times New Roman"/>
      <w:sz w:val="20"/>
    </w:rPr>
  </w:style>
  <w:style w:type="character" w:styleId="956" w:customStyle="1">
    <w:name w:val="图片 Char Char"/>
    <w:qFormat/>
    <w:rPr>
      <w:rFonts w:ascii="Times New Roman" w:hAnsi="Times New Roman" w:eastAsia="宋体" w:cs="Times New Roman"/>
      <w:sz w:val="20"/>
    </w:rPr>
  </w:style>
  <w:style w:type="character" w:styleId="957" w:customStyle="1">
    <w:name w:val="批注框文本 字符"/>
    <w:qFormat/>
    <w:rPr>
      <w:rFonts w:ascii="Times New Roman" w:hAnsi="Times New Roman" w:eastAsia="宋体" w:cs="Times New Roman"/>
      <w:sz w:val="20"/>
    </w:rPr>
  </w:style>
  <w:style w:type="character" w:styleId="958" w:customStyle="1">
    <w:name w:val="HTML 预设格式 Char"/>
    <w:qFormat/>
    <w:rPr>
      <w:rFonts w:ascii="Times New Roman" w:hAnsi="Times New Roman" w:eastAsia="宋体" w:cs="Times New Roman"/>
      <w:sz w:val="20"/>
    </w:rPr>
  </w:style>
  <w:style w:type="character" w:styleId="959" w:customStyle="1">
    <w:name w:val="列出段落 Char"/>
    <w:qFormat/>
    <w:rPr>
      <w:rFonts w:ascii="Times New Roman" w:hAnsi="Times New Roman" w:eastAsia="宋体" w:cs="Times New Roman"/>
      <w:sz w:val="20"/>
    </w:rPr>
  </w:style>
  <w:style w:type="character" w:styleId="960" w:customStyle="1">
    <w:name w:val="标题 5 Char"/>
    <w:qFormat/>
    <w:rPr>
      <w:rFonts w:ascii="Times New Roman" w:hAnsi="Times New Roman" w:eastAsia="宋体" w:cs="Times New Roman"/>
      <w:b/>
      <w:sz w:val="20"/>
    </w:rPr>
  </w:style>
  <w:style w:type="character" w:styleId="961" w:customStyle="1">
    <w:name w:val="链接"/>
    <w:qFormat/>
    <w:rPr>
      <w:rFonts w:ascii="Times New Roman" w:hAnsi="Times New Roman" w:eastAsia="宋体" w:cs="Times New Roman"/>
      <w:color w:val="0000ff"/>
      <w:sz w:val="20"/>
      <w:u w:val="single"/>
    </w:rPr>
  </w:style>
  <w:style w:type="character" w:styleId="962" w:customStyle="1">
    <w:name w:val="18h1"/>
    <w:qFormat/>
    <w:rPr>
      <w:rFonts w:ascii="Times New Roman" w:hAnsi="Times New Roman" w:eastAsia="宋体" w:cs="Times New Roman"/>
      <w:color w:val="3b3b3b"/>
      <w:sz w:val="20"/>
    </w:rPr>
  </w:style>
  <w:style w:type="character" w:styleId="963" w:customStyle="1">
    <w:name w:val="表格文字（两侧对齐） Char Char"/>
    <w:qFormat/>
    <w:rPr>
      <w:rFonts w:ascii="Times New Roman" w:hAnsi="Times New Roman" w:eastAsia="宋体" w:cs="Times New Roman"/>
      <w:sz w:val="20"/>
    </w:rPr>
  </w:style>
  <w:style w:type="character" w:styleId="964" w:customStyle="1">
    <w:name w:val="正文文本缩进 2 Char"/>
    <w:qFormat/>
    <w:rPr>
      <w:rFonts w:ascii="Times New Roman" w:hAnsi="Times New Roman" w:eastAsia="宋体" w:cs="Times New Roman"/>
      <w:sz w:val="20"/>
    </w:rPr>
  </w:style>
  <w:style w:type="character" w:styleId="965" w:customStyle="1">
    <w:name w:val="Char Char14"/>
    <w:qFormat/>
    <w:rPr>
      <w:rFonts w:ascii="Times New Roman" w:hAnsi="Times New Roman" w:eastAsia="宋体" w:cs="Times New Roman"/>
      <w:sz w:val="20"/>
    </w:rPr>
  </w:style>
  <w:style w:type="character" w:styleId="966" w:customStyle="1">
    <w:name w:val="标题 1 Char1"/>
    <w:qFormat/>
    <w:rPr>
      <w:rFonts w:ascii="Times New Roman" w:hAnsi="Times New Roman" w:eastAsia="宋体" w:cs="Times New Roman"/>
      <w:b/>
      <w:sz w:val="20"/>
    </w:rPr>
  </w:style>
  <w:style w:type="character" w:styleId="967" w:customStyle="1">
    <w:name w:val="批注框文本 Char"/>
    <w:qFormat/>
    <w:rPr>
      <w:rFonts w:ascii="Times New Roman" w:hAnsi="Times New Roman" w:eastAsia="宋体" w:cs="Times New Roman"/>
      <w:sz w:val="20"/>
    </w:rPr>
  </w:style>
  <w:style w:type="character" w:styleId="968" w:customStyle="1">
    <w:name w:val="apple-style-span"/>
    <w:qFormat/>
    <w:rPr>
      <w:rFonts w:ascii="Times New Roman" w:hAnsi="Times New Roman" w:eastAsia="宋体" w:cs="Times New Roman"/>
      <w:sz w:val="20"/>
    </w:rPr>
  </w:style>
  <w:style w:type="character" w:styleId="969" w:customStyle="1">
    <w:name w:val="插图 Char Char"/>
    <w:qFormat/>
    <w:rPr>
      <w:rFonts w:ascii="Times New Roman" w:hAnsi="Times New Roman" w:eastAsia="宋体" w:cs="Times New Roman"/>
      <w:sz w:val="20"/>
    </w:rPr>
  </w:style>
  <w:style w:type="character" w:styleId="970" w:customStyle="1">
    <w:name w:val="标题 2 Char1"/>
    <w:qFormat/>
    <w:rPr>
      <w:rFonts w:ascii="Times New Roman" w:hAnsi="Times New Roman" w:eastAsia="宋体" w:cs="Times New Roman"/>
      <w:b/>
      <w:sz w:val="20"/>
    </w:rPr>
  </w:style>
  <w:style w:type="character" w:styleId="971" w:customStyle="1">
    <w:name w:val="_Style 332"/>
    <w:qFormat/>
    <w:rPr>
      <w:rFonts w:ascii="Times New Roman" w:hAnsi="Times New Roman" w:eastAsia="宋体" w:cs="Times New Roman"/>
      <w:i/>
      <w:color w:val="auto"/>
      <w:sz w:val="21"/>
    </w:rPr>
  </w:style>
  <w:style w:type="character" w:styleId="972" w:customStyle="1">
    <w:name w:val="正文文本 3 Char1"/>
    <w:qFormat/>
    <w:rPr>
      <w:rFonts w:ascii="Times New Roman" w:hAnsi="Times New Roman" w:eastAsia="宋体" w:cs="Times New Roman"/>
      <w:sz w:val="20"/>
    </w:rPr>
  </w:style>
  <w:style w:type="character" w:styleId="973" w:customStyle="1">
    <w:name w:val="标题 5 Char1"/>
    <w:qFormat/>
    <w:rPr>
      <w:rFonts w:ascii="Times New Roman" w:hAnsi="Times New Roman" w:eastAsia="宋体" w:cs="Times New Roman"/>
      <w:b/>
      <w:sz w:val="20"/>
    </w:rPr>
  </w:style>
  <w:style w:type="character" w:styleId="974" w:customStyle="1">
    <w:name w:val="批注主题 Char"/>
    <w:qFormat/>
    <w:rPr>
      <w:rFonts w:ascii="Times New Roman" w:hAnsi="Times New Roman" w:eastAsia="宋体" w:cs="Times New Roman"/>
      <w:b/>
      <w:sz w:val="20"/>
    </w:rPr>
  </w:style>
  <w:style w:type="character" w:styleId="975" w:customStyle="1">
    <w:name w:val="标题 1 Char"/>
    <w:qFormat/>
    <w:rPr>
      <w:rFonts w:ascii="Times New Roman" w:hAnsi="Times New Roman" w:eastAsia="宋体" w:cs="Times New Roman"/>
      <w:b/>
      <w:sz w:val="20"/>
    </w:rPr>
  </w:style>
  <w:style w:type="character" w:styleId="976" w:customStyle="1">
    <w:name w:val="正文文本 2 Char1"/>
    <w:qFormat/>
    <w:rPr>
      <w:rFonts w:ascii="Times New Roman" w:hAnsi="Times New Roman" w:eastAsia="宋体" w:cs="Times New Roman"/>
      <w:sz w:val="20"/>
    </w:rPr>
  </w:style>
  <w:style w:type="character" w:styleId="977" w:customStyle="1">
    <w:name w:val="标题 4 Char1"/>
    <w:qFormat/>
    <w:rPr>
      <w:rFonts w:ascii="Times New Roman" w:hAnsi="Times New Roman" w:eastAsia="宋体" w:cs="Times New Roman"/>
      <w:b/>
      <w:sz w:val="20"/>
    </w:rPr>
  </w:style>
  <w:style w:type="character" w:styleId="978" w:customStyle="1">
    <w:name w:val="正文文本 2 Char"/>
    <w:qFormat/>
    <w:rPr>
      <w:rFonts w:ascii="Times New Roman" w:hAnsi="Times New Roman" w:eastAsia="宋体" w:cs="Times New Roman"/>
      <w:sz w:val="20"/>
    </w:rPr>
  </w:style>
  <w:style w:type="character" w:styleId="979" w:customStyle="1">
    <w:name w:val="_Style 376"/>
    <w:qFormat/>
    <w:rPr>
      <w:rFonts w:ascii="Times New Roman" w:hAnsi="Times New Roman" w:eastAsia="宋体" w:cs="Times New Roman"/>
      <w:b/>
      <w:color w:val="auto"/>
      <w:sz w:val="21"/>
    </w:rPr>
  </w:style>
  <w:style w:type="character" w:styleId="980" w:customStyle="1">
    <w:name w:val="062"/>
    <w:qFormat/>
    <w:rPr>
      <w:rFonts w:ascii="Times New Roman" w:hAnsi="Times New Roman" w:eastAsia="宋体" w:cs="Times New Roman"/>
      <w:b/>
      <w:sz w:val="20"/>
    </w:rPr>
  </w:style>
  <w:style w:type="character" w:styleId="981" w:customStyle="1">
    <w:name w:val="正文文本 Char1"/>
    <w:qFormat/>
    <w:rPr>
      <w:rFonts w:ascii="Times New Roman" w:hAnsi="Times New Roman" w:eastAsia="宋体" w:cs="Times New Roman"/>
      <w:sz w:val="20"/>
    </w:rPr>
  </w:style>
  <w:style w:type="character" w:styleId="982" w:customStyle="1">
    <w:name w:val="题注 Char"/>
    <w:qFormat/>
    <w:rPr>
      <w:rFonts w:ascii="Times New Roman" w:hAnsi="Times New Roman" w:eastAsia="宋体" w:cs="Times New Roman"/>
      <w:sz w:val="20"/>
    </w:rPr>
  </w:style>
  <w:style w:type="character" w:styleId="983" w:customStyle="1">
    <w:name w:val="脚注文本 Char"/>
    <w:qFormat/>
    <w:rPr>
      <w:rFonts w:ascii="Times New Roman" w:hAnsi="Times New Roman" w:eastAsia="宋体" w:cs="Times New Roman"/>
      <w:sz w:val="20"/>
    </w:rPr>
  </w:style>
  <w:style w:type="character" w:styleId="984" w:customStyle="1">
    <w:name w:val="_Style 336"/>
    <w:qFormat/>
    <w:rPr>
      <w:rFonts w:ascii="Times New Roman" w:hAnsi="Times New Roman" w:eastAsia="宋体" w:cs="Times New Roman"/>
      <w:i/>
      <w:color w:val="auto"/>
      <w:sz w:val="21"/>
    </w:rPr>
  </w:style>
  <w:style w:type="character" w:styleId="985" w:customStyle="1">
    <w:name w:val="表格 Char"/>
    <w:qFormat/>
    <w:rPr>
      <w:rFonts w:ascii="Times New Roman" w:hAnsi="Times New Roman" w:eastAsia="宋体" w:cs="Times New Roman"/>
      <w:color w:val="000000"/>
      <w:sz w:val="20"/>
    </w:rPr>
  </w:style>
  <w:style w:type="character" w:styleId="986" w:customStyle="1">
    <w:name w:val="批注主题 字符"/>
    <w:qFormat/>
    <w:rPr>
      <w:rFonts w:ascii="Times New Roman" w:hAnsi="Times New Roman" w:eastAsia="宋体" w:cs="Times New Roman"/>
      <w:b/>
      <w:sz w:val="20"/>
    </w:rPr>
  </w:style>
  <w:style w:type="character" w:styleId="987" w:customStyle="1">
    <w:name w:val="图注 Char Char"/>
    <w:qFormat/>
    <w:rPr>
      <w:rFonts w:ascii="Times New Roman" w:hAnsi="Times New Roman" w:eastAsia="宋体" w:cs="Times New Roman"/>
      <w:sz w:val="20"/>
    </w:rPr>
  </w:style>
  <w:style w:type="character" w:styleId="988" w:customStyle="1">
    <w:name w:val="页码1"/>
    <w:qFormat/>
    <w:rPr>
      <w:rFonts w:ascii="Times New Roman" w:hAnsi="Times New Roman" w:eastAsia="宋体" w:cs="Times New Roman"/>
      <w:sz w:val="20"/>
    </w:rPr>
  </w:style>
  <w:style w:type="character" w:styleId="989" w:customStyle="1">
    <w:name w:val="列表框1 Char Char"/>
    <w:qFormat/>
    <w:rPr>
      <w:rFonts w:ascii="Times New Roman" w:hAnsi="Times New Roman" w:eastAsia="宋体" w:cs="Times New Roman"/>
      <w:sz w:val="20"/>
    </w:rPr>
  </w:style>
  <w:style w:type="character" w:styleId="990" w:customStyle="1">
    <w:name w:val="1ji Char"/>
    <w:qFormat/>
    <w:rPr>
      <w:rFonts w:ascii="Times New Roman" w:hAnsi="Times New Roman" w:eastAsia="宋体" w:cs="Times New Roman"/>
      <w:b/>
      <w:sz w:val="20"/>
    </w:rPr>
  </w:style>
  <w:style w:type="character" w:styleId="991" w:customStyle="1">
    <w:name w:val="正文文本缩进 Char"/>
    <w:qFormat/>
    <w:rPr>
      <w:rFonts w:ascii="Times New Roman" w:hAnsi="Times New Roman" w:eastAsia="宋体" w:cs="Times New Roman"/>
      <w:sz w:val="20"/>
    </w:rPr>
  </w:style>
  <w:style w:type="character" w:styleId="992" w:customStyle="1">
    <w:name w:val="标准文本 Char Char"/>
    <w:qFormat/>
    <w:rPr>
      <w:rFonts w:ascii="Times New Roman" w:hAnsi="Times New Roman" w:eastAsia="宋体" w:cs="Times New Roman"/>
      <w:sz w:val="20"/>
    </w:rPr>
  </w:style>
  <w:style w:type="character" w:styleId="993" w:customStyle="1">
    <w:name w:val="表格用 Char"/>
    <w:qFormat/>
    <w:rPr>
      <w:rFonts w:ascii="Times New Roman" w:hAnsi="Times New Roman" w:eastAsia="宋体" w:cs="Times New Roman"/>
      <w:color w:val="000000"/>
      <w:sz w:val="20"/>
    </w:rPr>
  </w:style>
  <w:style w:type="character" w:styleId="994" w:customStyle="1">
    <w:name w:val="标题 7 Char1"/>
    <w:qFormat/>
    <w:rPr>
      <w:rFonts w:ascii="Times New Roman" w:hAnsi="Times New Roman" w:eastAsia="宋体" w:cs="Times New Roman"/>
      <w:b/>
      <w:sz w:val="20"/>
    </w:rPr>
  </w:style>
  <w:style w:type="character" w:styleId="995" w:customStyle="1">
    <w:name w:val="H 3 Char"/>
    <w:qFormat/>
    <w:rPr>
      <w:rFonts w:ascii="Times New Roman" w:hAnsi="Times New Roman" w:eastAsia="宋体" w:cs="Times New Roman"/>
      <w:b/>
      <w:sz w:val="20"/>
    </w:rPr>
  </w:style>
  <w:style w:type="character" w:styleId="996" w:customStyle="1">
    <w:name w:val="正文文本缩进 3 字符"/>
    <w:qFormat/>
    <w:rPr>
      <w:rFonts w:ascii="Times New Roman" w:hAnsi="Times New Roman" w:eastAsia="宋体" w:cs="Times New Roman"/>
      <w:sz w:val="16"/>
      <w:szCs w:val="16"/>
    </w:rPr>
  </w:style>
  <w:style w:type="character" w:styleId="997" w:customStyle="1">
    <w:name w:val="标题 Char"/>
    <w:qFormat/>
    <w:rPr>
      <w:rFonts w:ascii="Times New Roman" w:hAnsi="Times New Roman" w:eastAsia="宋体" w:cs="Times New Roman"/>
      <w:b/>
      <w:sz w:val="20"/>
    </w:rPr>
  </w:style>
  <w:style w:type="character" w:styleId="998" w:customStyle="1">
    <w:name w:val="H 4 Char"/>
    <w:qFormat/>
    <w:rPr>
      <w:rFonts w:ascii="Times New Roman" w:hAnsi="Times New Roman" w:eastAsia="宋体" w:cs="Times New Roman"/>
      <w:b/>
      <w:sz w:val="20"/>
    </w:rPr>
  </w:style>
  <w:style w:type="character" w:styleId="999" w:customStyle="1">
    <w:name w:val="批注主题 Char1"/>
    <w:qFormat/>
    <w:rPr>
      <w:rFonts w:ascii="Times New Roman" w:hAnsi="Times New Roman" w:eastAsia="宋体" w:cs="Times New Roman"/>
      <w:b/>
      <w:sz w:val="20"/>
    </w:rPr>
  </w:style>
  <w:style w:type="character" w:styleId="1000" w:customStyle="1">
    <w:name w:val="正文文本缩进 Char1"/>
    <w:qFormat/>
    <w:rPr>
      <w:rFonts w:ascii="Times New Roman" w:hAnsi="Times New Roman" w:eastAsia="宋体" w:cs="Times New Roman"/>
      <w:sz w:val="20"/>
    </w:rPr>
  </w:style>
  <w:style w:type="character" w:styleId="1001" w:customStyle="1">
    <w:name w:val="正文文本 3 Char"/>
    <w:qFormat/>
    <w:rPr>
      <w:rFonts w:ascii="Times New Roman" w:hAnsi="Times New Roman" w:eastAsia="宋体" w:cs="Times New Roman"/>
      <w:sz w:val="20"/>
    </w:rPr>
  </w:style>
  <w:style w:type="character" w:styleId="1002" w:customStyle="1">
    <w:name w:val="正文首行缩进 2 Char"/>
    <w:qFormat/>
    <w:rPr>
      <w:rFonts w:ascii="Times New Roman" w:hAnsi="Times New Roman" w:eastAsia="宋体" w:cs="Times New Roman"/>
      <w:sz w:val="20"/>
    </w:rPr>
  </w:style>
  <w:style w:type="character" w:styleId="1003" w:customStyle="1">
    <w:name w:val="页眉 Char1"/>
    <w:qFormat/>
    <w:rPr>
      <w:rFonts w:ascii="Times New Roman" w:hAnsi="Times New Roman" w:eastAsia="宋体" w:cs="Times New Roman"/>
      <w:sz w:val="20"/>
    </w:rPr>
  </w:style>
  <w:style w:type="character" w:styleId="1004" w:customStyle="1">
    <w:name w:val="Char Char2"/>
    <w:qFormat/>
    <w:rPr>
      <w:rFonts w:ascii="Times New Roman" w:hAnsi="Times New Roman" w:eastAsia="宋体" w:cs="Times New Roman"/>
      <w:sz w:val="20"/>
    </w:rPr>
  </w:style>
  <w:style w:type="character" w:styleId="1005" w:customStyle="1">
    <w:name w:val="样式 首行缩进:  2 字符 Char1"/>
    <w:qFormat/>
    <w:rPr>
      <w:rFonts w:ascii="Times New Roman" w:hAnsi="Times New Roman" w:eastAsia="宋体" w:cs="Times New Roman"/>
      <w:sz w:val="20"/>
    </w:rPr>
  </w:style>
  <w:style w:type="character" w:styleId="1006" w:customStyle="1">
    <w:name w:val="标题 2 Char"/>
    <w:qFormat/>
    <w:rPr>
      <w:rFonts w:ascii="Times New Roman" w:hAnsi="Times New Roman" w:eastAsia="宋体" w:cs="Times New Roman"/>
      <w:b/>
      <w:sz w:val="20"/>
    </w:rPr>
  </w:style>
  <w:style w:type="character" w:styleId="1007" w:customStyle="1">
    <w:name w:val="表格文字图表文字 Char Char"/>
    <w:qFormat/>
    <w:rPr>
      <w:rFonts w:ascii="Times New Roman" w:hAnsi="Times New Roman" w:eastAsia="宋体" w:cs="Times New Roman"/>
      <w:sz w:val="20"/>
    </w:rPr>
  </w:style>
  <w:style w:type="character" w:styleId="1008" w:customStyle="1">
    <w:name w:val="图片 Char"/>
    <w:qFormat/>
    <w:rPr>
      <w:rFonts w:ascii="Times New Roman" w:hAnsi="Times New Roman" w:eastAsia="宋体" w:cs="Times New Roman"/>
      <w:sz w:val="20"/>
    </w:rPr>
  </w:style>
  <w:style w:type="character" w:styleId="1009" w:customStyle="1">
    <w:name w:val="标题 6 Char"/>
    <w:qFormat/>
    <w:rPr>
      <w:rFonts w:ascii="Times New Roman" w:hAnsi="Times New Roman" w:eastAsia="宋体" w:cs="Times New Roman"/>
      <w:b/>
      <w:sz w:val="20"/>
    </w:rPr>
  </w:style>
  <w:style w:type="character" w:styleId="1010" w:customStyle="1">
    <w:name w:val="标题 4 Char"/>
    <w:qFormat/>
    <w:rPr>
      <w:rFonts w:ascii="Times New Roman" w:hAnsi="Times New Roman" w:eastAsia="宋体" w:cs="Times New Roman"/>
      <w:b/>
      <w:sz w:val="20"/>
    </w:rPr>
  </w:style>
  <w:style w:type="character" w:styleId="1011" w:customStyle="1">
    <w:name w:val="文档结构图 Char1"/>
    <w:qFormat/>
    <w:rPr>
      <w:rFonts w:ascii="Times New Roman" w:hAnsi="Times New Roman" w:eastAsia="宋体" w:cs="Times New Roman"/>
      <w:sz w:val="20"/>
    </w:rPr>
  </w:style>
  <w:style w:type="character" w:styleId="1012" w:customStyle="1">
    <w:name w:val="项目符0 Char"/>
    <w:qFormat/>
    <w:rPr>
      <w:rFonts w:ascii="Times New Roman" w:hAnsi="Times New Roman" w:eastAsia="宋体" w:cs="Times New Roman"/>
      <w:sz w:val="20"/>
    </w:rPr>
  </w:style>
  <w:style w:type="character" w:styleId="1013" w:customStyle="1">
    <w:name w:val="正文文本缩进 3 Char"/>
    <w:qFormat/>
    <w:rPr>
      <w:rFonts w:ascii="Times New Roman" w:hAnsi="Times New Roman" w:eastAsia="宋体" w:cs="Times New Roman"/>
      <w:sz w:val="20"/>
    </w:rPr>
  </w:style>
  <w:style w:type="character" w:styleId="1014" w:customStyle="1">
    <w:name w:val="Char Char3"/>
    <w:qFormat/>
    <w:rPr>
      <w:rFonts w:ascii="Times New Roman" w:hAnsi="Times New Roman" w:eastAsia="宋体" w:cs="Times New Roman"/>
      <w:sz w:val="20"/>
    </w:rPr>
  </w:style>
  <w:style w:type="character" w:styleId="1015" w:customStyle="1">
    <w:name w:val="纯文本 Char"/>
    <w:qFormat/>
    <w:rPr>
      <w:rFonts w:ascii="Times New Roman" w:hAnsi="Times New Roman" w:eastAsia="宋体" w:cs="Times New Roman"/>
      <w:sz w:val="20"/>
    </w:rPr>
  </w:style>
  <w:style w:type="character" w:styleId="1016" w:customStyle="1">
    <w:name w:val="正文文本缩进 2 Char1"/>
    <w:qFormat/>
    <w:rPr>
      <w:rFonts w:ascii="Times New Roman" w:hAnsi="Times New Roman" w:eastAsia="宋体" w:cs="Times New Roman"/>
      <w:sz w:val="20"/>
    </w:rPr>
  </w:style>
  <w:style w:type="character" w:styleId="1017" w:customStyle="1">
    <w:name w:val="标题 8 Char"/>
    <w:qFormat/>
    <w:rPr>
      <w:rFonts w:ascii="Times New Roman" w:hAnsi="Times New Roman" w:eastAsia="宋体" w:cs="Times New Roman"/>
      <w:sz w:val="20"/>
    </w:rPr>
  </w:style>
  <w:style w:type="character" w:styleId="1018" w:customStyle="1">
    <w:name w:val="标题 6 Char1"/>
    <w:qFormat/>
    <w:rPr>
      <w:rFonts w:ascii="Times New Roman" w:hAnsi="Times New Roman" w:eastAsia="宋体" w:cs="Times New Roman"/>
      <w:b/>
      <w:sz w:val="20"/>
    </w:rPr>
  </w:style>
  <w:style w:type="character" w:styleId="1019" w:customStyle="1">
    <w:name w:val="case31"/>
    <w:qFormat/>
    <w:rPr>
      <w:rFonts w:ascii="Times New Roman" w:hAnsi="Times New Roman" w:eastAsia="宋体" w:cs="Times New Roman"/>
      <w:sz w:val="20"/>
    </w:rPr>
  </w:style>
  <w:style w:type="character" w:styleId="1020" w:customStyle="1">
    <w:name w:val="正文文本 Char"/>
    <w:qFormat/>
    <w:rPr>
      <w:rFonts w:ascii="Times New Roman" w:hAnsi="Times New Roman" w:eastAsia="宋体" w:cs="Times New Roman"/>
      <w:sz w:val="20"/>
    </w:rPr>
  </w:style>
  <w:style w:type="paragraph" w:styleId="1021" w:customStyle="1">
    <w:name w:val="节标题"/>
    <w:basedOn w:val="841"/>
    <w:next w:val="1022"/>
    <w:qFormat/>
    <w:pPr>
      <w:ind w:left="0" w:firstLine="5120"/>
      <w:jc w:val="center"/>
      <w:spacing w:before="0" w:after="0" w:line="289" w:lineRule="atLeast"/>
    </w:pPr>
    <w:rPr>
      <w:rFonts w:ascii="Times New Roman" w:hAnsi="Times New Roman" w:cs="Times New Roman"/>
    </w:rPr>
  </w:style>
  <w:style w:type="paragraph" w:styleId="1022" w:customStyle="1">
    <w:name w:val="文档标题6"/>
    <w:basedOn w:val="847"/>
    <w:next w:val="840"/>
    <w:qFormat/>
    <w:pPr>
      <w:ind w:left="1134" w:firstLine="20"/>
      <w:spacing w:before="280" w:after="280" w:line="360" w:lineRule="auto"/>
      <w:outlineLvl w:val="5"/>
    </w:pPr>
  </w:style>
  <w:style w:type="paragraph" w:styleId="1023" w:customStyle="1">
    <w:name w:val="正文段"/>
    <w:basedOn w:val="841"/>
    <w:next w:val="1024"/>
    <w:qFormat/>
    <w:pPr>
      <w:ind w:left="454" w:firstLine="1222"/>
      <w:spacing w:before="0" w:after="240" w:line="240" w:lineRule="atLeast"/>
    </w:pPr>
    <w:rPr>
      <w:rFonts w:ascii="Times New Roman" w:hAnsi="Times New Roman" w:cs="Times New Roman"/>
    </w:rPr>
  </w:style>
  <w:style w:type="paragraph" w:styleId="1024" w:customStyle="1">
    <w:name w:val="批注主题1"/>
    <w:next w:val="840"/>
    <w:qFormat/>
    <w:pPr>
      <w:ind w:left="200" w:firstLine="4808"/>
      <w:spacing w:line="360" w:lineRule="auto"/>
    </w:pPr>
    <w:rPr>
      <w:rFonts w:ascii="Calibri" w:hAnsi="Calibri"/>
    </w:rPr>
  </w:style>
  <w:style w:type="paragraph" w:styleId="1025" w:customStyle="1">
    <w:name w:val="_Style 224"/>
    <w:next w:val="1026"/>
    <w:qFormat/>
    <w:pPr>
      <w:ind w:firstLine="3584"/>
    </w:pPr>
    <w:rPr>
      <w:rFonts w:ascii="Calibri" w:hAnsi="Calibri"/>
    </w:rPr>
  </w:style>
  <w:style w:type="paragraph" w:styleId="1026" w:customStyle="1">
    <w:name w:val="编号1"/>
    <w:basedOn w:val="841"/>
    <w:next w:val="1027"/>
    <w:qFormat/>
    <w:pPr>
      <w:ind w:left="360" w:right="210" w:firstLine="2200"/>
      <w:spacing w:before="0" w:after="0" w:line="240" w:lineRule="auto"/>
    </w:pPr>
    <w:rPr>
      <w:rFonts w:ascii="Times New Roman" w:hAnsi="Times New Roman" w:cs="Times New Roman"/>
    </w:rPr>
  </w:style>
  <w:style w:type="paragraph" w:styleId="1027" w:customStyle="1">
    <w:name w:val="图片"/>
    <w:basedOn w:val="841"/>
    <w:next w:val="1028"/>
    <w:qFormat/>
    <w:pPr>
      <w:ind w:left="-283" w:firstLine="2674"/>
      <w:jc w:val="center"/>
      <w:spacing w:before="0" w:after="0" w:line="360" w:lineRule="auto"/>
    </w:pPr>
    <w:rPr>
      <w:rFonts w:ascii="Times New Roman" w:hAnsi="Times New Roman" w:cs="Times New Roman"/>
    </w:rPr>
  </w:style>
  <w:style w:type="paragraph" w:styleId="1028" w:customStyle="1">
    <w:name w:val="样式 目录 3 + 左侧:  2 字符"/>
    <w:next w:val="893"/>
    <w:qFormat/>
    <w:pPr>
      <w:ind w:left="400" w:firstLine="5120"/>
      <w:spacing w:line="360" w:lineRule="auto"/>
      <w:widowControl w:val="off"/>
    </w:pPr>
    <w:rPr>
      <w:rFonts w:ascii="Calibri" w:hAnsi="Calibri"/>
    </w:rPr>
  </w:style>
  <w:style w:type="paragraph" w:styleId="1029" w:customStyle="1">
    <w:name w:val="图注"/>
    <w:next w:val="1030"/>
    <w:qFormat/>
    <w:pPr>
      <w:ind w:left="360" w:firstLine="2152"/>
      <w:jc w:val="center"/>
    </w:pPr>
    <w:rPr>
      <w:rFonts w:ascii="Calibri" w:hAnsi="Calibri"/>
    </w:rPr>
  </w:style>
  <w:style w:type="paragraph" w:styleId="1030" w:customStyle="1">
    <w:name w:val="列表编号 41"/>
    <w:basedOn w:val="841"/>
    <w:next w:val="1031"/>
    <w:qFormat/>
    <w:pPr>
      <w:ind w:left="1620" w:firstLine="2712"/>
      <w:spacing w:before="0" w:after="0" w:line="360" w:lineRule="auto"/>
    </w:pPr>
    <w:rPr>
      <w:rFonts w:ascii="Times New Roman" w:hAnsi="Times New Roman" w:cs="Times New Roman"/>
    </w:rPr>
  </w:style>
  <w:style w:type="paragraph" w:styleId="1031" w:customStyle="1">
    <w:name w:val="项目符0"/>
    <w:basedOn w:val="841"/>
    <w:next w:val="1032"/>
    <w:qFormat/>
    <w:pPr>
      <w:ind w:left="300" w:right="57" w:firstLine="2760"/>
      <w:spacing w:before="0" w:after="0" w:line="300" w:lineRule="auto"/>
    </w:pPr>
    <w:rPr>
      <w:rFonts w:ascii="Times New Roman" w:hAnsi="Times New Roman" w:cs="Times New Roman"/>
    </w:rPr>
  </w:style>
  <w:style w:type="paragraph" w:styleId="1032" w:customStyle="1">
    <w:name w:val="宏文本1"/>
    <w:next w:val="1033"/>
    <w:qFormat/>
    <w:pPr>
      <w:ind w:firstLine="5632"/>
      <w:widowControl w:val="off"/>
    </w:pPr>
    <w:rPr>
      <w:rFonts w:ascii="Calibri" w:hAnsi="Calibri"/>
    </w:rPr>
  </w:style>
  <w:style w:type="paragraph" w:styleId="1033" w:customStyle="1">
    <w:name w:val="Item Step in Table"/>
    <w:next w:val="1034"/>
    <w:qFormat/>
    <w:pPr>
      <w:ind w:left="397" w:firstLine="3699"/>
      <w:jc w:val="both"/>
      <w:spacing w:before="40" w:after="40"/>
    </w:pPr>
    <w:rPr>
      <w:rFonts w:ascii="Calibri" w:hAnsi="Calibri"/>
    </w:rPr>
  </w:style>
  <w:style w:type="paragraph" w:styleId="1034" w:customStyle="1">
    <w:name w:val="Char Char Char Char Char Char1 Char Char Char Char Char Char"/>
    <w:basedOn w:val="841"/>
    <w:next w:val="1035"/>
    <w:qFormat/>
    <w:pPr>
      <w:ind w:left="0" w:firstLine="2560"/>
      <w:spacing w:before="0" w:after="0" w:line="240" w:lineRule="auto"/>
    </w:pPr>
    <w:rPr>
      <w:rFonts w:ascii="Times New Roman" w:hAnsi="Times New Roman" w:cs="Times New Roman"/>
    </w:rPr>
  </w:style>
  <w:style w:type="paragraph" w:styleId="1035" w:customStyle="1">
    <w:name w:val="Char Char1"/>
    <w:basedOn w:val="841"/>
    <w:next w:val="1036"/>
    <w:qFormat/>
    <w:pPr>
      <w:ind w:left="0" w:firstLine="3584"/>
      <w:spacing w:before="0" w:after="160" w:line="240" w:lineRule="exact"/>
    </w:pPr>
    <w:rPr>
      <w:rFonts w:ascii="Times New Roman" w:hAnsi="Times New Roman" w:cs="Times New Roman"/>
    </w:rPr>
  </w:style>
  <w:style w:type="paragraph" w:styleId="1036" w:customStyle="1">
    <w:name w:val="样式 标题 3 + 行距: 1.5 倍行距"/>
    <w:basedOn w:val="844"/>
    <w:next w:val="899"/>
    <w:qFormat/>
    <w:pPr>
      <w:ind w:left="200" w:firstLine="18"/>
      <w:spacing w:before="0" w:after="0" w:line="360" w:lineRule="auto"/>
      <w:outlineLvl w:val="2"/>
    </w:pPr>
  </w:style>
  <w:style w:type="paragraph" w:styleId="1037" w:customStyle="1">
    <w:name w:val="xl76"/>
    <w:basedOn w:val="841"/>
    <w:next w:val="896"/>
    <w:qFormat/>
    <w:pPr>
      <w:ind w:left="0" w:firstLine="3584"/>
      <w:jc w:val="center"/>
      <w:spacing w:before="280" w:after="280" w:line="240" w:lineRule="auto"/>
    </w:pPr>
    <w:rPr>
      <w:rFonts w:ascii="Times New Roman" w:hAnsi="Times New Roman" w:cs="Times New Roman"/>
    </w:rPr>
  </w:style>
  <w:style w:type="paragraph" w:styleId="1038" w:customStyle="1">
    <w:name w:val="xl26"/>
    <w:basedOn w:val="841"/>
    <w:next w:val="1039"/>
    <w:qFormat/>
    <w:pPr>
      <w:ind w:left="0" w:firstLine="20"/>
      <w:jc w:val="center"/>
      <w:spacing w:before="280" w:after="280" w:line="240" w:lineRule="auto"/>
      <w:shd w:val="clear" w:color="000000" w:fill="ffffff"/>
    </w:pPr>
    <w:rPr>
      <w:rFonts w:ascii="Times New Roman" w:hAnsi="Times New Roman" w:cs="Times New Roman"/>
    </w:rPr>
  </w:style>
  <w:style w:type="paragraph" w:styleId="1039" w:customStyle="1">
    <w:name w:val="Char1 Char Char"/>
    <w:basedOn w:val="841"/>
    <w:next w:val="879"/>
    <w:qFormat/>
    <w:pPr>
      <w:ind w:left="0" w:firstLine="2560"/>
      <w:spacing w:before="0" w:after="0" w:line="240" w:lineRule="auto"/>
    </w:pPr>
    <w:rPr>
      <w:rFonts w:ascii="Times New Roman" w:hAnsi="Times New Roman" w:cs="Times New Roman"/>
    </w:rPr>
  </w:style>
  <w:style w:type="paragraph" w:styleId="1040" w:customStyle="1">
    <w:name w:val="纯文本2"/>
    <w:basedOn w:val="841"/>
    <w:next w:val="1041"/>
    <w:qFormat/>
    <w:pPr>
      <w:ind w:left="0" w:firstLine="3584"/>
      <w:spacing w:before="0" w:after="0" w:line="240" w:lineRule="auto"/>
    </w:pPr>
    <w:rPr>
      <w:rFonts w:ascii="Times New Roman" w:hAnsi="Times New Roman" w:cs="Times New Roman"/>
    </w:rPr>
  </w:style>
  <w:style w:type="paragraph" w:styleId="1041" w:customStyle="1">
    <w:name w:val="xl69"/>
    <w:basedOn w:val="841"/>
    <w:next w:val="1042"/>
    <w:qFormat/>
    <w:pPr>
      <w:ind w:left="0" w:firstLine="3584"/>
      <w:spacing w:before="280" w:after="280" w:line="240" w:lineRule="auto"/>
    </w:pPr>
    <w:rPr>
      <w:rFonts w:ascii="Times New Roman" w:hAnsi="Times New Roman" w:cs="Times New Roman"/>
    </w:rPr>
  </w:style>
  <w:style w:type="paragraph" w:styleId="1042" w:customStyle="1">
    <w:name w:val="Char Char Char"/>
    <w:basedOn w:val="841"/>
    <w:next w:val="1043"/>
    <w:qFormat/>
    <w:pPr>
      <w:ind w:left="0" w:firstLine="2560"/>
      <w:spacing w:before="0" w:after="0" w:line="240" w:lineRule="auto"/>
    </w:pPr>
    <w:rPr>
      <w:rFonts w:ascii="Times New Roman" w:hAnsi="Times New Roman" w:cs="Times New Roman"/>
    </w:rPr>
  </w:style>
  <w:style w:type="paragraph" w:styleId="1043" w:customStyle="1">
    <w:name w:val="表格"/>
    <w:basedOn w:val="841"/>
    <w:next w:val="1038"/>
    <w:qFormat/>
    <w:pPr>
      <w:ind w:left="0" w:firstLine="2560"/>
      <w:spacing w:before="0" w:after="0" w:line="360" w:lineRule="auto"/>
    </w:pPr>
    <w:rPr>
      <w:rFonts w:ascii="Times New Roman" w:hAnsi="Times New Roman" w:cs="Times New Roman"/>
    </w:rPr>
  </w:style>
  <w:style w:type="paragraph" w:styleId="1044" w:customStyle="1">
    <w:name w:val="xl68"/>
    <w:basedOn w:val="841"/>
    <w:next w:val="1045"/>
    <w:qFormat/>
    <w:pPr>
      <w:ind w:left="100" w:firstLine="5220"/>
      <w:spacing w:before="280" w:after="280" w:line="240" w:lineRule="auto"/>
    </w:pPr>
    <w:rPr>
      <w:rFonts w:ascii="Times New Roman" w:hAnsi="Times New Roman" w:cs="Times New Roman"/>
    </w:rPr>
  </w:style>
  <w:style w:type="paragraph" w:styleId="1045" w:customStyle="1">
    <w:name w:val="Char1"/>
    <w:basedOn w:val="841"/>
    <w:next w:val="1046"/>
    <w:qFormat/>
    <w:pPr>
      <w:ind w:left="0" w:firstLine="2560"/>
      <w:spacing w:before="0" w:after="0" w:line="240" w:lineRule="auto"/>
    </w:pPr>
    <w:rPr>
      <w:rFonts w:ascii="Times New Roman" w:hAnsi="Times New Roman" w:cs="Times New Roman"/>
    </w:rPr>
  </w:style>
  <w:style w:type="paragraph" w:styleId="1046" w:customStyle="1">
    <w:name w:val="需求文档正文样式"/>
    <w:basedOn w:val="841"/>
    <w:next w:val="1047"/>
    <w:qFormat/>
    <w:pPr>
      <w:ind w:left="437" w:firstLine="2741"/>
      <w:spacing w:before="0" w:after="0" w:line="360" w:lineRule="auto"/>
    </w:pPr>
    <w:rPr>
      <w:rFonts w:ascii="Times New Roman" w:hAnsi="Times New Roman" w:cs="Times New Roman"/>
    </w:rPr>
  </w:style>
  <w:style w:type="paragraph" w:styleId="1047" w:customStyle="1">
    <w:name w:val="xl74"/>
    <w:basedOn w:val="841"/>
    <w:next w:val="1048"/>
    <w:qFormat/>
    <w:pPr>
      <w:ind w:left="0" w:firstLine="16"/>
      <w:jc w:val="center"/>
      <w:spacing w:before="280" w:after="280" w:line="240" w:lineRule="auto"/>
      <w:shd w:val="clear" w:color="000000" w:fill="538dd5"/>
    </w:pPr>
    <w:rPr>
      <w:rFonts w:ascii="Times New Roman" w:hAnsi="Times New Roman" w:cs="Times New Roman"/>
    </w:rPr>
  </w:style>
  <w:style w:type="paragraph" w:styleId="1048" w:customStyle="1">
    <w:name w:val="xl88"/>
    <w:basedOn w:val="841"/>
    <w:next w:val="1049"/>
    <w:qFormat/>
    <w:pPr>
      <w:ind w:left="0" w:firstLine="5120"/>
      <w:spacing w:before="280" w:after="280" w:line="240" w:lineRule="auto"/>
    </w:pPr>
    <w:rPr>
      <w:rFonts w:ascii="Times New Roman" w:hAnsi="Times New Roman" w:cs="Times New Roman"/>
    </w:rPr>
  </w:style>
  <w:style w:type="paragraph" w:styleId="1049" w:customStyle="1">
    <w:name w:val="xl70"/>
    <w:basedOn w:val="841"/>
    <w:next w:val="895"/>
    <w:qFormat/>
    <w:pPr>
      <w:ind w:left="0" w:firstLine="1024"/>
      <w:spacing w:before="280" w:after="280" w:line="240" w:lineRule="auto"/>
    </w:pPr>
    <w:rPr>
      <w:rFonts w:ascii="Times New Roman" w:hAnsi="Times New Roman" w:cs="Times New Roman"/>
    </w:rPr>
  </w:style>
  <w:style w:type="paragraph" w:styleId="1050" w:customStyle="1">
    <w:name w:val="文档标题5"/>
    <w:basedOn w:val="846"/>
    <w:next w:val="840"/>
    <w:qFormat/>
    <w:pPr>
      <w:ind w:left="992" w:firstLine="18"/>
      <w:spacing w:before="280" w:after="280" w:line="360" w:lineRule="auto"/>
      <w:outlineLvl w:val="4"/>
    </w:pPr>
  </w:style>
  <w:style w:type="paragraph" w:styleId="1051" w:customStyle="1">
    <w:name w:val="样式 加粗 居中"/>
    <w:basedOn w:val="841"/>
    <w:next w:val="1052"/>
    <w:qFormat/>
    <w:pPr>
      <w:ind w:left="0" w:firstLine="2560"/>
      <w:jc w:val="center"/>
      <w:spacing w:before="0" w:after="0" w:line="360" w:lineRule="auto"/>
    </w:pPr>
    <w:rPr>
      <w:rFonts w:ascii="Times New Roman" w:hAnsi="Times New Roman" w:cs="Times New Roman"/>
    </w:rPr>
  </w:style>
  <w:style w:type="paragraph" w:styleId="1052" w:customStyle="1">
    <w:name w:val="_Style 12"/>
    <w:next w:val="1053"/>
    <w:qFormat/>
    <w:pPr>
      <w:ind w:firstLine="14"/>
      <w:spacing w:line="360" w:lineRule="auto"/>
      <w:shd w:val="clear" w:color="000000" w:fill="000080"/>
    </w:pPr>
    <w:rPr>
      <w:rFonts w:ascii="Calibri" w:hAnsi="Calibri"/>
    </w:rPr>
  </w:style>
  <w:style w:type="paragraph" w:styleId="1053" w:customStyle="1">
    <w:name w:val="正文文本缩进1"/>
    <w:basedOn w:val="841"/>
    <w:next w:val="1054"/>
    <w:qFormat/>
    <w:pPr>
      <w:ind w:left="420" w:firstLine="3584"/>
      <w:spacing w:before="0" w:after="120" w:line="240" w:lineRule="auto"/>
    </w:pPr>
    <w:rPr>
      <w:rFonts w:ascii="Times New Roman" w:hAnsi="Times New Roman" w:cs="Times New Roman"/>
    </w:rPr>
  </w:style>
  <w:style w:type="paragraph" w:styleId="1054" w:customStyle="1">
    <w:name w:val="列表编号 31"/>
    <w:basedOn w:val="841"/>
    <w:next w:val="897"/>
    <w:qFormat/>
    <w:pPr>
      <w:ind w:left="1200" w:firstLine="2712"/>
      <w:spacing w:before="0" w:after="0" w:line="360" w:lineRule="auto"/>
    </w:pPr>
    <w:rPr>
      <w:rFonts w:ascii="Times New Roman" w:hAnsi="Times New Roman" w:cs="Times New Roman"/>
    </w:rPr>
  </w:style>
  <w:style w:type="paragraph" w:styleId="1055" w:customStyle="1">
    <w:name w:val="三号 居中"/>
    <w:basedOn w:val="841"/>
    <w:next w:val="1056"/>
    <w:qFormat/>
    <w:pPr>
      <w:ind w:left="0" w:firstLine="6144"/>
      <w:jc w:val="center"/>
      <w:spacing w:before="0" w:after="0" w:line="360" w:lineRule="auto"/>
    </w:pPr>
    <w:rPr>
      <w:rFonts w:ascii="Times New Roman" w:hAnsi="Times New Roman" w:cs="Times New Roman"/>
    </w:rPr>
  </w:style>
  <w:style w:type="paragraph" w:styleId="1056" w:customStyle="1">
    <w:name w:val="列出段落1"/>
    <w:basedOn w:val="841"/>
    <w:next w:val="1057"/>
    <w:qFormat/>
    <w:pPr>
      <w:ind w:left="420" w:firstLine="3748"/>
      <w:spacing w:before="0" w:after="0" w:line="240" w:lineRule="auto"/>
    </w:pPr>
    <w:rPr>
      <w:rFonts w:ascii="Times New Roman" w:hAnsi="Times New Roman" w:cs="Times New Roman"/>
    </w:rPr>
  </w:style>
  <w:style w:type="paragraph" w:styleId="1057" w:customStyle="1">
    <w:name w:val="Char Char Char Char Char Char1 Char Char Char1 Char Char Char"/>
    <w:basedOn w:val="841"/>
    <w:next w:val="1058"/>
    <w:qFormat/>
    <w:pPr>
      <w:ind w:left="0" w:firstLine="2560"/>
      <w:spacing w:before="0" w:after="0" w:line="240" w:lineRule="auto"/>
    </w:pPr>
    <w:rPr>
      <w:rFonts w:ascii="Times New Roman" w:hAnsi="Times New Roman" w:cs="Times New Roman"/>
    </w:rPr>
  </w:style>
  <w:style w:type="paragraph" w:styleId="1058" w:customStyle="1">
    <w:name w:val="Char Char Char Char Char Char1 Char Char Char1 Char"/>
    <w:basedOn w:val="841"/>
    <w:next w:val="1059"/>
    <w:qFormat/>
    <w:pPr>
      <w:ind w:left="0" w:firstLine="2560"/>
      <w:spacing w:before="0" w:after="0" w:line="240" w:lineRule="auto"/>
    </w:pPr>
    <w:rPr>
      <w:rFonts w:ascii="Times New Roman" w:hAnsi="Times New Roman" w:cs="Times New Roman"/>
    </w:rPr>
  </w:style>
  <w:style w:type="paragraph" w:styleId="1059" w:customStyle="1">
    <w:name w:val="正文符号4"/>
    <w:basedOn w:val="841"/>
    <w:next w:val="1051"/>
    <w:qFormat/>
    <w:pPr>
      <w:ind w:left="0" w:firstLine="5632"/>
      <w:spacing w:before="0" w:after="0" w:line="240" w:lineRule="auto"/>
    </w:pPr>
    <w:rPr>
      <w:rFonts w:ascii="Times New Roman" w:hAnsi="Times New Roman" w:cs="Times New Roman"/>
    </w:rPr>
  </w:style>
  <w:style w:type="paragraph" w:styleId="1060" w:customStyle="1">
    <w:name w:val="加粗（居中）"/>
    <w:next w:val="1061"/>
    <w:qFormat/>
    <w:pPr>
      <w:ind w:firstLine="2560"/>
    </w:pPr>
    <w:rPr>
      <w:rFonts w:ascii="Calibri" w:hAnsi="Calibri"/>
    </w:rPr>
  </w:style>
  <w:style w:type="paragraph" w:styleId="1061" w:customStyle="1">
    <w:name w:val="xl65"/>
    <w:basedOn w:val="841"/>
    <w:next w:val="1021"/>
    <w:qFormat/>
    <w:pPr>
      <w:ind w:left="0" w:firstLine="5120"/>
      <w:spacing w:before="280" w:after="280" w:line="240" w:lineRule="auto"/>
    </w:pPr>
    <w:rPr>
      <w:rFonts w:ascii="Times New Roman" w:hAnsi="Times New Roman" w:cs="Times New Roman"/>
    </w:rPr>
  </w:style>
  <w:style w:type="paragraph" w:styleId="1062" w:customStyle="1">
    <w:name w:val="WPSOffice手动目录 3"/>
    <w:qFormat/>
    <w:pPr>
      <w:ind w:left="400"/>
    </w:pPr>
  </w:style>
  <w:style w:type="paragraph" w:styleId="1063" w:customStyle="1">
    <w:name w:val="xl77"/>
    <w:basedOn w:val="841"/>
    <w:next w:val="1064"/>
    <w:qFormat/>
    <w:pPr>
      <w:ind w:left="0" w:firstLine="3584"/>
      <w:spacing w:before="280" w:after="280" w:line="240" w:lineRule="auto"/>
    </w:pPr>
    <w:rPr>
      <w:rFonts w:ascii="Times New Roman" w:hAnsi="Times New Roman" w:cs="Times New Roman"/>
    </w:rPr>
  </w:style>
  <w:style w:type="paragraph" w:styleId="1064" w:customStyle="1">
    <w:name w:val="Char Char Char1"/>
    <w:basedOn w:val="841"/>
    <w:next w:val="1065"/>
    <w:qFormat/>
    <w:pPr>
      <w:ind w:left="900" w:firstLine="2096"/>
      <w:spacing w:before="0" w:after="0" w:line="240" w:lineRule="auto"/>
    </w:pPr>
    <w:rPr>
      <w:rFonts w:ascii="Times New Roman" w:hAnsi="Times New Roman" w:cs="Times New Roman"/>
    </w:rPr>
  </w:style>
  <w:style w:type="paragraph" w:styleId="1065" w:customStyle="1">
    <w:name w:val="索引 21"/>
    <w:basedOn w:val="841"/>
    <w:next w:val="840"/>
    <w:qFormat/>
    <w:pPr>
      <w:ind w:left="200" w:firstLine="2560"/>
      <w:jc w:val="center"/>
      <w:spacing w:before="0" w:after="0" w:line="360" w:lineRule="auto"/>
    </w:pPr>
    <w:rPr>
      <w:rFonts w:ascii="Times New Roman" w:hAnsi="Times New Roman" w:cs="Times New Roman"/>
    </w:rPr>
  </w:style>
  <w:style w:type="paragraph" w:styleId="1066" w:customStyle="1">
    <w:name w:val="正文（首行缩进 2 字符）"/>
    <w:next w:val="1067"/>
    <w:qFormat/>
    <w:pPr>
      <w:ind w:left="480" w:firstLine="2784"/>
      <w:jc w:val="center"/>
      <w:spacing w:line="300" w:lineRule="auto"/>
    </w:pPr>
    <w:rPr>
      <w:rFonts w:ascii="Calibri" w:hAnsi="Calibri"/>
    </w:rPr>
  </w:style>
  <w:style w:type="paragraph" w:styleId="1067" w:customStyle="1">
    <w:name w:val="xl28"/>
    <w:basedOn w:val="841"/>
    <w:next w:val="1068"/>
    <w:qFormat/>
    <w:pPr>
      <w:ind w:left="0" w:firstLine="20"/>
      <w:spacing w:before="280" w:after="280" w:line="240" w:lineRule="auto"/>
      <w:shd w:val="clear" w:color="000000" w:fill="ffffff"/>
    </w:pPr>
    <w:rPr>
      <w:rFonts w:ascii="Times New Roman" w:hAnsi="Times New Roman" w:cs="Times New Roman"/>
    </w:rPr>
  </w:style>
  <w:style w:type="paragraph" w:styleId="1068" w:customStyle="1">
    <w:name w:val="HTML 预设格式1"/>
    <w:basedOn w:val="841"/>
    <w:next w:val="1069"/>
    <w:qFormat/>
    <w:pPr>
      <w:ind w:left="0" w:firstLine="3584"/>
      <w:spacing w:before="0" w:after="0" w:line="253" w:lineRule="atLeast"/>
    </w:pPr>
    <w:rPr>
      <w:rFonts w:ascii="Times New Roman" w:hAnsi="Times New Roman" w:cs="Times New Roman"/>
    </w:rPr>
  </w:style>
  <w:style w:type="paragraph" w:styleId="1069" w:customStyle="1">
    <w:name w:val="项目符号：一级"/>
    <w:basedOn w:val="841"/>
    <w:next w:val="840"/>
    <w:qFormat/>
    <w:pPr>
      <w:ind w:left="425" w:firstLine="1111"/>
      <w:spacing w:before="0" w:after="0" w:line="360" w:lineRule="auto"/>
    </w:pPr>
    <w:rPr>
      <w:rFonts w:ascii="Times New Roman" w:hAnsi="Times New Roman" w:cs="Times New Roman"/>
    </w:rPr>
  </w:style>
  <w:style w:type="paragraph" w:styleId="1070" w:customStyle="1">
    <w:name w:val="Default"/>
    <w:next w:val="875"/>
    <w:qFormat/>
    <w:pPr>
      <w:ind w:firstLine="5120"/>
      <w:widowControl w:val="off"/>
    </w:pPr>
    <w:rPr>
      <w:rFonts w:ascii="Calibri" w:hAnsi="Calibri"/>
    </w:rPr>
  </w:style>
  <w:style w:type="paragraph" w:styleId="1071" w:customStyle="1">
    <w:name w:val="xl84"/>
    <w:basedOn w:val="841"/>
    <w:next w:val="1072"/>
    <w:qFormat/>
    <w:pPr>
      <w:ind w:left="0" w:firstLine="2048"/>
      <w:jc w:val="center"/>
      <w:spacing w:before="280" w:after="280" w:line="240" w:lineRule="auto"/>
    </w:pPr>
    <w:rPr>
      <w:rFonts w:ascii="Times New Roman" w:hAnsi="Times New Roman" w:cs="Times New Roman"/>
    </w:rPr>
  </w:style>
  <w:style w:type="paragraph" w:styleId="1072" w:customStyle="1">
    <w:name w:val="2-2ji"/>
    <w:basedOn w:val="843"/>
    <w:next w:val="1073"/>
    <w:qFormat/>
    <w:pPr>
      <w:ind w:left="0" w:firstLine="24"/>
      <w:jc w:val="center"/>
      <w:spacing w:before="0" w:after="0" w:line="360" w:lineRule="auto"/>
      <w:outlineLvl w:val="1"/>
    </w:pPr>
  </w:style>
  <w:style w:type="paragraph" w:styleId="1073" w:customStyle="1">
    <w:name w:val="应答文本"/>
    <w:basedOn w:val="841"/>
    <w:next w:val="1074"/>
    <w:qFormat/>
    <w:pPr>
      <w:ind w:left="1296" w:firstLine="2112"/>
      <w:spacing w:before="0" w:after="0" w:line="460" w:lineRule="exact"/>
    </w:pPr>
    <w:rPr>
      <w:rFonts w:ascii="Times New Roman" w:hAnsi="Times New Roman" w:cs="Times New Roman"/>
    </w:rPr>
  </w:style>
  <w:style w:type="paragraph" w:styleId="1074" w:customStyle="1">
    <w:name w:val="引文目录1"/>
    <w:basedOn w:val="841"/>
    <w:next w:val="840"/>
    <w:qFormat/>
    <w:pPr>
      <w:ind w:left="420" w:firstLine="2560"/>
      <w:jc w:val="center"/>
      <w:spacing w:before="0" w:after="0" w:line="360" w:lineRule="auto"/>
    </w:pPr>
    <w:rPr>
      <w:rFonts w:ascii="Times New Roman" w:hAnsi="Times New Roman" w:cs="Times New Roman"/>
    </w:rPr>
  </w:style>
  <w:style w:type="paragraph" w:styleId="1075" w:customStyle="1">
    <w:name w:val="首行缩进"/>
    <w:basedOn w:val="840"/>
    <w:qFormat/>
    <w:pPr>
      <w:ind w:firstLine="480"/>
    </w:pPr>
    <w:rPr>
      <w:rFonts w:ascii="Times New Roman" w:hAnsi="Times New Roman" w:cs="Times New Roman"/>
      <w:lang w:val="zh-CN"/>
    </w:rPr>
  </w:style>
  <w:style w:type="paragraph" w:styleId="1076" w:customStyle="1">
    <w:name w:val="font9"/>
    <w:basedOn w:val="841"/>
    <w:next w:val="1077"/>
    <w:qFormat/>
    <w:pPr>
      <w:ind w:left="0" w:firstLine="7168"/>
      <w:spacing w:before="280" w:after="280" w:line="240" w:lineRule="auto"/>
    </w:pPr>
    <w:rPr>
      <w:rFonts w:ascii="Times New Roman" w:hAnsi="Times New Roman" w:cs="Times New Roman"/>
    </w:rPr>
  </w:style>
  <w:style w:type="paragraph" w:styleId="1077" w:customStyle="1">
    <w:name w:val="样式 标题 3 + (中文) 黑体 小四 非加粗 段前: 7.8 磅 段后: 0 磅 行距: 固定值 20 磅"/>
    <w:basedOn w:val="844"/>
    <w:next w:val="1078"/>
    <w:qFormat/>
    <w:pPr>
      <w:ind w:left="0"/>
      <w:spacing w:before="0" w:after="0" w:line="400" w:lineRule="exact"/>
      <w:outlineLvl w:val="2"/>
    </w:pPr>
  </w:style>
  <w:style w:type="paragraph" w:styleId="1078" w:customStyle="1">
    <w:name w:val="标书正文"/>
    <w:basedOn w:val="841"/>
    <w:next w:val="1079"/>
    <w:qFormat/>
    <w:pPr>
      <w:ind w:left="440" w:right="100" w:firstLine="2760"/>
      <w:spacing w:before="0" w:after="0" w:line="360" w:lineRule="auto"/>
    </w:pPr>
    <w:rPr>
      <w:rFonts w:ascii="Times New Roman" w:hAnsi="Times New Roman" w:cs="Times New Roman"/>
    </w:rPr>
  </w:style>
  <w:style w:type="paragraph" w:styleId="1079" w:customStyle="1">
    <w:name w:val="xl67"/>
    <w:basedOn w:val="841"/>
    <w:next w:val="1080"/>
    <w:qFormat/>
    <w:pPr>
      <w:ind w:left="0" w:firstLine="5120"/>
      <w:spacing w:before="280" w:after="280" w:line="240" w:lineRule="auto"/>
    </w:pPr>
    <w:rPr>
      <w:rFonts w:ascii="Times New Roman" w:hAnsi="Times New Roman" w:cs="Times New Roman"/>
    </w:rPr>
  </w:style>
  <w:style w:type="paragraph" w:styleId="1080" w:customStyle="1">
    <w:name w:val="索引 61"/>
    <w:basedOn w:val="841"/>
    <w:next w:val="840"/>
    <w:qFormat/>
    <w:pPr>
      <w:ind w:left="1000" w:firstLine="2560"/>
      <w:jc w:val="center"/>
      <w:spacing w:before="0" w:after="0" w:line="360" w:lineRule="auto"/>
    </w:pPr>
    <w:rPr>
      <w:rFonts w:ascii="Times New Roman" w:hAnsi="Times New Roman" w:cs="Times New Roman"/>
    </w:rPr>
  </w:style>
  <w:style w:type="paragraph" w:styleId="1081" w:customStyle="1">
    <w:name w:val="目录3"/>
    <w:basedOn w:val="841"/>
    <w:next w:val="840"/>
    <w:qFormat/>
    <w:pPr>
      <w:ind w:left="419" w:firstLine="5283"/>
      <w:spacing w:before="0" w:after="0" w:line="317" w:lineRule="atLeast"/>
    </w:pPr>
    <w:rPr>
      <w:rFonts w:ascii="Times New Roman" w:hAnsi="Times New Roman" w:cs="Times New Roman"/>
    </w:rPr>
  </w:style>
  <w:style w:type="paragraph" w:styleId="1082" w:customStyle="1">
    <w:name w:val="xl90"/>
    <w:basedOn w:val="841"/>
    <w:next w:val="1083"/>
    <w:qFormat/>
    <w:pPr>
      <w:ind w:left="0" w:firstLine="3584"/>
      <w:spacing w:before="280" w:after="280" w:line="240" w:lineRule="auto"/>
    </w:pPr>
    <w:rPr>
      <w:rFonts w:ascii="Times New Roman" w:hAnsi="Times New Roman" w:cs="Times New Roman"/>
    </w:rPr>
  </w:style>
  <w:style w:type="paragraph" w:styleId="1083" w:customStyle="1">
    <w:name w:val="列表框1"/>
    <w:next w:val="1074"/>
    <w:qFormat/>
    <w:pPr>
      <w:ind w:firstLine="2048"/>
      <w:spacing w:line="460" w:lineRule="exact"/>
    </w:pPr>
    <w:rPr>
      <w:rFonts w:ascii="Calibri" w:hAnsi="Calibri"/>
    </w:rPr>
  </w:style>
  <w:style w:type="paragraph" w:styleId="1084" w:customStyle="1">
    <w:name w:val="1ji"/>
    <w:basedOn w:val="842"/>
    <w:next w:val="1063"/>
    <w:qFormat/>
    <w:pPr>
      <w:ind w:left="0" w:firstLine="18"/>
      <w:jc w:val="center"/>
      <w:spacing w:before="0" w:after="0" w:line="240" w:lineRule="auto"/>
      <w:outlineLvl w:val="0"/>
    </w:pPr>
  </w:style>
  <w:style w:type="paragraph" w:styleId="1085" w:customStyle="1">
    <w:name w:val="索引 81"/>
    <w:basedOn w:val="841"/>
    <w:next w:val="840"/>
    <w:qFormat/>
    <w:pPr>
      <w:ind w:left="1400" w:firstLine="2560"/>
      <w:jc w:val="center"/>
      <w:spacing w:before="0" w:after="0" w:line="360" w:lineRule="auto"/>
    </w:pPr>
    <w:rPr>
      <w:rFonts w:ascii="Times New Roman" w:hAnsi="Times New Roman" w:cs="Times New Roman"/>
    </w:rPr>
  </w:style>
  <w:style w:type="paragraph" w:styleId="1086" w:customStyle="1">
    <w:name w:val="正文1"/>
    <w:basedOn w:val="840"/>
    <w:next w:val="840"/>
    <w:qFormat/>
    <w:pPr>
      <w:spacing w:line="312" w:lineRule="atLeast"/>
    </w:pPr>
    <w:rPr>
      <w:rFonts w:ascii="楷体_GB2312" w:hAnsi="Times New Roman" w:eastAsia="楷体_GB2312" w:cs="Times New Roman"/>
      <w:sz w:val="24"/>
    </w:rPr>
  </w:style>
  <w:style w:type="paragraph" w:styleId="1087" w:customStyle="1">
    <w:name w:val="Char Char Char Char Char Char1 Char Char Char1 Char Char Char Char Char Char Char Char Char Char Char Char Char Char Char Char Char Char"/>
    <w:basedOn w:val="841"/>
    <w:next w:val="1088"/>
    <w:qFormat/>
    <w:pPr>
      <w:ind w:left="0" w:firstLine="2560"/>
      <w:spacing w:before="0" w:after="0" w:line="240" w:lineRule="auto"/>
    </w:pPr>
    <w:rPr>
      <w:rFonts w:ascii="Times New Roman" w:hAnsi="Times New Roman" w:cs="Times New Roman"/>
    </w:rPr>
  </w:style>
  <w:style w:type="paragraph" w:styleId="1088" w:customStyle="1">
    <w:name w:val="样式 加粗 居中11"/>
    <w:basedOn w:val="841"/>
    <w:next w:val="1089"/>
    <w:qFormat/>
    <w:pPr>
      <w:ind w:left="0" w:firstLine="2560"/>
      <w:jc w:val="center"/>
      <w:spacing w:before="0" w:after="0" w:line="360" w:lineRule="auto"/>
    </w:pPr>
    <w:rPr>
      <w:rFonts w:ascii="Times New Roman" w:hAnsi="Times New Roman" w:cs="Times New Roman"/>
    </w:rPr>
  </w:style>
  <w:style w:type="paragraph" w:styleId="1089" w:customStyle="1">
    <w:name w:val="xl89"/>
    <w:basedOn w:val="841"/>
    <w:next w:val="1090"/>
    <w:qFormat/>
    <w:pPr>
      <w:ind w:left="0" w:firstLine="3584"/>
      <w:spacing w:before="280" w:after="280" w:line="240" w:lineRule="auto"/>
    </w:pPr>
    <w:rPr>
      <w:rFonts w:ascii="Times New Roman" w:hAnsi="Times New Roman" w:cs="Times New Roman"/>
    </w:rPr>
  </w:style>
  <w:style w:type="paragraph" w:styleId="1090" w:customStyle="1">
    <w:name w:val="Char Char Char Char Char Char1 Char Char Char Char Char Char1 Char Char Char Char Char Char Char Char Char"/>
    <w:basedOn w:val="841"/>
    <w:next w:val="1091"/>
    <w:qFormat/>
    <w:pPr>
      <w:ind w:left="0" w:firstLine="2560"/>
      <w:spacing w:before="0" w:after="0" w:line="240" w:lineRule="auto"/>
    </w:pPr>
    <w:rPr>
      <w:rFonts w:ascii="Times New Roman" w:hAnsi="Times New Roman" w:cs="Times New Roman"/>
    </w:rPr>
  </w:style>
  <w:style w:type="paragraph" w:styleId="1091" w:customStyle="1">
    <w:name w:val="文章附标题"/>
    <w:basedOn w:val="841"/>
    <w:next w:val="841"/>
    <w:qFormat/>
    <w:pPr>
      <w:ind w:left="0" w:firstLine="5120"/>
      <w:jc w:val="center"/>
      <w:spacing w:before="187" w:after="175" w:line="374" w:lineRule="atLeast"/>
    </w:pPr>
    <w:rPr>
      <w:rFonts w:ascii="Times New Roman" w:hAnsi="Times New Roman" w:cs="Times New Roman"/>
    </w:rPr>
  </w:style>
  <w:style w:type="paragraph" w:styleId="1092">
    <w:name w:val="Quote"/>
    <w:next w:val="840"/>
    <w:qFormat/>
    <w:pPr>
      <w:ind w:left="3680" w:right="864"/>
      <w:jc w:val="center"/>
      <w:spacing w:before="200" w:after="160"/>
    </w:pPr>
    <w:rPr>
      <w:rFonts w:ascii="Calibri" w:hAnsi="Calibri"/>
      <w:i/>
    </w:rPr>
  </w:style>
  <w:style w:type="paragraph" w:styleId="1093" w:customStyle="1">
    <w:name w:val="Default Paragraph Font Para Char Char Char Char Char Char"/>
    <w:basedOn w:val="841"/>
    <w:next w:val="1094"/>
    <w:qFormat/>
    <w:pPr>
      <w:ind w:left="0" w:firstLine="3584"/>
      <w:spacing w:before="0" w:after="160" w:line="240" w:lineRule="exact"/>
    </w:pPr>
    <w:rPr>
      <w:rFonts w:ascii="Times New Roman" w:hAnsi="Times New Roman" w:cs="Times New Roman"/>
    </w:rPr>
  </w:style>
  <w:style w:type="paragraph" w:styleId="1094" w:customStyle="1">
    <w:name w:val="xl23"/>
    <w:basedOn w:val="841"/>
    <w:next w:val="877"/>
    <w:qFormat/>
    <w:pPr>
      <w:ind w:left="0" w:firstLine="20"/>
      <w:spacing w:before="280" w:after="280" w:line="240" w:lineRule="auto"/>
      <w:shd w:val="clear" w:color="000000" w:fill="ffffff"/>
    </w:pPr>
    <w:rPr>
      <w:rFonts w:ascii="Times New Roman" w:hAnsi="Times New Roman" w:cs="Times New Roman"/>
    </w:rPr>
  </w:style>
  <w:style w:type="paragraph" w:styleId="1095" w:customStyle="1">
    <w:name w:val="列出段落11"/>
    <w:basedOn w:val="841"/>
    <w:next w:val="1096"/>
    <w:qFormat/>
    <w:pPr>
      <w:ind w:left="420" w:firstLine="3748"/>
      <w:spacing w:before="0" w:after="0" w:line="240" w:lineRule="auto"/>
    </w:pPr>
    <w:rPr>
      <w:rFonts w:ascii="Times New Roman" w:hAnsi="Times New Roman" w:cs="Times New Roman"/>
    </w:rPr>
  </w:style>
  <w:style w:type="paragraph" w:styleId="1096" w:customStyle="1">
    <w:name w:val="样式 标题 2 + (西文) 宋体 非加粗 居中"/>
    <w:basedOn w:val="843"/>
    <w:next w:val="1097"/>
    <w:qFormat/>
    <w:pPr>
      <w:ind w:left="0" w:firstLine="24"/>
      <w:jc w:val="center"/>
      <w:spacing w:line="412" w:lineRule="auto"/>
      <w:outlineLvl w:val="1"/>
    </w:pPr>
  </w:style>
  <w:style w:type="paragraph" w:styleId="1097" w:customStyle="1">
    <w:name w:val="页脚 Char Char"/>
    <w:basedOn w:val="841"/>
    <w:next w:val="1098"/>
    <w:qFormat/>
    <w:pPr>
      <w:ind w:left="0" w:firstLine="5120"/>
      <w:spacing w:before="0" w:after="0" w:line="240" w:lineRule="auto"/>
    </w:pPr>
    <w:rPr>
      <w:rFonts w:ascii="Times New Roman" w:hAnsi="Times New Roman" w:cs="Times New Roman"/>
    </w:rPr>
  </w:style>
  <w:style w:type="paragraph" w:styleId="1098" w:customStyle="1">
    <w:name w:val="样式 标题 1 + 段前: 16 磅 段后: 16 磅"/>
    <w:basedOn w:val="842"/>
    <w:next w:val="1099"/>
    <w:qFormat/>
    <w:pPr>
      <w:ind w:left="0" w:firstLine="18"/>
      <w:jc w:val="center"/>
      <w:spacing w:before="120" w:after="0" w:line="360" w:lineRule="auto"/>
      <w:outlineLvl w:val="0"/>
    </w:pPr>
  </w:style>
  <w:style w:type="paragraph" w:styleId="1099" w:customStyle="1">
    <w:name w:val="Char1 Char Char Char Char Char Char"/>
    <w:basedOn w:val="841"/>
    <w:next w:val="1100"/>
    <w:qFormat/>
    <w:pPr>
      <w:ind w:left="0" w:firstLine="2560"/>
      <w:spacing w:before="0" w:after="0" w:line="240" w:lineRule="auto"/>
    </w:pPr>
    <w:rPr>
      <w:rFonts w:ascii="Times New Roman" w:hAnsi="Times New Roman" w:cs="Times New Roman"/>
    </w:rPr>
  </w:style>
  <w:style w:type="paragraph" w:styleId="1100" w:customStyle="1">
    <w:name w:val="文档标题4"/>
    <w:basedOn w:val="845"/>
    <w:next w:val="840"/>
    <w:qFormat/>
    <w:pPr>
      <w:ind w:left="851" w:firstLine="30"/>
      <w:spacing w:after="280" w:line="360" w:lineRule="auto"/>
      <w:outlineLvl w:val="3"/>
    </w:pPr>
  </w:style>
  <w:style w:type="paragraph" w:styleId="1101" w:customStyle="1">
    <w:name w:val="font0"/>
    <w:basedOn w:val="841"/>
    <w:next w:val="1076"/>
    <w:qFormat/>
    <w:pPr>
      <w:ind w:left="0" w:firstLine="1024"/>
      <w:spacing w:before="280" w:after="280" w:line="240" w:lineRule="auto"/>
    </w:pPr>
    <w:rPr>
      <w:rFonts w:ascii="Times New Roman" w:hAnsi="Times New Roman" w:cs="Times New Roman"/>
    </w:rPr>
  </w:style>
  <w:style w:type="paragraph" w:styleId="1102" w:customStyle="1">
    <w:name w:val="CM5"/>
    <w:basedOn w:val="841"/>
    <w:next w:val="840"/>
    <w:qFormat/>
    <w:pPr>
      <w:ind w:left="200" w:firstLine="2760"/>
      <w:spacing w:before="0" w:after="0" w:line="400" w:lineRule="atLeast"/>
    </w:pPr>
    <w:rPr>
      <w:rFonts w:ascii="Times New Roman" w:hAnsi="Times New Roman" w:cs="Times New Roman"/>
    </w:rPr>
  </w:style>
  <w:style w:type="paragraph" w:styleId="1103" w:customStyle="1">
    <w:name w:val="Pa0"/>
    <w:basedOn w:val="841"/>
    <w:next w:val="840"/>
    <w:qFormat/>
    <w:pPr>
      <w:ind w:left="0" w:firstLine="4608"/>
      <w:spacing w:before="0" w:after="0" w:line="241" w:lineRule="atLeast"/>
    </w:pPr>
    <w:rPr>
      <w:rFonts w:ascii="Times New Roman" w:hAnsi="Times New Roman" w:cs="Times New Roman"/>
    </w:rPr>
  </w:style>
  <w:style w:type="paragraph" w:styleId="1104" w:customStyle="1">
    <w:name w:val="招标文件》"/>
    <w:basedOn w:val="841"/>
    <w:next w:val="1040"/>
    <w:qFormat/>
    <w:pPr>
      <w:ind w:left="420" w:firstLine="2140"/>
      <w:spacing w:before="120" w:after="120" w:line="300" w:lineRule="auto"/>
    </w:pPr>
    <w:rPr>
      <w:rFonts w:ascii="Times New Roman" w:hAnsi="Times New Roman" w:cs="Times New Roman"/>
    </w:rPr>
  </w:style>
  <w:style w:type="paragraph" w:styleId="1105" w:customStyle="1">
    <w:name w:val="段"/>
    <w:next w:val="840"/>
    <w:qFormat/>
    <w:pPr>
      <w:ind w:firstLine="200"/>
      <w:jc w:val="both"/>
      <w:spacing w:line="360" w:lineRule="auto"/>
    </w:pPr>
    <w:rPr>
      <w:sz w:val="24"/>
      <w:szCs w:val="22"/>
    </w:rPr>
  </w:style>
  <w:style w:type="paragraph" w:styleId="1106" w:customStyle="1">
    <w:name w:val="标书_正文"/>
    <w:basedOn w:val="841"/>
    <w:next w:val="1107"/>
    <w:qFormat/>
    <w:pPr>
      <w:ind w:left="420" w:firstLine="1188"/>
      <w:spacing w:before="0" w:after="0" w:line="360" w:lineRule="auto"/>
    </w:pPr>
    <w:rPr>
      <w:rFonts w:ascii="Times New Roman" w:hAnsi="Times New Roman" w:cs="Times New Roman"/>
    </w:rPr>
  </w:style>
  <w:style w:type="paragraph" w:styleId="1107" w:customStyle="1">
    <w:name w:val="样式 标题 2 + Times New Roman 四号 非加粗 段前: 5 磅 段后: 0 磅 行距: 固定值 20..."/>
    <w:basedOn w:val="843"/>
    <w:next w:val="1055"/>
    <w:qFormat/>
    <w:pPr>
      <w:ind w:left="0" w:firstLine="24"/>
      <w:spacing w:before="100" w:after="0" w:line="400" w:lineRule="exact"/>
      <w:outlineLvl w:val="1"/>
    </w:pPr>
  </w:style>
  <w:style w:type="paragraph" w:styleId="1108" w:customStyle="1">
    <w:name w:val="图片0"/>
    <w:basedOn w:val="841"/>
    <w:next w:val="888"/>
    <w:qFormat/>
    <w:pPr>
      <w:ind w:left="-161" w:firstLine="1187"/>
      <w:spacing w:before="0" w:after="0" w:line="276" w:lineRule="auto"/>
    </w:pPr>
    <w:rPr>
      <w:rFonts w:ascii="Times New Roman" w:hAnsi="Times New Roman" w:cs="Times New Roman"/>
    </w:rPr>
  </w:style>
  <w:style w:type="paragraph" w:styleId="1109" w:customStyle="1">
    <w:name w:val="Char Char Char2 Char Char Char2 Char"/>
    <w:basedOn w:val="841"/>
    <w:next w:val="1081"/>
    <w:qFormat/>
    <w:pPr>
      <w:ind w:left="560" w:firstLine="3632"/>
      <w:spacing w:before="0" w:after="160" w:line="240" w:lineRule="exact"/>
    </w:pPr>
    <w:rPr>
      <w:rFonts w:ascii="Times New Roman" w:hAnsi="Times New Roman" w:cs="Times New Roman"/>
    </w:rPr>
  </w:style>
  <w:style w:type="paragraph" w:styleId="1110" w:customStyle="1">
    <w:name w:val="Char Char Char Char"/>
    <w:next w:val="1111"/>
    <w:qFormat/>
    <w:pPr>
      <w:ind w:firstLine="10"/>
      <w:spacing w:line="360" w:lineRule="auto"/>
      <w:shd w:val="clear" w:color="000000" w:fill="000080"/>
    </w:pPr>
    <w:rPr>
      <w:rFonts w:ascii="Calibri" w:hAnsi="Calibri"/>
    </w:rPr>
  </w:style>
  <w:style w:type="paragraph" w:styleId="1111" w:customStyle="1">
    <w:name w:val="杨昂超式样黑体主"/>
    <w:basedOn w:val="841"/>
    <w:next w:val="1112"/>
    <w:qFormat/>
    <w:pPr>
      <w:ind w:left="0" w:firstLine="4608"/>
      <w:spacing w:before="0" w:after="0" w:line="240" w:lineRule="auto"/>
    </w:pPr>
    <w:rPr>
      <w:rFonts w:ascii="Times New Roman" w:hAnsi="Times New Roman" w:cs="Times New Roman"/>
    </w:rPr>
  </w:style>
  <w:style w:type="paragraph" w:styleId="1112" w:customStyle="1">
    <w:name w:val="Char Char Char Char Char Char1 Char Char Char Char Char Char Char Char Char Char"/>
    <w:basedOn w:val="841"/>
    <w:next w:val="1113"/>
    <w:qFormat/>
    <w:pPr>
      <w:ind w:left="0" w:firstLine="2560"/>
      <w:spacing w:before="0" w:after="0" w:line="240" w:lineRule="auto"/>
    </w:pPr>
    <w:rPr>
      <w:rFonts w:ascii="Times New Roman" w:hAnsi="Times New Roman" w:cs="Times New Roman"/>
    </w:rPr>
  </w:style>
  <w:style w:type="paragraph" w:styleId="1113" w:customStyle="1">
    <w:name w:val="目录1"/>
    <w:basedOn w:val="841"/>
    <w:next w:val="840"/>
    <w:qFormat/>
    <w:pPr>
      <w:ind w:left="0" w:firstLine="7168"/>
      <w:spacing w:before="0" w:after="136" w:line="289" w:lineRule="atLeast"/>
    </w:pPr>
    <w:rPr>
      <w:rFonts w:ascii="Times New Roman" w:hAnsi="Times New Roman" w:cs="Times New Roman"/>
    </w:rPr>
  </w:style>
  <w:style w:type="paragraph" w:styleId="1114" w:customStyle="1">
    <w:name w:val="文档结构图1"/>
    <w:basedOn w:val="841"/>
    <w:next w:val="1115"/>
    <w:qFormat/>
    <w:pPr>
      <w:ind w:left="200" w:firstLine="2248"/>
      <w:spacing w:before="0" w:after="0" w:line="360" w:lineRule="auto"/>
    </w:pPr>
    <w:rPr>
      <w:rFonts w:ascii="Times New Roman" w:hAnsi="Times New Roman" w:cs="Times New Roman"/>
    </w:rPr>
  </w:style>
  <w:style w:type="paragraph" w:styleId="1115" w:customStyle="1">
    <w:name w:val="2ji"/>
    <w:basedOn w:val="843"/>
    <w:next w:val="883"/>
    <w:qFormat/>
    <w:pPr>
      <w:ind w:left="0" w:firstLine="24"/>
      <w:spacing w:before="0" w:after="0" w:line="360" w:lineRule="auto"/>
      <w:outlineLvl w:val="1"/>
    </w:pPr>
  </w:style>
  <w:style w:type="paragraph" w:styleId="1116" w:customStyle="1">
    <w:name w:val="xl91"/>
    <w:basedOn w:val="841"/>
    <w:next w:val="1037"/>
    <w:qFormat/>
    <w:pPr>
      <w:ind w:left="0" w:firstLine="3584"/>
      <w:spacing w:before="280" w:after="280" w:line="240" w:lineRule="auto"/>
    </w:pPr>
    <w:rPr>
      <w:rFonts w:ascii="Times New Roman" w:hAnsi="Times New Roman" w:cs="Times New Roman"/>
    </w:rPr>
  </w:style>
  <w:style w:type="paragraph" w:styleId="1117" w:customStyle="1">
    <w:name w:val="Text Body"/>
    <w:basedOn w:val="841"/>
    <w:next w:val="1118"/>
    <w:qFormat/>
    <w:pPr>
      <w:ind w:left="0" w:firstLine="4096"/>
      <w:spacing w:before="0" w:after="120" w:line="240" w:lineRule="auto"/>
    </w:pPr>
    <w:rPr>
      <w:rFonts w:ascii="Times New Roman" w:hAnsi="Times New Roman" w:cs="Times New Roman"/>
    </w:rPr>
  </w:style>
  <w:style w:type="paragraph" w:styleId="1118" w:customStyle="1">
    <w:name w:val="项目符1"/>
    <w:basedOn w:val="841"/>
    <w:next w:val="1119"/>
    <w:qFormat/>
    <w:pPr>
      <w:ind w:left="1365" w:right="100" w:firstLine="2728"/>
      <w:spacing w:before="78" w:after="78" w:line="300" w:lineRule="auto"/>
    </w:pPr>
    <w:rPr>
      <w:rFonts w:ascii="Times New Roman" w:hAnsi="Times New Roman" w:cs="Times New Roman"/>
    </w:rPr>
  </w:style>
  <w:style w:type="paragraph" w:styleId="1119" w:customStyle="1">
    <w:name w:val="引文目录标题1"/>
    <w:basedOn w:val="841"/>
    <w:next w:val="840"/>
    <w:qFormat/>
    <w:pPr>
      <w:ind w:left="0" w:firstLine="4608"/>
      <w:jc w:val="center"/>
      <w:spacing w:before="120" w:after="0" w:line="360" w:lineRule="auto"/>
    </w:pPr>
    <w:rPr>
      <w:rFonts w:ascii="Times New Roman" w:hAnsi="Times New Roman" w:cs="Times New Roman"/>
    </w:rPr>
  </w:style>
  <w:style w:type="paragraph" w:styleId="1120" w:customStyle="1">
    <w:name w:val="样式 标题 3 + (西文) 黑体 (中文) 黑体 (符号) 宋体 小四 段前: 5 磅 段后: 5 磅 行距: 1..."/>
    <w:basedOn w:val="844"/>
    <w:next w:val="1121"/>
    <w:qFormat/>
    <w:pPr>
      <w:ind w:left="1429" w:firstLine="18"/>
      <w:spacing w:before="100" w:after="100" w:line="360" w:lineRule="auto"/>
      <w:outlineLvl w:val="2"/>
    </w:pPr>
  </w:style>
  <w:style w:type="paragraph" w:styleId="1121" w:customStyle="1">
    <w:name w:val="xl22"/>
    <w:basedOn w:val="841"/>
    <w:next w:val="1122"/>
    <w:qFormat/>
    <w:pPr>
      <w:ind w:left="0" w:firstLine="20"/>
      <w:jc w:val="right"/>
      <w:spacing w:before="280" w:after="280" w:line="240" w:lineRule="auto"/>
      <w:shd w:val="clear" w:color="000000" w:fill="ffffff"/>
    </w:pPr>
    <w:rPr>
      <w:rFonts w:ascii="Times New Roman" w:hAnsi="Times New Roman" w:cs="Times New Roman"/>
    </w:rPr>
  </w:style>
  <w:style w:type="paragraph" w:styleId="1122" w:customStyle="1">
    <w:name w:val="自定义一"/>
    <w:basedOn w:val="841"/>
    <w:next w:val="840"/>
    <w:qFormat/>
    <w:pPr>
      <w:ind w:left="0"/>
      <w:spacing w:before="0" w:after="0" w:line="360" w:lineRule="auto"/>
    </w:pPr>
    <w:rPr>
      <w:rFonts w:ascii="Times New Roman" w:hAnsi="Times New Roman" w:cs="Times New Roman"/>
    </w:rPr>
  </w:style>
  <w:style w:type="paragraph" w:styleId="1123" w:customStyle="1">
    <w:name w:val="xl78"/>
    <w:basedOn w:val="841"/>
    <w:next w:val="1124"/>
    <w:qFormat/>
    <w:pPr>
      <w:ind w:left="0" w:firstLine="3584"/>
      <w:jc w:val="center"/>
      <w:spacing w:before="280" w:after="280" w:line="240" w:lineRule="auto"/>
    </w:pPr>
    <w:rPr>
      <w:rFonts w:ascii="Times New Roman" w:hAnsi="Times New Roman" w:cs="Times New Roman"/>
    </w:rPr>
  </w:style>
  <w:style w:type="paragraph" w:styleId="1124" w:customStyle="1">
    <w:name w:val="段落正文"/>
    <w:next w:val="1066"/>
    <w:qFormat/>
    <w:pPr>
      <w:ind w:firstLine="4608"/>
      <w:jc w:val="center"/>
      <w:spacing w:line="360" w:lineRule="auto"/>
    </w:pPr>
    <w:rPr>
      <w:rFonts w:ascii="Calibri" w:hAnsi="Calibri"/>
    </w:rPr>
  </w:style>
  <w:style w:type="paragraph" w:styleId="1125" w:customStyle="1">
    <w:name w:val="_Style 169"/>
    <w:next w:val="840"/>
    <w:qFormat/>
    <w:pPr>
      <w:ind w:left="2560"/>
    </w:pPr>
    <w:rPr>
      <w:rFonts w:ascii="Calibri" w:hAnsi="Calibri"/>
    </w:rPr>
  </w:style>
  <w:style w:type="paragraph" w:styleId="1126" w:customStyle="1">
    <w:name w:val="样式 小四 行距: 1.5 倍行距 首行缩进:  2 字符"/>
    <w:basedOn w:val="841"/>
    <w:next w:val="1071"/>
    <w:qFormat/>
    <w:pPr>
      <w:ind w:left="480" w:firstLine="2784"/>
      <w:spacing w:before="0" w:after="0" w:line="360" w:lineRule="auto"/>
    </w:pPr>
    <w:rPr>
      <w:rFonts w:ascii="Times New Roman" w:hAnsi="Times New Roman" w:cs="Times New Roman"/>
    </w:rPr>
  </w:style>
  <w:style w:type="paragraph" w:styleId="1127" w:customStyle="1">
    <w:name w:val="小节标题"/>
    <w:basedOn w:val="841"/>
    <w:next w:val="840"/>
    <w:qFormat/>
    <w:pPr>
      <w:ind w:left="0" w:firstLine="7168"/>
      <w:spacing w:before="175" w:after="102" w:line="351" w:lineRule="atLeast"/>
    </w:pPr>
    <w:rPr>
      <w:rFonts w:ascii="Times New Roman" w:hAnsi="Times New Roman" w:cs="Times New Roman"/>
    </w:rPr>
  </w:style>
  <w:style w:type="paragraph" w:styleId="1128" w:customStyle="1">
    <w:name w:val="TOC 标题2"/>
    <w:basedOn w:val="841"/>
    <w:next w:val="84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29" w:customStyle="1">
    <w:name w:val="表格文字（两侧对齐）"/>
    <w:basedOn w:val="841"/>
    <w:next w:val="1130"/>
    <w:qFormat/>
    <w:pPr>
      <w:ind w:left="0" w:firstLine="3584"/>
      <w:spacing w:before="0" w:after="0" w:line="240" w:lineRule="auto"/>
    </w:pPr>
    <w:rPr>
      <w:rFonts w:ascii="Times New Roman" w:hAnsi="Times New Roman" w:cs="Times New Roman"/>
    </w:rPr>
  </w:style>
  <w:style w:type="paragraph" w:styleId="1130" w:customStyle="1">
    <w:name w:val="Char"/>
    <w:basedOn w:val="841"/>
    <w:next w:val="1109"/>
    <w:qFormat/>
    <w:pPr>
      <w:ind w:left="900" w:firstLine="2608"/>
      <w:spacing w:before="0" w:after="0" w:line="240" w:lineRule="auto"/>
    </w:pPr>
    <w:rPr>
      <w:rFonts w:ascii="Times New Roman" w:hAnsi="Times New Roman" w:cs="Times New Roman"/>
    </w:rPr>
  </w:style>
  <w:style w:type="paragraph" w:styleId="1131" w:customStyle="1">
    <w:name w:val="xl86"/>
    <w:basedOn w:val="841"/>
    <w:next w:val="1132"/>
    <w:qFormat/>
    <w:pPr>
      <w:ind w:left="0" w:firstLine="5120"/>
      <w:spacing w:before="280" w:after="280" w:line="240" w:lineRule="auto"/>
    </w:pPr>
    <w:rPr>
      <w:rFonts w:ascii="Times New Roman" w:hAnsi="Times New Roman" w:cs="Times New Roman"/>
    </w:rPr>
  </w:style>
  <w:style w:type="paragraph" w:styleId="1132" w:customStyle="1">
    <w:name w:val="索引 71"/>
    <w:basedOn w:val="841"/>
    <w:next w:val="840"/>
    <w:qFormat/>
    <w:pPr>
      <w:ind w:left="1200" w:firstLine="2560"/>
      <w:jc w:val="center"/>
      <w:spacing w:before="0" w:after="0" w:line="360" w:lineRule="auto"/>
    </w:pPr>
    <w:rPr>
      <w:rFonts w:ascii="Times New Roman" w:hAnsi="Times New Roman" w:cs="Times New Roman"/>
    </w:rPr>
  </w:style>
  <w:style w:type="paragraph" w:styleId="1133" w:customStyle="1">
    <w:name w:val="111"/>
    <w:next w:val="1134"/>
    <w:qFormat/>
    <w:pPr>
      <w:ind w:left="480" w:firstLine="4320"/>
      <w:spacing w:line="440" w:lineRule="exact"/>
    </w:pPr>
    <w:rPr>
      <w:rFonts w:ascii="Calibri" w:hAnsi="Calibri"/>
    </w:rPr>
  </w:style>
  <w:style w:type="paragraph" w:styleId="1134" w:customStyle="1">
    <w:name w:val="4"/>
    <w:basedOn w:val="841"/>
    <w:next w:val="853"/>
    <w:qFormat/>
    <w:pPr>
      <w:ind w:left="409" w:firstLine="3737"/>
      <w:spacing w:before="0" w:after="0" w:line="420" w:lineRule="exact"/>
    </w:pPr>
    <w:rPr>
      <w:rFonts w:ascii="Times New Roman" w:hAnsi="Times New Roman" w:cs="Times New Roman"/>
    </w:rPr>
  </w:style>
  <w:style w:type="paragraph" w:styleId="1135" w:customStyle="1">
    <w:name w:val="Char Char Char Char Char Char1 Char Char Char1 Char Char Char Char Char Char"/>
    <w:basedOn w:val="841"/>
    <w:next w:val="1120"/>
    <w:qFormat/>
    <w:pPr>
      <w:ind w:left="0" w:firstLine="2560"/>
      <w:spacing w:before="0" w:after="0" w:line="240" w:lineRule="auto"/>
    </w:pPr>
    <w:rPr>
      <w:rFonts w:ascii="Times New Roman" w:hAnsi="Times New Roman" w:cs="Times New Roman"/>
    </w:rPr>
  </w:style>
  <w:style w:type="paragraph" w:styleId="1136" w:customStyle="1">
    <w:name w:val="Char Char Char Char Char Char1 Char Char Char Char Char Char1 Char Char Char"/>
    <w:basedOn w:val="841"/>
    <w:next w:val="1137"/>
    <w:qFormat/>
    <w:pPr>
      <w:ind w:left="0" w:firstLine="2560"/>
      <w:spacing w:before="0" w:after="0" w:line="240" w:lineRule="auto"/>
    </w:pPr>
    <w:rPr>
      <w:rFonts w:ascii="Times New Roman" w:hAnsi="Times New Roman" w:cs="Times New Roman"/>
    </w:rPr>
  </w:style>
  <w:style w:type="paragraph" w:styleId="1137" w:customStyle="1">
    <w:name w:val="正文符号1"/>
    <w:basedOn w:val="841"/>
    <w:next w:val="1138"/>
    <w:qFormat/>
    <w:pPr>
      <w:ind w:left="987" w:firstLine="5724"/>
      <w:spacing w:before="0" w:after="0" w:line="240" w:lineRule="auto"/>
    </w:pPr>
    <w:rPr>
      <w:rFonts w:ascii="Times New Roman" w:hAnsi="Times New Roman" w:cs="Times New Roman"/>
    </w:rPr>
  </w:style>
  <w:style w:type="paragraph" w:styleId="1138" w:customStyle="1">
    <w:name w:val="索引 31"/>
    <w:basedOn w:val="841"/>
    <w:next w:val="840"/>
    <w:qFormat/>
    <w:pPr>
      <w:ind w:left="400" w:firstLine="2560"/>
      <w:jc w:val="center"/>
      <w:spacing w:before="0" w:after="0" w:line="360" w:lineRule="auto"/>
    </w:pPr>
    <w:rPr>
      <w:rFonts w:ascii="Times New Roman" w:hAnsi="Times New Roman" w:cs="Times New Roman"/>
    </w:rPr>
  </w:style>
  <w:style w:type="paragraph" w:styleId="1139" w:customStyle="1">
    <w:name w:val="目录4"/>
    <w:basedOn w:val="841"/>
    <w:next w:val="840"/>
    <w:qFormat/>
    <w:pPr>
      <w:ind w:left="629" w:firstLine="5237"/>
      <w:spacing w:before="0" w:after="0" w:line="317" w:lineRule="atLeast"/>
    </w:pPr>
    <w:rPr>
      <w:rFonts w:ascii="Times New Roman" w:hAnsi="Times New Roman" w:cs="Times New Roman"/>
    </w:rPr>
  </w:style>
  <w:style w:type="paragraph" w:styleId="1140" w:customStyle="1">
    <w:name w:val="p15"/>
    <w:basedOn w:val="840"/>
    <w:qFormat/>
    <w:pPr>
      <w:ind w:left="0"/>
    </w:pPr>
    <w:rPr>
      <w:rFonts w:ascii="宋体" w:hAnsi="宋体"/>
      <w:sz w:val="28"/>
      <w:szCs w:val="28"/>
    </w:rPr>
  </w:style>
  <w:style w:type="paragraph" w:styleId="1141" w:customStyle="1">
    <w:name w:val="四号 居中"/>
    <w:basedOn w:val="841"/>
    <w:next w:val="1135"/>
    <w:qFormat/>
    <w:pPr>
      <w:ind w:left="0" w:firstLine="6144"/>
      <w:jc w:val="center"/>
      <w:spacing w:before="0" w:after="0" w:line="360" w:lineRule="auto"/>
    </w:pPr>
    <w:rPr>
      <w:rFonts w:ascii="Times New Roman" w:hAnsi="Times New Roman" w:cs="Times New Roman"/>
    </w:rPr>
  </w:style>
  <w:style w:type="paragraph" w:styleId="1142" w:customStyle="1">
    <w:name w:val="p0"/>
    <w:next w:val="840"/>
    <w:qFormat/>
    <w:pPr>
      <w:ind w:firstLine="2048"/>
      <w:spacing w:line="360" w:lineRule="auto"/>
    </w:pPr>
    <w:rPr>
      <w:rFonts w:ascii="Calibri" w:hAnsi="Calibri"/>
    </w:rPr>
  </w:style>
  <w:style w:type="paragraph" w:styleId="1143" w:customStyle="1">
    <w:name w:val="列表编号 21"/>
    <w:basedOn w:val="841"/>
    <w:next w:val="1144"/>
    <w:qFormat/>
    <w:pPr>
      <w:ind w:left="0" w:firstLine="2560"/>
      <w:spacing w:before="0" w:after="0" w:line="360" w:lineRule="auto"/>
    </w:pPr>
    <w:rPr>
      <w:rFonts w:ascii="Times New Roman" w:hAnsi="Times New Roman" w:cs="Times New Roman"/>
    </w:rPr>
  </w:style>
  <w:style w:type="paragraph" w:styleId="1144" w:customStyle="1">
    <w:name w:val="正文文本 21"/>
    <w:basedOn w:val="841"/>
    <w:next w:val="1025"/>
    <w:qFormat/>
    <w:pPr>
      <w:ind w:left="0" w:firstLine="2560"/>
      <w:jc w:val="center"/>
      <w:spacing w:before="0" w:after="120" w:line="480" w:lineRule="auto"/>
    </w:pPr>
    <w:rPr>
      <w:rFonts w:ascii="Times New Roman" w:hAnsi="Times New Roman" w:cs="Times New Roman"/>
    </w:rPr>
  </w:style>
  <w:style w:type="paragraph" w:styleId="1145" w:customStyle="1">
    <w:name w:val="a2"/>
    <w:basedOn w:val="841"/>
    <w:next w:val="880"/>
    <w:qFormat/>
    <w:pPr>
      <w:ind w:left="0" w:firstLine="1024"/>
      <w:spacing w:before="280" w:after="280" w:line="240" w:lineRule="auto"/>
    </w:pPr>
    <w:rPr>
      <w:rFonts w:ascii="Times New Roman" w:hAnsi="Times New Roman" w:cs="Times New Roman"/>
    </w:rPr>
  </w:style>
  <w:style w:type="paragraph" w:styleId="1146" w:customStyle="1">
    <w:name w:val="font8"/>
    <w:basedOn w:val="841"/>
    <w:next w:val="1070"/>
    <w:qFormat/>
    <w:pPr>
      <w:ind w:left="0" w:firstLine="2048"/>
      <w:spacing w:before="280" w:after="280" w:line="240" w:lineRule="auto"/>
    </w:pPr>
    <w:rPr>
      <w:rFonts w:ascii="Times New Roman" w:hAnsi="Times New Roman" w:cs="Times New Roman"/>
    </w:rPr>
  </w:style>
  <w:style w:type="paragraph" w:styleId="1147" w:customStyle="1">
    <w:name w:val="Char Char Char Char Char Char1 Char Char Char Char Char Char1 Char Char Char Char Char Char Char"/>
    <w:basedOn w:val="841"/>
    <w:next w:val="1148"/>
    <w:qFormat/>
    <w:pPr>
      <w:ind w:left="0" w:firstLine="2560"/>
      <w:spacing w:before="0" w:after="0" w:line="240" w:lineRule="auto"/>
    </w:pPr>
    <w:rPr>
      <w:rFonts w:ascii="Times New Roman" w:hAnsi="Times New Roman" w:cs="Times New Roman"/>
    </w:rPr>
  </w:style>
  <w:style w:type="paragraph" w:styleId="1148" w:customStyle="1">
    <w:name w:val="xl87"/>
    <w:basedOn w:val="841"/>
    <w:next w:val="1104"/>
    <w:qFormat/>
    <w:pPr>
      <w:ind w:left="0" w:firstLine="5120"/>
      <w:spacing w:before="280" w:after="280" w:line="240" w:lineRule="auto"/>
    </w:pPr>
    <w:rPr>
      <w:rFonts w:ascii="Times New Roman" w:hAnsi="Times New Roman" w:cs="Times New Roman"/>
    </w:rPr>
  </w:style>
  <w:style w:type="paragraph" w:styleId="1149" w:customStyle="1">
    <w:name w:val="444"/>
    <w:basedOn w:val="841"/>
    <w:next w:val="862"/>
    <w:qFormat/>
    <w:pPr>
      <w:ind w:left="0" w:firstLine="4608"/>
      <w:jc w:val="center"/>
      <w:spacing w:before="0" w:after="0" w:line="312" w:lineRule="atLeast"/>
    </w:pPr>
    <w:rPr>
      <w:rFonts w:ascii="Times New Roman" w:hAnsi="Times New Roman" w:cs="Times New Roman"/>
    </w:rPr>
  </w:style>
  <w:style w:type="paragraph" w:styleId="1150" w:customStyle="1">
    <w:name w:val="表格文字图表文字"/>
    <w:basedOn w:val="841"/>
    <w:next w:val="1151"/>
    <w:qFormat/>
    <w:pPr>
      <w:ind w:left="0" w:firstLine="3584"/>
      <w:jc w:val="center"/>
      <w:spacing w:before="0" w:after="0" w:line="240" w:lineRule="auto"/>
    </w:pPr>
    <w:rPr>
      <w:rFonts w:ascii="Times New Roman" w:hAnsi="Times New Roman" w:cs="Times New Roman"/>
    </w:rPr>
  </w:style>
  <w:style w:type="paragraph" w:styleId="1151" w:customStyle="1">
    <w:name w:val="样式 目录 3 + 左侧:  2 字符1"/>
    <w:next w:val="1152"/>
    <w:qFormat/>
    <w:pPr>
      <w:ind w:left="960" w:firstLine="5120"/>
      <w:spacing w:line="360" w:lineRule="auto"/>
      <w:widowControl w:val="off"/>
    </w:pPr>
    <w:rPr>
      <w:rFonts w:ascii="Calibri" w:hAnsi="Calibri"/>
    </w:rPr>
  </w:style>
  <w:style w:type="paragraph" w:styleId="1152" w:customStyle="1">
    <w:name w:val="文档正文"/>
    <w:basedOn w:val="841"/>
    <w:next w:val="1153"/>
    <w:qFormat/>
    <w:pPr>
      <w:ind w:left="567" w:firstLine="3639"/>
      <w:spacing w:before="0" w:after="0" w:line="480" w:lineRule="atLeast"/>
    </w:pPr>
    <w:rPr>
      <w:rFonts w:ascii="Times New Roman" w:hAnsi="Times New Roman" w:cs="Times New Roman"/>
    </w:rPr>
  </w:style>
  <w:style w:type="paragraph" w:styleId="1153" w:customStyle="1">
    <w:name w:val="列表框2"/>
    <w:next w:val="1154"/>
    <w:qFormat/>
    <w:pPr>
      <w:ind w:firstLine="2048"/>
      <w:spacing w:line="460" w:lineRule="exact"/>
    </w:pPr>
    <w:rPr>
      <w:rFonts w:ascii="Calibri" w:hAnsi="Calibri"/>
    </w:rPr>
  </w:style>
  <w:style w:type="paragraph" w:styleId="1154" w:customStyle="1">
    <w:name w:val="font10"/>
    <w:basedOn w:val="841"/>
    <w:next w:val="873"/>
    <w:qFormat/>
    <w:pPr>
      <w:ind w:left="0" w:firstLine="3584"/>
      <w:spacing w:before="280" w:after="280" w:line="240" w:lineRule="auto"/>
    </w:pPr>
    <w:rPr>
      <w:rFonts w:ascii="Times New Roman" w:hAnsi="Times New Roman" w:cs="Times New Roman"/>
    </w:rPr>
  </w:style>
  <w:style w:type="paragraph" w:styleId="1155" w:customStyle="1">
    <w:name w:val="纯文本1"/>
    <w:basedOn w:val="841"/>
    <w:next w:val="885"/>
    <w:qFormat/>
    <w:pPr>
      <w:ind w:left="0" w:firstLine="3584"/>
      <w:spacing w:before="0" w:after="0" w:line="240" w:lineRule="auto"/>
    </w:pPr>
    <w:rPr>
      <w:rFonts w:ascii="Times New Roman" w:hAnsi="Times New Roman" w:cs="Times New Roman"/>
    </w:rPr>
  </w:style>
  <w:style w:type="paragraph" w:styleId="1156" w:customStyle="1">
    <w:name w:val="索引 91"/>
    <w:basedOn w:val="841"/>
    <w:next w:val="840"/>
    <w:qFormat/>
    <w:pPr>
      <w:ind w:left="1600" w:firstLine="2560"/>
      <w:jc w:val="center"/>
      <w:spacing w:before="0" w:after="0" w:line="360" w:lineRule="auto"/>
    </w:pPr>
    <w:rPr>
      <w:rFonts w:ascii="Times New Roman" w:hAnsi="Times New Roman" w:cs="Times New Roman"/>
    </w:rPr>
  </w:style>
  <w:style w:type="paragraph" w:styleId="1157" w:customStyle="1">
    <w:name w:val="xl79"/>
    <w:basedOn w:val="841"/>
    <w:next w:val="1133"/>
    <w:qFormat/>
    <w:pPr>
      <w:ind w:left="0" w:firstLine="3584"/>
      <w:jc w:val="center"/>
      <w:spacing w:before="280" w:after="280" w:line="240" w:lineRule="auto"/>
    </w:pPr>
    <w:rPr>
      <w:rFonts w:ascii="Times New Roman" w:hAnsi="Times New Roman" w:cs="Times New Roman"/>
    </w:rPr>
  </w:style>
  <w:style w:type="paragraph" w:styleId="1158" w:customStyle="1">
    <w:name w:val="表格文字（4号居中）"/>
    <w:next w:val="1159"/>
    <w:qFormat/>
    <w:pPr>
      <w:ind w:firstLine="2560"/>
      <w:jc w:val="center"/>
    </w:pPr>
    <w:rPr>
      <w:rFonts w:ascii="Calibri" w:hAnsi="Calibri"/>
    </w:rPr>
  </w:style>
  <w:style w:type="paragraph" w:styleId="1159" w:customStyle="1">
    <w:name w:val="!方块加粗"/>
    <w:basedOn w:val="841"/>
    <w:next w:val="1126"/>
    <w:qFormat/>
    <w:pPr>
      <w:ind w:left="600" w:firstLine="5212"/>
      <w:spacing w:before="0" w:after="0" w:line="360" w:lineRule="auto"/>
    </w:pPr>
    <w:rPr>
      <w:rFonts w:ascii="Times New Roman" w:hAnsi="Times New Roman" w:cs="Times New Roman"/>
    </w:rPr>
  </w:style>
  <w:style w:type="paragraph" w:styleId="1160" w:customStyle="1">
    <w:name w:val="xl75"/>
    <w:basedOn w:val="841"/>
    <w:next w:val="886"/>
    <w:qFormat/>
    <w:pPr>
      <w:ind w:left="0" w:firstLine="3584"/>
      <w:jc w:val="center"/>
      <w:spacing w:before="280" w:after="280" w:line="240" w:lineRule="auto"/>
    </w:pPr>
    <w:rPr>
      <w:rFonts w:ascii="Times New Roman" w:hAnsi="Times New Roman" w:cs="Times New Roman"/>
    </w:rPr>
  </w:style>
  <w:style w:type="paragraph" w:styleId="1161" w:customStyle="1">
    <w:name w:val="xl81"/>
    <w:basedOn w:val="841"/>
    <w:next w:val="1162"/>
    <w:qFormat/>
    <w:pPr>
      <w:ind w:left="0" w:firstLine="5120"/>
      <w:spacing w:before="280" w:after="280" w:line="240" w:lineRule="auto"/>
    </w:pPr>
    <w:rPr>
      <w:rFonts w:ascii="Times New Roman" w:hAnsi="Times New Roman" w:cs="Times New Roman"/>
    </w:rPr>
  </w:style>
  <w:style w:type="paragraph" w:styleId="1162" w:customStyle="1">
    <w:name w:val="xl25"/>
    <w:basedOn w:val="841"/>
    <w:next w:val="1163"/>
    <w:qFormat/>
    <w:pPr>
      <w:ind w:left="0" w:firstLine="14"/>
      <w:spacing w:before="280" w:after="280" w:line="240" w:lineRule="auto"/>
      <w:shd w:val="clear" w:color="000000" w:fill="ffffff"/>
    </w:pPr>
    <w:rPr>
      <w:rFonts w:ascii="Times New Roman" w:hAnsi="Times New Roman" w:cs="Times New Roman"/>
    </w:rPr>
  </w:style>
  <w:style w:type="paragraph" w:styleId="1163" w:customStyle="1">
    <w:name w:val="普通(网站)1"/>
    <w:basedOn w:val="841"/>
    <w:next w:val="1164"/>
    <w:qFormat/>
    <w:pPr>
      <w:ind w:left="200" w:firstLine="1224"/>
      <w:spacing w:before="280" w:after="280" w:line="240" w:lineRule="auto"/>
    </w:pPr>
    <w:rPr>
      <w:rFonts w:ascii="Times New Roman" w:hAnsi="Times New Roman" w:cs="Times New Roman"/>
    </w:rPr>
  </w:style>
  <w:style w:type="paragraph" w:styleId="1164" w:customStyle="1">
    <w:name w:val="xl27"/>
    <w:basedOn w:val="841"/>
    <w:next w:val="1150"/>
    <w:qFormat/>
    <w:pPr>
      <w:ind w:left="0" w:firstLine="20"/>
      <w:spacing w:before="280" w:after="280" w:line="240" w:lineRule="auto"/>
      <w:shd w:val="clear" w:color="000000" w:fill="ffffff"/>
    </w:pPr>
    <w:rPr>
      <w:rFonts w:ascii="Times New Roman" w:hAnsi="Times New Roman" w:cs="Times New Roman"/>
    </w:rPr>
  </w:style>
  <w:style w:type="paragraph" w:styleId="1165" w:customStyle="1">
    <w:name w:val="H 4"/>
    <w:basedOn w:val="845"/>
    <w:next w:val="1166"/>
    <w:qFormat/>
    <w:pPr>
      <w:ind w:left="426" w:firstLine="24"/>
      <w:spacing w:before="0" w:after="0" w:line="360" w:lineRule="auto"/>
      <w:outlineLvl w:val="3"/>
    </w:pPr>
  </w:style>
  <w:style w:type="paragraph" w:styleId="1166" w:customStyle="1">
    <w:name w:val="xl82"/>
    <w:basedOn w:val="841"/>
    <w:next w:val="1161"/>
    <w:qFormat/>
    <w:pPr>
      <w:ind w:left="0" w:firstLine="5120"/>
      <w:spacing w:before="280" w:after="280" w:line="240" w:lineRule="auto"/>
    </w:pPr>
    <w:rPr>
      <w:rFonts w:ascii="Times New Roman" w:hAnsi="Times New Roman" w:cs="Times New Roman"/>
    </w:rPr>
  </w:style>
  <w:style w:type="paragraph" w:styleId="1167" w:customStyle="1">
    <w:name w:val="Char Char Char Char Char Char Char Char"/>
    <w:next w:val="1168"/>
    <w:qFormat/>
    <w:pPr>
      <w:ind w:firstLine="14"/>
      <w:jc w:val="both"/>
      <w:shd w:val="clear" w:color="000000" w:fill="000080"/>
      <w:widowControl w:val="off"/>
    </w:pPr>
    <w:rPr>
      <w:rFonts w:ascii="Calibri" w:hAnsi="Calibri"/>
    </w:rPr>
  </w:style>
  <w:style w:type="paragraph" w:styleId="1168" w:customStyle="1">
    <w:name w:val="Char Char Char Char Char Char1 Char Char Char1 Char Char Char Char Char Char Char Char Char Char Char Char Char Char Char"/>
    <w:basedOn w:val="841"/>
    <w:next w:val="1169"/>
    <w:qFormat/>
    <w:pPr>
      <w:ind w:left="0" w:firstLine="2560"/>
      <w:spacing w:before="0" w:after="0" w:line="240" w:lineRule="auto"/>
    </w:pPr>
    <w:rPr>
      <w:rFonts w:ascii="Times New Roman" w:hAnsi="Times New Roman" w:cs="Times New Roman"/>
    </w:rPr>
  </w:style>
  <w:style w:type="paragraph" w:styleId="1169" w:customStyle="1">
    <w:name w:val="样式1"/>
    <w:basedOn w:val="841"/>
    <w:next w:val="1170"/>
    <w:qFormat/>
    <w:pPr>
      <w:ind w:left="0" w:firstLine="1536"/>
      <w:spacing w:before="120" w:after="120" w:line="300" w:lineRule="auto"/>
    </w:pPr>
    <w:rPr>
      <w:rFonts w:ascii="Times New Roman" w:hAnsi="Times New Roman" w:cs="Times New Roman"/>
    </w:rPr>
  </w:style>
  <w:style w:type="paragraph" w:styleId="1170" w:customStyle="1">
    <w:name w:val="索引 41"/>
    <w:basedOn w:val="841"/>
    <w:next w:val="840"/>
    <w:qFormat/>
    <w:pPr>
      <w:ind w:left="600" w:firstLine="2560"/>
      <w:jc w:val="center"/>
      <w:spacing w:before="0" w:after="0" w:line="360" w:lineRule="auto"/>
    </w:pPr>
    <w:rPr>
      <w:rFonts w:ascii="Times New Roman" w:hAnsi="Times New Roman" w:cs="Times New Roman"/>
    </w:rPr>
  </w:style>
  <w:style w:type="paragraph" w:styleId="1171" w:customStyle="1">
    <w:name w:val="自定义二"/>
    <w:basedOn w:val="841"/>
    <w:next w:val="840"/>
    <w:qFormat/>
    <w:pPr>
      <w:ind w:left="0" w:firstLine="14"/>
      <w:spacing w:before="0" w:after="0" w:line="360" w:lineRule="auto"/>
      <w:outlineLvl w:val="1"/>
    </w:pPr>
    <w:rPr>
      <w:rFonts w:ascii="Times New Roman" w:hAnsi="Times New Roman" w:cs="Times New Roman"/>
    </w:rPr>
  </w:style>
  <w:style w:type="paragraph" w:styleId="1172" w:customStyle="1">
    <w:name w:val="Bullet"/>
    <w:next w:val="1110"/>
    <w:qFormat/>
    <w:pPr>
      <w:ind w:left="567" w:right="2835" w:firstLine="3584"/>
      <w:spacing w:after="60"/>
    </w:pPr>
    <w:rPr>
      <w:rFonts w:ascii="Calibri" w:hAnsi="Calibri"/>
    </w:rPr>
  </w:style>
  <w:style w:type="paragraph" w:styleId="1173" w:customStyle="1">
    <w:name w:val="Char Char Char Char Char Char1"/>
    <w:basedOn w:val="841"/>
    <w:next w:val="1174"/>
    <w:qFormat/>
    <w:pPr>
      <w:ind w:left="0" w:firstLine="2560"/>
      <w:spacing w:before="0" w:after="0" w:line="240" w:lineRule="auto"/>
    </w:pPr>
    <w:rPr>
      <w:rFonts w:ascii="Times New Roman" w:hAnsi="Times New Roman" w:cs="Times New Roman"/>
    </w:rPr>
  </w:style>
  <w:style w:type="paragraph" w:styleId="1174" w:customStyle="1">
    <w:name w:val="正文缩进2"/>
    <w:basedOn w:val="841"/>
    <w:next w:val="1175"/>
    <w:qFormat/>
    <w:pPr>
      <w:ind w:left="420" w:firstLine="1188"/>
      <w:spacing w:before="0" w:after="0" w:line="240" w:lineRule="auto"/>
    </w:pPr>
    <w:rPr>
      <w:rFonts w:ascii="Times New Roman" w:hAnsi="Times New Roman" w:cs="Times New Roman"/>
    </w:rPr>
  </w:style>
  <w:style w:type="paragraph" w:styleId="1175" w:customStyle="1">
    <w:name w:val="列出段落2"/>
    <w:basedOn w:val="841"/>
    <w:next w:val="1176"/>
    <w:qFormat/>
    <w:pPr>
      <w:ind w:left="420" w:firstLine="3748"/>
      <w:spacing w:before="0" w:after="0" w:line="240" w:lineRule="auto"/>
    </w:pPr>
    <w:rPr>
      <w:rFonts w:ascii="Times New Roman" w:hAnsi="Times New Roman" w:cs="Times New Roman"/>
    </w:rPr>
  </w:style>
  <w:style w:type="paragraph" w:styleId="1176" w:customStyle="1">
    <w:name w:val="正文文本缩进 31"/>
    <w:basedOn w:val="841"/>
    <w:next w:val="1177"/>
    <w:qFormat/>
    <w:pPr>
      <w:ind w:left="1200" w:firstLine="1248"/>
      <w:spacing w:before="120" w:after="0" w:line="22" w:lineRule="atLeast"/>
    </w:pPr>
    <w:rPr>
      <w:rFonts w:ascii="Times New Roman" w:hAnsi="Times New Roman" w:cs="Times New Roman"/>
    </w:rPr>
  </w:style>
  <w:style w:type="paragraph" w:styleId="1177" w:customStyle="1">
    <w:name w:val="样式 正文首行缩进 + 首行缩进:  2 字符5"/>
    <w:next w:val="1178"/>
    <w:qFormat/>
    <w:pPr>
      <w:ind w:left="200" w:firstLine="3784"/>
      <w:spacing w:line="300" w:lineRule="auto"/>
    </w:pPr>
    <w:rPr>
      <w:rFonts w:ascii="Calibri" w:hAnsi="Calibri"/>
    </w:rPr>
  </w:style>
  <w:style w:type="paragraph" w:styleId="1178" w:customStyle="1">
    <w:name w:val="Char2"/>
    <w:basedOn w:val="841"/>
    <w:next w:val="1172"/>
    <w:qFormat/>
    <w:pPr>
      <w:ind w:left="0" w:firstLine="3584"/>
      <w:spacing w:before="0" w:after="160" w:line="240" w:lineRule="exact"/>
    </w:pPr>
    <w:rPr>
      <w:rFonts w:ascii="Times New Roman" w:hAnsi="Times New Roman" w:cs="Times New Roman"/>
    </w:rPr>
  </w:style>
  <w:style w:type="paragraph" w:styleId="1179" w:customStyle="1">
    <w:name w:val="WPSOffice手动目录 1"/>
    <w:qFormat/>
  </w:style>
  <w:style w:type="paragraph" w:styleId="1180" w:customStyle="1">
    <w:name w:val="纯文本4"/>
    <w:basedOn w:val="840"/>
    <w:qFormat/>
    <w:pPr>
      <w:ind w:left="0"/>
      <w:widowControl w:val="off"/>
    </w:pPr>
    <w:rPr>
      <w:rFonts w:ascii="宋体" w:hAnsi="Courier New" w:eastAsia="楷体_GB2312" w:cs="Times New Roman"/>
      <w:sz w:val="26"/>
    </w:rPr>
  </w:style>
  <w:style w:type="paragraph" w:styleId="1181" w:customStyle="1">
    <w:name w:val="Char Char Char Char Char Char Char Char Char Char Char Char Char Char Char Char"/>
    <w:basedOn w:val="841"/>
    <w:next w:val="1182"/>
    <w:qFormat/>
    <w:pPr>
      <w:ind w:left="682" w:firstLine="1224"/>
      <w:spacing w:before="0" w:after="0" w:line="360" w:lineRule="auto"/>
    </w:pPr>
    <w:rPr>
      <w:rFonts w:ascii="Times New Roman" w:hAnsi="Times New Roman" w:cs="Times New Roman"/>
    </w:rPr>
  </w:style>
  <w:style w:type="paragraph" w:styleId="1182" w:customStyle="1">
    <w:name w:val="列表编号 51"/>
    <w:basedOn w:val="841"/>
    <w:next w:val="1183"/>
    <w:qFormat/>
    <w:pPr>
      <w:ind w:left="900" w:firstLine="2652"/>
      <w:spacing w:before="0" w:after="0" w:line="360" w:lineRule="auto"/>
    </w:pPr>
    <w:rPr>
      <w:rFonts w:ascii="Times New Roman" w:hAnsi="Times New Roman" w:cs="Times New Roman"/>
    </w:rPr>
  </w:style>
  <w:style w:type="paragraph" w:styleId="1183" w:customStyle="1">
    <w:name w:val="样式 标题 1 + 黑体 (符号) 宋体 三号 段前: 7.8 磅 段后: 7.8 磅 行距: 1.5 倍行距"/>
    <w:basedOn w:val="842"/>
    <w:next w:val="1184"/>
    <w:qFormat/>
    <w:pPr>
      <w:ind w:left="432" w:firstLine="18"/>
      <w:spacing w:before="40" w:after="40" w:line="360" w:lineRule="auto"/>
      <w:outlineLvl w:val="0"/>
    </w:pPr>
  </w:style>
  <w:style w:type="paragraph" w:styleId="1184" w:customStyle="1">
    <w:name w:val="表格用"/>
    <w:basedOn w:val="841"/>
    <w:next w:val="1141"/>
    <w:qFormat/>
    <w:pPr>
      <w:ind w:left="0" w:firstLine="1024"/>
      <w:spacing w:before="0" w:after="0" w:line="360" w:lineRule="auto"/>
    </w:pPr>
    <w:rPr>
      <w:rFonts w:ascii="Times New Roman" w:hAnsi="Times New Roman" w:cs="Times New Roman"/>
    </w:rPr>
  </w:style>
  <w:style w:type="paragraph" w:styleId="1185" w:customStyle="1">
    <w:name w:val="xl71"/>
    <w:basedOn w:val="841"/>
    <w:next w:val="1186"/>
    <w:qFormat/>
    <w:pPr>
      <w:ind w:left="0" w:firstLine="1536"/>
      <w:spacing w:before="280" w:after="280" w:line="240" w:lineRule="auto"/>
    </w:pPr>
    <w:rPr>
      <w:rFonts w:ascii="Times New Roman" w:hAnsi="Times New Roman" w:cs="Times New Roman"/>
    </w:rPr>
  </w:style>
  <w:style w:type="paragraph" w:styleId="1186" w:customStyle="1">
    <w:name w:val="正文文本 31"/>
    <w:basedOn w:val="841"/>
    <w:next w:val="1187"/>
    <w:qFormat/>
    <w:pPr>
      <w:ind w:left="0" w:firstLine="3584"/>
      <w:jc w:val="center"/>
      <w:spacing w:before="0" w:after="120" w:line="360" w:lineRule="auto"/>
    </w:pPr>
    <w:rPr>
      <w:rFonts w:ascii="Times New Roman" w:hAnsi="Times New Roman" w:cs="Times New Roman"/>
    </w:rPr>
  </w:style>
  <w:style w:type="paragraph" w:styleId="1187" w:customStyle="1">
    <w:name w:val="列出段落111"/>
    <w:basedOn w:val="841"/>
    <w:next w:val="1123"/>
    <w:qFormat/>
    <w:pPr>
      <w:ind w:left="420" w:firstLine="3748"/>
      <w:spacing w:before="0" w:after="0" w:line="240" w:lineRule="auto"/>
    </w:pPr>
    <w:rPr>
      <w:rFonts w:ascii="Times New Roman" w:hAnsi="Times New Roman" w:cs="Times New Roman"/>
    </w:rPr>
  </w:style>
  <w:style w:type="paragraph" w:styleId="1188" w:customStyle="1">
    <w:name w:val="修订1"/>
    <w:qFormat/>
    <w:rPr>
      <w:rFonts w:ascii="Calibri" w:hAnsi="Calibri"/>
    </w:rPr>
  </w:style>
  <w:style w:type="paragraph" w:styleId="1189" w:customStyle="1">
    <w:name w:val="正文文本缩进 21"/>
    <w:basedOn w:val="841"/>
    <w:next w:val="1129"/>
    <w:qFormat/>
    <w:pPr>
      <w:ind w:left="480" w:firstLine="4832"/>
      <w:spacing w:before="0" w:after="0" w:line="240" w:lineRule="auto"/>
    </w:pPr>
    <w:rPr>
      <w:rFonts w:ascii="Times New Roman" w:hAnsi="Times New Roman" w:cs="Times New Roman"/>
    </w:rPr>
  </w:style>
  <w:style w:type="paragraph" w:styleId="1190" w:customStyle="1">
    <w:name w:val="Char Char4 Char Char"/>
    <w:basedOn w:val="841"/>
    <w:next w:val="1139"/>
    <w:qFormat/>
    <w:pPr>
      <w:ind w:left="0" w:firstLine="2560"/>
      <w:spacing w:before="0" w:after="0" w:line="240" w:lineRule="auto"/>
    </w:pPr>
    <w:rPr>
      <w:rFonts w:ascii="Times New Roman" w:hAnsi="Times New Roman" w:cs="Times New Roman"/>
    </w:rPr>
  </w:style>
  <w:style w:type="paragraph" w:styleId="1191" w:customStyle="1">
    <w:name w:val="样式"/>
    <w:next w:val="840"/>
    <w:qFormat/>
    <w:pPr>
      <w:ind w:firstLine="3584"/>
      <w:widowControl w:val="off"/>
    </w:pPr>
    <w:rPr>
      <w:rFonts w:ascii="Calibri" w:hAnsi="Calibri"/>
    </w:rPr>
  </w:style>
  <w:style w:type="paragraph" w:styleId="1192" w:customStyle="1">
    <w:name w:val="TOC 标题1"/>
    <w:basedOn w:val="842"/>
    <w:next w:val="840"/>
    <w:qFormat/>
    <w:pPr>
      <w:ind w:left="0" w:firstLine="6144"/>
      <w:spacing w:before="480" w:after="0" w:line="276" w:lineRule="auto"/>
    </w:pPr>
    <w:rPr>
      <w:b/>
      <w:sz w:val="30"/>
    </w:rPr>
  </w:style>
  <w:style w:type="paragraph" w:styleId="1193" w:customStyle="1">
    <w:name w:val="纯文本3"/>
    <w:basedOn w:val="840"/>
    <w:qFormat/>
    <w:rPr>
      <w:rFonts w:ascii="宋体" w:hAnsi="Courier New" w:cs="Times New Roman"/>
    </w:rPr>
  </w:style>
  <w:style w:type="paragraph" w:styleId="1194" w:customStyle="1">
    <w:name w:val="afont"/>
    <w:basedOn w:val="841"/>
    <w:next w:val="866"/>
    <w:qFormat/>
    <w:pPr>
      <w:ind w:left="0" w:firstLine="2048"/>
      <w:spacing w:before="100" w:after="100" w:line="285" w:lineRule="atLeast"/>
    </w:pPr>
    <w:rPr>
      <w:rFonts w:ascii="Times New Roman" w:hAnsi="Times New Roman" w:cs="Times New Roman"/>
    </w:rPr>
  </w:style>
  <w:style w:type="paragraph" w:styleId="1195" w:customStyle="1">
    <w:name w:val="xl85"/>
    <w:basedOn w:val="841"/>
    <w:next w:val="1196"/>
    <w:qFormat/>
    <w:pPr>
      <w:ind w:left="0" w:firstLine="2048"/>
      <w:jc w:val="center"/>
      <w:spacing w:before="280" w:after="280" w:line="240" w:lineRule="auto"/>
    </w:pPr>
    <w:rPr>
      <w:rFonts w:ascii="Times New Roman" w:hAnsi="Times New Roman" w:cs="Times New Roman"/>
    </w:rPr>
  </w:style>
  <w:style w:type="paragraph" w:styleId="1196" w:customStyle="1">
    <w:name w:val="文章总标题"/>
    <w:basedOn w:val="841"/>
    <w:next w:val="1197"/>
    <w:qFormat/>
    <w:pPr>
      <w:ind w:left="0" w:firstLine="7168"/>
      <w:jc w:val="center"/>
      <w:spacing w:before="566" w:after="544" w:line="566" w:lineRule="atLeast"/>
    </w:pPr>
    <w:rPr>
      <w:rFonts w:ascii="Times New Roman" w:hAnsi="Times New Roman" w:cs="Times New Roman"/>
    </w:rPr>
  </w:style>
  <w:style w:type="paragraph" w:styleId="1197" w:customStyle="1">
    <w:name w:val="样式 首行缩进:  2 字符"/>
    <w:basedOn w:val="841"/>
    <w:next w:val="1160"/>
    <w:qFormat/>
    <w:pPr>
      <w:ind w:left="200" w:firstLine="1224"/>
      <w:spacing w:before="0" w:after="0" w:line="400" w:lineRule="exact"/>
    </w:pPr>
    <w:rPr>
      <w:rFonts w:ascii="Times New Roman" w:hAnsi="Times New Roman" w:cs="Times New Roman"/>
    </w:rPr>
  </w:style>
  <w:style w:type="paragraph" w:styleId="1198" w:customStyle="1">
    <w:name w:val="二级条标题"/>
    <w:basedOn w:val="841"/>
    <w:next w:val="840"/>
    <w:qFormat/>
    <w:pPr>
      <w:ind w:left="0" w:firstLine="8"/>
      <w:spacing w:before="0" w:after="0" w:line="240" w:lineRule="auto"/>
      <w:outlineLvl w:val="3"/>
    </w:pPr>
    <w:rPr>
      <w:rFonts w:ascii="Times New Roman" w:hAnsi="Times New Roman" w:cs="Times New Roman"/>
    </w:rPr>
  </w:style>
  <w:style w:type="paragraph" w:styleId="1199" w:customStyle="1">
    <w:name w:val="Plain Text*"/>
    <w:basedOn w:val="840"/>
    <w:qFormat/>
    <w:pPr>
      <w:ind w:left="0"/>
      <w:jc w:val="left"/>
    </w:pPr>
    <w:rPr>
      <w:rFonts w:ascii="宋体" w:hAnsi="宋体" w:eastAsia="楷体_GB2312" w:cs="Courier New"/>
      <w:sz w:val="26"/>
      <w:lang w:val="zh-CN"/>
    </w:rPr>
  </w:style>
  <w:style w:type="paragraph" w:styleId="1200" w:customStyle="1">
    <w:name w:val="样式 加粗 居中2"/>
    <w:basedOn w:val="841"/>
    <w:next w:val="1052"/>
    <w:qFormat/>
    <w:pPr>
      <w:ind w:left="0" w:firstLine="2560"/>
      <w:jc w:val="center"/>
      <w:spacing w:before="0" w:after="0" w:line="360" w:lineRule="auto"/>
    </w:pPr>
    <w:rPr>
      <w:rFonts w:ascii="Times New Roman" w:hAnsi="Times New Roman" w:cs="Times New Roman"/>
    </w:rPr>
  </w:style>
  <w:style w:type="paragraph" w:styleId="1201" w:customStyle="1">
    <w:name w:val="标准文本"/>
    <w:basedOn w:val="841"/>
    <w:next w:val="1155"/>
    <w:qFormat/>
    <w:pPr>
      <w:ind w:left="480" w:firstLine="2784"/>
      <w:spacing w:before="0" w:after="0" w:line="360" w:lineRule="auto"/>
    </w:pPr>
    <w:rPr>
      <w:rFonts w:ascii="Times New Roman" w:hAnsi="Times New Roman" w:cs="Times New Roman"/>
    </w:rPr>
  </w:style>
  <w:style w:type="paragraph" w:styleId="1202" w:customStyle="1">
    <w:name w:val="font5"/>
    <w:basedOn w:val="841"/>
    <w:next w:val="1203"/>
    <w:qFormat/>
    <w:pPr>
      <w:ind w:left="0" w:firstLine="5120"/>
      <w:spacing w:before="280" w:after="280" w:line="240" w:lineRule="auto"/>
    </w:pPr>
    <w:rPr>
      <w:rFonts w:ascii="Times New Roman" w:hAnsi="Times New Roman" w:cs="Times New Roman"/>
    </w:rPr>
  </w:style>
  <w:style w:type="paragraph" w:styleId="1203" w:customStyle="1">
    <w:name w:val="索引标题1"/>
    <w:basedOn w:val="841"/>
    <w:next w:val="1082"/>
    <w:qFormat/>
    <w:pPr>
      <w:ind w:left="0" w:firstLine="4608"/>
      <w:jc w:val="center"/>
      <w:spacing w:before="0" w:after="0" w:line="360" w:lineRule="auto"/>
    </w:pPr>
    <w:rPr>
      <w:rFonts w:ascii="Times New Roman" w:hAnsi="Times New Roman" w:cs="Times New Roman"/>
    </w:rPr>
  </w:style>
  <w:style w:type="paragraph" w:styleId="1204" w:customStyle="1">
    <w:name w:val="Char Char Char Char Char Char1 Char Char Char1 Char Char Char Char Char Char Char Char Char Char Char Char Char Char Char Char"/>
    <w:basedOn w:val="841"/>
    <w:next w:val="1205"/>
    <w:qFormat/>
    <w:pPr>
      <w:ind w:left="0" w:firstLine="2560"/>
      <w:spacing w:before="0" w:after="0" w:line="240" w:lineRule="auto"/>
    </w:pPr>
    <w:rPr>
      <w:rFonts w:ascii="Times New Roman" w:hAnsi="Times New Roman" w:cs="Times New Roman"/>
    </w:rPr>
  </w:style>
  <w:style w:type="paragraph" w:styleId="1205" w:customStyle="1">
    <w:name w:val="1正文"/>
    <w:basedOn w:val="841"/>
    <w:next w:val="1206"/>
    <w:qFormat/>
    <w:pPr>
      <w:ind w:left="480" w:firstLine="2784"/>
      <w:spacing w:before="0" w:after="0" w:line="300" w:lineRule="auto"/>
    </w:pPr>
    <w:rPr>
      <w:rFonts w:ascii="Times New Roman" w:hAnsi="Times New Roman" w:cs="Times New Roman"/>
    </w:rPr>
  </w:style>
  <w:style w:type="paragraph" w:styleId="1206" w:customStyle="1">
    <w:name w:val="目录2"/>
    <w:basedOn w:val="841"/>
    <w:next w:val="840"/>
    <w:qFormat/>
    <w:pPr>
      <w:ind w:left="209" w:firstLine="5329"/>
      <w:spacing w:before="0" w:after="0" w:line="317" w:lineRule="atLeast"/>
    </w:pPr>
    <w:rPr>
      <w:rFonts w:ascii="Times New Roman" w:hAnsi="Times New Roman" w:cs="Times New Roman"/>
    </w:rPr>
  </w:style>
  <w:style w:type="paragraph" w:styleId="1207" w:customStyle="1">
    <w:name w:val="图表目录1"/>
    <w:basedOn w:val="841"/>
    <w:next w:val="840"/>
    <w:qFormat/>
    <w:pPr>
      <w:ind w:left="200" w:firstLine="2616"/>
      <w:jc w:val="center"/>
      <w:spacing w:before="0" w:after="0" w:line="360" w:lineRule="auto"/>
    </w:pPr>
    <w:rPr>
      <w:rFonts w:ascii="Times New Roman" w:hAnsi="Times New Roman" w:cs="Times New Roman"/>
    </w:rPr>
  </w:style>
  <w:style w:type="paragraph" w:styleId="1208" w:customStyle="1">
    <w:name w:val="xl63"/>
    <w:basedOn w:val="841"/>
    <w:next w:val="1158"/>
    <w:qFormat/>
    <w:pPr>
      <w:ind w:left="0" w:firstLine="5120"/>
      <w:spacing w:before="280" w:after="280" w:line="240" w:lineRule="auto"/>
    </w:pPr>
    <w:rPr>
      <w:rFonts w:ascii="Times New Roman" w:hAnsi="Times New Roman" w:cs="Times New Roman"/>
    </w:rPr>
  </w:style>
  <w:style w:type="paragraph" w:styleId="1209">
    <w:name w:val="List Paragraph"/>
    <w:basedOn w:val="840"/>
    <w:next w:val="1116"/>
    <w:qFormat/>
    <w:pPr>
      <w:ind w:left="420" w:firstLine="3748"/>
    </w:pPr>
    <w:rPr>
      <w:rFonts w:ascii="Times New Roman" w:hAnsi="Times New Roman" w:cs="Times New Roman"/>
    </w:rPr>
  </w:style>
  <w:style w:type="paragraph" w:styleId="1210" w:customStyle="1">
    <w:name w:val="xl73"/>
    <w:basedOn w:val="841"/>
    <w:next w:val="1211"/>
    <w:qFormat/>
    <w:pPr>
      <w:ind w:left="0" w:firstLine="3584"/>
      <w:spacing w:before="280" w:after="280" w:line="240" w:lineRule="auto"/>
    </w:pPr>
    <w:rPr>
      <w:rFonts w:ascii="Times New Roman" w:hAnsi="Times New Roman" w:cs="Times New Roman"/>
    </w:rPr>
  </w:style>
  <w:style w:type="paragraph" w:styleId="1211" w:customStyle="1">
    <w:name w:val="xl80"/>
    <w:basedOn w:val="841"/>
    <w:next w:val="1212"/>
    <w:qFormat/>
    <w:pPr>
      <w:ind w:left="0" w:firstLine="3584"/>
      <w:jc w:val="center"/>
      <w:spacing w:before="280" w:after="280" w:line="240" w:lineRule="auto"/>
    </w:pPr>
    <w:rPr>
      <w:rFonts w:ascii="Times New Roman" w:hAnsi="Times New Roman" w:cs="Times New Roman"/>
    </w:rPr>
  </w:style>
  <w:style w:type="paragraph" w:styleId="1212" w:customStyle="1">
    <w:name w:val="样式2"/>
    <w:basedOn w:val="846"/>
    <w:next w:val="1213"/>
    <w:qFormat/>
    <w:pPr>
      <w:ind w:left="1134" w:firstLine="18"/>
      <w:spacing w:before="0" w:after="0" w:line="360" w:lineRule="auto"/>
      <w:outlineLvl w:val="4"/>
    </w:pPr>
  </w:style>
  <w:style w:type="paragraph" w:styleId="1213" w:customStyle="1">
    <w:name w:val="日期1"/>
    <w:basedOn w:val="841"/>
    <w:next w:val="840"/>
    <w:qFormat/>
    <w:pPr>
      <w:ind w:left="100" w:firstLine="6144"/>
      <w:spacing w:before="0" w:after="0" w:line="240" w:lineRule="auto"/>
    </w:pPr>
    <w:rPr>
      <w:rFonts w:ascii="Times New Roman" w:hAnsi="Times New Roman" w:cs="Times New Roman"/>
    </w:rPr>
  </w:style>
  <w:style w:type="paragraph" w:styleId="1214" w:customStyle="1">
    <w:name w:val="图1"/>
    <w:basedOn w:val="841"/>
    <w:next w:val="840"/>
    <w:qFormat/>
    <w:pPr>
      <w:ind w:left="1105" w:firstLine="2580"/>
      <w:jc w:val="center"/>
      <w:spacing w:before="0" w:after="0" w:line="360" w:lineRule="auto"/>
    </w:pPr>
    <w:rPr>
      <w:rFonts w:ascii="Times New Roman" w:hAnsi="Times New Roman" w:cs="Times New Roman"/>
    </w:rPr>
  </w:style>
  <w:style w:type="paragraph" w:styleId="1215" w:customStyle="1">
    <w:name w:val="Char Char Char Char Char Char1 Char Char Char1 Char Char Char Char Char Char Char Char Char Char Char Char"/>
    <w:basedOn w:val="841"/>
    <w:next w:val="1195"/>
    <w:qFormat/>
    <w:pPr>
      <w:ind w:left="0" w:firstLine="2560"/>
      <w:spacing w:before="0" w:after="0" w:line="240" w:lineRule="auto"/>
    </w:pPr>
    <w:rPr>
      <w:rFonts w:ascii="Times New Roman" w:hAnsi="Times New Roman" w:cs="Times New Roman"/>
    </w:rPr>
  </w:style>
  <w:style w:type="paragraph" w:styleId="1216" w:customStyle="1">
    <w:name w:val="Char Char Char Char Char Char Char"/>
    <w:basedOn w:val="841"/>
    <w:next w:val="1101"/>
    <w:qFormat/>
    <w:pPr>
      <w:ind w:left="200" w:firstLine="4808"/>
      <w:spacing w:before="0" w:after="0" w:line="360" w:lineRule="auto"/>
    </w:pPr>
    <w:rPr>
      <w:rFonts w:ascii="Times New Roman" w:hAnsi="Times New Roman" w:cs="Times New Roman"/>
    </w:rPr>
  </w:style>
  <w:style w:type="paragraph" w:styleId="1217" w:customStyle="1">
    <w:name w:val="Char Char Char Char Char Char Char Char Char Char Char Char Char Char Char"/>
    <w:basedOn w:val="841"/>
    <w:next w:val="1192"/>
    <w:qFormat/>
    <w:pPr>
      <w:ind w:left="0" w:firstLine="3584"/>
      <w:jc w:val="center"/>
      <w:spacing w:before="0" w:after="0" w:line="400" w:lineRule="exact"/>
    </w:pPr>
    <w:rPr>
      <w:rFonts w:ascii="Times New Roman" w:hAnsi="Times New Roman" w:cs="Times New Roman"/>
    </w:rPr>
  </w:style>
  <w:style w:type="paragraph" w:styleId="1218">
    <w:name w:val="Intense Quote"/>
    <w:next w:val="840"/>
    <w:qFormat/>
    <w:pPr>
      <w:ind w:left="3766" w:right="950"/>
      <w:jc w:val="center"/>
      <w:spacing w:before="360" w:after="360"/>
    </w:pPr>
    <w:rPr>
      <w:rFonts w:ascii="Calibri" w:hAnsi="Calibri"/>
      <w:i/>
    </w:rPr>
  </w:style>
  <w:style w:type="paragraph" w:styleId="1219" w:customStyle="1">
    <w:name w:val="索引 51"/>
    <w:basedOn w:val="841"/>
    <w:next w:val="840"/>
    <w:qFormat/>
    <w:pPr>
      <w:ind w:left="800" w:firstLine="2560"/>
      <w:jc w:val="center"/>
      <w:spacing w:before="0" w:after="0" w:line="360" w:lineRule="auto"/>
    </w:pPr>
    <w:rPr>
      <w:rFonts w:ascii="Times New Roman" w:hAnsi="Times New Roman" w:cs="Times New Roman"/>
    </w:rPr>
  </w:style>
  <w:style w:type="paragraph" w:styleId="1220" w:customStyle="1">
    <w:name w:val="图表"/>
    <w:basedOn w:val="841"/>
    <w:next w:val="1221"/>
    <w:qFormat/>
    <w:pPr>
      <w:ind w:left="0" w:firstLine="2048"/>
      <w:jc w:val="center"/>
      <w:spacing w:before="0" w:after="0" w:line="240" w:lineRule="auto"/>
    </w:pPr>
    <w:rPr>
      <w:rFonts w:ascii="Times New Roman" w:hAnsi="Times New Roman" w:cs="Times New Roman"/>
    </w:rPr>
  </w:style>
  <w:style w:type="paragraph" w:styleId="1221" w:customStyle="1">
    <w:name w:val="reader-word-layer"/>
    <w:basedOn w:val="841"/>
    <w:next w:val="1222"/>
    <w:qFormat/>
    <w:pPr>
      <w:ind w:left="0" w:firstLine="1024"/>
      <w:spacing w:before="280" w:after="280" w:line="240" w:lineRule="auto"/>
    </w:pPr>
    <w:rPr>
      <w:rFonts w:ascii="Times New Roman" w:hAnsi="Times New Roman" w:cs="Times New Roman"/>
    </w:rPr>
  </w:style>
  <w:style w:type="paragraph" w:styleId="1222" w:customStyle="1">
    <w:name w:val="样式 加粗 居中1"/>
    <w:next w:val="1061"/>
    <w:qFormat/>
    <w:pPr>
      <w:ind w:firstLine="2560"/>
      <w:jc w:val="center"/>
    </w:pPr>
    <w:rPr>
      <w:rFonts w:ascii="Calibri" w:hAnsi="Calibri"/>
    </w:rPr>
  </w:style>
  <w:style w:type="paragraph" w:styleId="1223" w:customStyle="1">
    <w:name w:val="修订2"/>
    <w:qFormat/>
    <w:rPr>
      <w:rFonts w:ascii="Calibri" w:hAnsi="Calibri"/>
    </w:rPr>
  </w:style>
  <w:style w:type="paragraph" w:styleId="1224" w:customStyle="1">
    <w:name w:val="Body"/>
    <w:next w:val="1156"/>
    <w:qFormat/>
    <w:pPr>
      <w:ind w:left="567" w:right="2835" w:firstLine="3584"/>
      <w:spacing w:after="60"/>
    </w:pPr>
    <w:rPr>
      <w:rFonts w:ascii="Calibri" w:hAnsi="Calibri"/>
    </w:rPr>
  </w:style>
  <w:style w:type="paragraph" w:styleId="1225" w:customStyle="1">
    <w:name w:val="font6"/>
    <w:basedOn w:val="841"/>
    <w:next w:val="1226"/>
    <w:qFormat/>
    <w:pPr>
      <w:ind w:left="0" w:firstLine="5120"/>
      <w:spacing w:before="280" w:after="280" w:line="240" w:lineRule="auto"/>
    </w:pPr>
    <w:rPr>
      <w:rFonts w:ascii="Times New Roman" w:hAnsi="Times New Roman" w:cs="Times New Roman"/>
    </w:rPr>
  </w:style>
  <w:style w:type="paragraph" w:styleId="1226" w:customStyle="1">
    <w:name w:val="正文首行缩进 21"/>
    <w:basedOn w:val="853"/>
    <w:next w:val="1224"/>
    <w:qFormat/>
    <w:pPr>
      <w:ind w:left="200" w:firstLine="3784"/>
      <w:jc w:val="center"/>
      <w:spacing w:after="120" w:line="360" w:lineRule="auto"/>
    </w:pPr>
    <w:rPr>
      <w:rFonts w:ascii="Calibri" w:hAnsi="Calibri"/>
    </w:rPr>
  </w:style>
  <w:style w:type="paragraph" w:styleId="1227" w:customStyle="1">
    <w:name w:val="Char Char"/>
    <w:next w:val="1220"/>
    <w:qFormat/>
    <w:pPr>
      <w:ind w:firstLine="14"/>
      <w:spacing w:line="360" w:lineRule="auto"/>
      <w:shd w:val="clear" w:color="000000" w:fill="000080"/>
    </w:pPr>
    <w:rPr>
      <w:rFonts w:ascii="Calibri" w:hAnsi="Calibri"/>
    </w:rPr>
  </w:style>
  <w:style w:type="paragraph" w:styleId="1228" w:customStyle="1">
    <w:name w:val="正文_0_0"/>
    <w:next w:val="1060"/>
    <w:qFormat/>
    <w:pPr>
      <w:ind w:firstLine="3584"/>
      <w:jc w:val="both"/>
      <w:widowControl w:val="off"/>
    </w:pPr>
    <w:rPr>
      <w:rFonts w:ascii="Calibri" w:hAnsi="Calibri"/>
    </w:rPr>
  </w:style>
  <w:style w:type="paragraph" w:styleId="1229" w:customStyle="1">
    <w:name w:val="font7"/>
    <w:basedOn w:val="841"/>
    <w:next w:val="1230"/>
    <w:qFormat/>
    <w:pPr>
      <w:ind w:left="0" w:firstLine="3584"/>
      <w:spacing w:before="280" w:after="280" w:line="240" w:lineRule="auto"/>
    </w:pPr>
    <w:rPr>
      <w:rFonts w:ascii="Times New Roman" w:hAnsi="Times New Roman" w:cs="Times New Roman"/>
    </w:rPr>
  </w:style>
  <w:style w:type="paragraph" w:styleId="1230" w:customStyle="1">
    <w:name w:val="Char Char Char Char Char Char1 Char Char Char Char Char Char1 Char Char Char1"/>
    <w:basedOn w:val="841"/>
    <w:next w:val="1231"/>
    <w:qFormat/>
    <w:pPr>
      <w:ind w:left="0" w:firstLine="2560"/>
      <w:spacing w:before="0" w:after="0" w:line="240" w:lineRule="auto"/>
    </w:pPr>
    <w:rPr>
      <w:rFonts w:ascii="Times New Roman" w:hAnsi="Times New Roman" w:cs="Times New Roman"/>
    </w:rPr>
  </w:style>
  <w:style w:type="paragraph" w:styleId="1231" w:customStyle="1">
    <w:name w:val="xl64"/>
    <w:basedOn w:val="841"/>
    <w:next w:val="1198"/>
    <w:qFormat/>
    <w:pPr>
      <w:ind w:left="0" w:firstLine="3584"/>
      <w:spacing w:before="280" w:after="280" w:line="240" w:lineRule="auto"/>
    </w:pPr>
    <w:rPr>
      <w:rFonts w:ascii="Times New Roman" w:hAnsi="Times New Roman" w:cs="Times New Roman"/>
    </w:rPr>
  </w:style>
  <w:style w:type="paragraph" w:styleId="1232" w:customStyle="1">
    <w:name w:val="style16"/>
    <w:basedOn w:val="841"/>
    <w:next w:val="1225"/>
    <w:qFormat/>
    <w:pPr>
      <w:ind w:left="0" w:firstLine="2048"/>
      <w:spacing w:before="280" w:after="280" w:line="240" w:lineRule="auto"/>
    </w:pPr>
    <w:rPr>
      <w:rFonts w:ascii="Times New Roman" w:hAnsi="Times New Roman" w:cs="Times New Roman"/>
    </w:rPr>
  </w:style>
  <w:style w:type="paragraph" w:styleId="1233" w:customStyle="1">
    <w:name w:val="索引 11"/>
    <w:basedOn w:val="841"/>
    <w:next w:val="840"/>
    <w:qFormat/>
    <w:pPr>
      <w:ind w:left="0" w:firstLine="3584"/>
      <w:spacing w:before="0" w:after="0" w:line="240" w:lineRule="auto"/>
    </w:pPr>
    <w:rPr>
      <w:rFonts w:ascii="Times New Roman" w:hAnsi="Times New Roman" w:cs="Times New Roman"/>
    </w:rPr>
  </w:style>
  <w:style w:type="paragraph" w:styleId="1234" w:customStyle="1">
    <w:name w:val="H 3"/>
    <w:basedOn w:val="844"/>
    <w:next w:val="1235"/>
    <w:qFormat/>
    <w:pPr>
      <w:ind w:left="1429" w:firstLine="18"/>
      <w:spacing w:before="0" w:after="0" w:line="360" w:lineRule="auto"/>
      <w:outlineLvl w:val="2"/>
    </w:pPr>
  </w:style>
  <w:style w:type="paragraph" w:styleId="1235" w:customStyle="1">
    <w:name w:val="xl83"/>
    <w:basedOn w:val="841"/>
    <w:next w:val="1216"/>
    <w:qFormat/>
    <w:pPr>
      <w:ind w:left="0" w:firstLine="5120"/>
      <w:spacing w:before="280" w:after="280" w:line="240" w:lineRule="auto"/>
    </w:pPr>
    <w:rPr>
      <w:rFonts w:ascii="Times New Roman" w:hAnsi="Times New Roman" w:cs="Times New Roman"/>
    </w:rPr>
  </w:style>
  <w:style w:type="paragraph" w:styleId="1236" w:customStyle="1">
    <w:name w:val="表格文字（居中）"/>
    <w:basedOn w:val="841"/>
    <w:next w:val="1232"/>
    <w:qFormat/>
    <w:pPr>
      <w:ind w:left="0" w:firstLine="2560"/>
      <w:jc w:val="center"/>
      <w:spacing w:before="0" w:after="0" w:line="360" w:lineRule="auto"/>
    </w:pPr>
    <w:rPr>
      <w:rFonts w:ascii="Times New Roman" w:hAnsi="Times New Roman" w:cs="Times New Roman"/>
    </w:rPr>
  </w:style>
  <w:style w:type="paragraph" w:styleId="1237" w:customStyle="1">
    <w:name w:val="正文首行缩进两字符"/>
    <w:basedOn w:val="841"/>
    <w:next w:val="1219"/>
    <w:qFormat/>
    <w:pPr>
      <w:ind w:left="200" w:firstLine="3784"/>
      <w:spacing w:before="0" w:after="0" w:line="360" w:lineRule="auto"/>
    </w:pPr>
    <w:rPr>
      <w:rFonts w:ascii="Times New Roman" w:hAnsi="Times New Roman" w:cs="Times New Roman"/>
    </w:rPr>
  </w:style>
  <w:style w:type="paragraph" w:styleId="1238" w:customStyle="1">
    <w:name w:val="1"/>
    <w:basedOn w:val="841"/>
    <w:next w:val="874"/>
    <w:qFormat/>
    <w:pPr>
      <w:ind w:left="0" w:firstLine="2048"/>
      <w:spacing w:before="0" w:after="0" w:line="240" w:lineRule="auto"/>
    </w:pPr>
    <w:rPr>
      <w:rFonts w:ascii="Times New Roman" w:hAnsi="Times New Roman" w:cs="Times New Roman"/>
    </w:rPr>
  </w:style>
  <w:style w:type="paragraph" w:styleId="1239" w:customStyle="1">
    <w:name w:val="_Style 398"/>
    <w:basedOn w:val="841"/>
    <w:next w:val="84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0" w:customStyle="1">
    <w:name w:val="Table Paragraph"/>
    <w:basedOn w:val="840"/>
    <w:uiPriority w:val="1"/>
    <w:qFormat/>
    <w:rPr>
      <w:rFonts w:ascii="宋体" w:hAnsi="宋体"/>
      <w:lang w:val="zh-CN" w:bidi="zh-CN"/>
    </w:rPr>
  </w:style>
  <w:style w:type="paragraph" w:styleId="1241" w:customStyle="1">
    <w:name w:val="_Style 400"/>
    <w:qFormat/>
    <w:rPr>
      <w:rFonts w:ascii="Calibri" w:hAnsi="Calibri"/>
    </w:rPr>
  </w:style>
  <w:style w:type="paragraph" w:styleId="1242" w:customStyle="1">
    <w:name w:val="Style1"/>
    <w:basedOn w:val="840"/>
    <w:qFormat/>
    <w:pPr>
      <w:ind w:left="0"/>
      <w:tabs>
        <w:tab w:val="left" w:pos="-720" w:leader="none"/>
      </w:tabs>
    </w:pPr>
    <w:rPr>
      <w:rFonts w:ascii="Times New Roman" w:hAnsi="Times New Roman" w:cs="Times New Roman"/>
      <w:spacing w:val="-3"/>
      <w:sz w:val="24"/>
      <w:szCs w:val="24"/>
      <w:lang w:val="en-AU" w:eastAsia="en-US"/>
    </w:rPr>
  </w:style>
  <w:style w:type="paragraph" w:styleId="1243" w:customStyle="1">
    <w:name w:val="msolistparagraph"/>
    <w:basedOn w:val="841"/>
    <w:next w:val="1108"/>
    <w:qFormat/>
    <w:pPr>
      <w:ind w:left="420" w:firstLine="3748"/>
      <w:spacing w:before="0" w:after="0" w:line="240" w:lineRule="auto"/>
    </w:pPr>
    <w:rPr>
      <w:rFonts w:ascii="Times New Roman" w:hAnsi="Times New Roman" w:cs="Times New Roman"/>
    </w:rPr>
  </w:style>
  <w:style w:type="paragraph" w:styleId="1244" w:customStyle="1">
    <w:name w:val="Char1 Char Char Char"/>
    <w:basedOn w:val="841"/>
    <w:next w:val="1245"/>
    <w:qFormat/>
    <w:pPr>
      <w:ind w:left="0" w:firstLine="2560"/>
      <w:spacing w:before="0" w:after="0" w:line="240" w:lineRule="auto"/>
    </w:pPr>
    <w:rPr>
      <w:rFonts w:ascii="Times New Roman" w:hAnsi="Times New Roman" w:cs="Times New Roman"/>
    </w:rPr>
  </w:style>
  <w:style w:type="paragraph" w:styleId="1245" w:customStyle="1">
    <w:name w:val="xl24"/>
    <w:basedOn w:val="841"/>
    <w:next w:val="1190"/>
    <w:qFormat/>
    <w:pPr>
      <w:ind w:left="0" w:firstLine="20"/>
      <w:jc w:val="center"/>
      <w:spacing w:before="280" w:after="280" w:line="240" w:lineRule="auto"/>
      <w:shd w:val="clear" w:color="000000" w:fill="ffffff"/>
    </w:pPr>
    <w:rPr>
      <w:rFonts w:ascii="Times New Roman" w:hAnsi="Times New Roman" w:cs="Times New Roman"/>
    </w:rPr>
  </w:style>
  <w:style w:type="paragraph" w:styleId="1246" w:customStyle="1">
    <w:name w:val="表格文字"/>
    <w:next w:val="1204"/>
    <w:qFormat/>
    <w:pPr>
      <w:ind w:firstLine="3584"/>
    </w:pPr>
    <w:rPr>
      <w:rFonts w:ascii="Calibri" w:hAnsi="Calibri"/>
    </w:rPr>
  </w:style>
  <w:style w:type="paragraph" w:styleId="1247" w:customStyle="1">
    <w:name w:val="xl72"/>
    <w:basedOn w:val="841"/>
    <w:next w:val="1103"/>
    <w:qFormat/>
    <w:pPr>
      <w:ind w:left="0" w:firstLine="3584"/>
      <w:spacing w:before="280" w:after="280" w:line="240" w:lineRule="auto"/>
    </w:pPr>
    <w:rPr>
      <w:rFonts w:ascii="Times New Roman" w:hAnsi="Times New Roman" w:cs="Times New Roman"/>
    </w:rPr>
  </w:style>
  <w:style w:type="paragraph" w:styleId="1248" w:customStyle="1">
    <w:name w:val="插图"/>
    <w:next w:val="840"/>
    <w:qFormat/>
    <w:pPr>
      <w:ind w:firstLine="4608"/>
      <w:jc w:val="center"/>
    </w:pPr>
    <w:rPr>
      <w:rFonts w:ascii="Calibri" w:hAnsi="Calibri"/>
    </w:rPr>
  </w:style>
  <w:style w:type="paragraph" w:styleId="1249" w:customStyle="1">
    <w:name w:val="列出段落3"/>
    <w:basedOn w:val="841"/>
    <w:next w:val="1143"/>
    <w:qFormat/>
    <w:pPr>
      <w:ind w:left="420" w:firstLine="3748"/>
      <w:spacing w:before="0" w:after="0" w:line="240" w:lineRule="auto"/>
    </w:pPr>
    <w:rPr>
      <w:rFonts w:ascii="Times New Roman" w:hAnsi="Times New Roman" w:cs="Times New Roman"/>
    </w:rPr>
  </w:style>
  <w:style w:type="paragraph" w:styleId="1250" w:customStyle="1">
    <w:name w:val="目录标题"/>
    <w:basedOn w:val="841"/>
    <w:next w:val="840"/>
    <w:qFormat/>
    <w:pPr>
      <w:ind w:left="419" w:firstLine="7331"/>
      <w:jc w:val="center"/>
      <w:spacing w:before="566" w:after="544" w:line="566" w:lineRule="atLeast"/>
    </w:pPr>
    <w:rPr>
      <w:rFonts w:ascii="Times New Roman" w:hAnsi="Times New Roman" w:cs="Times New Roman"/>
    </w:rPr>
  </w:style>
  <w:style w:type="paragraph" w:styleId="1251" w:customStyle="1">
    <w:name w:val="默认段落字体 Para Char Char Char Char Char Char Char Char Char1 Char Char Char Char"/>
    <w:basedOn w:val="841"/>
    <w:next w:val="1146"/>
    <w:qFormat/>
    <w:pPr>
      <w:ind w:left="0" w:firstLine="2560"/>
      <w:spacing w:before="0" w:after="0" w:line="240" w:lineRule="auto"/>
    </w:pPr>
    <w:rPr>
      <w:rFonts w:ascii="Times New Roman" w:hAnsi="Times New Roman" w:cs="Times New Roman"/>
    </w:rPr>
  </w:style>
  <w:style w:type="paragraph" w:styleId="1252" w:customStyle="1">
    <w:name w:val="WPSOffice手动目录 2"/>
    <w:qFormat/>
    <w:pPr>
      <w:ind w:left="200"/>
    </w:pPr>
  </w:style>
  <w:style w:type="paragraph" w:styleId="1253" w:customStyle="1">
    <w:name w:val="表内文字"/>
    <w:basedOn w:val="841"/>
    <w:next w:val="882"/>
    <w:qFormat/>
    <w:pPr>
      <w:ind w:left="0" w:firstLine="7680"/>
      <w:jc w:val="center"/>
      <w:spacing w:before="50" w:after="50" w:line="240" w:lineRule="auto"/>
    </w:pPr>
    <w:rPr>
      <w:rFonts w:ascii="Times New Roman" w:hAnsi="Times New Roman" w:cs="Times New Roman"/>
    </w:rPr>
  </w:style>
  <w:style w:type="paragraph" w:styleId="1254" w:customStyle="1">
    <w:name w:val="xl66"/>
    <w:basedOn w:val="841"/>
    <w:next w:val="1236"/>
    <w:qFormat/>
    <w:pPr>
      <w:ind w:left="0" w:firstLine="3584"/>
      <w:spacing w:before="280" w:after="280" w:line="240" w:lineRule="auto"/>
    </w:pPr>
    <w:rPr>
      <w:rFonts w:ascii="Times New Roman" w:hAnsi="Times New Roman" w:cs="Times New Roman"/>
    </w:rPr>
  </w:style>
  <w:style w:type="paragraph" w:styleId="1255" w:customStyle="1">
    <w:name w:val="*正文"/>
    <w:basedOn w:val="840"/>
    <w:qFormat/>
    <w:pPr>
      <w:ind w:left="0" w:firstLine="200"/>
      <w:spacing w:line="360" w:lineRule="auto"/>
    </w:pPr>
    <w:rPr>
      <w:rFonts w:ascii="仿宋_GB2312" w:hAnsi="Times New Roman" w:eastAsia="仿宋_GB2312" w:cs="Times New Roman"/>
      <w:sz w:val="24"/>
      <w:szCs w:val="28"/>
    </w:rPr>
  </w:style>
  <w:style w:type="paragraph" w:styleId="1256" w:customStyle="1">
    <w:name w:val="0"/>
    <w:basedOn w:val="841"/>
    <w:next w:val="1149"/>
    <w:qFormat/>
    <w:pPr>
      <w:ind w:left="0" w:firstLine="2815"/>
      <w:spacing w:before="0" w:after="0" w:line="360" w:lineRule="auto"/>
    </w:pPr>
    <w:rPr>
      <w:rFonts w:ascii="Times New Roman" w:hAnsi="Times New Roman" w:cs="Times New Roman"/>
    </w:rPr>
  </w:style>
  <w:style w:type="table" w:styleId="1257" w:customStyle="1">
    <w:name w:val="网格型1"/>
    <w:basedOn w:val="851"/>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8" w:customStyle="1">
    <w:name w:val="font61"/>
    <w:qFormat/>
    <w:rPr>
      <w:rFonts w:hint="default" w:ascii="Times New Roman" w:hAnsi="Times New Roman" w:cs="Times New Roman"/>
      <w:b/>
      <w:bCs/>
      <w:color w:val="000000"/>
      <w:sz w:val="24"/>
      <w:szCs w:val="24"/>
      <w:u w:val="none"/>
    </w:rPr>
  </w:style>
  <w:style w:type="character" w:styleId="1259" w:customStyle="1">
    <w:name w:val="正文文本首行缩进 2 字符"/>
    <w:basedOn w:val="850"/>
    <w:link w:val="900"/>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676A8B-D457-44B9-8BAA-53391605B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宋工</cp:lastModifiedBy>
  <cp:revision>191</cp:revision>
  <dcterms:created xsi:type="dcterms:W3CDTF">2023-12-20T13:18:00Z</dcterms:created>
  <dcterms:modified xsi:type="dcterms:W3CDTF">2026-04-23T05:52:53Z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0092E862DD6C406AB1DC1B231FF161FF</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