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B4459">
      <w:pPr>
        <w:pStyle w:val="13"/>
        <w:pageBreakBefore w:val="0"/>
        <w:widowControl w:val="0"/>
        <w:tabs>
          <w:tab w:val="left" w:pos="0"/>
        </w:tabs>
        <w:kinsoku/>
        <w:wordWrap/>
        <w:overflowPunct/>
        <w:topLinePunct w:val="0"/>
        <w:autoSpaceDE w:val="0"/>
        <w:autoSpaceDN w:val="0"/>
        <w:bidi w:val="0"/>
        <w:adjustRightInd w:val="0"/>
        <w:spacing w:before="0" w:after="0" w:line="360" w:lineRule="auto"/>
        <w:jc w:val="center"/>
        <w:textAlignment w:val="auto"/>
        <w:rPr>
          <w:rFonts w:hint="eastAsia" w:hAnsi="宋体" w:eastAsia="宋体" w:cs="宋体"/>
          <w:b/>
          <w:bCs/>
          <w:sz w:val="30"/>
          <w:szCs w:val="30"/>
          <w:lang w:val="en-US" w:eastAsia="zh-CN"/>
        </w:rPr>
      </w:pPr>
      <w:r>
        <w:rPr>
          <w:rFonts w:hint="eastAsia" w:ascii="宋体" w:hAnsi="宋体" w:eastAsia="宋体" w:cs="宋体"/>
          <w:b/>
          <w:bCs/>
          <w:sz w:val="30"/>
          <w:szCs w:val="30"/>
          <w:lang w:eastAsia="zh-CN"/>
        </w:rPr>
        <w:t>徐州市公安局交通管理支队机动车号牌制作及安装服务</w:t>
      </w:r>
      <w:r>
        <w:rPr>
          <w:rFonts w:hint="eastAsia" w:hAnsi="宋体" w:eastAsia="宋体" w:cs="宋体"/>
          <w:b/>
          <w:bCs/>
          <w:sz w:val="30"/>
          <w:szCs w:val="30"/>
          <w:lang w:val="en-US" w:eastAsia="zh-CN"/>
        </w:rPr>
        <w:t>项目</w:t>
      </w:r>
    </w:p>
    <w:p w14:paraId="0F1EFDD1">
      <w:pPr>
        <w:pStyle w:val="13"/>
        <w:pageBreakBefore w:val="0"/>
        <w:widowControl w:val="0"/>
        <w:tabs>
          <w:tab w:val="left" w:pos="0"/>
        </w:tabs>
        <w:kinsoku/>
        <w:wordWrap/>
        <w:overflowPunct/>
        <w:topLinePunct w:val="0"/>
        <w:autoSpaceDE w:val="0"/>
        <w:autoSpaceDN w:val="0"/>
        <w:bidi w:val="0"/>
        <w:adjustRightInd w:val="0"/>
        <w:spacing w:before="0" w:after="0" w:line="360" w:lineRule="auto"/>
        <w:jc w:val="center"/>
        <w:textAlignment w:val="auto"/>
        <w:rPr>
          <w:rFonts w:hint="default" w:ascii="宋体" w:hAnsi="宋体" w:eastAsia="宋体" w:cs="宋体"/>
          <w:b/>
          <w:bCs/>
          <w:sz w:val="30"/>
          <w:szCs w:val="30"/>
          <w:lang w:val="en-US" w:eastAsia="zh-CN"/>
        </w:rPr>
      </w:pPr>
      <w:r>
        <w:rPr>
          <w:rFonts w:hint="eastAsia" w:ascii="宋体" w:hAnsi="宋体" w:eastAsia="宋体" w:cs="宋体"/>
          <w:b/>
          <w:bCs/>
          <w:sz w:val="30"/>
          <w:szCs w:val="30"/>
          <w:lang w:eastAsia="zh-CN"/>
        </w:rPr>
        <w:t>更正（澄清）</w:t>
      </w:r>
      <w:r>
        <w:rPr>
          <w:rFonts w:hint="eastAsia" w:hAnsi="宋体" w:eastAsia="宋体" w:cs="宋体"/>
          <w:b/>
          <w:bCs/>
          <w:sz w:val="30"/>
          <w:szCs w:val="30"/>
          <w:lang w:val="en-US" w:eastAsia="zh-CN"/>
        </w:rPr>
        <w:t>内容</w:t>
      </w:r>
      <w:r>
        <w:rPr>
          <w:rFonts w:hint="eastAsia" w:hAnsi="宋体" w:eastAsia="宋体" w:cs="宋体"/>
          <w:b/>
          <w:bCs/>
          <w:sz w:val="30"/>
          <w:szCs w:val="30"/>
          <w:lang w:eastAsia="zh-CN"/>
        </w:rPr>
        <w:t>（</w:t>
      </w:r>
      <w:r>
        <w:rPr>
          <w:rFonts w:hint="eastAsia" w:hAnsi="宋体" w:eastAsia="宋体" w:cs="宋体"/>
          <w:b/>
          <w:bCs/>
          <w:sz w:val="30"/>
          <w:szCs w:val="30"/>
          <w:lang w:val="en-US" w:eastAsia="zh-CN"/>
        </w:rPr>
        <w:t>三</w:t>
      </w:r>
      <w:bookmarkStart w:id="4" w:name="_GoBack"/>
      <w:bookmarkEnd w:id="4"/>
      <w:r>
        <w:rPr>
          <w:rFonts w:hint="eastAsia" w:hAnsi="宋体" w:eastAsia="宋体" w:cs="宋体"/>
          <w:b/>
          <w:bCs/>
          <w:sz w:val="30"/>
          <w:szCs w:val="30"/>
          <w:lang w:eastAsia="zh-CN"/>
        </w:rPr>
        <w:t>）</w:t>
      </w:r>
    </w:p>
    <w:p w14:paraId="17EC29FE">
      <w:pPr>
        <w:pStyle w:val="1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outlineLvl w:val="1"/>
        <w:rPr>
          <w:rFonts w:hint="eastAsia" w:ascii="宋体" w:hAnsi="宋体" w:eastAsia="宋体" w:cs="宋体"/>
          <w:b/>
          <w:bCs w:val="0"/>
          <w:sz w:val="28"/>
          <w:szCs w:val="28"/>
        </w:rPr>
      </w:pPr>
      <w:r>
        <w:rPr>
          <w:rFonts w:hint="eastAsia" w:ascii="宋体" w:hAnsi="宋体" w:eastAsia="宋体" w:cs="宋体"/>
          <w:b/>
          <w:bCs w:val="0"/>
          <w:sz w:val="28"/>
          <w:szCs w:val="28"/>
        </w:rPr>
        <w:t>一、以下为澄清或者修改的内容</w:t>
      </w:r>
    </w:p>
    <w:p w14:paraId="01E615C9">
      <w:pPr>
        <w:pageBreakBefore w:val="0"/>
        <w:widowControl w:val="0"/>
        <w:kinsoku/>
        <w:wordWrap/>
        <w:overflowPunct/>
        <w:topLinePunct w:val="0"/>
        <w:autoSpaceDE/>
        <w:autoSpaceDN/>
        <w:bidi w:val="0"/>
        <w:adjustRightInd/>
        <w:snapToGrid/>
        <w:spacing w:line="360" w:lineRule="auto"/>
        <w:textAlignment w:val="auto"/>
        <w:rPr>
          <w:rFonts w:hint="eastAsia" w:hAnsi="宋体" w:eastAsia="宋体" w:cs="宋体"/>
          <w:b/>
          <w:bCs/>
          <w:color w:val="FF0000"/>
          <w:sz w:val="28"/>
          <w:szCs w:val="28"/>
          <w:lang w:val="en-US" w:eastAsia="zh-CN"/>
        </w:rPr>
      </w:pPr>
      <w:r>
        <w:rPr>
          <w:rFonts w:hint="eastAsia" w:hAnsi="宋体" w:eastAsia="宋体" w:cs="宋体"/>
          <w:b/>
          <w:bCs/>
          <w:color w:val="FF0000"/>
          <w:sz w:val="28"/>
          <w:szCs w:val="28"/>
          <w:lang w:val="en-US" w:eastAsia="zh-CN"/>
        </w:rPr>
        <w:t>1、本项目提交投标文件截止时间、开标时间修改为“2026年5月6日9：30（北京时间）”。</w:t>
      </w:r>
    </w:p>
    <w:p w14:paraId="41CA32EF">
      <w:pPr>
        <w:pageBreakBefore w:val="0"/>
        <w:widowControl w:val="0"/>
        <w:kinsoku/>
        <w:wordWrap/>
        <w:overflowPunct/>
        <w:topLinePunct w:val="0"/>
        <w:autoSpaceDE/>
        <w:autoSpaceDN/>
        <w:bidi w:val="0"/>
        <w:adjustRightInd/>
        <w:snapToGrid/>
        <w:spacing w:line="360" w:lineRule="auto"/>
        <w:textAlignment w:val="auto"/>
        <w:rPr>
          <w:rFonts w:hint="default" w:hAnsi="宋体" w:eastAsia="宋体" w:cs="宋体"/>
          <w:b/>
          <w:bCs/>
          <w:color w:val="FF0000"/>
          <w:sz w:val="28"/>
          <w:szCs w:val="28"/>
          <w:lang w:val="en-US" w:eastAsia="zh-CN"/>
        </w:rPr>
      </w:pPr>
      <w:r>
        <w:rPr>
          <w:rFonts w:hint="eastAsia" w:hAnsi="宋体" w:cs="宋体"/>
          <w:b/>
          <w:bCs/>
          <w:color w:val="FF0000"/>
          <w:sz w:val="28"/>
          <w:szCs w:val="28"/>
          <w:lang w:val="en-US" w:eastAsia="zh-CN"/>
        </w:rPr>
        <w:t>2、</w:t>
      </w:r>
      <w:r>
        <w:rPr>
          <w:rFonts w:hint="eastAsia" w:hAnsi="宋体" w:eastAsia="宋体" w:cs="宋体"/>
          <w:b/>
          <w:bCs/>
          <w:color w:val="FF0000"/>
          <w:sz w:val="28"/>
          <w:szCs w:val="28"/>
          <w:lang w:val="en-US" w:eastAsia="zh-CN"/>
        </w:rPr>
        <w:t>原招标文件“第四章 评标标准”更正（澄清）为</w:t>
      </w:r>
    </w:p>
    <w:tbl>
      <w:tblPr>
        <w:tblStyle w:val="22"/>
        <w:tblpPr w:leftFromText="180" w:rightFromText="180" w:vertAnchor="text" w:horzAnchor="page" w:tblpX="599" w:tblpY="556"/>
        <w:tblOverlap w:val="never"/>
        <w:tblW w:w="10885" w:type="dxa"/>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793"/>
        <w:gridCol w:w="1128"/>
        <w:gridCol w:w="1222"/>
        <w:gridCol w:w="6706"/>
        <w:gridCol w:w="1036"/>
      </w:tblGrid>
      <w:tr w14:paraId="759E8A5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84" w:hRule="atLeast"/>
        </w:trPr>
        <w:tc>
          <w:tcPr>
            <w:tcW w:w="1921" w:type="dxa"/>
            <w:gridSpan w:val="2"/>
            <w:tcBorders>
              <w:top w:val="single" w:color="auto" w:sz="4" w:space="0"/>
              <w:left w:val="single" w:color="auto" w:sz="4" w:space="0"/>
            </w:tcBorders>
            <w:noWrap w:val="0"/>
            <w:vAlign w:val="center"/>
          </w:tcPr>
          <w:p w14:paraId="3937497C">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7928" w:type="dxa"/>
            <w:gridSpan w:val="2"/>
            <w:tcBorders>
              <w:top w:val="single" w:color="auto" w:sz="4" w:space="0"/>
              <w:right w:val="single" w:color="000000" w:sz="4" w:space="0"/>
            </w:tcBorders>
            <w:noWrap w:val="0"/>
            <w:vAlign w:val="center"/>
          </w:tcPr>
          <w:p w14:paraId="091D821C">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评审因素细化和量化</w:t>
            </w:r>
          </w:p>
        </w:tc>
        <w:tc>
          <w:tcPr>
            <w:tcW w:w="1036" w:type="dxa"/>
            <w:tcBorders>
              <w:top w:val="single" w:color="auto" w:sz="4" w:space="0"/>
              <w:left w:val="single" w:color="000000" w:sz="4" w:space="0"/>
              <w:right w:val="single" w:color="auto" w:sz="4" w:space="0"/>
            </w:tcBorders>
            <w:noWrap w:val="0"/>
            <w:vAlign w:val="center"/>
          </w:tcPr>
          <w:p w14:paraId="4D33F8BB">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是否客观分</w:t>
            </w:r>
          </w:p>
        </w:tc>
      </w:tr>
      <w:tr w14:paraId="58B7BAA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220" w:hRule="atLeast"/>
        </w:trPr>
        <w:tc>
          <w:tcPr>
            <w:tcW w:w="793" w:type="dxa"/>
            <w:tcBorders>
              <w:left w:val="single" w:color="auto" w:sz="4" w:space="0"/>
            </w:tcBorders>
            <w:noWrap w:val="0"/>
            <w:vAlign w:val="center"/>
          </w:tcPr>
          <w:p w14:paraId="02FE21F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价格部分（</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分）</w:t>
            </w:r>
          </w:p>
        </w:tc>
        <w:tc>
          <w:tcPr>
            <w:tcW w:w="1128" w:type="dxa"/>
            <w:noWrap w:val="0"/>
            <w:vAlign w:val="center"/>
          </w:tcPr>
          <w:p w14:paraId="0FBA8BF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价格</w:t>
            </w:r>
          </w:p>
          <w:p w14:paraId="15A6906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分）</w:t>
            </w:r>
          </w:p>
        </w:tc>
        <w:tc>
          <w:tcPr>
            <w:tcW w:w="7928" w:type="dxa"/>
            <w:gridSpan w:val="2"/>
            <w:tcBorders>
              <w:right w:val="single" w:color="000000" w:sz="4" w:space="0"/>
            </w:tcBorders>
            <w:noWrap w:val="0"/>
            <w:vAlign w:val="center"/>
          </w:tcPr>
          <w:p w14:paraId="4C31CA0C">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各投标人价格得分=最低报价（投标人的最低评审价格）÷各投标人评审价格×</w:t>
            </w:r>
            <w:r>
              <w:rPr>
                <w:rFonts w:hint="eastAsia" w:ascii="宋体" w:hAnsi="宋体" w:eastAsia="宋体" w:cs="宋体"/>
                <w:color w:val="auto"/>
                <w:sz w:val="24"/>
                <w:szCs w:val="24"/>
                <w:lang w:val="en-US" w:eastAsia="zh-CN"/>
              </w:rPr>
              <w:t>20</w:t>
            </w:r>
          </w:p>
          <w:p w14:paraId="17714AC8">
            <w:pPr>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5FC86395">
            <w:pPr>
              <w:rPr>
                <w:rFonts w:hint="eastAsia" w:ascii="宋体" w:hAnsi="宋体" w:eastAsia="宋体" w:cs="宋体"/>
                <w:color w:val="auto"/>
                <w:sz w:val="24"/>
                <w:szCs w:val="24"/>
              </w:rPr>
            </w:pPr>
            <w:r>
              <w:rPr>
                <w:rFonts w:hint="eastAsia" w:ascii="宋体" w:hAnsi="宋体" w:eastAsia="宋体" w:cs="宋体"/>
                <w:color w:val="auto"/>
                <w:sz w:val="24"/>
                <w:szCs w:val="24"/>
              </w:rPr>
              <w:t>政府采购活动中既有本国产品又有非本国产品参与竞争的，依法对本国产品给予价格评审优惠，对本国产品的报价给予20%的价格扣除，用扣除后的价格参与评审。</w:t>
            </w:r>
          </w:p>
          <w:p w14:paraId="2C6A5616">
            <w:pPr>
              <w:rPr>
                <w:rFonts w:hint="eastAsia" w:ascii="宋体" w:hAnsi="宋体" w:eastAsia="宋体" w:cs="宋体"/>
                <w:color w:val="auto"/>
                <w:sz w:val="24"/>
                <w:szCs w:val="24"/>
              </w:rPr>
            </w:pPr>
            <w:r>
              <w:rPr>
                <w:rFonts w:hint="eastAsia" w:ascii="宋体" w:hAnsi="宋体" w:eastAsia="宋体" w:cs="宋体"/>
                <w:color w:val="auto"/>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6A2A990">
            <w:pPr>
              <w:rPr>
                <w:rFonts w:hint="eastAsia" w:ascii="宋体" w:hAnsi="宋体" w:eastAsia="宋体" w:cs="宋体"/>
                <w:color w:val="auto"/>
                <w:sz w:val="24"/>
                <w:szCs w:val="24"/>
              </w:rPr>
            </w:pPr>
            <w:r>
              <w:rPr>
                <w:rFonts w:hint="eastAsia" w:ascii="宋体" w:hAnsi="宋体" w:eastAsia="宋体" w:cs="宋体"/>
                <w:color w:val="auto"/>
                <w:sz w:val="24"/>
                <w:szCs w:val="24"/>
              </w:rPr>
              <w:t>该投标人的评审价格=《开标一览表》中的“总价”*（100%-20%）</w:t>
            </w:r>
          </w:p>
          <w:p w14:paraId="56465D1E">
            <w:pPr>
              <w:rPr>
                <w:rFonts w:hint="eastAsia" w:ascii="宋体" w:hAnsi="宋体" w:eastAsia="宋体" w:cs="宋体"/>
                <w:color w:val="auto"/>
                <w:sz w:val="24"/>
                <w:szCs w:val="24"/>
              </w:rPr>
            </w:pPr>
            <w:r>
              <w:rPr>
                <w:rFonts w:hint="eastAsia" w:ascii="宋体" w:hAnsi="宋体" w:eastAsia="宋体" w:cs="宋体"/>
                <w:color w:val="auto"/>
                <w:sz w:val="24"/>
                <w:szCs w:val="24"/>
              </w:rPr>
              <w:t>享受价格评审优惠不改变最终中标价格，政府采购合同仍按照中标供应商的报价签订。</w:t>
            </w:r>
          </w:p>
          <w:p w14:paraId="27164611">
            <w:pPr>
              <w:rPr>
                <w:rFonts w:hint="eastAsia" w:ascii="宋体" w:hAnsi="宋体" w:eastAsia="宋体" w:cs="宋体"/>
                <w:strike/>
                <w:color w:val="auto"/>
                <w:sz w:val="24"/>
                <w:szCs w:val="24"/>
              </w:rPr>
            </w:pPr>
            <w:r>
              <w:rPr>
                <w:rFonts w:hint="eastAsia" w:ascii="宋体" w:hAnsi="宋体" w:eastAsia="宋体" w:cs="宋体"/>
                <w:color w:val="auto"/>
                <w:sz w:val="24"/>
                <w:szCs w:val="24"/>
              </w:rPr>
              <w:t>评分结果精确到小数点后两位。</w:t>
            </w:r>
          </w:p>
        </w:tc>
        <w:tc>
          <w:tcPr>
            <w:tcW w:w="1036" w:type="dxa"/>
            <w:tcBorders>
              <w:left w:val="single" w:color="000000" w:sz="4" w:space="0"/>
              <w:right w:val="single" w:color="auto" w:sz="4" w:space="0"/>
            </w:tcBorders>
            <w:noWrap w:val="0"/>
            <w:vAlign w:val="center"/>
          </w:tcPr>
          <w:p w14:paraId="50EC25C4">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是</w:t>
            </w:r>
          </w:p>
        </w:tc>
      </w:tr>
      <w:tr w14:paraId="1116695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325" w:hRule="atLeast"/>
        </w:trPr>
        <w:tc>
          <w:tcPr>
            <w:tcW w:w="793" w:type="dxa"/>
            <w:vMerge w:val="restart"/>
            <w:tcBorders>
              <w:left w:val="single" w:color="auto" w:sz="4" w:space="0"/>
            </w:tcBorders>
            <w:noWrap w:val="0"/>
            <w:vAlign w:val="center"/>
          </w:tcPr>
          <w:p w14:paraId="1D0BF043">
            <w:pPr>
              <w:jc w:val="center"/>
              <w:rPr>
                <w:rFonts w:hint="eastAsia" w:ascii="宋体" w:hAnsi="宋体" w:eastAsia="宋体" w:cs="宋体"/>
                <w:color w:val="auto"/>
                <w:sz w:val="24"/>
                <w:szCs w:val="24"/>
              </w:rPr>
            </w:pPr>
            <w:r>
              <w:rPr>
                <w:rFonts w:hint="eastAsia" w:ascii="宋体" w:hAnsi="宋体" w:eastAsia="宋体" w:cs="宋体"/>
                <w:color w:val="FF0000"/>
                <w:sz w:val="24"/>
                <w:szCs w:val="24"/>
              </w:rPr>
              <w:t>技术部分（</w:t>
            </w:r>
            <w:r>
              <w:rPr>
                <w:rFonts w:hint="eastAsia" w:ascii="宋体" w:hAnsi="宋体" w:eastAsia="宋体" w:cs="宋体"/>
                <w:color w:val="FF0000"/>
                <w:sz w:val="24"/>
                <w:szCs w:val="24"/>
                <w:lang w:val="en-US" w:eastAsia="zh-CN"/>
              </w:rPr>
              <w:t>71</w:t>
            </w:r>
            <w:r>
              <w:rPr>
                <w:rFonts w:hint="eastAsia" w:ascii="宋体" w:hAnsi="宋体" w:eastAsia="宋体" w:cs="宋体"/>
                <w:color w:val="FF0000"/>
                <w:sz w:val="24"/>
                <w:szCs w:val="24"/>
              </w:rPr>
              <w:t>分）</w:t>
            </w:r>
          </w:p>
        </w:tc>
        <w:tc>
          <w:tcPr>
            <w:tcW w:w="1128" w:type="dxa"/>
            <w:noWrap w:val="0"/>
            <w:vAlign w:val="center"/>
          </w:tcPr>
          <w:p w14:paraId="620ABFC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机动车号牌外观响应（7分）</w:t>
            </w:r>
          </w:p>
        </w:tc>
        <w:tc>
          <w:tcPr>
            <w:tcW w:w="7928" w:type="dxa"/>
            <w:gridSpan w:val="2"/>
            <w:tcBorders>
              <w:right w:val="single" w:color="000000" w:sz="4" w:space="0"/>
            </w:tcBorders>
            <w:noWrap w:val="0"/>
            <w:vAlign w:val="center"/>
          </w:tcPr>
          <w:p w14:paraId="5B07E82B">
            <w:pPr>
              <w:jc w:val="left"/>
              <w:rPr>
                <w:rFonts w:hint="eastAsia" w:ascii="宋体" w:hAnsi="宋体" w:eastAsia="宋体" w:cs="宋体"/>
                <w:color w:val="auto"/>
                <w:sz w:val="24"/>
                <w:szCs w:val="24"/>
              </w:rPr>
            </w:pPr>
            <w:r>
              <w:rPr>
                <w:rFonts w:hint="eastAsia" w:ascii="宋体" w:hAnsi="宋体" w:eastAsia="宋体" w:cs="宋体"/>
                <w:color w:val="auto"/>
                <w:sz w:val="24"/>
                <w:szCs w:val="24"/>
              </w:rPr>
              <w:t>依据投标人对机动车号牌外观响应内容（投标文件中须提供相关承诺或说明，格式自拟（共7项）），完全符合招标文件第六章《采购需求》“六、机动车号牌外观要求”的，得基本分7分；每有一项不满足或负偏离的，从基本分中减1分；扣完为止。本项最高得7分，最低不得分。</w:t>
            </w:r>
          </w:p>
        </w:tc>
        <w:tc>
          <w:tcPr>
            <w:tcW w:w="1036" w:type="dxa"/>
            <w:tcBorders>
              <w:left w:val="single" w:color="000000" w:sz="4" w:space="0"/>
              <w:right w:val="single" w:color="auto" w:sz="4" w:space="0"/>
            </w:tcBorders>
            <w:noWrap w:val="0"/>
            <w:vAlign w:val="center"/>
          </w:tcPr>
          <w:p w14:paraId="7261DF5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w:t>
            </w:r>
          </w:p>
        </w:tc>
      </w:tr>
      <w:tr w14:paraId="3DA9A5F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2906" w:hRule="atLeast"/>
        </w:trPr>
        <w:tc>
          <w:tcPr>
            <w:tcW w:w="793" w:type="dxa"/>
            <w:vMerge w:val="continue"/>
            <w:tcBorders>
              <w:left w:val="single" w:color="auto" w:sz="4" w:space="0"/>
            </w:tcBorders>
            <w:noWrap w:val="0"/>
            <w:vAlign w:val="center"/>
          </w:tcPr>
          <w:p w14:paraId="7A7E8EFC">
            <w:pPr>
              <w:jc w:val="center"/>
              <w:rPr>
                <w:rFonts w:hint="eastAsia" w:ascii="宋体" w:hAnsi="宋体" w:eastAsia="宋体" w:cs="宋体"/>
                <w:color w:val="auto"/>
                <w:sz w:val="24"/>
                <w:szCs w:val="24"/>
              </w:rPr>
            </w:pPr>
          </w:p>
        </w:tc>
        <w:tc>
          <w:tcPr>
            <w:tcW w:w="1128" w:type="dxa"/>
            <w:vMerge w:val="restart"/>
            <w:noWrap w:val="0"/>
            <w:vAlign w:val="center"/>
          </w:tcPr>
          <w:p w14:paraId="3DC3314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机动车号牌制作服务方案</w:t>
            </w:r>
            <w:r>
              <w:rPr>
                <w:rFonts w:hint="eastAsia" w:ascii="宋体" w:hAnsi="宋体" w:eastAsia="宋体" w:cs="宋体"/>
                <w:color w:val="FF0000"/>
                <w:sz w:val="24"/>
                <w:szCs w:val="24"/>
              </w:rPr>
              <w:t>（</w:t>
            </w:r>
            <w:r>
              <w:rPr>
                <w:rFonts w:hint="eastAsia" w:ascii="宋体" w:hAnsi="宋体" w:eastAsia="宋体" w:cs="宋体"/>
                <w:color w:val="FF0000"/>
                <w:sz w:val="24"/>
                <w:szCs w:val="24"/>
                <w:lang w:val="en-US" w:eastAsia="zh-CN"/>
              </w:rPr>
              <w:t>38</w:t>
            </w:r>
            <w:r>
              <w:rPr>
                <w:rFonts w:hint="eastAsia" w:ascii="宋体" w:hAnsi="宋体" w:eastAsia="宋体" w:cs="宋体"/>
                <w:color w:val="FF0000"/>
                <w:sz w:val="24"/>
                <w:szCs w:val="24"/>
              </w:rPr>
              <w:t>分）</w:t>
            </w:r>
          </w:p>
        </w:tc>
        <w:tc>
          <w:tcPr>
            <w:tcW w:w="1222" w:type="dxa"/>
            <w:noWrap w:val="0"/>
            <w:vAlign w:val="center"/>
          </w:tcPr>
          <w:p w14:paraId="02C4315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场地（机动车号牌制作点）设立方案（9分）</w:t>
            </w:r>
          </w:p>
        </w:tc>
        <w:tc>
          <w:tcPr>
            <w:tcW w:w="6706" w:type="dxa"/>
            <w:tcBorders>
              <w:right w:val="single" w:color="000000" w:sz="4" w:space="0"/>
            </w:tcBorders>
            <w:noWrap w:val="0"/>
            <w:vAlign w:val="center"/>
          </w:tcPr>
          <w:p w14:paraId="49112AC3">
            <w:pPr>
              <w:ind w:right="-107"/>
              <w:rPr>
                <w:rFonts w:hint="eastAsia" w:ascii="宋体" w:hAnsi="宋体" w:eastAsia="宋体" w:cs="宋体"/>
                <w:color w:val="auto"/>
                <w:sz w:val="24"/>
                <w:szCs w:val="24"/>
              </w:rPr>
            </w:pPr>
            <w:r>
              <w:rPr>
                <w:rFonts w:hint="eastAsia" w:ascii="宋体" w:hAnsi="宋体" w:eastAsia="宋体" w:cs="宋体"/>
                <w:color w:val="auto"/>
                <w:sz w:val="24"/>
                <w:szCs w:val="24"/>
              </w:rPr>
              <w:t>方案要求对第六章《采购需求》中“</w:t>
            </w:r>
            <w:r>
              <w:rPr>
                <w:rFonts w:hint="eastAsia" w:ascii="宋体" w:hAnsi="宋体" w:eastAsia="宋体" w:cs="宋体"/>
                <w:bCs/>
                <w:color w:val="FF0000"/>
                <w:sz w:val="24"/>
                <w:szCs w:val="24"/>
                <w:lang w:val="en-US" w:eastAsia="zh-CN"/>
              </w:rPr>
              <w:t>七</w:t>
            </w:r>
            <w:r>
              <w:rPr>
                <w:rFonts w:hint="eastAsia" w:ascii="宋体" w:hAnsi="宋体" w:eastAsia="宋体" w:cs="宋体"/>
                <w:bCs/>
                <w:color w:val="FF0000"/>
                <w:sz w:val="24"/>
                <w:szCs w:val="24"/>
              </w:rPr>
              <w:t>、其他机动车号牌制作及安装服务要求</w:t>
            </w:r>
            <w:r>
              <w:rPr>
                <w:rFonts w:hint="eastAsia" w:ascii="宋体" w:hAnsi="宋体" w:eastAsia="宋体" w:cs="宋体"/>
                <w:color w:val="auto"/>
                <w:sz w:val="24"/>
                <w:szCs w:val="24"/>
              </w:rPr>
              <w:t>”中“1、场地（机动车号牌制作点）要求”（共3项）进行完善，且表述具体方案措施。</w:t>
            </w:r>
          </w:p>
          <w:p w14:paraId="759B6507">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t>上述内容齐全，符合实际切实可行且无缺陷（缺陷是指：部分内容与项目无关、逻辑错误、科学原理错误、表述错误、不符合本项目涉及的相关规范或标准要求的任意一种情形）得9分，</w:t>
            </w:r>
            <w:bookmarkStart w:id="0" w:name="OLE_LINK203"/>
            <w:r>
              <w:rPr>
                <w:rFonts w:hint="eastAsia" w:ascii="宋体" w:hAnsi="宋体" w:eastAsia="宋体" w:cs="宋体"/>
                <w:color w:val="auto"/>
                <w:sz w:val="24"/>
                <w:szCs w:val="24"/>
              </w:rPr>
              <w:t>每缺少一项内容扣3分，扣完为止；</w:t>
            </w:r>
            <w:bookmarkStart w:id="1" w:name="OLE_LINK17"/>
            <w:r>
              <w:rPr>
                <w:rFonts w:hint="eastAsia" w:ascii="宋体" w:hAnsi="宋体" w:eastAsia="宋体" w:cs="宋体"/>
                <w:color w:val="auto"/>
                <w:sz w:val="24"/>
                <w:szCs w:val="24"/>
              </w:rPr>
              <w:t>单项内容每存在一处缺陷扣1.5分，单项内容分（3分）扣完为止。</w:t>
            </w:r>
            <w:bookmarkEnd w:id="0"/>
            <w:bookmarkEnd w:id="1"/>
          </w:p>
          <w:p w14:paraId="525F285D">
            <w:pPr>
              <w:ind w:right="-107"/>
              <w:rPr>
                <w:rFonts w:hint="eastAsia" w:ascii="宋体" w:hAnsi="宋体" w:eastAsia="宋体" w:cs="宋体"/>
                <w:color w:val="auto"/>
                <w:sz w:val="24"/>
                <w:szCs w:val="24"/>
              </w:rPr>
            </w:pPr>
            <w:r>
              <w:rPr>
                <w:rFonts w:hint="eastAsia" w:ascii="宋体" w:hAnsi="宋体" w:eastAsia="宋体" w:cs="宋体"/>
                <w:color w:val="auto"/>
                <w:sz w:val="24"/>
                <w:szCs w:val="24"/>
              </w:rPr>
              <w:t>未提供的不得分，本项最高得9分，最低不得分。</w:t>
            </w:r>
          </w:p>
        </w:tc>
        <w:tc>
          <w:tcPr>
            <w:tcW w:w="1036" w:type="dxa"/>
            <w:tcBorders>
              <w:left w:val="single" w:color="000000" w:sz="4" w:space="0"/>
              <w:right w:val="single" w:color="auto" w:sz="4" w:space="0"/>
            </w:tcBorders>
            <w:noWrap w:val="0"/>
            <w:vAlign w:val="center"/>
          </w:tcPr>
          <w:p w14:paraId="1A3D85D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r w14:paraId="7561EE3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695" w:hRule="atLeast"/>
        </w:trPr>
        <w:tc>
          <w:tcPr>
            <w:tcW w:w="793" w:type="dxa"/>
            <w:vMerge w:val="continue"/>
            <w:tcBorders>
              <w:left w:val="single" w:color="auto" w:sz="4" w:space="0"/>
            </w:tcBorders>
            <w:noWrap w:val="0"/>
          </w:tcPr>
          <w:p w14:paraId="74BB65FF">
            <w:pPr>
              <w:rPr>
                <w:rFonts w:hint="eastAsia" w:ascii="宋体" w:hAnsi="宋体" w:eastAsia="宋体" w:cs="宋体"/>
                <w:color w:val="auto"/>
                <w:sz w:val="24"/>
                <w:szCs w:val="24"/>
              </w:rPr>
            </w:pPr>
            <w:bookmarkStart w:id="2" w:name="_Hlk212468409"/>
          </w:p>
        </w:tc>
        <w:tc>
          <w:tcPr>
            <w:tcW w:w="1128" w:type="dxa"/>
            <w:vMerge w:val="continue"/>
            <w:noWrap w:val="0"/>
            <w:vAlign w:val="center"/>
          </w:tcPr>
          <w:p w14:paraId="77D13F49">
            <w:pPr>
              <w:jc w:val="center"/>
              <w:rPr>
                <w:rFonts w:hint="eastAsia" w:ascii="宋体" w:hAnsi="宋体" w:eastAsia="宋体" w:cs="宋体"/>
                <w:color w:val="auto"/>
                <w:sz w:val="24"/>
                <w:szCs w:val="24"/>
              </w:rPr>
            </w:pPr>
          </w:p>
        </w:tc>
        <w:tc>
          <w:tcPr>
            <w:tcW w:w="1222" w:type="dxa"/>
            <w:shd w:val="clear" w:color="auto" w:fill="auto"/>
            <w:noWrap w:val="0"/>
            <w:vAlign w:val="center"/>
          </w:tcPr>
          <w:p w14:paraId="6879E5F4">
            <w:pPr>
              <w:jc w:val="center"/>
              <w:rPr>
                <w:rFonts w:hint="eastAsia" w:ascii="宋体" w:hAnsi="宋体" w:eastAsia="宋体" w:cs="宋体"/>
                <w:color w:val="auto"/>
                <w:sz w:val="24"/>
                <w:szCs w:val="24"/>
              </w:rPr>
            </w:pPr>
            <w:r>
              <w:rPr>
                <w:rFonts w:hint="eastAsia" w:ascii="宋体" w:hAnsi="宋体" w:eastAsia="宋体" w:cs="宋体"/>
                <w:color w:val="FF0000"/>
                <w:sz w:val="24"/>
                <w:szCs w:val="24"/>
              </w:rPr>
              <w:t>人员配备（</w:t>
            </w:r>
            <w:r>
              <w:rPr>
                <w:rFonts w:hint="eastAsia" w:ascii="宋体" w:hAnsi="宋体" w:eastAsia="宋体" w:cs="宋体"/>
                <w:color w:val="FF0000"/>
                <w:sz w:val="24"/>
                <w:szCs w:val="24"/>
                <w:lang w:val="en-US" w:eastAsia="zh-CN"/>
              </w:rPr>
              <w:t>6</w:t>
            </w:r>
            <w:r>
              <w:rPr>
                <w:rFonts w:hint="eastAsia" w:ascii="宋体" w:hAnsi="宋体" w:eastAsia="宋体" w:cs="宋体"/>
                <w:color w:val="FF0000"/>
                <w:sz w:val="24"/>
                <w:szCs w:val="24"/>
              </w:rPr>
              <w:t>分）</w:t>
            </w:r>
          </w:p>
        </w:tc>
        <w:tc>
          <w:tcPr>
            <w:tcW w:w="6706" w:type="dxa"/>
            <w:tcBorders>
              <w:right w:val="single" w:color="000000" w:sz="4" w:space="0"/>
            </w:tcBorders>
            <w:shd w:val="clear" w:color="auto" w:fill="auto"/>
            <w:noWrap w:val="0"/>
            <w:vAlign w:val="center"/>
          </w:tcPr>
          <w:p w14:paraId="2AB9AE81">
            <w:pPr>
              <w:ind w:right="-107"/>
              <w:rPr>
                <w:rFonts w:hint="eastAsia" w:ascii="宋体" w:hAnsi="宋体" w:eastAsia="宋体" w:cs="宋体"/>
                <w:color w:val="auto"/>
                <w:sz w:val="24"/>
                <w:szCs w:val="24"/>
              </w:rPr>
            </w:pPr>
            <w:r>
              <w:rPr>
                <w:rFonts w:hint="eastAsia" w:ascii="宋体" w:hAnsi="宋体" w:eastAsia="宋体" w:cs="宋体"/>
                <w:color w:val="auto"/>
                <w:sz w:val="24"/>
                <w:szCs w:val="24"/>
              </w:rPr>
              <w:t>方案要求对第六章《采购需求》中“</w:t>
            </w:r>
            <w:r>
              <w:rPr>
                <w:rFonts w:hint="eastAsia" w:ascii="宋体" w:hAnsi="宋体" w:eastAsia="宋体" w:cs="宋体"/>
                <w:bCs/>
                <w:color w:val="auto"/>
                <w:sz w:val="24"/>
                <w:szCs w:val="24"/>
              </w:rPr>
              <w:t>四、</w:t>
            </w:r>
            <w:r>
              <w:rPr>
                <w:rFonts w:hint="eastAsia" w:ascii="宋体" w:hAnsi="宋体" w:eastAsia="宋体" w:cs="宋体"/>
                <w:color w:val="auto"/>
                <w:sz w:val="24"/>
                <w:szCs w:val="24"/>
              </w:rPr>
              <w:t>人员要求”（共2项）进行完善，且表述具体方案措施。</w:t>
            </w:r>
          </w:p>
          <w:p w14:paraId="05192F08">
            <w:pPr>
              <w:widowControl/>
              <w:jc w:val="left"/>
              <w:rPr>
                <w:rFonts w:hint="eastAsia" w:ascii="宋体" w:hAnsi="宋体" w:eastAsia="宋体" w:cs="宋体"/>
                <w:color w:val="FF0000"/>
                <w:sz w:val="24"/>
                <w:szCs w:val="24"/>
              </w:rPr>
            </w:pPr>
            <w:r>
              <w:rPr>
                <w:rFonts w:hint="eastAsia" w:ascii="宋体" w:hAnsi="宋体" w:eastAsia="宋体" w:cs="宋体"/>
                <w:color w:val="auto"/>
                <w:sz w:val="24"/>
                <w:szCs w:val="24"/>
              </w:rPr>
              <w:t>上述内容齐全，符合实际切实可行且无缺陷（缺陷是指：部分内容与项目无关、逻辑错误、科学原理错误、表述错误、不符合本项目涉及的相关规范或标准要求的任意一种情形）</w:t>
            </w:r>
            <w:r>
              <w:rPr>
                <w:rFonts w:hint="eastAsia" w:ascii="宋体" w:hAnsi="宋体" w:eastAsia="宋体" w:cs="宋体"/>
                <w:color w:val="FF0000"/>
                <w:sz w:val="24"/>
                <w:szCs w:val="24"/>
              </w:rPr>
              <w:t>得</w:t>
            </w:r>
            <w:r>
              <w:rPr>
                <w:rFonts w:hint="eastAsia" w:ascii="宋体" w:hAnsi="宋体" w:eastAsia="宋体" w:cs="宋体"/>
                <w:color w:val="FF0000"/>
                <w:sz w:val="24"/>
                <w:szCs w:val="24"/>
                <w:lang w:val="en-US" w:eastAsia="zh-CN"/>
              </w:rPr>
              <w:t>6</w:t>
            </w:r>
            <w:r>
              <w:rPr>
                <w:rFonts w:hint="eastAsia" w:ascii="宋体" w:hAnsi="宋体" w:eastAsia="宋体" w:cs="宋体"/>
                <w:color w:val="FF0000"/>
                <w:sz w:val="24"/>
                <w:szCs w:val="24"/>
              </w:rPr>
              <w:t>分，每缺少一项内容扣</w:t>
            </w:r>
            <w:r>
              <w:rPr>
                <w:rFonts w:hint="eastAsia" w:ascii="宋体" w:hAnsi="宋体" w:eastAsia="宋体" w:cs="宋体"/>
                <w:color w:val="FF0000"/>
                <w:sz w:val="24"/>
                <w:szCs w:val="24"/>
                <w:lang w:val="en-US" w:eastAsia="zh-CN"/>
              </w:rPr>
              <w:t>3</w:t>
            </w:r>
            <w:r>
              <w:rPr>
                <w:rFonts w:hint="eastAsia" w:ascii="宋体" w:hAnsi="宋体" w:eastAsia="宋体" w:cs="宋体"/>
                <w:color w:val="FF0000"/>
                <w:sz w:val="24"/>
                <w:szCs w:val="24"/>
              </w:rPr>
              <w:t>分，扣完为止；单项内容每存在一处缺陷扣1.</w:t>
            </w:r>
            <w:r>
              <w:rPr>
                <w:rFonts w:hint="eastAsia" w:ascii="宋体" w:hAnsi="宋体" w:eastAsia="宋体" w:cs="宋体"/>
                <w:color w:val="FF0000"/>
                <w:sz w:val="24"/>
                <w:szCs w:val="24"/>
                <w:lang w:val="en-US" w:eastAsia="zh-CN"/>
              </w:rPr>
              <w:t>5</w:t>
            </w:r>
            <w:r>
              <w:rPr>
                <w:rFonts w:hint="eastAsia" w:ascii="宋体" w:hAnsi="宋体" w:eastAsia="宋体" w:cs="宋体"/>
                <w:color w:val="FF0000"/>
                <w:sz w:val="24"/>
                <w:szCs w:val="24"/>
              </w:rPr>
              <w:t>分，单项内容分（</w:t>
            </w:r>
            <w:r>
              <w:rPr>
                <w:rFonts w:hint="eastAsia" w:ascii="宋体" w:hAnsi="宋体" w:eastAsia="宋体" w:cs="宋体"/>
                <w:color w:val="FF0000"/>
                <w:sz w:val="24"/>
                <w:szCs w:val="24"/>
                <w:lang w:val="en-US" w:eastAsia="zh-CN"/>
              </w:rPr>
              <w:t>3</w:t>
            </w:r>
            <w:r>
              <w:rPr>
                <w:rFonts w:hint="eastAsia" w:ascii="宋体" w:hAnsi="宋体" w:eastAsia="宋体" w:cs="宋体"/>
                <w:color w:val="FF0000"/>
                <w:sz w:val="24"/>
                <w:szCs w:val="24"/>
              </w:rPr>
              <w:t>分）扣完为止。</w:t>
            </w:r>
          </w:p>
          <w:p w14:paraId="6F291A8F">
            <w:pPr>
              <w:ind w:right="-107"/>
              <w:rPr>
                <w:rFonts w:hint="eastAsia" w:ascii="宋体" w:hAnsi="宋体" w:eastAsia="宋体" w:cs="宋体"/>
                <w:color w:val="auto"/>
                <w:sz w:val="24"/>
                <w:szCs w:val="24"/>
              </w:rPr>
            </w:pPr>
            <w:r>
              <w:rPr>
                <w:rFonts w:hint="eastAsia" w:ascii="宋体" w:hAnsi="宋体" w:eastAsia="宋体" w:cs="宋体"/>
                <w:color w:val="FF0000"/>
                <w:sz w:val="24"/>
                <w:szCs w:val="24"/>
              </w:rPr>
              <w:t>未提供的不得分，本项最高得</w:t>
            </w:r>
            <w:r>
              <w:rPr>
                <w:rFonts w:hint="eastAsia" w:ascii="宋体" w:hAnsi="宋体" w:eastAsia="宋体" w:cs="宋体"/>
                <w:color w:val="FF0000"/>
                <w:sz w:val="24"/>
                <w:szCs w:val="24"/>
                <w:lang w:val="en-US" w:eastAsia="zh-CN"/>
              </w:rPr>
              <w:t>6</w:t>
            </w:r>
            <w:r>
              <w:rPr>
                <w:rFonts w:hint="eastAsia" w:ascii="宋体" w:hAnsi="宋体" w:eastAsia="宋体" w:cs="宋体"/>
                <w:color w:val="FF0000"/>
                <w:sz w:val="24"/>
                <w:szCs w:val="24"/>
              </w:rPr>
              <w:t>分，最低不得分。</w:t>
            </w:r>
          </w:p>
        </w:tc>
        <w:tc>
          <w:tcPr>
            <w:tcW w:w="1036" w:type="dxa"/>
            <w:tcBorders>
              <w:left w:val="single" w:color="000000" w:sz="4" w:space="0"/>
              <w:right w:val="single" w:color="auto" w:sz="4" w:space="0"/>
            </w:tcBorders>
            <w:noWrap w:val="0"/>
            <w:vAlign w:val="center"/>
          </w:tcPr>
          <w:p w14:paraId="1BAE4E64">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r w14:paraId="0D728D9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2514" w:hRule="atLeast"/>
        </w:trPr>
        <w:tc>
          <w:tcPr>
            <w:tcW w:w="793" w:type="dxa"/>
            <w:vMerge w:val="continue"/>
            <w:tcBorders>
              <w:left w:val="single" w:color="auto" w:sz="4" w:space="0"/>
            </w:tcBorders>
            <w:noWrap w:val="0"/>
          </w:tcPr>
          <w:p w14:paraId="3EDA0214">
            <w:pPr>
              <w:rPr>
                <w:rFonts w:hint="eastAsia" w:ascii="宋体" w:hAnsi="宋体" w:eastAsia="宋体" w:cs="宋体"/>
                <w:color w:val="auto"/>
                <w:sz w:val="24"/>
                <w:szCs w:val="24"/>
              </w:rPr>
            </w:pPr>
          </w:p>
        </w:tc>
        <w:tc>
          <w:tcPr>
            <w:tcW w:w="1128" w:type="dxa"/>
            <w:vMerge w:val="continue"/>
            <w:noWrap w:val="0"/>
            <w:vAlign w:val="center"/>
          </w:tcPr>
          <w:p w14:paraId="2B487603">
            <w:pPr>
              <w:jc w:val="center"/>
              <w:rPr>
                <w:rFonts w:hint="eastAsia" w:ascii="宋体" w:hAnsi="宋体" w:eastAsia="宋体" w:cs="宋体"/>
                <w:color w:val="auto"/>
                <w:sz w:val="24"/>
                <w:szCs w:val="24"/>
              </w:rPr>
            </w:pPr>
          </w:p>
        </w:tc>
        <w:tc>
          <w:tcPr>
            <w:tcW w:w="1222" w:type="dxa"/>
            <w:noWrap w:val="0"/>
            <w:vAlign w:val="center"/>
          </w:tcPr>
          <w:p w14:paraId="5613C62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设备配备（9分）</w:t>
            </w:r>
          </w:p>
        </w:tc>
        <w:tc>
          <w:tcPr>
            <w:tcW w:w="6706" w:type="dxa"/>
            <w:tcBorders>
              <w:right w:val="single" w:color="000000" w:sz="4" w:space="0"/>
            </w:tcBorders>
            <w:noWrap w:val="0"/>
            <w:vAlign w:val="center"/>
          </w:tcPr>
          <w:p w14:paraId="07EF047F">
            <w:pPr>
              <w:ind w:right="-107"/>
              <w:rPr>
                <w:rFonts w:hint="eastAsia" w:ascii="宋体" w:hAnsi="宋体" w:eastAsia="宋体" w:cs="宋体"/>
                <w:color w:val="auto"/>
                <w:sz w:val="24"/>
                <w:szCs w:val="24"/>
              </w:rPr>
            </w:pPr>
            <w:r>
              <w:rPr>
                <w:rFonts w:hint="eastAsia" w:ascii="宋体" w:hAnsi="宋体" w:eastAsia="宋体" w:cs="宋体"/>
                <w:color w:val="auto"/>
                <w:sz w:val="24"/>
                <w:szCs w:val="24"/>
              </w:rPr>
              <w:t>方案要求对第六章《采购需求》中“五、制作设备要求”（共3项）进行完善，且表述具体方案措施。</w:t>
            </w:r>
          </w:p>
          <w:p w14:paraId="7532F74C">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t>上述内容齐全，符合实际切实可行且无缺陷（缺陷是指：部分内容与项目无关、逻辑错误、科学原理错误、表述错误、不符合本项目涉及的相关规范或标准要求的任意一种情形）得9分，每缺少一项内容扣3分，扣完为止；单项内容每存在一处缺陷扣1.5分，单项内容分（3分）扣完为止。</w:t>
            </w:r>
          </w:p>
          <w:p w14:paraId="56A732ED">
            <w:pPr>
              <w:ind w:right="-107"/>
              <w:rPr>
                <w:rFonts w:hint="eastAsia" w:ascii="宋体" w:hAnsi="宋体" w:eastAsia="宋体" w:cs="宋体"/>
                <w:color w:val="auto"/>
                <w:sz w:val="24"/>
                <w:szCs w:val="24"/>
              </w:rPr>
            </w:pPr>
            <w:r>
              <w:rPr>
                <w:rFonts w:hint="eastAsia" w:ascii="宋体" w:hAnsi="宋体" w:eastAsia="宋体" w:cs="宋体"/>
                <w:color w:val="auto"/>
                <w:sz w:val="24"/>
                <w:szCs w:val="24"/>
              </w:rPr>
              <w:t>未提供的不得分，本项最高得9分，最低不得分。</w:t>
            </w:r>
            <w:bookmarkEnd w:id="2"/>
          </w:p>
        </w:tc>
        <w:tc>
          <w:tcPr>
            <w:tcW w:w="1036" w:type="dxa"/>
            <w:tcBorders>
              <w:left w:val="single" w:color="000000" w:sz="4" w:space="0"/>
              <w:right w:val="single" w:color="auto" w:sz="4" w:space="0"/>
            </w:tcBorders>
            <w:noWrap w:val="0"/>
            <w:vAlign w:val="center"/>
          </w:tcPr>
          <w:p w14:paraId="4247AFE1">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r w14:paraId="248CB1C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3217" w:hRule="atLeast"/>
        </w:trPr>
        <w:tc>
          <w:tcPr>
            <w:tcW w:w="793" w:type="dxa"/>
            <w:vMerge w:val="continue"/>
            <w:tcBorders>
              <w:left w:val="single" w:color="auto" w:sz="4" w:space="0"/>
            </w:tcBorders>
            <w:noWrap w:val="0"/>
          </w:tcPr>
          <w:p w14:paraId="5FD76C15">
            <w:pPr>
              <w:rPr>
                <w:rFonts w:hint="eastAsia" w:ascii="宋体" w:hAnsi="宋体" w:eastAsia="宋体" w:cs="宋体"/>
                <w:color w:val="auto"/>
                <w:sz w:val="24"/>
                <w:szCs w:val="24"/>
              </w:rPr>
            </w:pPr>
          </w:p>
        </w:tc>
        <w:tc>
          <w:tcPr>
            <w:tcW w:w="1128" w:type="dxa"/>
            <w:vMerge w:val="continue"/>
            <w:noWrap w:val="0"/>
            <w:vAlign w:val="center"/>
          </w:tcPr>
          <w:p w14:paraId="3A90F9C3">
            <w:pPr>
              <w:jc w:val="center"/>
              <w:rPr>
                <w:rFonts w:hint="eastAsia" w:ascii="宋体" w:hAnsi="宋体" w:eastAsia="宋体" w:cs="宋体"/>
                <w:color w:val="auto"/>
                <w:sz w:val="24"/>
                <w:szCs w:val="24"/>
              </w:rPr>
            </w:pPr>
          </w:p>
        </w:tc>
        <w:tc>
          <w:tcPr>
            <w:tcW w:w="1222" w:type="dxa"/>
            <w:noWrap w:val="0"/>
            <w:vAlign w:val="center"/>
          </w:tcPr>
          <w:p w14:paraId="4F1C4EF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管理制度建设及其他服务措施</w:t>
            </w:r>
            <w:r>
              <w:rPr>
                <w:rFonts w:hint="eastAsia" w:ascii="宋体" w:hAnsi="宋体" w:eastAsia="宋体" w:cs="宋体"/>
                <w:color w:val="FF0000"/>
                <w:sz w:val="24"/>
                <w:szCs w:val="24"/>
              </w:rPr>
              <w:t>（1</w:t>
            </w:r>
            <w:r>
              <w:rPr>
                <w:rFonts w:hint="eastAsia" w:ascii="宋体" w:hAnsi="宋体" w:eastAsia="宋体" w:cs="宋体"/>
                <w:color w:val="FF0000"/>
                <w:sz w:val="24"/>
                <w:szCs w:val="24"/>
                <w:lang w:val="en-US" w:eastAsia="zh-CN"/>
              </w:rPr>
              <w:t>4</w:t>
            </w:r>
            <w:r>
              <w:rPr>
                <w:rFonts w:hint="eastAsia" w:ascii="宋体" w:hAnsi="宋体" w:eastAsia="宋体" w:cs="宋体"/>
                <w:color w:val="FF0000"/>
                <w:sz w:val="24"/>
                <w:szCs w:val="24"/>
              </w:rPr>
              <w:t>分）</w:t>
            </w:r>
          </w:p>
        </w:tc>
        <w:tc>
          <w:tcPr>
            <w:tcW w:w="6706" w:type="dxa"/>
            <w:tcBorders>
              <w:right w:val="single" w:color="000000" w:sz="4" w:space="0"/>
            </w:tcBorders>
            <w:noWrap w:val="0"/>
            <w:vAlign w:val="center"/>
          </w:tcPr>
          <w:p w14:paraId="48D2FF80">
            <w:pPr>
              <w:jc w:val="left"/>
              <w:rPr>
                <w:rFonts w:hint="eastAsia" w:ascii="宋体" w:hAnsi="宋体" w:eastAsia="宋体" w:cs="宋体"/>
                <w:color w:val="auto"/>
                <w:sz w:val="24"/>
                <w:szCs w:val="24"/>
              </w:rPr>
            </w:pPr>
            <w:r>
              <w:rPr>
                <w:rFonts w:hint="eastAsia" w:ascii="宋体" w:hAnsi="宋体" w:eastAsia="宋体" w:cs="宋体"/>
                <w:color w:val="auto"/>
                <w:sz w:val="24"/>
                <w:szCs w:val="24"/>
              </w:rPr>
              <w:t>方案要求对第六章《采购需求》中“</w:t>
            </w:r>
            <w:r>
              <w:rPr>
                <w:rFonts w:hint="eastAsia" w:ascii="宋体" w:hAnsi="宋体" w:eastAsia="宋体" w:cs="宋体"/>
                <w:bCs/>
                <w:color w:val="FF0000"/>
                <w:sz w:val="24"/>
                <w:szCs w:val="24"/>
                <w:lang w:val="en-US" w:eastAsia="zh-CN"/>
              </w:rPr>
              <w:t>七</w:t>
            </w:r>
            <w:r>
              <w:rPr>
                <w:rFonts w:hint="eastAsia" w:ascii="宋体" w:hAnsi="宋体" w:eastAsia="宋体" w:cs="宋体"/>
                <w:bCs/>
                <w:color w:val="FF0000"/>
                <w:sz w:val="24"/>
                <w:szCs w:val="24"/>
              </w:rPr>
              <w:t>、其他机动车号牌制作及安装服务要求</w:t>
            </w:r>
            <w:r>
              <w:rPr>
                <w:rFonts w:hint="eastAsia" w:ascii="宋体" w:hAnsi="宋体" w:eastAsia="宋体" w:cs="宋体"/>
                <w:color w:val="auto"/>
                <w:sz w:val="24"/>
                <w:szCs w:val="24"/>
              </w:rPr>
              <w:t>”中“2、制作服务要求”“3、管理制度建设要求”以及“4、其他服务措施及服务项目要求”（共8项）进行完善，且表述具体方案措施。</w:t>
            </w:r>
          </w:p>
          <w:p w14:paraId="7277B20A">
            <w:pPr>
              <w:jc w:val="left"/>
              <w:rPr>
                <w:rFonts w:hint="eastAsia" w:ascii="宋体" w:hAnsi="宋体" w:eastAsia="宋体" w:cs="宋体"/>
                <w:color w:val="FF0000"/>
                <w:sz w:val="24"/>
                <w:szCs w:val="24"/>
              </w:rPr>
            </w:pPr>
            <w:r>
              <w:rPr>
                <w:rFonts w:hint="eastAsia" w:ascii="宋体" w:hAnsi="宋体" w:eastAsia="宋体" w:cs="宋体"/>
                <w:color w:val="auto"/>
                <w:sz w:val="24"/>
                <w:szCs w:val="24"/>
              </w:rPr>
              <w:t>上述内容齐全，符合实际切实可行且无缺陷（缺陷是指：部分内容与项目无关、逻辑错误、科学原理错误、表述错误、不符合本项目涉及的相关规范或标准要求的任意一种情形）</w:t>
            </w:r>
            <w:r>
              <w:rPr>
                <w:rFonts w:hint="eastAsia" w:ascii="宋体" w:hAnsi="宋体" w:eastAsia="宋体" w:cs="宋体"/>
                <w:color w:val="FF0000"/>
                <w:sz w:val="24"/>
                <w:szCs w:val="24"/>
              </w:rPr>
              <w:t>得</w:t>
            </w:r>
            <w:r>
              <w:rPr>
                <w:rFonts w:hint="eastAsia" w:ascii="宋体" w:hAnsi="宋体" w:eastAsia="宋体" w:cs="宋体"/>
                <w:color w:val="FF0000"/>
                <w:sz w:val="24"/>
                <w:szCs w:val="24"/>
                <w:lang w:val="en-US" w:eastAsia="zh-CN"/>
              </w:rPr>
              <w:t>14</w:t>
            </w:r>
            <w:r>
              <w:rPr>
                <w:rFonts w:hint="eastAsia" w:ascii="宋体" w:hAnsi="宋体" w:eastAsia="宋体" w:cs="宋体"/>
                <w:color w:val="FF0000"/>
                <w:sz w:val="24"/>
                <w:szCs w:val="24"/>
              </w:rPr>
              <w:t>分，每缺少一项内容扣1.</w:t>
            </w:r>
            <w:r>
              <w:rPr>
                <w:rFonts w:hint="eastAsia" w:ascii="宋体" w:hAnsi="宋体" w:eastAsia="宋体" w:cs="宋体"/>
                <w:color w:val="FF0000"/>
                <w:sz w:val="24"/>
                <w:szCs w:val="24"/>
                <w:lang w:val="en-US" w:eastAsia="zh-CN"/>
              </w:rPr>
              <w:t>75</w:t>
            </w:r>
            <w:r>
              <w:rPr>
                <w:rFonts w:hint="eastAsia" w:ascii="宋体" w:hAnsi="宋体" w:eastAsia="宋体" w:cs="宋体"/>
                <w:color w:val="FF0000"/>
                <w:sz w:val="24"/>
                <w:szCs w:val="24"/>
              </w:rPr>
              <w:t>分，扣完为止；单项内容每存在一处缺陷扣0.</w:t>
            </w:r>
            <w:r>
              <w:rPr>
                <w:rFonts w:hint="eastAsia" w:ascii="宋体" w:hAnsi="宋体" w:eastAsia="宋体" w:cs="宋体"/>
                <w:color w:val="FF0000"/>
                <w:sz w:val="24"/>
                <w:szCs w:val="24"/>
                <w:lang w:val="en-US" w:eastAsia="zh-CN"/>
              </w:rPr>
              <w:t>875</w:t>
            </w:r>
            <w:r>
              <w:rPr>
                <w:rFonts w:hint="eastAsia" w:ascii="宋体" w:hAnsi="宋体" w:eastAsia="宋体" w:cs="宋体"/>
                <w:color w:val="FF0000"/>
                <w:sz w:val="24"/>
                <w:szCs w:val="24"/>
              </w:rPr>
              <w:t>分，单项内容分（1.</w:t>
            </w:r>
            <w:r>
              <w:rPr>
                <w:rFonts w:hint="eastAsia" w:ascii="宋体" w:hAnsi="宋体" w:eastAsia="宋体" w:cs="宋体"/>
                <w:color w:val="FF0000"/>
                <w:sz w:val="24"/>
                <w:szCs w:val="24"/>
                <w:lang w:val="en-US" w:eastAsia="zh-CN"/>
              </w:rPr>
              <w:t>7</w:t>
            </w:r>
            <w:r>
              <w:rPr>
                <w:rFonts w:hint="eastAsia" w:ascii="宋体" w:hAnsi="宋体" w:eastAsia="宋体" w:cs="宋体"/>
                <w:color w:val="FF0000"/>
                <w:sz w:val="24"/>
                <w:szCs w:val="24"/>
              </w:rPr>
              <w:t>5分）扣完为止。</w:t>
            </w:r>
          </w:p>
          <w:p w14:paraId="4D5D2F9F">
            <w:pPr>
              <w:jc w:val="left"/>
              <w:rPr>
                <w:rFonts w:hint="eastAsia" w:ascii="宋体" w:hAnsi="宋体" w:eastAsia="宋体" w:cs="宋体"/>
                <w:color w:val="auto"/>
                <w:sz w:val="24"/>
                <w:szCs w:val="24"/>
              </w:rPr>
            </w:pPr>
            <w:r>
              <w:rPr>
                <w:rFonts w:hint="eastAsia" w:ascii="宋体" w:hAnsi="宋体" w:eastAsia="宋体" w:cs="宋体"/>
                <w:color w:val="FF0000"/>
                <w:sz w:val="24"/>
                <w:szCs w:val="24"/>
              </w:rPr>
              <w:t>未提供的不得分，本项最高得1</w:t>
            </w:r>
            <w:r>
              <w:rPr>
                <w:rFonts w:hint="eastAsia" w:ascii="宋体" w:hAnsi="宋体" w:eastAsia="宋体" w:cs="宋体"/>
                <w:color w:val="FF0000"/>
                <w:sz w:val="24"/>
                <w:szCs w:val="24"/>
                <w:lang w:val="en-US" w:eastAsia="zh-CN"/>
              </w:rPr>
              <w:t>4</w:t>
            </w:r>
            <w:r>
              <w:rPr>
                <w:rFonts w:hint="eastAsia" w:ascii="宋体" w:hAnsi="宋体" w:eastAsia="宋体" w:cs="宋体"/>
                <w:color w:val="FF0000"/>
                <w:sz w:val="24"/>
                <w:szCs w:val="24"/>
              </w:rPr>
              <w:t>分，最低不得分。</w:t>
            </w:r>
          </w:p>
        </w:tc>
        <w:tc>
          <w:tcPr>
            <w:tcW w:w="1036" w:type="dxa"/>
            <w:tcBorders>
              <w:left w:val="single" w:color="000000" w:sz="4" w:space="0"/>
              <w:right w:val="single" w:color="auto" w:sz="4" w:space="0"/>
            </w:tcBorders>
            <w:noWrap w:val="0"/>
            <w:vAlign w:val="center"/>
          </w:tcPr>
          <w:p w14:paraId="3446588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r w14:paraId="7C29232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2226" w:hRule="atLeast"/>
        </w:trPr>
        <w:tc>
          <w:tcPr>
            <w:tcW w:w="793" w:type="dxa"/>
            <w:vMerge w:val="continue"/>
            <w:tcBorders>
              <w:left w:val="single" w:color="auto" w:sz="4" w:space="0"/>
            </w:tcBorders>
            <w:noWrap w:val="0"/>
          </w:tcPr>
          <w:p w14:paraId="0374BF6C">
            <w:pPr>
              <w:rPr>
                <w:rFonts w:hint="eastAsia" w:ascii="宋体" w:hAnsi="宋体" w:eastAsia="宋体" w:cs="宋体"/>
                <w:color w:val="auto"/>
                <w:sz w:val="24"/>
                <w:szCs w:val="24"/>
              </w:rPr>
            </w:pPr>
          </w:p>
        </w:tc>
        <w:tc>
          <w:tcPr>
            <w:tcW w:w="1128" w:type="dxa"/>
            <w:noWrap w:val="0"/>
            <w:vAlign w:val="center"/>
          </w:tcPr>
          <w:p w14:paraId="29277D9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项目管理方案（10分）</w:t>
            </w:r>
          </w:p>
        </w:tc>
        <w:tc>
          <w:tcPr>
            <w:tcW w:w="7928" w:type="dxa"/>
            <w:gridSpan w:val="2"/>
            <w:tcBorders>
              <w:right w:val="single" w:color="000000" w:sz="4" w:space="0"/>
            </w:tcBorders>
            <w:noWrap w:val="0"/>
            <w:vAlign w:val="center"/>
          </w:tcPr>
          <w:p w14:paraId="1B3CFD80">
            <w:pPr>
              <w:jc w:val="left"/>
              <w:rPr>
                <w:rFonts w:hint="eastAsia" w:ascii="宋体" w:hAnsi="宋体" w:eastAsia="宋体" w:cs="宋体"/>
                <w:color w:val="auto"/>
                <w:sz w:val="24"/>
                <w:szCs w:val="24"/>
              </w:rPr>
            </w:pPr>
            <w:r>
              <w:rPr>
                <w:rFonts w:hint="eastAsia" w:ascii="宋体" w:hAnsi="宋体" w:eastAsia="宋体" w:cs="宋体"/>
                <w:color w:val="auto"/>
                <w:sz w:val="24"/>
                <w:szCs w:val="24"/>
              </w:rPr>
              <w:t>方案要求对第六章《采购需求》中“八、项目管理要求”（共5项）进行完善，且表述具体方案措施。</w:t>
            </w:r>
          </w:p>
          <w:p w14:paraId="534F3932">
            <w:pPr>
              <w:jc w:val="left"/>
              <w:rPr>
                <w:rFonts w:hint="eastAsia" w:ascii="宋体" w:hAnsi="宋体" w:eastAsia="宋体" w:cs="宋体"/>
                <w:color w:val="auto"/>
                <w:sz w:val="24"/>
                <w:szCs w:val="24"/>
              </w:rPr>
            </w:pPr>
            <w:r>
              <w:rPr>
                <w:rFonts w:hint="eastAsia" w:ascii="宋体" w:hAnsi="宋体" w:eastAsia="宋体" w:cs="宋体"/>
                <w:color w:val="auto"/>
                <w:sz w:val="24"/>
                <w:szCs w:val="24"/>
              </w:rPr>
              <w:t>上述内容齐全，符合实际切实可行且无缺陷（缺陷是指：部分内容与项目无关、逻辑错误、科学原理错误、表述错误、不符合本项目涉及的相关规范或标准要求的任意一种情形）得10分，每缺少一项内容扣2分，扣完为止；单项内容每存在一处缺陷扣1分，单项内容分（2分）扣完为止。</w:t>
            </w:r>
          </w:p>
          <w:p w14:paraId="481EDCF7">
            <w:pPr>
              <w:jc w:val="left"/>
              <w:rPr>
                <w:rFonts w:hint="eastAsia" w:ascii="宋体" w:hAnsi="宋体" w:eastAsia="宋体" w:cs="宋体"/>
                <w:color w:val="auto"/>
                <w:sz w:val="24"/>
                <w:szCs w:val="24"/>
              </w:rPr>
            </w:pPr>
            <w:r>
              <w:rPr>
                <w:rFonts w:hint="eastAsia" w:ascii="宋体" w:hAnsi="宋体" w:eastAsia="宋体" w:cs="宋体"/>
                <w:color w:val="auto"/>
                <w:sz w:val="24"/>
                <w:szCs w:val="24"/>
              </w:rPr>
              <w:t>未提供的不得分，本项最高得10分，最低不得分。</w:t>
            </w:r>
          </w:p>
        </w:tc>
        <w:tc>
          <w:tcPr>
            <w:tcW w:w="1036" w:type="dxa"/>
            <w:tcBorders>
              <w:left w:val="single" w:color="000000" w:sz="4" w:space="0"/>
              <w:right w:val="single" w:color="auto" w:sz="4" w:space="0"/>
            </w:tcBorders>
            <w:noWrap w:val="0"/>
            <w:vAlign w:val="center"/>
          </w:tcPr>
          <w:p w14:paraId="7A92027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r w14:paraId="463F9B2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2244" w:hRule="atLeast"/>
        </w:trPr>
        <w:tc>
          <w:tcPr>
            <w:tcW w:w="793" w:type="dxa"/>
            <w:vMerge w:val="continue"/>
            <w:tcBorders>
              <w:left w:val="single" w:color="auto" w:sz="4" w:space="0"/>
            </w:tcBorders>
            <w:noWrap w:val="0"/>
          </w:tcPr>
          <w:p w14:paraId="2496F88A">
            <w:pPr>
              <w:rPr>
                <w:rFonts w:hint="eastAsia" w:ascii="宋体" w:hAnsi="宋体" w:eastAsia="宋体" w:cs="宋体"/>
                <w:color w:val="auto"/>
                <w:sz w:val="24"/>
                <w:szCs w:val="24"/>
              </w:rPr>
            </w:pPr>
          </w:p>
        </w:tc>
        <w:tc>
          <w:tcPr>
            <w:tcW w:w="1128" w:type="dxa"/>
            <w:noWrap w:val="0"/>
            <w:vAlign w:val="center"/>
          </w:tcPr>
          <w:p w14:paraId="4B05F9A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售后服务方案（10分）</w:t>
            </w:r>
          </w:p>
        </w:tc>
        <w:tc>
          <w:tcPr>
            <w:tcW w:w="7928" w:type="dxa"/>
            <w:gridSpan w:val="2"/>
            <w:tcBorders>
              <w:right w:val="single" w:color="000000" w:sz="4" w:space="0"/>
            </w:tcBorders>
            <w:noWrap w:val="0"/>
            <w:vAlign w:val="center"/>
          </w:tcPr>
          <w:p w14:paraId="6B1E1E5E">
            <w:pPr>
              <w:jc w:val="left"/>
              <w:rPr>
                <w:rFonts w:hint="eastAsia" w:ascii="宋体" w:hAnsi="宋体" w:eastAsia="宋体" w:cs="宋体"/>
                <w:color w:val="auto"/>
                <w:sz w:val="24"/>
                <w:szCs w:val="24"/>
              </w:rPr>
            </w:pPr>
            <w:r>
              <w:rPr>
                <w:rFonts w:hint="eastAsia" w:ascii="宋体" w:hAnsi="宋体" w:eastAsia="宋体" w:cs="宋体"/>
                <w:color w:val="auto"/>
                <w:sz w:val="24"/>
                <w:szCs w:val="24"/>
              </w:rPr>
              <w:t>方案要求对第六章《采购需求》中“十、售后服务要求”</w:t>
            </w:r>
            <w:r>
              <w:rPr>
                <w:rFonts w:hint="eastAsia" w:ascii="宋体" w:hAnsi="宋体" w:eastAsia="宋体" w:cs="宋体"/>
                <w:color w:val="FF0000"/>
                <w:sz w:val="24"/>
                <w:szCs w:val="24"/>
                <w:lang w:val="en-US" w:eastAsia="zh-CN"/>
              </w:rPr>
              <w:t>中“</w:t>
            </w:r>
            <w:r>
              <w:rPr>
                <w:rFonts w:hint="eastAsia" w:ascii="宋体" w:hAnsi="宋体" w:eastAsia="宋体" w:cs="宋体"/>
                <w:color w:val="FF0000"/>
                <w:sz w:val="24"/>
                <w:szCs w:val="24"/>
              </w:rPr>
              <w:t>（一）售后服务要求</w:t>
            </w:r>
            <w:r>
              <w:rPr>
                <w:rFonts w:hint="eastAsia" w:ascii="宋体" w:hAnsi="宋体" w:eastAsia="宋体" w:cs="宋体"/>
                <w:color w:val="FF0000"/>
                <w:sz w:val="24"/>
                <w:szCs w:val="24"/>
                <w:lang w:val="en-US" w:eastAsia="zh-CN"/>
              </w:rPr>
              <w:t>”</w:t>
            </w:r>
            <w:r>
              <w:rPr>
                <w:rFonts w:hint="eastAsia" w:ascii="宋体" w:hAnsi="宋体" w:eastAsia="宋体" w:cs="宋体"/>
                <w:color w:val="auto"/>
                <w:sz w:val="24"/>
                <w:szCs w:val="24"/>
              </w:rPr>
              <w:t>（共5项）进行完善，且表述具体方案措施。</w:t>
            </w:r>
          </w:p>
          <w:p w14:paraId="7CB844FC">
            <w:pPr>
              <w:jc w:val="left"/>
              <w:rPr>
                <w:rFonts w:hint="eastAsia" w:ascii="宋体" w:hAnsi="宋体" w:eastAsia="宋体" w:cs="宋体"/>
                <w:color w:val="auto"/>
                <w:sz w:val="24"/>
                <w:szCs w:val="24"/>
              </w:rPr>
            </w:pPr>
            <w:r>
              <w:rPr>
                <w:rFonts w:hint="eastAsia" w:ascii="宋体" w:hAnsi="宋体" w:eastAsia="宋体" w:cs="宋体"/>
                <w:color w:val="auto"/>
                <w:sz w:val="24"/>
                <w:szCs w:val="24"/>
              </w:rPr>
              <w:t>上述内容齐全，符合实际切实可行且无缺陷（缺陷是指：部分内容与项目无关、逻辑错误、科学原理错误、表述错误、不符合本项目涉及的相关规范或标准要求的任意一种情形）得10分，每缺少一项内容扣2分，扣完为止；单项内容每存在一处缺陷扣1分，单项内容分（2分）扣完为止。</w:t>
            </w:r>
          </w:p>
          <w:p w14:paraId="4170DD36">
            <w:pPr>
              <w:jc w:val="left"/>
              <w:rPr>
                <w:rFonts w:hint="eastAsia" w:ascii="宋体" w:hAnsi="宋体" w:eastAsia="宋体" w:cs="宋体"/>
                <w:color w:val="auto"/>
                <w:sz w:val="24"/>
                <w:szCs w:val="24"/>
              </w:rPr>
            </w:pPr>
            <w:r>
              <w:rPr>
                <w:rFonts w:hint="eastAsia" w:ascii="宋体" w:hAnsi="宋体" w:eastAsia="宋体" w:cs="宋体"/>
                <w:color w:val="auto"/>
                <w:sz w:val="24"/>
                <w:szCs w:val="24"/>
              </w:rPr>
              <w:t>未提供的不得分，本项最高得10分，最低不得分。</w:t>
            </w:r>
          </w:p>
        </w:tc>
        <w:tc>
          <w:tcPr>
            <w:tcW w:w="1036" w:type="dxa"/>
            <w:tcBorders>
              <w:left w:val="single" w:color="000000" w:sz="4" w:space="0"/>
              <w:right w:val="single" w:color="auto" w:sz="4" w:space="0"/>
            </w:tcBorders>
            <w:noWrap w:val="0"/>
            <w:vAlign w:val="center"/>
          </w:tcPr>
          <w:p w14:paraId="069C013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r w14:paraId="330F2306">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2432" w:hRule="atLeast"/>
        </w:trPr>
        <w:tc>
          <w:tcPr>
            <w:tcW w:w="793" w:type="dxa"/>
            <w:vMerge w:val="continue"/>
            <w:tcBorders>
              <w:left w:val="single" w:color="auto" w:sz="4" w:space="0"/>
            </w:tcBorders>
            <w:noWrap w:val="0"/>
          </w:tcPr>
          <w:p w14:paraId="1C085765">
            <w:pPr>
              <w:rPr>
                <w:rFonts w:hint="eastAsia" w:ascii="宋体" w:hAnsi="宋体" w:eastAsia="宋体" w:cs="宋体"/>
                <w:color w:val="auto"/>
                <w:sz w:val="24"/>
                <w:szCs w:val="24"/>
              </w:rPr>
            </w:pPr>
          </w:p>
        </w:tc>
        <w:tc>
          <w:tcPr>
            <w:tcW w:w="1128" w:type="dxa"/>
            <w:noWrap w:val="0"/>
            <w:vAlign w:val="center"/>
          </w:tcPr>
          <w:p w14:paraId="3AF67598">
            <w:pPr>
              <w:jc w:val="center"/>
              <w:rPr>
                <w:rFonts w:hint="eastAsia" w:ascii="宋体" w:hAnsi="宋体" w:eastAsia="宋体" w:cs="宋体"/>
                <w:color w:val="auto"/>
                <w:sz w:val="24"/>
                <w:szCs w:val="24"/>
              </w:rPr>
            </w:pPr>
            <w:r>
              <w:rPr>
                <w:rFonts w:hint="eastAsia" w:ascii="宋体" w:hAnsi="宋体" w:eastAsia="宋体" w:cs="宋体"/>
                <w:color w:val="FF0000"/>
                <w:sz w:val="24"/>
                <w:szCs w:val="24"/>
              </w:rPr>
              <w:t>应急方案（</w:t>
            </w:r>
            <w:r>
              <w:rPr>
                <w:rFonts w:hint="eastAsia" w:ascii="宋体" w:hAnsi="宋体" w:eastAsia="宋体" w:cs="宋体"/>
                <w:color w:val="FF0000"/>
                <w:sz w:val="24"/>
                <w:szCs w:val="24"/>
                <w:lang w:val="en-US" w:eastAsia="zh-CN"/>
              </w:rPr>
              <w:t>6</w:t>
            </w:r>
            <w:r>
              <w:rPr>
                <w:rFonts w:hint="eastAsia" w:ascii="宋体" w:hAnsi="宋体" w:eastAsia="宋体" w:cs="宋体"/>
                <w:color w:val="FF0000"/>
                <w:sz w:val="24"/>
                <w:szCs w:val="24"/>
              </w:rPr>
              <w:t>分）</w:t>
            </w:r>
          </w:p>
        </w:tc>
        <w:tc>
          <w:tcPr>
            <w:tcW w:w="7928" w:type="dxa"/>
            <w:gridSpan w:val="2"/>
            <w:tcBorders>
              <w:right w:val="single" w:color="000000" w:sz="4" w:space="0"/>
            </w:tcBorders>
            <w:noWrap w:val="0"/>
            <w:vAlign w:val="center"/>
          </w:tcPr>
          <w:p w14:paraId="1BEEA73C">
            <w:pPr>
              <w:jc w:val="left"/>
              <w:rPr>
                <w:rFonts w:hint="eastAsia" w:ascii="宋体" w:hAnsi="宋体" w:eastAsia="宋体" w:cs="宋体"/>
                <w:color w:val="auto"/>
                <w:sz w:val="24"/>
                <w:szCs w:val="24"/>
              </w:rPr>
            </w:pPr>
            <w:r>
              <w:rPr>
                <w:rFonts w:hint="eastAsia" w:ascii="宋体" w:hAnsi="宋体" w:eastAsia="宋体" w:cs="宋体"/>
                <w:color w:val="auto"/>
                <w:sz w:val="24"/>
                <w:szCs w:val="24"/>
              </w:rPr>
              <w:t>方案要求对第六章《采购需求》中“十、售后服务要求”中“</w:t>
            </w:r>
            <w:r>
              <w:rPr>
                <w:rFonts w:hint="eastAsia" w:ascii="宋体" w:hAnsi="宋体" w:eastAsia="宋体" w:cs="宋体"/>
                <w:color w:val="FF0000"/>
                <w:sz w:val="24"/>
                <w:szCs w:val="24"/>
              </w:rPr>
              <w:t>（</w:t>
            </w:r>
            <w:r>
              <w:rPr>
                <w:rFonts w:hint="eastAsia" w:ascii="宋体" w:hAnsi="宋体" w:eastAsia="宋体" w:cs="宋体"/>
                <w:color w:val="FF0000"/>
                <w:sz w:val="24"/>
                <w:szCs w:val="24"/>
                <w:lang w:val="en-US" w:eastAsia="zh-CN"/>
              </w:rPr>
              <w:t>二</w:t>
            </w:r>
            <w:r>
              <w:rPr>
                <w:rFonts w:hint="eastAsia" w:ascii="宋体" w:hAnsi="宋体" w:eastAsia="宋体" w:cs="宋体"/>
                <w:color w:val="FF0000"/>
                <w:sz w:val="24"/>
                <w:szCs w:val="24"/>
              </w:rPr>
              <w:t>）</w:t>
            </w:r>
            <w:r>
              <w:rPr>
                <w:rFonts w:hint="eastAsia" w:ascii="宋体" w:hAnsi="宋体" w:eastAsia="宋体" w:cs="宋体"/>
                <w:color w:val="auto"/>
                <w:sz w:val="24"/>
                <w:szCs w:val="24"/>
              </w:rPr>
              <w:t>应急要求”（共2项）进行完善，且表述具体方案措施。</w:t>
            </w:r>
          </w:p>
          <w:p w14:paraId="097D1A89">
            <w:pPr>
              <w:jc w:val="left"/>
              <w:rPr>
                <w:rFonts w:hint="eastAsia" w:ascii="宋体" w:hAnsi="宋体" w:eastAsia="宋体" w:cs="宋体"/>
                <w:color w:val="FF0000"/>
                <w:sz w:val="24"/>
                <w:szCs w:val="24"/>
              </w:rPr>
            </w:pPr>
            <w:r>
              <w:rPr>
                <w:rFonts w:hint="eastAsia" w:ascii="宋体" w:hAnsi="宋体" w:eastAsia="宋体" w:cs="宋体"/>
                <w:color w:val="auto"/>
                <w:sz w:val="24"/>
                <w:szCs w:val="24"/>
              </w:rPr>
              <w:t>上述内容齐全，符合实际切实可行且无缺陷（缺陷是指：部分内容与项目无关、逻辑错误、科学原理错误、表述错误、不符合本项目涉及的相关规范或标准要求的任意一种情形）</w:t>
            </w:r>
            <w:r>
              <w:rPr>
                <w:rFonts w:hint="eastAsia" w:ascii="宋体" w:hAnsi="宋体" w:eastAsia="宋体" w:cs="宋体"/>
                <w:color w:val="FF0000"/>
                <w:sz w:val="24"/>
                <w:szCs w:val="24"/>
              </w:rPr>
              <w:t>得</w:t>
            </w:r>
            <w:r>
              <w:rPr>
                <w:rFonts w:hint="eastAsia" w:ascii="宋体" w:hAnsi="宋体" w:eastAsia="宋体" w:cs="宋体"/>
                <w:color w:val="FF0000"/>
                <w:sz w:val="24"/>
                <w:szCs w:val="24"/>
                <w:lang w:val="en-US" w:eastAsia="zh-CN"/>
              </w:rPr>
              <w:t>6</w:t>
            </w:r>
            <w:r>
              <w:rPr>
                <w:rFonts w:hint="eastAsia" w:ascii="宋体" w:hAnsi="宋体" w:eastAsia="宋体" w:cs="宋体"/>
                <w:color w:val="FF0000"/>
                <w:sz w:val="24"/>
                <w:szCs w:val="24"/>
              </w:rPr>
              <w:t>分，每缺少一项内容扣</w:t>
            </w:r>
            <w:r>
              <w:rPr>
                <w:rFonts w:hint="eastAsia" w:ascii="宋体" w:hAnsi="宋体" w:eastAsia="宋体" w:cs="宋体"/>
                <w:color w:val="FF0000"/>
                <w:sz w:val="24"/>
                <w:szCs w:val="24"/>
                <w:lang w:val="en-US" w:eastAsia="zh-CN"/>
              </w:rPr>
              <w:t>3</w:t>
            </w:r>
            <w:r>
              <w:rPr>
                <w:rFonts w:hint="eastAsia" w:ascii="宋体" w:hAnsi="宋体" w:eastAsia="宋体" w:cs="宋体"/>
                <w:color w:val="FF0000"/>
                <w:sz w:val="24"/>
                <w:szCs w:val="24"/>
              </w:rPr>
              <w:t>分，扣完为止；单项内容每存在一处缺陷扣1.</w:t>
            </w:r>
            <w:r>
              <w:rPr>
                <w:rFonts w:hint="eastAsia" w:ascii="宋体" w:hAnsi="宋体" w:eastAsia="宋体" w:cs="宋体"/>
                <w:color w:val="FF0000"/>
                <w:sz w:val="24"/>
                <w:szCs w:val="24"/>
                <w:lang w:val="en-US" w:eastAsia="zh-CN"/>
              </w:rPr>
              <w:t>5</w:t>
            </w:r>
            <w:r>
              <w:rPr>
                <w:rFonts w:hint="eastAsia" w:ascii="宋体" w:hAnsi="宋体" w:eastAsia="宋体" w:cs="宋体"/>
                <w:color w:val="FF0000"/>
                <w:sz w:val="24"/>
                <w:szCs w:val="24"/>
              </w:rPr>
              <w:t>分，单项内容分（</w:t>
            </w:r>
            <w:r>
              <w:rPr>
                <w:rFonts w:hint="eastAsia" w:ascii="宋体" w:hAnsi="宋体" w:eastAsia="宋体" w:cs="宋体"/>
                <w:color w:val="FF0000"/>
                <w:sz w:val="24"/>
                <w:szCs w:val="24"/>
                <w:lang w:val="en-US" w:eastAsia="zh-CN"/>
              </w:rPr>
              <w:t>3</w:t>
            </w:r>
            <w:r>
              <w:rPr>
                <w:rFonts w:hint="eastAsia" w:ascii="宋体" w:hAnsi="宋体" w:eastAsia="宋体" w:cs="宋体"/>
                <w:color w:val="FF0000"/>
                <w:sz w:val="24"/>
                <w:szCs w:val="24"/>
              </w:rPr>
              <w:t>分）扣完为止。</w:t>
            </w:r>
          </w:p>
          <w:p w14:paraId="61543189">
            <w:pPr>
              <w:jc w:val="left"/>
              <w:rPr>
                <w:rFonts w:hint="eastAsia" w:ascii="宋体" w:hAnsi="宋体" w:eastAsia="宋体" w:cs="宋体"/>
                <w:color w:val="auto"/>
                <w:sz w:val="24"/>
                <w:szCs w:val="24"/>
              </w:rPr>
            </w:pPr>
            <w:r>
              <w:rPr>
                <w:rFonts w:hint="eastAsia" w:ascii="宋体" w:hAnsi="宋体" w:eastAsia="宋体" w:cs="宋体"/>
                <w:color w:val="FF0000"/>
                <w:sz w:val="24"/>
                <w:szCs w:val="24"/>
              </w:rPr>
              <w:t>未提供的不得分，本项最高得</w:t>
            </w:r>
            <w:r>
              <w:rPr>
                <w:rFonts w:hint="eastAsia" w:ascii="宋体" w:hAnsi="宋体" w:eastAsia="宋体" w:cs="宋体"/>
                <w:color w:val="FF0000"/>
                <w:sz w:val="24"/>
                <w:szCs w:val="24"/>
                <w:lang w:val="en-US" w:eastAsia="zh-CN"/>
              </w:rPr>
              <w:t>6</w:t>
            </w:r>
            <w:r>
              <w:rPr>
                <w:rFonts w:hint="eastAsia" w:ascii="宋体" w:hAnsi="宋体" w:eastAsia="宋体" w:cs="宋体"/>
                <w:color w:val="FF0000"/>
                <w:sz w:val="24"/>
                <w:szCs w:val="24"/>
              </w:rPr>
              <w:t>分，最低不得分。</w:t>
            </w:r>
          </w:p>
        </w:tc>
        <w:tc>
          <w:tcPr>
            <w:tcW w:w="1036" w:type="dxa"/>
            <w:tcBorders>
              <w:left w:val="single" w:color="000000" w:sz="4" w:space="0"/>
              <w:right w:val="single" w:color="auto" w:sz="4" w:space="0"/>
            </w:tcBorders>
            <w:noWrap w:val="0"/>
            <w:vAlign w:val="center"/>
          </w:tcPr>
          <w:p w14:paraId="7D50FDC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r w14:paraId="6331002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125" w:hRule="atLeast"/>
        </w:trPr>
        <w:tc>
          <w:tcPr>
            <w:tcW w:w="793" w:type="dxa"/>
            <w:vMerge w:val="restart"/>
            <w:tcBorders>
              <w:left w:val="single" w:color="auto" w:sz="4" w:space="0"/>
            </w:tcBorders>
            <w:noWrap w:val="0"/>
            <w:vAlign w:val="center"/>
          </w:tcPr>
          <w:p w14:paraId="409F0DEC">
            <w:pPr>
              <w:jc w:val="center"/>
              <w:rPr>
                <w:rFonts w:hint="eastAsia" w:ascii="宋体" w:hAnsi="宋体" w:eastAsia="宋体" w:cs="宋体"/>
                <w:color w:val="auto"/>
                <w:sz w:val="24"/>
                <w:szCs w:val="24"/>
              </w:rPr>
            </w:pPr>
            <w:r>
              <w:rPr>
                <w:rFonts w:hint="eastAsia" w:ascii="宋体" w:hAnsi="宋体" w:eastAsia="宋体" w:cs="宋体"/>
                <w:color w:val="FF0000"/>
                <w:sz w:val="24"/>
                <w:szCs w:val="24"/>
              </w:rPr>
              <w:t>商务部分（</w:t>
            </w:r>
            <w:r>
              <w:rPr>
                <w:rFonts w:hint="eastAsia" w:ascii="宋体" w:hAnsi="宋体" w:eastAsia="宋体" w:cs="宋体"/>
                <w:color w:val="FF0000"/>
                <w:sz w:val="24"/>
                <w:szCs w:val="24"/>
                <w:lang w:val="en-US" w:eastAsia="zh-CN"/>
              </w:rPr>
              <w:t>9</w:t>
            </w:r>
            <w:r>
              <w:rPr>
                <w:rFonts w:hint="eastAsia" w:ascii="宋体" w:hAnsi="宋体" w:eastAsia="宋体" w:cs="宋体"/>
                <w:color w:val="FF0000"/>
                <w:sz w:val="24"/>
                <w:szCs w:val="24"/>
              </w:rPr>
              <w:t>分）</w:t>
            </w:r>
          </w:p>
        </w:tc>
        <w:tc>
          <w:tcPr>
            <w:tcW w:w="1128" w:type="dxa"/>
            <w:shd w:val="clear" w:color="auto" w:fill="auto"/>
            <w:noWrap w:val="0"/>
            <w:vAlign w:val="center"/>
          </w:tcPr>
          <w:p w14:paraId="5C8B04B0">
            <w:pPr>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检测报告（</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tc>
        <w:tc>
          <w:tcPr>
            <w:tcW w:w="7928" w:type="dxa"/>
            <w:gridSpan w:val="2"/>
            <w:tcBorders>
              <w:bottom w:val="single" w:color="auto" w:sz="4" w:space="0"/>
              <w:right w:val="single" w:color="000000" w:sz="4" w:space="0"/>
            </w:tcBorders>
            <w:shd w:val="clear" w:color="auto" w:fill="auto"/>
            <w:noWrap w:val="0"/>
            <w:vAlign w:val="center"/>
          </w:tcPr>
          <w:p w14:paraId="43EEB052">
            <w:pPr>
              <w:rPr>
                <w:rFonts w:hint="eastAsia" w:ascii="宋体" w:hAnsi="宋体" w:eastAsia="宋体" w:cs="宋体"/>
                <w:color w:val="auto"/>
                <w:sz w:val="24"/>
                <w:szCs w:val="24"/>
              </w:rPr>
            </w:pPr>
            <w:r>
              <w:rPr>
                <w:rFonts w:hint="eastAsia" w:ascii="宋体" w:hAnsi="宋体" w:eastAsia="宋体" w:cs="宋体"/>
                <w:color w:val="auto"/>
                <w:sz w:val="24"/>
                <w:szCs w:val="24"/>
              </w:rPr>
              <w:t>投标人提供具有相关资质的第三方检测机构出具的机动车号牌检测报告（</w:t>
            </w:r>
            <w:r>
              <w:rPr>
                <w:rFonts w:hint="eastAsia" w:ascii="宋体" w:hAnsi="宋体" w:eastAsia="宋体" w:cs="宋体"/>
                <w:color w:val="auto"/>
                <w:sz w:val="24"/>
                <w:szCs w:val="24"/>
                <w:lang w:val="en-US" w:eastAsia="zh-CN"/>
              </w:rPr>
              <w:t>检测报告</w:t>
            </w:r>
            <w:r>
              <w:rPr>
                <w:rFonts w:hint="eastAsia" w:ascii="宋体" w:hAnsi="宋体" w:eastAsia="宋体" w:cs="宋体"/>
                <w:color w:val="auto"/>
                <w:sz w:val="24"/>
                <w:szCs w:val="24"/>
              </w:rPr>
              <w:t>须符合《中华人民共和国机动车号牌》GA36-2018</w:t>
            </w:r>
            <w:r>
              <w:rPr>
                <w:rFonts w:hint="eastAsia" w:ascii="宋体" w:hAnsi="宋体" w:eastAsia="宋体" w:cs="宋体"/>
                <w:color w:val="auto"/>
                <w:sz w:val="24"/>
                <w:szCs w:val="24"/>
                <w:lang w:val="en-US" w:eastAsia="zh-CN"/>
              </w:rPr>
              <w:t>要求</w:t>
            </w:r>
            <w:r>
              <w:rPr>
                <w:rFonts w:hint="eastAsia" w:ascii="宋体" w:hAnsi="宋体" w:eastAsia="宋体" w:cs="宋体"/>
                <w:color w:val="auto"/>
                <w:sz w:val="24"/>
                <w:szCs w:val="24"/>
              </w:rPr>
              <w:t>，且在有效期内。型号规格为：①大型汽车号牌；②小型汽车号牌；③大型新能源汽车号牌；④小型新能源汽车号牌；⑤挂车号牌；⑥普通摩托车号牌；⑦轻便摩托车号牌；⑧低速车号牌；⑨教练汽车号牌；⑩教练摩托车号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，全部具备的得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分，缺少1项扣</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分，本项最高得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分，最低不得分。</w:t>
            </w:r>
          </w:p>
          <w:p w14:paraId="10F74BC3">
            <w:pPr>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55285FDC">
            <w:pPr>
              <w:rPr>
                <w:rFonts w:hint="eastAsia" w:ascii="宋体" w:hAnsi="宋体" w:eastAsia="宋体" w:cs="宋体"/>
                <w:color w:val="auto"/>
                <w:sz w:val="24"/>
                <w:szCs w:val="24"/>
              </w:rPr>
            </w:pPr>
            <w:r>
              <w:rPr>
                <w:rFonts w:hint="eastAsia" w:ascii="宋体" w:hAnsi="宋体" w:eastAsia="宋体" w:cs="宋体"/>
                <w:color w:val="auto"/>
                <w:sz w:val="24"/>
                <w:szCs w:val="24"/>
              </w:rPr>
              <w:t>1、投标文件中提供检测报告原件扫描件方为有效，未按要求提供或不提供的均不得分。</w:t>
            </w:r>
          </w:p>
          <w:p w14:paraId="2F4865DF">
            <w:pP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投标人自有或租赁或拟投入的同型号设备生产的号牌所对应的检测报告视为满足上述要求。</w:t>
            </w:r>
          </w:p>
        </w:tc>
        <w:tc>
          <w:tcPr>
            <w:tcW w:w="1036" w:type="dxa"/>
            <w:tcBorders>
              <w:left w:val="single" w:color="000000" w:sz="4" w:space="0"/>
              <w:bottom w:val="single" w:color="auto" w:sz="4" w:space="0"/>
              <w:right w:val="single" w:color="auto" w:sz="4" w:space="0"/>
            </w:tcBorders>
            <w:shd w:val="clear" w:color="auto" w:fill="auto"/>
            <w:noWrap w:val="0"/>
            <w:vAlign w:val="center"/>
          </w:tcPr>
          <w:p w14:paraId="1D317B5D">
            <w:pPr>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是</w:t>
            </w:r>
          </w:p>
        </w:tc>
      </w:tr>
      <w:tr w14:paraId="76D0184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093" w:hRule="atLeast"/>
        </w:trPr>
        <w:tc>
          <w:tcPr>
            <w:tcW w:w="793" w:type="dxa"/>
            <w:vMerge w:val="continue"/>
            <w:tcBorders>
              <w:left w:val="single" w:color="auto" w:sz="4" w:space="0"/>
            </w:tcBorders>
            <w:noWrap w:val="0"/>
            <w:vAlign w:val="center"/>
          </w:tcPr>
          <w:p w14:paraId="108A3A66">
            <w:pPr>
              <w:jc w:val="center"/>
              <w:rPr>
                <w:rFonts w:hint="eastAsia" w:ascii="宋体" w:hAnsi="宋体" w:eastAsia="宋体" w:cs="宋体"/>
                <w:color w:val="auto"/>
                <w:sz w:val="24"/>
                <w:szCs w:val="24"/>
              </w:rPr>
            </w:pPr>
            <w:bookmarkStart w:id="3" w:name="_Hlk212468670"/>
          </w:p>
        </w:tc>
        <w:tc>
          <w:tcPr>
            <w:tcW w:w="1128" w:type="dxa"/>
            <w:shd w:val="clear" w:color="auto" w:fill="auto"/>
            <w:noWrap w:val="0"/>
            <w:vAlign w:val="center"/>
          </w:tcPr>
          <w:p w14:paraId="577812E7">
            <w:pPr>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质保期（</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bookmarkEnd w:id="3"/>
        </w:tc>
        <w:tc>
          <w:tcPr>
            <w:tcW w:w="7928" w:type="dxa"/>
            <w:gridSpan w:val="2"/>
            <w:tcBorders>
              <w:right w:val="single" w:color="000000" w:sz="4" w:space="0"/>
            </w:tcBorders>
            <w:shd w:val="clear" w:color="auto" w:fill="auto"/>
            <w:noWrap w:val="0"/>
            <w:vAlign w:val="center"/>
          </w:tcPr>
          <w:p w14:paraId="662F6824">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免费质保期</w:t>
            </w:r>
            <w:r>
              <w:rPr>
                <w:rFonts w:hint="eastAsia" w:ascii="宋体" w:hAnsi="宋体" w:eastAsia="宋体" w:cs="宋体"/>
                <w:color w:val="auto"/>
                <w:sz w:val="24"/>
                <w:szCs w:val="24"/>
              </w:rPr>
              <w:t>3年及以下的不得分；每增加1年加</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分（增加不足1年不计分），最多加</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p w14:paraId="6D4565D7">
            <w:pP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本项最高得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分，最低不得分。</w:t>
            </w:r>
          </w:p>
        </w:tc>
        <w:tc>
          <w:tcPr>
            <w:tcW w:w="1036" w:type="dxa"/>
            <w:tcBorders>
              <w:left w:val="single" w:color="000000" w:sz="4" w:space="0"/>
              <w:right w:val="single" w:color="auto" w:sz="4" w:space="0"/>
            </w:tcBorders>
            <w:shd w:val="clear" w:color="auto" w:fill="auto"/>
            <w:noWrap w:val="0"/>
            <w:vAlign w:val="center"/>
          </w:tcPr>
          <w:p w14:paraId="4913B4DA">
            <w:pPr>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是</w:t>
            </w:r>
          </w:p>
        </w:tc>
      </w:tr>
    </w:tbl>
    <w:p w14:paraId="657348C6">
      <w:pPr>
        <w:pStyle w:val="2"/>
        <w:rPr>
          <w:rFonts w:hint="default"/>
          <w:lang w:val="en-US" w:eastAsia="zh-CN"/>
        </w:rPr>
      </w:pPr>
    </w:p>
    <w:p w14:paraId="0ED80479">
      <w:pPr>
        <w:widowControl/>
        <w:spacing w:line="360" w:lineRule="auto"/>
        <w:rPr>
          <w:rFonts w:hint="default" w:ascii="Calibri" w:hAnsi="Calibri" w:eastAsia="宋体" w:cs="Times New Roman"/>
          <w:b/>
          <w:bCs/>
          <w:color w:val="auto"/>
          <w:kern w:val="2"/>
          <w:sz w:val="28"/>
          <w:szCs w:val="28"/>
          <w:lang w:val="en-US" w:eastAsia="zh-CN" w:bidi="ar-SA"/>
        </w:rPr>
      </w:pPr>
      <w:r>
        <w:rPr>
          <w:rFonts w:hint="default" w:ascii="Calibri" w:hAnsi="Calibri" w:eastAsia="宋体" w:cs="Times New Roman"/>
          <w:b/>
          <w:bCs/>
          <w:color w:val="auto"/>
          <w:kern w:val="2"/>
          <w:sz w:val="28"/>
          <w:szCs w:val="28"/>
          <w:lang w:val="en-US" w:eastAsia="zh-CN" w:bidi="ar-SA"/>
        </w:rPr>
        <w:t>二、其他内容不变。</w:t>
      </w:r>
    </w:p>
    <w:p w14:paraId="0B1C6E68">
      <w:pPr>
        <w:spacing w:line="360" w:lineRule="auto"/>
        <w:jc w:val="righ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江苏海外集团国际工程咨询有限公司</w:t>
      </w:r>
    </w:p>
    <w:p w14:paraId="12E6979D">
      <w:pPr>
        <w:spacing w:line="360" w:lineRule="auto"/>
        <w:jc w:val="right"/>
        <w:rPr>
          <w:b/>
          <w:bCs/>
          <w:sz w:val="28"/>
          <w:szCs w:val="28"/>
        </w:rPr>
      </w:pPr>
      <w:r>
        <w:rPr>
          <w:rFonts w:hint="eastAsia" w:ascii="宋体" w:hAnsi="宋体" w:eastAsia="宋体" w:cs="宋体"/>
          <w:b/>
          <w:bCs/>
          <w:color w:val="auto"/>
          <w:sz w:val="28"/>
          <w:szCs w:val="28"/>
          <w:lang w:val="en-US" w:eastAsia="zh-CN"/>
        </w:rPr>
        <w:t>202</w:t>
      </w: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lang w:val="en-US" w:eastAsia="zh-CN"/>
        </w:rPr>
        <w:t>年</w:t>
      </w:r>
      <w:r>
        <w:rPr>
          <w:rFonts w:hint="eastAsia" w:hAnsi="宋体" w:cs="宋体"/>
          <w:b/>
          <w:bCs/>
          <w:color w:val="auto"/>
          <w:sz w:val="28"/>
          <w:szCs w:val="28"/>
          <w:lang w:val="en-US" w:eastAsia="zh-CN"/>
        </w:rPr>
        <w:t>4</w:t>
      </w:r>
      <w:r>
        <w:rPr>
          <w:rFonts w:hint="eastAsia" w:ascii="宋体" w:hAnsi="宋体" w:eastAsia="宋体" w:cs="宋体"/>
          <w:b/>
          <w:bCs/>
          <w:color w:val="auto"/>
          <w:sz w:val="28"/>
          <w:szCs w:val="28"/>
          <w:lang w:val="en-US" w:eastAsia="zh-CN"/>
        </w:rPr>
        <w:t>月</w:t>
      </w:r>
      <w:r>
        <w:rPr>
          <w:rFonts w:hint="eastAsia" w:hAnsi="宋体" w:cs="宋体"/>
          <w:b/>
          <w:bCs/>
          <w:color w:val="auto"/>
          <w:sz w:val="28"/>
          <w:szCs w:val="28"/>
          <w:lang w:val="en-US" w:eastAsia="zh-CN"/>
        </w:rPr>
        <w:t>20</w:t>
      </w:r>
      <w:r>
        <w:rPr>
          <w:rFonts w:hint="eastAsia" w:ascii="宋体" w:hAnsi="宋体" w:eastAsia="宋体" w:cs="宋体"/>
          <w:b/>
          <w:bCs/>
          <w:color w:val="auto"/>
          <w:sz w:val="28"/>
          <w:szCs w:val="28"/>
          <w:lang w:val="en-US" w:eastAsia="zh-CN"/>
        </w:rPr>
        <w:t>日</w:t>
      </w:r>
    </w:p>
    <w:sectPr>
      <w:pgSz w:w="11906" w:h="16838"/>
      <w:pgMar w:top="1100" w:right="1800" w:bottom="110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B3942"/>
    <w:multiLevelType w:val="multilevel"/>
    <w:tmpl w:val="453B3942"/>
    <w:lvl w:ilvl="0" w:tentative="0">
      <w:start w:val="1"/>
      <w:numFmt w:val="decimal"/>
      <w:lvlText w:val="第%1章"/>
      <w:lvlJc w:val="left"/>
      <w:pPr>
        <w:tabs>
          <w:tab w:val="left" w:pos="851"/>
        </w:tabs>
        <w:ind w:left="0" w:firstLine="0"/>
      </w:pPr>
      <w:rPr>
        <w:rFonts w:hint="eastAsia"/>
      </w:rPr>
    </w:lvl>
    <w:lvl w:ilvl="1" w:tentative="0">
      <w:start w:val="1"/>
      <w:numFmt w:val="decimalZero"/>
      <w:pStyle w:val="14"/>
      <w:isLgl/>
      <w:lvlText w:val="节 %1.%2"/>
      <w:lvlJc w:val="left"/>
      <w:pPr>
        <w:tabs>
          <w:tab w:val="left" w:pos="862"/>
        </w:tabs>
        <w:ind w:left="142" w:firstLine="0"/>
      </w:pPr>
      <w:rPr>
        <w:rFonts w:hint="eastAsia"/>
      </w:rPr>
    </w:lvl>
    <w:lvl w:ilvl="2" w:tentative="0">
      <w:start w:val="1"/>
      <w:numFmt w:val="lowerLetter"/>
      <w:lvlText w:val="(%3)"/>
      <w:lvlJc w:val="left"/>
      <w:pPr>
        <w:tabs>
          <w:tab w:val="left" w:pos="720"/>
        </w:tabs>
        <w:ind w:left="720" w:hanging="432"/>
      </w:pPr>
      <w:rPr>
        <w:rFonts w:hint="eastAsia"/>
      </w:rPr>
    </w:lvl>
    <w:lvl w:ilvl="3" w:tentative="0">
      <w:start w:val="1"/>
      <w:numFmt w:val="lowerRoman"/>
      <w:lvlText w:val="(%4)"/>
      <w:lvlJc w:val="right"/>
      <w:pPr>
        <w:tabs>
          <w:tab w:val="left" w:pos="864"/>
        </w:tabs>
        <w:ind w:left="864" w:hanging="144"/>
      </w:pPr>
      <w:rPr>
        <w:rFonts w:hint="eastAsia"/>
      </w:rPr>
    </w:lvl>
    <w:lvl w:ilvl="4" w:tentative="0">
      <w:start w:val="1"/>
      <w:numFmt w:val="decimal"/>
      <w:lvlText w:val="%5)"/>
      <w:lvlJc w:val="left"/>
      <w:pPr>
        <w:tabs>
          <w:tab w:val="left" w:pos="1008"/>
        </w:tabs>
        <w:ind w:left="1008" w:hanging="432"/>
      </w:pPr>
      <w:rPr>
        <w:rFonts w:hint="eastAsia"/>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183364"/>
    <w:rsid w:val="03214FB2"/>
    <w:rsid w:val="09A0773C"/>
    <w:rsid w:val="0FEF171B"/>
    <w:rsid w:val="12285A3F"/>
    <w:rsid w:val="1CA62033"/>
    <w:rsid w:val="287B7B98"/>
    <w:rsid w:val="2D183364"/>
    <w:rsid w:val="30CF301B"/>
    <w:rsid w:val="369D33CF"/>
    <w:rsid w:val="407F76A2"/>
    <w:rsid w:val="42FC76D0"/>
    <w:rsid w:val="496164DE"/>
    <w:rsid w:val="501E6DC8"/>
    <w:rsid w:val="526B45C2"/>
    <w:rsid w:val="526E6040"/>
    <w:rsid w:val="542517EE"/>
    <w:rsid w:val="6372336A"/>
    <w:rsid w:val="6A2E7AC1"/>
    <w:rsid w:val="715D3215"/>
    <w:rsid w:val="770E5F73"/>
    <w:rsid w:val="7E3239CA"/>
    <w:rsid w:val="7F0D7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uto"/>
      <w:jc w:val="both"/>
      <w:textAlignment w:val="baseline"/>
    </w:pPr>
    <w:rPr>
      <w:rFonts w:ascii="宋体" w:hAnsi="Times New Roman" w:eastAsia="仿宋" w:cs="Times New Roman"/>
      <w:sz w:val="28"/>
      <w:szCs w:val="21"/>
      <w:lang w:val="en-US" w:eastAsia="zh-CN" w:bidi="ar-SA"/>
    </w:rPr>
  </w:style>
  <w:style w:type="paragraph" w:styleId="13">
    <w:name w:val="heading 1"/>
    <w:basedOn w:val="1"/>
    <w:next w:val="1"/>
    <w:qFormat/>
    <w:uiPriority w:val="0"/>
    <w:pPr>
      <w:keepNext/>
      <w:keepLines/>
      <w:spacing w:before="340" w:after="330" w:line="578" w:lineRule="atLeast"/>
      <w:outlineLvl w:val="0"/>
    </w:pPr>
    <w:rPr>
      <w:b/>
      <w:bCs/>
      <w:kern w:val="44"/>
      <w:sz w:val="44"/>
      <w:szCs w:val="44"/>
    </w:rPr>
  </w:style>
  <w:style w:type="paragraph" w:styleId="14">
    <w:name w:val="heading 2"/>
    <w:basedOn w:val="1"/>
    <w:next w:val="1"/>
    <w:qFormat/>
    <w:uiPriority w:val="0"/>
    <w:pPr>
      <w:keepNext/>
      <w:keepLines/>
      <w:numPr>
        <w:ilvl w:val="1"/>
        <w:numId w:val="1"/>
      </w:numPr>
      <w:tabs>
        <w:tab w:val="left" w:pos="720"/>
      </w:tabs>
      <w:spacing w:before="260" w:after="260" w:line="416" w:lineRule="atLeast"/>
      <w:outlineLvl w:val="1"/>
    </w:pPr>
    <w:rPr>
      <w:rFonts w:ascii="Arial" w:hAnsi="Arial" w:eastAsia="黑体"/>
      <w:b/>
      <w:bCs/>
      <w:sz w:val="32"/>
      <w:szCs w:val="32"/>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2">
    <w:name w:val="列表段落1"/>
    <w:basedOn w:val="3"/>
    <w:next w:val="1"/>
    <w:qFormat/>
    <w:uiPriority w:val="99"/>
    <w:pPr>
      <w:ind w:firstLine="420"/>
    </w:pPr>
  </w:style>
  <w:style w:type="paragraph" w:customStyle="1" w:styleId="3">
    <w:name w:val="正文1"/>
    <w:basedOn w:val="4"/>
    <w:next w:val="12"/>
    <w:qFormat/>
    <w:uiPriority w:val="0"/>
    <w:rPr>
      <w:rFonts w:ascii="Calibri" w:hAnsi="Calibri"/>
    </w:rPr>
  </w:style>
  <w:style w:type="paragraph" w:customStyle="1" w:styleId="4">
    <w:name w:val="正文11"/>
    <w:next w:val="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
    <w:name w:val="目录 11"/>
    <w:basedOn w:val="6"/>
    <w:next w:val="4"/>
    <w:qFormat/>
    <w:uiPriority w:val="0"/>
    <w:pPr>
      <w:widowControl/>
      <w:spacing w:before="120" w:after="120"/>
      <w:jc w:val="left"/>
    </w:pPr>
    <w:rPr>
      <w:rFonts w:cs="Calibri"/>
      <w:b/>
      <w:bCs/>
      <w:caps/>
      <w:sz w:val="20"/>
      <w:szCs w:val="20"/>
    </w:rPr>
  </w:style>
  <w:style w:type="paragraph" w:customStyle="1" w:styleId="6">
    <w:name w:val="正文12"/>
    <w:next w:val="7"/>
    <w:qFormat/>
    <w:uiPriority w:val="0"/>
    <w:pPr>
      <w:widowControl w:val="0"/>
      <w:jc w:val="both"/>
    </w:pPr>
    <w:rPr>
      <w:rFonts w:hint="default" w:ascii="Calibri" w:hAnsi="Calibri" w:eastAsia="宋体" w:cs="Times New Roman"/>
      <w:sz w:val="21"/>
      <w:szCs w:val="24"/>
      <w:lang w:val="en-US" w:eastAsia="zh-CN" w:bidi="ar-SA"/>
    </w:rPr>
  </w:style>
  <w:style w:type="paragraph" w:customStyle="1" w:styleId="7">
    <w:name w:val="正文文本11"/>
    <w:basedOn w:val="8"/>
    <w:next w:val="9"/>
    <w:qFormat/>
    <w:uiPriority w:val="0"/>
    <w:pPr>
      <w:spacing w:after="120"/>
    </w:pPr>
  </w:style>
  <w:style w:type="paragraph" w:customStyle="1" w:styleId="8">
    <w:name w:val="正文112"/>
    <w:next w:val="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
    <w:name w:val="一级条标题"/>
    <w:basedOn w:val="10"/>
    <w:next w:val="11"/>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10">
    <w:name w:val="章标题"/>
    <w:next w:val="3"/>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11">
    <w:name w:val="段"/>
    <w:basedOn w:val="3"/>
    <w:next w:val="1"/>
    <w:qFormat/>
    <w:uiPriority w:val="0"/>
    <w:pPr>
      <w:widowControl/>
      <w:ind w:firstLine="200"/>
    </w:pPr>
    <w:rPr>
      <w:sz w:val="20"/>
    </w:rPr>
  </w:style>
  <w:style w:type="paragraph" w:customStyle="1" w:styleId="12">
    <w:name w:val="正文文本1"/>
    <w:basedOn w:val="3"/>
    <w:next w:val="3"/>
    <w:qFormat/>
    <w:uiPriority w:val="0"/>
    <w:pPr>
      <w:spacing w:after="120"/>
    </w:pPr>
    <w:rPr>
      <w:lang w:eastAsia="en-US"/>
    </w:rPr>
  </w:style>
  <w:style w:type="paragraph" w:styleId="15">
    <w:name w:val="toa heading"/>
    <w:basedOn w:val="1"/>
    <w:next w:val="1"/>
    <w:qFormat/>
    <w:uiPriority w:val="0"/>
    <w:rPr>
      <w:rFonts w:ascii="Arial" w:hAnsi="Arial"/>
      <w:szCs w:val="20"/>
    </w:rPr>
  </w:style>
  <w:style w:type="paragraph" w:styleId="16">
    <w:name w:val="Body Text"/>
    <w:basedOn w:val="1"/>
    <w:next w:val="1"/>
    <w:qFormat/>
    <w:uiPriority w:val="0"/>
    <w:rPr>
      <w:rFonts w:ascii="楷体_GB2312" w:eastAsia="楷体_GB2312"/>
      <w:sz w:val="28"/>
      <w:szCs w:val="28"/>
    </w:rPr>
  </w:style>
  <w:style w:type="paragraph" w:styleId="17">
    <w:name w:val="Body Text Indent 2"/>
    <w:basedOn w:val="1"/>
    <w:qFormat/>
    <w:uiPriority w:val="99"/>
    <w:pPr>
      <w:widowControl/>
      <w:ind w:left="420" w:leftChars="200"/>
      <w:jc w:val="center"/>
    </w:pPr>
    <w:rPr>
      <w:rFonts w:ascii="宋体" w:hAnsi="宋体"/>
      <w:szCs w:val="12"/>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after="57"/>
    </w:pPr>
  </w:style>
  <w:style w:type="paragraph" w:styleId="21">
    <w:name w:val="Normal (Web)"/>
    <w:basedOn w:val="1"/>
    <w:qFormat/>
    <w:uiPriority w:val="0"/>
    <w:pPr>
      <w:widowControl/>
      <w:spacing w:before="100" w:beforeAutospacing="1" w:after="100" w:afterAutospacing="1"/>
      <w:jc w:val="left"/>
    </w:pPr>
    <w:rPr>
      <w:rFonts w:ascii="宋体" w:cs="宋体"/>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annotation reference"/>
    <w:basedOn w:val="24"/>
    <w:qFormat/>
    <w:uiPriority w:val="0"/>
    <w:rPr>
      <w:sz w:val="21"/>
      <w:szCs w:val="21"/>
    </w:rPr>
  </w:style>
  <w:style w:type="paragraph" w:customStyle="1" w:styleId="26">
    <w:name w:val="目录 1111"/>
    <w:basedOn w:val="1"/>
    <w:next w:val="1"/>
    <w:unhideWhenUsed/>
    <w:qFormat/>
    <w:uiPriority w:val="39"/>
    <w:pPr>
      <w:widowControl/>
      <w:spacing w:after="100" w:line="259" w:lineRule="auto"/>
      <w:jc w:val="left"/>
    </w:pPr>
    <w:rPr>
      <w:rFonts w:ascii="Calibri" w:hAnsi="Calibri"/>
      <w:sz w:val="22"/>
      <w:szCs w:val="22"/>
    </w:rPr>
  </w:style>
  <w:style w:type="character" w:customStyle="1" w:styleId="27">
    <w:name w:val="font31"/>
    <w:basedOn w:val="24"/>
    <w:qFormat/>
    <w:uiPriority w:val="0"/>
    <w:rPr>
      <w:rFonts w:hint="eastAsia" w:ascii="宋体" w:hAnsi="宋体" w:eastAsia="宋体" w:cs="宋体"/>
      <w:color w:val="191919"/>
      <w:sz w:val="24"/>
      <w:szCs w:val="24"/>
      <w:u w:val="none"/>
    </w:rPr>
  </w:style>
  <w:style w:type="character" w:customStyle="1" w:styleId="28">
    <w:name w:val="font41"/>
    <w:basedOn w:val="24"/>
    <w:autoRedefine/>
    <w:qFormat/>
    <w:uiPriority w:val="0"/>
    <w:rPr>
      <w:rFonts w:hint="eastAsia" w:ascii="宋体" w:hAnsi="宋体" w:eastAsia="宋体" w:cs="宋体"/>
      <w:color w:val="000000"/>
      <w:sz w:val="28"/>
      <w:szCs w:val="28"/>
      <w:u w:val="none"/>
    </w:rPr>
  </w:style>
  <w:style w:type="character" w:customStyle="1" w:styleId="29">
    <w:name w:val="font11"/>
    <w:basedOn w:val="24"/>
    <w:qFormat/>
    <w:uiPriority w:val="0"/>
    <w:rPr>
      <w:rFonts w:hint="eastAsia" w:ascii="宋体" w:hAnsi="宋体" w:eastAsia="宋体" w:cs="宋体"/>
      <w:color w:val="000000"/>
      <w:sz w:val="20"/>
      <w:szCs w:val="20"/>
      <w:u w:val="none"/>
    </w:rPr>
  </w:style>
  <w:style w:type="paragraph" w:styleId="30">
    <w:name w:val="List Paragraph"/>
    <w:basedOn w:val="1"/>
    <w:qFormat/>
    <w:uiPriority w:val="0"/>
    <w:pPr>
      <w:ind w:firstLine="420"/>
    </w:pPr>
  </w:style>
  <w:style w:type="character" w:customStyle="1" w:styleId="31">
    <w:name w:val="font61"/>
    <w:basedOn w:val="24"/>
    <w:autoRedefine/>
    <w:qFormat/>
    <w:uiPriority w:val="0"/>
    <w:rPr>
      <w:rFonts w:hint="eastAsia" w:ascii="宋体" w:hAnsi="宋体" w:eastAsia="宋体" w:cs="宋体"/>
      <w:color w:val="0000FF"/>
      <w:sz w:val="28"/>
      <w:szCs w:val="28"/>
      <w:u w:val="none"/>
    </w:rPr>
  </w:style>
  <w:style w:type="paragraph" w:customStyle="1" w:styleId="32">
    <w:name w:val="&quot;Table&quot;"/>
    <w:autoRedefine/>
    <w:qFormat/>
    <w:uiPriority w:val="0"/>
    <w:pPr>
      <w:widowControl w:val="0"/>
      <w:spacing w:line="500" w:lineRule="exact"/>
      <w:jc w:val="center"/>
    </w:pPr>
    <w:rPr>
      <w:rFonts w:hint="eastAsia" w:ascii="Times New Roman" w:hAnsi="Times New Roman" w:eastAsia="仿宋" w:cs="Times New Roman"/>
      <w:kern w:val="2"/>
      <w:sz w:val="21"/>
      <w:szCs w:val="21"/>
      <w:lang w:val="en-US" w:eastAsia="zh-CN" w:bidi="ar-SA"/>
    </w:rPr>
  </w:style>
  <w:style w:type="paragraph" w:customStyle="1" w:styleId="33">
    <w:name w:val="页脚1"/>
    <w:basedOn w:val="1"/>
    <w:qFormat/>
    <w:uiPriority w:val="99"/>
    <w:pPr>
      <w:tabs>
        <w:tab w:val="center" w:pos="4153"/>
        <w:tab w:val="right" w:pos="8306"/>
      </w:tabs>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2564</Words>
  <Characters>2627</Characters>
  <Lines>0</Lines>
  <Paragraphs>0</Paragraphs>
  <TotalTime>0</TotalTime>
  <ScaleCrop>false</ScaleCrop>
  <LinksUpToDate>false</LinksUpToDate>
  <CharactersWithSpaces>2628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2026-03-18T13:14:00Z</dcterms:created>
  <dc:creator>旌训</dc:creator>
  <cp:lastModifiedBy>admin</cp:lastModifiedBy>
  <dcterms:modified xsi:type="dcterms:W3CDTF">2026-04-20T08:09:15Z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392BBC26130D40199F73B91A080CDE63_11</vt:lpwstr>
  </property>
  <property fmtid="{D5CDD505-2E9C-101B-9397-08002B2CF9AE}" pid="4" name="KSOTemplateDocerSaveRecord">
    <vt:lpwstr>eyJoZGlkIjoiNmUyNTM2OGQwZjc2MDEzYjY1NzY5Mzg1NjRkMmRmMjciLCJ1c2VySWQiOiIzMDM4NTU2ODgifQ==</vt:lpwstr>
  </property>
</Properties>
</file>