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500" w:lineRule="exact"/>
        <w:widowControl w:val="off"/>
        <w:rPr>
          <w:rFonts w:hint="eastAsia" w:ascii="宋体" w:hAnsi="宋体" w:eastAsia="宋体" w:cs="宋体"/>
          <w:b w:val="0"/>
          <w:bCs/>
          <w:spacing w:val="20"/>
          <w:sz w:val="28"/>
          <w:szCs w:val="28"/>
        </w:rPr>
      </w:pPr>
      <w:r>
        <w:rPr>
          <w:rFonts w:hint="eastAsia" w:ascii="宋体" w:hAnsi="宋体" w:eastAsia="宋体" w:cs="宋体"/>
          <w:b w:val="0"/>
          <w:bCs/>
          <w:spacing w:val="20"/>
          <w:sz w:val="28"/>
          <w:szCs w:val="28"/>
        </w:rPr>
        <w:t xml:space="preserve">  </w:t>
      </w:r>
      <w:r/>
    </w:p>
    <w:p>
      <w:pPr>
        <w:jc w:val="center"/>
        <w:pageBreakBefore w:val="0"/>
        <w:spacing w:line="500" w:lineRule="exact"/>
        <w:widowControl w:val="off"/>
        <w:rPr>
          <w:rFonts w:hint="eastAsia" w:ascii="宋体" w:hAnsi="宋体" w:eastAsia="宋体" w:cs="宋体"/>
          <w:b w:val="0"/>
          <w:bCs/>
          <w:spacing w:val="20"/>
          <w:sz w:val="28"/>
          <w:szCs w:val="28"/>
          <w:lang w:eastAsia="zh-CN"/>
        </w:rPr>
      </w:pPr>
      <w:r>
        <w:rPr>
          <w:rFonts w:hint="eastAsia" w:ascii="宋体" w:hAnsi="宋体" w:cs="宋体"/>
          <w:b w:val="0"/>
          <w:bCs/>
          <w:spacing w:val="20"/>
          <w:sz w:val="28"/>
          <w:szCs w:val="28"/>
          <w:lang w:eastAsia="zh-CN"/>
        </w:rPr>
        <w:t xml:space="preserve">通州湾示范区灯塔区域2026年度管理服务项目</w:t>
      </w:r>
      <w:r/>
    </w:p>
    <w:p>
      <w:pPr>
        <w:jc w:val="center"/>
        <w:pageBreakBefore w:val="0"/>
        <w:spacing w:line="500" w:lineRule="exact"/>
        <w:widowControl w:val="off"/>
        <w:rPr>
          <w:rFonts w:hint="eastAsia" w:ascii="宋体" w:hAnsi="宋体" w:eastAsia="宋体" w:cs="宋体"/>
          <w:b w:val="0"/>
          <w:bCs/>
          <w:spacing w:val="20"/>
          <w:sz w:val="28"/>
          <w:szCs w:val="28"/>
        </w:rPr>
      </w:pPr>
      <w:r>
        <w:rPr>
          <w:rFonts w:hint="eastAsia" w:ascii="宋体" w:hAnsi="宋体" w:eastAsia="宋体" w:cs="宋体"/>
          <w:b w:val="0"/>
          <w:bCs/>
          <w:spacing w:val="20"/>
          <w:sz w:val="28"/>
          <w:szCs w:val="28"/>
        </w:rPr>
      </w:r>
      <w:r/>
    </w:p>
    <w:p>
      <w:pPr>
        <w:jc w:val="center"/>
        <w:pageBreakBefore w:val="0"/>
        <w:spacing w:line="500" w:lineRule="exact"/>
        <w:widowControl w:val="off"/>
        <w:rPr>
          <w:rFonts w:hint="eastAsia" w:ascii="宋体" w:hAnsi="宋体" w:eastAsia="宋体" w:cs="宋体"/>
          <w:b w:val="0"/>
          <w:bCs/>
          <w:spacing w:val="20"/>
          <w:sz w:val="28"/>
          <w:szCs w:val="28"/>
        </w:rPr>
      </w:pPr>
      <w:r>
        <w:rPr>
          <w:rFonts w:hint="eastAsia" w:ascii="宋体" w:hAnsi="宋体" w:eastAsia="宋体" w:cs="宋体"/>
          <w:b w:val="0"/>
          <w:bCs/>
          <w:spacing w:val="20"/>
          <w:sz w:val="28"/>
          <w:szCs w:val="28"/>
        </w:rPr>
      </w:r>
      <w:r/>
    </w:p>
    <w:p>
      <w:pPr>
        <w:jc w:val="center"/>
        <w:pageBreakBefore w:val="0"/>
        <w:spacing w:line="500" w:lineRule="exact"/>
        <w:widowControl w:val="off"/>
        <w:rPr>
          <w:rFonts w:hint="eastAsia" w:ascii="宋体" w:hAnsi="宋体" w:eastAsia="宋体" w:cs="宋体"/>
          <w:b w:val="0"/>
          <w:bCs/>
          <w:spacing w:val="20"/>
          <w:sz w:val="28"/>
          <w:szCs w:val="28"/>
        </w:rPr>
      </w:pPr>
      <w:r>
        <w:rPr>
          <w:rFonts w:hint="eastAsia" w:ascii="宋体" w:hAnsi="宋体" w:eastAsia="宋体" w:cs="宋体"/>
          <w:b w:val="0"/>
          <w:bCs/>
          <w:spacing w:val="20"/>
          <w:sz w:val="28"/>
          <w:szCs w:val="28"/>
        </w:rPr>
      </w:r>
      <w:r/>
    </w:p>
    <w:p>
      <w:pPr>
        <w:jc w:val="center"/>
        <w:pageBreakBefore w:val="0"/>
        <w:spacing w:line="500" w:lineRule="exact"/>
        <w:widowControl w:val="off"/>
        <w:rPr>
          <w:rFonts w:hint="eastAsia" w:ascii="宋体" w:hAnsi="宋体" w:eastAsia="宋体" w:cs="宋体"/>
          <w:b w:val="0"/>
          <w:bCs/>
          <w:spacing w:val="20"/>
          <w:sz w:val="28"/>
          <w:szCs w:val="28"/>
        </w:rPr>
      </w:pPr>
      <w:r>
        <w:rPr>
          <w:rFonts w:hint="eastAsia" w:ascii="宋体" w:hAnsi="宋体" w:eastAsia="宋体" w:cs="宋体"/>
          <w:b w:val="0"/>
          <w:bCs/>
          <w:spacing w:val="20"/>
          <w:sz w:val="28"/>
          <w:szCs w:val="28"/>
        </w:rPr>
      </w:r>
      <w:r/>
    </w:p>
    <w:p>
      <w:pPr>
        <w:jc w:val="center"/>
        <w:pageBreakBefore w:val="0"/>
        <w:spacing w:line="500" w:lineRule="exact"/>
        <w:widowControl w:val="off"/>
        <w:rPr>
          <w:rFonts w:hint="eastAsia" w:ascii="宋体" w:hAnsi="宋体" w:eastAsia="宋体" w:cs="宋体"/>
          <w:b w:val="0"/>
          <w:bCs/>
          <w:spacing w:val="20"/>
          <w:sz w:val="28"/>
          <w:szCs w:val="28"/>
        </w:rPr>
      </w:pPr>
      <w:r>
        <w:rPr>
          <w:rFonts w:hint="eastAsia" w:ascii="宋体" w:hAnsi="宋体" w:eastAsia="宋体" w:cs="宋体"/>
          <w:b w:val="0"/>
          <w:bCs/>
          <w:spacing w:val="20"/>
          <w:sz w:val="28"/>
          <w:szCs w:val="28"/>
        </w:rPr>
      </w:r>
      <w:r/>
    </w:p>
    <w:p>
      <w:pPr>
        <w:jc w:val="center"/>
        <w:pageBreakBefore w:val="0"/>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招标文件</w:t>
      </w:r>
      <w:r/>
    </w:p>
    <w:p>
      <w:pPr>
        <w:pStyle w:val="888"/>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88"/>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采购文件编号：JSZC-320692-JSDZ-G2026-0021</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rPr>
        <w:t xml:space="preserve"> </w:t>
      </w:r>
      <w:r/>
    </w:p>
    <w:p>
      <w:pPr>
        <w:jc w:val="cente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jc w:val="cente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jc w:val="center"/>
        <w:pageBreakBefore w:val="0"/>
        <w:spacing w:line="360" w:lineRule="auto"/>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ind w:left="-158" w:right="-601" w:firstLine="720"/>
        <w:pageBreakBefore w:val="0"/>
        <w:spacing w:line="360" w:lineRule="auto"/>
        <w:widowControl w:val="off"/>
        <w:rPr>
          <w:rFonts w:hint="eastAsia" w:ascii="宋体" w:hAnsi="宋体" w:eastAsia="宋体" w:cs="宋体"/>
          <w:b w:val="0"/>
          <w:bCs/>
          <w:sz w:val="28"/>
          <w:szCs w:val="28"/>
          <w:lang w:eastAsia="zh-CN"/>
        </w:rPr>
      </w:pPr>
      <w:r>
        <w:rPr>
          <w:rFonts w:hint="eastAsia" w:ascii="宋体" w:hAnsi="宋体" w:eastAsia="宋体" w:cs="宋体"/>
          <w:b w:val="0"/>
          <w:bCs/>
          <w:spacing w:val="0"/>
          <w:sz w:val="28"/>
          <w:szCs w:val="28"/>
        </w:rPr>
        <w:t xml:space="preserve">采购人：</w:t>
      </w:r>
      <w:r>
        <w:rPr>
          <w:rFonts w:hint="eastAsia" w:ascii="宋体" w:hAnsi="宋体" w:eastAsia="宋体" w:cs="宋体"/>
          <w:b w:val="0"/>
          <w:bCs/>
          <w:sz w:val="28"/>
          <w:szCs w:val="28"/>
          <w:lang w:eastAsia="zh-CN"/>
        </w:rPr>
        <w:t xml:space="preserve">江苏省通州湾江海联动开发示范区第一办事处</w:t>
      </w:r>
      <w:r/>
    </w:p>
    <w:p>
      <w:pPr>
        <w:ind w:left="-158" w:right="-601" w:firstLine="720"/>
        <w:pageBreakBefore w:val="0"/>
        <w:spacing w:line="360" w:lineRule="auto"/>
        <w:widowControl w:val="off"/>
        <w:rPr>
          <w:rFonts w:hint="eastAsia" w:ascii="宋体" w:hAnsi="宋体" w:eastAsia="宋体" w:cs="宋体"/>
          <w:b w:val="0"/>
          <w:bCs/>
          <w:sz w:val="28"/>
          <w:szCs w:val="28"/>
          <w:lang w:eastAsia="zh-CN"/>
        </w:rPr>
      </w:pPr>
      <w:r>
        <w:rPr>
          <w:rFonts w:hint="eastAsia" w:ascii="宋体" w:hAnsi="宋体" w:eastAsia="宋体" w:cs="宋体"/>
          <w:b w:val="0"/>
          <w:bCs/>
          <w:sz w:val="28"/>
          <w:szCs w:val="28"/>
        </w:rPr>
        <w:t xml:space="preserve">代理机构：</w:t>
      </w:r>
      <w:r>
        <w:rPr>
          <w:rFonts w:hint="eastAsia" w:ascii="宋体" w:hAnsi="宋体" w:eastAsia="宋体" w:cs="宋体"/>
          <w:b w:val="0"/>
          <w:bCs/>
          <w:sz w:val="28"/>
          <w:szCs w:val="28"/>
          <w:lang w:eastAsia="zh-CN"/>
        </w:rPr>
        <w:t xml:space="preserve">大洲设计咨询集团有限公司</w:t>
      </w:r>
      <w:r/>
    </w:p>
    <w:p>
      <w:pPr>
        <w:jc w:val="center"/>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 xml:space="preserve">2026</w:t>
      </w:r>
      <w:r>
        <w:rPr>
          <w:rFonts w:hint="eastAsia" w:ascii="宋体" w:hAnsi="宋体" w:eastAsia="宋体" w:cs="宋体"/>
          <w:b w:val="0"/>
          <w:bCs/>
          <w:sz w:val="28"/>
          <w:szCs w:val="28"/>
        </w:rPr>
        <w:t xml:space="preserve">年</w:t>
      </w:r>
      <w:r>
        <w:rPr>
          <w:rFonts w:hint="eastAsia" w:ascii="宋体" w:hAnsi="宋体" w:cs="宋体"/>
          <w:b w:val="0"/>
          <w:bCs/>
          <w:sz w:val="28"/>
          <w:szCs w:val="28"/>
          <w:lang w:val="en-US" w:eastAsia="zh-CN"/>
        </w:rPr>
        <w:t xml:space="preserve">4</w:t>
      </w:r>
      <w:r>
        <w:rPr>
          <w:rFonts w:hint="eastAsia" w:ascii="宋体" w:hAnsi="宋体" w:eastAsia="宋体" w:cs="宋体"/>
          <w:b w:val="0"/>
          <w:bCs/>
          <w:sz w:val="28"/>
          <w:szCs w:val="28"/>
        </w:rPr>
        <w:t xml:space="preserve">月</w:t>
      </w:r>
      <w:r/>
    </w:p>
    <w:p>
      <w:pPr>
        <w:pageBreakBefore w:val="0"/>
        <w:widowControl w:val="off"/>
        <w:rPr>
          <w:rFonts w:hint="eastAsia" w:ascii="宋体" w:hAnsi="宋体" w:eastAsia="宋体" w:cs="宋体"/>
          <w:b w:val="0"/>
          <w:bCs/>
          <w:sz w:val="32"/>
          <w:szCs w:val="32"/>
        </w:rPr>
      </w:pPr>
      <w:r>
        <w:rPr>
          <w:rFonts w:hint="eastAsia" w:ascii="宋体" w:hAnsi="宋体" w:eastAsia="宋体" w:cs="宋体"/>
          <w:b w:val="0"/>
          <w:bCs/>
          <w:sz w:val="32"/>
          <w:szCs w:val="32"/>
        </w:rPr>
        <w:br w:type="page" w:clear="all"/>
      </w:r>
      <w:r/>
    </w:p>
    <w:p>
      <w:pPr>
        <w:jc w:val="center"/>
        <w:pageBreakBefore w:val="0"/>
        <w:spacing w:line="440" w:lineRule="exact"/>
        <w:widowControl w:val="off"/>
        <w:rPr>
          <w:rFonts w:hint="eastAsia" w:ascii="宋体" w:hAnsi="宋体" w:eastAsia="宋体" w:cs="宋体"/>
          <w:sz w:val="32"/>
          <w:szCs w:val="32"/>
        </w:rPr>
      </w:pPr>
      <w:r>
        <w:rPr>
          <w:rFonts w:hint="eastAsia" w:ascii="宋体" w:hAnsi="宋体" w:eastAsia="宋体" w:cs="宋体"/>
          <w:sz w:val="32"/>
          <w:szCs w:val="32"/>
        </w:rPr>
        <w:t xml:space="preserve">目 录</w:t>
      </w:r>
      <w:r/>
    </w:p>
    <w:p>
      <w:pPr>
        <w:ind w:firstLine="640"/>
        <w:pageBreakBefore w:val="0"/>
        <w:spacing w:line="440" w:lineRule="exact"/>
        <w:widowControl w:val="off"/>
        <w:tabs>
          <w:tab w:val="left" w:pos="7740" w:leader="none"/>
        </w:tabs>
        <w:rPr>
          <w:rFonts w:hint="eastAsia" w:ascii="宋体" w:hAnsi="宋体" w:eastAsia="宋体" w:cs="宋体"/>
          <w:spacing w:val="2"/>
          <w:sz w:val="24"/>
          <w:szCs w:val="24"/>
        </w:rPr>
      </w:pPr>
      <w:r>
        <w:rPr>
          <w:rFonts w:hint="eastAsia" w:ascii="宋体" w:hAnsi="宋体" w:eastAsia="宋体" w:cs="宋体"/>
          <w:bCs/>
          <w:sz w:val="24"/>
          <w:szCs w:val="24"/>
        </w:rPr>
        <w:t xml:space="preserve">第一部分  投标邀请</w:t>
      </w:r>
      <w:r/>
    </w:p>
    <w:p>
      <w:pPr>
        <w:ind w:firstLine="640"/>
        <w:pageBreakBefore w:val="0"/>
        <w:spacing w:line="440" w:lineRule="exact"/>
        <w:widowControl w:val="off"/>
        <w:tabs>
          <w:tab w:val="left" w:pos="7740" w:leader="none"/>
        </w:tabs>
        <w:rPr>
          <w:rFonts w:hint="eastAsia" w:ascii="宋体" w:hAnsi="宋体" w:eastAsia="宋体" w:cs="宋体"/>
          <w:spacing w:val="2"/>
          <w:sz w:val="24"/>
          <w:szCs w:val="24"/>
        </w:rPr>
      </w:pPr>
      <w:r>
        <w:rPr>
          <w:rFonts w:hint="eastAsia" w:ascii="宋体" w:hAnsi="宋体" w:eastAsia="宋体" w:cs="宋体"/>
          <w:bCs/>
          <w:sz w:val="24"/>
          <w:szCs w:val="24"/>
        </w:rPr>
        <w:t xml:space="preserve">第二部分  投标须知</w:t>
      </w:r>
      <w:r/>
    </w:p>
    <w:p>
      <w:pPr>
        <w:ind w:firstLine="640"/>
        <w:pageBreakBefore w:val="0"/>
        <w:spacing w:line="440" w:lineRule="exact"/>
        <w:widowControl w:val="off"/>
        <w:tabs>
          <w:tab w:val="left" w:pos="7740" w:leader="none"/>
        </w:tabs>
        <w:rPr>
          <w:rFonts w:hint="eastAsia" w:ascii="宋体" w:hAnsi="宋体" w:eastAsia="宋体" w:cs="宋体"/>
          <w:spacing w:val="2"/>
          <w:sz w:val="24"/>
          <w:szCs w:val="24"/>
        </w:rPr>
      </w:pPr>
      <w:r>
        <w:rPr>
          <w:rFonts w:hint="eastAsia" w:ascii="宋体" w:hAnsi="宋体" w:eastAsia="宋体" w:cs="宋体"/>
          <w:bCs/>
          <w:sz w:val="24"/>
          <w:szCs w:val="24"/>
        </w:rPr>
        <w:t xml:space="preserve">第三部分  项目需求</w:t>
      </w:r>
      <w:r/>
    </w:p>
    <w:p>
      <w:pPr>
        <w:ind w:firstLine="640"/>
        <w:pageBreakBefore w:val="0"/>
        <w:spacing w:line="440" w:lineRule="exact"/>
        <w:widowControl w:val="off"/>
        <w:tabs>
          <w:tab w:val="left" w:pos="7740" w:leader="none"/>
        </w:tabs>
        <w:rPr>
          <w:rFonts w:hint="eastAsia" w:ascii="宋体" w:hAnsi="宋体" w:eastAsia="宋体" w:cs="宋体"/>
          <w:spacing w:val="2"/>
          <w:sz w:val="24"/>
          <w:szCs w:val="24"/>
        </w:rPr>
      </w:pPr>
      <w:r>
        <w:rPr>
          <w:rFonts w:hint="eastAsia" w:ascii="宋体" w:hAnsi="宋体" w:eastAsia="宋体" w:cs="宋体"/>
          <w:sz w:val="24"/>
          <w:szCs w:val="24"/>
        </w:rPr>
        <w:t xml:space="preserve">第四部分  </w:t>
      </w:r>
      <w:r>
        <w:rPr>
          <w:rFonts w:hint="eastAsia" w:ascii="宋体" w:hAnsi="宋体" w:eastAsia="宋体" w:cs="宋体"/>
          <w:bCs/>
          <w:sz w:val="24"/>
          <w:szCs w:val="24"/>
        </w:rPr>
        <w:t xml:space="preserve">开标和评标</w:t>
      </w:r>
      <w:r/>
    </w:p>
    <w:p>
      <w:pPr>
        <w:ind w:firstLine="640"/>
        <w:pageBreakBefore w:val="0"/>
        <w:spacing w:line="440" w:lineRule="exact"/>
        <w:widowControl w:val="off"/>
        <w:tabs>
          <w:tab w:val="left" w:pos="7740" w:leader="none"/>
        </w:tabs>
        <w:rPr>
          <w:rFonts w:hint="eastAsia" w:ascii="宋体" w:hAnsi="宋体" w:eastAsia="宋体" w:cs="宋体"/>
          <w:spacing w:val="2"/>
          <w:sz w:val="24"/>
          <w:szCs w:val="24"/>
        </w:rPr>
      </w:pPr>
      <w:r>
        <w:rPr>
          <w:rFonts w:hint="eastAsia" w:ascii="宋体" w:hAnsi="宋体" w:eastAsia="宋体" w:cs="宋体"/>
          <w:bCs/>
          <w:sz w:val="24"/>
          <w:szCs w:val="24"/>
        </w:rPr>
        <w:t xml:space="preserve">第五部分  投标文件组成</w:t>
      </w:r>
      <w:r/>
    </w:p>
    <w:p>
      <w:pPr>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pageBreakBefore w:val="0"/>
        <w:spacing w:line="440" w:lineRule="exact"/>
        <w:widowControl w:val="off"/>
        <w:tabs>
          <w:tab w:val="left" w:pos="7740" w:leader="none"/>
        </w:tabs>
        <w:rPr>
          <w:rFonts w:hint="eastAsia" w:ascii="宋体" w:hAnsi="宋体" w:eastAsia="宋体" w:cs="宋体"/>
          <w:b/>
          <w:spacing w:val="2"/>
          <w:sz w:val="24"/>
          <w:szCs w:val="24"/>
        </w:rPr>
      </w:pPr>
      <w:r>
        <w:rPr>
          <w:rFonts w:hint="eastAsia" w:ascii="宋体" w:hAnsi="宋体" w:eastAsia="宋体" w:cs="宋体"/>
          <w:b/>
          <w:spacing w:val="2"/>
          <w:sz w:val="24"/>
          <w:szCs w:val="24"/>
        </w:rPr>
      </w:r>
      <w:r/>
    </w:p>
    <w:p>
      <w:pPr>
        <w:pageBreakBefore w:val="0"/>
        <w:spacing w:line="440" w:lineRule="exact"/>
        <w:widowControl w:val="off"/>
        <w:tabs>
          <w:tab w:val="left" w:pos="7740" w:leader="none"/>
        </w:tabs>
        <w:rPr>
          <w:rFonts w:hint="eastAsia" w:ascii="宋体" w:hAnsi="宋体" w:eastAsia="宋体" w:cs="宋体"/>
          <w:b/>
          <w:spacing w:val="2"/>
          <w:sz w:val="24"/>
          <w:szCs w:val="24"/>
        </w:rPr>
      </w:pPr>
      <w:r>
        <w:rPr>
          <w:rFonts w:hint="eastAsia" w:ascii="宋体" w:hAnsi="宋体" w:eastAsia="宋体" w:cs="宋体"/>
          <w:b/>
          <w:spacing w:val="2"/>
          <w:sz w:val="24"/>
          <w:szCs w:val="24"/>
        </w:rPr>
      </w:r>
      <w:r/>
    </w:p>
    <w:p>
      <w:pPr>
        <w:pageBreakBefore w:val="0"/>
        <w:spacing w:line="440" w:lineRule="exact"/>
        <w:widowControl w:val="off"/>
        <w:tabs>
          <w:tab w:val="left" w:pos="7740" w:leader="none"/>
        </w:tabs>
        <w:rPr>
          <w:rFonts w:hint="eastAsia" w:ascii="宋体" w:hAnsi="宋体" w:eastAsia="宋体" w:cs="宋体"/>
          <w:b/>
          <w:bCs/>
          <w:sz w:val="24"/>
          <w:szCs w:val="24"/>
        </w:rPr>
      </w:pPr>
      <w:r>
        <w:rPr>
          <w:rFonts w:hint="eastAsia" w:ascii="宋体" w:hAnsi="宋体" w:eastAsia="宋体" w:cs="宋体"/>
          <w:b/>
          <w:bCs/>
          <w:sz w:val="24"/>
          <w:szCs w:val="24"/>
        </w:rPr>
      </w:r>
      <w:r/>
    </w:p>
    <w:p>
      <w:pPr>
        <w:pageBreakBefore w:val="0"/>
        <w:spacing w:line="440" w:lineRule="exact"/>
        <w:widowControl w:val="off"/>
        <w:rPr>
          <w:rFonts w:hint="eastAsia" w:ascii="宋体" w:hAnsi="宋体" w:eastAsia="宋体" w:cs="宋体"/>
          <w:b/>
          <w:sz w:val="24"/>
          <w:szCs w:val="24"/>
        </w:rPr>
        <w:outlineLvl w:val="0"/>
      </w:pPr>
      <w:r>
        <w:rPr>
          <w:rFonts w:hint="eastAsia" w:ascii="宋体" w:hAnsi="宋体" w:eastAsia="宋体" w:cs="宋体"/>
          <w:b/>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jc w:val="center"/>
        <w:pageBreakBefore w:val="0"/>
        <w:spacing w:line="440" w:lineRule="exact"/>
        <w:widowControl w:val="off"/>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pageBreakBefore w:val="0"/>
        <w:spacing w:line="440" w:lineRule="exact"/>
        <w:widowControl w:val="off"/>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pageBreakBefore w:val="0"/>
        <w:spacing w:line="440" w:lineRule="exact"/>
        <w:widowControl w:val="off"/>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pageBreakBefore w:val="0"/>
        <w:spacing w:line="440" w:lineRule="exact"/>
        <w:widowControl w:val="off"/>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pageBreakBefore w:val="0"/>
        <w:spacing w:line="440" w:lineRule="exact"/>
        <w:widowControl w:val="off"/>
        <w:rPr>
          <w:rFonts w:hint="eastAsia" w:ascii="宋体" w:hAnsi="宋体" w:eastAsia="宋体" w:cs="宋体"/>
          <w:bCs/>
          <w:sz w:val="32"/>
          <w:szCs w:val="32"/>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Cs/>
          <w:sz w:val="32"/>
          <w:szCs w:val="32"/>
        </w:rPr>
      </w:r>
      <w:r/>
    </w:p>
    <w:p>
      <w:pPr>
        <w:jc w:val="center"/>
        <w:pageBreakBefore w:val="0"/>
        <w:spacing w:line="440" w:lineRule="exact"/>
        <w:widowControl w:val="off"/>
        <w:rPr>
          <w:rFonts w:hint="eastAsia" w:ascii="宋体" w:hAnsi="宋体" w:eastAsia="宋体" w:cs="宋体"/>
          <w:bCs/>
          <w:sz w:val="24"/>
          <w:szCs w:val="24"/>
        </w:rPr>
        <w:outlineLvl w:val="0"/>
      </w:pPr>
      <w:r>
        <w:rPr>
          <w:rFonts w:hint="eastAsia" w:ascii="宋体" w:hAnsi="宋体" w:eastAsia="宋体" w:cs="宋体"/>
          <w:bCs/>
          <w:sz w:val="32"/>
          <w:szCs w:val="32"/>
        </w:rPr>
        <w:t xml:space="preserve">第一部分  </w:t>
      </w:r>
      <w:bookmarkStart w:id="0" w:name="OLE_LINK5"/>
      <w:r/>
      <w:bookmarkStart w:id="1" w:name="OLE_LINK7"/>
      <w:r>
        <w:rPr>
          <w:rFonts w:hint="eastAsia" w:ascii="宋体" w:hAnsi="宋体" w:eastAsia="宋体" w:cs="宋体"/>
          <w:bCs/>
          <w:sz w:val="32"/>
          <w:szCs w:val="32"/>
        </w:rPr>
        <w:t xml:space="preserve">投标邀请</w:t>
      </w:r>
      <w:r/>
    </w:p>
    <w:p>
      <w:pPr>
        <w:ind w:firstLine="482"/>
        <w:pageBreakBefore w:val="0"/>
        <w:spacing w:line="440" w:lineRule="exact"/>
        <w:widowControl w:val="off"/>
        <w:rPr>
          <w:rFonts w:hint="eastAsia" w:ascii="宋体" w:hAnsi="宋体" w:eastAsia="宋体" w:cs="宋体"/>
          <w:sz w:val="24"/>
          <w:szCs w:val="24"/>
        </w:rPr>
      </w:pPr>
      <w:r/>
      <w:bookmarkStart w:id="2" w:name="OLE_LINK6"/>
      <w:r>
        <w:rPr>
          <w:rFonts w:hint="eastAsia" w:ascii="宋体" w:hAnsi="宋体" w:eastAsia="宋体" w:cs="宋体"/>
          <w:b w:val="0"/>
          <w:bCs w:val="0"/>
          <w:sz w:val="24"/>
          <w:szCs w:val="24"/>
        </w:rPr>
        <w:t xml:space="preserve">受</w:t>
      </w:r>
      <w:r>
        <w:rPr>
          <w:rFonts w:hint="eastAsia" w:ascii="宋体" w:hAnsi="宋体" w:eastAsia="宋体" w:cs="宋体"/>
          <w:b w:val="0"/>
          <w:bCs w:val="0"/>
          <w:sz w:val="24"/>
          <w:szCs w:val="24"/>
          <w:lang w:eastAsia="zh-CN"/>
        </w:rPr>
        <w:t xml:space="preserve">江苏省通州湾江海联动开发示范区第一办事处</w:t>
      </w:r>
      <w:r>
        <w:rPr>
          <w:rFonts w:hint="eastAsia" w:ascii="宋体" w:hAnsi="宋体" w:eastAsia="宋体" w:cs="宋体"/>
          <w:b w:val="0"/>
          <w:bCs w:val="0"/>
          <w:sz w:val="24"/>
          <w:szCs w:val="24"/>
        </w:rPr>
        <w:t xml:space="preserve">（以</w:t>
      </w:r>
      <w:r>
        <w:rPr>
          <w:rFonts w:hint="eastAsia" w:ascii="宋体" w:hAnsi="宋体" w:eastAsia="宋体" w:cs="宋体"/>
          <w:b w:val="0"/>
          <w:bCs w:val="0"/>
          <w:sz w:val="24"/>
          <w:szCs w:val="24"/>
          <w:lang w:eastAsia="zh-CN"/>
        </w:rPr>
        <w:t xml:space="preserve">下</w:t>
      </w:r>
      <w:r>
        <w:rPr>
          <w:rFonts w:hint="eastAsia" w:ascii="宋体" w:hAnsi="宋体" w:eastAsia="宋体" w:cs="宋体"/>
          <w:b w:val="0"/>
          <w:bCs w:val="0"/>
          <w:sz w:val="24"/>
          <w:szCs w:val="24"/>
        </w:rPr>
        <w:t xml:space="preserve">称采购人）的委托就[通州湾示范区灯塔区域2026年度管理服务项目</w:t>
      </w:r>
      <w:r>
        <w:rPr>
          <w:rFonts w:hint="eastAsia" w:ascii="宋体" w:hAnsi="宋体" w:eastAsia="宋体" w:cs="宋体"/>
          <w:sz w:val="24"/>
          <w:szCs w:val="24"/>
        </w:rPr>
        <w:t xml:space="preserve">](项目编号:</w:t>
      </w:r>
      <w:r>
        <w:rPr>
          <w:rFonts w:hint="eastAsia" w:ascii="宋体" w:hAnsi="宋体" w:eastAsia="宋体" w:cs="宋体"/>
          <w:sz w:val="24"/>
          <w:szCs w:val="24"/>
          <w:lang w:val="en-US" w:eastAsia="zh-CN"/>
        </w:rPr>
        <w:t xml:space="preserve"> JSZC-320692-JSDZ-G2026-0021</w:t>
      </w:r>
      <w:r>
        <w:rPr>
          <w:rFonts w:hint="eastAsia" w:ascii="宋体" w:hAnsi="宋体" w:eastAsia="宋体" w:cs="宋体"/>
          <w:sz w:val="24"/>
          <w:szCs w:val="24"/>
        </w:rPr>
        <w:t xml:space="preserve">)进行公开招标采购，欢迎符合条件的供应商投标。</w:t>
      </w:r>
      <w:r/>
    </w:p>
    <w:p>
      <w:pPr>
        <w:ind w:firstLine="480"/>
        <w:pageBreakBefore w:val="0"/>
        <w:spacing w:line="44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pageBreakBefore w:val="0"/>
        <w:spacing w:line="44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sz w:val="24"/>
          <w:szCs w:val="24"/>
          <w:lang w:eastAsia="zh-CN"/>
        </w:rPr>
        <w:t xml:space="preserve">通州湾示范区灯塔区域2026年度管理服务项目</w:t>
      </w:r>
      <w:r>
        <w:rPr>
          <w:rFonts w:hint="eastAsia" w:ascii="宋体" w:hAnsi="宋体" w:eastAsia="宋体" w:cs="宋体"/>
          <w:sz w:val="24"/>
          <w:szCs w:val="24"/>
        </w:rPr>
        <w:t xml:space="preserve">的潜在投标人应在江苏政府采购网获取招标文件，并于</w:t>
      </w:r>
      <w:r>
        <w:rPr>
          <w:rFonts w:hint="eastAsia" w:ascii="宋体" w:hAnsi="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24</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eastAsia="宋体" w:cs="宋体"/>
          <w:sz w:val="24"/>
          <w:szCs w:val="24"/>
        </w:rPr>
        <w:t xml:space="preserve">点00分（北京时间）前递交投标文件。</w:t>
      </w:r>
      <w:r/>
    </w:p>
    <w:p>
      <w:pPr>
        <w:ind w:firstLine="482"/>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 一、项目基本情况</w:t>
      </w:r>
      <w:r/>
    </w:p>
    <w:p>
      <w:pPr>
        <w:ind w:firstLine="48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通州湾示范区灯塔区域2026年度管理服务项目</w:t>
      </w:r>
      <w:r/>
    </w:p>
    <w:p>
      <w:pPr>
        <w:ind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项目类型：</w:t>
      </w:r>
      <w:r>
        <w:rPr>
          <w:rFonts w:hint="eastAsia" w:ascii="宋体" w:hAnsi="宋体" w:eastAsia="宋体" w:cs="宋体"/>
          <w:sz w:val="24"/>
          <w:szCs w:val="24"/>
          <w:highlight w:val="none"/>
          <w:lang w:val="en-US" w:eastAsia="zh-CN"/>
        </w:rPr>
        <w:t xml:space="preserve">服务</w:t>
      </w:r>
      <w:r/>
    </w:p>
    <w:p>
      <w:pPr>
        <w:ind w:firstLine="48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所属行业：</w:t>
      </w:r>
      <w:r>
        <w:rPr>
          <w:rFonts w:ascii="宋体" w:hAnsi="宋体" w:eastAsia="宋体" w:cs="宋体"/>
          <w:sz w:val="24"/>
          <w:szCs w:val="24"/>
        </w:rPr>
        <w:t xml:space="preserve">其他未列明行业</w:t>
      </w:r>
      <w:r>
        <w:rPr>
          <w:rFonts w:hint="eastAsia" w:ascii="宋体" w:hAnsi="宋体" w:cs="宋体"/>
          <w:sz w:val="24"/>
          <w:szCs w:val="24"/>
          <w:highlight w:val="none"/>
          <w:lang w:val="en-US" w:eastAsia="zh-CN"/>
        </w:rPr>
        <w:t xml:space="preserve"> </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303.78</w:t>
      </w:r>
      <w:r>
        <w:rPr>
          <w:rFonts w:hint="eastAsia" w:ascii="宋体" w:hAnsi="宋体" w:eastAsia="宋体" w:cs="宋体"/>
          <w:sz w:val="24"/>
          <w:szCs w:val="24"/>
          <w:highlight w:val="none"/>
        </w:rPr>
        <w:t xml:space="preserve">万元</w:t>
      </w:r>
      <w:r/>
    </w:p>
    <w:p>
      <w:pPr>
        <w:ind w:firstLine="480"/>
        <w:pageBreakBefore w:val="0"/>
        <w:spacing w:line="44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最高限价：</w:t>
      </w:r>
      <w:r>
        <w:rPr>
          <w:rFonts w:hint="eastAsia" w:ascii="宋体" w:hAnsi="宋体" w:cs="宋体"/>
          <w:sz w:val="24"/>
          <w:szCs w:val="24"/>
          <w:highlight w:val="none"/>
          <w:lang w:val="en-US" w:eastAsia="zh-CN"/>
        </w:rPr>
        <w:t xml:space="preserve">301.14万元</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采购需求：详见采购文件，请仔细研究</w:t>
      </w:r>
      <w:r/>
    </w:p>
    <w:p>
      <w:pPr>
        <w:ind w:firstLine="482"/>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（一）通用资格要求</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b/>
          <w:bCs/>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jc w:val="left"/>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3.本项目的特定资格要求：</w:t>
      </w:r>
      <w:r>
        <w:rPr>
          <w:rFonts w:hint="eastAsia" w:ascii="宋体" w:hAnsi="宋体" w:cs="宋体"/>
          <w:sz w:val="24"/>
          <w:szCs w:val="24"/>
          <w:highlight w:val="none"/>
          <w:lang w:val="en-US" w:eastAsia="zh-CN"/>
        </w:rPr>
        <w:t xml:space="preserve">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本项目（是/否）接受联合体投标：否</w:t>
      </w:r>
      <w:r/>
    </w:p>
    <w:p>
      <w:pPr>
        <w:ind w:firstLine="482"/>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本项目（是/否）接受分包：否</w:t>
      </w:r>
      <w:r/>
    </w:p>
    <w:p>
      <w:pPr>
        <w:ind w:firstLine="482"/>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1.时间：自本公告发布之日起5个工作日。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2.地点：网上注册登记成功后“苏采云”系统内免费下载。</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3.获取方式：自行下载。</w:t>
      </w:r>
      <w:r/>
    </w:p>
    <w:p>
      <w:pPr>
        <w:ind w:firstLine="482"/>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提交投标文件截止时间及开标时间：</w:t>
      </w:r>
      <w:r>
        <w:rPr>
          <w:rFonts w:hint="eastAsia" w:ascii="宋体" w:hAnsi="宋体" w:cs="宋体"/>
          <w:sz w:val="24"/>
          <w:szCs w:val="24"/>
          <w:highlight w:val="none"/>
          <w:u w:val="single"/>
          <w:lang w:val="en-US" w:eastAsia="zh-CN"/>
        </w:rPr>
        <w:t xml:space="preserve">2026</w:t>
      </w:r>
      <w:r>
        <w:rPr>
          <w:rFonts w:hint="eastAsia" w:ascii="宋体" w:hAnsi="宋体" w:eastAsia="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4</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24</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点00分</w:t>
      </w:r>
      <w:r>
        <w:rPr>
          <w:rFonts w:hint="eastAsia" w:ascii="宋体" w:hAnsi="宋体" w:eastAsia="宋体" w:cs="宋体"/>
          <w:sz w:val="24"/>
          <w:szCs w:val="24"/>
          <w:highlight w:val="none"/>
        </w:rPr>
        <w:t xml:space="preserve">（北京时间）；逾时，“苏采云”系统将拒绝接受上传投标文件电子文档。</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提交投标文件地点：“苏采云”系统</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线上开标地点：“苏采云”系统“开标大厅”。</w:t>
      </w:r>
      <w:r/>
    </w:p>
    <w:p>
      <w:pPr>
        <w:ind w:firstLine="482"/>
        <w:jc w:val="left"/>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五、公告期限</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ind w:firstLine="482"/>
        <w:jc w:val="left"/>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六、其他补充事宜</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1.投标保证金：免收。</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2.项目开标活动模式：不见面远程开标模式，投标人在各自地点通过不见面交易系统参加开标会。</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3.项目演示、样品、答辩等（如有请描述）：无。</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项目需求部分（供应商资格要求、项目需求、评分标准）的询问、质疑请向采购人提出，由采购人负责答复；对项目招标文件其它部分的询问请向请向招标文件制作人或项目采购经办人提出；对在“电子交易平台”操作阶段的询问请向交易系统软件维护人员提出。</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5.有关本次招标的事项若存在变动或修改，均以江苏政府采购网发布的更正或补充通知为准，敬请及时关注。</w:t>
      </w:r>
      <w:r/>
    </w:p>
    <w:p>
      <w:pPr>
        <w:ind w:firstLine="468"/>
        <w:jc w:val="left"/>
        <w:pageBreakBefore w:val="0"/>
        <w:spacing w:line="440" w:lineRule="exact"/>
        <w:shd w:val="clear" w:color="auto" w:fill="ffffff"/>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7.潜在供应商访问电子招标响应交易平台的网络地址和方法：</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8.潜在供应商访问“苏采云”系统的网络地址和方法：“苏采云”系统的网址：http://jszfcg.jsczt.cn/。</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9.“CA数字证书”的获取：</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响应供应商需办理“CA数字证书”，CA办理指南及“苏采云”操作手册可至江苏政府采购网―办事指南-资料下载中心下载。</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根据省财政厅《关</w:t>
      </w:r>
      <w:r>
        <w:rPr>
          <w:rFonts w:hint="eastAsia" w:ascii="宋体" w:hAnsi="宋体" w:eastAsia="宋体" w:cs="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10.采购文件（后缀名为“.kedt”）、供应商操作手册及政府采购客户端工具可通过“苏采云”系统--已报名项目--报名详情页面内相应链接进行下载。</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11.采购人或采购代理机构将数据电文形式的采购文件加载至“苏采云”系统，供潜在供应商下载或者查阅。</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12.请潜在供应商提前安装相应的控件（详见《江苏省政府采购管理交易系统（苏采云）供应商操作手册》）并登录“苏采云”系统参与不见面开评标。</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14.投标文件的解密：开标当天投标人应及时登录“苏采云”不见面开标大厅，并在规定时间内自行实施远程解密。</w:t>
      </w:r>
      <w:r>
        <w:rPr>
          <w:rFonts w:hint="eastAsia" w:ascii="宋体" w:hAnsi="宋体" w:eastAsia="宋体" w:cs="宋体"/>
          <w:b/>
          <w:sz w:val="24"/>
          <w:szCs w:val="24"/>
          <w:highlight w:val="none"/>
        </w:rPr>
        <w:t xml:space="preserve">投标人解密时间限定为投标文件解密指令发出后30分钟（投标人应当充分考虑网络延时造成的本地网络计时不一致风险，提前完成解密动作）。</w:t>
      </w:r>
      <w:r>
        <w:rPr>
          <w:rFonts w:hint="eastAsia" w:ascii="宋体" w:hAnsi="宋体" w:eastAsia="宋体" w:cs="宋体"/>
          <w:b/>
          <w:bCs/>
          <w:sz w:val="24"/>
          <w:szCs w:val="24"/>
          <w:highlight w:val="none"/>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eastAsia="宋体" w:cs="宋体"/>
          <w:sz w:val="24"/>
          <w:szCs w:val="24"/>
          <w:highlight w:val="none"/>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70"/>
        <w:pageBreakBefore w:val="0"/>
        <w:spacing w:line="440" w:lineRule="exact"/>
        <w:shd w:val="clear" w:color="auto" w:fill="ffffff"/>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注：如潜在供应商未按上述要求操作，将自行承担所产生的风险。</w:t>
      </w:r>
      <w:r/>
    </w:p>
    <w:p>
      <w:pPr>
        <w:ind w:firstLine="468"/>
        <w:pageBreakBefore w:val="0"/>
        <w:spacing w:line="440" w:lineRule="exact"/>
        <w:shd w:val="clear" w:color="auto" w:fill="ffffff"/>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七、凡对本次采购提出询问，请按以下方式联系。</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eastAsia="zh-CN"/>
        </w:rPr>
        <w:t xml:space="preserve">江苏省通州湾江海联动开发示范区第一办事处</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址：通州湾示范区滨海大道189号</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联系人：张女士</w:t>
      </w:r>
      <w:r/>
    </w:p>
    <w:p>
      <w:pPr>
        <w:ind w:firstLine="47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联系方式：18014368803 </w:t>
      </w:r>
      <w:r>
        <w:rPr>
          <w:rFonts w:hint="eastAsia" w:ascii="宋体" w:hAnsi="宋体" w:eastAsia="宋体" w:cs="宋体"/>
          <w:sz w:val="24"/>
          <w:szCs w:val="24"/>
          <w:highlight w:val="none"/>
          <w:lang w:val="en-US" w:eastAsia="zh-CN"/>
        </w:rPr>
        <w:t xml:space="preserve"> </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7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大洲设计咨询集团有限公司</w:t>
      </w:r>
      <w:r/>
    </w:p>
    <w:p>
      <w:pPr>
        <w:ind w:firstLine="47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地址：南通市</w:t>
      </w:r>
      <w:r>
        <w:rPr>
          <w:rFonts w:hint="eastAsia" w:ascii="宋体" w:hAnsi="宋体" w:eastAsia="宋体" w:cs="宋体"/>
          <w:sz w:val="24"/>
          <w:szCs w:val="24"/>
          <w:highlight w:val="none"/>
          <w:lang w:val="en-US" w:eastAsia="zh-CN"/>
        </w:rPr>
        <w:t xml:space="preserve">崇川区蓝鸟大厦1号楼A1区5楼</w:t>
      </w:r>
      <w:r/>
    </w:p>
    <w:p>
      <w:pPr>
        <w:ind w:firstLine="47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潘工、黄工</w:t>
      </w:r>
      <w:r/>
    </w:p>
    <w:p>
      <w:pPr>
        <w:ind w:firstLine="47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val="en-US" w:eastAsia="zh-CN"/>
        </w:rPr>
        <w:t xml:space="preserve">13515225277、17715021799</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rPr>
          <w:rFonts w:hint="eastAsia" w:ascii="宋体" w:hAnsi="宋体" w:eastAsia="宋体" w:cs="宋体"/>
          <w:sz w:val="24"/>
          <w:szCs w:val="24"/>
          <w:highlight w:val="none"/>
          <w:lang w:val="en-US" w:eastAsia="zh-CN"/>
        </w:rPr>
        <w:t xml:space="preserve">992346871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qq</w:t>
      </w:r>
      <w:r>
        <w:rPr>
          <w:rFonts w:hint="eastAsia" w:ascii="宋体" w:hAnsi="宋体" w:eastAsia="宋体" w:cs="宋体"/>
          <w:sz w:val="24"/>
          <w:szCs w:val="24"/>
          <w:highlight w:val="none"/>
        </w:rPr>
        <w:t xml:space="preserve">.com</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采购文件制作人: </w:t>
      </w:r>
      <w:r>
        <w:rPr>
          <w:rFonts w:hint="eastAsia" w:ascii="宋体" w:hAnsi="宋体" w:eastAsia="宋体" w:cs="宋体"/>
          <w:sz w:val="24"/>
          <w:szCs w:val="24"/>
          <w:highlight w:val="none"/>
          <w:lang w:val="en-US" w:eastAsia="zh-CN"/>
        </w:rPr>
        <w:t xml:space="preserve">潘工、黄工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13515225277、17715021799</w:t>
      </w:r>
      <w:r>
        <w:rPr>
          <w:rFonts w:hint="eastAsia" w:ascii="宋体" w:hAnsi="宋体" w:eastAsia="宋体" w:cs="宋体"/>
          <w:sz w:val="24"/>
          <w:szCs w:val="24"/>
          <w:highlight w:val="none"/>
        </w:rPr>
        <w:t xml:space="preserve">）</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项目采购经办人：</w:t>
      </w:r>
      <w:r>
        <w:rPr>
          <w:rFonts w:hint="eastAsia" w:ascii="宋体" w:hAnsi="宋体" w:eastAsia="宋体" w:cs="宋体"/>
          <w:sz w:val="24"/>
          <w:szCs w:val="24"/>
          <w:highlight w:val="none"/>
          <w:lang w:val="en-US" w:eastAsia="zh-CN"/>
        </w:rPr>
        <w:t xml:space="preserve">潘工、黄工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13515225277、17715021799</w:t>
      </w:r>
      <w:r>
        <w:rPr>
          <w:rFonts w:hint="eastAsia" w:ascii="宋体" w:hAnsi="宋体" w:eastAsia="宋体" w:cs="宋体"/>
          <w:sz w:val="24"/>
          <w:szCs w:val="24"/>
          <w:highlight w:val="none"/>
        </w:rPr>
        <w:t xml:space="preserve">）</w:t>
      </w:r>
      <w:r/>
    </w:p>
    <w:p>
      <w:pPr>
        <w:ind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4.交易系统软件维护人员：0519-86722801、0519-86722806</w:t>
      </w:r>
      <w:r/>
    </w:p>
    <w:p>
      <w:pPr>
        <w:ind w:firstLine="1205"/>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jc w:val="center"/>
        <w:pageBreakBefore w:val="0"/>
        <w:spacing w:line="44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32"/>
          <w:szCs w:val="32"/>
          <w:highlight w:val="none"/>
        </w:rPr>
        <w:t xml:space="preserve">第二部分  投标须知</w:t>
      </w:r>
      <w:r/>
    </w:p>
    <w:p>
      <w:pPr>
        <w:pStyle w:val="885"/>
        <w:ind w:firstLine="482"/>
        <w:pageBreakBefore w:val="0"/>
        <w:spacing w:before="0" w:after="0" w:line="440" w:lineRule="exact"/>
        <w:widowControl w:val="off"/>
        <w:rPr>
          <w:rFonts w:hint="eastAsia" w:ascii="宋体" w:hAnsi="宋体" w:eastAsia="宋体" w:cs="宋体"/>
          <w:sz w:val="24"/>
          <w:szCs w:val="24"/>
          <w:highlight w:val="none"/>
        </w:rPr>
      </w:pPr>
      <w:r/>
      <w:bookmarkStart w:id="3" w:name="_Toc513029203"/>
      <w:r/>
      <w:bookmarkStart w:id="4" w:name="_Toc20823275"/>
      <w:r/>
      <w:bookmarkStart w:id="5" w:name="_Toc120614214"/>
      <w:r/>
      <w:bookmarkStart w:id="6" w:name="_Toc16938519"/>
      <w:r>
        <w:rPr>
          <w:rFonts w:hint="eastAsia" w:ascii="宋体" w:hAnsi="宋体" w:eastAsia="宋体" w:cs="宋体"/>
          <w:sz w:val="24"/>
          <w:szCs w:val="24"/>
          <w:highlight w:val="none"/>
        </w:rPr>
        <w:t xml:space="preserve">（一）总则</w:t>
      </w:r>
      <w:bookmarkEnd w:id="3"/>
      <w:r/>
      <w:bookmarkEnd w:id="4"/>
      <w:r/>
      <w:bookmarkEnd w:id="5"/>
      <w:r/>
      <w:bookmarkEnd w:id="6"/>
      <w:r/>
      <w:r/>
    </w:p>
    <w:p>
      <w:pPr>
        <w:pStyle w:val="886"/>
        <w:ind w:firstLine="480"/>
        <w:jc w:val="both"/>
        <w:pageBreakBefore w:val="0"/>
        <w:spacing w:line="440" w:lineRule="exact"/>
        <w:widowControl w:val="off"/>
        <w:rPr>
          <w:rFonts w:hint="eastAsia" w:ascii="宋体" w:hAnsi="宋体" w:eastAsia="宋体" w:cs="宋体"/>
          <w:b/>
          <w:bCs/>
          <w:sz w:val="24"/>
          <w:szCs w:val="24"/>
          <w:highlight w:val="none"/>
        </w:rPr>
      </w:pPr>
      <w:r/>
      <w:bookmarkStart w:id="7" w:name="_Hlt16619475"/>
      <w:r/>
      <w:bookmarkEnd w:id="7"/>
      <w:r/>
      <w:bookmarkStart w:id="8" w:name="_Toc458694821"/>
      <w:r/>
      <w:bookmarkStart w:id="9" w:name="_Toc513029204"/>
      <w:r/>
      <w:bookmarkStart w:id="10" w:name="_Toc16938520"/>
      <w:r/>
      <w:bookmarkStart w:id="11" w:name="_Toc20823276"/>
      <w:r>
        <w:rPr>
          <w:rFonts w:hint="eastAsia" w:ascii="宋体" w:hAnsi="宋体" w:eastAsia="宋体" w:cs="宋体"/>
          <w:sz w:val="24"/>
          <w:szCs w:val="24"/>
          <w:highlight w:val="none"/>
        </w:rPr>
        <w:t xml:space="preserve">1</w:t>
      </w:r>
      <w:bookmarkEnd w:id="8"/>
      <w:r>
        <w:rPr>
          <w:rFonts w:hint="eastAsia" w:ascii="宋体" w:hAnsi="宋体" w:eastAsia="宋体" w:cs="宋体"/>
          <w:sz w:val="24"/>
          <w:szCs w:val="24"/>
          <w:highlight w:val="none"/>
        </w:rPr>
        <w:t xml:space="preserve">.招标方式</w:t>
      </w:r>
      <w:bookmarkEnd w:id="9"/>
      <w:r/>
      <w:bookmarkEnd w:id="10"/>
      <w:r/>
      <w:bookmarkEnd w:id="11"/>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1.1本次招标采取公开招标方式，本招标文件仅适用于招标公告中所述项目。</w:t>
      </w:r>
      <w:r/>
    </w:p>
    <w:p>
      <w:pPr>
        <w:pStyle w:val="886"/>
        <w:ind w:firstLine="480"/>
        <w:jc w:val="both"/>
        <w:pageBreakBefore w:val="0"/>
        <w:spacing w:line="440" w:lineRule="exact"/>
        <w:widowControl w:val="off"/>
        <w:rPr>
          <w:rFonts w:hint="eastAsia" w:ascii="宋体" w:hAnsi="宋体" w:eastAsia="宋体" w:cs="宋体"/>
          <w:b/>
          <w:bCs/>
          <w:sz w:val="24"/>
          <w:szCs w:val="24"/>
          <w:highlight w:val="none"/>
        </w:rPr>
      </w:pPr>
      <w:r/>
      <w:bookmarkStart w:id="12" w:name="_Toc20823277"/>
      <w:r/>
      <w:bookmarkStart w:id="13" w:name="_Toc16938521"/>
      <w:r/>
      <w:bookmarkStart w:id="14" w:name="_Toc513029205"/>
      <w:r>
        <w:rPr>
          <w:rFonts w:hint="eastAsia" w:ascii="宋体" w:hAnsi="宋体" w:eastAsia="宋体" w:cs="宋体"/>
          <w:sz w:val="24"/>
          <w:szCs w:val="24"/>
          <w:highlight w:val="none"/>
        </w:rPr>
        <w:t xml:space="preserve">2.合格的投标人</w:t>
      </w:r>
      <w:bookmarkEnd w:id="12"/>
      <w:r/>
      <w:bookmarkEnd w:id="13"/>
      <w:r/>
      <w:bookmarkEnd w:id="14"/>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2.2满足本文件实质性条款的规定。</w:t>
      </w:r>
      <w:r/>
    </w:p>
    <w:p>
      <w:pPr>
        <w:pStyle w:val="886"/>
        <w:ind w:firstLine="480"/>
        <w:jc w:val="both"/>
        <w:pageBreakBefore w:val="0"/>
        <w:spacing w:line="440" w:lineRule="exact"/>
        <w:widowControl w:val="off"/>
        <w:rPr>
          <w:rFonts w:hint="eastAsia" w:ascii="宋体" w:hAnsi="宋体" w:eastAsia="宋体" w:cs="宋体"/>
          <w:b/>
          <w:bCs/>
          <w:sz w:val="24"/>
          <w:szCs w:val="24"/>
          <w:highlight w:val="none"/>
        </w:rPr>
      </w:pPr>
      <w:r/>
      <w:bookmarkStart w:id="15" w:name="_Toc16938522"/>
      <w:r/>
      <w:bookmarkStart w:id="16" w:name="_Toc20823278"/>
      <w:r/>
      <w:bookmarkStart w:id="17" w:name="_Toc513029206"/>
      <w:r>
        <w:rPr>
          <w:rFonts w:hint="eastAsia" w:ascii="宋体" w:hAnsi="宋体" w:eastAsia="宋体" w:cs="宋体"/>
          <w:sz w:val="24"/>
          <w:szCs w:val="24"/>
          <w:highlight w:val="none"/>
        </w:rPr>
        <w:t xml:space="preserve">3.适用法律</w:t>
      </w:r>
      <w:bookmarkEnd w:id="15"/>
      <w:r/>
      <w:bookmarkEnd w:id="16"/>
      <w:r/>
      <w:bookmarkEnd w:id="17"/>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3.1本次招标及由此产生的合同受中华人民共和国有关的法律法规制约和保护。</w:t>
      </w:r>
      <w:r/>
    </w:p>
    <w:p>
      <w:pPr>
        <w:pStyle w:val="886"/>
        <w:ind w:firstLine="480"/>
        <w:jc w:val="both"/>
        <w:pageBreakBefore w:val="0"/>
        <w:spacing w:line="440" w:lineRule="exact"/>
        <w:widowControl w:val="off"/>
        <w:rPr>
          <w:rFonts w:hint="eastAsia" w:ascii="宋体" w:hAnsi="宋体" w:eastAsia="宋体" w:cs="宋体"/>
          <w:b/>
          <w:bCs/>
          <w:sz w:val="24"/>
          <w:szCs w:val="24"/>
          <w:highlight w:val="none"/>
        </w:rPr>
      </w:pPr>
      <w:r/>
      <w:bookmarkStart w:id="18" w:name="_Toc462564067"/>
      <w:r/>
      <w:bookmarkStart w:id="19" w:name="_Toc20823279"/>
      <w:r/>
      <w:bookmarkStart w:id="20" w:name="_Toc513029207"/>
      <w:r/>
      <w:bookmarkStart w:id="21" w:name="_Toc16938523"/>
      <w:r>
        <w:rPr>
          <w:rFonts w:hint="eastAsia" w:ascii="宋体" w:hAnsi="宋体" w:eastAsia="宋体" w:cs="宋体"/>
          <w:sz w:val="24"/>
          <w:szCs w:val="24"/>
          <w:highlight w:val="none"/>
        </w:rPr>
        <w:t xml:space="preserve">4.投标费用</w:t>
      </w:r>
      <w:bookmarkEnd w:id="18"/>
      <w:r/>
      <w:bookmarkEnd w:id="19"/>
      <w:r/>
      <w:bookmarkEnd w:id="20"/>
      <w:r/>
      <w:bookmarkEnd w:id="21"/>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投标人应自行承担所有与参加投标有关的费用，无论投标过程中的做法和结果如何，</w:t>
      </w:r>
      <w:r>
        <w:rPr>
          <w:rFonts w:hint="eastAsia" w:ascii="宋体" w:hAnsi="宋体" w:eastAsia="宋体" w:cs="宋体"/>
          <w:b/>
          <w:bCs/>
          <w:sz w:val="24"/>
          <w:szCs w:val="24"/>
          <w:highlight w:val="none"/>
        </w:rPr>
        <w:t xml:space="preserve">采购人</w:t>
      </w:r>
      <w:r>
        <w:rPr>
          <w:rFonts w:hint="eastAsia" w:ascii="宋体" w:hAnsi="宋体" w:eastAsia="宋体" w:cs="宋体"/>
          <w:sz w:val="24"/>
          <w:szCs w:val="24"/>
          <w:highlight w:val="none"/>
        </w:rPr>
        <w:t xml:space="preserve">在任何情况下均无义务和责任承担这些费用。</w:t>
      </w:r>
      <w:r/>
    </w:p>
    <w:p>
      <w:pPr>
        <w:pStyle w:val="886"/>
        <w:ind w:firstLine="480"/>
        <w:jc w:val="both"/>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5.招标文件的约束力</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86"/>
        <w:ind w:firstLine="480"/>
        <w:jc w:val="both"/>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6.招标文件的解释</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b/>
          <w:bCs/>
          <w:sz w:val="24"/>
          <w:szCs w:val="24"/>
          <w:highlight w:val="none"/>
        </w:rPr>
        <w:t xml:space="preserve">招标文件需求部分（供应商资格要求、项目需求、商务技术评分标准）由采购人解释，其它部分由代理机构解释。</w:t>
      </w:r>
      <w:r/>
    </w:p>
    <w:p>
      <w:pPr>
        <w:pStyle w:val="885"/>
        <w:ind w:firstLine="482"/>
        <w:pageBreakBefore w:val="0"/>
        <w:spacing w:before="0" w:after="0" w:line="440" w:lineRule="exact"/>
        <w:widowControl w:val="off"/>
        <w:rPr>
          <w:rFonts w:hint="eastAsia" w:ascii="宋体" w:hAnsi="宋体" w:eastAsia="宋体" w:cs="宋体"/>
          <w:sz w:val="24"/>
          <w:szCs w:val="24"/>
          <w:highlight w:val="none"/>
        </w:rPr>
      </w:pPr>
      <w:r/>
      <w:bookmarkStart w:id="22" w:name="_Toc16938525"/>
      <w:r/>
      <w:bookmarkStart w:id="23" w:name="_Toc513029209"/>
      <w:r/>
      <w:bookmarkStart w:id="24" w:name="_Toc120614215"/>
      <w:r/>
      <w:bookmarkStart w:id="25" w:name="_Toc20823281"/>
      <w:r>
        <w:rPr>
          <w:rFonts w:hint="eastAsia" w:ascii="宋体" w:hAnsi="宋体" w:eastAsia="宋体" w:cs="宋体"/>
          <w:sz w:val="24"/>
          <w:szCs w:val="24"/>
          <w:highlight w:val="none"/>
        </w:rPr>
        <w:t xml:space="preserve">（二）招标文件</w:t>
      </w:r>
      <w:bookmarkEnd w:id="22"/>
      <w:r/>
      <w:bookmarkEnd w:id="23"/>
      <w:r/>
      <w:bookmarkEnd w:id="24"/>
      <w:r/>
      <w:bookmarkEnd w:id="25"/>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bookmarkStart w:id="26" w:name="_Toc513029210"/>
      <w:r/>
      <w:bookmarkStart w:id="27" w:name="_Toc20823282"/>
      <w:r/>
      <w:bookmarkStart w:id="28" w:name="_Toc16938526"/>
      <w:r>
        <w:rPr>
          <w:rFonts w:hint="eastAsia" w:ascii="宋体" w:hAnsi="宋体" w:eastAsia="宋体" w:cs="宋体"/>
          <w:sz w:val="24"/>
          <w:szCs w:val="24"/>
          <w:highlight w:val="none"/>
        </w:rPr>
        <w:t xml:space="preserve">1.招标文件构成</w:t>
      </w:r>
      <w:bookmarkEnd w:id="26"/>
      <w:r/>
      <w:bookmarkEnd w:id="27"/>
      <w:r/>
      <w:bookmarkEnd w:id="28"/>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招标文件由以下部分组成：</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投标邀请</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（2）投标须知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（3）项目需求</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（4）开标和评标</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（5）投标文件组成</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（6）附件（如有）</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bCs/>
          <w:sz w:val="24"/>
          <w:szCs w:val="24"/>
          <w:highlight w:val="none"/>
        </w:rPr>
        <w:t xml:space="preserve">代理机构</w:t>
      </w:r>
      <w:r>
        <w:rPr>
          <w:rFonts w:hint="eastAsia" w:ascii="宋体" w:hAnsi="宋体" w:eastAsia="宋体" w:cs="宋体"/>
          <w:sz w:val="24"/>
          <w:szCs w:val="24"/>
          <w:highlight w:val="none"/>
        </w:rPr>
        <w:t xml:space="preserve">联系解决。</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1.2</w:t>
      </w:r>
      <w:r>
        <w:rPr>
          <w:rFonts w:hint="eastAsia" w:ascii="宋体" w:hAnsi="宋体" w:eastAsia="宋体" w:cs="宋体"/>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bookmarkStart w:id="29" w:name="_Toc16938527"/>
      <w:r/>
      <w:bookmarkStart w:id="30" w:name="_Toc462564070"/>
      <w:r/>
      <w:bookmarkStart w:id="31" w:name="_Toc20823283"/>
      <w:r/>
      <w:bookmarkStart w:id="32" w:name="_Toc513029211"/>
      <w:r>
        <w:rPr>
          <w:rFonts w:hint="eastAsia" w:ascii="宋体" w:hAnsi="宋体" w:eastAsia="宋体" w:cs="宋体"/>
          <w:sz w:val="24"/>
          <w:szCs w:val="24"/>
          <w:highlight w:val="none"/>
        </w:rPr>
        <w:t xml:space="preserve">2.招标文件的澄清</w:t>
      </w:r>
      <w:bookmarkEnd w:id="29"/>
      <w:r/>
      <w:bookmarkEnd w:id="30"/>
      <w:r/>
      <w:bookmarkEnd w:id="31"/>
      <w:r/>
      <w:bookmarkEnd w:id="32"/>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w:t>
      </w:r>
      <w:r>
        <w:rPr>
          <w:rFonts w:hint="eastAsia" w:ascii="宋体" w:hAnsi="宋体" w:eastAsia="宋体" w:cs="宋体"/>
          <w:sz w:val="24"/>
          <w:szCs w:val="24"/>
          <w:highlight w:val="none"/>
        </w:rPr>
        <w:t xml:space="preserve">任何要求对招标文件进行澄清的投标人，应在投标截止期十五日前按招标公告中的通讯地址，以书面形式通知采购人。采购人有权对发出的招标文件进行必要的澄清或修改。</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2.2采购人视情组织答疑会</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bookmarkStart w:id="33" w:name="_Toc462564071"/>
      <w:r/>
      <w:bookmarkStart w:id="34" w:name="_Toc20823284"/>
      <w:r/>
      <w:bookmarkStart w:id="35" w:name="_Toc513029212"/>
      <w:r/>
      <w:bookmarkStart w:id="36" w:name="_Toc16938528"/>
      <w:r>
        <w:rPr>
          <w:rFonts w:hint="eastAsia" w:ascii="宋体" w:hAnsi="宋体" w:eastAsia="宋体" w:cs="宋体"/>
          <w:sz w:val="24"/>
          <w:szCs w:val="24"/>
          <w:highlight w:val="none"/>
        </w:rPr>
        <w:t xml:space="preserve">3.招标文件的修改</w:t>
      </w:r>
      <w:bookmarkEnd w:id="33"/>
      <w:r/>
      <w:bookmarkEnd w:id="34"/>
      <w:r/>
      <w:bookmarkEnd w:id="35"/>
      <w:r/>
      <w:bookmarkEnd w:id="36"/>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3.1</w:t>
      </w:r>
      <w:r>
        <w:rPr>
          <w:rFonts w:hint="eastAsia" w:ascii="宋体" w:hAnsi="宋体" w:eastAsia="宋体" w:cs="宋体"/>
          <w:sz w:val="24"/>
          <w:szCs w:val="24"/>
          <w:highlight w:val="none"/>
        </w:rPr>
        <w:t xml:space="preserve">在投标截止时间前，</w:t>
      </w:r>
      <w:r>
        <w:rPr>
          <w:rFonts w:hint="eastAsia" w:ascii="宋体" w:hAnsi="宋体" w:eastAsia="宋体" w:cs="宋体"/>
          <w:bCs/>
          <w:sz w:val="24"/>
          <w:szCs w:val="24"/>
          <w:highlight w:val="none"/>
        </w:rPr>
        <w:t xml:space="preserve">采购人或代理机构</w:t>
      </w:r>
      <w:r>
        <w:rPr>
          <w:rFonts w:hint="eastAsia" w:ascii="宋体" w:hAnsi="宋体" w:eastAsia="宋体" w:cs="宋体"/>
          <w:sz w:val="24"/>
          <w:szCs w:val="24"/>
          <w:highlight w:val="none"/>
        </w:rPr>
        <w:t xml:space="preserve">可以对招标文件进行修改。</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3.2采购人或代理机构</w:t>
      </w:r>
      <w:r>
        <w:rPr>
          <w:rFonts w:hint="eastAsia" w:ascii="宋体" w:hAnsi="宋体" w:eastAsia="宋体" w:cs="宋体"/>
          <w:sz w:val="24"/>
          <w:szCs w:val="24"/>
          <w:highlight w:val="none"/>
        </w:rPr>
        <w:t xml:space="preserve">有权按照法定的要求推迟投标截止日期和开标日期。</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3.3</w:t>
      </w:r>
      <w:r>
        <w:rPr>
          <w:rFonts w:hint="eastAsia" w:ascii="宋体" w:hAnsi="宋体" w:eastAsia="宋体" w:cs="宋体"/>
          <w:sz w:val="24"/>
          <w:szCs w:val="24"/>
          <w:highlight w:val="none"/>
        </w:rPr>
        <w:t xml:space="preserve">招标文件的修改将在江苏政府采购网公布，补充文件将作为招标文件的组成部分，并对投标人具有约束力。</w:t>
      </w:r>
      <w:bookmarkStart w:id="37" w:name="_Toc20823285"/>
      <w:r/>
      <w:bookmarkStart w:id="38" w:name="_Toc513029213"/>
      <w:r/>
      <w:bookmarkStart w:id="39" w:name="_Toc16938529"/>
      <w:r/>
      <w:bookmarkStart w:id="40" w:name="_Toc120614216"/>
      <w:r/>
      <w:bookmarkStart w:id="41" w:name="_Toc462564072"/>
      <w:r/>
      <w:r/>
    </w:p>
    <w:p>
      <w:pPr>
        <w:ind w:firstLine="480"/>
        <w:pageBreakBefore w:val="0"/>
        <w:spacing w:line="440" w:lineRule="exact"/>
        <w:widowControl w:val="off"/>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3.4</w:t>
      </w:r>
      <w:r>
        <w:rPr>
          <w:rFonts w:hint="eastAsia" w:ascii="宋体" w:hAnsi="宋体" w:eastAsia="宋体" w:cs="宋体"/>
          <w:b/>
          <w:sz w:val="24"/>
          <w:szCs w:val="24"/>
          <w:highlight w:val="none"/>
          <w:u w:val="singl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bookmarkEnd w:id="37"/>
      <w:r/>
      <w:bookmarkEnd w:id="38"/>
      <w:r/>
      <w:bookmarkEnd w:id="39"/>
      <w:r/>
      <w:bookmarkEnd w:id="40"/>
      <w:r/>
      <w:bookmarkEnd w:id="41"/>
      <w:r/>
      <w:bookmarkStart w:id="42" w:name="_Toc16938530"/>
      <w:r/>
      <w:bookmarkStart w:id="43" w:name="_Toc20823286"/>
      <w:r/>
      <w:bookmarkStart w:id="44" w:name="_Toc462564073"/>
      <w:r/>
      <w:bookmarkStart w:id="45" w:name="_Toc513029214"/>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1.投标文件的语言及度量衡单位</w:t>
      </w:r>
      <w:bookmarkEnd w:id="42"/>
      <w:r/>
      <w:bookmarkEnd w:id="43"/>
      <w:r/>
      <w:bookmarkEnd w:id="44"/>
      <w:r/>
      <w:bookmarkEnd w:id="45"/>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投标人提交的投标文件以及投标人与</w:t>
      </w:r>
      <w:r>
        <w:rPr>
          <w:rFonts w:hint="eastAsia" w:ascii="宋体" w:hAnsi="宋体" w:eastAsia="宋体" w:cs="宋体"/>
          <w:bCs/>
          <w:sz w:val="24"/>
          <w:szCs w:val="24"/>
          <w:highlight w:val="none"/>
        </w:rPr>
        <w:t xml:space="preserve">采购人或代理机构</w:t>
      </w:r>
      <w:r>
        <w:rPr>
          <w:rFonts w:hint="eastAsia" w:ascii="宋体" w:hAnsi="宋体" w:eastAsia="宋体" w:cs="宋体"/>
          <w:sz w:val="24"/>
          <w:szCs w:val="24"/>
          <w:highlight w:val="none"/>
        </w:rPr>
        <w:t xml:space="preserve">就有关投标的所有来往通知、函件和文件均应使用</w:t>
      </w:r>
      <w:r>
        <w:rPr>
          <w:rFonts w:hint="eastAsia" w:ascii="宋体" w:hAnsi="宋体" w:eastAsia="宋体" w:cs="宋体"/>
          <w:bCs/>
          <w:sz w:val="24"/>
          <w:szCs w:val="24"/>
          <w:highlight w:val="none"/>
        </w:rPr>
        <w:t xml:space="preserve">简体中文</w:t>
      </w:r>
      <w:r>
        <w:rPr>
          <w:rFonts w:hint="eastAsia" w:ascii="宋体" w:hAnsi="宋体" w:eastAsia="宋体" w:cs="宋体"/>
          <w:sz w:val="24"/>
          <w:szCs w:val="24"/>
          <w:highlight w:val="none"/>
        </w:rPr>
        <w:t xml:space="preserve">。</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1.2</w:t>
      </w:r>
      <w:r>
        <w:rPr>
          <w:rFonts w:hint="eastAsia" w:ascii="宋体" w:hAnsi="宋体" w:eastAsia="宋体" w:cs="宋体"/>
          <w:sz w:val="24"/>
          <w:szCs w:val="24"/>
          <w:highlight w:val="none"/>
        </w:rPr>
        <w:t xml:space="preserve">除技术性能另有规定外，投标文件所使用的度量衡单位，均须采用国家法定计量单位。</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bookmarkStart w:id="46" w:name="_Toc20823287"/>
      <w:r/>
      <w:bookmarkStart w:id="47" w:name="_Toc16938531"/>
      <w:r/>
      <w:bookmarkStart w:id="48" w:name="_Toc513029215"/>
      <w:r/>
      <w:bookmarkStart w:id="49" w:name="_Toc462564074"/>
      <w:r>
        <w:rPr>
          <w:rFonts w:hint="eastAsia" w:ascii="宋体" w:hAnsi="宋体" w:eastAsia="宋体" w:cs="宋体"/>
          <w:sz w:val="24"/>
          <w:szCs w:val="24"/>
          <w:highlight w:val="none"/>
        </w:rPr>
        <w:t xml:space="preserve">2.投标文件构成</w:t>
      </w:r>
      <w:bookmarkEnd w:id="46"/>
      <w:r/>
      <w:bookmarkEnd w:id="47"/>
      <w:r/>
      <w:bookmarkEnd w:id="48"/>
      <w:r/>
      <w:bookmarkEnd w:id="49"/>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w:t>
      </w:r>
      <w:r>
        <w:rPr>
          <w:rFonts w:hint="eastAsia" w:ascii="宋体" w:hAnsi="宋体" w:eastAsia="宋体" w:cs="宋体"/>
          <w:sz w:val="24"/>
          <w:szCs w:val="24"/>
          <w:highlight w:val="none"/>
        </w:rPr>
        <w:t xml:space="preserve">投标人编写的投标文件应包括资格审查证明材料文件、商务技术标文件、价格标文件。供应商按“第五部分 投标文件组成”要求编写投标文件</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bookmarkStart w:id="50" w:name="_Hlt26668975"/>
      <w:r/>
      <w:bookmarkEnd w:id="50"/>
      <w:r/>
      <w:bookmarkStart w:id="51" w:name="_Hlt26670360"/>
      <w:r/>
      <w:bookmarkEnd w:id="51"/>
      <w:r/>
      <w:bookmarkStart w:id="52" w:name="_Hlt26954838"/>
      <w:r/>
      <w:bookmarkEnd w:id="52"/>
      <w:r/>
      <w:bookmarkStart w:id="53" w:name="_Toc14577360"/>
      <w:r/>
      <w:bookmarkStart w:id="54" w:name="_Toc49090511"/>
      <w:r>
        <w:rPr>
          <w:rFonts w:hint="eastAsia" w:ascii="宋体" w:hAnsi="宋体" w:eastAsia="宋体" w:cs="宋体"/>
          <w:sz w:val="24"/>
          <w:szCs w:val="24"/>
          <w:highlight w:val="none"/>
        </w:rPr>
        <w:t xml:space="preserve">3.投标有效期</w:t>
      </w:r>
      <w:bookmarkEnd w:id="53"/>
      <w:r/>
      <w:bookmarkEnd w:id="54"/>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3.1投标有效期为采购人规定的开标之日后</w:t>
      </w:r>
      <w:r>
        <w:rPr>
          <w:rFonts w:hint="eastAsia" w:ascii="宋体" w:hAnsi="宋体" w:eastAsia="宋体" w:cs="宋体"/>
          <w:sz w:val="24"/>
          <w:szCs w:val="24"/>
          <w:highlight w:val="none"/>
          <w:u w:val="single"/>
        </w:rPr>
        <w:t xml:space="preserve">六十（60）天</w:t>
      </w:r>
      <w:r>
        <w:rPr>
          <w:rFonts w:hint="eastAsia" w:ascii="宋体" w:hAnsi="宋体" w:eastAsia="宋体" w:cs="宋体"/>
          <w:bCs/>
          <w:sz w:val="24"/>
          <w:szCs w:val="24"/>
          <w:highlight w:val="none"/>
        </w:rPr>
        <w:t xml:space="preserve">。投标有效期比规定短的将被视为非响应性投标而予以拒绝。</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4.投标有效期的延长</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4.1在特殊情况下，采购人于原投标有效期满之前，可向投标人提出延长投标有效期的要求。这种要求与答复均应采用书面形式。投标人可以拒绝</w:t>
      </w:r>
      <w:r>
        <w:rPr>
          <w:rFonts w:hint="eastAsia" w:ascii="宋体" w:hAnsi="宋体" w:eastAsia="宋体" w:cs="宋体"/>
          <w:sz w:val="24"/>
          <w:szCs w:val="24"/>
          <w:highlight w:val="none"/>
        </w:rPr>
        <w:t xml:space="preserve">采购人</w:t>
      </w:r>
      <w:r>
        <w:rPr>
          <w:rFonts w:hint="eastAsia" w:ascii="宋体" w:hAnsi="宋体" w:eastAsia="宋体" w:cs="宋体"/>
          <w:bCs/>
          <w:sz w:val="24"/>
          <w:szCs w:val="24"/>
          <w:highlight w:val="none"/>
        </w:rPr>
        <w:t xml:space="preserve">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5.电子响应文件其他要求</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5.1电子招标投标交易平台（即“苏采云”系统）相关要求是本采购文件的组成部分。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5.2供应商应对CA证书妥善保管，如被他人盗用投标，因此带来的后果均由供应商自行承担。</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5.3供应商应当对采购文件提出的实质性要求和条件作出实质性响应，并在电子投标系统逐条应答。</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5.4供应商应对要求提供的资格证明文件（如资质证书、资格证书）、技术资料（如白皮书、彩页、手册、检测报告等）扫描上传至投标系统。</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keepLines/>
        <w:keepNext/>
        <w:pageBreakBefore w:val="0"/>
        <w:spacing w:line="440" w:lineRule="exact"/>
        <w:widowControl w:val="off"/>
        <w:rPr>
          <w:rFonts w:hint="eastAsia" w:ascii="宋体" w:hAnsi="宋体" w:eastAsia="宋体" w:cs="宋体"/>
          <w:b/>
          <w:bCs/>
          <w:sz w:val="24"/>
          <w:szCs w:val="24"/>
          <w:highlight w:val="none"/>
        </w:rPr>
        <w:outlineLvl w:val="2"/>
      </w:pPr>
      <w:r/>
      <w:bookmarkStart w:id="55" w:name="_Hlt26954739"/>
      <w:r/>
      <w:bookmarkEnd w:id="55"/>
      <w:r/>
      <w:bookmarkStart w:id="56" w:name="_Hlt26954852"/>
      <w:r/>
      <w:bookmarkEnd w:id="56"/>
      <w:r/>
      <w:bookmarkStart w:id="57" w:name="_Toc20823296"/>
      <w:r/>
      <w:bookmarkStart w:id="58" w:name="_Toc120614217"/>
      <w:r/>
      <w:bookmarkStart w:id="59" w:name="_Toc16938540"/>
      <w:r/>
      <w:bookmarkStart w:id="60" w:name="_Toc513029224"/>
      <w:r/>
      <w:bookmarkStart w:id="61" w:name="_Toc16938545"/>
      <w:r/>
      <w:bookmarkStart w:id="62" w:name="_Toc20823301"/>
      <w:r/>
      <w:bookmarkStart w:id="63" w:name="_Toc513029229"/>
      <w:r/>
      <w:bookmarkStart w:id="64" w:name="_Toc120614218"/>
      <w:r>
        <w:rPr>
          <w:rFonts w:hint="eastAsia" w:ascii="宋体" w:hAnsi="宋体" w:eastAsia="宋体" w:cs="宋体"/>
          <w:b/>
          <w:bCs/>
          <w:sz w:val="24"/>
          <w:szCs w:val="24"/>
          <w:highlight w:val="none"/>
        </w:rPr>
        <w:t xml:space="preserve">（四）响应文件的提交</w:t>
      </w:r>
      <w:bookmarkEnd w:id="57"/>
      <w:r/>
      <w:bookmarkEnd w:id="58"/>
      <w:r/>
      <w:bookmarkEnd w:id="59"/>
      <w:r/>
      <w:bookmarkEnd w:id="60"/>
      <w:r/>
      <w:r/>
    </w:p>
    <w:p>
      <w:pPr>
        <w:ind w:firstLine="480"/>
        <w:pageBreakBefore w:val="0"/>
        <w:spacing w:line="440" w:lineRule="exact"/>
        <w:widowControl w:val="off"/>
        <w:rPr>
          <w:rFonts w:hint="eastAsia" w:ascii="宋体" w:hAnsi="宋体" w:eastAsia="宋体" w:cs="宋体"/>
          <w:bCs/>
          <w:sz w:val="24"/>
          <w:szCs w:val="24"/>
          <w:highlight w:val="none"/>
        </w:rPr>
      </w:pPr>
      <w:r/>
      <w:bookmarkStart w:id="65" w:name="_Toc462564084"/>
      <w:r/>
      <w:bookmarkStart w:id="66" w:name="_Toc513029225"/>
      <w:r/>
      <w:bookmarkStart w:id="67" w:name="_Toc16938541"/>
      <w:r/>
      <w:bookmarkStart w:id="68" w:name="_Toc20823297"/>
      <w:r>
        <w:rPr>
          <w:rFonts w:hint="eastAsia" w:ascii="宋体" w:hAnsi="宋体" w:eastAsia="宋体" w:cs="宋体"/>
          <w:bCs/>
          <w:sz w:val="24"/>
          <w:szCs w:val="24"/>
          <w:highlight w:val="none"/>
        </w:rPr>
        <w:t xml:space="preserve">1.响应文件</w:t>
      </w:r>
      <w:bookmarkEnd w:id="65"/>
      <w:r/>
      <w:bookmarkEnd w:id="66"/>
      <w:r/>
      <w:bookmarkEnd w:id="67"/>
      <w:r/>
      <w:bookmarkEnd w:id="68"/>
      <w:r>
        <w:rPr>
          <w:rFonts w:hint="eastAsia" w:ascii="宋体" w:hAnsi="宋体" w:eastAsia="宋体" w:cs="宋体"/>
          <w:bCs/>
          <w:sz w:val="24"/>
          <w:szCs w:val="24"/>
          <w:highlight w:val="none"/>
        </w:rPr>
        <w:t xml:space="preserve">的提交</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1.1线上提交与接收地点：供应商应当通过“苏采云”系统提交数据电文形式的响应文件（即电子投标），“苏采云”系统自动接收。</w:t>
      </w:r>
      <w:r/>
    </w:p>
    <w:p>
      <w:pPr>
        <w:ind w:firstLine="482"/>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电子响应文件应由其法定代表人或被授权人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2.提交响应文件截止日期</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2.1供应商上传电子响应文件的时间不得迟于采购公告中规定的响应文件提交截止时间。</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3.响应文件的密封（加密）要求：</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3.2供应商须通过“苏采云”系统提供的政府采购客户端工具（使用“CA数字证书”）加盖电子签章。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说明：供应商应在用CA数字证书以及自备的能够登录“苏采云”系统的电脑，在达到开标时间后，使用CA数字证书解密各自响应文件。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3.3供应商未按规定加密的响应文件，“苏采云”系统将拒收并提示。</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4.响应文件的拒收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4.1采购代理机构拒绝接收在其规定的响应文件提交截止时间后上传的任何响应文件。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5.响应文件的撤回和修改</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5.1响应文件的撤回</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5.1.1电子响应文件的撤回</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供应商可在响应文件提交截止时间前，撤回其电子响应文件，具体操作方法见“苏采云”系统供应商操作手册。</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5.1.2供应商撤回电子响应文件，则认为其不再参与本项目投标活动。</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5.2响应文件的修改</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供应商可在响应文件提交截止时间前，对其电子响应文件进行修改。具体操作方法见“苏采云”系统供应商操作手册。</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5.3在响应文件提交截止时间之后，供应商不得对其电子响应文件作任何修改。</w:t>
      </w:r>
      <w:r/>
    </w:p>
    <w:p>
      <w:pPr>
        <w:ind w:firstLine="480"/>
        <w:jc w:val="left"/>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5.4在响应文件提交截止时间至采购文件中规定的投标响应有效期满之间的这段时间内，供应商不得撤回其响应文件。</w:t>
      </w:r>
      <w:r/>
    </w:p>
    <w:p>
      <w:pPr>
        <w:pStyle w:val="885"/>
        <w:ind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bookmarkEnd w:id="61"/>
      <w:r/>
      <w:bookmarkEnd w:id="62"/>
      <w:r/>
      <w:bookmarkEnd w:id="63"/>
      <w:r/>
      <w:bookmarkEnd w:id="64"/>
      <w:r/>
      <w:r/>
    </w:p>
    <w:p>
      <w:pPr>
        <w:ind w:firstLine="480"/>
        <w:pageBreakBefore w:val="0"/>
        <w:spacing w:line="440" w:lineRule="exact"/>
        <w:widowControl w:val="off"/>
        <w:rPr>
          <w:rFonts w:hint="eastAsia" w:ascii="宋体" w:hAnsi="宋体" w:eastAsia="宋体" w:cs="宋体"/>
          <w:bCs/>
          <w:sz w:val="24"/>
          <w:szCs w:val="24"/>
          <w:highlight w:val="none"/>
        </w:rPr>
      </w:pPr>
      <w:r/>
      <w:bookmarkStart w:id="69" w:name="_Toc16938547"/>
      <w:r/>
      <w:bookmarkStart w:id="70" w:name="_Toc513029231"/>
      <w:r/>
      <w:bookmarkStart w:id="71" w:name="_Toc20823303"/>
      <w:r>
        <w:rPr>
          <w:rFonts w:hint="eastAsia" w:ascii="宋体" w:hAnsi="宋体" w:eastAsia="宋体" w:cs="宋体"/>
          <w:bCs/>
          <w:sz w:val="24"/>
          <w:szCs w:val="24"/>
          <w:highlight w:val="none"/>
        </w:rPr>
        <w:t xml:space="preserve">1.开标仪式</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1.1采购代理将在采购公告中规定的时间和地点组织开标仪式。</w:t>
      </w:r>
      <w:r/>
    </w:p>
    <w:p>
      <w:pPr>
        <w:ind w:firstLine="482"/>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bCs/>
          <w:sz w:val="24"/>
          <w:szCs w:val="24"/>
          <w:highlight w:val="none"/>
          <w:u w:val="single"/>
        </w:rPr>
        <w:t xml:space="preserve">30分钟</w:t>
      </w:r>
      <w:r>
        <w:rPr>
          <w:rFonts w:hint="eastAsia" w:ascii="宋体" w:hAnsi="宋体" w:eastAsia="宋体" w:cs="宋体"/>
          <w:b/>
          <w:bCs/>
          <w:sz w:val="24"/>
          <w:szCs w:val="24"/>
          <w:highlight w:val="none"/>
        </w:rPr>
        <w:t xml:space="preserve">之内完成。</w:t>
      </w:r>
      <w:r>
        <w:rPr>
          <w:rFonts w:hint="eastAsia" w:ascii="宋体" w:hAnsi="宋体" w:eastAsia="宋体" w:cs="宋体"/>
          <w:b/>
          <w:bCs/>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bCs/>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1.2开标活动的文件解密工作由采购代理机构组织。</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2.评标委员会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开标后，</w:t>
      </w:r>
      <w:r>
        <w:rPr>
          <w:rFonts w:hint="eastAsia" w:ascii="宋体" w:hAnsi="宋体" w:eastAsia="宋体" w:cs="宋体"/>
          <w:bCs/>
          <w:sz w:val="24"/>
          <w:szCs w:val="24"/>
          <w:highlight w:val="none"/>
        </w:rPr>
        <w:t xml:space="preserve">代理机构</w:t>
      </w:r>
      <w:r>
        <w:rPr>
          <w:rFonts w:hint="eastAsia" w:ascii="宋体" w:hAnsi="宋体" w:eastAsia="宋体" w:cs="宋体"/>
          <w:sz w:val="24"/>
          <w:szCs w:val="24"/>
          <w:highlight w:val="none"/>
        </w:rPr>
        <w:t xml:space="preserve">将立即组织评标委员会（以下简称评委会）进行评标。</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评委会由采购人代表和专家组成，且人员构成符合政府采购有关规定。评审专家应当从政府采购评审专家库内相关专业的专家名单中随机抽取。情况特殊、通过随机方式难以确定合适的评审专家的，经主管预算单位同意，可以自行选定评审专家。</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2.3评委会独立工作，负责评审所有投标文件并确定中标候选人。</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3.评标过程的保密与公正</w:t>
      </w:r>
      <w:bookmarkEnd w:id="69"/>
      <w:r/>
      <w:bookmarkEnd w:id="70"/>
      <w:r/>
      <w:bookmarkEnd w:id="71"/>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3.1</w:t>
      </w:r>
      <w:r>
        <w:rPr>
          <w:rFonts w:hint="eastAsia" w:ascii="宋体" w:hAnsi="宋体" w:eastAsia="宋体" w:cs="宋体"/>
          <w:bCs/>
          <w:sz w:val="24"/>
          <w:szCs w:val="24"/>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sz w:val="24"/>
          <w:szCs w:val="24"/>
          <w:highlight w:val="none"/>
        </w:rPr>
        <w:t xml:space="preserve">代理机构</w:t>
      </w:r>
      <w:r>
        <w:rPr>
          <w:rFonts w:hint="eastAsia" w:ascii="宋体" w:hAnsi="宋体" w:eastAsia="宋体" w:cs="宋体"/>
          <w:bCs/>
          <w:sz w:val="24"/>
          <w:szCs w:val="24"/>
          <w:highlight w:val="none"/>
        </w:rPr>
        <w:t xml:space="preserve">均不得向投标人或与评标无关的其他人员透露。</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3.2在评标过程中，投标人不得以任何行为影响评标过程，否则其投标文件将被作为无效投标文件。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3.3在评标期间，</w:t>
      </w:r>
      <w:r>
        <w:rPr>
          <w:rFonts w:hint="eastAsia" w:ascii="宋体" w:hAnsi="宋体" w:eastAsia="宋体" w:cs="宋体"/>
          <w:bCs/>
          <w:sz w:val="24"/>
          <w:szCs w:val="24"/>
          <w:highlight w:val="none"/>
        </w:rPr>
        <w:t xml:space="preserve">采购人或代理机构</w:t>
      </w:r>
      <w:r>
        <w:rPr>
          <w:rFonts w:hint="eastAsia" w:ascii="宋体" w:hAnsi="宋体" w:eastAsia="宋体" w:cs="宋体"/>
          <w:sz w:val="24"/>
          <w:szCs w:val="24"/>
          <w:highlight w:val="none"/>
        </w:rPr>
        <w:t xml:space="preserve">将设专门人员与投标人联系。</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w:t>
      </w:r>
      <w:r>
        <w:rPr>
          <w:rFonts w:hint="eastAsia" w:ascii="宋体" w:hAnsi="宋体" w:eastAsia="宋体" w:cs="宋体"/>
          <w:bCs/>
          <w:sz w:val="24"/>
          <w:szCs w:val="24"/>
          <w:highlight w:val="none"/>
        </w:rPr>
        <w:t xml:space="preserve">采购人、代理机构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采用综合评分法的项目，现场公布评标结果时一并公布所有投标人的评审得分。</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bookmarkStart w:id="72" w:name="_Toc513029232"/>
      <w:r/>
      <w:bookmarkStart w:id="73" w:name="_Toc16938548"/>
      <w:r/>
      <w:bookmarkStart w:id="74" w:name="_Toc20823304"/>
      <w:r>
        <w:rPr>
          <w:rFonts w:hint="eastAsia" w:ascii="宋体" w:hAnsi="宋体" w:eastAsia="宋体" w:cs="宋体"/>
          <w:sz w:val="24"/>
          <w:szCs w:val="24"/>
          <w:highlight w:val="none"/>
        </w:rPr>
        <w:t xml:space="preserve">4.投标的澄清</w:t>
      </w:r>
      <w:bookmarkEnd w:id="72"/>
      <w:r/>
      <w:bookmarkEnd w:id="73"/>
      <w:r/>
      <w:bookmarkEnd w:id="74"/>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4.1评标期间，为有助于对投标文件的审查、评价和比较，评委会有权以书面形式要求投标人对其投标文件进行澄清，但并非对每个投标人都作澄清要求。</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接到评标委员会澄清要求的供应商应派人按评标委员会规定的时间和格式在苏采云系统中做出澄清并加盖CA电子公章，澄清的内容作为响应文件的补充部分，但实质性的内容不得做任何更改。具体操作方式见《操作手册》。</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接到评委会澄清要求的投标人如未按规定作出澄清，其风险由投标人自行承担。</w:t>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bookmarkStart w:id="75" w:name="_Toc16938549"/>
      <w:r/>
      <w:bookmarkStart w:id="76" w:name="_Toc20823305"/>
      <w:r/>
      <w:bookmarkStart w:id="77" w:name="_Toc513029233"/>
      <w:r>
        <w:rPr>
          <w:rFonts w:hint="eastAsia" w:ascii="宋体" w:hAnsi="宋体" w:eastAsia="宋体" w:cs="宋体"/>
          <w:sz w:val="24"/>
          <w:szCs w:val="24"/>
          <w:highlight w:val="none"/>
        </w:rPr>
        <w:t xml:space="preserve">5对投标文件的初审</w:t>
      </w:r>
      <w:bookmarkEnd w:id="75"/>
      <w:r/>
      <w:bookmarkEnd w:id="76"/>
      <w:r/>
      <w:bookmarkEnd w:id="77"/>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bCs/>
          <w:sz w:val="24"/>
          <w:szCs w:val="24"/>
          <w:highlight w:val="none"/>
        </w:rPr>
        <w:t xml:space="preserve">投标文件初审分为资格审查和符合性审查。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5.1.1 资格审查：依据法律法规和招标文件的规定，由采购人或采购人委托评委对投标文件中的资格证明文件进行审查。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5.1.3未通过资格审查或符合性审查的供应商，采购代理将在苏采云系统中告知未通过资格审查或符合性审查的原因，评审结束后，采购代理将不再告知未通过资格审查或符合性审查的原因。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4"/>
          <w:szCs w:val="24"/>
          <w:highlight w:val="none"/>
        </w:rPr>
        <w:t xml:space="preserve">评委决定投标文件的响应性只根据投标文件本身的内容，而不寻求外部的证据。</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5.3</w:t>
      </w:r>
      <w:r>
        <w:rPr>
          <w:rFonts w:hint="eastAsia" w:ascii="宋体" w:hAnsi="宋体" w:eastAsia="宋体" w:cs="宋体"/>
          <w:bCs/>
          <w:sz w:val="24"/>
          <w:szCs w:val="24"/>
          <w:highlight w:val="none"/>
        </w:rPr>
        <w:t xml:space="preserve">如果投标文件实质上没有响应招标文件的要求，评委会将予以拒绝，投标人不得通过修改或撤销不符合要求的偏离或保留而使其投标成为实质性响应的投标。</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5.4</w:t>
      </w:r>
      <w:r>
        <w:rPr>
          <w:rFonts w:hint="eastAsia" w:ascii="宋体" w:hAnsi="宋体" w:eastAsia="宋体" w:cs="宋体"/>
          <w:bCs/>
          <w:sz w:val="24"/>
          <w:szCs w:val="24"/>
          <w:highlight w:val="none"/>
        </w:rPr>
        <w:t xml:space="preserve">评委会将对确定为实质性响应的投标进行进一步审核，看其是否有计算上或累加上的算术错误，修正错误的原则如下：</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（1）投标文件中开标一览表内容与投标文件中相应内容不一致的，以开标一览表为准。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（3）单价金额小数点或者百分比有明显错位的，以开标一览表的总价为准，并修改单价。</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5.5</w:t>
      </w:r>
      <w:r>
        <w:rPr>
          <w:rFonts w:hint="eastAsia" w:ascii="宋体" w:hAnsi="宋体" w:eastAsia="宋体" w:cs="宋体"/>
          <w:bCs/>
          <w:sz w:val="24"/>
          <w:szCs w:val="24"/>
          <w:highlight w:val="none"/>
        </w:rPr>
        <w:t xml:space="preserve">评委会将按上述修正错误的方法调整响应文件中的报价，通过“苏采云系统”开标大厅告知供应商，调整后的价格应对供应商具有约束力。如果投标人不接受修正后的价格，则其投标将被拒绝。</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5.6</w:t>
      </w:r>
      <w:r>
        <w:rPr>
          <w:rFonts w:hint="eastAsia" w:ascii="宋体" w:hAnsi="宋体" w:eastAsia="宋体" w:cs="宋体"/>
          <w:bCs/>
          <w:sz w:val="24"/>
          <w:szCs w:val="24"/>
          <w:highlight w:val="none"/>
        </w:rPr>
        <w:t xml:space="preserve">评委会将允许修正投标文件中不构成重大偏离的、微小的、非正规的、不一致的或不规则的地方，但这些修改不能影响任何投标人相应的名次排列。</w:t>
      </w:r>
      <w:r/>
    </w:p>
    <w:p>
      <w:pPr>
        <w:ind w:firstLine="480"/>
        <w:pageBreakBefore w:val="0"/>
        <w:spacing w:line="440" w:lineRule="exact"/>
        <w:widowControl w:val="off"/>
        <w:rPr>
          <w:rFonts w:hint="eastAsia" w:ascii="宋体" w:hAnsi="宋体" w:eastAsia="宋体" w:cs="宋体"/>
          <w:sz w:val="24"/>
          <w:szCs w:val="24"/>
          <w:highlight w:val="none"/>
        </w:rPr>
      </w:pPr>
      <w:r/>
      <w:bookmarkStart w:id="78" w:name="_Toc20823306"/>
      <w:r/>
      <w:bookmarkStart w:id="79" w:name="_Toc513029234"/>
      <w:r/>
      <w:bookmarkStart w:id="80" w:name="_Toc16938550"/>
      <w:r>
        <w:rPr>
          <w:rFonts w:hint="eastAsia" w:ascii="宋体" w:hAnsi="宋体" w:eastAsia="宋体" w:cs="宋体"/>
          <w:sz w:val="24"/>
          <w:szCs w:val="24"/>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中标候选人，其他同品牌投标人不作为中标候选人。</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非单一产品采购项目，招标文件中将载明其中的核心产品。多家投标人提供的核心产品品牌相同的，按前两款规定处理。</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5.8 投标人在开、评标全过程中应保持通讯畅通，并安排专人与采购人、代理机构及评标委员会联系。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6.响应文件线上格式要求</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6.1供应商应当通过“苏采云”系统提交数据电文形式的响应文件（即电子投标）。</w:t>
      </w:r>
      <w:r/>
    </w:p>
    <w:p>
      <w:pPr>
        <w:ind w:firstLine="480"/>
        <w:jc w:val="left"/>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b/>
          <w:bCs/>
          <w:sz w:val="24"/>
          <w:szCs w:val="24"/>
          <w:highlight w:val="none"/>
        </w:rPr>
        <w:t xml:space="preserve">通过“苏采云”系统提交政府采购客户端工具导出加密的响应文件（后缀名为zip）。响应文件不得超过150M！</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6.3本项目采用线上投标，即供应商响应文件从政府采购客户端工具制作通过“苏采云”系统提交，未提供线上响应文件的，投标无效。</w:t>
      </w:r>
      <w:bookmarkEnd w:id="78"/>
      <w:r/>
      <w:bookmarkEnd w:id="79"/>
      <w:r/>
      <w:bookmarkEnd w:id="80"/>
      <w:r/>
      <w:r/>
    </w:p>
    <w:p>
      <w:pPr>
        <w:pStyle w:val="886"/>
        <w:ind w:firstLine="480"/>
        <w:jc w:val="both"/>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7.无效投标条款和废标条款</w:t>
      </w:r>
      <w:r/>
    </w:p>
    <w:p>
      <w:pPr>
        <w:ind w:firstLine="480"/>
        <w:pageBreakBefore w:val="0"/>
        <w:spacing w:line="440" w:lineRule="exact"/>
        <w:widowControl w:val="off"/>
        <w:tabs>
          <w:tab w:val="left" w:pos="6555" w:leader="none"/>
          <w:tab w:val="right" w:pos="8306" w:leader="none"/>
        </w:tabs>
        <w:rPr>
          <w:rFonts w:hint="eastAsia" w:ascii="宋体" w:hAnsi="宋体" w:eastAsia="宋体" w:cs="宋体"/>
          <w:b/>
          <w:sz w:val="24"/>
          <w:szCs w:val="24"/>
          <w:highlight w:val="none"/>
        </w:rPr>
      </w:pPr>
      <w:r/>
      <w:bookmarkStart w:id="81" w:name="_Toc16938551"/>
      <w:r/>
      <w:bookmarkStart w:id="82" w:name="_Toc513029235"/>
      <w:r/>
      <w:bookmarkStart w:id="83" w:name="_Toc20823307"/>
      <w:r>
        <w:rPr>
          <w:rFonts w:hint="eastAsia" w:ascii="宋体" w:hAnsi="宋体" w:eastAsia="宋体" w:cs="宋体"/>
          <w:bCs/>
          <w:sz w:val="24"/>
          <w:szCs w:val="24"/>
          <w:highlight w:val="none"/>
        </w:rPr>
        <w:t xml:space="preserve">7.1出现下列情形之一的，作无效响应处理：</w:t>
      </w:r>
      <w:r>
        <w:rPr>
          <w:rFonts w:hint="eastAsia" w:ascii="宋体" w:hAnsi="宋体" w:eastAsia="宋体" w:cs="宋体"/>
          <w:bCs/>
          <w:sz w:val="24"/>
          <w:szCs w:val="24"/>
          <w:highlight w:val="none"/>
        </w:rPr>
        <w:tab/>
      </w:r>
      <w:r>
        <w:rPr>
          <w:rFonts w:hint="eastAsia" w:ascii="宋体" w:hAnsi="宋体" w:eastAsia="宋体" w:cs="宋体"/>
          <w:b/>
          <w:sz w:val="24"/>
          <w:szCs w:val="24"/>
          <w:highlight w:val="none"/>
        </w:rPr>
        <w:tab/>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7.1.1投标人因自身原因在“</w:t>
      </w:r>
      <w:r>
        <w:rPr>
          <w:rFonts w:hint="eastAsia" w:ascii="宋体" w:hAnsi="宋体" w:eastAsia="宋体" w:cs="宋体"/>
          <w:bCs/>
          <w:sz w:val="24"/>
          <w:szCs w:val="24"/>
          <w:highlight w:val="none"/>
        </w:rPr>
        <w:t xml:space="preserve">苏采云</w:t>
      </w:r>
      <w:r>
        <w:rPr>
          <w:rFonts w:hint="eastAsia" w:ascii="宋体" w:hAnsi="宋体" w:eastAsia="宋体" w:cs="宋体"/>
          <w:sz w:val="24"/>
          <w:szCs w:val="24"/>
          <w:highlight w:val="none"/>
        </w:rPr>
        <w:t xml:space="preserve">”规定的时间内未成功解密电子投标文件的；</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7.1.2投标人未按照采购文件要求上传电子投标文件的；</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7.1.3投标文件的资料有虚报或者谎报的；</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7.1.4投标文件除价格标以外出现投标报价的内容；</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7.1.5不具备采购文件规定的资格要求的；</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7.1.6投标文件有重大漏项或重大不合理的；</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7.1.7项目技术、方案不满足项目需求中的要求，有重大偏离或保留的；</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7.1.8投标报价超出项目最高限价的；</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7.1.9评标委员会认为投标人的报价明显低于其他通过符合性审查投标人的报价，有可能影响产品质量或者不能诚信履约的，要求其在合理的时间内提供说明，必要时提交相关证明材料；投标人不能证明其报价合理性的，评标委员会应当将其作为无效投标处理。</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7.1.10不符合法律、法规和采购文件中规定的其他实质性响应要求的；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7.1.11评标小组认定为其他情况可确定为无效投标的。</w:t>
      </w:r>
      <w:r/>
    </w:p>
    <w:p>
      <w:pPr>
        <w:ind w:firstLine="480"/>
        <w:pageBreakBefore w:val="0"/>
        <w:spacing w:line="44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7.2出现下列情形之一的，作废标处理：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7.2.1符合专业条件的供应商或者对招标文件作实质响应的供应商不足三家的。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7.2.2出现影响采购公正的违法、违规行为的。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7.2.3因重大变故，采购任务取消的。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7.2.4评标委员会认定招标文件存在歧义、重大缺陷导致评审工作无法进行。</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7.3投标截止时间结束后参加投标的供应商不足三家的处理：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7.3.1如出现投标截止时间结束后参加投标的供应商或者在评标期间对招标文件做出实质响应的供应商不足三家情况，按政府采购相关规定执行。</w:t>
      </w:r>
      <w:bookmarkEnd w:id="81"/>
      <w:r/>
      <w:bookmarkEnd w:id="82"/>
      <w:r/>
      <w:bookmarkEnd w:id="83"/>
      <w:r/>
      <w:r/>
    </w:p>
    <w:p>
      <w:pPr>
        <w:pStyle w:val="885"/>
        <w:ind w:firstLine="482"/>
        <w:pageBreakBefore w:val="0"/>
        <w:spacing w:before="0" w:after="0" w:line="440" w:lineRule="exact"/>
        <w:widowControl w:val="off"/>
        <w:rPr>
          <w:rFonts w:hint="eastAsia" w:ascii="宋体" w:hAnsi="宋体" w:eastAsia="宋体" w:cs="宋体"/>
          <w:sz w:val="24"/>
          <w:szCs w:val="24"/>
          <w:highlight w:val="none"/>
        </w:rPr>
      </w:pPr>
      <w:r/>
      <w:bookmarkStart w:id="84" w:name="_Toc120614219"/>
      <w:r>
        <w:rPr>
          <w:rFonts w:hint="eastAsia" w:ascii="宋体" w:hAnsi="宋体" w:eastAsia="宋体" w:cs="宋体"/>
          <w:sz w:val="24"/>
          <w:szCs w:val="24"/>
          <w:highlight w:val="none"/>
        </w:rPr>
        <w:t xml:space="preserve">（六）定标</w:t>
      </w:r>
      <w:bookmarkEnd w:id="84"/>
      <w:r/>
      <w:r/>
    </w:p>
    <w:p>
      <w:pPr>
        <w:pStyle w:val="886"/>
        <w:ind w:firstLine="480"/>
        <w:jc w:val="both"/>
        <w:pageBreakBefore w:val="0"/>
        <w:spacing w:line="440" w:lineRule="exact"/>
        <w:widowControl w:val="off"/>
        <w:rPr>
          <w:rFonts w:hint="eastAsia" w:ascii="宋体" w:hAnsi="宋体" w:eastAsia="宋体" w:cs="宋体"/>
          <w:b/>
          <w:sz w:val="24"/>
          <w:szCs w:val="24"/>
          <w:highlight w:val="none"/>
        </w:rPr>
      </w:pPr>
      <w:r/>
      <w:bookmarkStart w:id="85" w:name="_Toc20823310"/>
      <w:r/>
      <w:bookmarkStart w:id="86" w:name="_Toc16938554"/>
      <w:r>
        <w:rPr>
          <w:rFonts w:hint="eastAsia" w:ascii="宋体" w:hAnsi="宋体" w:eastAsia="宋体" w:cs="宋体"/>
          <w:sz w:val="24"/>
          <w:szCs w:val="24"/>
          <w:highlight w:val="none"/>
        </w:rPr>
        <w:t xml:space="preserve">1.确定</w:t>
      </w:r>
      <w:bookmarkEnd w:id="85"/>
      <w:r/>
      <w:bookmarkEnd w:id="86"/>
      <w:r>
        <w:rPr>
          <w:rFonts w:hint="eastAsia" w:ascii="宋体" w:hAnsi="宋体" w:eastAsia="宋体" w:cs="宋体"/>
          <w:sz w:val="24"/>
          <w:szCs w:val="24"/>
          <w:highlight w:val="none"/>
        </w:rPr>
        <w:t xml:space="preserve">中标单位</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1.1中标候选人的选取原则和数量见招标文件第四部分规定。 </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1.2采购人授权评委会在中标候选人中直接确定中标人。</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1.3采购人将在“江苏政府采购网”发布中标公告，公告期限为1个工作日。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1.4若有充分证据证明，中标人出现下列情况之一的，一经查实，将被取消中标资格：</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1.4.1提供虚假材料谋取中标的。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1.4.2</w:t>
      </w:r>
      <w:bookmarkStart w:id="87" w:name="_Hlk107999356"/>
      <w:r>
        <w:rPr>
          <w:rFonts w:hint="eastAsia" w:ascii="宋体" w:hAnsi="宋体" w:eastAsia="宋体" w:cs="宋体"/>
          <w:bCs/>
          <w:sz w:val="24"/>
          <w:szCs w:val="24"/>
          <w:highlight w:val="none"/>
        </w:rPr>
        <w:t xml:space="preserve">向采购人、示范区交易中心及评审专家行贿或者提供其他不正当利益的。</w:t>
      </w:r>
      <w:bookmarkEnd w:id="87"/>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1.4.3恶意竞争，投标总报价明显低于其自身合理成本且又无法提供证明的。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1.4.4属于本文件规定的无效条件，但在评标过程中又未被评委会发现的。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1.4.5与采购人或者其他供应商恶意串通的。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1.4.6采取不正当手段诋毁、排挤其他供应商的。</w:t>
      </w:r>
      <w:r/>
    </w:p>
    <w:p>
      <w:pPr>
        <w:ind w:firstLine="480"/>
        <w:pageBreakBefore w:val="0"/>
        <w:spacing w:line="440" w:lineRule="exact"/>
        <w:widowControl w:val="off"/>
        <w:rPr>
          <w:rFonts w:hint="eastAsia" w:ascii="宋体" w:hAnsi="宋体" w:eastAsia="宋体" w:cs="宋体"/>
          <w:sz w:val="24"/>
          <w:szCs w:val="24"/>
          <w:highlight w:val="none"/>
        </w:rPr>
      </w:pPr>
      <w:r/>
      <w:bookmarkStart w:id="88" w:name="_Toc200451960"/>
      <w:r>
        <w:rPr>
          <w:rFonts w:hint="eastAsia" w:ascii="宋体" w:hAnsi="宋体" w:eastAsia="宋体" w:cs="宋体"/>
          <w:sz w:val="24"/>
          <w:szCs w:val="24"/>
          <w:highlight w:val="none"/>
        </w:rPr>
        <w:t xml:space="preserve">1.5.有下列情形之一的，视为投标人串通投标，投标无效：</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1.5.1不同投标人的投标文件由同一单位或者个人编制；</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1.5.2不同投标人委托同一单位或者个人办理投标事宜；</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1.5.3不同投标人的投标文件载明的项目管理成员或者联系人员为同一人；</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1.5.4不同投标人的投标文件异常一致或者投标报价呈规律性差异；</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1.5.5不同投标人的投标文件相互混装；</w:t>
      </w:r>
      <w:r/>
    </w:p>
    <w:p>
      <w:pPr>
        <w:pStyle w:val="886"/>
        <w:ind w:firstLine="480"/>
        <w:jc w:val="both"/>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2.质疑处理</w:t>
      </w:r>
      <w:bookmarkEnd w:id="88"/>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2.1提出质疑的供应商应当是参与所质疑项目采购活动的供应商。潜在供应商依法获取其可质疑的采购文件的，可以对采购文件提出质疑。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2.2.1对可以质疑的采购文件提出质疑的，为收到采购文件之日或者采购文件公告期限届满之日；</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2.2.2对采购过程提出质疑的，为各采购程序环节结束之日；</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2.2.3对中标或者中标结果提出质疑的，为中标或者中标结果公告期限届满之日。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2.4对采购方式、招标文件中项目需求请向采购人提出，由采购人负责答复，其他由代理机构答复。</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2.5以下情形的质疑不予受理</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 内容不符合《政府采购质疑和投诉办法》第十二条规定的质疑。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 超出政府采购法定期限的质疑。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 未参加投标活动的供应商或在投标活动中自身权益未受到损害的供应商所提出的质疑。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2.5.4供应商组成联合体参加投标，联合体中任何一方或多方未按要求签字、盖章、加盖公章的质疑。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2.7投诉提起路径：南通市政府采购网（南通市公共资源交易平台）-“交易指引”-“投诉办理指引”。</w:t>
      </w:r>
      <w:r/>
    </w:p>
    <w:p>
      <w:pPr>
        <w:ind w:firstLine="480"/>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sz w:val="24"/>
          <w:szCs w:val="24"/>
          <w:highlight w:val="none"/>
        </w:rPr>
        <w:t xml:space="preserve">3．中标通知书</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3.l中标结果确定后，采购人将向中标供应商发出中标通知书。</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特别说明：中标供应商</w:t>
      </w:r>
      <w:r>
        <w:rPr>
          <w:rFonts w:hint="eastAsia" w:ascii="宋体" w:hAnsi="宋体" w:cs="宋体"/>
          <w:b/>
          <w:sz w:val="24"/>
          <w:szCs w:val="24"/>
          <w:highlight w:val="none"/>
          <w:lang w:val="en-US" w:eastAsia="zh-CN"/>
        </w:rPr>
        <w:t xml:space="preserve">领取</w:t>
      </w:r>
      <w:r>
        <w:rPr>
          <w:rFonts w:hint="eastAsia" w:ascii="宋体" w:hAnsi="宋体" w:eastAsia="宋体" w:cs="宋体"/>
          <w:b/>
          <w:sz w:val="24"/>
          <w:szCs w:val="24"/>
          <w:highlight w:val="none"/>
        </w:rPr>
        <w:t xml:space="preserve">中标通知书后须提供3套加盖红章的系统内打印的纸质响应文件给采购代理机构。</w:t>
      </w:r>
      <w:r/>
    </w:p>
    <w:p>
      <w:pPr>
        <w:pStyle w:val="885"/>
        <w:ind w:firstLine="482"/>
        <w:pageBreakBefore w:val="0"/>
        <w:spacing w:before="0" w:after="0" w:line="440" w:lineRule="exact"/>
        <w:widowControl w:val="off"/>
        <w:rPr>
          <w:rFonts w:hint="eastAsia" w:ascii="宋体" w:hAnsi="宋体" w:eastAsia="宋体" w:cs="宋体"/>
          <w:sz w:val="24"/>
          <w:szCs w:val="24"/>
          <w:highlight w:val="none"/>
        </w:rPr>
      </w:pPr>
      <w:r/>
      <w:bookmarkStart w:id="89" w:name="_Toc120614220"/>
      <w:r/>
      <w:bookmarkStart w:id="90" w:name="_Toc20823308"/>
      <w:r/>
      <w:bookmarkStart w:id="91" w:name="_Toc16938552"/>
      <w:r/>
      <w:bookmarkStart w:id="92" w:name="_Toc513029236"/>
      <w:r>
        <w:rPr>
          <w:rFonts w:hint="eastAsia" w:ascii="宋体" w:hAnsi="宋体" w:eastAsia="宋体" w:cs="宋体"/>
          <w:sz w:val="24"/>
          <w:szCs w:val="24"/>
          <w:highlight w:val="none"/>
        </w:rPr>
        <w:t xml:space="preserve">（七）授予合同</w:t>
      </w:r>
      <w:bookmarkEnd w:id="89"/>
      <w:r/>
      <w:bookmarkEnd w:id="90"/>
      <w:r/>
      <w:bookmarkEnd w:id="91"/>
      <w:r/>
      <w:bookmarkEnd w:id="92"/>
      <w:r/>
      <w:r/>
    </w:p>
    <w:p>
      <w:pPr>
        <w:pStyle w:val="886"/>
        <w:ind w:firstLine="480"/>
        <w:jc w:val="both"/>
        <w:pageBreakBefore w:val="0"/>
        <w:spacing w:line="440" w:lineRule="exact"/>
        <w:widowControl w:val="off"/>
        <w:rPr>
          <w:rFonts w:hint="eastAsia" w:ascii="宋体" w:hAnsi="宋体" w:eastAsia="宋体" w:cs="宋体"/>
          <w:b/>
          <w:sz w:val="24"/>
          <w:szCs w:val="24"/>
          <w:highlight w:val="none"/>
        </w:rPr>
      </w:pPr>
      <w:r/>
      <w:bookmarkStart w:id="93" w:name="_Toc20823309"/>
      <w:r/>
      <w:bookmarkStart w:id="94" w:name="_Toc16938553"/>
      <w:r/>
      <w:bookmarkStart w:id="95" w:name="_Toc513029237"/>
      <w:r>
        <w:rPr>
          <w:rFonts w:hint="eastAsia" w:ascii="宋体" w:hAnsi="宋体" w:eastAsia="宋体" w:cs="宋体"/>
          <w:sz w:val="24"/>
          <w:szCs w:val="24"/>
          <w:highlight w:val="none"/>
        </w:rPr>
        <w:t xml:space="preserve">1.签订合同</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.l中标人应当在中标通知书发出之日起三十日内，按照招标文件确定的事项与采购人签订政府采购合同。</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1.2招标文件、中标人的投标文件及招标过程中有关澄清、承诺文件均应作为合同附件。</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中标供应商就采购项目和分包项目向采购人负责，分包供应商就分包项目承担责任。转包或分包造成采购人损失的，中标人应承担相应赔偿责任。</w:t>
      </w:r>
      <w:r/>
    </w:p>
    <w:p>
      <w:pPr>
        <w:pStyle w:val="886"/>
        <w:ind w:firstLine="480"/>
        <w:jc w:val="both"/>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2.货物和服务的追加、减少和添购。</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93"/>
      <w:r/>
      <w:bookmarkEnd w:id="94"/>
      <w:r/>
      <w:bookmarkEnd w:id="95"/>
      <w:r/>
      <w:r/>
    </w:p>
    <w:p>
      <w:pPr>
        <w:ind w:firstLine="480"/>
        <w:keepNext/>
        <w:pageBreakBefore w:val="0"/>
        <w:spacing w:line="44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3.政府采购合同信用融资扶持政策</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3.1根</w:t>
      </w:r>
      <w:r>
        <w:rPr>
          <w:rFonts w:hint="eastAsia" w:ascii="宋体" w:hAnsi="宋体" w:eastAsia="宋体" w:cs="宋体"/>
          <w:sz w:val="24"/>
          <w:szCs w:val="24"/>
          <w:highlight w:val="none"/>
        </w:rPr>
        <w:t xml:space="preserve">据《关于转发江苏省财政厅、中国人民银行南京分行&lt;关于深入推进政府采购线上合同信用融资工作的通知〉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易企服”综合服务平台-金融产品全周期-贷款产品专栏。</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根据《关于深入开展南通市政府采购线上合同信用融资业务的通知》（通财购〔2022〕68号），成交供应商可通过中征应收账款融资服务平台（简称“中征平台”）办理“政采贷”融资贷款，具体业务操作流程如下：</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3.2.1确定融资意向。成交供应商取得成交通知书后，联系意向金融机构，商洽融资事项，确定融资意向。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3.2.2签订采购合同。成交供应商与采购人签订政府采购合同时，应将自身融资需求告知采购人或其委托的采购代理机构，提醒(或协助)其当天在“苏采云”上传合同的同时将“供应商是否融资”选为“是”。</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3.2.3提交融资申请。成交供应商登录“中征平台”进行用户注册，查看“政采贷”融资产品，向确定合作的金融机构提交融资申请。</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3.2.4确认回款账户。金融机构填写需要锁定的回款账户信息后成交供应商应登录“中征平台”确认账户信息，以实现回款账户的锁定。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（八）电子招标投标交易平台</w:t>
      </w:r>
      <w:r/>
    </w:p>
    <w:p>
      <w:pPr>
        <w:ind w:firstLine="480"/>
        <w:pageBreakBefore w:val="0"/>
        <w:spacing w:line="440" w:lineRule="exact"/>
        <w:widowControl w:val="off"/>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电子招标投标交易平台（即“苏采云”系统，网址：</w:t>
      </w:r>
      <w:r>
        <w:rPr>
          <w:rFonts w:hint="eastAsia" w:ascii="宋体" w:hAnsi="宋体" w:eastAsia="宋体" w:cs="宋体"/>
          <w:sz w:val="24"/>
          <w:szCs w:val="24"/>
          <w:highlight w:val="none"/>
          <w:lang w:eastAsia="en-US"/>
        </w:rPr>
        <w:fldChar w:fldCharType="begin"/>
      </w:r>
      <w:r>
        <w:rPr>
          <w:rFonts w:hint="eastAsia" w:ascii="宋体" w:hAnsi="宋体" w:eastAsia="宋体" w:cs="宋体"/>
          <w:sz w:val="24"/>
          <w:szCs w:val="24"/>
          <w:highlight w:val="none"/>
          <w:lang w:eastAsia="en-US"/>
        </w:rPr>
        <w:instrText xml:space="preserve"> HYPERLINK "http://jszfcg.jsczt.cn/）相关要求是本采购文件的组成部分。" </w:instrText>
      </w:r>
      <w:r>
        <w:rPr>
          <w:rFonts w:hint="eastAsia" w:ascii="宋体" w:hAnsi="宋体" w:eastAsia="宋体" w:cs="宋体"/>
          <w:sz w:val="24"/>
          <w:szCs w:val="24"/>
          <w:highlight w:val="none"/>
          <w:lang w:eastAsia="en-US"/>
        </w:rPr>
        <w:fldChar w:fldCharType="separate"/>
      </w:r>
      <w:r>
        <w:rPr>
          <w:rFonts w:hint="eastAsia" w:ascii="宋体" w:hAnsi="宋体" w:eastAsia="宋体" w:cs="宋体"/>
          <w:sz w:val="24"/>
          <w:szCs w:val="24"/>
          <w:highlight w:val="none"/>
          <w:lang w:eastAsia="en-US"/>
        </w:rPr>
        <w:t xml:space="preserve">http://jszfcg.jsczt.cn/）相关要求是本采购文件的组成部分。</w:t>
      </w:r>
      <w:r>
        <w:rPr>
          <w:rFonts w:hint="eastAsia" w:ascii="宋体" w:hAnsi="宋体" w:eastAsia="宋体" w:cs="宋体"/>
          <w:sz w:val="24"/>
          <w:szCs w:val="24"/>
          <w:highlight w:val="none"/>
          <w:lang w:eastAsia="en-US"/>
        </w:rPr>
        <w:fldChar w:fldCharType="end"/>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44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bookmarkEnd w:id="0"/>
      <w:r/>
      <w:bookmarkEnd w:id="1"/>
      <w:r/>
      <w:bookmarkEnd w:id="2"/>
      <w:r/>
      <w:r/>
    </w:p>
    <w:p>
      <w:pPr>
        <w:jc w:val="center"/>
        <w:pageBreakBefore w:val="0"/>
        <w:spacing w:line="440" w:lineRule="exact"/>
        <w:widowControl w:val="off"/>
        <w:rPr>
          <w:rFonts w:hint="eastAsia" w:ascii="宋体" w:hAnsi="宋体" w:eastAsia="宋体" w:cs="宋体"/>
          <w:b/>
          <w:bCs w:val="0"/>
          <w:color w:val="auto"/>
          <w:sz w:val="32"/>
          <w:szCs w:val="32"/>
          <w:highlight w:val="none"/>
        </w:rPr>
        <w:outlineLvl w:val="0"/>
      </w:pPr>
      <w:r>
        <w:rPr>
          <w:rFonts w:hint="eastAsia" w:ascii="宋体" w:hAnsi="宋体" w:eastAsia="宋体" w:cs="宋体"/>
          <w:sz w:val="24"/>
          <w:szCs w:val="24"/>
          <w:highlight w:val="none"/>
        </w:rPr>
        <w:t xml:space="preserve">。</w:t>
      </w:r>
      <w:r>
        <w:rPr>
          <w:rFonts w:hint="eastAsia" w:ascii="宋体" w:hAnsi="宋体" w:eastAsia="宋体" w:cs="宋体"/>
          <w:b/>
          <w:bCs w:val="0"/>
          <w:color w:val="auto"/>
          <w:sz w:val="32"/>
          <w:szCs w:val="32"/>
          <w:highlight w:val="none"/>
        </w:rPr>
        <w:t xml:space="preserve">第三部分  项目需求</w:t>
      </w:r>
      <w:r/>
    </w:p>
    <w:p>
      <w:pPr>
        <w:ind w:firstLine="480"/>
        <w:jc w:val="both"/>
        <w:keepLines w:val="0"/>
        <w:keepNext w:val="0"/>
        <w:pageBreakBefore w:val="0"/>
        <w:spacing w:before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供应商在制作投标文件时仔细研究项目需求说明。项目需求包括技术要求和商务要求:</w:t>
      </w:r>
      <w:r/>
    </w:p>
    <w:p>
      <w:pPr>
        <w:ind w:firstLine="482"/>
        <w:jc w:val="both"/>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一、招标内容</w:t>
      </w:r>
      <w:r/>
    </w:p>
    <w:p>
      <w:pPr>
        <w:ind w:firstLine="482"/>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服务范围：</w:t>
      </w:r>
      <w:r>
        <w:rPr>
          <w:rFonts w:hint="eastAsia" w:ascii="宋体" w:hAnsi="宋体" w:eastAsia="宋体" w:cs="宋体"/>
          <w:color w:val="auto"/>
          <w:sz w:val="24"/>
          <w:szCs w:val="24"/>
          <w:highlight w:val="none"/>
          <w:lang w:eastAsia="zh-CN"/>
        </w:rPr>
        <w:t xml:space="preserve">服务范围涵盖灯塔区域内全部公共区域及设施，包含约3万平方米沙滩区域，以及后续可能拓展的公共服务范围和各类入驻项目所涉公共区域</w:t>
      </w:r>
      <w:r>
        <w:rPr>
          <w:rFonts w:hint="eastAsia" w:ascii="宋体" w:hAnsi="宋体" w:cs="宋体"/>
          <w:color w:val="auto"/>
          <w:sz w:val="24"/>
          <w:szCs w:val="24"/>
          <w:highlight w:val="none"/>
          <w:lang w:eastAsia="zh-CN"/>
        </w:rPr>
        <w:t xml:space="preserve">（见附图）</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项目地点：</w:t>
      </w:r>
      <w:r>
        <w:rPr>
          <w:rFonts w:hint="eastAsia" w:ascii="宋体" w:hAnsi="宋体" w:eastAsia="宋体" w:cs="宋体"/>
          <w:color w:val="auto"/>
          <w:sz w:val="24"/>
          <w:szCs w:val="24"/>
          <w:highlight w:val="none"/>
          <w:lang w:val="en-US" w:eastAsia="zh-CN"/>
        </w:rPr>
        <w:t xml:space="preserve">灯塔区域（含海堤西道闸与海堤东道闸之间全部范围及涉及灯塔形象的部分延伸区域），具体以甲方指定区域范围为准</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before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服务期限</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三年。合同一年一签，自合同签订之日起算。</w:t>
      </w:r>
      <w:r/>
    </w:p>
    <w:p>
      <w:pPr>
        <w:ind w:firstLine="482"/>
        <w:jc w:val="both"/>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二、总体管理要求</w:t>
      </w:r>
      <w:r/>
    </w:p>
    <w:p>
      <w:pPr>
        <w:ind w:firstLine="482"/>
        <w:jc w:val="left"/>
        <w:pageBreakBefore w:val="0"/>
        <w:spacing w:before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总体目标：保障灯塔区域安全、平稳、整洁运行，充分展现通州湾示范区的良好形象。</w:t>
      </w:r>
      <w:r>
        <w:rPr>
          <w:rFonts w:hint="eastAsia" w:ascii="宋体" w:hAnsi="宋体" w:eastAsia="宋体" w:cs="宋体"/>
          <w:b w:val="0"/>
          <w:bCs w:val="0"/>
          <w:color w:val="auto"/>
          <w:sz w:val="24"/>
          <w:szCs w:val="24"/>
          <w:highlight w:val="none"/>
          <w:lang w:val="en-US" w:eastAsia="zh-CN" w:bidi="ar-SA"/>
        </w:rPr>
        <w:t xml:space="preserve">服务单位应深刻理解并贯彻上述总体目标，在日常管理服务中不仅严格履行合同约定的各项具体职责，还应具备全局意识和服务主动性。对于合同条款虽未逐一列明，但在服务过程中实际发现、且影响区域整体形象与运行秩序的事项，服务单位应本着“维护区域整体形象、提升服务保障水平”的原则，积极发挥主观能动性，主动研判、及时响应、灵活处置，确保各项工作无缝衔接、保障到位，实现区域管理服务的全覆盖、无盲区。</w:t>
      </w:r>
      <w:r/>
    </w:p>
    <w:p>
      <w:pPr>
        <w:ind w:firstLine="482"/>
        <w:jc w:val="left"/>
        <w:pageBreakBefore w:val="0"/>
        <w:spacing w:beforeAutospacing="0"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管理内容：</w:t>
      </w:r>
      <w:r>
        <w:rPr>
          <w:rFonts w:hint="eastAsia" w:ascii="宋体" w:hAnsi="宋体" w:eastAsia="宋体" w:cs="宋体"/>
          <w:b w:val="0"/>
          <w:bCs w:val="0"/>
          <w:color w:val="auto"/>
          <w:sz w:val="24"/>
          <w:szCs w:val="24"/>
          <w:highlight w:val="none"/>
          <w:lang w:val="en-US" w:eastAsia="zh-CN" w:bidi="ar-SA"/>
        </w:rPr>
        <w:t xml:space="preserve">1.安保服务；2.卫生保洁；3.日常巡检、维护及维修；4.垃圾清运；5.区域内公共水电运行（不含三夹沙闸用水用电）；6.其他采购人合理要求的内容。</w:t>
      </w:r>
      <w:r/>
    </w:p>
    <w:p>
      <w:pPr>
        <w:ind w:firstLine="482"/>
        <w:jc w:val="both"/>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三、管理服务范围及具体要求（应包括并不局限于以下内容） </w:t>
      </w:r>
      <w:r/>
    </w:p>
    <w:p>
      <w:pPr>
        <w:ind w:firstLine="482"/>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服务内容：</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灯塔区域东、西两处道闸及道闸周边的车辆进出管理、车辆停放管理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安全巡查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游客安全劝导、</w:t>
      </w:r>
      <w:r>
        <w:rPr>
          <w:rFonts w:hint="eastAsia" w:ascii="宋体" w:hAnsi="宋体" w:eastAsia="宋体" w:cs="宋体"/>
          <w:color w:val="auto"/>
          <w:sz w:val="24"/>
          <w:szCs w:val="24"/>
          <w:highlight w:val="none"/>
        </w:rPr>
        <w:t xml:space="preserve">秩序维护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环境卫生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公共区域卫生保洁</w:t>
      </w:r>
      <w:r>
        <w:rPr>
          <w:rFonts w:hint="eastAsia" w:ascii="宋体" w:hAnsi="宋体" w:eastAsia="宋体" w:cs="宋体"/>
          <w:color w:val="auto"/>
          <w:sz w:val="24"/>
          <w:szCs w:val="24"/>
          <w:highlight w:val="none"/>
          <w:lang w:eastAsia="zh-CN"/>
        </w:rPr>
        <w:t xml:space="preserve">、区域内</w:t>
      </w:r>
      <w:r>
        <w:rPr>
          <w:rFonts w:hint="eastAsia" w:ascii="宋体" w:hAnsi="宋体" w:eastAsia="宋体" w:cs="宋体"/>
          <w:color w:val="auto"/>
          <w:sz w:val="24"/>
          <w:szCs w:val="24"/>
          <w:highlight w:val="none"/>
          <w:lang w:val="en-US" w:eastAsia="zh-CN"/>
        </w:rPr>
        <w:t xml:space="preserve">全年水电费（不含三夹沙闸用水用电）的缴纳、垃圾清运、</w:t>
      </w:r>
      <w:r>
        <w:rPr>
          <w:rFonts w:hint="eastAsia" w:ascii="宋体" w:hAnsi="宋体" w:eastAsia="宋体" w:cs="宋体"/>
          <w:color w:val="auto"/>
          <w:sz w:val="24"/>
          <w:szCs w:val="24"/>
          <w:highlight w:val="none"/>
        </w:rPr>
        <w:t xml:space="preserve">公共设施的维护和管理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甲方交办的其他工作</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rPr>
        <w:t xml:space="preserve">法规和政策规定的由乙方管理的其它事项。</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包括但不限于以下内容：</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）服务范围涵盖灯塔区域内全部公共区域及设施，包含约3万平方米沙滩区域，以及后续可能拓展的公共服务范围和各类入驻项目所涉公共区域。</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下面</w:t>
      </w:r>
      <w:r>
        <w:rPr>
          <w:rFonts w:hint="eastAsia" w:ascii="宋体" w:hAnsi="宋体" w:eastAsia="宋体" w:cs="宋体"/>
          <w:color w:val="auto"/>
          <w:sz w:val="24"/>
          <w:szCs w:val="24"/>
          <w:highlight w:val="none"/>
          <w:lang w:eastAsia="zh-CN"/>
        </w:rPr>
        <w:t xml:space="preserve">所列人员配置数量仅为成本测算及评审参考值，不构成对中标人实际在岗人数的强制性最低要求。中标人应在完全满足本项目服务标准、服务质量及现场实际需求的前提下，根据项目人流量变化、作业时段及实际工作需要，自主统筹、合理调配现场服务人员，确保服务到位、管理规范。</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在岗人员数量及配置方案由乙方</w:t>
      </w:r>
      <w:r>
        <w:rPr>
          <w:rFonts w:hint="eastAsia" w:ascii="宋体" w:hAnsi="宋体" w:cs="宋体"/>
          <w:color w:val="auto"/>
          <w:sz w:val="24"/>
          <w:szCs w:val="24"/>
          <w:highlight w:val="none"/>
          <w:lang w:val="en-US" w:eastAsia="zh-CN"/>
        </w:rPr>
        <w:t xml:space="preserve">按月编制</w:t>
      </w:r>
      <w:r>
        <w:rPr>
          <w:rFonts w:hint="eastAsia" w:ascii="宋体" w:hAnsi="宋体" w:eastAsia="宋体" w:cs="宋体"/>
          <w:color w:val="auto"/>
          <w:sz w:val="24"/>
          <w:szCs w:val="24"/>
          <w:highlight w:val="none"/>
          <w:lang w:eastAsia="zh-CN"/>
        </w:rPr>
        <w:t xml:space="preserve">向甲方报备</w:t>
      </w:r>
      <w:r>
        <w:rPr>
          <w:rFonts w:hint="eastAsia" w:ascii="宋体" w:hAnsi="宋体" w:cs="宋体"/>
          <w:color w:val="auto"/>
          <w:sz w:val="24"/>
          <w:szCs w:val="24"/>
          <w:highlight w:val="none"/>
          <w:lang w:val="en-US" w:eastAsia="zh-CN"/>
        </w:rPr>
        <w:t xml:space="preserve">通过后方可实施，并作为当月考核依据之一</w:t>
      </w:r>
      <w:r>
        <w:rPr>
          <w:rFonts w:hint="eastAsia" w:ascii="宋体" w:hAnsi="宋体" w:eastAsia="宋体" w:cs="宋体"/>
          <w:color w:val="auto"/>
          <w:sz w:val="24"/>
          <w:szCs w:val="24"/>
          <w:highlight w:val="none"/>
          <w:lang w:eastAsia="zh-CN"/>
        </w:rPr>
        <w:t xml:space="preserve">，参考配置方案：</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lang w:eastAsia="zh-CN"/>
        </w:rPr>
        <w:t xml:space="preserve">公厕保洁员每日不少于2人；区域保洁员每日不少于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人。</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巡查员：白班不少于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人，夜班不少于</w:t>
      </w:r>
      <w:r>
        <w:rPr>
          <w:rFonts w:hint="eastAsia" w:ascii="宋体" w:hAnsi="宋体" w:eastAsia="宋体" w:cs="宋体"/>
          <w:color w:val="auto"/>
          <w:sz w:val="24"/>
          <w:szCs w:val="24"/>
          <w:highlight w:val="none"/>
          <w:lang w:val="en-US" w:eastAsia="zh-CN"/>
        </w:rPr>
        <w:t xml:space="preserve">4人。</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安保：</w:t>
      </w:r>
      <w:r>
        <w:rPr>
          <w:rFonts w:hint="eastAsia" w:ascii="宋体" w:hAnsi="宋体" w:eastAsia="宋体" w:cs="宋体"/>
          <w:color w:val="auto"/>
          <w:sz w:val="24"/>
          <w:szCs w:val="24"/>
          <w:highlight w:val="none"/>
          <w:lang w:eastAsia="zh-CN"/>
        </w:rPr>
        <w:t xml:space="preserve">保安（含队长）每日不少于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人；道闸口值班保安白班及夜班均不少于2人。</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项目负责人：每日1人。</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节假日（以国家公布为准）期间，在岗人员总数建议不低于日常人数的1.5倍。春节、国庆等长假及甲方指定的重大活动期间，甲方可提前7日通知乙方增派人员，乙方须按通知要求无条件增派，增派人数已包含在合同总价内，乙方不得另行要求增加费用。</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所有在岗人员须打卡考勤</w:t>
      </w:r>
      <w:r>
        <w:rPr>
          <w:rFonts w:hint="eastAsia" w:ascii="宋体" w:hAnsi="宋体" w:eastAsia="宋体" w:cs="宋体"/>
          <w:b w:val="0"/>
          <w:bCs w:val="0"/>
          <w:color w:val="auto"/>
          <w:sz w:val="24"/>
          <w:szCs w:val="24"/>
          <w:highlight w:val="none"/>
          <w:lang w:eastAsia="zh-CN"/>
        </w:rPr>
        <w:t xml:space="preserve">（打卡</w:t>
      </w:r>
      <w:r>
        <w:rPr>
          <w:rFonts w:hint="eastAsia" w:ascii="宋体" w:hAnsi="宋体" w:cs="宋体"/>
          <w:b w:val="0"/>
          <w:bCs w:val="0"/>
          <w:color w:val="auto"/>
          <w:sz w:val="24"/>
          <w:szCs w:val="24"/>
          <w:highlight w:val="none"/>
          <w:lang w:val="en-US" w:eastAsia="zh-CN"/>
        </w:rPr>
        <w:t xml:space="preserve">方式经业主同意后实施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，每日考勤记录作为考核依据。</w:t>
      </w:r>
      <w:r/>
    </w:p>
    <w:p>
      <w:pPr>
        <w:ind w:firstLine="480"/>
        <w:jc w:val="left"/>
        <w:keepLines w:val="0"/>
        <w:keepNext w:val="0"/>
        <w:pageBreakBefore w:val="0"/>
        <w:spacing w:before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具体人员要求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1、项目负责人要求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年龄</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）以下，具备大专以上学历。</w:t>
      </w:r>
      <w:r>
        <w:rPr>
          <w:rFonts w:hint="eastAsia" w:ascii="宋体" w:hAnsi="宋体" w:cs="宋体"/>
          <w:sz w:val="24"/>
          <w:szCs w:val="24"/>
          <w:highlight w:val="none"/>
          <w:lang w:eastAsia="zh-CN"/>
        </w:rPr>
        <w:t xml:space="preserve">具备</w:t>
      </w:r>
      <w:r>
        <w:rPr>
          <w:rFonts w:hint="eastAsia" w:ascii="宋体" w:hAnsi="宋体" w:eastAsia="宋体" w:cs="宋体"/>
          <w:sz w:val="24"/>
          <w:szCs w:val="24"/>
          <w:highlight w:val="none"/>
          <w:lang w:eastAsia="zh-CN"/>
        </w:rPr>
        <w:t xml:space="preserve">物业管理师职业资格证书（三级及以上）或全国物业管理企业经理岗位证书或全国物业项目经理岗位证书，并具有类似项目管理经验</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身体健康，政治素养好，具有强烈的事业心和工作责任感。熟悉安全工作的各项业务和工作流程，有效指导下属团队开展工作，能够独立完成工作质量标准、检查标准、培训方案、安全管理方案等的制定与组织实施。具备较强的组织协调、综合事务处理和突发事件应对能力。</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2、安保人员要求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保安队长：年龄</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以下，身体健康，政治素养好，无违法犯罪记录。</w:t>
      </w:r>
      <w:r>
        <w:rPr>
          <w:rFonts w:hint="eastAsia" w:ascii="宋体" w:hAnsi="宋体" w:eastAsia="宋体" w:cs="宋体"/>
          <w:color w:val="auto"/>
          <w:sz w:val="24"/>
          <w:szCs w:val="24"/>
          <w:highlight w:val="none"/>
          <w:lang w:eastAsia="zh-CN"/>
        </w:rPr>
        <w:t xml:space="preserve">持有公安机关颁发的保安员证，具备</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年以上保安从业经验</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lang w:eastAsia="zh-CN"/>
        </w:rPr>
        <w:t xml:space="preserve">男性年龄55周岁（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）以下，女性年龄50周岁（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）以下，身体健康，无违法犯罪记录。持有公安机关颁发的保安员证，具备1年以上保安从业经验</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、安保职责要求</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（1）交通疏导与秩序维护</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1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①</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车辆管理：做好东西道闸及周边区域游客车辆的疏导工作，严禁机动车、摩托车进入禁行区域；发现违规进入禁行区域的车辆，及时劝离，停放时间不得超过15分钟；工程作业等工作车辆需于西海堤有序停放；杜绝因疏导不力造成区域内交通拥堵</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加强停车场秩序管理，引导车辆有序停放，保持通道畅通。</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2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②</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摊贩管理：摊贩经营秩序</w:t>
      </w:r>
      <w:r>
        <w:rPr>
          <w:rFonts w:hint="eastAsia" w:ascii="宋体" w:hAnsi="宋体" w:cs="宋体"/>
          <w:b w:val="0"/>
          <w:bCs w:val="0"/>
          <w:color w:val="auto"/>
          <w:sz w:val="24"/>
          <w:szCs w:val="24"/>
          <w:highlight w:val="none"/>
          <w:lang w:val="en-US" w:eastAsia="zh-CN" w:bidi="ar-SA"/>
        </w:rPr>
        <w:t xml:space="preserve">管理</w:t>
      </w:r>
      <w:r>
        <w:rPr>
          <w:rFonts w:hint="eastAsia" w:ascii="宋体" w:hAnsi="宋体" w:eastAsia="宋体" w:cs="宋体"/>
          <w:b w:val="0"/>
          <w:bCs w:val="0"/>
          <w:color w:val="auto"/>
          <w:sz w:val="24"/>
          <w:szCs w:val="24"/>
          <w:highlight w:val="none"/>
          <w:lang w:val="en-US" w:eastAsia="zh-CN" w:bidi="ar-SA"/>
        </w:rPr>
        <w:t xml:space="preserve">，要求摊贩按规定</w:t>
      </w:r>
      <w:r>
        <w:rPr>
          <w:rFonts w:hint="eastAsia" w:ascii="宋体" w:hAnsi="宋体" w:cs="宋体"/>
          <w:b w:val="0"/>
          <w:bCs w:val="0"/>
          <w:color w:val="auto"/>
          <w:sz w:val="24"/>
          <w:szCs w:val="24"/>
          <w:highlight w:val="none"/>
          <w:lang w:val="en-US" w:eastAsia="zh-CN" w:bidi="ar-SA"/>
        </w:rPr>
        <w:t xml:space="preserve">在规划区域内</w:t>
      </w:r>
      <w:r>
        <w:rPr>
          <w:rFonts w:hint="eastAsia" w:ascii="宋体" w:hAnsi="宋体" w:eastAsia="宋体" w:cs="宋体"/>
          <w:b w:val="0"/>
          <w:bCs w:val="0"/>
          <w:color w:val="auto"/>
          <w:sz w:val="24"/>
          <w:szCs w:val="24"/>
          <w:highlight w:val="none"/>
          <w:lang w:val="en-US" w:eastAsia="zh-CN" w:bidi="ar-SA"/>
        </w:rPr>
        <w:t xml:space="preserve">排布经营，杜绝违规经营、占道经营行为；</w:t>
      </w:r>
      <w:r>
        <w:rPr>
          <w:rFonts w:hint="eastAsia" w:ascii="宋体" w:hAnsi="宋体" w:cs="宋体"/>
          <w:b w:val="0"/>
          <w:bCs w:val="0"/>
          <w:color w:val="auto"/>
          <w:sz w:val="24"/>
          <w:szCs w:val="24"/>
          <w:highlight w:val="none"/>
          <w:lang w:val="en-US" w:eastAsia="zh-CN" w:bidi="ar-SA"/>
        </w:rPr>
        <w:t xml:space="preserve">后期商业配套项目经营秩序管理；</w:t>
      </w:r>
      <w:r>
        <w:rPr>
          <w:rFonts w:hint="eastAsia" w:ascii="宋体" w:hAnsi="宋体" w:eastAsia="宋体" w:cs="宋体"/>
          <w:b w:val="0"/>
          <w:bCs w:val="0"/>
          <w:color w:val="auto"/>
          <w:sz w:val="24"/>
          <w:szCs w:val="24"/>
          <w:highlight w:val="none"/>
          <w:lang w:val="en-US" w:eastAsia="zh-CN" w:bidi="ar-SA"/>
        </w:rPr>
        <w:t xml:space="preserve">发现违规现象及时有效劝阻，防止经营秩序混乱，如劝阻无效由现场负责人协调服务单位增派人手处置。</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3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③</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人流管理：巡查区域内人流情况，及时疏导聚集人群，杜绝大规模聚集拥堵；维护公共设施使用秩序，确保游客有序使用各类设施。</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（2）安全防护与设施管理</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1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①</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做好区域内公共设施设备的看护工作，每日巡查护栏、水龙头、标识牌等设施是否完好，发现损坏后2小时内完成报损；发现破坏、违规使用设施等行为，立即制止并上报。</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2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②</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保持安保设备、通信设备等完好可用，按要求有序摆放作业工具与个人车辆，杜绝工作人员车辆随意停放、飞线充电等安全隐患。</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3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③</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rPr>
        <w:t xml:space="preserve">巡查中如发现堤防设施异常、违法建设等情况，应立即拍照记录，并第一时间向现场负责人报告，做到及时响应、不遗漏、不拖延。</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（3）应急与配合工作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接到应急指令后，迅速响应，第一时间到位开展处置工作，有效配合甲方及相关部门处理突发事件，杜绝响应迟缓、处置不力的情况。</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、保洁人员要求</w:t>
      </w:r>
      <w:r/>
    </w:p>
    <w:p>
      <w:pPr>
        <w:ind w:firstLine="480"/>
        <w:jc w:val="both"/>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保洁主管：55周岁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以下，保洁组长要求具有保洁管理经验；</w:t>
      </w:r>
      <w:r/>
    </w:p>
    <w:p>
      <w:pPr>
        <w:ind w:firstLine="480"/>
        <w:jc w:val="both"/>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其他人员：</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eastAsia="zh-CN"/>
        </w:rPr>
        <w:t xml:space="preserve">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身体健康，具备从事户外保洁作业的身体素质，持有健康证明，无传染性疾病。具有保洁工作经验，熟悉沙滩、步道、公厕、绿化等不同区域的保洁作业标准和操作规范。能够熟练使用各类保洁工具及设备，工作认真负责，吃苦耐劳，能够适应节假日及旅游高峰期的高强度作业安排。</w:t>
      </w:r>
      <w:r/>
    </w:p>
    <w:p>
      <w:pPr>
        <w:ind w:firstLine="480"/>
        <w:jc w:val="left"/>
        <w:keepLines w:val="0"/>
        <w:keepNext w:val="0"/>
        <w:pageBreakBefore w:val="0"/>
        <w:spacing w:before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5、保洁职责要求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（1）环境保洁工作</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1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①</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rPr>
        <w:t xml:space="preserve">普扫与巡回保洁：每日上午8：00前完成对负责区域内路面、沙滩、绿化等区域</w:t>
      </w:r>
      <w:r>
        <w:rPr>
          <w:rFonts w:hint="eastAsia" w:ascii="宋体" w:hAnsi="宋体" w:cs="宋体"/>
          <w:color w:val="auto"/>
          <w:sz w:val="24"/>
          <w:szCs w:val="24"/>
          <w:highlight w:val="none"/>
          <w:lang w:val="en-US" w:eastAsia="zh-CN"/>
        </w:rPr>
        <w:t xml:space="preserve">（含摊贩经营区域、后期商业配套项目区域）</w:t>
      </w:r>
      <w:r>
        <w:rPr>
          <w:rFonts w:hint="eastAsia" w:ascii="宋体" w:hAnsi="宋体" w:eastAsia="宋体" w:cs="宋体"/>
          <w:color w:val="auto"/>
          <w:sz w:val="24"/>
          <w:szCs w:val="24"/>
          <w:highlight w:val="none"/>
          <w:lang w:val="en-US" w:eastAsia="zh-CN"/>
        </w:rPr>
        <w:t xml:space="preserve">的全面清扫，做到无明显可见垃圾、杂物、污水；完成全面清扫任务后开展不间断巡回保洁，实行责任区域内每小时不少于一次的覆盖巡查，垃圾滞留时间不超过15分钟，成堆/散落垃圾（面积&gt; 0.5㎡）立即清理，及时捡拾烟头、竹签、包装袋等零星垃圾。</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2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②</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rPr>
        <w:t xml:space="preserve">垃圾清运管理：定时检查垃圾桶（果壳箱），做到无满溢、无异味、无散落。当桶内垃圾容量达到三分之二时，及时组织清运。如遇特殊情况导致垃圾满溢，须在满溢后30分钟内完成清运工作，同时清理干净垃圾桶周边区域。所有收集的垃圾必须集中运送至指定的垃圾岗亭，严禁随意倾倒。</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3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③</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rPr>
        <w:t xml:space="preserve">专项清洁作业：定期清理海堤内外坡、海外滩面、矮墙、箱体等构筑物，确保无暴露垃圾、漂浮物、泥沙积土及小广告；大潮过后24小时内完成区域全线清洁整改；海堤周边漂浮物纳入日常清理范围。</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default" w:ascii="Times New Roman" w:hAnsi="Times New Roman" w:eastAsia="宋体" w:cs="Times New Roman"/>
          <w:color w:val="auto"/>
          <w:highlight w:val="none"/>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公共设施清洗：非特殊情况（如极端天气）每日擦拭垃圾桶（果壳箱）、栏杆、座椅、指示牌等公共设施不少于1次，做到无积尘、无污渍；每月冲洗路面不少于2次，及时清理顽固污渍，路面产生油污后于一周内完成清洗工作，保持设施与路面干净整洁。</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（2）其他工作要求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作业前后应保持清洁工具整洁完好，定点有序存放，不影响区域观瞻；定期检查并补充垃圾袋、清洁剂等常用耗材，确保垃圾桶体干净、无污损。</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巡查员要求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（1）年龄</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以下，形象气质佳，身体健康，具备较强的户外作业适应能力。具有</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专及以上学历，具备良好的沟通表达能力和服务意识。熟悉沙滩及近岸水域安全巡查工作流程。巡查员应具备基本急救常识，上岗前由中标单位组织急救知识培训。</w:t>
      </w:r>
      <w:r/>
    </w:p>
    <w:p>
      <w:pPr>
        <w:ind w:left="0" w:right="0" w:firstLine="480"/>
        <w:jc w:val="left"/>
        <w:keepLines w:val="0"/>
        <w:keepNext w:val="0"/>
        <w:pageBreakBefore w:val="0"/>
        <w:spacing w:before="0" w:beforeAutospacing="0" w:after="0" w:afterAutospacing="0" w:line="550" w:lineRule="exact"/>
        <w:widowControl/>
        <w:rPr>
          <w:rFonts w:hint="default"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7.巡查职责要求</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（1）巡查与劝导工作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1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①</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危险行为劝阻：对区域内游客下海、登护堤、戏水、翻越护栏等危险行为，做到及时发现、有效劝离；若劝阻无效，须在15分钟内向现场负责人汇报，视情况及时报警并做好后续处置配合。</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2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②</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主动安全提醒：针对潮汐变化、天气异常、看护小孩、防滑防摔等事项，主动向游客开展安全提醒，尤其对老人、儿童等特殊人群做好重点提示，杜绝应提醒未提醒的情况。</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3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③</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沙滩区域巡查：每小时完成至少一次责任区域内巡查；沙滩区域公共设施设备的巡查看护工作，每日巡查浮球、标识牌、休憩亭等设施是否完好，发现损坏后2小时内完成报损；发现破坏、违规使用设施等行为，立即制止并上报。</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（2）游客咨询与服务工作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1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①</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热情、准确回应游客的各类问询，包括路线指引、情况介绍、便民服务等，做到不推诿、不误导，杜绝因态度差、指错路等引发游客合理投诉。</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2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②</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主动为游客提供必要的帮助，如协助老弱病残孕游客、捡拾游客掉落物品、指引冲脚与如厕区域等，提升游客体验。</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（3）现场配合工作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1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①</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配合其他工作人员（如救援人员、保洁人员等）做好环境维护、秩序维护及应急处突等工作，发现情况及时反馈现场负责人。</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工作时间：</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（1）保洁：日常为7:00～21:00；每年5月1日至10月31日期间，调整为6:30～21:30。每日按规定打卡</w:t>
      </w:r>
      <w:r>
        <w:rPr>
          <w:rFonts w:hint="eastAsia" w:ascii="宋体" w:hAnsi="宋体" w:eastAsia="宋体" w:cs="宋体"/>
          <w:b/>
          <w:bCs/>
          <w:color w:val="auto"/>
          <w:sz w:val="24"/>
          <w:szCs w:val="24"/>
          <w:highlight w:val="none"/>
          <w:lang w:eastAsia="zh-CN"/>
        </w:rPr>
        <w:t xml:space="preserve">（打卡</w:t>
      </w:r>
      <w:r>
        <w:rPr>
          <w:rFonts w:hint="eastAsia" w:ascii="宋体" w:hAnsi="宋体" w:cs="宋体"/>
          <w:b/>
          <w:bCs/>
          <w:color w:val="auto"/>
          <w:sz w:val="24"/>
          <w:szCs w:val="24"/>
          <w:highlight w:val="none"/>
          <w:lang w:val="en-US" w:eastAsia="zh-CN"/>
        </w:rPr>
        <w:t xml:space="preserve">方式经业主同意后实施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上午8:00前须完成首次全面普扫。</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保安：</w:t>
      </w:r>
      <w:r>
        <w:rPr>
          <w:rFonts w:hint="eastAsia" w:ascii="宋体" w:hAnsi="宋体" w:eastAsia="宋体" w:cs="宋体"/>
          <w:b/>
          <w:bCs/>
          <w:color w:val="auto"/>
          <w:sz w:val="24"/>
          <w:szCs w:val="24"/>
          <w:highlight w:val="none"/>
          <w:lang w:val="en-US" w:eastAsia="zh-CN"/>
        </w:rPr>
        <w:t xml:space="preserve">7：00~21：00；巡查员</w:t>
      </w:r>
      <w:r>
        <w:rPr>
          <w:rFonts w:hint="eastAsia" w:ascii="宋体" w:hAnsi="宋体" w:eastAsia="宋体" w:cs="宋体"/>
          <w:b/>
          <w:bCs/>
          <w:color w:val="auto"/>
          <w:sz w:val="24"/>
          <w:szCs w:val="24"/>
          <w:highlight w:val="none"/>
        </w:rPr>
        <w:t xml:space="preserve">、道闸口值班保安：</w:t>
      </w:r>
      <w:r>
        <w:rPr>
          <w:rFonts w:hint="eastAsia" w:ascii="宋体" w:hAnsi="宋体" w:eastAsia="宋体" w:cs="宋体"/>
          <w:b/>
          <w:bCs/>
          <w:color w:val="auto"/>
          <w:sz w:val="24"/>
          <w:szCs w:val="24"/>
          <w:highlight w:val="none"/>
          <w:lang w:val="en-US" w:eastAsia="zh-CN"/>
        </w:rPr>
        <w:t xml:space="preserve">24小时保持人员值守。</w:t>
      </w:r>
      <w:r>
        <w:rPr>
          <w:rFonts w:hint="eastAsia" w:ascii="宋体" w:hAnsi="宋体" w:eastAsia="宋体" w:cs="宋体"/>
          <w:b/>
          <w:bCs/>
          <w:color w:val="auto"/>
          <w:sz w:val="24"/>
          <w:szCs w:val="24"/>
          <w:highlight w:val="none"/>
        </w:rPr>
        <w:t xml:space="preserve">法定节假日及重大活动期间，根据甲方通知延长工作时间，具体以通知为准。</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）夜班保安：除道闸值守外，须每3小时对区域内部进行至少一次巡逻，并按规定打卡</w:t>
      </w:r>
      <w:r>
        <w:rPr>
          <w:rFonts w:hint="eastAsia" w:ascii="宋体" w:hAnsi="宋体" w:eastAsia="宋体" w:cs="宋体"/>
          <w:b/>
          <w:bCs/>
          <w:color w:val="auto"/>
          <w:sz w:val="24"/>
          <w:szCs w:val="24"/>
          <w:highlight w:val="none"/>
          <w:lang w:eastAsia="zh-CN"/>
        </w:rPr>
        <w:t xml:space="preserve">（打卡</w:t>
      </w:r>
      <w:r>
        <w:rPr>
          <w:rFonts w:hint="eastAsia" w:ascii="宋体" w:hAnsi="宋体" w:cs="宋体"/>
          <w:b/>
          <w:bCs/>
          <w:color w:val="auto"/>
          <w:sz w:val="24"/>
          <w:szCs w:val="24"/>
          <w:highlight w:val="none"/>
          <w:lang w:val="en-US" w:eastAsia="zh-CN"/>
        </w:rPr>
        <w:t xml:space="preserve">方式经业主同意后实施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。夜班巡查员:须每2小时对沙滩及周边区域至少巡逻一次，并按规定打卡</w:t>
      </w:r>
      <w:r>
        <w:rPr>
          <w:rFonts w:hint="eastAsia" w:ascii="宋体" w:hAnsi="宋体" w:eastAsia="宋体" w:cs="宋体"/>
          <w:b/>
          <w:bCs/>
          <w:color w:val="auto"/>
          <w:sz w:val="24"/>
          <w:szCs w:val="24"/>
          <w:highlight w:val="none"/>
          <w:lang w:eastAsia="zh-CN"/>
        </w:rPr>
        <w:t xml:space="preserve">（打卡</w:t>
      </w:r>
      <w:r>
        <w:rPr>
          <w:rFonts w:hint="eastAsia" w:ascii="宋体" w:hAnsi="宋体" w:cs="宋体"/>
          <w:b/>
          <w:bCs/>
          <w:color w:val="auto"/>
          <w:sz w:val="24"/>
          <w:szCs w:val="24"/>
          <w:highlight w:val="none"/>
          <w:lang w:val="en-US" w:eastAsia="zh-CN"/>
        </w:rPr>
        <w:t xml:space="preserve">方式经业主同意后实施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（五）服务要求：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（1）严格按照甲方工作质效要求配置在岗人员数量、安排服务工作时间，每月向甲方报备一次配置方案，重大活动及法定节假日提前至少3日向甲方报备配置方案。</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（2）严格遵守国家的法律、法规、条例以及江苏省的各项管理规定。科学、规范管理，服务热情周到，建立现代化、人性化管理服务体系。</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（3）建立严格规范的防火、防水、治安、安全等应急管理体系，确保安全管理工作万无一失。</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（4）提高优质环境保障，确保服务范围内卫生状况良好，定期进行消杀。</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（5）进一步完善各项管理制度、各岗位工作标准，建立严格的考核办法，充分调动员工的工作积极性和主观能动性。进一步加强员工的服务意识和责任心。</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（6）制定完善系统的培训计划，切实提高员工队伍的整体素质，确保培训上岗率100%。</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乙方需建立完善的服务工作制度及工作台账，至少包括以下内容：值班制度及值班记录、岗位职责、安全注意事项、考核制度、巡查制度、设备使用与管理台账、巡查检查台账(包括但不限于设备、区域等巡查)、安全措施、考勤表等，特别是节假日期间的运行管理制度要提前报甲方审核，并根据甲方的要求进行人、物的补充。</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（8）服务期内发生设施偷盗，须第一时间向辖区派出所报案并向管理部门汇报。</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乙方人员在服务范围内出现打架斗殴、损坏公共财物、安全事故等情况时，所产生的对乙方人员或第三方人员的人身、财产损害、或者对甲方造成损失的，由此产生的一切经济及法律责任均由乙方独立承担。</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（10）乙方须向甲方提供相关人员进行对接，确保服务及时到位，不拖延、不敷衍。服务人员应做到精通业务、吃苦耐劳、文明礼貌、遵守制度，在岗时间手机保持开机。</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（11）乙方应严格按照规范、采购文件等相关要求提供相应服务，须安全文明管理与服务。</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（12）乙方必须服从甲方及接收服务单位的统一平衡调配，遇到法定节日或重大活动，应主动提前提供值班人员名单及联系电话。对于甲方其它合理的指令性任务高度配合，能迅速行动。</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bidi="ar-SA"/>
        </w:rPr>
        <w:t xml:space="preserve">乙方须严格按合同约定及甲方要求提供服务。甲方有权对乙方服务情况进行日常检查、随机抽查及专项考核，发现下列情形之一的，甲方有权要求乙方立即整改，并根据考核细则扣分或处罚：</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A.服务不到位、响应不及时；</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B.无故迟到、早退、脱岗、睡岗；</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C.工作态度散漫、敷衍塞责；</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D.电瓶车飞线充电、工具车辆随意摆放等安全隐患；</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E.其他违反合同约定的行为。</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乙方应在甲方规定时限内完成整改，并书面反馈。逾期未整改或整改不合格的，每次向甲方支付违约金2000元，从当月服务费中扣除。</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发生下列情形之一的，甲方有权单方解除合同，并不承担任何违约责任：</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A.同一问题在一个月内被甲方指出三次且未按时整改的；</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B.一个月内累计三次未按时整改的；</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C.连续两个月月度考核得分低于80分的；</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D.因乙方人员脱岗、失职导致安全事故或重大负面舆情的。</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合同解除后，乙方须按甲方要求完成交接，甲方仅按实际服务天数支付费用，乙方已收取但未服务部分的费用须退还。</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（14）乙方在项目服务中必须严格遵守相关的法规、规范、安全相关规定，服从主管部门管理。加强</w:t>
      </w:r>
      <w:r>
        <w:rPr>
          <w:rFonts w:hint="eastAsia" w:ascii="宋体" w:hAnsi="宋体" w:eastAsia="宋体" w:cs="宋体"/>
          <w:color w:val="auto"/>
          <w:sz w:val="24"/>
          <w:szCs w:val="24"/>
          <w:highlight w:val="none"/>
          <w:lang w:val="en-US" w:eastAsia="zh-CN"/>
        </w:rPr>
        <w:t xml:space="preserve">服务期间的安全文明管理，严格操作规程，采取严格有力的安全防护措施，做好安全防护工作(包括现场防护、防落水等),确保服务人员与服务区域内人员的人身安全、交通安全。相关专业岗位人员必须持证上岗。在服务过程中，因甲方提供的设施设备存在固有缺陷或甲方指令错误导致的安全事故，乙方应及时报告并采取必要措施防止损失扩大，甲方应根据其过错程度承担相应责任。因乙方工作失误导致的安全事故，其一切责任由乙方承担。所发生的全部费用及损失由乙方承担并扣除其相应金额。乙方必须为项目所有服务人员购买意外伤害险以保证项目服务的平安、顺畅。</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（15）乙方必须遵守政府有关主管部门对环境保护和安全生产等的管理规定，如因乙方的原因，导致扰民投诉及相关部门罚款的，均由乙方负责。</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（16）乙方须在合同签订后10日内，向甲方提供以下保险的有效保单复印件： </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A.公众责任险，每次事故赔偿限额不低于人民币200万元； </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B.雇主责任险，每人每次事故赔偿限额不低于人民币100万元。  </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保险期限须覆盖整个合同期，保险到期前30日乙方须续保并提供新保单。未按约定投保或续保的，甲方有权暂停支付服务费用，直至乙方提供合格保单；逾期30日仍未提供的，甲方有权单方解除合同。</w:t>
      </w:r>
      <w:r/>
    </w:p>
    <w:p>
      <w:p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四、采购需求中必须满足的实质性要求</w:t>
      </w:r>
      <w:r/>
    </w:p>
    <w:p>
      <w:p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1、投标人拟派本项目实际人员配置总数、年龄结构、资格要求须满足采购文件要求，并保证及时到岗。</w:t>
      </w:r>
      <w:r/>
    </w:p>
    <w:p>
      <w:p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2、投标人须按照本采购文件的要求做好各种工作的登记，特别是交班记录、维修记录、值班记录、巡查记录、日常考核记录等。</w:t>
      </w:r>
      <w:r/>
    </w:p>
    <w:p>
      <w:p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3、投标人在中标后不得转包给第三方承包。</w:t>
      </w:r>
      <w:r/>
    </w:p>
    <w:p>
      <w:p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4、投标人在中标后须按照本采购文件的要求进行服务工作。</w:t>
      </w:r>
      <w:r/>
    </w:p>
    <w:p>
      <w:p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5、相关岗位因离职、病假、产假等因素造成的岗位空缺，中标方应及时安排相关专业服务人员接替。接替衔接，包括但不限于临时替代、学习交接等状况存在。</w:t>
      </w:r>
      <w:r/>
    </w:p>
    <w:p>
      <w:p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（注：1、上述1、2、3、4、5点要求，投标人需出具承诺函（盖章），无承诺函的视为未实质性响应。</w:t>
      </w:r>
      <w:r/>
    </w:p>
    <w:p>
      <w:pPr>
        <w:numPr>
          <w:ilvl w:val="0"/>
          <w:numId w:val="0"/>
        </w:num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6、拟派人员需提供名单、有效证书或证明扫描件、有效劳动合同，未提供视为未实质性响应。</w:t>
      </w:r>
      <w:r/>
    </w:p>
    <w:p>
      <w:pPr>
        <w:numPr>
          <w:ilvl w:val="0"/>
          <w:numId w:val="0"/>
        </w:numPr>
        <w:ind w:firstLine="482"/>
        <w:jc w:val="both"/>
        <w:keepLines w:val="0"/>
        <w:keepNext w:val="0"/>
        <w:pageBreakBefore w:val="0"/>
        <w:spacing w:beforeAutospacing="0"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7、中标单位现场实际服务人员须与投标时提供的拟派人员名单一致，</w:t>
      </w:r>
      <w:r>
        <w:rPr>
          <w:rFonts w:hint="eastAsia" w:ascii="宋体" w:hAnsi="宋体" w:cs="宋体"/>
          <w:b/>
          <w:bCs/>
          <w:i/>
          <w:iCs/>
          <w:color w:val="auto"/>
          <w:sz w:val="24"/>
          <w:szCs w:val="24"/>
          <w:highlight w:val="none"/>
          <w:u w:val="single"/>
          <w:lang w:val="en-US" w:eastAsia="zh-CN"/>
        </w:rPr>
        <w:t xml:space="preserve">且</w:t>
      </w:r>
      <w:r>
        <w:rPr>
          <w:rFonts w:hint="eastAsia" w:ascii="宋体" w:hAnsi="宋体" w:eastAsia="宋体" w:cs="宋体"/>
          <w:b/>
          <w:bCs/>
          <w:i/>
          <w:iCs/>
          <w:color w:val="auto"/>
          <w:sz w:val="24"/>
          <w:szCs w:val="24"/>
          <w:highlight w:val="none"/>
          <w:u w:val="single"/>
          <w:lang w:val="en-US" w:eastAsia="zh-CN"/>
        </w:rPr>
        <w:t xml:space="preserve">须符合招标人</w:t>
      </w:r>
      <w:r>
        <w:rPr>
          <w:rFonts w:hint="eastAsia" w:ascii="宋体" w:hAnsi="宋体" w:cs="宋体"/>
          <w:b/>
          <w:bCs/>
          <w:i/>
          <w:iCs/>
          <w:color w:val="auto"/>
          <w:sz w:val="24"/>
          <w:szCs w:val="24"/>
          <w:highlight w:val="none"/>
          <w:u w:val="single"/>
          <w:lang w:val="en-US" w:eastAsia="zh-CN"/>
        </w:rPr>
        <w:t xml:space="preserve">每</w:t>
      </w:r>
      <w:r>
        <w:rPr>
          <w:rFonts w:hint="eastAsia" w:ascii="宋体" w:hAnsi="宋体" w:eastAsia="宋体" w:cs="宋体"/>
          <w:b/>
          <w:bCs/>
          <w:i/>
          <w:iCs/>
          <w:color w:val="auto"/>
          <w:sz w:val="24"/>
          <w:szCs w:val="24"/>
          <w:highlight w:val="none"/>
          <w:u w:val="single"/>
          <w:lang w:val="en-US" w:eastAsia="zh-CN"/>
        </w:rPr>
        <w:t xml:space="preserve">月审核通过的配置方案</w:t>
      </w:r>
      <w:r>
        <w:rPr>
          <w:rFonts w:hint="eastAsia" w:ascii="宋体" w:hAnsi="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未经招标人书面同意不得擅自更换。</w:t>
      </w:r>
      <w:r>
        <w:rPr>
          <w:rFonts w:hint="eastAsia" w:ascii="宋体" w:hAnsi="宋体" w:cs="宋体"/>
          <w:b/>
          <w:bCs/>
          <w:i/>
          <w:iCs/>
          <w:color w:val="auto"/>
          <w:sz w:val="24"/>
          <w:szCs w:val="24"/>
          <w:highlight w:val="none"/>
          <w:u w:val="single"/>
          <w:lang w:val="en-US" w:eastAsia="zh-CN"/>
        </w:rPr>
        <w:t xml:space="preserve">否则，</w:t>
      </w:r>
      <w:r>
        <w:rPr>
          <w:rFonts w:hint="eastAsia" w:ascii="宋体" w:hAnsi="宋体" w:eastAsia="宋体" w:cs="宋体"/>
          <w:b/>
          <w:bCs/>
          <w:i/>
          <w:iCs/>
          <w:color w:val="auto"/>
          <w:sz w:val="24"/>
          <w:szCs w:val="24"/>
          <w:highlight w:val="none"/>
          <w:u w:val="single"/>
          <w:lang w:val="en-US" w:eastAsia="zh-CN"/>
        </w:rPr>
        <w:t xml:space="preserve">招标人有权按擅自更换或减少的人员所对应的服务费(以中标价中人员明细费用为基数)的30%扣减当月</w:t>
      </w:r>
      <w:r>
        <w:rPr>
          <w:rFonts w:hint="eastAsia" w:ascii="宋体" w:hAnsi="宋体" w:cs="宋体"/>
          <w:b/>
          <w:bCs/>
          <w:i/>
          <w:iCs/>
          <w:color w:val="auto"/>
          <w:sz w:val="24"/>
          <w:szCs w:val="24"/>
          <w:highlight w:val="none"/>
          <w:u w:val="single"/>
          <w:lang w:val="en-US" w:eastAsia="zh-CN"/>
        </w:rPr>
        <w:t xml:space="preserve">基础</w:t>
      </w:r>
      <w:r>
        <w:rPr>
          <w:rFonts w:hint="eastAsia" w:ascii="宋体" w:hAnsi="宋体" w:eastAsia="宋体" w:cs="宋体"/>
          <w:b/>
          <w:bCs/>
          <w:i/>
          <w:iCs/>
          <w:color w:val="auto"/>
          <w:sz w:val="24"/>
          <w:szCs w:val="24"/>
          <w:highlight w:val="none"/>
          <w:u w:val="single"/>
          <w:lang w:val="en-US" w:eastAsia="zh-CN"/>
        </w:rPr>
        <w:t xml:space="preserve">服务费。累计发生2次及以上擅自更换或减少人员的，招标人有权解除合同。</w:t>
      </w:r>
      <w:r>
        <w:rPr>
          <w:rFonts w:hint="eastAsia" w:ascii="宋体" w:hAnsi="宋体" w:cs="宋体"/>
          <w:b/>
          <w:bCs/>
          <w:i/>
          <w:iCs/>
          <w:color w:val="auto"/>
          <w:sz w:val="24"/>
          <w:szCs w:val="24"/>
          <w:highlight w:val="none"/>
          <w:u w:val="single"/>
          <w:lang w:val="en-US" w:eastAsia="zh-CN"/>
        </w:rPr>
        <w:t xml:space="preserve">）</w:t>
      </w:r>
      <w:r/>
    </w:p>
    <w:p>
      <w:pPr>
        <w:ind w:firstLine="482"/>
        <w:jc w:val="both"/>
        <w:keepLines w:val="0"/>
        <w:keepNext w:val="0"/>
        <w:pageBreakBefore w:val="0"/>
        <w:spacing w:beforeAutospacing="0" w:line="440" w:lineRule="exact"/>
        <w:widowControl w:val="off"/>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五、投标报价</w:t>
      </w:r>
      <w:r/>
    </w:p>
    <w:p>
      <w:pPr>
        <w:ind w:firstLine="480"/>
        <w:jc w:val="left"/>
        <w:keepLines w:val="0"/>
        <w:keepNext w:val="0"/>
        <w:pageBreakBefore w:val="0"/>
        <w:spacing w:beforeAutospacing="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 </w:t>
      </w:r>
      <w:bookmarkStart w:id="96" w:name="_Hlk92188290"/>
      <w:r>
        <w:rPr>
          <w:rFonts w:hint="eastAsia" w:ascii="宋体" w:hAnsi="宋体" w:eastAsia="宋体" w:cs="宋体"/>
          <w:color w:val="auto"/>
          <w:sz w:val="24"/>
          <w:szCs w:val="24"/>
          <w:highlight w:val="none"/>
        </w:rPr>
        <w:t xml:space="preserve">本次报价应包括以下内容：</w:t>
      </w:r>
      <w:r>
        <w:rPr>
          <w:rFonts w:hint="eastAsia" w:ascii="宋体" w:hAnsi="宋体" w:eastAsia="宋体" w:cs="宋体"/>
          <w:color w:val="auto"/>
          <w:sz w:val="24"/>
          <w:szCs w:val="24"/>
          <w:highlight w:val="none"/>
          <w:lang w:val="en-US" w:eastAsia="zh-CN"/>
        </w:rPr>
        <w:t xml:space="preserve">本合同为固定总价合同，</w:t>
      </w:r>
      <w:r>
        <w:rPr>
          <w:rFonts w:hint="eastAsia" w:ascii="宋体" w:hAnsi="宋体" w:eastAsia="宋体" w:cs="宋体"/>
          <w:b w:val="0"/>
          <w:bCs w:val="0"/>
          <w:color w:val="auto"/>
          <w:sz w:val="24"/>
          <w:szCs w:val="24"/>
          <w:highlight w:val="none"/>
          <w:lang w:val="en-US" w:eastAsia="zh-CN"/>
        </w:rPr>
        <w:t xml:space="preserve">本合同约定的费用</w:t>
      </w:r>
      <w:r>
        <w:rPr>
          <w:rFonts w:hint="eastAsia" w:ascii="宋体" w:hAnsi="宋体" w:eastAsia="宋体" w:cs="宋体"/>
          <w:b w:val="0"/>
          <w:bCs w:val="0"/>
          <w:color w:val="auto"/>
          <w:sz w:val="24"/>
          <w:szCs w:val="24"/>
          <w:highlight w:val="none"/>
          <w:lang w:eastAsia="zh-CN"/>
        </w:rPr>
        <w:t xml:space="preserve">包括</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eastAsia="zh-CN"/>
        </w:rPr>
        <w:t xml:space="preserve">完成本项目的所有工作内容</w:t>
      </w:r>
      <w:r>
        <w:rPr>
          <w:rFonts w:hint="eastAsia" w:ascii="宋体" w:hAnsi="宋体" w:eastAsia="宋体" w:cs="宋体"/>
          <w:b w:val="0"/>
          <w:bCs w:val="0"/>
          <w:color w:val="auto"/>
          <w:sz w:val="24"/>
          <w:szCs w:val="24"/>
          <w:highlight w:val="none"/>
          <w:lang w:val="en-US" w:eastAsia="zh-CN"/>
        </w:rPr>
        <w:t xml:space="preserve">和条件</w:t>
      </w:r>
      <w:r>
        <w:rPr>
          <w:rFonts w:hint="eastAsia" w:ascii="宋体" w:hAnsi="宋体" w:eastAsia="宋体" w:cs="宋体"/>
          <w:b w:val="0"/>
          <w:bCs w:val="0"/>
          <w:color w:val="auto"/>
          <w:sz w:val="24"/>
          <w:szCs w:val="24"/>
          <w:highlight w:val="none"/>
          <w:lang w:eastAsia="zh-CN"/>
        </w:rPr>
        <w:t xml:space="preserve">所需的人员工资及补贴福利费用、区域内</w:t>
      </w:r>
      <w:r>
        <w:rPr>
          <w:rFonts w:hint="eastAsia" w:ascii="宋体" w:hAnsi="宋体" w:eastAsia="宋体" w:cs="宋体"/>
          <w:b w:val="0"/>
          <w:bCs w:val="0"/>
          <w:color w:val="auto"/>
          <w:sz w:val="24"/>
          <w:szCs w:val="24"/>
          <w:highlight w:val="none"/>
          <w:lang w:val="en-US" w:eastAsia="zh-CN"/>
        </w:rPr>
        <w:t xml:space="preserve">全年水电费（不含三夹沙闸）、垃圾清运费、日常简易维修费、</w:t>
      </w:r>
      <w:r>
        <w:rPr>
          <w:rFonts w:hint="eastAsia" w:ascii="宋体" w:hAnsi="宋体" w:eastAsia="宋体" w:cs="宋体"/>
          <w:b w:val="0"/>
          <w:bCs w:val="0"/>
          <w:color w:val="auto"/>
          <w:sz w:val="24"/>
          <w:szCs w:val="24"/>
          <w:highlight w:val="none"/>
          <w:lang w:eastAsia="zh-CN"/>
        </w:rPr>
        <w:t xml:space="preserve">保险费、工具费、</w:t>
      </w:r>
      <w:r>
        <w:rPr>
          <w:rFonts w:hint="eastAsia" w:ascii="宋体" w:hAnsi="宋体" w:eastAsia="宋体" w:cs="宋体"/>
          <w:b w:val="0"/>
          <w:bCs w:val="0"/>
          <w:color w:val="auto"/>
          <w:sz w:val="24"/>
          <w:szCs w:val="24"/>
          <w:highlight w:val="none"/>
          <w:lang w:val="en-US" w:eastAsia="zh-CN"/>
        </w:rPr>
        <w:t xml:space="preserve">耗材、</w:t>
      </w:r>
      <w:r>
        <w:rPr>
          <w:rFonts w:hint="eastAsia" w:ascii="宋体" w:hAnsi="宋体" w:eastAsia="宋体" w:cs="宋体"/>
          <w:b w:val="0"/>
          <w:bCs w:val="0"/>
          <w:color w:val="auto"/>
          <w:sz w:val="24"/>
          <w:szCs w:val="24"/>
          <w:highlight w:val="none"/>
          <w:lang w:eastAsia="zh-CN"/>
        </w:rPr>
        <w:t xml:space="preserve">交通费、</w:t>
      </w:r>
      <w:r>
        <w:rPr>
          <w:rFonts w:hint="eastAsia" w:ascii="宋体" w:hAnsi="宋体" w:eastAsia="宋体" w:cs="宋体"/>
          <w:b w:val="0"/>
          <w:bCs w:val="0"/>
          <w:color w:val="auto"/>
          <w:sz w:val="24"/>
          <w:szCs w:val="24"/>
          <w:highlight w:val="none"/>
          <w:lang w:val="en-US" w:eastAsia="zh-CN"/>
        </w:rPr>
        <w:t xml:space="preserve">风险等</w:t>
      </w:r>
      <w:r>
        <w:rPr>
          <w:rFonts w:hint="eastAsia" w:ascii="宋体" w:hAnsi="宋体" w:eastAsia="宋体" w:cs="宋体"/>
          <w:b w:val="0"/>
          <w:bCs w:val="0"/>
          <w:color w:val="auto"/>
          <w:sz w:val="24"/>
          <w:szCs w:val="24"/>
          <w:highlight w:val="none"/>
          <w:lang w:eastAsia="zh-CN"/>
        </w:rPr>
        <w:t xml:space="preserve">相关费用以及公司取费、法定税金、利润等与履行合同有关的一切费用以及合同明示或暗示的所有一般风险责任和义务费用。</w:t>
      </w:r>
      <w:r/>
    </w:p>
    <w:p>
      <w:pPr>
        <w:ind w:firstLine="482"/>
        <w:jc w:val="left"/>
        <w:keepLines w:val="0"/>
        <w:keepNext w:val="0"/>
        <w:pageBreakBefore w:val="0"/>
        <w:spacing w:beforeAutospacing="0" w:line="440" w:lineRule="exact"/>
        <w:widowControl w:val="off"/>
        <w:rPr>
          <w:rFonts w:hint="eastAsia" w:ascii="Times New Roman" w:hAnsi="Times New Roman" w:eastAsia="宋体" w:cs="Times New Roman"/>
          <w:color w:val="auto"/>
          <w:szCs w:val="21"/>
          <w:highlight w:val="none"/>
          <w:lang w:eastAsia="zh-CN"/>
        </w:rPr>
      </w:pPr>
      <w:r>
        <w:rPr>
          <w:rFonts w:hint="eastAsia" w:ascii="宋体" w:hAnsi="宋体" w:eastAsia="宋体" w:cs="宋体"/>
          <w:b/>
          <w:bCs/>
          <w:color w:val="auto"/>
          <w:sz w:val="24"/>
          <w:szCs w:val="24"/>
          <w:highlight w:val="none"/>
          <w:lang w:val="en-US" w:eastAsia="zh-CN"/>
        </w:rPr>
        <w:t xml:space="preserve">全年垃圾清运基础费为固定费用28800元，投标报价时不得调整。由中标单位与综合执法局签订清运协议并支付至其指定账户，后期若垃圾清运基础费增加，招标人不再支付此费用，投标人在报价时需自行考虑。 </w:t>
      </w:r>
      <w:r/>
    </w:p>
    <w:p>
      <w:pPr>
        <w:ind w:firstLine="482"/>
        <w:jc w:val="left"/>
        <w:keepLines w:val="0"/>
        <w:keepNext w:val="0"/>
        <w:pageBreakBefore w:val="0"/>
        <w:spacing w:before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水电费（72000元）及日常简易维修费（120000元）为暂列金，投标报价时不予调整，后期按实结算。</w:t>
      </w:r>
      <w:bookmarkEnd w:id="96"/>
      <w:r/>
      <w:r/>
    </w:p>
    <w:p>
      <w:pPr>
        <w:ind w:firstLine="482"/>
        <w:jc w:val="both"/>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付款方式：</w:t>
      </w:r>
      <w:bookmarkStart w:id="97" w:name="_Hlk93493407"/>
      <w:r/>
      <w:r/>
    </w:p>
    <w:p>
      <w:pPr>
        <w:ind w:firstLine="482"/>
        <w:jc w:val="left"/>
        <w:keepLines w:val="0"/>
        <w:keepNext w:val="0"/>
        <w:pageBreakBefore w:val="0"/>
        <w:spacing w:beforeAutospacing="0" w:line="440" w:lineRule="exact"/>
        <w:widowControl w:val="off"/>
        <w:rPr>
          <w:rFonts w:hint="eastAsia" w:ascii="Times New Roman" w:hAnsi="Times New Roman" w:eastAsia="宋体" w:cs="Times New Roman"/>
          <w:color w:val="auto"/>
          <w:szCs w:val="21"/>
          <w:highlight w:val="none"/>
        </w:rPr>
      </w:pPr>
      <w:r>
        <w:rPr>
          <w:rFonts w:hint="eastAsia" w:ascii="宋体" w:hAnsi="宋体" w:eastAsia="宋体" w:cs="宋体"/>
          <w:b/>
          <w:bCs/>
          <w:color w:val="auto"/>
          <w:sz w:val="24"/>
          <w:szCs w:val="24"/>
          <w:highlight w:val="none"/>
          <w:lang w:val="en-US" w:eastAsia="zh-CN"/>
        </w:rPr>
        <w:t xml:space="preserve">合同费用由服务费和暂列金构成。服务费中，</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0%为基础费用，</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0%为考核费用。自合同签订之日起30日内，甲方预付6个月的基础费用。6个月期满后，甲方根据前6个月的考核情况结算相应考核费用，并支付后6个月的基础费用。服务期结束后，根据后6个月的考核情况支付考核费用。暂列金每半年审核结算一次，按实际发生额支付。</w:t>
      </w:r>
      <w:bookmarkEnd w:id="97"/>
      <w:r/>
      <w:r/>
    </w:p>
    <w:p>
      <w:pPr>
        <w:ind w:firstLine="482"/>
        <w:jc w:val="both"/>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履约保证金：</w:t>
      </w:r>
      <w:r/>
    </w:p>
    <w:p>
      <w:pPr>
        <w:ind w:firstLine="480"/>
        <w:jc w:val="both"/>
        <w:keepLines w:val="0"/>
        <w:keepNext w:val="0"/>
        <w:pageBreakBefore w:val="0"/>
        <w:spacing w:before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方须向江苏省通州湾江海联动开发示范区第一办事处缴纳履约保证金（中标价的10%），中标人的履约保证金须在中标通知书发出之日起至合同签订前汇入采购单位账户（应当以数字人民币、支票、汇票或者金融机构、担保机构出具的保函等非现金形式提交，鼓励中标人以保函的形式递交履约保证金。），中标人凭中标通知书与采购单位签订合同。超期或未有协商，则视为自动放弃中标资格。</w:t>
      </w:r>
      <w:r/>
    </w:p>
    <w:p>
      <w:pPr>
        <w:ind w:firstLine="480"/>
        <w:jc w:val="both"/>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在合同约定期限内不得出现群体上访事件，保证员工队伍稳定；合同期限结束后</w:t>
      </w:r>
      <w:r>
        <w:rPr>
          <w:rFonts w:hint="eastAsia" w:ascii="宋体" w:hAnsi="宋体" w:eastAsia="宋体" w:cs="宋体"/>
          <w:color w:val="auto"/>
          <w:sz w:val="24"/>
          <w:szCs w:val="24"/>
          <w:highlight w:val="none"/>
          <w:lang w:val="en-US" w:eastAsia="zh-CN"/>
        </w:rPr>
        <w:t xml:space="preserve">60日内</w:t>
      </w:r>
      <w:r>
        <w:rPr>
          <w:rFonts w:hint="eastAsia" w:ascii="宋体" w:hAnsi="宋体" w:eastAsia="宋体" w:cs="宋体"/>
          <w:color w:val="auto"/>
          <w:sz w:val="24"/>
          <w:szCs w:val="24"/>
          <w:highlight w:val="none"/>
        </w:rPr>
        <w:t xml:space="preserve">，归还保证金。</w:t>
      </w:r>
      <w:r/>
    </w:p>
    <w:p>
      <w:pPr>
        <w:ind w:firstLine="480"/>
        <w:jc w:val="both"/>
        <w:keepLines w:val="0"/>
        <w:keepNext w:val="0"/>
        <w:pageBreakBefore w:val="0"/>
        <w:spacing w:before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八、考核细则，具体详见附件。</w:t>
      </w:r>
      <w:r/>
    </w:p>
    <w:p>
      <w:pPr>
        <w:ind w:firstLine="482"/>
        <w:jc w:val="both"/>
        <w:keepLines w:val="0"/>
        <w:keepNext w:val="0"/>
        <w:pageBreakBefore w:val="0"/>
        <w:spacing w:beforeAutospacing="0" w:line="440" w:lineRule="exact"/>
        <w:widowControl w:val="off"/>
        <w:rPr>
          <w:rFonts w:hint="default" w:ascii="宋体" w:hAnsi="宋体" w:cs="宋体"/>
          <w:b/>
          <w:bCs/>
          <w:color w:val="auto"/>
          <w:sz w:val="24"/>
          <w:szCs w:val="24"/>
          <w:highlight w:val="none"/>
          <w:lang w:val="en-US" w:eastAsia="zh-CN"/>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
          <w:bCs/>
          <w:color w:val="auto"/>
          <w:sz w:val="24"/>
          <w:szCs w:val="24"/>
          <w:highlight w:val="none"/>
          <w:lang w:val="en-US" w:eastAsia="zh-CN"/>
        </w:rPr>
        <w:t xml:space="preserve">考核内容以合同签订时确定的版本为准。</w:t>
      </w:r>
      <w:r/>
    </w:p>
    <w:p>
      <w:pPr>
        <w:jc w:val="center"/>
        <w:pageBreakBefore w:val="0"/>
        <w:spacing w:line="440" w:lineRule="exact"/>
        <w:widowControl w:val="off"/>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t xml:space="preserve">第四部分  开标和评标</w:t>
      </w:r>
      <w:r/>
    </w:p>
    <w:p>
      <w:pPr>
        <w:ind w:left="0" w:right="0" w:firstLine="562"/>
        <w:jc w:val="left"/>
        <w:pageBreakBefore w:val="0"/>
        <w:spacing w:before="0" w:after="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一、开标</w:t>
      </w:r>
      <w:r/>
    </w:p>
    <w:p>
      <w:pPr>
        <w:ind w:firstLine="537"/>
        <w:pageBreakBefore w:val="0"/>
        <w:spacing w:line="440" w:lineRule="exact"/>
        <w:widowControl w:val="off"/>
        <w:tabs>
          <w:tab w:val="left" w:pos="3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本项目采用不见面远程开标模式：开标当天各供应商在各自地点通过苏采云系统及时登录不见面开标大厅，参加开标活动。</w:t>
      </w:r>
      <w:r/>
    </w:p>
    <w:p>
      <w:pPr>
        <w:ind w:left="0" w:right="0" w:firstLine="562"/>
        <w:jc w:val="left"/>
        <w:pageBreakBefore w:val="0"/>
        <w:spacing w:before="0" w:after="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二、评标流程和评标标准</w:t>
      </w:r>
      <w:r/>
    </w:p>
    <w:p>
      <w:pPr>
        <w:ind w:firstLine="56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采用综合评分法。分资格审查、商务技术标、价格标、三部分评审，总分值为100分，加分和减分因素除外。</w:t>
      </w:r>
      <w:r/>
    </w:p>
    <w:p>
      <w:pPr>
        <w:ind w:firstLine="555"/>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首先由采购人或采购人委托评委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55"/>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评委在认真审阅投标文件的基础上，根据各投标文件的响应程度独立评判，不得统一打分。</w:t>
      </w:r>
      <w:r/>
    </w:p>
    <w:p>
      <w:pPr>
        <w:ind w:firstLine="413"/>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（一）采购人（代表）或采购人委托评委对投标人资格进行审查。</w:t>
      </w:r>
      <w:r/>
    </w:p>
    <w:p>
      <w:pPr>
        <w:ind w:firstLine="577"/>
        <w:jc w:val="both"/>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投标人资格不合格的，其投标文件判定为无效投标文件。</w:t>
      </w:r>
      <w:r/>
    </w:p>
    <w:p>
      <w:pPr>
        <w:ind w:firstLine="413"/>
        <w:jc w:val="left"/>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（二）评标委员会对符合资格投标人的投标文件进行符合性审</w:t>
      </w:r>
      <w:r/>
    </w:p>
    <w:p>
      <w:pPr>
        <w:jc w:val="left"/>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查。</w:t>
      </w:r>
      <w:r/>
    </w:p>
    <w:p>
      <w:pPr>
        <w:ind w:firstLine="577"/>
        <w:jc w:val="both"/>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未通过符合性审查的投标文件，将被判定为不满足招标文件实质性要求。 </w:t>
      </w:r>
      <w:r/>
    </w:p>
    <w:p>
      <w:pPr>
        <w:ind w:firstLine="559"/>
        <w:pageBreakBefore w:val="0"/>
        <w:spacing w:line="44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商务技术分</w:t>
      </w:r>
      <w:r>
        <w:rPr>
          <w:rFonts w:hint="eastAsia" w:ascii="宋体" w:hAnsi="宋体" w:eastAsia="宋体" w:cs="宋体"/>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85</w:t>
      </w:r>
      <w:r>
        <w:rPr>
          <w:rFonts w:hint="eastAsia" w:ascii="宋体" w:hAnsi="宋体" w:eastAsia="宋体" w:cs="宋体"/>
          <w:b/>
          <w:bCs/>
          <w:color w:val="auto"/>
          <w:sz w:val="24"/>
          <w:szCs w:val="24"/>
          <w:highlight w:val="none"/>
          <w:lang w:val="zh-CN"/>
        </w:rPr>
        <w:t xml:space="preserve">分</w:t>
      </w:r>
      <w:r/>
    </w:p>
    <w:p>
      <w:pPr>
        <w:ind w:firstLine="56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评标委员会成员为5人，商务技术分按算术平均值计算，分值四舍五入保留两位小数。</w:t>
      </w:r>
      <w:r/>
    </w:p>
    <w:p>
      <w:pPr>
        <w:numPr>
          <w:ilvl w:val="0"/>
          <w:numId w:val="0"/>
        </w:numPr>
        <w:ind w:firstLine="482"/>
        <w:jc w:val="left"/>
        <w:pageBreakBefore w:val="0"/>
        <w:spacing w:before="0" w:beforeAutospacing="0" w:after="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技术分：</w:t>
      </w:r>
      <w:r>
        <w:rPr>
          <w:rFonts w:hint="eastAsia" w:ascii="宋体" w:hAnsi="宋体" w:cs="宋体"/>
          <w:b/>
          <w:color w:val="auto"/>
          <w:sz w:val="24"/>
          <w:szCs w:val="24"/>
          <w:highlight w:val="none"/>
          <w:lang w:val="en-US" w:eastAsia="zh-CN" w:bidi="ar-SA"/>
        </w:rPr>
        <w:t xml:space="preserve">60</w:t>
      </w:r>
      <w:r>
        <w:rPr>
          <w:rFonts w:hint="eastAsia" w:ascii="宋体" w:hAnsi="宋体" w:eastAsia="宋体" w:cs="宋体"/>
          <w:b/>
          <w:color w:val="auto"/>
          <w:sz w:val="24"/>
          <w:szCs w:val="24"/>
          <w:highlight w:val="none"/>
          <w:lang w:val="en-US" w:eastAsia="zh-CN" w:bidi="ar-SA"/>
        </w:rPr>
        <w:t xml:space="preserve">分</w:t>
      </w:r>
      <w:r/>
    </w:p>
    <w:tbl>
      <w:tblPr>
        <w:tblStyle w:val="706"/>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978"/>
        <w:gridCol w:w="7103"/>
        <w:gridCol w:w="736"/>
      </w:tblGrid>
      <w:tr>
        <w:trPr>
          <w:jc w:val="center"/>
          <w:trHeight w:val="90"/>
        </w:trPr>
        <w:tc>
          <w:tcPr>
            <w:tcW w:w="540" w:type="dxa"/>
            <w:vAlign w:val="center"/>
            <w:textDirection w:val="lrTb"/>
            <w:noWrap/>
          </w:tcPr>
          <w:p>
            <w:pPr>
              <w:jc w:val="center"/>
              <w:keepLines w:val="0"/>
              <w:keepNext w:val="0"/>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78" w:type="dxa"/>
            <w:vAlign w:val="center"/>
            <w:textDirection w:val="lrTb"/>
            <w:noWrap/>
          </w:tcPr>
          <w:p>
            <w:pPr>
              <w:jc w:val="center"/>
              <w:keepLines w:val="0"/>
              <w:keepNext w:val="0"/>
              <w:pageBreakBefore w:val="0"/>
              <w:spacing w:before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评分点名称</w:t>
            </w:r>
            <w:r/>
          </w:p>
        </w:tc>
        <w:tc>
          <w:tcPr>
            <w:tcW w:w="7103" w:type="dxa"/>
            <w:vAlign w:val="center"/>
            <w:textDirection w:val="lrTb"/>
            <w:noWrap/>
          </w:tcPr>
          <w:p>
            <w:pPr>
              <w:ind w:firstLine="1857"/>
              <w:keepLines w:val="0"/>
              <w:keepNext w:val="0"/>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c>
          <w:tcPr>
            <w:tcW w:w="736" w:type="dxa"/>
            <w:vAlign w:val="center"/>
            <w:textDirection w:val="lrTb"/>
            <w:noWrap/>
          </w:tcPr>
          <w:p>
            <w:pPr>
              <w:jc w:val="center"/>
              <w:keepLines w:val="0"/>
              <w:keepNext w:val="0"/>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最高分</w:t>
            </w:r>
            <w:r/>
          </w:p>
        </w:tc>
      </w:tr>
      <w:tr>
        <w:trPr>
          <w:jc w:val="center"/>
          <w:trHeight w:val="90"/>
        </w:trPr>
        <w:tc>
          <w:tcPr>
            <w:tcW w:w="540"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管理整体设想及策划</w:t>
            </w:r>
            <w:r/>
          </w:p>
        </w:tc>
        <w:tc>
          <w:tcPr>
            <w:tcW w:w="7103" w:type="dxa"/>
            <w:vAlign w:val="center"/>
            <w:textDirection w:val="lrTb"/>
            <w:noWrap/>
          </w:tcPr>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方案围绕灯塔项目管理特点，聚焦后期管理范围扩大可能性、商业配套项目引入，从合理性、完整性、创新性、可行性等维度进行评分，总分</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分，具体分项及评分规则如下：</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w:t>
            </w:r>
            <w:r>
              <w:rPr>
                <w:rFonts w:hint="default" w:ascii="宋体" w:hAnsi="宋体" w:eastAsia="宋体" w:cs="宋体"/>
                <w:bCs/>
                <w:color w:val="auto"/>
                <w:sz w:val="24"/>
                <w:szCs w:val="24"/>
                <w:highlight w:val="none"/>
                <w:lang w:val="en-US" w:eastAsia="zh-CN"/>
              </w:rPr>
              <w:t xml:space="preserve">方案完整性（</w:t>
            </w:r>
            <w:r>
              <w:rPr>
                <w:rFonts w:hint="eastAsia" w:ascii="宋体" w:hAnsi="宋体" w:eastAsia="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本项采用“先核后评”方式，首先核查投标人是否提供全部6项必备内容要素，再根据方案细节深度分档评分。</w:t>
            </w:r>
            <w:r/>
          </w:p>
          <w:p>
            <w:pPr>
              <w:jc w:val="left"/>
              <w:pageBreakBefore w:val="0"/>
              <w:spacing w:beforeAutospacing="0" w:line="44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必备内容要素清单（以下6项须全部提供，否则本项记0分）：</w:t>
            </w:r>
            <w:r/>
          </w:p>
          <w:p>
            <w:pPr>
              <w:jc w:val="left"/>
              <w:pageBreakBefore w:val="0"/>
              <w:spacing w:beforeAutospacing="0" w:line="44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1、项目整体需求分析；2、管理范围扩大后的应对方案；3、商业配套项目</w:t>
            </w:r>
            <w:r>
              <w:rPr>
                <w:rFonts w:hint="eastAsia" w:ascii="宋体" w:hAnsi="宋体" w:cs="宋体"/>
                <w:bCs/>
                <w:color w:val="auto"/>
                <w:sz w:val="24"/>
                <w:szCs w:val="24"/>
                <w:highlight w:val="none"/>
                <w:lang w:val="en-US" w:eastAsia="zh-CN"/>
              </w:rPr>
              <w:t xml:space="preserve">可能涉及到的公共区域</w:t>
            </w:r>
            <w:r>
              <w:rPr>
                <w:rFonts w:hint="eastAsia" w:ascii="宋体" w:hAnsi="宋体" w:eastAsia="宋体" w:cs="宋体"/>
                <w:bCs/>
                <w:color w:val="auto"/>
                <w:sz w:val="24"/>
                <w:szCs w:val="24"/>
                <w:highlight w:val="none"/>
                <w:lang w:val="en-US" w:eastAsia="zh-CN"/>
              </w:rPr>
              <w:t xml:space="preserve">的管理</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lang w:val="en-US" w:eastAsia="zh-CN"/>
              </w:rPr>
              <w:t xml:space="preserve">方案；4、明确的管理目标及量化指标；5、引用相关行业规范标准；6、整体策划与实施路径。</w:t>
            </w:r>
            <w:r/>
          </w:p>
          <w:p>
            <w:pPr>
              <w:jc w:val="left"/>
              <w:pageBreakBefore w:val="0"/>
              <w:spacing w:beforeAutospacing="0" w:line="44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1、内容详实，方案成熟：6项要素齐全，每项内容论述充分、细节到位，有具体数据或案例支撑，方案具有前瞻性和系统性，得6分。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2、内容完整，基本达标：6项要素齐全，内容无重大疏漏，但部分要素论述较为概括，缺乏具体细节，</w:t>
            </w:r>
            <w:r>
              <w:rPr>
                <w:rFonts w:hint="default" w:ascii="宋体" w:hAnsi="宋体" w:eastAsia="宋体" w:cs="宋体"/>
                <w:bCs/>
                <w:color w:val="auto"/>
                <w:sz w:val="24"/>
                <w:szCs w:val="24"/>
                <w:highlight w:val="none"/>
                <w:lang w:val="en-US" w:eastAsia="zh-CN"/>
              </w:rPr>
              <w:t xml:space="preserve">得</w:t>
            </w:r>
            <w:r>
              <w:rPr>
                <w:rFonts w:hint="eastAsia" w:ascii="宋体" w:hAnsi="宋体" w:eastAsia="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zh-CN"/>
              </w:rPr>
              <w:t xml:space="preserve">。</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3、要素齐全，内容简略：6项要素均已提及，但多为框架性表述或简单罗列，缺乏实质性内容，得2分。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4、缺少任意一项必备要素</w:t>
            </w:r>
            <w:r>
              <w:rPr>
                <w:rFonts w:hint="default" w:ascii="宋体" w:hAnsi="宋体" w:eastAsia="宋体" w:cs="宋体"/>
                <w:bCs/>
                <w:color w:val="auto"/>
                <w:sz w:val="24"/>
                <w:szCs w:val="24"/>
                <w:highlight w:val="none"/>
                <w:lang w:val="en-US" w:eastAsia="zh-CN"/>
              </w:rPr>
              <w:t xml:space="preserve">，不得分。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w:t>
            </w:r>
            <w:r>
              <w:rPr>
                <w:rFonts w:hint="default" w:ascii="宋体" w:hAnsi="宋体" w:eastAsia="宋体" w:cs="宋体"/>
                <w:bCs/>
                <w:color w:val="auto"/>
                <w:sz w:val="24"/>
                <w:szCs w:val="24"/>
                <w:highlight w:val="none"/>
                <w:lang w:val="en-US" w:eastAsia="zh-CN"/>
              </w:rPr>
              <w:t xml:space="preserve">策略可落地性（</w:t>
            </w:r>
            <w:r>
              <w:rPr>
                <w:rFonts w:hint="eastAsia" w:ascii="宋体" w:hAns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1、管理策略、</w:t>
            </w:r>
            <w:r>
              <w:rPr>
                <w:rFonts w:hint="eastAsia" w:ascii="宋体" w:hAnsi="宋体" w:cs="宋体"/>
                <w:bCs/>
                <w:color w:val="auto"/>
                <w:sz w:val="24"/>
                <w:szCs w:val="24"/>
                <w:highlight w:val="none"/>
                <w:lang w:val="en-US" w:eastAsia="zh-CN"/>
              </w:rPr>
              <w:t xml:space="preserve">预期</w:t>
            </w:r>
            <w:r>
              <w:rPr>
                <w:rFonts w:hint="eastAsia" w:ascii="宋体" w:hAnsi="宋体" w:eastAsia="宋体" w:cs="宋体"/>
                <w:bCs/>
                <w:color w:val="auto"/>
                <w:sz w:val="24"/>
                <w:szCs w:val="24"/>
                <w:highlight w:val="none"/>
                <w:lang w:val="en-US" w:eastAsia="zh-CN"/>
              </w:rPr>
              <w:t xml:space="preserve">商业配套</w:t>
            </w:r>
            <w:r>
              <w:rPr>
                <w:rFonts w:hint="eastAsia" w:ascii="宋体" w:hAnsi="宋体" w:cs="宋体"/>
                <w:bCs/>
                <w:color w:val="auto"/>
                <w:sz w:val="24"/>
                <w:szCs w:val="24"/>
                <w:highlight w:val="none"/>
                <w:lang w:val="en-US" w:eastAsia="zh-CN"/>
              </w:rPr>
              <w:t xml:space="preserve">融合</w:t>
            </w:r>
            <w:r>
              <w:rPr>
                <w:rFonts w:hint="eastAsia" w:ascii="宋体" w:hAnsi="宋体" w:eastAsia="宋体" w:cs="宋体"/>
                <w:bCs/>
                <w:color w:val="auto"/>
                <w:sz w:val="24"/>
                <w:szCs w:val="24"/>
                <w:highlight w:val="none"/>
                <w:lang w:val="en-US" w:eastAsia="zh-CN"/>
              </w:rPr>
              <w:t xml:space="preserve">管理方案清晰具体，配套详细预算组成（含人员、物资、设备等分项），投入测算有明确依据（如市场询价、历史数据等），具备直接落地执行条件</w:t>
            </w:r>
            <w:r>
              <w:rPr>
                <w:rFonts w:hint="default"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2、管理策略较为具体，预算有较完整构成，测算依据基本合理，落地可行性较强</w:t>
            </w:r>
            <w:r>
              <w:rPr>
                <w:rFonts w:hint="default" w:ascii="宋体" w:hAnsi="宋体" w:eastAsia="宋体" w:cs="宋体"/>
                <w:bCs/>
                <w:color w:val="auto"/>
                <w:sz w:val="24"/>
                <w:szCs w:val="24"/>
                <w:highlight w:val="none"/>
                <w:lang w:val="en-US" w:eastAsia="zh-CN"/>
              </w:rPr>
              <w:t xml:space="preserve">，得</w:t>
            </w: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3、管理策略具备基本框架，预算有大致构成，但部分细节缺失或测算依据不够充分，具备落地基础，得2分</w:t>
            </w:r>
            <w:r>
              <w:rPr>
                <w:rFonts w:hint="default" w:ascii="宋体" w:hAnsi="宋体" w:eastAsia="宋体" w:cs="宋体"/>
                <w:bCs/>
                <w:color w:val="auto"/>
                <w:sz w:val="24"/>
                <w:szCs w:val="24"/>
                <w:highlight w:val="none"/>
                <w:lang w:val="en-US" w:eastAsia="zh-CN"/>
              </w:rPr>
              <w:t xml:space="preserve">；</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4、策略笼统模糊，预算缺失主要分项或测算明显不合理，落地性较弱，得1分；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无可行实施策略，</w:t>
            </w:r>
            <w:r>
              <w:rPr>
                <w:rFonts w:hint="eastAsia" w:ascii="宋体" w:hAnsi="宋体" w:eastAsia="宋体" w:cs="宋体"/>
                <w:bCs/>
                <w:color w:val="auto"/>
                <w:sz w:val="24"/>
                <w:szCs w:val="24"/>
                <w:highlight w:val="none"/>
                <w:lang w:val="en-US" w:eastAsia="zh-CN"/>
              </w:rPr>
              <w:t xml:space="preserve">或</w:t>
            </w:r>
            <w:r>
              <w:rPr>
                <w:rFonts w:hint="default" w:ascii="宋体" w:hAnsi="宋体" w:eastAsia="宋体" w:cs="宋体"/>
                <w:bCs/>
                <w:color w:val="auto"/>
                <w:sz w:val="24"/>
                <w:szCs w:val="24"/>
                <w:highlight w:val="none"/>
                <w:lang w:val="en-US" w:eastAsia="zh-CN"/>
              </w:rPr>
              <w:t xml:space="preserve">预算严重缺失，不得分。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w:t>
            </w:r>
            <w:r>
              <w:rPr>
                <w:rFonts w:hint="default" w:ascii="宋体" w:hAnsi="宋体" w:eastAsia="宋体" w:cs="宋体"/>
                <w:bCs/>
                <w:color w:val="auto"/>
                <w:sz w:val="24"/>
                <w:szCs w:val="24"/>
                <w:highlight w:val="none"/>
                <w:lang w:val="en-US" w:eastAsia="zh-CN"/>
              </w:rPr>
              <w:t xml:space="preserve">创新点突出性（</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1、在管理模式、人员调配、商业配套融合、智慧化管理等方面提出至少1项明确创新点，且该创新点贴合项目实际、有具体实施路径</w:t>
            </w:r>
            <w:r>
              <w:rPr>
                <w:rFonts w:hint="default" w:ascii="宋体" w:hAnsi="宋体" w:eastAsia="宋体" w:cs="宋体"/>
                <w:bCs/>
                <w:color w:val="auto"/>
                <w:sz w:val="24"/>
                <w:szCs w:val="24"/>
                <w:highlight w:val="none"/>
                <w:lang w:val="en-US" w:eastAsia="zh-CN"/>
              </w:rPr>
              <w:t xml:space="preserve">，得</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2、有创新思路但不够具体，或创新点与项目实际关联性不强</w:t>
            </w:r>
            <w:r>
              <w:rPr>
                <w:rFonts w:hint="default" w:ascii="宋体" w:hAnsi="宋体" w:eastAsia="宋体" w:cs="宋体"/>
                <w:bCs/>
                <w:color w:val="auto"/>
                <w:sz w:val="24"/>
                <w:szCs w:val="24"/>
                <w:highlight w:val="none"/>
                <w:lang w:val="en-US" w:eastAsia="zh-CN"/>
              </w:rPr>
              <w:t xml:space="preserve">，得</w:t>
            </w: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3、无明显创新，照搬常规模式</w:t>
            </w:r>
            <w:r>
              <w:rPr>
                <w:rFonts w:hint="default" w:ascii="宋体" w:hAnsi="宋体" w:eastAsia="宋体" w:cs="宋体"/>
                <w:bCs/>
                <w:color w:val="auto"/>
                <w:sz w:val="24"/>
                <w:szCs w:val="24"/>
                <w:highlight w:val="none"/>
                <w:lang w:val="en-US" w:eastAsia="zh-CN"/>
              </w:rPr>
              <w:t xml:space="preserve">，不得分。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w:t>
            </w:r>
            <w:r>
              <w:rPr>
                <w:rFonts w:hint="default" w:ascii="宋体" w:hAnsi="宋体" w:eastAsia="宋体" w:cs="宋体"/>
                <w:bCs/>
                <w:color w:val="auto"/>
                <w:sz w:val="24"/>
                <w:szCs w:val="24"/>
                <w:highlight w:val="none"/>
                <w:lang w:val="en-US" w:eastAsia="zh-CN"/>
              </w:rPr>
              <w:t xml:space="preserve">风险防控体系完善性（</w:t>
            </w:r>
            <w:r>
              <w:rPr>
                <w:rFonts w:hint="eastAsia" w:ascii="宋体" w:hAns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识别出本项目至少3类核心风险（如安全管理、人员管理、极端天气、商业配套管理等），并针对每类风险提出具体防控措，得</w:t>
            </w:r>
            <w:r>
              <w:rPr>
                <w:rFonts w:hint="eastAsia" w:ascii="宋体" w:hAns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分；</w:t>
            </w:r>
            <w:r/>
          </w:p>
          <w:p>
            <w:pPr>
              <w:jc w:val="left"/>
              <w:pageBreakBefore w:val="0"/>
              <w:spacing w:beforeAutospacing="0" w:line="440" w:lineRule="exact"/>
              <w:widowControl/>
              <w:rPr>
                <w:rFonts w:hint="default" w:ascii="宋体" w:hAnsi="宋体" w:eastAsia="宋体" w:cs="宋体"/>
                <w:color w:val="auto"/>
                <w:szCs w:val="21"/>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风险识别不足3类，或防控措施笼统无针对性，或未提供风险防控内容</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不得分。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r>
      <w:tr>
        <w:trPr>
          <w:jc w:val="center"/>
          <w:trHeight w:val="90"/>
        </w:trPr>
        <w:tc>
          <w:tcPr>
            <w:tcW w:w="540"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管理重点、难点和措施</w:t>
            </w:r>
            <w:r/>
          </w:p>
        </w:tc>
        <w:tc>
          <w:tcPr>
            <w:tcW w:w="7103" w:type="dxa"/>
            <w:vAlign w:val="center"/>
            <w:textDirection w:val="lrTb"/>
            <w:noWrap/>
          </w:tcPr>
          <w:p>
            <w:pPr>
              <w:contextualSpacing/>
              <w:jc w:val="both"/>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投标人根据自身管理经验，结合</w:t>
            </w:r>
            <w:r>
              <w:rPr>
                <w:rFonts w:hint="eastAsia" w:ascii="宋体" w:hAnsi="宋体" w:eastAsia="宋体" w:cs="宋体"/>
                <w:color w:val="auto"/>
                <w:sz w:val="24"/>
                <w:szCs w:val="24"/>
                <w:highlight w:val="none"/>
                <w:lang w:eastAsia="zh-CN"/>
              </w:rPr>
              <w:t xml:space="preserve">灯塔</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的实际情况，提出管理</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重点难点及对应</w:t>
            </w:r>
            <w:r>
              <w:rPr>
                <w:rFonts w:hint="eastAsia" w:ascii="宋体" w:hAnsi="宋体" w:eastAsia="宋体" w:cs="宋体"/>
                <w:color w:val="auto"/>
                <w:sz w:val="24"/>
                <w:szCs w:val="24"/>
                <w:highlight w:val="none"/>
                <w:lang w:eastAsia="zh-CN"/>
              </w:rPr>
              <w:t xml:space="preserve">的方案与</w:t>
            </w:r>
            <w:r>
              <w:rPr>
                <w:rFonts w:hint="eastAsia" w:ascii="宋体" w:hAnsi="宋体" w:eastAsia="宋体" w:cs="宋体"/>
                <w:color w:val="auto"/>
                <w:sz w:val="24"/>
                <w:szCs w:val="24"/>
                <w:highlight w:val="none"/>
              </w:rPr>
              <w:t xml:space="preserve">措施，评委对</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方案与措施的合理性、全面性、可行性、针对性酌情</w:t>
            </w:r>
            <w:r>
              <w:rPr>
                <w:rFonts w:hint="eastAsia" w:ascii="宋体" w:hAnsi="宋体" w:eastAsia="宋体" w:cs="宋体"/>
                <w:color w:val="auto"/>
                <w:sz w:val="24"/>
                <w:szCs w:val="24"/>
                <w:highlight w:val="none"/>
                <w:lang w:eastAsia="zh-CN"/>
              </w:rPr>
              <w:t xml:space="preserve">评分</w:t>
            </w:r>
            <w:r>
              <w:rPr>
                <w:rFonts w:hint="eastAsia" w:ascii="宋体" w:hAnsi="宋体" w:eastAsia="宋体" w:cs="宋体"/>
                <w:color w:val="auto"/>
                <w:sz w:val="24"/>
                <w:szCs w:val="24"/>
                <w:highlight w:val="none"/>
              </w:rPr>
              <w:t xml:space="preserve">。</w:t>
            </w:r>
            <w:r/>
          </w:p>
          <w:p>
            <w:pPr>
              <w:contextualSpacing/>
              <w:jc w:val="both"/>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管理重点明确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难点分析透彻且贴合项目实际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应对措施具体可行，</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contextualSpacing/>
              <w:jc w:val="both"/>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内容完整但分析较浅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措施存在部分模糊表述，需补充细节，</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contextualSpacing/>
              <w:jc w:val="both"/>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仅简单罗列要点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缺乏系统性分析或有效措施，</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contextualSpacing/>
              <w:jc w:val="both"/>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（4）未提供相关内容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不得分。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r>
      <w:tr>
        <w:trPr>
          <w:jc w:val="center"/>
          <w:trHeight w:val="630"/>
        </w:trPr>
        <w:tc>
          <w:tcPr>
            <w:tcW w:w="540"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人员的配备、培训和管理</w:t>
            </w:r>
            <w:r/>
          </w:p>
        </w:tc>
        <w:tc>
          <w:tcPr>
            <w:tcW w:w="7103" w:type="dxa"/>
            <w:vAlign w:val="center"/>
            <w:textDirection w:val="lrTb"/>
            <w:noWrap/>
          </w:tcPr>
          <w:p>
            <w:pPr>
              <w:contextualSpacing/>
              <w:jc w:val="both"/>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根据项目实际制定人员管理方案，</w:t>
            </w:r>
            <w:r>
              <w:rPr>
                <w:rFonts w:hint="eastAsia" w:ascii="宋体" w:hAnsi="宋体" w:eastAsia="宋体" w:cs="宋体"/>
                <w:color w:val="auto"/>
                <w:sz w:val="24"/>
                <w:szCs w:val="24"/>
                <w:highlight w:val="none"/>
                <w:lang w:val="en-US" w:eastAsia="zh-CN"/>
              </w:rPr>
              <w:t xml:space="preserve">提出相应的人员管理方案（包括人员配备、录用、培训、考核及节假日/重大活动增派机制等内容）</w:t>
            </w:r>
            <w:r>
              <w:rPr>
                <w:rFonts w:hint="eastAsia" w:ascii="宋体" w:hAnsi="宋体" w:eastAsia="宋体" w:cs="宋体"/>
                <w:bCs/>
                <w:color w:val="auto"/>
                <w:sz w:val="24"/>
                <w:szCs w:val="24"/>
                <w:highlight w:val="none"/>
              </w:rPr>
              <w:t xml:space="preserve">，评委依据方案合理性、全面性、可行性、针对性评分：</w:t>
            </w:r>
            <w:r/>
          </w:p>
          <w:p>
            <w:pPr>
              <w:contextualSpacing/>
              <w:jc w:val="both"/>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（1）人员配置满足项目需求，培训全面且实操性强；</w:t>
            </w:r>
            <w:r>
              <w:rPr>
                <w:rFonts w:hint="eastAsia" w:ascii="宋体" w:hAnsi="宋体" w:eastAsia="宋体" w:cs="宋体"/>
                <w:color w:val="auto"/>
                <w:sz w:val="24"/>
                <w:szCs w:val="24"/>
                <w:highlight w:val="none"/>
                <w:lang w:val="en-US" w:eastAsia="zh-CN"/>
              </w:rPr>
              <w:t xml:space="preserve">明确法定节假日及重大活动期间的针对性人员增派方案，增派人员职责清晰、响应及时、保障到位；</w:t>
            </w:r>
            <w:r>
              <w:rPr>
                <w:rFonts w:hint="eastAsia" w:ascii="宋体" w:hAnsi="宋体" w:eastAsia="宋体" w:cs="宋体"/>
                <w:bCs/>
                <w:color w:val="auto"/>
                <w:sz w:val="24"/>
                <w:szCs w:val="24"/>
                <w:highlight w:val="none"/>
              </w:rPr>
              <w:t xml:space="preserve">管理机制完善，含服务标准</w:t>
            </w:r>
            <w:r>
              <w:rPr>
                <w:rFonts w:hint="eastAsia" w:ascii="宋体" w:hAnsi="宋体" w:eastAsia="宋体" w:cs="宋体"/>
                <w:bCs/>
                <w:color w:val="auto"/>
                <w:sz w:val="24"/>
                <w:szCs w:val="24"/>
                <w:highlight w:val="none"/>
                <w:lang w:eastAsia="zh-CN"/>
              </w:rPr>
              <w:t xml:space="preserve">清晰</w:t>
            </w:r>
            <w:r>
              <w:rPr>
                <w:rFonts w:hint="eastAsia" w:ascii="宋体" w:hAnsi="宋体" w:eastAsia="宋体" w:cs="宋体"/>
                <w:bCs/>
                <w:color w:val="auto"/>
                <w:sz w:val="24"/>
                <w:szCs w:val="24"/>
                <w:highlight w:val="none"/>
              </w:rPr>
              <w:t xml:space="preserve">、可落地的内部考核体系、业主反馈渠道；设置扣分、经济处罚等约束机制的，得</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p>
          <w:p>
            <w:pPr>
              <w:contextualSpacing/>
              <w:jc w:val="both"/>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（2）方案基本完整，管理措施有欠缺，</w:t>
            </w:r>
            <w:r>
              <w:rPr>
                <w:rFonts w:hint="eastAsia" w:ascii="宋体" w:hAnsi="宋体" w:eastAsia="宋体" w:cs="宋体"/>
                <w:color w:val="auto"/>
                <w:sz w:val="24"/>
                <w:szCs w:val="24"/>
                <w:highlight w:val="none"/>
                <w:lang w:val="en-US" w:eastAsia="zh-CN"/>
              </w:rPr>
              <w:t xml:space="preserve">对节假日/重大活动人员增派有提及但方案不够详细，</w:t>
            </w:r>
            <w:r>
              <w:rPr>
                <w:rFonts w:hint="eastAsia" w:ascii="宋体" w:hAnsi="宋体" w:eastAsia="宋体" w:cs="宋体"/>
                <w:bCs/>
                <w:color w:val="auto"/>
                <w:sz w:val="24"/>
                <w:szCs w:val="24"/>
                <w:highlight w:val="none"/>
              </w:rPr>
              <w:t xml:space="preserve">考核指标需进一步细化，得 4 分；</w:t>
            </w:r>
            <w:r/>
          </w:p>
          <w:p>
            <w:pPr>
              <w:contextualSpacing/>
              <w:jc w:val="both"/>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（3）内容简单，仅描述岗位及培训，缺乏行业管理特色，</w:t>
            </w:r>
            <w:r>
              <w:rPr>
                <w:rFonts w:hint="eastAsia" w:ascii="宋体" w:hAnsi="宋体" w:eastAsia="宋体" w:cs="宋体"/>
                <w:color w:val="auto"/>
                <w:sz w:val="24"/>
                <w:szCs w:val="24"/>
                <w:highlight w:val="none"/>
                <w:lang w:val="en-US" w:eastAsia="zh-CN"/>
              </w:rPr>
              <w:t xml:space="preserve">未涉及节假日/重大活动人员增派机制，</w:t>
            </w:r>
            <w:r>
              <w:rPr>
                <w:rFonts w:hint="eastAsia" w:ascii="宋体" w:hAnsi="宋体" w:eastAsia="宋体" w:cs="宋体"/>
                <w:bCs/>
                <w:color w:val="auto"/>
                <w:sz w:val="24"/>
                <w:szCs w:val="24"/>
                <w:highlight w:val="none"/>
              </w:rPr>
              <w:t xml:space="preserve">得 2 分；</w:t>
            </w:r>
            <w:r/>
          </w:p>
          <w:p>
            <w:pPr>
              <w:contextualSpacing/>
              <w:jc w:val="both"/>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（4）未提供的，不得分。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p>
        </w:tc>
      </w:tr>
      <w:tr>
        <w:trPr>
          <w:jc w:val="center"/>
          <w:trHeight w:val="375"/>
        </w:trPr>
        <w:tc>
          <w:tcPr>
            <w:tcW w:w="540"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设施设备</w:t>
            </w:r>
            <w:r>
              <w:rPr>
                <w:rFonts w:hint="eastAsia" w:ascii="宋体" w:hAnsi="宋体" w:eastAsia="宋体" w:cs="宋体"/>
                <w:bCs/>
                <w:color w:val="auto"/>
                <w:sz w:val="24"/>
                <w:szCs w:val="24"/>
                <w:highlight w:val="none"/>
                <w:lang w:val="en-US" w:eastAsia="zh-CN"/>
              </w:rPr>
              <w:t xml:space="preserve">巡检及日常维护</w:t>
            </w:r>
            <w:r>
              <w:rPr>
                <w:rFonts w:hint="eastAsia" w:ascii="宋体" w:hAnsi="宋体" w:eastAsia="宋体" w:cs="宋体"/>
                <w:bCs/>
                <w:color w:val="auto"/>
                <w:sz w:val="24"/>
                <w:szCs w:val="24"/>
                <w:highlight w:val="none"/>
              </w:rPr>
              <w:t xml:space="preserve">服务方案</w:t>
            </w:r>
            <w:r/>
          </w:p>
        </w:tc>
        <w:tc>
          <w:tcPr>
            <w:tcW w:w="7103" w:type="dxa"/>
            <w:vAlign w:val="center"/>
            <w:textDirection w:val="lrTb"/>
            <w:noWrap/>
          </w:tcPr>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设施设备</w:t>
            </w:r>
            <w:r>
              <w:rPr>
                <w:rFonts w:hint="eastAsia" w:ascii="宋体" w:hAnsi="宋体" w:eastAsia="宋体" w:cs="宋体"/>
                <w:bCs/>
                <w:color w:val="auto"/>
                <w:sz w:val="24"/>
                <w:szCs w:val="24"/>
                <w:highlight w:val="none"/>
                <w:lang w:val="en-US" w:eastAsia="zh-CN"/>
              </w:rPr>
              <w:t xml:space="preserve">巡检及日常维护</w:t>
            </w:r>
            <w:r>
              <w:rPr>
                <w:rFonts w:hint="eastAsia" w:ascii="宋体" w:hAnsi="宋体" w:eastAsia="宋体" w:cs="宋体"/>
                <w:bCs/>
                <w:color w:val="auto"/>
                <w:sz w:val="24"/>
                <w:szCs w:val="24"/>
                <w:highlight w:val="none"/>
              </w:rPr>
              <w:t xml:space="preserve">服务方案包括但不限于①管理要求、②管理标准、③服务流程、④实施方案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lang w:val="en-US" w:eastAsia="zh-CN"/>
              </w:rPr>
              <w:t xml:space="preserve">人员配置</w:t>
            </w:r>
            <w:r>
              <w:rPr>
                <w:rFonts w:hint="eastAsia" w:ascii="宋体" w:hAnsi="宋体" w:eastAsia="宋体" w:cs="宋体"/>
                <w:bCs/>
                <w:color w:val="auto"/>
                <w:sz w:val="24"/>
                <w:szCs w:val="24"/>
                <w:highlight w:val="none"/>
              </w:rPr>
              <w:t xml:space="preserve">等，评委对</w:t>
            </w:r>
            <w:r>
              <w:rPr>
                <w:rFonts w:hint="eastAsia" w:ascii="宋体" w:hAnsi="宋体" w:eastAsia="宋体" w:cs="宋体"/>
                <w:bCs/>
                <w:color w:val="auto"/>
                <w:sz w:val="24"/>
                <w:szCs w:val="24"/>
                <w:highlight w:val="none"/>
                <w:lang w:eastAsia="zh-CN"/>
              </w:rPr>
              <w:t xml:space="preserve">其</w:t>
            </w:r>
            <w:r>
              <w:rPr>
                <w:rFonts w:hint="eastAsia" w:ascii="宋体" w:hAnsi="宋体" w:eastAsia="宋体" w:cs="宋体"/>
                <w:bCs/>
                <w:color w:val="auto"/>
                <w:sz w:val="24"/>
                <w:szCs w:val="24"/>
                <w:highlight w:val="none"/>
              </w:rPr>
              <w:t xml:space="preserve">方案的合理性、全面性、可行性、针对性酌情</w:t>
            </w:r>
            <w:r>
              <w:rPr>
                <w:rFonts w:hint="eastAsia" w:ascii="宋体" w:hAnsi="宋体" w:eastAsia="宋体" w:cs="宋体"/>
                <w:bCs/>
                <w:color w:val="auto"/>
                <w:sz w:val="24"/>
                <w:szCs w:val="24"/>
                <w:highlight w:val="none"/>
                <w:lang w:eastAsia="zh-CN"/>
              </w:rPr>
              <w:t xml:space="preserve">评</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遵循国家及行业标准，结合设施设备特性，建立完善的方案，人员职责分工明确、安全操作规范详尽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遵循国家及行业标准，结合设施设备特性，建立较完善的方案，人员职责分工较明确、安全操作规范较详尽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管理制度存在缺失，人员职责不清晰，服务流程存在缺失，责任不明确，资源配置存在不足，成本预算和进度计划不合理，难以实施的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（4）未提供相关内容</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不得分。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r>
      <w:tr>
        <w:trPr>
          <w:jc w:val="center"/>
          <w:trHeight w:val="1105"/>
        </w:trPr>
        <w:tc>
          <w:tcPr>
            <w:tcW w:w="540"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5</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公共环境保洁管理服务方案</w:t>
            </w:r>
            <w:r/>
          </w:p>
        </w:tc>
        <w:tc>
          <w:tcPr>
            <w:tcW w:w="7103" w:type="dxa"/>
            <w:vAlign w:val="center"/>
            <w:textDirection w:val="lrTb"/>
            <w:noWrap/>
          </w:tcPr>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环境保洁管理服务方案包括但不限于①工作计划、②工作要求及标准、③工作程序、④专项保洁等，评委对</w:t>
            </w:r>
            <w:r>
              <w:rPr>
                <w:rFonts w:hint="eastAsia" w:ascii="宋体" w:hAnsi="宋体" w:eastAsia="宋体" w:cs="宋体"/>
                <w:bCs/>
                <w:color w:val="auto"/>
                <w:sz w:val="24"/>
                <w:szCs w:val="24"/>
                <w:highlight w:val="none"/>
                <w:lang w:eastAsia="zh-CN"/>
              </w:rPr>
              <w:t xml:space="preserve">其</w:t>
            </w:r>
            <w:r>
              <w:rPr>
                <w:rFonts w:hint="eastAsia" w:ascii="宋体" w:hAnsi="宋体" w:eastAsia="宋体" w:cs="宋体"/>
                <w:bCs/>
                <w:color w:val="auto"/>
                <w:sz w:val="24"/>
                <w:szCs w:val="24"/>
                <w:highlight w:val="none"/>
              </w:rPr>
              <w:t xml:space="preserve">方案的合理性、全面性、可行性、针对性酌情</w:t>
            </w:r>
            <w:r>
              <w:rPr>
                <w:rFonts w:hint="eastAsia" w:ascii="宋体" w:hAnsi="宋体" w:eastAsia="宋体" w:cs="宋体"/>
                <w:bCs/>
                <w:color w:val="auto"/>
                <w:sz w:val="24"/>
                <w:szCs w:val="24"/>
                <w:highlight w:val="none"/>
                <w:lang w:eastAsia="zh-CN"/>
              </w:rPr>
              <w:t xml:space="preserve">评</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建立完善的保洁管理制度，明确各岗位职责，完整覆盖日常保洁全流程，保洁设备工具齐全，并定期维护，耗材储备合理，符合环保要求，有覆盖全场景的应急保障预案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建立较完善的保洁管理制度，基本覆盖日常保洁全流程，保洁设备工具基本齐全，耗材储备满足日常需求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有应急预案，但覆盖场景不全面，</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管理制度存在明显缺失，岗位职责不明确，人员短缺或技能严重不足，设备工具存在重大缺失，影响正常作业</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应急预案内容简单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缺乏实操性，</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（4）未提供相关内容</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不得分。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p>
        </w:tc>
      </w:tr>
      <w:tr>
        <w:trPr>
          <w:jc w:val="center"/>
          <w:trHeight w:val="482"/>
        </w:trPr>
        <w:tc>
          <w:tcPr>
            <w:tcW w:w="540"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6</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安全保卫管理服务方案</w:t>
            </w:r>
            <w:r/>
          </w:p>
        </w:tc>
        <w:tc>
          <w:tcPr>
            <w:tcW w:w="7103" w:type="dxa"/>
            <w:vAlign w:val="center"/>
            <w:textDirection w:val="lrTb"/>
            <w:noWrap/>
          </w:tcPr>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安全保卫管理服务方案包括但不限于①</w:t>
            </w:r>
            <w:r>
              <w:rPr>
                <w:rFonts w:hint="eastAsia" w:ascii="宋体" w:hAnsi="宋体" w:eastAsia="宋体" w:cs="宋体"/>
                <w:bCs/>
                <w:color w:val="auto"/>
                <w:sz w:val="24"/>
                <w:szCs w:val="24"/>
                <w:highlight w:val="none"/>
                <w:lang w:val="en-US" w:eastAsia="zh-CN"/>
              </w:rPr>
              <w:t xml:space="preserve">工作</w:t>
            </w:r>
            <w:r>
              <w:rPr>
                <w:rFonts w:hint="eastAsia" w:ascii="宋体" w:hAnsi="宋体" w:eastAsia="宋体" w:cs="宋体"/>
                <w:bCs/>
                <w:color w:val="auto"/>
                <w:sz w:val="24"/>
                <w:szCs w:val="24"/>
                <w:highlight w:val="none"/>
              </w:rPr>
              <w:t xml:space="preserve">计划、②110联动抢险处理预案、③保安管理的实施方案</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rPr>
              <w:t xml:space="preserve">操作规程、④</w:t>
            </w:r>
            <w:r>
              <w:rPr>
                <w:rFonts w:hint="eastAsia" w:ascii="宋体" w:hAnsi="宋体" w:eastAsia="宋体" w:cs="宋体"/>
                <w:bCs/>
                <w:color w:val="auto"/>
                <w:sz w:val="24"/>
                <w:szCs w:val="24"/>
                <w:highlight w:val="none"/>
                <w:lang w:val="en-US" w:eastAsia="zh-CN"/>
              </w:rPr>
              <w:t xml:space="preserve">重大活动保障、</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 5 \* GB3 \* MERGEFORMAT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对摊贩经营秩序问题、占道经营、用火用电安全、</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 6 \* GB3 \* MERGEFORMAT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rPr>
              <w:t xml:space="preserve">⑥</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禁入车辆（如摩托车、机动车等）违规闯入、冲撞等方面的处理措施内容</w:t>
            </w:r>
            <w:r>
              <w:rPr>
                <w:rFonts w:hint="eastAsia" w:ascii="宋体" w:hAnsi="宋体" w:eastAsia="宋体" w:cs="宋体"/>
                <w:bCs/>
                <w:color w:val="auto"/>
                <w:sz w:val="24"/>
                <w:szCs w:val="24"/>
                <w:highlight w:val="none"/>
              </w:rPr>
              <w:t xml:space="preserve">，评委对</w:t>
            </w:r>
            <w:r>
              <w:rPr>
                <w:rFonts w:hint="eastAsia" w:ascii="宋体" w:hAnsi="宋体" w:eastAsia="宋体" w:cs="宋体"/>
                <w:bCs/>
                <w:color w:val="auto"/>
                <w:sz w:val="24"/>
                <w:szCs w:val="24"/>
                <w:highlight w:val="none"/>
                <w:lang w:eastAsia="zh-CN"/>
              </w:rPr>
              <w:t xml:space="preserve">其</w:t>
            </w:r>
            <w:r>
              <w:rPr>
                <w:rFonts w:hint="eastAsia" w:ascii="宋体" w:hAnsi="宋体" w:eastAsia="宋体" w:cs="宋体"/>
                <w:bCs/>
                <w:color w:val="auto"/>
                <w:sz w:val="24"/>
                <w:szCs w:val="24"/>
                <w:highlight w:val="none"/>
              </w:rPr>
              <w:t xml:space="preserve">方案的合理性、全面性、可行性、针对性酌情</w:t>
            </w:r>
            <w:r>
              <w:rPr>
                <w:rFonts w:hint="eastAsia" w:ascii="宋体" w:hAnsi="宋体" w:eastAsia="宋体" w:cs="宋体"/>
                <w:bCs/>
                <w:color w:val="auto"/>
                <w:sz w:val="24"/>
                <w:szCs w:val="24"/>
                <w:highlight w:val="none"/>
                <w:lang w:eastAsia="zh-CN"/>
              </w:rPr>
              <w:t xml:space="preserve">评</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建立完善的安保制度，明确各岗位安全职责，形成制度闭环。针对火灾、盗窃、暴力事件等制定详细的应急预案，</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安保制度基本健全，岗位职责较为明确。有应急预案，但场景覆盖不全，</w:t>
            </w:r>
            <w:r>
              <w:rPr>
                <w:rFonts w:hint="eastAsia" w:ascii="宋体" w:hAnsi="宋体" w:eastAsia="宋体" w:cs="宋体"/>
                <w:bCs/>
                <w:color w:val="auto"/>
                <w:sz w:val="24"/>
                <w:szCs w:val="24"/>
                <w:highlight w:val="none"/>
              </w:rPr>
              <w:t xml:space="preserve">较好满足本项目需求</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安保制度存在明显缺失，关键制度未建立，应急预案简单笼统，缺乏可操作性</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基本满足本项目需求</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（4）未提供相关内容</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不得分。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r>
      <w:tr>
        <w:trPr>
          <w:jc w:val="center"/>
          <w:trHeight w:val="1105"/>
        </w:trPr>
        <w:tc>
          <w:tcPr>
            <w:tcW w:w="540"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w:t>
            </w:r>
            <w:r/>
          </w:p>
        </w:tc>
        <w:tc>
          <w:tcPr>
            <w:tcW w:w="7103" w:type="dxa"/>
            <w:vAlign w:val="center"/>
            <w:textDirection w:val="lrTb"/>
            <w:noWrap/>
          </w:tcPr>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投标人结合业主单位工作性质和自身管理服务经验，提供的突发情况处理方案</w:t>
            </w:r>
            <w:r>
              <w:rPr>
                <w:rFonts w:hint="eastAsia" w:ascii="宋体" w:hAnsi="宋体" w:eastAsia="宋体" w:cs="宋体"/>
                <w:bCs/>
                <w:color w:val="auto"/>
                <w:sz w:val="24"/>
                <w:szCs w:val="24"/>
                <w:highlight w:val="none"/>
                <w:lang w:val="en-US" w:eastAsia="zh-CN"/>
              </w:rPr>
              <w:t xml:space="preserve">包括但不限于以下内容</w:t>
            </w:r>
            <w:r>
              <w:rPr>
                <w:rFonts w:hint="eastAsia" w:ascii="宋体" w:hAnsi="宋体" w:eastAsia="宋体" w:cs="宋体"/>
                <w:bCs/>
                <w:color w:val="auto"/>
                <w:sz w:val="24"/>
                <w:szCs w:val="24"/>
                <w:highlight w:val="none"/>
              </w:rPr>
              <w:t xml:space="preserve">消防安全、治安安全防范、防暴防恐、自然灾害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停水、停电、</w:t>
            </w:r>
            <w:r>
              <w:rPr>
                <w:rFonts w:hint="eastAsia" w:ascii="宋体" w:hAnsi="宋体" w:eastAsia="宋体" w:cs="宋体"/>
                <w:bCs/>
                <w:color w:val="auto"/>
                <w:sz w:val="24"/>
                <w:szCs w:val="24"/>
                <w:highlight w:val="none"/>
                <w:lang w:val="en-US" w:eastAsia="zh-CN"/>
              </w:rPr>
              <w:t xml:space="preserve">人身意外伤害</w:t>
            </w:r>
            <w:r>
              <w:rPr>
                <w:rFonts w:hint="eastAsia" w:ascii="宋体" w:hAnsi="宋体" w:eastAsia="宋体" w:cs="宋体"/>
                <w:bCs/>
                <w:color w:val="auto"/>
                <w:sz w:val="24"/>
                <w:szCs w:val="24"/>
                <w:highlight w:val="none"/>
              </w:rPr>
              <w:t xml:space="preserve">等应急预案流程、组织管理机构及应急预案事后处理等方面进行评</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预案内容全面、贴切实际、可操作性强，得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预案内容有缺失、不完全贴合实际、可操作性</w:t>
            </w:r>
            <w:r>
              <w:rPr>
                <w:rFonts w:hint="eastAsia" w:ascii="宋体" w:hAnsi="宋体" w:eastAsia="宋体" w:cs="宋体"/>
                <w:bCs/>
                <w:color w:val="auto"/>
                <w:sz w:val="24"/>
                <w:szCs w:val="24"/>
                <w:highlight w:val="none"/>
                <w:lang w:val="en-US" w:eastAsia="zh-CN"/>
              </w:rPr>
              <w:t xml:space="preserve">不强</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预案内容严重缺失、不贴合实际、操作性差，得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r>
      <w:tr>
        <w:trPr>
          <w:jc w:val="center"/>
          <w:trHeight w:val="1105"/>
        </w:trPr>
        <w:tc>
          <w:tcPr>
            <w:tcW w:w="540" w:type="dxa"/>
            <w:vAlign w:val="center"/>
            <w:textDirection w:val="lrTb"/>
            <w:noWrap/>
          </w:tcPr>
          <w:p>
            <w:pPr>
              <w:jc w:val="center"/>
              <w:pageBreakBefore w:val="0"/>
              <w:spacing w:beforeAutospacing="0" w:line="44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沙滩安全方案</w:t>
            </w:r>
            <w:r/>
          </w:p>
        </w:tc>
        <w:tc>
          <w:tcPr>
            <w:tcW w:w="7103" w:type="dxa"/>
            <w:vAlign w:val="center"/>
            <w:textDirection w:val="lrTb"/>
            <w:noWrap/>
          </w:tcPr>
          <w:p>
            <w:pPr>
              <w:contextualSpacing/>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沙滩安全方案涵盖巡查路线、人员安排、巡查频次等内容，同时从危险行为劝阻、落水意外处理措施等方面进行评分。</w:t>
            </w:r>
            <w:r/>
          </w:p>
          <w:p>
            <w:pPr>
              <w:contextualSpacing/>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（1）构建完备的安全制度，明确各岗位的安全职责，巡查频率较高，应急处置符合实际情况，可获得</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分。 </w:t>
            </w:r>
            <w:r/>
          </w:p>
          <w:p>
            <w:pPr>
              <w:contextualSpacing/>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如巡查频次、应急处置某一流程不完整，人员配置、巡查路线或处置措施存在少量不合理之处，需调整后才能与实际情况相适配；部分内容表述较为笼统（如未明确巡查具体时间、处置责任人员），需进一步细化方可落地实施，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contextualSpacing/>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（3）无巡查路线、无应急处置措施；人员配置、巡查频次严重不合理，与沙滩实际情况严重脱节；方案多为笼统表述，缺乏具体执行细节，无法直接落地，且无记录、复盘机制，可得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contextualSpacing/>
              <w:pageBreakBefore w:val="0"/>
              <w:spacing w:beforeAutospacing="0" w:line="440" w:lineRule="exact"/>
              <w:rPr>
                <w:rFonts w:hint="eastAsia" w:ascii="宋体" w:hAnsi="宋体" w:eastAsia="宋体" w:cs="Times New Roman"/>
                <w:color w:val="auto"/>
                <w:sz w:val="21"/>
                <w:szCs w:val="20"/>
                <w:highlight w:val="none"/>
                <w:lang w:val="en-US" w:eastAsia="zh-CN" w:bidi="ar-SA"/>
              </w:rPr>
            </w:pPr>
            <w:r>
              <w:rPr>
                <w:rFonts w:hint="eastAsia" w:ascii="宋体" w:hAnsi="宋体" w:eastAsia="宋体" w:cs="宋体"/>
                <w:bCs/>
                <w:color w:val="auto"/>
                <w:sz w:val="24"/>
                <w:szCs w:val="24"/>
                <w:highlight w:val="none"/>
                <w:lang w:val="en-US" w:eastAsia="zh-CN"/>
              </w:rPr>
              <w:t xml:space="preserve">（4）未提供相关内容的，不予计分。 </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p>
        </w:tc>
      </w:tr>
    </w:tbl>
    <w:p>
      <w:pPr>
        <w:numPr>
          <w:ilvl w:val="0"/>
          <w:numId w:val="0"/>
        </w:numPr>
        <w:ind w:firstLine="482"/>
        <w:jc w:val="left"/>
        <w:pageBreakBefore w:val="0"/>
        <w:spacing w:before="0" w:beforeAutospacing="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商务分：</w:t>
      </w:r>
      <w:r>
        <w:rPr>
          <w:rFonts w:hint="eastAsia" w:ascii="宋体" w:hAnsi="宋体" w:cs="宋体"/>
          <w:b/>
          <w:color w:val="auto"/>
          <w:sz w:val="24"/>
          <w:szCs w:val="24"/>
          <w:highlight w:val="none"/>
          <w:lang w:val="en-US" w:eastAsia="zh-CN" w:bidi="ar-SA"/>
        </w:rPr>
        <w:t xml:space="preserve">25</w:t>
      </w:r>
      <w:r>
        <w:rPr>
          <w:rFonts w:hint="eastAsia" w:ascii="宋体" w:hAnsi="宋体" w:eastAsia="宋体" w:cs="宋体"/>
          <w:b/>
          <w:color w:val="auto"/>
          <w:sz w:val="24"/>
          <w:szCs w:val="24"/>
          <w:highlight w:val="none"/>
          <w:lang w:val="en-US" w:eastAsia="zh-CN" w:bidi="ar-SA"/>
        </w:rPr>
        <w:t xml:space="preserve">分</w:t>
      </w:r>
      <w:r/>
    </w:p>
    <w:tbl>
      <w:tblPr>
        <w:tblStyle w:val="706"/>
        <w:tblW w:w="93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978"/>
        <w:gridCol w:w="7101"/>
        <w:gridCol w:w="736"/>
      </w:tblGrid>
      <w:tr>
        <w:trPr>
          <w:jc w:val="center"/>
          <w:trHeight w:val="670"/>
        </w:trPr>
        <w:tc>
          <w:tcPr>
            <w:tcW w:w="557" w:type="dxa"/>
            <w:vAlign w:val="center"/>
            <w:textDirection w:val="lrTb"/>
            <w:noWrap/>
          </w:tcPr>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78" w:type="dxa"/>
            <w:vAlign w:val="center"/>
            <w:textDirection w:val="lrTb"/>
            <w:noWrap/>
          </w:tcPr>
          <w:p>
            <w:pPr>
              <w:jc w:val="center"/>
              <w:pageBreakBefore w:val="0"/>
              <w:spacing w:before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评分点名称</w:t>
            </w:r>
            <w:r/>
          </w:p>
        </w:tc>
        <w:tc>
          <w:tcPr>
            <w:tcW w:w="7101" w:type="dxa"/>
            <w:vAlign w:val="center"/>
            <w:textDirection w:val="lrTb"/>
            <w:noWrap/>
          </w:tcPr>
          <w:p>
            <w:pPr>
              <w:ind w:firstLine="1857"/>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c>
          <w:tcPr>
            <w:tcW w:w="736" w:type="dxa"/>
            <w:vAlign w:val="center"/>
            <w:textDirection w:val="lrTb"/>
            <w:noWrap/>
          </w:tcPr>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最高分</w:t>
            </w:r>
            <w:r/>
          </w:p>
        </w:tc>
      </w:tr>
      <w:tr>
        <w:trPr>
          <w:jc w:val="center"/>
          <w:trHeight w:val="276"/>
        </w:trPr>
        <w:tc>
          <w:tcPr>
            <w:tcW w:w="557"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978" w:type="dxa"/>
            <w:vAlign w:val="center"/>
            <w:textDirection w:val="lrTb"/>
            <w:noWrap/>
          </w:tcPr>
          <w:p>
            <w:pPr>
              <w:ind w:left="0" w:right="0" w:firstLine="0"/>
              <w:jc w:val="center"/>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团队</w:t>
            </w:r>
            <w:r/>
          </w:p>
          <w:p>
            <w:pPr>
              <w:ind w:left="0" w:right="0" w:firstLine="0"/>
              <w:jc w:val="center"/>
              <w:pageBreakBefore w:val="0"/>
              <w:spacing w:beforeAutospacing="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7101" w:type="dxa"/>
            <w:vAlign w:val="center"/>
            <w:textDirection w:val="lrTb"/>
            <w:noWrap/>
          </w:tcPr>
          <w:p>
            <w:pPr>
              <w:ind w:left="0" w:firstLine="0"/>
              <w:jc w:val="both"/>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1.拟派项目负责人，</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周岁</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不重复得分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具有</w:t>
            </w:r>
            <w:r>
              <w:rPr>
                <w:rFonts w:hint="eastAsia" w:ascii="宋体" w:hAnsi="宋体" w:cs="宋体"/>
                <w:color w:val="auto"/>
                <w:sz w:val="24"/>
                <w:szCs w:val="24"/>
                <w:highlight w:val="none"/>
                <w:lang w:eastAsia="zh-CN"/>
              </w:rPr>
              <w:t xml:space="preserve">保安员证</w:t>
            </w:r>
            <w:r>
              <w:rPr>
                <w:rFonts w:hint="eastAsia" w:ascii="宋体" w:hAnsi="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lang w:val="en-US" w:eastAsia="zh-CN" w:bidi="ar-SA"/>
              </w:rPr>
              <w:t xml:space="preserve">的，加</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分；具有安全管理员证书的，加</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本项最高2.5分。</w:t>
            </w:r>
            <w:r/>
          </w:p>
          <w:p>
            <w:pPr>
              <w:ind w:left="0" w:firstLine="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拟派</w:t>
            </w:r>
            <w:r>
              <w:rPr>
                <w:rFonts w:hint="eastAsia" w:ascii="宋体" w:hAnsi="宋体" w:eastAsia="宋体" w:cs="宋体"/>
                <w:color w:val="auto"/>
                <w:sz w:val="24"/>
                <w:szCs w:val="24"/>
                <w:highlight w:val="none"/>
                <w:lang w:val="en-US" w:eastAsia="zh-CN"/>
              </w:rPr>
              <w:t xml:space="preserve">保安队长</w:t>
            </w: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保洁主管</w:t>
            </w:r>
            <w:r>
              <w:rPr>
                <w:rFonts w:hint="eastAsia" w:ascii="宋体" w:hAnsi="宋体" w:cs="宋体"/>
                <w:color w:val="auto"/>
                <w:sz w:val="24"/>
                <w:szCs w:val="24"/>
                <w:highlight w:val="none"/>
                <w:lang w:val="en-US" w:eastAsia="zh-CN"/>
              </w:rPr>
              <w:t xml:space="preserve">50周岁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以下</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本项最高2分。</w:t>
            </w:r>
            <w:r/>
          </w:p>
          <w:p>
            <w:pPr>
              <w:ind w:left="0" w:firstLine="0"/>
              <w:jc w:val="both"/>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bookmarkStart w:id="105" w:name="_GoBack"/>
            <w:r/>
            <w:bookmarkEnd w:id="105"/>
            <w:r>
              <w:rPr>
                <w:rFonts w:hint="eastAsia" w:ascii="宋体" w:hAnsi="宋体" w:eastAsia="宋体" w:cs="宋体"/>
                <w:color w:val="auto"/>
                <w:sz w:val="24"/>
                <w:szCs w:val="24"/>
                <w:highlight w:val="none"/>
                <w:lang w:val="en-US" w:eastAsia="zh-CN" w:bidi="ar-SA"/>
              </w:rPr>
              <w:t xml:space="preserve">拟派人员中，持有低压电工操作证或高压电工操作证或电工职业等资格证书的，加1分；具有有效救护员证的，加</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分，最高1.5分；具有消防设施操作员职业资格证书的，加1分；本项最高加3.5分。</w:t>
            </w:r>
            <w:r/>
          </w:p>
          <w:p>
            <w:pPr>
              <w:ind w:left="0" w:firstLine="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注：投标文件内提供有效证书或证明扫描件、有效劳动合同，否则不得分。</w:t>
            </w:r>
            <w:r/>
          </w:p>
        </w:tc>
        <w:tc>
          <w:tcPr>
            <w:tcW w:w="736"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right="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firstLine="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468"/>
        </w:trPr>
        <w:tc>
          <w:tcPr>
            <w:tcW w:w="557"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978" w:type="dxa"/>
            <w:vAlign w:val="center"/>
            <w:textDirection w:val="lrTb"/>
            <w:noWrap/>
          </w:tcPr>
          <w:p>
            <w:pPr>
              <w:ind w:left="0" w:right="0" w:firstLine="0"/>
              <w:jc w:val="center"/>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拟投入设备情况</w:t>
            </w:r>
            <w:r/>
          </w:p>
        </w:tc>
        <w:tc>
          <w:tcPr>
            <w:tcW w:w="7101" w:type="dxa"/>
            <w:vAlign w:val="center"/>
            <w:textDirection w:val="lrTb"/>
            <w:noWrap/>
          </w:tcPr>
          <w:p>
            <w:pPr>
              <w:ind w:left="0" w:right="0" w:firstLine="0"/>
              <w:jc w:val="both"/>
              <w:pageBreakBefore w:val="0"/>
              <w:spacing w:beforeAutospacing="0" w:line="440" w:lineRule="exact"/>
              <w:rPr>
                <w:rFonts w:hint="eastAsia" w:ascii="宋体" w:hAnsi="宋体" w:eastAsia="宋体" w:cs="Times New Roman"/>
                <w:color w:val="auto"/>
                <w:sz w:val="21"/>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供应商提供的保洁设备中，有高压清洗机的，得2分，具有电动型作业车辆（电动垃圾清运车或电动三轮垃圾清运车等）得2分。自有设备提供购置发票、实物照片；租赁设备提供租赁合同、租赁费结算费用发票和实物照片。</w:t>
            </w:r>
            <w:r/>
          </w:p>
        </w:tc>
        <w:tc>
          <w:tcPr>
            <w:tcW w:w="736"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4分</w:t>
            </w:r>
            <w:r/>
          </w:p>
        </w:tc>
      </w:tr>
      <w:tr>
        <w:trPr>
          <w:jc w:val="center"/>
          <w:trHeight w:val="655"/>
        </w:trPr>
        <w:tc>
          <w:tcPr>
            <w:tcW w:w="557"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p>
        </w:tc>
        <w:tc>
          <w:tcPr>
            <w:tcW w:w="978" w:type="dxa"/>
            <w:vAlign w:val="center"/>
            <w:textDirection w:val="lrTb"/>
            <w:noWrap/>
          </w:tcPr>
          <w:p>
            <w:pPr>
              <w:ind w:left="0" w:right="0" w:firstLine="0"/>
              <w:jc w:val="center"/>
              <w:pageBreakBefore w:val="0"/>
              <w:spacing w:beforeAutospacing="0"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体系认证</w:t>
            </w:r>
            <w:r/>
          </w:p>
        </w:tc>
        <w:tc>
          <w:tcPr>
            <w:tcW w:w="7101"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（1）具有有效期内的质量管理体系认证证书得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（2）具有有效期内的环境管理体系认证证书得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（3）具有有效期内的职业健康管理体系认证证书得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both"/>
              <w:pageBreakBefore w:val="0"/>
              <w:spacing w:beforeAutospacing="0"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注：投标文件内须提供认证证书扫描件及在国家认证认可监督管理委员会官网（http://www.cnca.gov.cn/）的查询截图并加盖公章，否则不得分。</w:t>
            </w:r>
            <w:r/>
          </w:p>
        </w:tc>
        <w:tc>
          <w:tcPr>
            <w:tcW w:w="736"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r>
      <w:tr>
        <w:trPr>
          <w:jc w:val="center"/>
          <w:trHeight w:val="261"/>
        </w:trPr>
        <w:tc>
          <w:tcPr>
            <w:tcW w:w="557"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p>
        </w:tc>
        <w:tc>
          <w:tcPr>
            <w:tcW w:w="978" w:type="dxa"/>
            <w:vAlign w:val="center"/>
            <w:textDirection w:val="lrTb"/>
            <w:noWrap/>
          </w:tcPr>
          <w:p>
            <w:pPr>
              <w:ind w:left="0" w:right="0" w:firstLine="0"/>
              <w:jc w:val="center"/>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类似业绩</w:t>
            </w:r>
            <w:r/>
          </w:p>
        </w:tc>
        <w:tc>
          <w:tcPr>
            <w:tcW w:w="7101"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年1月1日以来，非住宅类管理服务项目的每一项得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同一项目多份合同不累计得分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，本项满分</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 </w:t>
            </w:r>
            <w:r/>
          </w:p>
          <w:p>
            <w:pPr>
              <w:ind w:left="0" w:right="0" w:firstLine="0"/>
              <w:jc w:val="both"/>
              <w:pageBreakBefore w:val="0"/>
              <w:spacing w:beforeAutospacing="0"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注：投标文件中须提供业绩合同（项目必须同时包含：保安、保洁、维修）、业绩对应部分发票，缺少的不作为完整案例，签订时间和服务内容以业绩合同为准，扫描件应能辨识合同双方公章、签订时间、金额，并加盖投标人公章。不提供不得分。</w:t>
            </w:r>
            <w:r/>
          </w:p>
        </w:tc>
        <w:tc>
          <w:tcPr>
            <w:tcW w:w="736"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r>
      <w:tr>
        <w:trPr>
          <w:jc w:val="center"/>
          <w:trHeight w:val="655"/>
        </w:trPr>
        <w:tc>
          <w:tcPr>
            <w:tcW w:w="557" w:type="dxa"/>
            <w:vAlign w:val="center"/>
            <w:textDirection w:val="lrTb"/>
            <w:noWrap/>
          </w:tcPr>
          <w:p>
            <w:pPr>
              <w:jc w:val="center"/>
              <w:pageBreakBefore w:val="0"/>
              <w:spacing w:beforeAutospacing="0"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c>
          <w:tcPr>
            <w:tcW w:w="978" w:type="dxa"/>
            <w:vAlign w:val="center"/>
            <w:textDirection w:val="lrTb"/>
            <w:noWrap/>
          </w:tcPr>
          <w:p>
            <w:pPr>
              <w:ind w:left="0" w:right="0" w:firstLine="0"/>
              <w:jc w:val="center"/>
              <w:pageBreakBefore w:val="0"/>
              <w:spacing w:before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业绩评价</w:t>
            </w:r>
            <w:r/>
          </w:p>
        </w:tc>
        <w:tc>
          <w:tcPr>
            <w:tcW w:w="7101"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投标人提供2021年1月1日以来承接的非住宅类管理服务项目履约好评（优秀、满意或相当于类似评价），提供业主单位出具履约好评的评价材料（须由业主单位加盖公章），每提供一个好评业绩得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分。（同一业主单位履约好评只计取一次，不累计得分）</w:t>
            </w:r>
            <w:r/>
          </w:p>
        </w:tc>
        <w:tc>
          <w:tcPr>
            <w:tcW w:w="736" w:type="dxa"/>
            <w:vAlign w:val="center"/>
            <w:textDirection w:val="lrTb"/>
            <w:noWrap/>
          </w:tcPr>
          <w:p>
            <w:pPr>
              <w:ind w:left="0" w:right="0" w:firstLine="0"/>
              <w:jc w:val="both"/>
              <w:pageBreakBefore w:val="0"/>
              <w:spacing w:beforeAutospacing="0"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r>
    </w:tbl>
    <w:p>
      <w:pPr>
        <w:keepLines w:val="0"/>
        <w:keepNext w:val="0"/>
        <w:pageBreakBefore w:val="0"/>
        <w:spacing w:beforeAutospacing="0" w:line="44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注：①请供应商制作投标文件的时保证图片、文字材料的完整、清晰可辨，任何原因导致评委看不清楚或无法查看，后果由供应商自负。</w:t>
      </w:r>
      <w:r/>
    </w:p>
    <w:p>
      <w:pPr>
        <w:keepLines w:val="0"/>
        <w:keepNext w:val="0"/>
        <w:pageBreakBefore w:val="0"/>
        <w:spacing w:beforeAutospacing="0" w:line="44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②</w:t>
      </w:r>
      <w:r>
        <w:rPr>
          <w:rFonts w:hint="eastAsia" w:ascii="宋体" w:hAnsi="宋体" w:eastAsia="宋体" w:cs="宋体"/>
          <w:b/>
          <w:bCs/>
          <w:color w:val="auto"/>
          <w:szCs w:val="21"/>
          <w:highlight w:val="none"/>
          <w:u w:val="single"/>
          <w:lang w:val="zh-CN"/>
        </w:rPr>
        <w:t xml:space="preserve">以上材料为扫描件的须为原件的扫描件并加盖投标供应商公章</w:t>
      </w:r>
      <w:r/>
    </w:p>
    <w:p>
      <w:pPr>
        <w:keepLines w:val="0"/>
        <w:keepNext w:val="0"/>
        <w:pageBreakBefore w:val="0"/>
        <w:spacing w:beforeAutospacing="0" w:line="44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③供应商制作投标文件时所用的所有原件材料均须准备好中标公告结束后</w:t>
      </w:r>
      <w:r>
        <w:rPr>
          <w:rFonts w:hint="eastAsia" w:ascii="宋体" w:hAnsi="宋体" w:eastAsia="宋体" w:cs="宋体"/>
          <w:color w:val="auto"/>
          <w:szCs w:val="21"/>
          <w:highlight w:val="none"/>
        </w:rPr>
        <w:t xml:space="preserve">5日内</w:t>
      </w:r>
      <w:r>
        <w:rPr>
          <w:rFonts w:hint="eastAsia" w:ascii="宋体" w:hAnsi="宋体" w:eastAsia="宋体" w:cs="宋体"/>
          <w:color w:val="auto"/>
          <w:szCs w:val="21"/>
          <w:highlight w:val="none"/>
          <w:lang w:val="zh-CN"/>
        </w:rPr>
        <w:t xml:space="preserve">被采购人核查，如核查时供应商不能提供相关原件材料作弄虚作假处理，供应商自行承担相应法律后果。</w:t>
      </w:r>
      <w:r/>
    </w:p>
    <w:p>
      <w:pPr>
        <w:ind w:firstLine="56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（四）价格分：</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val="zh-CN"/>
        </w:rPr>
        <w:t xml:space="preserve">分</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%×100</w:t>
      </w:r>
      <w:r/>
    </w:p>
    <w:p>
      <w:pPr>
        <w:ind w:firstLine="559"/>
        <w:pageBreakBefore w:val="0"/>
        <w:spacing w:line="44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政府采购政策功能落实</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（1）本项目对小型和微型企业产品给予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的扣除价格，用扣除后的价格参与评审。</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（2）供应商需按照《政府采购促进中小企业发展管理办法》（财库﹝2020﹞46 号）的规定提供相应的《中小企业声明函》。</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（3）企业标准请参照《关于印发中小企业划型标准规定的通知》（工信部联企业〔2011〕300号）文件规定自行填写。</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57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6、联合体各方均为小型、微型企业（残疾人福利单位、监狱企业）的，联合体享受上述同类价格扣除，用扣除后的价格参与评审。</w:t>
      </w:r>
      <w:r/>
    </w:p>
    <w:p>
      <w:pPr>
        <w:ind w:firstLine="570"/>
        <w:pageBreakBefore w:val="0"/>
        <w:spacing w:beforeAutospacing="0" w:line="440" w:lineRule="exact"/>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u w:val="single"/>
          <w:lang w:val="en-US" w:eastAsia="zh-CN"/>
        </w:rPr>
        <w:t xml:space="preserve">7、</w:t>
      </w:r>
      <w:r>
        <w:rPr>
          <w:rFonts w:hint="eastAsia" w:ascii="宋体" w:hAnsi="宋体" w:eastAsia="宋体" w:cs="宋体"/>
          <w:b/>
          <w:bCs w:val="0"/>
          <w:color w:val="auto"/>
          <w:sz w:val="24"/>
          <w:szCs w:val="24"/>
          <w:highlight w:val="none"/>
          <w:u w:val="single"/>
        </w:rPr>
        <w:t xml:space="preserve">专门面向中小企业采购的项目或者采购包，不再执行价格评审优惠的扶持政策。</w:t>
      </w:r>
      <w:r/>
    </w:p>
    <w:p>
      <w:pPr>
        <w:ind w:firstLine="562"/>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w:t>
      </w:r>
      <w:r>
        <w:rPr>
          <w:rFonts w:hint="eastAsia" w:ascii="宋体" w:hAnsi="宋体" w:eastAsia="宋体" w:cs="宋体"/>
          <w:b/>
          <w:color w:val="auto"/>
          <w:sz w:val="24"/>
          <w:szCs w:val="24"/>
          <w:highlight w:val="none"/>
        </w:rPr>
        <w:t xml:space="preserve">根据江苏省财政厅苏财购〔2025〕62号文件要求：</w:t>
      </w:r>
      <w:r/>
    </w:p>
    <w:p>
      <w:pPr>
        <w:ind w:firstLine="562"/>
        <w:pageBreakBefore w:val="0"/>
        <w:spacing w:line="44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1、评审过程中出现下列情形之一的，评审委员会应当启动异常低价投标（响应）审查程序： </w:t>
      </w:r>
      <w:r/>
    </w:p>
    <w:p>
      <w:pPr>
        <w:ind w:firstLine="562"/>
        <w:pageBreakBefore w:val="0"/>
        <w:spacing w:line="44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（1）投标（响应）报价低于采购项目预算50%的，即投标（响应）报价&lt;采购项目预算×50%； </w:t>
      </w:r>
      <w:r/>
    </w:p>
    <w:p>
      <w:pPr>
        <w:ind w:firstLine="562"/>
        <w:pageBreakBefore w:val="0"/>
        <w:spacing w:line="44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（2）投标（响应）报价低于采购项目最高限价45%的，即投标（响应）报价&lt;采购项目最高限价×45%； </w:t>
      </w:r>
      <w:r/>
    </w:p>
    <w:p>
      <w:pPr>
        <w:ind w:firstLine="562"/>
        <w:pageBreakBefore w:val="0"/>
        <w:spacing w:line="44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（3）评审委员会认定的供应商报价过低、有可能影响产品质量或者不能诚信履约的其他情形。</w:t>
      </w:r>
      <w:r/>
    </w:p>
    <w:p>
      <w:pPr>
        <w:ind w:firstLine="562"/>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7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（七）中标人的确定</w:t>
      </w:r>
      <w:r/>
    </w:p>
    <w:p>
      <w:pPr>
        <w:ind w:firstLine="57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评委会汇总各评委评分后，按照得分从高到低的顺序推荐三名中标候选人，并编写评标报告。</w:t>
      </w:r>
      <w:r/>
    </w:p>
    <w:p>
      <w:pPr>
        <w:ind w:firstLine="557"/>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（八）采购人代表宣布评标结果。</w:t>
      </w:r>
      <w:r/>
    </w:p>
    <w:p>
      <w:pPr>
        <w:ind w:firstLine="562"/>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（九）公告中标结果</w:t>
      </w:r>
      <w:r/>
    </w:p>
    <w:p>
      <w:pPr>
        <w:ind w:firstLine="57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自确定中标人之日起2个工作日内，在江苏政府采购网公告中标结果，公告期限为1个工作日。</w:t>
      </w:r>
      <w:r/>
    </w:p>
    <w:p>
      <w:pPr>
        <w:ind w:firstLine="56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十</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发放中标通知书</w:t>
      </w:r>
      <w:r/>
    </w:p>
    <w:p>
      <w:pPr>
        <w:ind w:firstLine="56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公告中标结果的同时，</w:t>
      </w:r>
      <w:r>
        <w:rPr>
          <w:rFonts w:hint="eastAsia" w:ascii="宋体" w:hAnsi="宋体" w:eastAsia="宋体" w:cs="宋体"/>
          <w:b w:val="0"/>
          <w:bCs w:val="0"/>
          <w:color w:val="auto"/>
          <w:sz w:val="24"/>
          <w:szCs w:val="24"/>
          <w:highlight w:val="none"/>
        </w:rPr>
        <w:t xml:space="preserve">采购人向</w:t>
      </w:r>
      <w:r>
        <w:rPr>
          <w:rFonts w:hint="eastAsia" w:ascii="宋体" w:hAnsi="宋体" w:eastAsia="宋体" w:cs="宋体"/>
          <w:bCs/>
          <w:color w:val="auto"/>
          <w:sz w:val="24"/>
          <w:szCs w:val="24"/>
          <w:highlight w:val="none"/>
        </w:rPr>
        <w:t xml:space="preserve">中标供应商发放中标通知书。</w:t>
      </w:r>
      <w:r/>
    </w:p>
    <w:p>
      <w:pPr>
        <w:ind w:firstLine="57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中标通知书发出后，采购人不得违法改变中标结果，中标供应商无正当理由不得放弃中标。</w:t>
      </w:r>
      <w:r/>
    </w:p>
    <w:p>
      <w:pPr>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r>
      <w:r/>
    </w:p>
    <w:p>
      <w:pPr>
        <w:rPr>
          <w:rFonts w:hint="default" w:ascii="Calibri" w:hAnsi="Calibri"/>
          <w:highlight w:val="none"/>
        </w:rPr>
      </w:pPr>
      <w:r>
        <w:rPr>
          <w:rFonts w:hint="default" w:ascii="Calibri" w:hAnsi="Calibri"/>
          <w:highlight w:val="none"/>
        </w:rPr>
      </w:r>
      <w:r/>
    </w:p>
    <w:p>
      <w:pPr>
        <w:rPr>
          <w:rFonts w:hint="default" w:ascii="Calibri" w:hAnsi="Calibri"/>
          <w:highlight w:val="none"/>
        </w:rPr>
      </w:pPr>
      <w:r>
        <w:rPr>
          <w:rFonts w:hint="default" w:ascii="Calibri" w:hAnsi="Calibri"/>
          <w:highlight w:val="none"/>
        </w:rPr>
      </w:r>
      <w:r/>
    </w:p>
    <w:p>
      <w:pPr>
        <w:ind w:firstLine="5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440" w:lineRule="exact"/>
        <w:widowControl w:val="off"/>
        <w:rPr>
          <w:rFonts w:hint="eastAsia" w:ascii="宋体" w:hAnsi="宋体" w:eastAsia="宋体" w:cs="宋体"/>
          <w:bCs/>
          <w:sz w:val="32"/>
          <w:szCs w:val="32"/>
          <w:highlight w:val="none"/>
        </w:rPr>
        <w:outlineLvl w:val="0"/>
      </w:pPr>
      <w:r>
        <w:rPr>
          <w:rFonts w:hint="eastAsia" w:ascii="宋体" w:hAnsi="宋体" w:eastAsia="宋体" w:cs="宋体"/>
          <w:b/>
          <w:sz w:val="24"/>
          <w:szCs w:val="24"/>
          <w:highlight w:val="none"/>
        </w:rPr>
        <w:br w:type="page" w:clear="all"/>
      </w:r>
      <w:r>
        <w:rPr>
          <w:rFonts w:hint="eastAsia" w:ascii="宋体" w:hAnsi="宋体" w:eastAsia="宋体" w:cs="宋体"/>
          <w:bCs/>
          <w:sz w:val="32"/>
          <w:szCs w:val="32"/>
          <w:highlight w:val="none"/>
        </w:rPr>
        <w:t xml:space="preserve">第五部分  投标文件组成</w:t>
      </w:r>
      <w:r/>
    </w:p>
    <w:p>
      <w:pPr>
        <w:ind w:left="480"/>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一、基本目录</w:t>
      </w:r>
      <w:r/>
    </w:p>
    <w:p>
      <w:pPr>
        <w:ind w:left="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1.开标一览表（格式见附件1）</w:t>
      </w:r>
      <w:r/>
    </w:p>
    <w:p>
      <w:pPr>
        <w:ind w:left="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2.投标分项报价表（格式见附件2）</w:t>
      </w:r>
      <w:r/>
    </w:p>
    <w:p>
      <w:pPr>
        <w:ind w:left="480"/>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二、资格审查内容</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1.投标人符合《政府采购法》第二十二条规定条件的声明函（</w:t>
      </w:r>
      <w:r>
        <w:rPr>
          <w:rFonts w:hint="eastAsia" w:ascii="宋体" w:hAnsi="宋体" w:eastAsia="宋体" w:cs="宋体"/>
          <w:color w:val="auto"/>
          <w:sz w:val="24"/>
          <w:szCs w:val="21"/>
          <w:highlight w:val="none"/>
          <w:lang w:val="zh-CN"/>
        </w:rPr>
        <w:t xml:space="preserve">格式见附件</w:t>
      </w:r>
      <w:r>
        <w:rPr>
          <w:rFonts w:hint="eastAsia" w:ascii="宋体" w:hAnsi="宋体" w:eastAsia="宋体" w:cs="宋体"/>
          <w:color w:val="auto"/>
          <w:sz w:val="24"/>
          <w:szCs w:val="21"/>
          <w:highlight w:val="none"/>
        </w:rPr>
        <w:t xml:space="preserve">3）</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2.特定资格要求的证明文件（如果本项目对投标人做出特定资格要求的，必须提供）</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3.法定代表人身份证明（格式见附件4）、</w:t>
      </w:r>
      <w:r>
        <w:rPr>
          <w:rFonts w:hint="eastAsia" w:ascii="宋体" w:hAnsi="宋体" w:eastAsia="宋体" w:cs="宋体"/>
          <w:color w:val="auto"/>
          <w:sz w:val="24"/>
          <w:szCs w:val="21"/>
          <w:highlight w:val="none"/>
          <w:lang w:val="zh-CN"/>
        </w:rPr>
        <w:t xml:space="preserve">法定代表人的身份证</w:t>
      </w:r>
      <w:r>
        <w:rPr>
          <w:rFonts w:hint="eastAsia" w:ascii="宋体" w:hAnsi="宋体" w:eastAsia="宋体" w:cs="宋体"/>
          <w:color w:val="auto"/>
          <w:sz w:val="24"/>
          <w:szCs w:val="21"/>
          <w:highlight w:val="none"/>
        </w:rPr>
        <w:t xml:space="preserve">扫描件</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4.法人授权书（格式见附件5）、被授权</w:t>
      </w:r>
      <w:r>
        <w:rPr>
          <w:rFonts w:hint="eastAsia" w:ascii="宋体" w:hAnsi="宋体" w:eastAsia="宋体" w:cs="宋体"/>
          <w:color w:val="auto"/>
          <w:sz w:val="24"/>
          <w:szCs w:val="21"/>
          <w:highlight w:val="none"/>
          <w:lang w:val="zh-CN"/>
        </w:rPr>
        <w:t xml:space="preserve">人身份证</w:t>
      </w:r>
      <w:r>
        <w:rPr>
          <w:rFonts w:hint="eastAsia" w:ascii="宋体" w:hAnsi="宋体" w:eastAsia="宋体" w:cs="宋体"/>
          <w:color w:val="auto"/>
          <w:sz w:val="24"/>
          <w:szCs w:val="21"/>
          <w:highlight w:val="none"/>
        </w:rPr>
        <w:t xml:space="preserve">扫描件</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.中小企业声明函（如果本项目专门面向中小微型企业采购，则必须提供。格式见附件7）</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.残疾人福利性单位声明函（如果本项目专门面向中小微型企业采购，投标人为残疾人福利性单位并由本单位提供服务，则必须提供。格式见附件8）</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.监狱和戒毒企业证明材料</w:t>
      </w:r>
      <w:r>
        <w:rPr>
          <w:rFonts w:hint="eastAsia" w:ascii="宋体" w:hAnsi="宋体" w:eastAsia="宋体" w:cs="宋体"/>
          <w:color w:val="auto"/>
          <w:sz w:val="24"/>
          <w:szCs w:val="21"/>
          <w:highlight w:val="none"/>
          <w:lang w:val="zh-CN"/>
        </w:rPr>
        <w:t xml:space="preserve">（如果本项目专门面向中小微型企业采购，投标人为监狱和戒毒企业的，则必须提供。</w:t>
      </w:r>
      <w:r>
        <w:rPr>
          <w:rFonts w:hint="eastAsia" w:ascii="宋体" w:hAnsi="宋体" w:eastAsia="宋体" w:cs="宋体"/>
          <w:color w:val="auto"/>
          <w:sz w:val="24"/>
          <w:szCs w:val="21"/>
          <w:highlight w:val="none"/>
        </w:rPr>
        <w:t xml:space="preserve">格式见附件9）</w:t>
      </w:r>
      <w:r/>
    </w:p>
    <w:p>
      <w:pPr>
        <w:ind w:firstLine="480"/>
        <w:pageBreakBefore w:val="0"/>
        <w:spacing w:beforeAutospacing="0" w:line="440" w:lineRule="exact"/>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rPr>
        <w:t xml:space="preserve">其它需要提交的资格审查证明材料。</w:t>
      </w:r>
      <w:r/>
    </w:p>
    <w:p>
      <w:pPr>
        <w:ind w:left="480"/>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三、符合性审查内容</w:t>
      </w:r>
      <w:r/>
    </w:p>
    <w:p>
      <w:pPr>
        <w:ind w:left="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1.技术要求响应及偏离表（格式见附件10）</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2.商务要求响应及偏离表（格式见附件11）</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.投标函（格式见附件6）</w:t>
      </w:r>
      <w:r/>
    </w:p>
    <w:p>
      <w:pPr>
        <w:ind w:left="480"/>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w:t>
      </w:r>
      <w:r>
        <w:rPr>
          <w:rFonts w:hint="eastAsia" w:ascii="宋体" w:hAnsi="宋体" w:eastAsia="宋体" w:cs="宋体"/>
          <w:b/>
          <w:color w:val="auto"/>
          <w:sz w:val="24"/>
          <w:szCs w:val="21"/>
          <w:highlight w:val="none"/>
          <w:lang w:val="zh-CN"/>
        </w:rPr>
        <w:t xml:space="preserve">商务技术</w:t>
      </w:r>
      <w:r>
        <w:rPr>
          <w:rFonts w:hint="eastAsia" w:ascii="宋体" w:hAnsi="宋体" w:eastAsia="宋体" w:cs="宋体"/>
          <w:b/>
          <w:color w:val="auto"/>
          <w:sz w:val="24"/>
          <w:szCs w:val="21"/>
          <w:highlight w:val="none"/>
        </w:rPr>
        <w:t xml:space="preserve">内容</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商务技术评分标准中须提供的相关得分佐证材料</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投标人认为需要提交的其他材料。</w:t>
      </w:r>
      <w:r/>
    </w:p>
    <w:p>
      <w:pPr>
        <w:ind w:left="480"/>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五、价格扣除证明文件</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1.中小企业声明函（格式见附件7）</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2.残疾人福利性单位声明函（格式见附件8）</w:t>
      </w:r>
      <w:r/>
    </w:p>
    <w:p>
      <w:pPr>
        <w:ind w:firstLine="480"/>
        <w:pageBreakBefore w:val="0"/>
        <w:spacing w:beforeAutospacing="0"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3.监狱和戒毒企业证明材料</w:t>
      </w:r>
      <w:r>
        <w:rPr>
          <w:rFonts w:hint="eastAsia" w:ascii="宋体" w:hAnsi="宋体" w:eastAsia="宋体" w:cs="宋体"/>
          <w:color w:val="auto"/>
          <w:sz w:val="24"/>
          <w:szCs w:val="24"/>
          <w:highlight w:val="none"/>
          <w:lang w:val="zh-CN"/>
        </w:rPr>
        <w:t xml:space="preserve">（格式见附件</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w:t>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br w:type="page" w:clear="all"/>
      </w:r>
      <w:r>
        <w:rPr>
          <w:rFonts w:hint="eastAsia" w:ascii="宋体" w:hAnsi="宋体" w:eastAsia="宋体" w:cs="宋体"/>
          <w:b/>
          <w:color w:val="auto"/>
          <w:sz w:val="24"/>
          <w:szCs w:val="24"/>
          <w:highlight w:val="none"/>
        </w:rPr>
        <w:t xml:space="preserve">附件1 </w:t>
      </w:r>
      <w:r/>
    </w:p>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p>
      <w:pPr>
        <w:ind w:firstLine="482"/>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2"/>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0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trHeight w:val="612"/>
        </w:trPr>
        <w:tc>
          <w:tcPr>
            <w:tcW w:w="8206" w:type="dxa"/>
            <w:vAlign w:val="center"/>
            <w:textDirection w:val="lrTb"/>
            <w:noWrap w:val="false"/>
          </w:tcPr>
          <w:p>
            <w:pPr>
              <w:jc w:val="left"/>
              <w:pageBreakBefore w:val="0"/>
              <w:spacing w:beforeAutospacing="0" w:line="440" w:lineRule="exac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大写：</w:t>
            </w:r>
            <w:r/>
          </w:p>
          <w:p>
            <w:pPr>
              <w:ind w:firstLine="0"/>
              <w:jc w:val="left"/>
              <w:pageBreakBefore w:val="0"/>
              <w:spacing w:before="0" w:beforeAutospacing="0" w:after="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附件2 </w:t>
      </w:r>
      <w:r/>
    </w:p>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投标分项报价表</w:t>
      </w:r>
      <w:r/>
    </w:p>
    <w:tbl>
      <w:tblPr>
        <w:tblStyle w:val="70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417"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服务范围</w:t>
            </w:r>
            <w:r/>
          </w:p>
        </w:tc>
        <w:tc>
          <w:tcPr>
            <w:tcW w:w="1418"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W w:w="1275"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w:t>
            </w:r>
            <w:r/>
          </w:p>
        </w:tc>
        <w:tc>
          <w:tcPr>
            <w:tcW w:w="1276"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w:t>
            </w:r>
            <w:r/>
          </w:p>
        </w:tc>
        <w:tc>
          <w:tcPr>
            <w:tcW w:w="8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w:t>
            </w:r>
            <w:r/>
          </w:p>
        </w:tc>
        <w:tc>
          <w:tcPr>
            <w:tcW w:w="11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479"/>
        </w:trPr>
        <w:tc>
          <w:tcPr>
            <w:tcW w:w="97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2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2"/>
        </w:trPr>
        <w:tc>
          <w:tcPr>
            <w:tcW w:w="97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2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2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2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2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17"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19"/>
        </w:trPr>
        <w:tc>
          <w:tcPr>
            <w:tcW w:w="971"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7"/>
            <w:tcW w:w="8709"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另有规定的除外。</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2.“投标分项报价表”中“投标总报价”数额应当与“开标一览表”中“投标总报价”数额一致。</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8"/>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附件3 </w:t>
      </w:r>
      <w:r/>
    </w:p>
    <w:p>
      <w:pPr>
        <w:jc w:val="center"/>
        <w:pageBreakBefore w:val="0"/>
        <w:spacing w:beforeAutospacing="0" w:line="44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投标人符合《政府采购法》第二十二条规定条件的声明函</w:t>
      </w:r>
      <w:r/>
    </w:p>
    <w:p>
      <w:pPr>
        <w:pageBreakBefore w:val="0"/>
        <w:spacing w:beforeAutospacing="0" w:line="44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44"/>
          <w:szCs w:val="44"/>
          <w:highlight w:val="none"/>
        </w:rPr>
        <w:t xml:space="preserve">   </w:t>
      </w:r>
      <w:r/>
    </w:p>
    <w:p>
      <w:pPr>
        <w:ind w:firstLine="480"/>
        <w:pageBreakBefore w:val="0"/>
        <w:spacing w:beforeAutospacing="0" w:line="440" w:lineRule="exact"/>
        <w:rPr>
          <w:rFonts w:hint="eastAsia" w:ascii="宋体" w:hAnsi="宋体" w:eastAsia="宋体" w:cs="宋体"/>
          <w:b/>
          <w:bCs/>
          <w:color w:val="auto"/>
          <w:sz w:val="24"/>
          <w:szCs w:val="21"/>
          <w:highlight w:val="none"/>
        </w:rPr>
      </w:pPr>
      <w:r>
        <w:rPr>
          <w:rFonts w:hint="eastAsia" w:ascii="宋体" w:hAnsi="宋体" w:eastAsia="宋体" w:cs="宋体"/>
          <w:bCs/>
          <w:color w:val="auto"/>
          <w:sz w:val="24"/>
          <w:szCs w:val="21"/>
          <w:highlight w:val="none"/>
        </w:rPr>
        <w:t xml:space="preserve">我单位参加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（项目编号）投标活动。针对《中华人民共和国政府采购法》第二十二条规定做出如下声明：</w:t>
      </w:r>
      <w:r/>
    </w:p>
    <w:p>
      <w:pPr>
        <w:ind w:firstLine="482"/>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2.我单位具有良好的商业信誉和健全的财务会计制度；</w:t>
      </w:r>
      <w:r/>
    </w:p>
    <w:p>
      <w:pPr>
        <w:ind w:firstLine="482"/>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3.我单位具有履行合同所必需的设备和专业技术能力；</w:t>
      </w:r>
      <w:r/>
    </w:p>
    <w:p>
      <w:pPr>
        <w:ind w:firstLine="482"/>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4.我单位有依法缴纳税收和社会保障资金的良好记录；</w:t>
      </w:r>
      <w:r/>
    </w:p>
    <w:p>
      <w:pPr>
        <w:ind w:firstLine="482"/>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6.我单位满足法律、行政法规规定的其他条件。</w:t>
      </w:r>
      <w:r/>
    </w:p>
    <w:p>
      <w:pPr>
        <w:ind w:firstLine="482"/>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ageBreakBefore w:val="0"/>
        <w:spacing w:beforeAutospacing="0"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pageBreakBefore w:val="0"/>
        <w:spacing w:beforeAutospacing="0"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承诺人名称（加盖CA电子公章）：</w:t>
      </w:r>
      <w:r/>
    </w:p>
    <w:p>
      <w:pPr>
        <w:jc w:val="right"/>
        <w:pageBreakBefore w:val="0"/>
        <w:spacing w:beforeAutospacing="0"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jc w:val="right"/>
        <w:pageBreakBefore w:val="0"/>
        <w:spacing w:beforeAutospacing="0"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附件4            </w:t>
      </w:r>
      <w:r/>
    </w:p>
    <w:p>
      <w:pPr>
        <w:jc w:val="center"/>
        <w:pageBreakBefore w:val="0"/>
        <w:spacing w:beforeAutospacing="0"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先生/女士： 现任我单位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职务，为法定代表人，特此证明。</w:t>
      </w:r>
      <w:r/>
    </w:p>
    <w:p>
      <w:pPr>
        <w:ind w:firstLine="480"/>
        <w:pageBreakBefore w:val="0"/>
        <w:spacing w:before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4"/>
          <w:highlight w:val="none"/>
        </w:rPr>
        <w:t xml:space="preserve">注：提供法定代表人的身份证扫描件</w:t>
      </w:r>
      <w:r>
        <w:rPr>
          <w:rFonts w:hint="eastAsia" w:ascii="宋体" w:hAnsi="宋体" w:eastAsia="宋体" w:cs="宋体"/>
          <w:bCs/>
          <w:color w:val="auto"/>
          <w:sz w:val="24"/>
          <w:szCs w:val="21"/>
          <w:highlight w:val="none"/>
        </w:rPr>
        <w:t xml:space="preserve">（加盖CA电子公章）</w:t>
      </w: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1"/>
          <w:highlight w:val="none"/>
        </w:rPr>
        <w:t xml:space="preserve">附件5            </w:t>
      </w:r>
      <w:r/>
    </w:p>
    <w:p>
      <w:pPr>
        <w:ind w:firstLine="480"/>
        <w:jc w:val="center"/>
        <w:pageBreakBefore w:val="0"/>
        <w:spacing w:beforeAutospacing="0" w:line="440" w:lineRule="exact"/>
        <w:rPr>
          <w:rFonts w:hint="eastAsia" w:ascii="宋体" w:hAnsi="宋体" w:eastAsia="宋体" w:cs="宋体"/>
          <w:bCs/>
          <w:color w:val="auto"/>
          <w:sz w:val="24"/>
          <w:szCs w:val="21"/>
          <w:highlight w:val="none"/>
        </w:rPr>
      </w:pPr>
      <w:r>
        <w:rPr>
          <w:rFonts w:hint="eastAsia" w:ascii="宋体" w:hAnsi="宋体" w:eastAsia="宋体" w:cs="宋体"/>
          <w:b/>
          <w:color w:val="auto"/>
          <w:sz w:val="24"/>
          <w:szCs w:val="21"/>
          <w:highlight w:val="none"/>
        </w:rPr>
        <w:t xml:space="preserve">法人授权书</w:t>
      </w:r>
      <w:r/>
    </w:p>
    <w:p>
      <w:pPr>
        <w:ind w:firstLine="480"/>
        <w:pageBreakBefore w:val="0"/>
        <w:spacing w:beforeAutospacing="0"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pageBreakBefore w:val="0"/>
        <w:spacing w:beforeAutospacing="0"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ageBreakBefore w:val="0"/>
        <w:spacing w:beforeAutospacing="0" w:line="44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ageBreakBefore w:val="0"/>
        <w:spacing w:beforeAutospacing="0" w:line="44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480"/>
        <w:pageBreakBefore w:val="0"/>
        <w:spacing w:beforeAutospacing="0"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pageBreakBefore w:val="0"/>
        <w:spacing w:beforeAutospacing="0" w:line="44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0"/>
        <w:pageBreakBefore w:val="0"/>
        <w:spacing w:beforeAutospacing="0"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98" w:name="_Hlt26955070"/>
      <w:r/>
      <w:bookmarkEnd w:id="98"/>
      <w:r/>
      <w:bookmarkStart w:id="99" w:name="_格式3__银行出具的资信证明"/>
      <w:r/>
      <w:bookmarkEnd w:id="99"/>
      <w:r/>
      <w:bookmarkStart w:id="100" w:name="_Hlt26671380"/>
      <w:r/>
      <w:bookmarkEnd w:id="100"/>
      <w:r>
        <w:rPr>
          <w:rFonts w:hint="eastAsia" w:ascii="宋体" w:hAnsi="宋体" w:eastAsia="宋体" w:cs="宋体"/>
          <w:color w:val="auto"/>
          <w:sz w:val="24"/>
          <w:szCs w:val="24"/>
          <w:highlight w:val="none"/>
          <w:u w:val="single"/>
        </w:rPr>
        <w:t xml:space="preserve">                                            </w:t>
      </w:r>
      <w:r/>
    </w:p>
    <w:p>
      <w:pPr>
        <w:keepLines/>
        <w:keepNext/>
        <w:pageBreakBefore w:val="0"/>
        <w:spacing w:beforeAutospacing="0" w:line="440" w:lineRule="exact"/>
        <w:rPr>
          <w:rFonts w:hint="eastAsia" w:ascii="宋体" w:hAnsi="宋体" w:eastAsia="宋体" w:cs="宋体"/>
          <w:b/>
          <w:color w:val="auto"/>
          <w:sz w:val="24"/>
          <w:szCs w:val="44"/>
          <w:highlight w:val="none"/>
        </w:rPr>
      </w:pPr>
      <w:r>
        <w:rPr>
          <w:rFonts w:hint="eastAsia" w:ascii="宋体" w:hAnsi="宋体" w:eastAsia="宋体" w:cs="宋体"/>
          <w:b/>
          <w:color w:val="auto"/>
          <w:sz w:val="24"/>
          <w:szCs w:val="44"/>
          <w:highlight w:val="none"/>
        </w:rPr>
      </w:r>
      <w:r/>
    </w:p>
    <w:p>
      <w:pPr>
        <w:ind w:firstLine="480"/>
        <w:jc w:val="left"/>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Cs/>
          <w:color w:val="auto"/>
          <w:sz w:val="24"/>
          <w:szCs w:val="44"/>
          <w:highlight w:val="none"/>
        </w:rPr>
        <w:t xml:space="preserve">注：提供被授权人身份证扫描件（加盖CA电子公章）</w:t>
      </w:r>
      <w:r>
        <w:rPr>
          <w:rFonts w:hint="eastAsia" w:ascii="宋体" w:hAnsi="宋体" w:eastAsia="宋体" w:cs="宋体"/>
          <w:bCs/>
          <w:color w:val="auto"/>
          <w:sz w:val="24"/>
          <w:szCs w:val="44"/>
          <w:highlight w:val="none"/>
        </w:rPr>
        <w:br w:type="page" w:clear="all"/>
      </w:r>
      <w:r>
        <w:rPr>
          <w:rFonts w:hint="eastAsia" w:ascii="宋体" w:hAnsi="宋体" w:eastAsia="宋体" w:cs="宋体"/>
          <w:b/>
          <w:color w:val="auto"/>
          <w:sz w:val="24"/>
          <w:szCs w:val="21"/>
          <w:highlight w:val="none"/>
        </w:rPr>
        <w:t xml:space="preserve">附件6                            </w:t>
      </w:r>
      <w:r/>
    </w:p>
    <w:p>
      <w:pPr>
        <w:ind w:firstLine="480"/>
        <w:jc w:val="center"/>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投标函</w:t>
      </w:r>
      <w:r/>
    </w:p>
    <w:p>
      <w:pPr>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致：江苏省通州湾江海联动开发示范区公共资源交易中心</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，正式授权下述被授权人_____(姓名)代表我方_______（投标人的名称），全权处理本次项目投标的有关事宜。</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据此函，被授权人_____(姓名)兹宣布同意如下：</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规定的各项要求，向买方提供所需货物（包含与货物相关的服务）。</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及其有效补充文件，我们知道必须放弃提出含糊不清或误解问题的权利。</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的规定，严格履行合同的责任和义务,并保证在</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规定的时间完成项目，交付买方验收、使用。</w:t>
      </w:r>
      <w:r/>
    </w:p>
    <w:p>
      <w:pPr>
        <w:ind w:left="425"/>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pageBreakBefore w:val="0"/>
        <w:spacing w:beforeAutospacing="0" w:line="440" w:lineRule="exact"/>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地          址：</w:t>
      </w:r>
      <w:r>
        <w:rPr>
          <w:rFonts w:hint="eastAsia" w:ascii="宋体" w:hAnsi="宋体" w:eastAsia="宋体" w:cs="宋体"/>
          <w:color w:val="auto"/>
          <w:sz w:val="24"/>
          <w:szCs w:val="21"/>
          <w:highlight w:val="none"/>
          <w:u w:val="single"/>
        </w:rPr>
        <w:t xml:space="preserve">                         </w:t>
      </w:r>
      <w:r/>
    </w:p>
    <w:p>
      <w:pPr>
        <w:ind w:left="420"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rPr>
          <w:rFonts w:hint="eastAsia" w:ascii="宋体" w:hAnsi="宋体" w:eastAsia="宋体" w:cs="宋体"/>
          <w:color w:val="auto"/>
          <w:sz w:val="24"/>
          <w:szCs w:val="21"/>
          <w:highlight w:val="none"/>
          <w:u w:val="single"/>
        </w:rPr>
        <w:t xml:space="preserve">                         </w:t>
      </w:r>
      <w:r/>
    </w:p>
    <w:p>
      <w:pPr>
        <w:ind w:left="420"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rPr>
          <w:rFonts w:hint="eastAsia" w:ascii="宋体" w:hAnsi="宋体" w:eastAsia="宋体" w:cs="宋体"/>
          <w:color w:val="auto"/>
          <w:sz w:val="24"/>
          <w:szCs w:val="21"/>
          <w:highlight w:val="none"/>
          <w:u w:val="single"/>
        </w:rPr>
        <w:t xml:space="preserve">                         </w:t>
      </w:r>
      <w:r/>
    </w:p>
    <w:p>
      <w:pPr>
        <w:ind w:left="420"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rPr>
          <w:rFonts w:hint="eastAsia" w:ascii="宋体" w:hAnsi="宋体" w:eastAsia="宋体" w:cs="宋体"/>
          <w:color w:val="auto"/>
          <w:sz w:val="24"/>
          <w:szCs w:val="21"/>
          <w:highlight w:val="none"/>
          <w:u w:val="single"/>
        </w:rPr>
        <w:t xml:space="preserve">                         </w:t>
      </w:r>
      <w:r/>
    </w:p>
    <w:p>
      <w:pPr>
        <w:ind w:left="420"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rPr>
          <w:rFonts w:hint="eastAsia" w:ascii="宋体" w:hAnsi="宋体" w:eastAsia="宋体" w:cs="宋体"/>
          <w:color w:val="auto"/>
          <w:sz w:val="24"/>
          <w:szCs w:val="21"/>
          <w:highlight w:val="none"/>
          <w:u w:val="single"/>
        </w:rPr>
        <w:t xml:space="preserve">                           </w:t>
      </w:r>
      <w:r/>
    </w:p>
    <w:p>
      <w:pPr>
        <w:ind w:left="420"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 </w:t>
      </w:r>
      <w:r/>
    </w:p>
    <w:p>
      <w:pPr>
        <w:ind w:left="420" w:firstLine="480"/>
        <w:jc w:val="left"/>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期：_____年____月____日</w:t>
      </w:r>
      <w:r/>
    </w:p>
    <w:p>
      <w:pPr>
        <w:ind w:firstLine="240"/>
        <w:jc w:val="center"/>
        <w:pageBreakBefore w:val="0"/>
        <w:spacing w:beforeAutospacing="0"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left"/>
        <w:pageBreakBefore w:val="0"/>
        <w:spacing w:beforeAutospacing="0" w:line="440" w:lineRule="exact"/>
        <w:rPr>
          <w:rFonts w:hint="eastAsia" w:ascii="宋体" w:hAnsi="宋体" w:eastAsia="宋体" w:cs="宋体"/>
          <w:b/>
          <w:color w:val="auto"/>
          <w:sz w:val="24"/>
          <w:szCs w:val="21"/>
          <w:highlight w:val="none"/>
        </w:rPr>
      </w:pPr>
      <w:r>
        <w:rPr>
          <w:rFonts w:hint="eastAsia" w:ascii="宋体" w:hAnsi="宋体" w:eastAsia="宋体" w:cs="宋体"/>
          <w:bCs/>
          <w:color w:val="auto"/>
          <w:sz w:val="24"/>
          <w:szCs w:val="21"/>
          <w:highlight w:val="none"/>
        </w:rPr>
        <w:br w:type="page" w:clear="all"/>
      </w:r>
      <w:r>
        <w:rPr>
          <w:rFonts w:hint="eastAsia" w:ascii="宋体" w:hAnsi="宋体" w:eastAsia="宋体" w:cs="宋体"/>
          <w:b/>
          <w:color w:val="auto"/>
          <w:sz w:val="24"/>
          <w:szCs w:val="21"/>
          <w:highlight w:val="none"/>
        </w:rPr>
        <w:t xml:space="preserve">附件7</w:t>
      </w:r>
      <w:r/>
    </w:p>
    <w:p>
      <w:pPr>
        <w:jc w:val="center"/>
        <w:pageBreakBefore w:val="0"/>
        <w:spacing w:beforeAutospacing="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24"/>
          <w:szCs w:val="21"/>
          <w:highlight w:val="none"/>
        </w:rPr>
        <w:t xml:space="preserve">中小企业声明函（服务）</w:t>
      </w:r>
      <w:r/>
    </w:p>
    <w:p>
      <w:pPr>
        <w:ind w:firstLine="36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pageBreakBefore w:val="0"/>
        <w:spacing w:before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360"/>
        <w:pageBreakBefore w:val="0"/>
        <w:spacing w:before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36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480" w:firstLine="504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1、如项目类型为“服务”，请按照此格式填写。</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4、投标人自行勾选承接企业的企业规模类型。</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jc w:val="left"/>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附件8</w:t>
      </w:r>
      <w:r/>
    </w:p>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残疾人福利性单位声明函（服务）</w:t>
      </w:r>
      <w:r/>
    </w:p>
    <w:p>
      <w:pPr>
        <w:ind w:firstLine="36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项目采购活动由本单位提供服务。</w:t>
      </w:r>
      <w:r/>
    </w:p>
    <w:p>
      <w:pPr>
        <w:ind w:firstLine="36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1、如项目类型为“服务”，请按照此格式填写。</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2、专门面向中小微型企业采购的项目，投标人为残疾人福利性单位并提供服务的必须提供此声明函，否则将不能通过资格审查。</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非专门面向中小微型企业采购的项目，投标人如不提供此声明函，价格将不做相应扣除。</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4、中标人为残疾人福利性单位的，此声明函将随中标结果同时公告，接受社会监督。</w:t>
      </w:r>
      <w:r/>
    </w:p>
    <w:p>
      <w:pPr>
        <w:ind w:firstLine="624"/>
        <w:pageBreakBefore w:val="0"/>
        <w:spacing w:beforeAutospacing="0" w:line="44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pageBreakBefore w:val="0"/>
        <w:spacing w:beforeAutospacing="0" w:line="440"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59" w:firstLine="480"/>
        <w:jc w:val="center"/>
        <w:pageBreakBefore w:val="0"/>
        <w:spacing w:beforeAutospacing="0" w:line="440"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pageBreakBefore w:val="0"/>
        <w:spacing w:beforeAutospacing="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附件9</w:t>
      </w:r>
      <w:r/>
    </w:p>
    <w:p>
      <w:pPr>
        <w:jc w:val="center"/>
        <w:pageBreakBefore w:val="0"/>
        <w:spacing w:before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监狱和戒毒企业证明材料</w:t>
      </w:r>
      <w:r/>
    </w:p>
    <w:p>
      <w:pPr>
        <w:ind w:firstLine="495"/>
        <w:pageBreakBefore w:val="0"/>
        <w:spacing w:before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pageBreakBefore w:val="0"/>
        <w:spacing w:before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（格式自拟）</w:t>
      </w:r>
      <w:r/>
    </w:p>
    <w:p>
      <w:pPr>
        <w:ind w:firstLine="495"/>
        <w:pageBreakBefore w:val="0"/>
        <w:spacing w:before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p>
      <w:pPr>
        <w:ind w:firstLine="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专门面向中小微型企业采购的项目，投标人如不提供此证明材料，则不能通过资格审查；非专门面向中小微型企业采购的项目，投标人如不提供此证明材料，价格将不做相应扣除。</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p>
    <w:p>
      <w:pPr>
        <w:ind w:firstLine="480"/>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pageBreakBefore w:val="0"/>
        <w:spacing w:beforeAutospacing="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ageBreakBefore w:val="0"/>
        <w:spacing w:beforeAutospacing="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241"/>
        <w:jc w:val="left"/>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附件10 </w:t>
      </w:r>
      <w:r/>
    </w:p>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技术要求响应及偏离表</w:t>
      </w:r>
      <w:r/>
    </w:p>
    <w:p>
      <w:pPr>
        <w:ind w:firstLine="480"/>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70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497"/>
        <w:gridCol w:w="2180"/>
        <w:gridCol w:w="2814"/>
        <w:gridCol w:w="1549"/>
      </w:tblGrid>
      <w:tr>
        <w:trPr>
          <w:trHeight w:val="994"/>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要求的技术要求</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投标文件响应情况</w:t>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rHeight w:val="414"/>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8"/>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附件10-1  证明材料1，证明材料2，……</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contextualSpacing/>
        <w:pageBreakBefore w:val="0"/>
        <w:spacing w:beforeAutospacing="0" w:line="440" w:lineRule="exact"/>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 投标人提交的投标文件中与</w:t>
      </w:r>
      <w:r>
        <w:rPr>
          <w:rFonts w:hint="eastAsia" w:ascii="宋体" w:hAnsi="宋体" w:eastAsia="宋体" w:cs="宋体"/>
          <w:b/>
          <w:bCs/>
          <w:color w:val="auto"/>
          <w:sz w:val="24"/>
          <w:szCs w:val="21"/>
          <w:highlight w:val="none"/>
          <w:lang w:eastAsia="zh-CN"/>
        </w:rPr>
        <w:t xml:space="preserve">采购文件</w:t>
      </w:r>
      <w:r>
        <w:rPr>
          <w:rFonts w:hint="eastAsia" w:ascii="宋体" w:hAnsi="宋体" w:eastAsia="宋体" w:cs="宋体"/>
          <w:b/>
          <w:bCs/>
          <w:color w:val="auto"/>
          <w:sz w:val="24"/>
          <w:szCs w:val="21"/>
          <w:highlight w:val="none"/>
        </w:rPr>
        <w:t xml:space="preserve">第四章“采购需求”中的技术要求如有偏离的，应逐条填列在偏离表中。</w:t>
      </w:r>
      <w:r>
        <w:rPr>
          <w:rFonts w:hint="eastAsia" w:ascii="宋体" w:hAnsi="宋体" w:eastAsia="宋体" w:cs="宋体"/>
          <w:b/>
          <w:bCs/>
          <w:color w:val="auto"/>
          <w:sz w:val="24"/>
          <w:szCs w:val="24"/>
          <w:highlight w:val="none"/>
        </w:rPr>
        <w:t xml:space="preserve">如果</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要求提供证明材料，投标人需将证明材料列于该表之下。</w:t>
      </w:r>
      <w:r/>
    </w:p>
    <w:p>
      <w:pPr>
        <w:contextualSpacing/>
        <w:pageBreakBefore w:val="0"/>
        <w:spacing w:beforeAutospacing="0"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2.“偏离说明”一栏选择“正偏离”、“无偏离”、“负偏离”进行填写。未填写的内容视为完全响应本</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要求。正偏离、无偏离的确认和负偏离是否响应</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，由评委会认定。</w:t>
      </w:r>
      <w:r/>
    </w:p>
    <w:p>
      <w:pPr>
        <w:pStyle w:val="728"/>
        <w:pageBreakBefore w:val="0"/>
        <w:spacing w:before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附件11 </w:t>
      </w:r>
      <w:r/>
    </w:p>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p>
    <w:p>
      <w:pPr>
        <w:ind w:firstLine="480"/>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70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497"/>
        <w:gridCol w:w="2180"/>
        <w:gridCol w:w="2814"/>
        <w:gridCol w:w="1549"/>
      </w:tblGrid>
      <w:tr>
        <w:trPr>
          <w:trHeight w:val="994"/>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要求的商务条款</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投标文件响应情况</w:t>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rHeight w:val="414"/>
        </w:trPr>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8"/>
        </w:trPr>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95"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left"/>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附件11-1  证明材料1，证明材料2，……</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投标人提交的投标文件中与</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第四章“采购需求”中的商务要求如有偏离的，应逐条填列在偏离表中。如果</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要求提供证明材料，投标人需将证明材料列于该表之下。</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2.“偏离说明”一栏选择“正偏离”、“无偏离”、“负偏离”进行填写。未填写的内容视为完全响应本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要求。正偏离、无偏离的确认和负偏离是否响应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，由评委会认定。</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beforeAutospacing="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beforeAutospacing="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Cs/>
          <w:sz w:val="24"/>
          <w:szCs w:val="24"/>
          <w:highlight w:val="none"/>
          <w:lang w:eastAsia="zh-CN" w:bidi="ar"/>
        </w:rPr>
      </w:pPr>
      <w:r>
        <w:rPr>
          <w:rFonts w:hint="eastAsia" w:ascii="宋体" w:hAnsi="宋体" w:eastAsia="宋体" w:cs="宋体"/>
          <w:bCs/>
          <w:sz w:val="24"/>
          <w:szCs w:val="24"/>
          <w:highlight w:val="none"/>
          <w:lang w:bidi="ar"/>
        </w:rPr>
        <w:t xml:space="preserve">附件1</w:t>
      </w:r>
      <w:r>
        <w:rPr>
          <w:rFonts w:hint="eastAsia" w:ascii="宋体" w:hAnsi="宋体" w:eastAsia="宋体" w:cs="宋体"/>
          <w:bCs/>
          <w:sz w:val="24"/>
          <w:szCs w:val="24"/>
          <w:highlight w:val="none"/>
          <w:lang w:val="en-US" w:eastAsia="zh-CN" w:bidi="ar"/>
        </w:rPr>
        <w:t xml:space="preserve">1</w:t>
      </w:r>
      <w:r/>
    </w:p>
    <w:p>
      <w:pPr>
        <w:pageBreakBefore w:val="0"/>
        <w:spacing w:line="44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质疑函范本</w:t>
      </w:r>
      <w:r/>
    </w:p>
    <w:p>
      <w:pPr>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一、质疑供应商基本信息</w:t>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地址：邮编：</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联系人：联系电话：</w:t>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地址：邮编：</w:t>
      </w:r>
      <w:r/>
    </w:p>
    <w:p>
      <w:pPr>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二、质疑项目基本情况</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质疑项目的编号：包号：</w:t>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p>
    <w:p>
      <w:pPr>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三、质疑事项具体内容</w:t>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四、与质疑事项相关的质疑请求</w:t>
      </w:r>
      <w:r/>
    </w:p>
    <w:p>
      <w:pPr>
        <w:pageBreakBefore w:val="0"/>
        <w:spacing w:line="44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64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64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64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64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640"/>
        <w:jc w:val="left"/>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numPr>
          <w:ilvl w:val="0"/>
          <w:numId w:val="0"/>
        </w:numPr>
        <w:contextualSpacing/>
        <w:ind w:firstLine="720"/>
        <w:jc w:val="center"/>
        <w:pageBreakBefore w:val="0"/>
        <w:spacing w:line="440" w:lineRule="exact"/>
        <w:widowControl w:val="off"/>
        <w:rPr>
          <w:rFonts w:hint="eastAsia" w:ascii="宋体" w:hAnsi="宋体" w:eastAsia="宋体" w:cs="宋体"/>
          <w:b/>
          <w:bCs w:val="0"/>
          <w:sz w:val="32"/>
          <w:szCs w:val="32"/>
          <w:highlight w:val="none"/>
        </w:rPr>
        <w:outlineLvl w:val="0"/>
      </w:pPr>
      <w:r>
        <w:rPr>
          <w:rFonts w:hint="eastAsia" w:ascii="宋体" w:hAnsi="宋体" w:eastAsia="宋体" w:cs="宋体"/>
          <w:b/>
          <w:bCs w:val="0"/>
          <w:sz w:val="32"/>
          <w:szCs w:val="32"/>
          <w:highlight w:val="none"/>
          <w:lang w:val="en-US" w:eastAsia="zh-CN" w:bidi="ar-SA"/>
        </w:rPr>
        <w:t xml:space="preserve">第六部分  </w:t>
      </w:r>
      <w:r>
        <w:rPr>
          <w:rFonts w:hint="eastAsia" w:ascii="宋体" w:hAnsi="宋体" w:eastAsia="宋体" w:cs="宋体"/>
          <w:b/>
          <w:bCs w:val="0"/>
          <w:sz w:val="32"/>
          <w:szCs w:val="32"/>
          <w:highlight w:val="none"/>
        </w:rPr>
        <w:t xml:space="preserve">合同条款及格式</w:t>
      </w:r>
      <w:r/>
    </w:p>
    <w:p>
      <w:pPr>
        <w:ind w:firstLine="480"/>
        <w:pageBreakBefore w:val="0"/>
        <w:spacing w:beforeAutospacing="0" w:line="440" w:lineRule="exact"/>
        <w:widowControl w:val="off"/>
        <w:rPr>
          <w:rFonts w:hint="eastAsia" w:ascii="宋体" w:hAnsi="宋体" w:eastAsia="宋体" w:cs="宋体"/>
          <w:bCs/>
          <w:color w:val="auto"/>
          <w:sz w:val="24"/>
          <w:szCs w:val="21"/>
          <w:highlight w:val="none"/>
        </w:rPr>
      </w:pPr>
      <w:r/>
      <w:bookmarkStart w:id="101" w:name="_Toc16938559"/>
      <w:r/>
      <w:bookmarkStart w:id="102" w:name="_Toc513029243"/>
      <w:r/>
      <w:bookmarkStart w:id="103" w:name="_Toc20823315"/>
      <w:r>
        <w:rPr>
          <w:rFonts w:hint="eastAsia" w:ascii="宋体" w:hAnsi="宋体" w:eastAsia="宋体" w:cs="宋体"/>
          <w:bCs/>
          <w:color w:val="auto"/>
          <w:sz w:val="24"/>
          <w:szCs w:val="21"/>
          <w:highlight w:val="none"/>
        </w:rPr>
        <w:t xml:space="preserve">以下为中标后签定本项目合同的通用条款，中标人不得提出实质性的修改。</w:t>
      </w:r>
      <w:r/>
    </w:p>
    <w:p>
      <w:pPr>
        <w:jc w:val="center"/>
        <w:pageBreakBefore w:val="0"/>
        <w:spacing w:beforeAutospacing="0" w:line="440" w:lineRule="exact"/>
        <w:widowControl w:val="off"/>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bookmarkEnd w:id="101"/>
      <w:r/>
      <w:bookmarkEnd w:id="102"/>
      <w:r/>
      <w:bookmarkEnd w:id="103"/>
      <w:r/>
      <w:r/>
    </w:p>
    <w:p>
      <w:pPr>
        <w:jc w:val="center"/>
        <w:pageBreakBefore w:val="0"/>
        <w:spacing w:beforeAutospacing="0" w:line="440" w:lineRule="exact"/>
        <w:widowControl w:val="off"/>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jc w:val="center"/>
        <w:pageBreakBefore w:val="0"/>
        <w:spacing w:beforeAutospacing="0" w:line="440" w:lineRule="exact"/>
        <w:rPr>
          <w:rFonts w:hint="eastAsia" w:ascii="宋体" w:hAnsi="宋体" w:eastAsia="宋体" w:cs="宋体"/>
          <w:b/>
          <w:bCs/>
          <w:color w:val="auto"/>
          <w:sz w:val="30"/>
          <w:szCs w:val="20"/>
          <w:highlight w:val="none"/>
        </w:rPr>
      </w:pPr>
      <w:r>
        <w:rPr>
          <w:rFonts w:hint="eastAsia" w:ascii="宋体" w:hAnsi="宋体" w:eastAsia="宋体" w:cs="宋体"/>
          <w:b/>
          <w:color w:val="auto"/>
          <w:sz w:val="30"/>
          <w:szCs w:val="21"/>
          <w:highlight w:val="none"/>
        </w:rPr>
        <w:t xml:space="preserve">江苏省政府采购合同（服务）（合同编号）</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通州湾示范区灯塔区域2026年度管理服务项目</w:t>
      </w:r>
      <w:r>
        <w:rPr>
          <w:rFonts w:hint="eastAsia" w:ascii="宋体" w:hAnsi="宋体" w:eastAsia="宋体" w:cs="宋体"/>
          <w:color w:val="auto"/>
          <w:sz w:val="24"/>
          <w:szCs w:val="24"/>
          <w:highlight w:val="none"/>
        </w:rPr>
        <w:t xml:space="preserve">                   </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lang w:val="en-US" w:eastAsia="zh-CN"/>
        </w:rPr>
        <w:t xml:space="preserve">                               </w:t>
      </w:r>
      <w:r/>
    </w:p>
    <w:p>
      <w:pPr>
        <w:jc w:val="both"/>
        <w:pageBreakBefore w:val="0"/>
        <w:spacing w:beforeAutospacing="0"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甲方：（买方）</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乙方：（卖方）</w:t>
      </w:r>
      <w:r>
        <w:rPr>
          <w:rFonts w:hint="eastAsia" w:ascii="宋体" w:hAnsi="宋体" w:eastAsia="宋体" w:cs="宋体"/>
          <w:color w:val="auto"/>
          <w:sz w:val="24"/>
          <w:szCs w:val="24"/>
          <w:highlight w:val="none"/>
          <w:u w:val="single"/>
          <w:lang w:val="en-US" w:eastAsia="zh-CN" w:bidi="ar-SA"/>
        </w:rPr>
        <w:t xml:space="preserve">                         </w:t>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、乙方的《投标文件》及《中标通知书》，甲乙双方同意签订本合同。具体情况及要求如下:</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一、合同内容</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标的名称：</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1.2标的质量：</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标的数量（规模）：</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1.4 履行时间（期限）：</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 履行地点：</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1.6履行方式：</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二、合同金额</w:t>
      </w:r>
      <w:r/>
    </w:p>
    <w:p>
      <w:pPr>
        <w:ind w:left="410" w:hanging="41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本合同金额为（大写）：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元）人民币或其他币种。</w:t>
      </w:r>
      <w:r/>
    </w:p>
    <w:p>
      <w:pPr>
        <w:jc w:val="both"/>
        <w:pageBreakBefore w:val="0"/>
        <w:spacing w:beforeAutospacing="0" w:line="44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2.2服务费包括以下内容： </w:t>
      </w:r>
      <w:r/>
    </w:p>
    <w:p>
      <w:pPr>
        <w:ind w:firstLine="480"/>
        <w:jc w:val="left"/>
        <w:keepLines w:val="0"/>
        <w:keepNext w:val="0"/>
        <w:pageBreakBefore w:val="0"/>
        <w:spacing w:beforeAutospacing="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本次报价应包括以下内容：</w:t>
      </w:r>
      <w:r>
        <w:rPr>
          <w:rFonts w:hint="eastAsia" w:ascii="宋体" w:hAnsi="宋体" w:eastAsia="宋体" w:cs="宋体"/>
          <w:color w:val="auto"/>
          <w:sz w:val="24"/>
          <w:szCs w:val="24"/>
          <w:highlight w:val="none"/>
          <w:lang w:val="en-US" w:eastAsia="zh-CN"/>
        </w:rPr>
        <w:t xml:space="preserve">本合同为固定总价合同，</w:t>
      </w:r>
      <w:r>
        <w:rPr>
          <w:rFonts w:hint="eastAsia" w:ascii="宋体" w:hAnsi="宋体" w:eastAsia="宋体" w:cs="宋体"/>
          <w:b w:val="0"/>
          <w:bCs w:val="0"/>
          <w:color w:val="auto"/>
          <w:sz w:val="24"/>
          <w:szCs w:val="24"/>
          <w:highlight w:val="none"/>
          <w:lang w:val="en-US" w:eastAsia="zh-CN"/>
        </w:rPr>
        <w:t xml:space="preserve">本合同约定的费用</w:t>
      </w:r>
      <w:r>
        <w:rPr>
          <w:rFonts w:hint="eastAsia" w:ascii="宋体" w:hAnsi="宋体" w:eastAsia="宋体" w:cs="宋体"/>
          <w:b w:val="0"/>
          <w:bCs w:val="0"/>
          <w:color w:val="auto"/>
          <w:sz w:val="24"/>
          <w:szCs w:val="24"/>
          <w:highlight w:val="none"/>
          <w:lang w:eastAsia="zh-CN"/>
        </w:rPr>
        <w:t xml:space="preserve">包括</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eastAsia="zh-CN"/>
        </w:rPr>
        <w:t xml:space="preserve">完成本项目的所有工作内容</w:t>
      </w:r>
      <w:r>
        <w:rPr>
          <w:rFonts w:hint="eastAsia" w:ascii="宋体" w:hAnsi="宋体" w:eastAsia="宋体" w:cs="宋体"/>
          <w:b w:val="0"/>
          <w:bCs w:val="0"/>
          <w:color w:val="auto"/>
          <w:sz w:val="24"/>
          <w:szCs w:val="24"/>
          <w:highlight w:val="none"/>
          <w:lang w:val="en-US" w:eastAsia="zh-CN"/>
        </w:rPr>
        <w:t xml:space="preserve">和条件</w:t>
      </w:r>
      <w:r>
        <w:rPr>
          <w:rFonts w:hint="eastAsia" w:ascii="宋体" w:hAnsi="宋体" w:eastAsia="宋体" w:cs="宋体"/>
          <w:b w:val="0"/>
          <w:bCs w:val="0"/>
          <w:color w:val="auto"/>
          <w:sz w:val="24"/>
          <w:szCs w:val="24"/>
          <w:highlight w:val="none"/>
          <w:lang w:eastAsia="zh-CN"/>
        </w:rPr>
        <w:t xml:space="preserve">所需的人员工资及补贴福利费用、</w:t>
      </w:r>
      <w:r>
        <w:rPr>
          <w:rFonts w:hint="eastAsia" w:ascii="宋体" w:hAnsi="宋体" w:cs="宋体"/>
          <w:b w:val="0"/>
          <w:bCs w:val="0"/>
          <w:color w:val="auto"/>
          <w:sz w:val="24"/>
          <w:szCs w:val="24"/>
          <w:highlight w:val="none"/>
          <w:lang w:eastAsia="zh-CN"/>
        </w:rPr>
        <w:t xml:space="preserve">区域内</w:t>
      </w:r>
      <w:r>
        <w:rPr>
          <w:rFonts w:hint="eastAsia" w:ascii="宋体" w:hAnsi="宋体" w:eastAsia="宋体" w:cs="宋体"/>
          <w:b w:val="0"/>
          <w:bCs w:val="0"/>
          <w:color w:val="auto"/>
          <w:sz w:val="24"/>
          <w:szCs w:val="24"/>
          <w:highlight w:val="none"/>
          <w:lang w:val="en-US" w:eastAsia="zh-CN"/>
        </w:rPr>
        <w:t xml:space="preserve">全年水电费</w:t>
      </w:r>
      <w:r>
        <w:rPr>
          <w:rFonts w:hint="eastAsia" w:ascii="宋体" w:hAnsi="宋体" w:cs="宋体"/>
          <w:b w:val="0"/>
          <w:bCs w:val="0"/>
          <w:color w:val="auto"/>
          <w:sz w:val="24"/>
          <w:szCs w:val="24"/>
          <w:highlight w:val="none"/>
          <w:lang w:val="en-US" w:eastAsia="zh-CN"/>
        </w:rPr>
        <w:t xml:space="preserve">（不含三夹沙闸）</w:t>
      </w:r>
      <w:r>
        <w:rPr>
          <w:rFonts w:hint="eastAsia" w:ascii="宋体" w:hAnsi="宋体" w:eastAsia="宋体" w:cs="宋体"/>
          <w:b w:val="0"/>
          <w:bCs w:val="0"/>
          <w:color w:val="auto"/>
          <w:sz w:val="24"/>
          <w:szCs w:val="24"/>
          <w:highlight w:val="none"/>
          <w:lang w:val="en-US" w:eastAsia="zh-CN"/>
        </w:rPr>
        <w:t xml:space="preserve">、垃圾清运费、日常简易维修费、</w:t>
      </w:r>
      <w:r>
        <w:rPr>
          <w:rFonts w:hint="eastAsia" w:ascii="宋体" w:hAnsi="宋体" w:eastAsia="宋体" w:cs="宋体"/>
          <w:b w:val="0"/>
          <w:bCs w:val="0"/>
          <w:color w:val="auto"/>
          <w:sz w:val="24"/>
          <w:szCs w:val="24"/>
          <w:highlight w:val="none"/>
          <w:lang w:eastAsia="zh-CN"/>
        </w:rPr>
        <w:t xml:space="preserve">保险费、工具费、</w:t>
      </w:r>
      <w:r>
        <w:rPr>
          <w:rFonts w:hint="eastAsia" w:ascii="宋体" w:hAnsi="宋体" w:eastAsia="宋体" w:cs="宋体"/>
          <w:b w:val="0"/>
          <w:bCs w:val="0"/>
          <w:color w:val="auto"/>
          <w:sz w:val="24"/>
          <w:szCs w:val="24"/>
          <w:highlight w:val="none"/>
          <w:lang w:val="en-US" w:eastAsia="zh-CN"/>
        </w:rPr>
        <w:t xml:space="preserve">耗材、</w:t>
      </w:r>
      <w:r>
        <w:rPr>
          <w:rFonts w:hint="eastAsia" w:ascii="宋体" w:hAnsi="宋体" w:eastAsia="宋体" w:cs="宋体"/>
          <w:b w:val="0"/>
          <w:bCs w:val="0"/>
          <w:color w:val="auto"/>
          <w:sz w:val="24"/>
          <w:szCs w:val="24"/>
          <w:highlight w:val="none"/>
          <w:lang w:eastAsia="zh-CN"/>
        </w:rPr>
        <w:t xml:space="preserve">交通费、</w:t>
      </w:r>
      <w:r>
        <w:rPr>
          <w:rFonts w:hint="eastAsia" w:ascii="宋体" w:hAnsi="宋体" w:eastAsia="宋体" w:cs="宋体"/>
          <w:b w:val="0"/>
          <w:bCs w:val="0"/>
          <w:color w:val="auto"/>
          <w:sz w:val="24"/>
          <w:szCs w:val="24"/>
          <w:highlight w:val="none"/>
          <w:lang w:val="en-US" w:eastAsia="zh-CN"/>
        </w:rPr>
        <w:t xml:space="preserve">风险等</w:t>
      </w:r>
      <w:r>
        <w:rPr>
          <w:rFonts w:hint="eastAsia" w:ascii="宋体" w:hAnsi="宋体" w:eastAsia="宋体" w:cs="宋体"/>
          <w:b w:val="0"/>
          <w:bCs w:val="0"/>
          <w:color w:val="auto"/>
          <w:sz w:val="24"/>
          <w:szCs w:val="24"/>
          <w:highlight w:val="none"/>
          <w:lang w:eastAsia="zh-CN"/>
        </w:rPr>
        <w:t xml:space="preserve">相关费用以及公司取费、法定税金、利润等与履行合同有关的一切费用以及合同明示或暗示的所有一般风险责任和义务费用。</w:t>
      </w:r>
      <w:r/>
    </w:p>
    <w:p>
      <w:pPr>
        <w:ind w:firstLine="482"/>
        <w:jc w:val="left"/>
        <w:keepLines w:val="0"/>
        <w:keepNext w:val="0"/>
        <w:pageBreakBefore w:val="0"/>
        <w:spacing w:beforeAutospacing="0" w:line="440" w:lineRule="exact"/>
        <w:widowControl w:val="off"/>
        <w:rPr>
          <w:rFonts w:hint="eastAsia" w:ascii="Times New Roman" w:hAnsi="Times New Roman" w:eastAsia="宋体" w:cs="Times New Roman"/>
          <w:color w:val="auto"/>
          <w:szCs w:val="21"/>
          <w:highlight w:val="none"/>
          <w:lang w:eastAsia="zh-CN"/>
        </w:rPr>
      </w:pPr>
      <w:r>
        <w:rPr>
          <w:rFonts w:hint="eastAsia" w:ascii="宋体" w:hAnsi="宋体" w:eastAsia="宋体" w:cs="宋体"/>
          <w:b/>
          <w:bCs/>
          <w:color w:val="auto"/>
          <w:sz w:val="24"/>
          <w:szCs w:val="24"/>
          <w:highlight w:val="none"/>
          <w:lang w:val="en-US" w:eastAsia="zh-CN"/>
        </w:rPr>
        <w:t xml:space="preserve">全年垃圾清运基础费为固定费用28800元，投标报价时不得调整。</w:t>
      </w:r>
      <w:r>
        <w:rPr>
          <w:rFonts w:hint="eastAsia" w:ascii="宋体" w:hAnsi="宋体" w:cs="宋体"/>
          <w:b/>
          <w:bCs/>
          <w:color w:val="auto"/>
          <w:sz w:val="24"/>
          <w:szCs w:val="24"/>
          <w:highlight w:val="none"/>
          <w:lang w:val="en-US" w:eastAsia="zh-CN"/>
        </w:rPr>
        <w:t xml:space="preserve">由中标单位与综合执法局签订清运协议并支付至其指定账户</w:t>
      </w:r>
      <w:r>
        <w:rPr>
          <w:rFonts w:hint="eastAsia" w:ascii="宋体" w:hAnsi="宋体" w:eastAsia="宋体" w:cs="宋体"/>
          <w:b/>
          <w:bCs/>
          <w:color w:val="auto"/>
          <w:sz w:val="24"/>
          <w:szCs w:val="24"/>
          <w:highlight w:val="none"/>
          <w:lang w:val="en-US" w:eastAsia="zh-CN"/>
        </w:rPr>
        <w:t xml:space="preserve">，后期若垃圾清运基础费增加，招标人不再支付此费用，投标人在报价时需自行考虑。 </w:t>
      </w:r>
      <w:r/>
    </w:p>
    <w:p>
      <w:pPr>
        <w:ind w:firstLine="482"/>
        <w:jc w:val="both"/>
        <w:pageBreakBefore w:val="0"/>
        <w:spacing w:beforeAutospacing="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水电费（72000元）及日常简易维修费（120000元）为暂列金</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en-US" w:eastAsia="zh-CN"/>
        </w:rPr>
        <w:t xml:space="preserve">报</w:t>
      </w:r>
      <w:r>
        <w:rPr>
          <w:rFonts w:hint="eastAsia" w:ascii="宋体" w:hAnsi="宋体" w:eastAsia="宋体" w:cs="宋体"/>
          <w:b/>
          <w:bCs/>
          <w:color w:val="auto"/>
          <w:sz w:val="24"/>
          <w:szCs w:val="24"/>
          <w:highlight w:val="none"/>
          <w:lang w:val="en-US" w:eastAsia="zh-CN"/>
        </w:rPr>
        <w:t xml:space="preserve">价时不予调整，后期按实结算。</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三、技术资料</w:t>
      </w:r>
      <w:r/>
    </w:p>
    <w:p>
      <w:pPr>
        <w:ind w:left="410" w:hanging="41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3.1乙方应按采购文件规定的时间向甲方提供服务（包含与服务相关的货物）的有关技术资料。</w:t>
      </w:r>
      <w:r/>
    </w:p>
    <w:p>
      <w:pPr>
        <w:ind w:left="410" w:hanging="41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四、知识产权</w:t>
      </w:r>
      <w:r/>
    </w:p>
    <w:p>
      <w:pPr>
        <w:ind w:left="408" w:hanging="408"/>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pageBreakBefore w:val="0"/>
        <w:spacing w:beforeAutospacing="0"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五、产权担保</w:t>
      </w:r>
      <w:r/>
    </w:p>
    <w:p>
      <w:pPr>
        <w:ind w:left="408" w:hanging="408"/>
        <w:jc w:val="both"/>
        <w:pageBreakBefore w:val="0"/>
        <w:spacing w:beforeAutospacing="0"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5.1 乙方保证所交付的服务（包含与服务相关的货物）的所有权完全属于乙方且无任何抵押、查封等产权瑕疵。</w:t>
      </w:r>
      <w:r/>
    </w:p>
    <w:p>
      <w:pPr>
        <w:ind w:left="410" w:hanging="410"/>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六、履约保证金</w:t>
      </w:r>
      <w:r/>
    </w:p>
    <w:p>
      <w:pPr>
        <w:ind w:left="408" w:hanging="408"/>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乙方交纳人民币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元作为本合同的履约保证金，履约保证金形式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408" w:hanging="408"/>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6.2合同履行结束后，甲方应及时退还交纳的履约保证金。</w:t>
      </w:r>
      <w:r/>
    </w:p>
    <w:p>
      <w:pPr>
        <w:ind w:left="408" w:hanging="408"/>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6.2.1履约保证金退还方式：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ind w:left="408" w:hanging="408"/>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6.2.2履约保证金退还时间：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6.2.3履约保证金退还条件：乙方全部履约合同义务，经甲方验收合格无质量、进度等问题的，甲方在</w:t>
      </w:r>
      <w:r>
        <w:rPr>
          <w:rFonts w:hint="eastAsia" w:ascii="宋体" w:hAnsi="宋体" w:eastAsia="宋体" w:cs="宋体"/>
          <w:color w:val="auto"/>
          <w:sz w:val="24"/>
          <w:szCs w:val="24"/>
          <w:highlight w:val="none"/>
          <w:lang w:eastAsia="zh-CN"/>
        </w:rPr>
        <w:t xml:space="preserve">服务期结束</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60日内</w:t>
      </w:r>
      <w:r>
        <w:rPr>
          <w:rFonts w:hint="eastAsia" w:ascii="宋体" w:hAnsi="宋体" w:eastAsia="宋体" w:cs="宋体"/>
          <w:color w:val="auto"/>
          <w:sz w:val="24"/>
          <w:szCs w:val="24"/>
          <w:highlight w:val="none"/>
        </w:rPr>
        <w:t xml:space="preserve">一次性退还履约保证金，甲方若逾期退还履约保证金的，按照逾期部分的每日0.05%支付违约金。</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6.2.4发生以下情况的，履约保证金不予退还或部分退还：</w:t>
      </w:r>
      <w:r/>
    </w:p>
    <w:p>
      <w:pPr>
        <w:ind w:left="480" w:hanging="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6.2.4.1 签订合同后，乙方不履行合同义务的，甲方有权全额扣除履约保证金，全额不予退还，同时甲方亦有权终止合同，乙方还须承担相应的法律赔偿责任。</w:t>
      </w:r>
      <w:r/>
    </w:p>
    <w:p>
      <w:pPr>
        <w:ind w:left="480" w:hanging="480"/>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6.2.4.2 乙方在履约过程中发生违约行为，给甲方造成损失的，甲方有权在乙方缴纳的履约保证金中予以扣款，以弥补甲方经济损失，不足的部分乙方另外补齐。</w:t>
      </w:r>
      <w:r/>
    </w:p>
    <w:p>
      <w:pPr>
        <w:ind w:left="480" w:hanging="480"/>
        <w:pageBreakBefore w:val="0"/>
        <w:spacing w:before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6.2.5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w:t>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ageBreakBefore w:val="0"/>
        <w:spacing w:before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八、合同款项支付</w:t>
      </w:r>
      <w:r/>
    </w:p>
    <w:p>
      <w:pPr>
        <w:ind w:left="480" w:hanging="480"/>
        <w:jc w:val="both"/>
        <w:pageBreakBefore w:val="0"/>
        <w:spacing w:beforeAutospacing="0" w:line="440" w:lineRule="exact"/>
        <w:widowControl w:val="off"/>
        <w:rPr>
          <w:rFonts w:hint="default" w:ascii="宋体" w:hAnsi="宋体" w:eastAsia="宋体" w:cs="宋体"/>
          <w:b/>
          <w:bCs w:val="0"/>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8.1合同款项的支付方式及进度安排：</w:t>
      </w:r>
      <w:r>
        <w:rPr>
          <w:rFonts w:hint="eastAsia" w:ascii="宋体" w:hAnsi="宋体" w:eastAsia="宋体" w:cs="宋体"/>
          <w:b/>
          <w:bCs w:val="0"/>
          <w:color w:val="auto"/>
          <w:sz w:val="24"/>
          <w:szCs w:val="24"/>
          <w:highlight w:val="none"/>
          <w:u w:val="single"/>
          <w:lang w:val="en-US" w:eastAsia="zh-CN" w:bidi="ar-SA"/>
        </w:rPr>
        <w:t xml:space="preserve">合同费用由服务费和暂列金构成。服务费中，</w:t>
      </w:r>
      <w:r>
        <w:rPr>
          <w:rFonts w:hint="eastAsia" w:ascii="宋体" w:hAnsi="宋体" w:cs="宋体"/>
          <w:b/>
          <w:bCs w:val="0"/>
          <w:color w:val="auto"/>
          <w:sz w:val="24"/>
          <w:szCs w:val="24"/>
          <w:highlight w:val="none"/>
          <w:u w:val="single"/>
          <w:lang w:val="en-US" w:eastAsia="zh-CN" w:bidi="ar-SA"/>
        </w:rPr>
        <w:t xml:space="preserve">8</w:t>
      </w:r>
      <w:r>
        <w:rPr>
          <w:rFonts w:hint="eastAsia" w:ascii="宋体" w:hAnsi="宋体" w:eastAsia="宋体" w:cs="宋体"/>
          <w:b/>
          <w:bCs w:val="0"/>
          <w:color w:val="auto"/>
          <w:sz w:val="24"/>
          <w:szCs w:val="24"/>
          <w:highlight w:val="none"/>
          <w:u w:val="single"/>
          <w:lang w:val="en-US" w:eastAsia="zh-CN" w:bidi="ar-SA"/>
        </w:rPr>
        <w:t xml:space="preserve">0%为基础费用，</w:t>
      </w:r>
      <w:r>
        <w:rPr>
          <w:rFonts w:hint="eastAsia" w:ascii="宋体" w:hAnsi="宋体" w:cs="宋体"/>
          <w:b/>
          <w:bCs w:val="0"/>
          <w:color w:val="auto"/>
          <w:sz w:val="24"/>
          <w:szCs w:val="24"/>
          <w:highlight w:val="none"/>
          <w:u w:val="singl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0%为考核费用。自合同签订之日起30日内，甲方预付6个月的基础费用。6个月期满后，甲方根据前6个月的考核情况结算相应考核费用，并支付后6个月的基础费用。服务期结束后，根据后6个月的考核情况支付考核费用。暂列金每半年审核结算一次，按实际发生额支付。</w:t>
      </w:r>
      <w:r/>
    </w:p>
    <w:p>
      <w:pPr>
        <w:pageBreakBefore w:val="0"/>
        <w:spacing w:before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jc w:val="both"/>
        <w:pageBreakBefore w:val="0"/>
        <w:spacing w:beforeAutospacing="0"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9.1本合同执行中相关的一切税费均由乙方负担。</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十、项目验收</w:t>
      </w:r>
      <w:r/>
    </w:p>
    <w:p>
      <w:pPr>
        <w:ind w:left="480" w:hanging="480"/>
        <w:jc w:val="both"/>
        <w:pageBreakBefore w:val="0"/>
        <w:spacing w:beforeAutospacing="0"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10.1 甲方依法组织履约验收工作。</w:t>
      </w:r>
      <w:r/>
    </w:p>
    <w:p>
      <w:pPr>
        <w:ind w:left="480" w:hanging="480"/>
        <w:jc w:val="both"/>
        <w:pageBreakBefore w:val="0"/>
        <w:spacing w:beforeAutospacing="0"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jc w:val="both"/>
        <w:pageBreakBefore w:val="0"/>
        <w:spacing w:beforeAutospacing="0"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10.3 对于实际使用人和甲方分离的项目，甲方邀请实际使用人参与验收。</w:t>
      </w:r>
      <w:r/>
    </w:p>
    <w:p>
      <w:pPr>
        <w:ind w:left="480" w:hanging="480"/>
        <w:jc w:val="both"/>
        <w:pageBreakBefore w:val="0"/>
        <w:spacing w:beforeAutospacing="0"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10.4 如有必要，甲方邀请参加本项目的其他供应商或第三方专业机构及专家参与验收，相关意见将作为验收书的参考资料。</w:t>
      </w:r>
      <w:r/>
    </w:p>
    <w:p>
      <w:pPr>
        <w:ind w:left="480" w:hanging="480"/>
        <w:jc w:val="both"/>
        <w:pageBreakBefore w:val="0"/>
        <w:spacing w:beforeAutospacing="0"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jc w:val="both"/>
        <w:pageBreakBefore w:val="0"/>
        <w:spacing w:beforeAutospacing="0"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十一、违约责任</w:t>
      </w:r>
      <w:r/>
    </w:p>
    <w:p>
      <w:pPr>
        <w:ind w:left="410" w:hanging="41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bidi="ar-SA"/>
        </w:rPr>
        <w:t xml:space="preserve"> 20% </w:t>
      </w:r>
      <w:r>
        <w:rPr>
          <w:rFonts w:hint="eastAsia" w:ascii="宋体" w:hAnsi="宋体" w:eastAsia="宋体" w:cs="宋体"/>
          <w:color w:val="auto"/>
          <w:sz w:val="24"/>
          <w:szCs w:val="24"/>
          <w:highlight w:val="none"/>
          <w:lang w:val="en-US" w:eastAsia="zh-CN" w:bidi="ar-SA"/>
        </w:rPr>
        <w:t xml:space="preserve">的违约金。</w:t>
      </w:r>
      <w:r/>
    </w:p>
    <w:p>
      <w:pPr>
        <w:ind w:left="410" w:hanging="41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lang w:val="en-US" w:eastAsia="zh-CN" w:bidi="ar-SA"/>
        </w:rPr>
        <w:t xml:space="preserve">的万分之一</w:t>
      </w:r>
      <w:r>
        <w:rPr>
          <w:rFonts w:hint="eastAsia" w:ascii="宋体" w:hAnsi="宋体" w:eastAsia="宋体" w:cs="宋体"/>
          <w:color w:val="auto"/>
          <w:sz w:val="24"/>
          <w:szCs w:val="24"/>
          <w:highlight w:val="none"/>
          <w:lang w:val="en-US" w:eastAsia="zh-CN" w:bidi="ar-SA"/>
        </w:rPr>
        <w:t xml:space="preserve">每日向乙方支付违约金。</w:t>
      </w:r>
      <w:r/>
    </w:p>
    <w:p>
      <w:pPr>
        <w:ind w:left="410" w:hanging="41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乙方逾期提供服务的，乙方应按逾期提供服务合同总额每日</w:t>
      </w:r>
      <w:r>
        <w:rPr>
          <w:rFonts w:hint="eastAsia" w:ascii="宋体" w:hAnsi="宋体" w:eastAsia="宋体" w:cs="宋体"/>
          <w:color w:val="auto"/>
          <w:sz w:val="24"/>
          <w:szCs w:val="24"/>
          <w:highlight w:val="none"/>
          <w:u w:val="single"/>
          <w:lang w:val="en-US" w:eastAsia="zh-CN" w:bidi="ar-SA"/>
        </w:rPr>
        <w:t xml:space="preserve"> 千分之六 </w:t>
      </w:r>
      <w:r>
        <w:rPr>
          <w:rFonts w:hint="eastAsia" w:ascii="宋体" w:hAnsi="宋体" w:eastAsia="宋体" w:cs="宋体"/>
          <w:color w:val="auto"/>
          <w:sz w:val="24"/>
          <w:szCs w:val="24"/>
          <w:highlight w:val="none"/>
          <w:lang w:val="en-US" w:eastAsia="zh-CN" w:bidi="ar-SA"/>
        </w:rPr>
        <w:t xml:space="preserve">向甲方支付违约金，由甲方从待付合同款项中扣除。逾期超过约定日期</w:t>
      </w:r>
      <w:r>
        <w:rPr>
          <w:rFonts w:hint="eastAsia" w:ascii="宋体" w:hAnsi="宋体" w:eastAsia="宋体" w:cs="宋体"/>
          <w:color w:val="auto"/>
          <w:sz w:val="24"/>
          <w:szCs w:val="24"/>
          <w:highlight w:val="none"/>
          <w:u w:val="single"/>
          <w:lang w:val="en-US" w:eastAsia="zh-CN" w:bidi="ar-SA"/>
        </w:rPr>
        <w:t xml:space="preserve"> 10 </w:t>
      </w:r>
      <w:r>
        <w:rPr>
          <w:rFonts w:hint="eastAsia" w:ascii="宋体" w:hAnsi="宋体" w:eastAsia="宋体" w:cs="宋体"/>
          <w:color w:val="auto"/>
          <w:sz w:val="24"/>
          <w:szCs w:val="24"/>
          <w:highlight w:val="none"/>
          <w:lang w:val="en-US" w:eastAsia="zh-CN" w:bidi="ar-SA"/>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的违约金，如造成甲方损失超过违约金的，超出部分由乙方继续承担赔偿责任。 </w:t>
      </w:r>
      <w:r/>
    </w:p>
    <w:p>
      <w:pPr>
        <w:ind w:left="410" w:hanging="41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 乙方所提供服务的标准不符合合同规定及采购文件规定标准的，甲方有权拒绝接受服务，并可单方面解除合同。</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十二、不可抗力事件处理</w:t>
      </w:r>
      <w:r/>
    </w:p>
    <w:p>
      <w:pPr>
        <w:ind w:left="480" w:hanging="48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在合同有效期内，任何一方因不可抗力事件导致不能履行合同，则合同履行期可延长，其延长期与不可抗力影响 期相同。</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 不可抗力事件发生后，应立即通知对方，并寄送有关权威机构出具的证明。</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不可抗力事件延续</w:t>
      </w:r>
      <w:r>
        <w:rPr>
          <w:rFonts w:hint="eastAsia" w:ascii="宋体" w:hAnsi="宋体" w:eastAsia="宋体" w:cs="宋体"/>
          <w:color w:val="auto"/>
          <w:sz w:val="24"/>
          <w:szCs w:val="24"/>
          <w:highlight w:val="none"/>
          <w:u w:val="single"/>
          <w:lang w:val="en-US" w:eastAsia="zh-CN" w:bidi="ar-SA"/>
        </w:rPr>
        <w:t xml:space="preserve"> 120 </w:t>
      </w:r>
      <w:r>
        <w:rPr>
          <w:rFonts w:hint="eastAsia" w:ascii="宋体" w:hAnsi="宋体" w:eastAsia="宋体" w:cs="宋体"/>
          <w:color w:val="auto"/>
          <w:sz w:val="24"/>
          <w:szCs w:val="24"/>
          <w:highlight w:val="none"/>
          <w:lang w:val="en-US" w:eastAsia="zh-CN" w:bidi="ar-SA"/>
        </w:rPr>
        <w:t xml:space="preserve">天以上，双方应通过友好协商，确定是否继续履行合同。</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十三、解决争议的方法</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13.1双方在签订、履行合同中所发生的一切争议，应通过友好协商解决。如协商不成，由甲方住所地人民法院管辖。</w:t>
      </w:r>
      <w:r/>
    </w:p>
    <w:p>
      <w:pPr>
        <w:jc w:val="both"/>
        <w:pageBreakBefore w:val="0"/>
        <w:spacing w:beforeAutospacing="0"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十四、合同生效及其它</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合同经双方法定代表人或授权委托代表人签字并加盖单位公章后生效。</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14.2本合同未尽事宜，遵照中华人民共和国现行法律法规有关条文执行。</w:t>
      </w:r>
      <w:r/>
    </w:p>
    <w:p>
      <w:pPr>
        <w:ind w:left="480" w:hanging="48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本合同正本一式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份，具有同等法律效力。</w:t>
      </w:r>
      <w:r/>
    </w:p>
    <w:p>
      <w:pPr>
        <w:ind w:left="480" w:hanging="480"/>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甲方：                        乙方： </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地址：                        地址： </w:t>
      </w:r>
      <w:r/>
    </w:p>
    <w:p>
      <w:pPr>
        <w:jc w:val="both"/>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法定代表人或授权代表：        法定代表人或授权代表：</w:t>
      </w:r>
      <w:r/>
    </w:p>
    <w:p>
      <w:pPr>
        <w:ind w:firstLine="240"/>
        <w:jc w:val="both"/>
        <w:pageBreakBefore w:val="0"/>
        <w:spacing w:beforeAutospacing="0"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                    联系电话：          </w:t>
      </w:r>
      <w:r/>
    </w:p>
    <w:p>
      <w:pPr>
        <w:jc w:val="center"/>
        <w:pageBreakBefore w:val="0"/>
        <w:spacing w:before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签订日期：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年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日</w:t>
      </w:r>
      <w:bookmarkStart w:id="104" w:name="_Hlt16619369"/>
      <w:r/>
      <w:bookmarkEnd w:id="104"/>
      <w:r/>
      <w:r/>
    </w:p>
    <w:p>
      <w:pPr>
        <w:jc w:val="center"/>
        <w:pageBreakBefore w:val="0"/>
        <w:spacing w:beforeAutospacing="0"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300" w:right="300"/>
        <w:jc w:val="center"/>
        <w:pageBreakBefore w:val="0"/>
        <w:spacing w:beforeAutospacing="0" w:line="440" w:lineRule="exact"/>
        <w:widowControl/>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（以下为中标后签定本项目合同的特定条款）</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服务的基本情况</w:t>
      </w:r>
      <w:r/>
    </w:p>
    <w:p>
      <w:pPr>
        <w:ind w:firstLine="482"/>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一、服务范围：</w:t>
      </w:r>
      <w:r>
        <w:rPr>
          <w:rFonts w:hint="eastAsia" w:ascii="宋体" w:hAnsi="宋体" w:eastAsia="宋体" w:cs="宋体"/>
          <w:color w:val="auto"/>
          <w:sz w:val="24"/>
          <w:szCs w:val="24"/>
          <w:highlight w:val="none"/>
          <w:lang w:eastAsia="zh-CN"/>
        </w:rPr>
        <w:t xml:space="preserve">服务范围涵盖灯塔区域内全部公共区域及设施，包含约3万平方米沙滩区域，以及后续可能拓展的</w:t>
      </w:r>
      <w:r>
        <w:rPr>
          <w:rFonts w:hint="eastAsia" w:ascii="宋体" w:hAnsi="宋体" w:cs="宋体"/>
          <w:color w:val="auto"/>
          <w:sz w:val="24"/>
          <w:szCs w:val="24"/>
          <w:highlight w:val="none"/>
          <w:lang w:eastAsia="zh-CN"/>
        </w:rPr>
        <w:t xml:space="preserve">公共</w:t>
      </w:r>
      <w:r>
        <w:rPr>
          <w:rFonts w:hint="eastAsia" w:ascii="宋体" w:hAnsi="宋体" w:eastAsia="宋体" w:cs="宋体"/>
          <w:color w:val="auto"/>
          <w:sz w:val="24"/>
          <w:szCs w:val="24"/>
          <w:highlight w:val="none"/>
          <w:lang w:eastAsia="zh-CN"/>
        </w:rPr>
        <w:t xml:space="preserve">服务范围和各类入驻项目所涉</w:t>
      </w:r>
      <w:r>
        <w:rPr>
          <w:rFonts w:hint="eastAsia" w:ascii="宋体" w:hAnsi="宋体" w:cs="宋体"/>
          <w:color w:val="auto"/>
          <w:sz w:val="24"/>
          <w:szCs w:val="24"/>
          <w:highlight w:val="none"/>
          <w:lang w:eastAsia="zh-CN"/>
        </w:rPr>
        <w:t xml:space="preserve">公共</w:t>
      </w:r>
      <w:r>
        <w:rPr>
          <w:rFonts w:hint="eastAsia" w:ascii="宋体" w:hAnsi="宋体" w:eastAsia="宋体" w:cs="宋体"/>
          <w:color w:val="auto"/>
          <w:sz w:val="24"/>
          <w:szCs w:val="24"/>
          <w:highlight w:val="none"/>
          <w:lang w:eastAsia="zh-CN"/>
        </w:rPr>
        <w:t xml:space="preserve">区域</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二、项目地点：</w:t>
      </w:r>
      <w:r>
        <w:rPr>
          <w:rFonts w:hint="eastAsia" w:ascii="宋体" w:hAnsi="宋体" w:eastAsia="宋体" w:cs="宋体"/>
          <w:color w:val="auto"/>
          <w:sz w:val="24"/>
          <w:szCs w:val="24"/>
          <w:highlight w:val="none"/>
          <w:lang w:val="en-US" w:eastAsia="zh-CN"/>
        </w:rPr>
        <w:t xml:space="preserve">灯塔区域（含海堤西道闸与海堤东道闸之间全部范围</w:t>
      </w:r>
      <w:r>
        <w:rPr>
          <w:rFonts w:hint="eastAsia" w:ascii="宋体" w:hAnsi="宋体" w:cs="宋体"/>
          <w:color w:val="auto"/>
          <w:sz w:val="24"/>
          <w:szCs w:val="24"/>
          <w:highlight w:val="none"/>
          <w:lang w:val="en-US" w:eastAsia="zh-CN"/>
        </w:rPr>
        <w:t xml:space="preserve">及涉及灯塔形象的部分延伸区域</w:t>
      </w:r>
      <w:r>
        <w:rPr>
          <w:rFonts w:hint="eastAsia" w:ascii="宋体" w:hAnsi="宋体" w:eastAsia="宋体" w:cs="宋体"/>
          <w:color w:val="auto"/>
          <w:sz w:val="24"/>
          <w:szCs w:val="24"/>
          <w:highlight w:val="none"/>
          <w:lang w:val="en-US" w:eastAsia="zh-CN"/>
        </w:rPr>
        <w:t xml:space="preserve">），具体以甲方指定区域范围为准</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服务期限</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服务期限一年,自合同签订之日起算</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服务内容、服务要求</w:t>
      </w:r>
      <w:r/>
    </w:p>
    <w:p>
      <w:pPr>
        <w:ind w:firstLine="482"/>
        <w:jc w:val="left"/>
        <w:keepLines w:val="0"/>
        <w:keepNext w:val="0"/>
        <w:pageBreakBefore w:val="0"/>
        <w:spacing w:beforeAutospacing="0" w:line="440" w:lineRule="exact"/>
        <w:widowControl w:val="off"/>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服务内容：</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灯塔区域东、西两处道闸</w:t>
      </w:r>
      <w:r>
        <w:rPr>
          <w:rFonts w:hint="eastAsia" w:ascii="宋体" w:hAnsi="宋体" w:cs="宋体"/>
          <w:color w:val="auto"/>
          <w:sz w:val="24"/>
          <w:szCs w:val="24"/>
          <w:highlight w:val="none"/>
          <w:lang w:val="en-US" w:eastAsia="zh-CN"/>
        </w:rPr>
        <w:t xml:space="preserve">及道闸周边</w:t>
      </w:r>
      <w:r>
        <w:rPr>
          <w:rFonts w:hint="eastAsia" w:ascii="宋体" w:hAnsi="宋体" w:eastAsia="宋体" w:cs="宋体"/>
          <w:color w:val="auto"/>
          <w:sz w:val="24"/>
          <w:szCs w:val="24"/>
          <w:highlight w:val="none"/>
          <w:lang w:val="en-US" w:eastAsia="zh-CN"/>
        </w:rPr>
        <w:t xml:space="preserve">的车辆进出管理</w:t>
      </w:r>
      <w:r>
        <w:rPr>
          <w:rFonts w:hint="eastAsia" w:ascii="宋体" w:hAnsi="宋体" w:cs="宋体"/>
          <w:color w:val="auto"/>
          <w:sz w:val="24"/>
          <w:szCs w:val="24"/>
          <w:highlight w:val="none"/>
          <w:lang w:val="en-US" w:eastAsia="zh-CN"/>
        </w:rPr>
        <w:t xml:space="preserve">、车辆停放管理、</w:t>
      </w:r>
      <w:r>
        <w:rPr>
          <w:rFonts w:hint="eastAsia" w:ascii="宋体" w:hAnsi="宋体" w:eastAsia="宋体" w:cs="宋体"/>
          <w:color w:val="auto"/>
          <w:sz w:val="24"/>
          <w:szCs w:val="24"/>
          <w:highlight w:val="none"/>
        </w:rPr>
        <w:t xml:space="preserve">安全巡查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游客安全劝导</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秩序维护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环境卫生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公共区域卫生保洁</w:t>
      </w:r>
      <w:r>
        <w:rPr>
          <w:rFonts w:hint="eastAsia" w:ascii="宋体" w:hAnsi="宋体" w:cs="宋体"/>
          <w:color w:val="auto"/>
          <w:sz w:val="24"/>
          <w:szCs w:val="24"/>
          <w:highlight w:val="none"/>
          <w:lang w:eastAsia="zh-CN"/>
        </w:rPr>
        <w:t xml:space="preserve">、区域内</w:t>
      </w:r>
      <w:r>
        <w:rPr>
          <w:rFonts w:hint="eastAsia" w:ascii="宋体" w:hAnsi="宋体" w:eastAsia="宋体" w:cs="宋体"/>
          <w:color w:val="auto"/>
          <w:sz w:val="24"/>
          <w:szCs w:val="24"/>
          <w:highlight w:val="none"/>
          <w:lang w:val="en-US" w:eastAsia="zh-CN"/>
        </w:rPr>
        <w:t xml:space="preserve">全年水电费</w:t>
      </w:r>
      <w:r>
        <w:rPr>
          <w:rFonts w:hint="eastAsia" w:ascii="宋体" w:hAnsi="宋体" w:cs="宋体"/>
          <w:color w:val="auto"/>
          <w:sz w:val="24"/>
          <w:szCs w:val="24"/>
          <w:highlight w:val="none"/>
          <w:lang w:val="en-US" w:eastAsia="zh-CN"/>
        </w:rPr>
        <w:t xml:space="preserve">（不含三夹沙闸用水用电）</w:t>
      </w:r>
      <w:r>
        <w:rPr>
          <w:rFonts w:hint="eastAsia" w:ascii="宋体" w:hAnsi="宋体" w:eastAsia="宋体" w:cs="宋体"/>
          <w:color w:val="auto"/>
          <w:sz w:val="24"/>
          <w:szCs w:val="24"/>
          <w:highlight w:val="none"/>
          <w:lang w:val="en-US" w:eastAsia="zh-CN"/>
        </w:rPr>
        <w:t xml:space="preserve">的缴纳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垃圾清运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公共设施的维护和管理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甲方交办的其他工作</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sz w:val="24"/>
          <w:szCs w:val="24"/>
          <w:highlight w:val="none"/>
        </w:rPr>
        <w:t xml:space="preserve">法规和政策规定的由乙方管理的其它事项。</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包括但不限于以下内容：</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）服务范围涵盖灯塔区域内全部公共区域及设施，包含约3万平方米沙滩区域，以及后续可能拓展的</w:t>
      </w:r>
      <w:r>
        <w:rPr>
          <w:rFonts w:hint="eastAsia" w:ascii="宋体" w:hAnsi="宋体" w:cs="宋体"/>
          <w:color w:val="auto"/>
          <w:sz w:val="24"/>
          <w:szCs w:val="24"/>
          <w:highlight w:val="none"/>
          <w:lang w:eastAsia="zh-CN"/>
        </w:rPr>
        <w:t xml:space="preserve">公共</w:t>
      </w:r>
      <w:r>
        <w:rPr>
          <w:rFonts w:hint="eastAsia" w:ascii="宋体" w:hAnsi="宋体" w:eastAsia="宋体" w:cs="宋体"/>
          <w:color w:val="auto"/>
          <w:sz w:val="24"/>
          <w:szCs w:val="24"/>
          <w:highlight w:val="none"/>
          <w:lang w:eastAsia="zh-CN"/>
        </w:rPr>
        <w:t xml:space="preserve">服务范围和各类入驻项目所涉</w:t>
      </w:r>
      <w:r>
        <w:rPr>
          <w:rFonts w:hint="eastAsia" w:ascii="宋体" w:hAnsi="宋体" w:cs="宋体"/>
          <w:color w:val="auto"/>
          <w:sz w:val="24"/>
          <w:szCs w:val="24"/>
          <w:highlight w:val="none"/>
          <w:lang w:eastAsia="zh-CN"/>
        </w:rPr>
        <w:t xml:space="preserve">公共</w:t>
      </w:r>
      <w:r>
        <w:rPr>
          <w:rFonts w:hint="eastAsia" w:ascii="宋体" w:hAnsi="宋体" w:eastAsia="宋体" w:cs="宋体"/>
          <w:color w:val="auto"/>
          <w:sz w:val="24"/>
          <w:szCs w:val="24"/>
          <w:highlight w:val="none"/>
          <w:lang w:eastAsia="zh-CN"/>
        </w:rPr>
        <w:t xml:space="preserve">区域。</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人员配置</w:t>
      </w:r>
      <w:r/>
    </w:p>
    <w:p>
      <w:pPr>
        <w:ind w:firstLine="480"/>
        <w:jc w:val="left"/>
        <w:keepLines w:val="0"/>
        <w:keepNext w:val="0"/>
        <w:pageBreakBefore w:val="0"/>
        <w:spacing w:before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项目负责人：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highlight w:val="none"/>
          <w:u w:val="single"/>
          <w:lang w:val="en-US" w:eastAsia="zh-CN"/>
        </w:rPr>
        <w:t xml:space="preserve">（姓名）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下面</w:t>
      </w:r>
      <w:r>
        <w:rPr>
          <w:rFonts w:hint="eastAsia" w:ascii="宋体" w:hAnsi="宋体" w:eastAsia="宋体" w:cs="宋体"/>
          <w:color w:val="auto"/>
          <w:sz w:val="24"/>
          <w:szCs w:val="24"/>
          <w:highlight w:val="none"/>
          <w:lang w:eastAsia="zh-CN"/>
        </w:rPr>
        <w:t xml:space="preserve">所列人员配置数量仅为成本测算及评审参考值，不构成对中标人实际在岗人数的强制性最低要求。中标人应在完全满足本项目服务标准、服务质量及现场实际需求的前提下，根据项目人流量变化、作业时段及实际工作需要，自主统筹、合理调配现场服务人员，确保服务到位、管理规范。</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在岗人员数量及配置方案由乙方</w:t>
      </w:r>
      <w:r>
        <w:rPr>
          <w:rFonts w:hint="eastAsia" w:ascii="宋体" w:hAnsi="宋体" w:cs="宋体"/>
          <w:color w:val="auto"/>
          <w:sz w:val="24"/>
          <w:szCs w:val="24"/>
          <w:highlight w:val="none"/>
          <w:lang w:val="en-US" w:eastAsia="zh-CN"/>
        </w:rPr>
        <w:t xml:space="preserve">按月编制</w:t>
      </w:r>
      <w:r>
        <w:rPr>
          <w:rFonts w:hint="eastAsia" w:ascii="宋体" w:hAnsi="宋体" w:eastAsia="宋体" w:cs="宋体"/>
          <w:color w:val="auto"/>
          <w:sz w:val="24"/>
          <w:szCs w:val="24"/>
          <w:highlight w:val="none"/>
          <w:lang w:eastAsia="zh-CN"/>
        </w:rPr>
        <w:t xml:space="preserve">向甲方报备</w:t>
      </w:r>
      <w:r>
        <w:rPr>
          <w:rFonts w:hint="eastAsia" w:ascii="宋体" w:hAnsi="宋体" w:cs="宋体"/>
          <w:color w:val="auto"/>
          <w:sz w:val="24"/>
          <w:szCs w:val="24"/>
          <w:highlight w:val="none"/>
          <w:lang w:val="en-US" w:eastAsia="zh-CN"/>
        </w:rPr>
        <w:t xml:space="preserve">通过后方可实施，并作为当月考核依据之一</w:t>
      </w:r>
      <w:r>
        <w:rPr>
          <w:rFonts w:hint="eastAsia" w:ascii="宋体" w:hAnsi="宋体" w:eastAsia="宋体" w:cs="宋体"/>
          <w:color w:val="auto"/>
          <w:sz w:val="24"/>
          <w:szCs w:val="24"/>
          <w:highlight w:val="none"/>
          <w:lang w:eastAsia="zh-CN"/>
        </w:rPr>
        <w:t xml:space="preserve">，参考配置方案：</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lang w:eastAsia="zh-CN"/>
        </w:rPr>
        <w:t xml:space="preserve">公厕保洁员每日不少于2人；区域保洁员每日不少于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巡查员：白班不少于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人，夜班不少于</w:t>
      </w:r>
      <w:r>
        <w:rPr>
          <w:rFonts w:hint="eastAsia" w:ascii="宋体" w:hAnsi="宋体" w:eastAsia="宋体" w:cs="宋体"/>
          <w:color w:val="auto"/>
          <w:sz w:val="24"/>
          <w:szCs w:val="24"/>
          <w:highlight w:val="none"/>
          <w:lang w:val="en-US" w:eastAsia="zh-CN"/>
        </w:rPr>
        <w:t xml:space="preserve">4人</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安保：</w:t>
      </w:r>
      <w:r>
        <w:rPr>
          <w:rFonts w:hint="eastAsia" w:ascii="宋体" w:hAnsi="宋体" w:eastAsia="宋体" w:cs="宋体"/>
          <w:color w:val="auto"/>
          <w:sz w:val="24"/>
          <w:szCs w:val="24"/>
          <w:highlight w:val="none"/>
          <w:lang w:eastAsia="zh-CN"/>
        </w:rPr>
        <w:t xml:space="preserve">保安（含队长）每日不少于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人；道闸口值班保安</w:t>
      </w:r>
      <w:r>
        <w:rPr>
          <w:rFonts w:hint="eastAsia" w:ascii="宋体" w:hAnsi="宋体" w:cs="宋体"/>
          <w:color w:val="auto"/>
          <w:sz w:val="24"/>
          <w:szCs w:val="24"/>
          <w:highlight w:val="none"/>
          <w:lang w:eastAsia="zh-CN"/>
        </w:rPr>
        <w:t xml:space="preserve">白班及夜班均</w:t>
      </w:r>
      <w:r>
        <w:rPr>
          <w:rFonts w:hint="eastAsia" w:ascii="宋体" w:hAnsi="宋体" w:eastAsia="宋体" w:cs="宋体"/>
          <w:color w:val="auto"/>
          <w:sz w:val="24"/>
          <w:szCs w:val="24"/>
          <w:highlight w:val="none"/>
          <w:lang w:eastAsia="zh-CN"/>
        </w:rPr>
        <w:t xml:space="preserve">不少于2人</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项目负责人：每日1人。</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法定节假日（以国家公布为准）期间，在岗人员总数</w:t>
      </w:r>
      <w:r>
        <w:rPr>
          <w:rFonts w:hint="eastAsia" w:ascii="宋体" w:hAnsi="宋体" w:cs="宋体"/>
          <w:color w:val="auto"/>
          <w:sz w:val="24"/>
          <w:szCs w:val="24"/>
          <w:highlight w:val="none"/>
          <w:lang w:eastAsia="zh-CN"/>
        </w:rPr>
        <w:t xml:space="preserve">建议</w:t>
      </w:r>
      <w:r>
        <w:rPr>
          <w:rFonts w:hint="eastAsia" w:ascii="宋体" w:hAnsi="宋体" w:eastAsia="宋体" w:cs="宋体"/>
          <w:color w:val="auto"/>
          <w:sz w:val="24"/>
          <w:szCs w:val="24"/>
          <w:highlight w:val="none"/>
          <w:lang w:eastAsia="zh-CN"/>
        </w:rPr>
        <w:t xml:space="preserve">不低于日常人数的1.5倍。</w:t>
      </w:r>
      <w:r>
        <w:rPr>
          <w:rFonts w:hint="eastAsia" w:ascii="宋体" w:hAnsi="宋体" w:eastAsia="宋体" w:cs="宋体"/>
          <w:sz w:val="24"/>
          <w:szCs w:val="24"/>
          <w:highlight w:val="none"/>
          <w:lang w:eastAsia="zh-CN"/>
        </w:rPr>
        <w:t xml:space="preserve">春节、国庆等长假及甲方指定的重大活动期间，甲方可提前7日通知乙方增派人员，乙方须按通知要求无条件增派，增派人数已包含在合同总价内，乙方不得另行要求增加费用。</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所有在岗人员须打卡考勤</w:t>
      </w:r>
      <w:r>
        <w:rPr>
          <w:rFonts w:hint="eastAsia" w:ascii="宋体" w:hAnsi="宋体" w:eastAsia="宋体" w:cs="宋体"/>
          <w:b w:val="0"/>
          <w:bCs w:val="0"/>
          <w:color w:val="auto"/>
          <w:sz w:val="24"/>
          <w:szCs w:val="24"/>
          <w:highlight w:val="none"/>
          <w:lang w:eastAsia="zh-CN"/>
        </w:rPr>
        <w:t xml:space="preserve">（打卡</w:t>
      </w:r>
      <w:r>
        <w:rPr>
          <w:rFonts w:hint="eastAsia" w:ascii="宋体" w:hAnsi="宋体" w:cs="宋体"/>
          <w:b w:val="0"/>
          <w:bCs w:val="0"/>
          <w:color w:val="auto"/>
          <w:sz w:val="24"/>
          <w:szCs w:val="24"/>
          <w:highlight w:val="none"/>
          <w:lang w:val="en-US" w:eastAsia="zh-CN"/>
        </w:rPr>
        <w:t xml:space="preserve">方式经业主同意后实施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，每日考勤记录作为考核依据</w:t>
      </w:r>
      <w:r>
        <w:rPr>
          <w:rFonts w:hint="eastAsia" w:ascii="宋体" w:hAnsi="宋体" w:eastAsia="宋体" w:cs="宋体"/>
          <w:sz w:val="24"/>
          <w:szCs w:val="24"/>
          <w:highlight w:val="none"/>
          <w:lang w:eastAsia="zh-CN"/>
        </w:rPr>
        <w:t xml:space="preserve">。</w:t>
      </w:r>
      <w:r/>
    </w:p>
    <w:p>
      <w:pPr>
        <w:ind w:firstLine="482"/>
        <w:jc w:val="left"/>
        <w:keepLines w:val="0"/>
        <w:keepNext w:val="0"/>
        <w:pageBreakBefore w:val="0"/>
        <w:spacing w:before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三、具体人员要求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1、项目负责人要求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年龄</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）以下，具备大专以上学历。</w:t>
      </w:r>
      <w:r>
        <w:rPr>
          <w:rFonts w:hint="eastAsia" w:ascii="宋体" w:hAnsi="宋体" w:cs="宋体"/>
          <w:sz w:val="24"/>
          <w:szCs w:val="24"/>
          <w:highlight w:val="none"/>
          <w:lang w:eastAsia="zh-CN"/>
        </w:rPr>
        <w:t xml:space="preserve">具备</w:t>
      </w:r>
      <w:r>
        <w:rPr>
          <w:rFonts w:hint="eastAsia" w:ascii="宋体" w:hAnsi="宋体" w:eastAsia="宋体" w:cs="宋体"/>
          <w:sz w:val="24"/>
          <w:szCs w:val="24"/>
          <w:highlight w:val="none"/>
          <w:lang w:eastAsia="zh-CN"/>
        </w:rPr>
        <w:t xml:space="preserve">物业管理师职业资格证书（三级及以上）或全国物业管理企业经理岗位证书或全国物业项目经理岗位证书，并具有类似项目管理经验</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身体健康，政治素养好，具有强烈的事业心和工作责任感。熟悉安全工作的各项业务和工作流程，有效指导下属团队开展工作，能够独立完成工作质量标准、检查标准、培训方案、安全管理方案等的制定与组织实施。具备较强的组织协调、综合事务处理和突发事件应对能力。</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2、安保人员要求</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保安队长：年龄</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以下，身体健康，政治素养好，无违法犯罪记录。</w:t>
      </w:r>
      <w:r>
        <w:rPr>
          <w:rFonts w:hint="eastAsia" w:ascii="宋体" w:hAnsi="宋体" w:eastAsia="宋体" w:cs="宋体"/>
          <w:color w:val="auto"/>
          <w:sz w:val="24"/>
          <w:szCs w:val="24"/>
          <w:highlight w:val="none"/>
          <w:lang w:eastAsia="zh-CN"/>
        </w:rPr>
        <w:t xml:space="preserve">持有公安机关颁发的保安员证，具备</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年以上保安从业经验</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lang w:eastAsia="zh-CN"/>
        </w:rPr>
        <w:t xml:space="preserve">男性年龄55周岁（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）以下，女性年龄50周岁（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）以下，身体健康，无违法犯罪记录。持有公安机关颁发的保安员证，具备1年以上保安从业经验</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、安保</w:t>
      </w:r>
      <w:r>
        <w:rPr>
          <w:rFonts w:hint="eastAsia" w:ascii="宋体" w:hAnsi="宋体" w:cs="宋体"/>
          <w:sz w:val="24"/>
          <w:szCs w:val="24"/>
          <w:highlight w:val="none"/>
          <w:lang w:eastAsia="zh-CN"/>
        </w:rPr>
        <w:t xml:space="preserve">职责</w:t>
      </w:r>
      <w:r>
        <w:rPr>
          <w:rFonts w:hint="eastAsia" w:ascii="宋体" w:hAnsi="宋体" w:eastAsia="宋体" w:cs="宋体"/>
          <w:sz w:val="24"/>
          <w:szCs w:val="24"/>
          <w:highlight w:val="none"/>
          <w:lang w:eastAsia="zh-CN"/>
        </w:rPr>
        <w:t xml:space="preserve">要求</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）交通疏导与秩序维护</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1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①</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车辆管理：做好东西道闸</w:t>
      </w:r>
      <w:r>
        <w:rPr>
          <w:rFonts w:hint="eastAsia" w:ascii="宋体" w:hAnsi="宋体" w:cs="宋体"/>
          <w:b w:val="0"/>
          <w:bCs w:val="0"/>
          <w:color w:val="000000"/>
          <w:sz w:val="24"/>
          <w:szCs w:val="24"/>
          <w:highlight w:val="none"/>
          <w:lang w:val="en-US" w:eastAsia="zh-CN" w:bidi="ar-SA"/>
        </w:rPr>
        <w:t xml:space="preserve">及周边区域</w:t>
      </w:r>
      <w:r>
        <w:rPr>
          <w:rFonts w:hint="eastAsia" w:ascii="宋体" w:hAnsi="宋体" w:eastAsia="宋体" w:cs="宋体"/>
          <w:b w:val="0"/>
          <w:bCs w:val="0"/>
          <w:color w:val="000000"/>
          <w:sz w:val="24"/>
          <w:szCs w:val="24"/>
          <w:highlight w:val="none"/>
          <w:lang w:val="en-US" w:eastAsia="zh-CN" w:bidi="ar-SA"/>
        </w:rPr>
        <w:t xml:space="preserve">游客车辆的疏导工作，严禁机动车、摩托车进入禁行区域；发现违规进入禁行区域的车辆，及时劝离，停放时间不得超过15分钟；工程作业等工作车辆需于西海堤有序停放；杜绝因疏导不力造成区域内交通拥堵</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加强停车场秩序管理，引导车辆有序停放，保持</w:t>
      </w:r>
      <w:r>
        <w:rPr>
          <w:rFonts w:hint="eastAsia" w:ascii="宋体" w:hAnsi="宋体" w:cs="宋体"/>
          <w:b w:val="0"/>
          <w:bCs w:val="0"/>
          <w:color w:val="auto"/>
          <w:sz w:val="24"/>
          <w:szCs w:val="24"/>
          <w:highlight w:val="none"/>
          <w:lang w:val="en-US" w:eastAsia="zh-CN" w:bidi="ar-SA"/>
        </w:rPr>
        <w:t xml:space="preserve">道路</w:t>
      </w:r>
      <w:r>
        <w:rPr>
          <w:rFonts w:hint="eastAsia" w:ascii="宋体" w:hAnsi="宋体" w:eastAsia="宋体" w:cs="宋体"/>
          <w:b w:val="0"/>
          <w:bCs w:val="0"/>
          <w:color w:val="auto"/>
          <w:sz w:val="24"/>
          <w:szCs w:val="24"/>
          <w:highlight w:val="none"/>
          <w:lang w:val="en-US" w:eastAsia="zh-CN" w:bidi="ar-SA"/>
        </w:rPr>
        <w:t xml:space="preserve">畅通</w:t>
      </w:r>
      <w:r>
        <w:rPr>
          <w:rFonts w:hint="eastAsia" w:ascii="宋体" w:hAnsi="宋体" w:eastAsia="宋体" w:cs="宋体"/>
          <w:b w:val="0"/>
          <w:bCs w:val="0"/>
          <w:color w:val="000000"/>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2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②</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摊贩管理：</w:t>
      </w:r>
      <w:r>
        <w:rPr>
          <w:rFonts w:hint="eastAsia" w:ascii="宋体" w:hAnsi="宋体" w:eastAsia="宋体" w:cs="宋体"/>
          <w:b w:val="0"/>
          <w:bCs w:val="0"/>
          <w:color w:val="auto"/>
          <w:sz w:val="24"/>
          <w:szCs w:val="24"/>
          <w:highlight w:val="none"/>
          <w:lang w:val="en-US" w:eastAsia="zh-CN" w:bidi="ar-SA"/>
        </w:rPr>
        <w:t xml:space="preserve">摊贩经营秩序</w:t>
      </w:r>
      <w:r>
        <w:rPr>
          <w:rFonts w:hint="eastAsia" w:ascii="宋体" w:hAnsi="宋体" w:cs="宋体"/>
          <w:b w:val="0"/>
          <w:bCs w:val="0"/>
          <w:color w:val="auto"/>
          <w:sz w:val="24"/>
          <w:szCs w:val="24"/>
          <w:highlight w:val="none"/>
          <w:lang w:val="en-US" w:eastAsia="zh-CN" w:bidi="ar-SA"/>
        </w:rPr>
        <w:t xml:space="preserve">管理</w:t>
      </w:r>
      <w:r>
        <w:rPr>
          <w:rFonts w:hint="eastAsia" w:ascii="宋体" w:hAnsi="宋体" w:eastAsia="宋体" w:cs="宋体"/>
          <w:b w:val="0"/>
          <w:bCs w:val="0"/>
          <w:color w:val="auto"/>
          <w:sz w:val="24"/>
          <w:szCs w:val="24"/>
          <w:highlight w:val="none"/>
          <w:lang w:val="en-US" w:eastAsia="zh-CN" w:bidi="ar-SA"/>
        </w:rPr>
        <w:t xml:space="preserve">，要求摊贩按规定</w:t>
      </w:r>
      <w:r>
        <w:rPr>
          <w:rFonts w:hint="eastAsia" w:ascii="宋体" w:hAnsi="宋体" w:cs="宋体"/>
          <w:b w:val="0"/>
          <w:bCs w:val="0"/>
          <w:color w:val="auto"/>
          <w:sz w:val="24"/>
          <w:szCs w:val="24"/>
          <w:highlight w:val="none"/>
          <w:lang w:val="en-US" w:eastAsia="zh-CN" w:bidi="ar-SA"/>
        </w:rPr>
        <w:t xml:space="preserve">在规划区域内</w:t>
      </w:r>
      <w:r>
        <w:rPr>
          <w:rFonts w:hint="eastAsia" w:ascii="宋体" w:hAnsi="宋体" w:eastAsia="宋体" w:cs="宋体"/>
          <w:b w:val="0"/>
          <w:bCs w:val="0"/>
          <w:color w:val="auto"/>
          <w:sz w:val="24"/>
          <w:szCs w:val="24"/>
          <w:highlight w:val="none"/>
          <w:lang w:val="en-US" w:eastAsia="zh-CN" w:bidi="ar-SA"/>
        </w:rPr>
        <w:t xml:space="preserve">排布经营，杜绝违规经营、占道经营行为；</w:t>
      </w:r>
      <w:r>
        <w:rPr>
          <w:rFonts w:hint="eastAsia" w:ascii="宋体" w:hAnsi="宋体" w:cs="宋体"/>
          <w:b w:val="0"/>
          <w:bCs w:val="0"/>
          <w:color w:val="auto"/>
          <w:sz w:val="24"/>
          <w:szCs w:val="24"/>
          <w:highlight w:val="none"/>
          <w:lang w:val="en-US" w:eastAsia="zh-CN" w:bidi="ar-SA"/>
        </w:rPr>
        <w:t xml:space="preserve">后期商业配套项目经营秩序管理</w:t>
      </w:r>
      <w:r>
        <w:rPr>
          <w:rFonts w:hint="eastAsia" w:ascii="宋体" w:hAnsi="宋体" w:eastAsia="宋体" w:cs="宋体"/>
          <w:b w:val="0"/>
          <w:bCs w:val="0"/>
          <w:color w:val="000000"/>
          <w:sz w:val="24"/>
          <w:szCs w:val="24"/>
          <w:highlight w:val="none"/>
          <w:lang w:val="en-US" w:eastAsia="zh-CN" w:bidi="ar-SA"/>
        </w:rPr>
        <w:t xml:space="preserve">；发现违规现象及时有效劝阻，防止经营秩序混乱，如劝阻无效由现场负责人协调服务单位增派人手处置。</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3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③</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人流管理：巡查区域内人流情况，及时疏导聚集人群，杜绝大规模聚集拥堵；维护公共设施使用秩序，确保游客有序使用各类设施。</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）安全防护与设施管理</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1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①</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做好区域内公共设施设备的看护工作，每日巡查护栏、水龙头、标识牌等设施是否完好，发现损坏后2小时内完成报损；发现破坏、违规使用设施等行为，立即制止并上报。</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2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②</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保持安保设备、通信设备等完好可用，</w:t>
      </w:r>
      <w:r>
        <w:rPr>
          <w:rFonts w:hint="eastAsia" w:ascii="宋体" w:hAnsi="宋体" w:cs="宋体"/>
          <w:b w:val="0"/>
          <w:bCs w:val="0"/>
          <w:color w:val="000000"/>
          <w:sz w:val="24"/>
          <w:szCs w:val="24"/>
          <w:highlight w:val="none"/>
          <w:lang w:val="en-US" w:eastAsia="zh-CN" w:bidi="ar-SA"/>
        </w:rPr>
        <w:t xml:space="preserve">按要求</w:t>
      </w:r>
      <w:r>
        <w:rPr>
          <w:rFonts w:hint="eastAsia" w:ascii="宋体" w:hAnsi="宋体" w:eastAsia="宋体" w:cs="宋体"/>
          <w:b w:val="0"/>
          <w:bCs w:val="0"/>
          <w:color w:val="000000"/>
          <w:sz w:val="24"/>
          <w:szCs w:val="24"/>
          <w:highlight w:val="none"/>
          <w:lang w:val="en-US" w:eastAsia="zh-CN" w:bidi="ar-SA"/>
        </w:rPr>
        <w:t xml:space="preserve">有序摆放作业工具与个人车辆，杜绝工作人员车辆随意停放、飞线充电等安全隐患。</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3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③</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sz w:val="24"/>
          <w:szCs w:val="24"/>
          <w:highlight w:val="none"/>
          <w:lang w:val="en-US" w:eastAsia="zh-CN"/>
        </w:rPr>
        <w:t xml:space="preserve">巡查中如发现堤防设施异常、违法建设等情况，应立即拍照记录，并第一时间向现场负责人报告，做到及时响应、不遗漏、不拖延。</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）应急与配合工作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接到应急指令后，迅速响应，第一时间到位开展处置工作，有效配合</w:t>
      </w:r>
      <w:r>
        <w:rPr>
          <w:rFonts w:hint="eastAsia" w:ascii="宋体" w:hAnsi="宋体" w:cs="宋体"/>
          <w:b w:val="0"/>
          <w:bCs w:val="0"/>
          <w:color w:val="000000"/>
          <w:sz w:val="24"/>
          <w:szCs w:val="24"/>
          <w:highlight w:val="none"/>
          <w:lang w:val="en-US" w:eastAsia="zh-CN" w:bidi="ar-SA"/>
        </w:rPr>
        <w:t xml:space="preserve">甲方</w:t>
      </w:r>
      <w:r>
        <w:rPr>
          <w:rFonts w:hint="eastAsia" w:ascii="宋体" w:hAnsi="宋体" w:eastAsia="宋体" w:cs="宋体"/>
          <w:b w:val="0"/>
          <w:bCs w:val="0"/>
          <w:color w:val="000000"/>
          <w:sz w:val="24"/>
          <w:szCs w:val="24"/>
          <w:highlight w:val="none"/>
          <w:lang w:val="en-US" w:eastAsia="zh-CN" w:bidi="ar-SA"/>
        </w:rPr>
        <w:t xml:space="preserve">及相关部门处理突发事件，杜绝响应迟缓、处置不力的情况。</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、保洁人员要求</w:t>
      </w:r>
      <w:r/>
    </w:p>
    <w:p>
      <w:pPr>
        <w:ind w:firstLine="480"/>
        <w:jc w:val="both"/>
        <w:keepLines w:val="0"/>
        <w:keepNext w:val="0"/>
        <w:pageBreakBefore w:val="0"/>
        <w:spacing w:before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保洁主管：55周岁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以下，保洁组长要求具有保洁管理经验；</w:t>
      </w:r>
      <w:r/>
    </w:p>
    <w:p>
      <w:pPr>
        <w:ind w:firstLine="480"/>
        <w:jc w:val="left"/>
        <w:keepLines w:val="0"/>
        <w:keepNext w:val="0"/>
        <w:pageBreakBefore w:val="0"/>
        <w:spacing w:before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其他人员：</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eastAsia="zh-CN"/>
        </w:rPr>
        <w:t xml:space="preserve">周岁（</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以下。身体健康，具备从事户外保洁作业的身体素质，持有健康证明，无传染性疾病。具有保洁工作经验，熟悉沙滩、步道、公厕、绿化等不同区域的保洁作业标准和操作规范。能够熟练使用各类保洁工具及设备，工作认真负责，吃苦耐劳，能够适应节假日及旅游高峰期的高强度作业安排。</w:t>
      </w:r>
      <w:r/>
    </w:p>
    <w:p>
      <w:pPr>
        <w:ind w:firstLine="480"/>
        <w:jc w:val="left"/>
        <w:keepLines w:val="0"/>
        <w:keepNext w:val="0"/>
        <w:pageBreakBefore w:val="0"/>
        <w:spacing w:beforeAutospacing="0" w:line="44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5、保洁职责要求</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）环境保洁工作</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1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①</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sz w:val="24"/>
          <w:szCs w:val="24"/>
          <w:highlight w:val="none"/>
          <w:lang w:val="en-US" w:eastAsia="zh-CN"/>
        </w:rPr>
        <w:t xml:space="preserve">普扫与巡回保洁：每日上午</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0前完成对负责区域内路面、沙滩、绿化等区域</w:t>
      </w:r>
      <w:r>
        <w:rPr>
          <w:rFonts w:hint="eastAsia" w:ascii="宋体" w:hAnsi="宋体" w:cs="宋体"/>
          <w:color w:val="auto"/>
          <w:sz w:val="24"/>
          <w:szCs w:val="24"/>
          <w:highlight w:val="none"/>
          <w:lang w:val="en-US" w:eastAsia="zh-CN"/>
        </w:rPr>
        <w:t xml:space="preserve">（含摊贩经营区域、后期商业配套项目区域）</w:t>
      </w:r>
      <w:r>
        <w:rPr>
          <w:rFonts w:hint="eastAsia" w:ascii="宋体" w:hAnsi="宋体" w:eastAsia="宋体" w:cs="宋体"/>
          <w:sz w:val="24"/>
          <w:szCs w:val="24"/>
          <w:highlight w:val="none"/>
          <w:lang w:val="en-US" w:eastAsia="zh-CN"/>
        </w:rPr>
        <w:t xml:space="preserve">的全面清扫，做到无明显可见垃圾、杂物、污水；完成全面清扫任务后开展不间断巡回保洁，实行责任区域内每小时不少于一次的覆盖巡查，垃圾滞留时间不超过15分钟，成堆/散落垃圾（面积&gt; 0.5㎡）立即清理，及时捡拾烟头、竹签、包装袋等零星垃圾。</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2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②</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sz w:val="24"/>
          <w:szCs w:val="24"/>
          <w:highlight w:val="none"/>
          <w:lang w:val="en-US" w:eastAsia="zh-CN"/>
        </w:rPr>
        <w:t xml:space="preserve">垃圾清运管理：定时检查垃圾桶（果壳箱），做到无满溢、无异味、无散落。当桶内垃圾容量达到三分之二时，及时组织清运。如遇特殊情况导致垃圾满溢，须在满溢后30分钟内完成清运工作，同时清理干净垃圾桶周边区域。所有收集的垃圾必须集中运送至指定的垃圾岗亭，严禁随意倾倒。</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3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③</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sz w:val="24"/>
          <w:szCs w:val="24"/>
          <w:highlight w:val="none"/>
          <w:lang w:val="en-US" w:eastAsia="zh-CN"/>
        </w:rPr>
        <w:t xml:space="preserve">专项清洁作业：定期清理海堤内外坡、海外滩面、矮墙、箱体等构筑物，确保无暴露垃圾、漂浮物、泥沙积土及小广告；大潮过后24小时内完成区域全线清洁整改；海堤周边漂浮物纳入日常清理范围。</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4 \* GB3 \* MERGEFORMAT </w:instrText>
      </w:r>
      <w:r>
        <w:rPr>
          <w:rFonts w:hint="eastAsia" w:ascii="宋体" w:hAnsi="宋体" w:eastAsia="宋体" w:cs="宋体"/>
          <w:sz w:val="24"/>
          <w:szCs w:val="24"/>
          <w:highlight w:val="none"/>
          <w:lang w:val="en-US" w:eastAsia="zh-CN"/>
        </w:rPr>
        <w:fldChar w:fldCharType="separate"/>
      </w:r>
      <w:r>
        <w:rPr>
          <w:highlight w:val="none"/>
        </w:rPr>
        <w:t xml:space="preserve">④</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公共设施清洗：非特殊情况（如极端天气）每日擦拭垃圾桶（果壳箱）、栏杆、座椅、指示牌等公共设施不少于1次，做到无积尘、无污渍；每月冲洗路面不少于2次，及时清理顽固污渍，路面产生油污后于一周内完成清洗工作，保持设施与路面干净整洁。</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）其他工作要求</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作业前后应保持清洁工具整洁完好，定点有序存放，不影响区域观瞻；定期检查并补充垃圾袋、清洁剂等常用耗材，确保垃圾桶体干净、无污损。</w:t>
      </w:r>
      <w:r/>
    </w:p>
    <w:p>
      <w:pPr>
        <w:ind w:firstLine="480"/>
        <w:jc w:val="left"/>
        <w:keepLines w:val="0"/>
        <w:keepNext w:val="0"/>
        <w:pageBreakBefore w:val="0"/>
        <w:spacing w:beforeAutospacing="0" w:line="440" w:lineRule="exact"/>
        <w:widowControl w:val="off"/>
        <w:rPr>
          <w:rFonts w:hint="eastAsia" w:ascii="宋体" w:hAnsi="宋体" w:eastAsia="宋体" w:cs="宋体"/>
          <w:color w:val="ff0000"/>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巡查员要求</w:t>
      </w:r>
      <w:r/>
    </w:p>
    <w:p>
      <w:pPr>
        <w:ind w:firstLine="480"/>
        <w:jc w:val="left"/>
        <w:keepLines w:val="0"/>
        <w:keepNext w:val="0"/>
        <w:pageBreakBefore w:val="0"/>
        <w:spacing w:beforeAutospacing="0" w:line="44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年龄</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以下，形象气质佳，身体健康，具备较强的户外作业适应能力。具有</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专及以上学历，具备良好的沟通表达能力和服务意识。熟悉沙滩及近岸水域安全巡查工作流程。巡查员应具备基本急救常识，上岗前由中标单位组织急救知识培训。</w:t>
      </w:r>
      <w:r/>
    </w:p>
    <w:p>
      <w:pPr>
        <w:ind w:left="0" w:right="0" w:firstLine="480"/>
        <w:jc w:val="left"/>
        <w:keepLines w:val="0"/>
        <w:keepNext w:val="0"/>
        <w:pageBreakBefore w:val="0"/>
        <w:spacing w:before="0" w:beforeAutospacing="0" w:after="0" w:afterAutospacing="0" w:line="550" w:lineRule="exact"/>
        <w:widowControl/>
        <w:rPr>
          <w:rFonts w:hint="default"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000000"/>
          <w:sz w:val="24"/>
          <w:szCs w:val="24"/>
          <w:highlight w:val="none"/>
          <w:lang w:val="en-US" w:eastAsia="zh-CN" w:bidi="ar-SA"/>
        </w:rPr>
        <w:t xml:space="preserve">7.巡查职责要求</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巡查与</w:t>
      </w:r>
      <w:r>
        <w:rPr>
          <w:rFonts w:hint="eastAsia" w:ascii="宋体" w:hAnsi="宋体" w:eastAsia="宋体" w:cs="宋体"/>
          <w:b w:val="0"/>
          <w:bCs w:val="0"/>
          <w:color w:val="000000"/>
          <w:sz w:val="24"/>
          <w:szCs w:val="24"/>
          <w:highlight w:val="none"/>
          <w:lang w:val="en-US" w:eastAsia="zh-CN" w:bidi="ar-SA"/>
        </w:rPr>
        <w:t xml:space="preserve">劝导工作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1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①</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危险行为劝阻：对区域内游客下海、登护堤、戏水、翻越护栏等危险行为，做到及时发现、有效劝离；若劝阻无效，须在 15 分钟内向现场负责人汇报，视情况及时报警并做好后续处置配合。</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2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②</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主动安全提醒：针对潮汐变化、天气异常、看护小孩、防滑防摔等事项，主动向游客开展安全提醒，尤其对老人、儿童等特殊人群做好重点提示，杜绝应提醒未提醒的情况。</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 3 \* GB3 \* MERGEFORMAT </w:instrText>
      </w:r>
      <w:r>
        <w:rPr>
          <w:rFonts w:hint="eastAsia" w:ascii="宋体" w:hAnsi="宋体" w:eastAsia="宋体" w:cs="宋体"/>
          <w:b w:val="0"/>
          <w:bCs w:val="0"/>
          <w:color w:val="auto"/>
          <w:sz w:val="24"/>
          <w:szCs w:val="24"/>
          <w:highlight w:val="none"/>
          <w:lang w:val="en-US" w:eastAsia="zh-CN" w:bidi="ar-SA"/>
        </w:rPr>
        <w:fldChar w:fldCharType="separate"/>
      </w:r>
      <w:r>
        <w:rPr>
          <w:rFonts w:hint="default" w:ascii="Times New Roman" w:hAnsi="Times New Roman" w:eastAsia="宋体" w:cs="Times New Roman"/>
          <w:color w:val="auto"/>
          <w:highlight w:val="none"/>
        </w:rPr>
        <w:t xml:space="preserve">③</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沙滩区域巡查：每小时完成至少一次责任区域内巡查；沙滩区域公共设施设备的巡查看护工作，每日巡查浮球、标识牌、休憩亭等设施是否完好，发现损坏后2小时内完成报损；发现破坏、违规使用设施等行为，立即制止并上报。</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）游客咨询与服务工作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1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①</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热情、准确回应游客的各类问询，包括路线指引、情况介绍、便民服务等，做到不推诿、不误导，杜绝因态度差、指错路等引发游客合理投诉。</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2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②</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主动为游客提供必要的帮助，如协助老弱病残孕游客、捡拾游客掉落物品、指引冲脚与如厕区域等，提升游客体验。</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）现场配合工作</w:t>
      </w:r>
      <w:r/>
    </w:p>
    <w:p>
      <w:pPr>
        <w:ind w:left="0" w:right="0" w:firstLine="480"/>
        <w:jc w:val="left"/>
        <w:keepLines w:val="0"/>
        <w:keepNext w:val="0"/>
        <w:pageBreakBefore w:val="0"/>
        <w:spacing w:before="0" w:beforeAutospacing="0" w:after="0" w:afterAutospacing="0" w:line="550" w:lineRule="exact"/>
        <w:widowControl/>
        <w:rPr>
          <w:rFonts w:hint="eastAsia" w:ascii="宋体" w:hAnsi="宋体" w:eastAsia="宋体" w:cs="宋体"/>
          <w:b w:val="0"/>
          <w:bCs w:val="0"/>
          <w:color w:val="ff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fldChar w:fldCharType="begin"/>
      </w:r>
      <w:r>
        <w:rPr>
          <w:rFonts w:hint="eastAsia" w:ascii="宋体" w:hAnsi="宋体" w:eastAsia="宋体" w:cs="宋体"/>
          <w:b w:val="0"/>
          <w:bCs w:val="0"/>
          <w:color w:val="000000"/>
          <w:sz w:val="24"/>
          <w:szCs w:val="24"/>
          <w:highlight w:val="none"/>
          <w:lang w:val="en-US" w:eastAsia="zh-CN" w:bidi="ar-SA"/>
        </w:rPr>
        <w:instrText xml:space="preserve"> = 1 \* GB3 \* MERGEFORMAT </w:instrText>
      </w:r>
      <w:r>
        <w:rPr>
          <w:rFonts w:hint="eastAsia" w:ascii="宋体" w:hAnsi="宋体" w:eastAsia="宋体" w:cs="宋体"/>
          <w:b w:val="0"/>
          <w:bCs w:val="0"/>
          <w:color w:val="000000"/>
          <w:sz w:val="24"/>
          <w:szCs w:val="24"/>
          <w:highlight w:val="none"/>
          <w:lang w:val="en-US" w:eastAsia="zh-CN" w:bidi="ar-SA"/>
        </w:rPr>
        <w:fldChar w:fldCharType="separate"/>
      </w:r>
      <w:r>
        <w:rPr>
          <w:highlight w:val="none"/>
        </w:rPr>
        <w:t xml:space="preserve">①</w:t>
      </w:r>
      <w:r>
        <w:rPr>
          <w:rFonts w:hint="eastAsia" w:ascii="宋体" w:hAnsi="宋体" w:eastAsia="宋体" w:cs="宋体"/>
          <w:b w:val="0"/>
          <w:bCs w:val="0"/>
          <w:color w:val="000000"/>
          <w:sz w:val="24"/>
          <w:szCs w:val="24"/>
          <w:highlight w:val="none"/>
          <w:lang w:val="en-US" w:eastAsia="zh-CN" w:bidi="ar-SA"/>
        </w:rPr>
        <w:fldChar w:fldCharType="end"/>
      </w:r>
      <w:r>
        <w:rPr>
          <w:rFonts w:hint="eastAsia" w:ascii="宋体" w:hAnsi="宋体" w:eastAsia="宋体" w:cs="宋体"/>
          <w:b w:val="0"/>
          <w:bCs w:val="0"/>
          <w:color w:val="000000"/>
          <w:sz w:val="24"/>
          <w:szCs w:val="24"/>
          <w:highlight w:val="none"/>
          <w:lang w:val="en-US" w:eastAsia="zh-CN" w:bidi="ar-SA"/>
        </w:rPr>
        <w:t xml:space="preserve">配合</w:t>
      </w:r>
      <w:r>
        <w:rPr>
          <w:rFonts w:hint="eastAsia" w:ascii="宋体" w:hAnsi="宋体" w:cs="宋体"/>
          <w:b w:val="0"/>
          <w:bCs w:val="0"/>
          <w:color w:val="000000"/>
          <w:sz w:val="24"/>
          <w:szCs w:val="24"/>
          <w:highlight w:val="none"/>
          <w:lang w:val="en-US" w:eastAsia="zh-CN" w:bidi="ar-SA"/>
        </w:rPr>
        <w:t xml:space="preserve">其他工作人员（如救援人员、保洁人员等）</w:t>
      </w:r>
      <w:r>
        <w:rPr>
          <w:rFonts w:hint="eastAsia" w:ascii="宋体" w:hAnsi="宋体" w:eastAsia="宋体" w:cs="宋体"/>
          <w:b w:val="0"/>
          <w:bCs w:val="0"/>
          <w:color w:val="000000"/>
          <w:sz w:val="24"/>
          <w:szCs w:val="24"/>
          <w:highlight w:val="none"/>
          <w:lang w:val="en-US" w:eastAsia="zh-CN" w:bidi="ar-SA"/>
        </w:rPr>
        <w:t xml:space="preserve">做好环境维护</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秩序维护</w:t>
      </w:r>
      <w:r>
        <w:rPr>
          <w:rFonts w:hint="eastAsia" w:ascii="宋体" w:hAnsi="宋体" w:cs="宋体"/>
          <w:b w:val="0"/>
          <w:bCs w:val="0"/>
          <w:color w:val="000000"/>
          <w:sz w:val="24"/>
          <w:szCs w:val="24"/>
          <w:highlight w:val="none"/>
          <w:lang w:val="en-US" w:eastAsia="zh-CN" w:bidi="ar-SA"/>
        </w:rPr>
        <w:t xml:space="preserve">及应急处突等</w:t>
      </w:r>
      <w:r>
        <w:rPr>
          <w:rFonts w:hint="eastAsia" w:ascii="宋体" w:hAnsi="宋体" w:eastAsia="宋体" w:cs="宋体"/>
          <w:b w:val="0"/>
          <w:bCs w:val="0"/>
          <w:color w:val="000000"/>
          <w:sz w:val="24"/>
          <w:szCs w:val="24"/>
          <w:highlight w:val="none"/>
          <w:lang w:val="en-US" w:eastAsia="zh-CN" w:bidi="ar-SA"/>
        </w:rPr>
        <w:t xml:space="preserve">工作，发现情况及时反馈现场负责人。</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工作时间：</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（1）保洁：日常为7:00～21:00；每年5月1日至10月31日期间，调整为6:30～21:30。每日按规定打卡</w:t>
      </w:r>
      <w:r>
        <w:rPr>
          <w:rFonts w:hint="eastAsia" w:ascii="宋体" w:hAnsi="宋体" w:eastAsia="宋体" w:cs="宋体"/>
          <w:b/>
          <w:bCs/>
          <w:color w:val="auto"/>
          <w:sz w:val="24"/>
          <w:szCs w:val="24"/>
          <w:highlight w:val="none"/>
          <w:lang w:eastAsia="zh-CN"/>
        </w:rPr>
        <w:t xml:space="preserve">（打卡</w:t>
      </w:r>
      <w:r>
        <w:rPr>
          <w:rFonts w:hint="eastAsia" w:ascii="宋体" w:hAnsi="宋体" w:cs="宋体"/>
          <w:b/>
          <w:bCs/>
          <w:color w:val="auto"/>
          <w:sz w:val="24"/>
          <w:szCs w:val="24"/>
          <w:highlight w:val="none"/>
          <w:lang w:val="en-US" w:eastAsia="zh-CN"/>
        </w:rPr>
        <w:t xml:space="preserve">方式经业主同意后实施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上午8:00前须完成首次全面普扫。</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保安：</w:t>
      </w:r>
      <w:r>
        <w:rPr>
          <w:rFonts w:hint="eastAsia" w:ascii="宋体" w:hAnsi="宋体" w:eastAsia="宋体" w:cs="宋体"/>
          <w:b/>
          <w:bCs/>
          <w:color w:val="auto"/>
          <w:sz w:val="24"/>
          <w:szCs w:val="24"/>
          <w:highlight w:val="none"/>
          <w:lang w:val="en-US" w:eastAsia="zh-CN"/>
        </w:rPr>
        <w:t xml:space="preserve">7：00~21：00；巡查员</w:t>
      </w:r>
      <w:r>
        <w:rPr>
          <w:rFonts w:hint="eastAsia" w:ascii="宋体" w:hAnsi="宋体" w:eastAsia="宋体" w:cs="宋体"/>
          <w:b/>
          <w:bCs/>
          <w:color w:val="auto"/>
          <w:sz w:val="24"/>
          <w:szCs w:val="24"/>
          <w:highlight w:val="none"/>
        </w:rPr>
        <w:t xml:space="preserve">、道闸口值班保安：</w:t>
      </w:r>
      <w:r>
        <w:rPr>
          <w:rFonts w:hint="eastAsia" w:ascii="宋体" w:hAnsi="宋体" w:eastAsia="宋体" w:cs="宋体"/>
          <w:b/>
          <w:bCs/>
          <w:color w:val="auto"/>
          <w:sz w:val="24"/>
          <w:szCs w:val="24"/>
          <w:highlight w:val="none"/>
          <w:lang w:val="en-US" w:eastAsia="zh-CN"/>
        </w:rPr>
        <w:t xml:space="preserve">24小时保持人员值守。</w:t>
      </w:r>
      <w:r>
        <w:rPr>
          <w:rFonts w:hint="eastAsia" w:ascii="宋体" w:hAnsi="宋体" w:eastAsia="宋体" w:cs="宋体"/>
          <w:b/>
          <w:bCs/>
          <w:color w:val="auto"/>
          <w:sz w:val="24"/>
          <w:szCs w:val="24"/>
          <w:highlight w:val="none"/>
        </w:rPr>
        <w:t xml:space="preserve">法定节假日及重大活动期间，根据甲方通知延长工作时间，具体以通知为准。</w:t>
      </w:r>
      <w:r/>
    </w:p>
    <w:p>
      <w:pPr>
        <w:ind w:firstLine="482"/>
        <w:jc w:val="left"/>
        <w:keepLines w:val="0"/>
        <w:keepNext w:val="0"/>
        <w:pageBreakBefore w:val="0"/>
        <w:spacing w:before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）夜班保安：除道闸值守外，须每3小时对区域内部进行至少一次巡逻，并按规定打卡</w:t>
      </w:r>
      <w:r>
        <w:rPr>
          <w:rFonts w:hint="eastAsia" w:ascii="宋体" w:hAnsi="宋体" w:eastAsia="宋体" w:cs="宋体"/>
          <w:b/>
          <w:bCs/>
          <w:color w:val="auto"/>
          <w:sz w:val="24"/>
          <w:szCs w:val="24"/>
          <w:highlight w:val="none"/>
          <w:lang w:eastAsia="zh-CN"/>
        </w:rPr>
        <w:t xml:space="preserve">（打卡</w:t>
      </w:r>
      <w:r>
        <w:rPr>
          <w:rFonts w:hint="eastAsia" w:ascii="宋体" w:hAnsi="宋体" w:cs="宋体"/>
          <w:b/>
          <w:bCs/>
          <w:color w:val="auto"/>
          <w:sz w:val="24"/>
          <w:szCs w:val="24"/>
          <w:highlight w:val="none"/>
          <w:lang w:val="en-US" w:eastAsia="zh-CN"/>
        </w:rPr>
        <w:t xml:space="preserve">方式经业主同意后实施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。夜班巡查员:须每2小时对沙滩及周边区域至少巡逻一次，并按规定打卡</w:t>
      </w:r>
      <w:r>
        <w:rPr>
          <w:rFonts w:hint="eastAsia" w:ascii="宋体" w:hAnsi="宋体" w:eastAsia="宋体" w:cs="宋体"/>
          <w:b/>
          <w:bCs/>
          <w:color w:val="auto"/>
          <w:sz w:val="24"/>
          <w:szCs w:val="24"/>
          <w:highlight w:val="none"/>
          <w:lang w:eastAsia="zh-CN"/>
        </w:rPr>
        <w:t xml:space="preserve">（打卡</w:t>
      </w:r>
      <w:r>
        <w:rPr>
          <w:rFonts w:hint="eastAsia" w:ascii="宋体" w:hAnsi="宋体" w:cs="宋体"/>
          <w:b/>
          <w:bCs/>
          <w:color w:val="auto"/>
          <w:sz w:val="24"/>
          <w:szCs w:val="24"/>
          <w:highlight w:val="none"/>
          <w:lang w:val="en-US" w:eastAsia="zh-CN"/>
        </w:rPr>
        <w:t xml:space="preserve">方式经业主同意后实施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2"/>
        <w:jc w:val="left"/>
        <w:keepLines w:val="0"/>
        <w:keepNext w:val="0"/>
        <w:pageBreakBefore w:val="0"/>
        <w:spacing w:beforeAutospacing="0"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五、服务要求：</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（1）严格按照甲方</w:t>
      </w:r>
      <w:r>
        <w:rPr>
          <w:rFonts w:hint="eastAsia" w:ascii="宋体" w:hAnsi="宋体" w:cs="宋体"/>
          <w:sz w:val="24"/>
          <w:szCs w:val="24"/>
          <w:highlight w:val="none"/>
          <w:lang w:val="en-US" w:eastAsia="zh-CN"/>
        </w:rPr>
        <w:t xml:space="preserve">工作质效</w:t>
      </w:r>
      <w:r>
        <w:rPr>
          <w:rFonts w:hint="eastAsia" w:ascii="宋体" w:hAnsi="宋体" w:eastAsia="宋体" w:cs="宋体"/>
          <w:sz w:val="24"/>
          <w:szCs w:val="24"/>
          <w:highlight w:val="none"/>
          <w:lang w:val="en-US" w:eastAsia="zh-CN"/>
        </w:rPr>
        <w:t xml:space="preserve">要求配置在岗人员数量、安排服务工作时间</w:t>
      </w:r>
      <w:r>
        <w:rPr>
          <w:rFonts w:hint="eastAsia" w:ascii="宋体" w:hAnsi="宋体" w:cs="宋体"/>
          <w:sz w:val="24"/>
          <w:szCs w:val="24"/>
          <w:highlight w:val="none"/>
          <w:lang w:val="en-US" w:eastAsia="zh-CN"/>
        </w:rPr>
        <w:t xml:space="preserve">，每月向甲方报备一次配置方案，重大活动及法定节假日提前至少3日向甲方报备配置方案</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（2）严格遵守国家的法律、法规、条例以及江苏省的各项管理规定。科学、规范管理，服务热情周到，建立现代化、人性化管理服务体系。</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（3）建立严格规范的防火、防水、治安、安全等应急管理体系，确保安全管理工作万无一失。</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（4）提高优质环境保障，确保服务范围内卫生状况良好，定期进行消杀。</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（5）进一步完善各项管理制度、各岗位工作标准，建立严格的考核办法，充分调动员工的工作积极性和主观能动性。进一步加强员工的服务意识和责任心。</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（6）制定完善系统的培训计划，切实提高员工队伍的整体素质，确保培训上岗</w:t>
      </w:r>
      <w:r>
        <w:rPr>
          <w:rFonts w:hint="eastAsia" w:ascii="宋体" w:hAnsi="宋体" w:cs="宋体"/>
          <w:sz w:val="24"/>
          <w:szCs w:val="24"/>
          <w:highlight w:val="none"/>
          <w:lang w:val="en-US" w:eastAsia="zh-CN"/>
        </w:rPr>
        <w:t xml:space="preserve">率</w:t>
      </w:r>
      <w:r>
        <w:rPr>
          <w:rFonts w:hint="eastAsia" w:ascii="宋体" w:hAnsi="宋体" w:eastAsia="宋体" w:cs="宋体"/>
          <w:sz w:val="24"/>
          <w:szCs w:val="24"/>
          <w:highlight w:val="none"/>
          <w:lang w:val="en-US" w:eastAsia="zh-CN"/>
        </w:rPr>
        <w:t xml:space="preserve">100%。</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（7）乙方需建立完善的服务工作制度及工作台账，至少包括以下内容：值班制度及值班记录、岗位职责、安全注意事项、考核制度、巡查制度、设备</w:t>
      </w:r>
      <w:r>
        <w:rPr>
          <w:rFonts w:hint="eastAsia" w:ascii="宋体" w:hAnsi="宋体" w:cs="宋体"/>
          <w:sz w:val="24"/>
          <w:szCs w:val="24"/>
          <w:highlight w:val="none"/>
          <w:lang w:val="en-US" w:eastAsia="zh-CN"/>
        </w:rPr>
        <w:t xml:space="preserve">使用与管理</w:t>
      </w:r>
      <w:r>
        <w:rPr>
          <w:rFonts w:hint="eastAsia" w:ascii="宋体" w:hAnsi="宋体" w:eastAsia="宋体" w:cs="宋体"/>
          <w:sz w:val="24"/>
          <w:szCs w:val="24"/>
          <w:highlight w:val="none"/>
          <w:lang w:val="en-US" w:eastAsia="zh-CN"/>
        </w:rPr>
        <w:t xml:space="preserve">台账、巡查检查台账(包括但不限于设备、区域等巡查)、安全措施、考勤表等，特别是节假日期间的运行管理制度要提前报甲方审核，并根据甲方的要求进行人、物的补充。</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（8）服务期内发生设施偷盗，须第一时间向辖区派出所报案并向管理部门汇报。</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乙方人员在服务范围内出现打架斗殴、损坏公共财物、安全事故等情况时，所产生的对乙方人员或第三方人员的人身、财产损害、或者对甲方造成损失的，由此产生的一切经济及法律责任均由乙方独立承担。</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（10）乙方须向甲方提供相关人员进行对接，确保服务及时到位，不拖延、不敷衍。服务人员应做到精通业务、吃苦耐劳、文明礼貌、遵守制度，</w:t>
      </w:r>
      <w:r>
        <w:rPr>
          <w:rFonts w:hint="eastAsia" w:ascii="宋体" w:hAnsi="宋体" w:eastAsia="宋体" w:cs="宋体"/>
          <w:color w:val="auto"/>
          <w:sz w:val="24"/>
          <w:szCs w:val="24"/>
          <w:highlight w:val="none"/>
          <w:lang w:val="en-US" w:eastAsia="zh-CN"/>
        </w:rPr>
        <w:t xml:space="preserve">在岗时间</w:t>
      </w:r>
      <w:r>
        <w:rPr>
          <w:rFonts w:hint="eastAsia" w:ascii="宋体" w:hAnsi="宋体" w:eastAsia="宋体" w:cs="宋体"/>
          <w:sz w:val="24"/>
          <w:szCs w:val="24"/>
          <w:highlight w:val="none"/>
          <w:lang w:val="en-US" w:eastAsia="zh-CN"/>
        </w:rPr>
        <w:t xml:space="preserve">手机保持开机。</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（11）乙方应严格按照规范、采购文件等相关要求提供相应服务，须安全文明管理与服务。</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（12）乙方必须服从甲方及接收服务单位的统一平衡调配，遇到法定节日或重大活动，应主动提前提供值班人员名单及联系电话。对于甲方其它合理的指令性任务高度配合，能迅速行动。</w:t>
      </w:r>
      <w:r/>
    </w:p>
    <w:p>
      <w:pPr>
        <w:ind w:firstLine="480"/>
        <w:pageBreakBefore w:val="0"/>
        <w:spacing w:beforeAutospacing="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color w:val="auto"/>
          <w:sz w:val="24"/>
          <w:szCs w:val="24"/>
          <w:highlight w:val="none"/>
          <w:lang w:val="en-US" w:eastAsia="zh-CN" w:bidi="ar-SA"/>
        </w:rPr>
        <w:t xml:space="preserve">乙方须严格按合同约定及甲方要求提供服务。甲方有权对乙方服务情况进行日常检查、随机抽查及专项考核，发现下列情形之一的，甲方有权要求乙方立即整改，并根据考核细则扣分或处罚：</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A.服务不到位、响应不及时；</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B.无故迟到、早退、脱岗、睡岗；</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C.工作态度散漫、敷衍塞责；</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D.电瓶车飞线充电、工具车辆随意摆放等安全隐患；</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E.其他违反合同约定的行为。</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乙方应在甲方规定时限内完成整改，并书面反馈。逾期未整改或整改不合格的，每次向甲方支付违约金2000元，从当月服务费中扣除。</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发生下列情形之一的，甲方有权单方解除合同，并不承担任何违约责任：</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A.同一问题在一个月内被甲方指出三次且未按时整改的；</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B.一个月内累计三次未按时整改的；</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C.连续两个月月度考核得分低于80分的；</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D.因乙方人员脱岗、失职导致安全事故或重大负面舆情的。</w:t>
      </w:r>
      <w:r/>
    </w:p>
    <w:p>
      <w:pPr>
        <w:ind w:firstLine="480"/>
        <w:pageBreakBefore w:val="0"/>
        <w:spacing w:before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合同解除后，乙方须按甲方要求完成交接，甲方仅按实际服务天数支付费用，乙方已收取但未服务部分的费用须退还。</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（14）乙方在项目服务中必须严格遵守相关的法规、规范、安全相关规定，服从主管部门管理。加强</w:t>
      </w:r>
      <w:r>
        <w:rPr>
          <w:rFonts w:hint="eastAsia" w:ascii="宋体" w:hAnsi="宋体" w:eastAsia="宋体" w:cs="宋体"/>
          <w:sz w:val="24"/>
          <w:szCs w:val="24"/>
          <w:highlight w:val="none"/>
          <w:lang w:val="en-US" w:eastAsia="zh-CN"/>
        </w:rPr>
        <w:t xml:space="preserve">服务期间的安全文明管理，严格操作规程，采取严格有力的安全防护措施，做好安全防护工作(包括现场防护、防落水等),确保服务人员与服务区域内人员的人身安全、交通安全。相关专业岗位人员必须持证上岗。在服务过程中，因甲方提供的设施设备存在固有缺陷或甲方指令错误导致的安全事故，乙方应及时报告并采取必要措施防止损失扩大，甲方应根据其过错程度承担相应责任。因乙方工作失误导致的安全事故，其一切责任由乙方承担。所发生的全部费用及损失由乙方承担并扣除其相应金额。乙方必须为项目所有服务人员购买意外伤害险以保证项目服务的平安、顺畅。</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（15）乙方必须遵守政府有关主管部门对环境保护和安全生产等的管理规定，如因乙方的原因，导致扰民投诉及相关部门罚款的，均由乙方负责。</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（16）乙方须在合同签订后10日内，向甲方提供以下保险的有效保单复印件： </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A.公众责任险，每次事故赔偿限额不低于人民币200万元； </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B.雇主责任险，每人每次事故赔偿限额不低于人民币100万元。  </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保险期限须覆盖整个合同期，保险到期前30日乙方须续保并提供新保单。未按约定投保或续保的，甲方有权暂停支付服务费用，直至乙方提供合格保单；逾期30日仍未提供的，甲方有权单方解除合同。</w:t>
      </w:r>
      <w:r/>
    </w:p>
    <w:p>
      <w:pPr>
        <w:ind w:firstLine="482"/>
        <w:jc w:val="left"/>
        <w:keepLines w:val="0"/>
        <w:keepNext w:val="0"/>
        <w:pageBreakBefore w:val="0"/>
        <w:spacing w:beforeAutospacing="0"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第三条 双方的权利和义务</w:t>
      </w:r>
      <w:r/>
    </w:p>
    <w:p>
      <w:pPr>
        <w:ind w:firstLine="482"/>
        <w:jc w:val="left"/>
        <w:keepLines w:val="0"/>
        <w:keepNext w:val="0"/>
        <w:pageBreakBefore w:val="0"/>
        <w:spacing w:before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一、甲方的权利义务</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7282815</wp:posOffset>
                </wp:positionH>
                <wp:positionV relativeFrom="paragraph">
                  <wp:posOffset>147955</wp:posOffset>
                </wp:positionV>
                <wp:extent cx="75565" cy="12319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75565" cy="123189"/>
                        </a:xfrm>
                        <a:prstGeom prst="rect">
                          <a:avLst/>
                        </a:prstGeom>
                        <a:noFill/>
                        <a:ln>
                          <a:noFill/>
                        </a:ln>
                        <a:effectLst/>
                      </wps:spPr>
                      <wps:txbx>
                        <w:txbxContent>
                          <w:p>
                            <w:pPr>
                              <w:ind w:left="20"/>
                              <w:spacing w:before="20" w:line="188" w:lineRule="auto"/>
                              <w:rPr>
                                <w:rFonts w:hint="default" w:ascii="Times New Roman" w:hAnsi="Times New Roman" w:eastAsia="Times New Roman" w:cs="Times New Roman"/>
                                <w:sz w:val="17"/>
                                <w:szCs w:val="17"/>
                              </w:rPr>
                            </w:pPr>
                            <w:r>
                              <w:rPr>
                                <w:rFonts w:hint="default" w:ascii="Times New Roman" w:hAnsi="Times New Roman" w:eastAsia="Times New Roman" w:cs="Times New Roman"/>
                                <w:sz w:val="17"/>
                                <w:szCs w:val="17"/>
                              </w:rPr>
                              <w:t xml:space="preserve">3</w:t>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text;margin-left:573.4pt;mso-position-horizontal:absolute;mso-position-vertical-relative:text;margin-top:11.6pt;mso-position-vertical:absolute;width:5.9pt;height:9.7pt;mso-wrap-distance-left:9.0pt;mso-wrap-distance-top:0.0pt;mso-wrap-distance-right:9.0pt;mso-wrap-distance-bottom:0.0pt;visibility:visible;" filled="f" stroked="f">
                <v:textbox inset="0,0,0,0">
                  <w:txbxContent>
                    <w:p>
                      <w:pPr>
                        <w:ind w:left="20"/>
                        <w:spacing w:before="20" w:line="188" w:lineRule="auto"/>
                        <w:rPr>
                          <w:rFonts w:hint="default" w:ascii="Times New Roman" w:hAnsi="Times New Roman" w:eastAsia="Times New Roman" w:cs="Times New Roman"/>
                          <w:sz w:val="17"/>
                          <w:szCs w:val="17"/>
                        </w:rPr>
                      </w:pPr>
                      <w:r>
                        <w:rPr>
                          <w:rFonts w:hint="default" w:ascii="Times New Roman" w:hAnsi="Times New Roman" w:eastAsia="Times New Roman" w:cs="Times New Roman"/>
                          <w:sz w:val="17"/>
                          <w:szCs w:val="17"/>
                        </w:rPr>
                        <w:t xml:space="preserve">3</w:t>
                      </w:r>
                      <w:r/>
                    </w:p>
                  </w:txbxContent>
                </v:textbox>
              </v:shape>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7169150</wp:posOffset>
                </wp:positionH>
                <wp:positionV relativeFrom="paragraph">
                  <wp:posOffset>276225</wp:posOffset>
                </wp:positionV>
                <wp:extent cx="117475" cy="14605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17475" cy="146050"/>
                        </a:xfrm>
                        <a:prstGeom prst="rect">
                          <a:avLst/>
                        </a:prstGeom>
                        <a:noFill/>
                        <a:ln>
                          <a:noFill/>
                        </a:ln>
                        <a:effectLst/>
                      </wps:spPr>
                      <wps:txbx>
                        <w:txbxContent>
                          <w:p>
                            <w:pPr>
                              <w:ind w:left="20"/>
                              <w:spacing w:before="20" w:line="188" w:lineRule="auto"/>
                              <w:rPr>
                                <w:rFonts w:hint="default" w:ascii="Times New Roman" w:hAnsi="Times New Roman" w:eastAsia="Times New Roman" w:cs="Times New Roman"/>
                                <w:sz w:val="21"/>
                                <w:szCs w:val="21"/>
                              </w:rPr>
                            </w:pPr>
                            <w:r>
                              <w:rPr>
                                <w:rFonts w:hint="default" w:ascii="Times New Roman" w:hAnsi="Times New Roman" w:eastAsia="Times New Roman" w:cs="Times New Roman"/>
                                <w:sz w:val="21"/>
                                <w:szCs w:val="21"/>
                              </w:rPr>
                              <w:t xml:space="preserve">O</w:t>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text;margin-left:564.5pt;mso-position-horizontal:absolute;mso-position-vertical-relative:text;margin-top:21.8pt;mso-position-vertical:absolute;width:9.2pt;height:11.5pt;mso-wrap-distance-left:9.0pt;mso-wrap-distance-top:0.0pt;mso-wrap-distance-right:9.0pt;mso-wrap-distance-bottom:0.0pt;visibility:visible;" filled="f" stroked="f">
                <v:textbox inset="0,0,0,0">
                  <w:txbxContent>
                    <w:p>
                      <w:pPr>
                        <w:ind w:left="20"/>
                        <w:spacing w:before="20" w:line="188" w:lineRule="auto"/>
                        <w:rPr>
                          <w:rFonts w:hint="default" w:ascii="Times New Roman" w:hAnsi="Times New Roman" w:eastAsia="Times New Roman" w:cs="Times New Roman"/>
                          <w:sz w:val="21"/>
                          <w:szCs w:val="21"/>
                        </w:rPr>
                      </w:pPr>
                      <w:r>
                        <w:rPr>
                          <w:rFonts w:hint="default" w:ascii="Times New Roman" w:hAnsi="Times New Roman" w:eastAsia="Times New Roman" w:cs="Times New Roman"/>
                          <w:sz w:val="21"/>
                          <w:szCs w:val="21"/>
                        </w:rPr>
                        <w:t xml:space="preserve">O</w:t>
                      </w:r>
                      <w:r/>
                    </w:p>
                  </w:txbxContent>
                </v:textbox>
              </v:shape>
            </w:pict>
          </mc:Fallback>
        </mc:AlternateConten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审定乙方服务工作计划；</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对乙方的服务进行监督检查、考核，提出建议和整改意见，甲方有权根据实况调</w:t>
      </w:r>
      <w:r>
        <w:rPr>
          <w:rFonts w:hint="eastAsia" w:ascii="宋体" w:hAnsi="宋体" w:eastAsia="宋体" w:cs="宋体"/>
          <w:color w:val="auto"/>
          <w:sz w:val="24"/>
          <w:szCs w:val="24"/>
          <w:highlight w:val="none"/>
        </w:rPr>
        <w:t xml:space="preserve">整考核方案；</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按合同约定支付乙方服务费用；</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）负责协调处理非乙方原因产生的业主、使用人或第三方之间的纠纷</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法律、法规规定的其它权利和义务。</w:t>
      </w:r>
      <w:r/>
    </w:p>
    <w:p>
      <w:pPr>
        <w:ind w:firstLine="482"/>
        <w:jc w:val="left"/>
        <w:keepLines w:val="0"/>
        <w:keepNext w:val="0"/>
        <w:pageBreakBefore w:val="0"/>
        <w:spacing w:beforeAutospacing="0"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二、乙方的权利义务</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根据法律、法规、政策及采购文件的要求，制定服务工作计划：全部工作人员管理机构的岗位职责说明、工作流程；根据甲方的要求提供书面的服务计划、日常工作记录等，对甲方提出的合理建议应当采纳吸收。</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（2）建立服务对象档案、巡查台账，按照甲方的要求提交给甲方监督检查。</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（3）配合甲方做好突发事件、自然灾害、事故灾害、公共卫生事件和安全事件的应急处理 。</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（4）接受政府相关部门及甲方的监督、检查及考核，管理及服务人员必须遵守甲方的内部管理制度，服从甲方整体管理。</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乙方负责招聘录用、管理服务人员，并根据国家劳动法规定按时、足额发放员工工资，工资标准不低于南通市最低工资标准。依法与员工签订劳动（务）合同，依法为员工缴纳工伤等社会保险，并负责处理员工的劳动用工管理及相关的纠纷事宜。如因乙方或者乙方员工造成甲方或第三方人身、财产损害的，由乙方承担全部责任，甲方与乙方人员不存在任何劳动（务）关系。乙方保证其人员不得因任何理由干扰甲方正常办公，给甲方造成任何负面影响。</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（6）按甲方要求配备服务人员，如在服务过程中发现人员不符合文件要求的，甲方有权要求乙方整改到位。</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（7）乙方确保聘请的人员具有相应的资质及工作能力，能够胜任工作。</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乙方及其工作人员合理使用甲方提供的设备、器材等，如因乙方及其工作人员原因造成损坏的，由乙方负责照价赔偿，合同解除或者终止后，乙方应当与甲方办理书面的物品交接手续，并按照正常使用后的状态交还给甲方。</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7243445</wp:posOffset>
                </wp:positionH>
                <wp:positionV relativeFrom="paragraph">
                  <wp:posOffset>222250</wp:posOffset>
                </wp:positionV>
                <wp:extent cx="173355" cy="1435100"/>
                <wp:effectExtent l="0" t="0" r="9525" b="12700"/>
                <wp:wrapNone/>
                <wp:docPr id="4" name="IM 56"/>
                <wp:cNvGraphicFramePr/>
                <a:graphic xmlns:a="http://schemas.openxmlformats.org/drawingml/2006/main">
                  <a:graphicData uri="http://schemas.openxmlformats.org/drawingml/2006/picture">
                    <pic:pic xmlns:pic="http://schemas.openxmlformats.org/drawingml/2006/picture">
                      <pic:nvPicPr>
                        <pic:cNvPr id="2" name="IM 56"/>
                        <pic:cNvPicPr/>
                        <pic:nvPr/>
                      </pic:nvPicPr>
                      <pic:blipFill>
                        <a:blip r:embed="rId13"/>
                        <a:stretch/>
                      </pic:blipFill>
                      <pic:spPr bwMode="auto">
                        <a:xfrm>
                          <a:off x="0" y="0"/>
                          <a:ext cx="173355" cy="1435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570.4pt;mso-position-horizontal:absolute;mso-position-vertical-relative:text;margin-top:17.5pt;mso-position-vertical:absolute;width:13.6pt;height:11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sz w:val="24"/>
          <w:szCs w:val="24"/>
          <w:highlight w:val="none"/>
          <w:lang w:val="en-US" w:eastAsia="zh-CN"/>
        </w:rPr>
        <w:t xml:space="preserve">（9）乙方对本合同项下服务过程中发生的任何安全事故、人身伤害、财产损失承担全部直接责任和最终赔偿责任。</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若因乙方未履行或未完全履行本合同约定的安全保障义务（包括但不限于安全巡查、安全警示、游客引导、应急救援等），导致任何第三方（包括游客、群众等）遭受人身伤害或财产损失的，乙方应独立承担对受害方的全部民事赔偿责任。</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若因法律规定或司法裁判，甲方被要求先行向受害方承担赔偿责任的，甲方在承担赔偿责任后，有权向乙方全额追偿，包括但不限于甲方向受害方支付的赔偿金、诉讼费、律师费、鉴定费及其他合理费用。乙方应在收到甲方书面追偿通知后15日内支付上述款项。</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法律、法规规定的其他权利和义务。</w:t>
      </w:r>
      <w:r/>
    </w:p>
    <w:p>
      <w:pPr>
        <w:ind w:firstLine="482"/>
        <w:jc w:val="left"/>
        <w:keepLines w:val="0"/>
        <w:keepNext w:val="0"/>
        <w:pageBreakBefore w:val="0"/>
        <w:spacing w:before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7244715</wp:posOffset>
                </wp:positionH>
                <wp:positionV relativeFrom="paragraph">
                  <wp:posOffset>81280</wp:posOffset>
                </wp:positionV>
                <wp:extent cx="184785" cy="1454785"/>
                <wp:effectExtent l="0" t="0" r="13335" b="8255"/>
                <wp:wrapNone/>
                <wp:docPr id="5" name="IM 58"/>
                <wp:cNvGraphicFramePr/>
                <a:graphic xmlns:a="http://schemas.openxmlformats.org/drawingml/2006/main">
                  <a:graphicData uri="http://schemas.openxmlformats.org/drawingml/2006/picture">
                    <pic:pic xmlns:pic="http://schemas.openxmlformats.org/drawingml/2006/picture">
                      <pic:nvPicPr>
                        <pic:cNvPr id="3" name="IM 58"/>
                        <pic:cNvPicPr/>
                        <pic:nvPr/>
                      </pic:nvPicPr>
                      <pic:blipFill>
                        <a:blip r:embed="rId14"/>
                        <a:stretch/>
                      </pic:blipFill>
                      <pic:spPr bwMode="auto">
                        <a:xfrm>
                          <a:off x="0" y="0"/>
                          <a:ext cx="184785"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570.4pt;mso-position-horizontal:absolute;mso-position-vertical-relative:text;margin-top:6.4pt;mso-position-vertical:absolute;width:14.5pt;height:114.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b/>
          <w:bCs/>
          <w:sz w:val="24"/>
          <w:szCs w:val="24"/>
          <w:highlight w:val="none"/>
          <w:lang w:val="en-US" w:eastAsia="zh-CN"/>
        </w:rPr>
        <w:t xml:space="preserve">第五条  </w:t>
      </w:r>
      <w:r>
        <w:rPr>
          <w:rFonts w:hint="eastAsia" w:ascii="宋体" w:hAnsi="宋体" w:eastAsia="宋体" w:cs="宋体"/>
          <w:b/>
          <w:bCs/>
          <w:sz w:val="24"/>
          <w:szCs w:val="24"/>
          <w:highlight w:val="none"/>
        </w:rPr>
        <w:t xml:space="preserve">违约责任</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7042785</wp:posOffset>
                </wp:positionH>
                <wp:positionV relativeFrom="paragraph">
                  <wp:posOffset>1033145</wp:posOffset>
                </wp:positionV>
                <wp:extent cx="58420" cy="11049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58420" cy="110490"/>
                        </a:xfrm>
                        <a:prstGeom prst="rect">
                          <a:avLst/>
                        </a:prstGeom>
                        <a:noFill/>
                        <a:ln>
                          <a:noFill/>
                        </a:ln>
                        <a:effectLst/>
                      </wps:spPr>
                      <wps:txbx>
                        <w:txbxContent>
                          <w:p>
                            <w:pPr>
                              <w:ind w:left="20"/>
                              <w:jc w:val="both"/>
                              <w:spacing w:before="20" w:line="224" w:lineRule="auto"/>
                              <w:widowControl w:val="off"/>
                              <w:rPr>
                                <w:rFonts w:hint="default" w:ascii="仿宋_GB2312" w:hAnsi="Times New Roman" w:eastAsia="仿宋_GB2312" w:cs="Times New Roman"/>
                                <w:sz w:val="11"/>
                                <w:szCs w:val="11"/>
                                <w:lang w:val="en-US" w:eastAsia="zh-CN" w:bidi="ar-SA"/>
                              </w:rPr>
                            </w:pPr>
                            <w:r>
                              <w:rPr>
                                <w:rFonts w:hint="default" w:ascii="仿宋_GB2312" w:hAnsi="Times New Roman" w:eastAsia="仿宋_GB2312" w:cs="Times New Roman"/>
                                <w:sz w:val="11"/>
                                <w:szCs w:val="11"/>
                                <w:lang w:val="en-US" w:eastAsia="zh-CN" w:bidi="ar-SA"/>
                              </w:rPr>
                              <w:t xml:space="preserve">/</w:t>
                            </w:r>
                            <w:r/>
                          </w:p>
                        </w:txbxContent>
                      </wps:txbx>
                      <wps:bodyPr lIns="0" tIns="0" rIns="0" bIns="0" upright="1"/>
                    </wps:wsp>
                  </a:graphicData>
                </a:graphic>
              </wp:anchor>
            </w:drawing>
          </mc:Choice>
          <mc:Fallback>
            <w:pict>
              <v:shape id="shape 5" o:spid="_x0000_s5" o:spt="202" type="#_x0000_t202" style="position:absolute;z-index:251663360;o:allowoverlap:true;o:allowincell:true;mso-position-horizontal-relative:text;margin-left:554.5pt;mso-position-horizontal:absolute;mso-position-vertical-relative:text;margin-top:81.3pt;mso-position-vertical:absolute;width:4.6pt;height:8.7pt;mso-wrap-distance-left:9.0pt;mso-wrap-distance-top:0.0pt;mso-wrap-distance-right:9.0pt;mso-wrap-distance-bottom:0.0pt;visibility:visible;" filled="f" stroked="f">
                <v:textbox inset="0,0,0,0">
                  <w:txbxContent>
                    <w:p>
                      <w:pPr>
                        <w:ind w:left="20"/>
                        <w:jc w:val="both"/>
                        <w:spacing w:before="20" w:line="224" w:lineRule="auto"/>
                        <w:widowControl w:val="off"/>
                        <w:rPr>
                          <w:rFonts w:hint="default" w:ascii="仿宋_GB2312" w:hAnsi="Times New Roman" w:eastAsia="仿宋_GB2312" w:cs="Times New Roman"/>
                          <w:sz w:val="11"/>
                          <w:szCs w:val="11"/>
                          <w:lang w:val="en-US" w:eastAsia="zh-CN" w:bidi="ar-SA"/>
                        </w:rPr>
                      </w:pPr>
                      <w:r>
                        <w:rPr>
                          <w:rFonts w:hint="default" w:ascii="仿宋_GB2312" w:hAnsi="Times New Roman" w:eastAsia="仿宋_GB2312" w:cs="Times New Roman"/>
                          <w:sz w:val="11"/>
                          <w:szCs w:val="11"/>
                          <w:lang w:val="en-US" w:eastAsia="zh-CN" w:bidi="ar-SA"/>
                        </w:rPr>
                        <w:t xml:space="preserve">/</w:t>
                      </w:r>
                      <w:r/>
                    </w:p>
                  </w:txbxContent>
                </v:textbox>
              </v:shape>
            </w:pict>
          </mc:Fallback>
        </mc:AlternateContent>
      </w:r>
      <w:r>
        <w:rPr>
          <w:rFonts w:hint="eastAsia" w:ascii="宋体" w:hAnsi="宋体" w:eastAsia="宋体" w:cs="宋体"/>
          <w:sz w:val="24"/>
          <w:szCs w:val="24"/>
          <w:highlight w:val="none"/>
          <w:lang w:val="en-US" w:eastAsia="zh-CN"/>
        </w:rPr>
        <w:t xml:space="preserve">1）乙方违反合同约定，未达到管理服务质量约定目标的，甲方有权要求乙方限期改正。</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乙方出现下列违约情形之一的，甲方有权要求乙方限期改正，并视情节轻重追究违约责任：乙方管理人员或员工存在违规违法、与岗位不相适宜的行为；服务质量经甲方认定不合格或遭游客群体性有效投诉；乙方弄虚作假，如虚报在岗人数、伪造打卡记录等；其他违反合同约定的情形。</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违约金标准如下：</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一般违约（如迟到、未着装、工具乱放等）：每项每次200元；</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较重违约（如脱岗、未按时整改、垃圾未及时清理等）：每项每次1000元；</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严重违约（如因脱岗导致安全隐患、较大范围舆情、弄虚作假等）：每项每次5000元，甲方并有权直接解除合同。 </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所有违约金甲方有权直接从当月服务费中扣除，无需乙方确认。</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因甲方设施设备质量或安装技术等方面存在的缺陷造成重大事故的，由甲方承担责任并负责善后处理。乙方如发现存在隐患的应于24小时内及时告知甲方并采取必要的防范及补救措施，甲方接到报告后应于24小时内告知处理方案。</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4）除法律规定或合同约定外，任何一方无正当理由提前解除合同的，须向对方支付违约金，金额为合同总金额的20%。但因乙方违约导致甲方依约解除合同的，乙方无权要求甲方支付任何补偿或违约金。</w:t>
      </w:r>
      <w:r/>
    </w:p>
    <w:p>
      <w:pPr>
        <w:ind w:firstLine="480"/>
        <w:jc w:val="left"/>
        <w:keepLines w:val="0"/>
        <w:keepNext w:val="0"/>
        <w:pageBreakBefore w:val="0"/>
        <w:spacing w:beforeAutospacing="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5）本合同甲乙双方均需共同遵守，如一方违约，违约方向守约方支付违约人民币10000元（本合同对违约金另有约定的，以违约金金额较高者为准）。</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both"/>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r>
      <w:r/>
    </w:p>
    <w:p>
      <w:pPr>
        <w:jc w:val="both"/>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t xml:space="preserve">注：采购人保留调整合同条款的权利。</w:t>
      </w:r>
      <w:r/>
    </w:p>
    <w:p>
      <w:pPr>
        <w:rPr>
          <w:rFonts w:hint="default" w:ascii="Calibri" w:hAnsi="Calibri" w:eastAsia="宋体"/>
          <w:highlight w:val="none"/>
        </w:rPr>
      </w:pPr>
      <w:r>
        <w:rPr>
          <w:rFonts w:hint="default" w:ascii="Calibri" w:hAnsi="Calibri" w:eastAsia="宋体"/>
          <w:highlight w:val="none"/>
        </w:rPr>
      </w:r>
      <w:r/>
    </w:p>
    <w:p>
      <w:pPr>
        <w:pStyle w:val="735"/>
        <w:jc w:val="center"/>
        <w:keepLines w:val="0"/>
        <w:keepNext w:val="0"/>
        <w:pageBreakBefore w:val="0"/>
        <w:spacing w:after="144" w:line="360" w:lineRule="auto"/>
        <w:widowControl w:val="off"/>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r>
      <w:r/>
    </w:p>
    <w:p>
      <w:pPr>
        <w:pStyle w:val="735"/>
        <w:jc w:val="center"/>
        <w:keepLines w:val="0"/>
        <w:keepNext w:val="0"/>
        <w:pageBreakBefore w:val="0"/>
        <w:spacing w:after="144" w:line="360" w:lineRule="auto"/>
        <w:widowControl w:val="off"/>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r>
      <w:r/>
    </w:p>
    <w:p>
      <w:pPr>
        <w:pStyle w:val="735"/>
        <w:jc w:val="center"/>
        <w:keepLines w:val="0"/>
        <w:keepNext w:val="0"/>
        <w:pageBreakBefore w:val="0"/>
        <w:spacing w:after="144" w:line="360" w:lineRule="auto"/>
        <w:widowControl w:val="off"/>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 xml:space="preserve">附件：通州湾示范区灯塔区域物业管理服务月考核表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被考核方（乙方）：</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考核月份：</w:t>
      </w:r>
      <w:r>
        <w:rPr>
          <w:rFonts w:hint="eastAsia" w:ascii="宋体" w:hAnsi="宋体" w:eastAsia="宋体" w:cs="宋体"/>
          <w:color w:val="000000"/>
          <w:sz w:val="24"/>
          <w:szCs w:val="24"/>
          <w:highlight w:val="none"/>
          <w:u w:val="none"/>
          <w:lang w:val="en-US" w:eastAsia="zh-CN" w:bidi="ar-SA"/>
        </w:rPr>
        <w:t xml:space="preserve">    </w:t>
      </w:r>
      <w:r>
        <w:rPr>
          <w:rFonts w:hint="eastAsia" w:ascii="宋体" w:hAnsi="宋体" w:cs="宋体"/>
          <w:color w:val="000000"/>
          <w:sz w:val="24"/>
          <w:szCs w:val="24"/>
          <w:highlight w:val="none"/>
          <w:u w:val="none"/>
          <w:lang w:val="en-US" w:eastAsia="zh-CN" w:bidi="ar-SA"/>
        </w:rPr>
        <w:t xml:space="preserve">                                               考核人：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一、考核说明</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1、考核目的：为全面提升灯塔区域公共服务质量，确保物业服务合同条款有效执行，将月度考核结果与服务费结算直接挂钩。</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2、考核方式：采取每日巡查记录、每周通报汇总、月度综合评定相结合的方式。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3、评分机制：本月考核总分为100分基准分，减去扣分项，加上加分项，得月度考核得分（S月）</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4、结算方式：合同总费用A = 服务费a + 简修预备费b</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服务费a的70%（即a×</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0%）作为基础服务费，每月固定支付，不与考核挂钩。</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服务费a的30%（即a×</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0%）作为绩效服务费，与月度考核结果挂钩，按以下比例支付：</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S月≥95分，支付绩效部分的100%</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90分≤S月&lt;95分，支付绩效部分的95%</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85分≤S月&lt;90分，支付绩效部分的90%</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80分≤S月&lt;85分，支付绩效部分的85%</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S月&lt;80分，支付绩效部分的80%</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简修预备费b：根据实际发生的设施维修项目，经甲方核定后，按实支付。未使用部分不予结算。</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5、争议处理：乙方对考核结果有异议的，可在收到本表后3个工作日内向甲方提出书面申诉，并附相关证据，由双方共同核实后裁定。</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二、月度考核评分表</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95"/>
        <w:gridCol w:w="1168"/>
        <w:gridCol w:w="1121"/>
        <w:gridCol w:w="1148"/>
        <w:gridCol w:w="1185"/>
        <w:gridCol w:w="2139"/>
      </w:tblGrid>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方正黑体_GBK" w:hAnsi="方正黑体_GBK" w:eastAsia="方正黑体_GBK" w:cs="方正黑体_GBK"/>
                <w:color w:val="000000"/>
                <w:sz w:val="24"/>
                <w:szCs w:val="24"/>
                <w:highlight w:val="none"/>
                <w:vertAlign w:val="baseline"/>
                <w:lang w:val="en-US" w:eastAsia="zh-CN" w:bidi="ar-SA"/>
              </w:rPr>
            </w:pPr>
            <w:r>
              <w:rPr>
                <w:rFonts w:hint="eastAsia" w:ascii="方正黑体_GBK" w:hAnsi="方正黑体_GBK" w:eastAsia="方正黑体_GBK" w:cs="方正黑体_GBK"/>
                <w:color w:val="000000"/>
                <w:sz w:val="24"/>
                <w:szCs w:val="24"/>
                <w:highlight w:val="none"/>
                <w:vertAlign w:val="baseline"/>
                <w:lang w:val="en-US" w:eastAsia="zh-CN" w:bidi="ar-SA"/>
              </w:rPr>
              <w:t xml:space="preserve">考核项目</w:t>
            </w:r>
            <w:r/>
          </w:p>
        </w:tc>
        <w:tc>
          <w:tcPr>
            <w:tcW w:w="1168" w:type="dxa"/>
            <w:vAlign w:val="center"/>
            <w:textDirection w:val="lrTb"/>
            <w:noWrap w:val="false"/>
          </w:tcPr>
          <w:p>
            <w:pPr>
              <w:jc w:val="center"/>
              <w:keepLines w:val="0"/>
              <w:keepNext w:val="0"/>
              <w:pageBreakBefore w:val="0"/>
              <w:spacing w:after="0" w:line="360" w:lineRule="auto"/>
              <w:widowControl w:val="off"/>
              <w:rPr>
                <w:rFonts w:hint="eastAsia" w:ascii="方正黑体_GBK" w:hAnsi="方正黑体_GBK" w:eastAsia="方正黑体_GBK" w:cs="方正黑体_GBK"/>
                <w:color w:val="000000"/>
                <w:sz w:val="24"/>
                <w:szCs w:val="24"/>
                <w:highlight w:val="none"/>
                <w:vertAlign w:val="baseline"/>
                <w:lang w:val="en-US" w:eastAsia="zh-CN" w:bidi="ar-SA"/>
              </w:rPr>
            </w:pPr>
            <w:r>
              <w:rPr>
                <w:rFonts w:hint="eastAsia" w:ascii="方正黑体_GBK" w:hAnsi="方正黑体_GBK" w:eastAsia="方正黑体_GBK" w:cs="方正黑体_GBK"/>
                <w:color w:val="000000"/>
                <w:sz w:val="24"/>
                <w:szCs w:val="24"/>
                <w:highlight w:val="none"/>
                <w:vertAlign w:val="baseline"/>
                <w:lang w:val="en-US" w:eastAsia="zh-CN" w:bidi="ar-SA"/>
              </w:rPr>
              <w:t xml:space="preserve">基准分</w:t>
            </w:r>
            <w:r/>
          </w:p>
        </w:tc>
        <w:tc>
          <w:tcPr>
            <w:tcW w:w="1121" w:type="dxa"/>
            <w:vAlign w:val="center"/>
            <w:textDirection w:val="lrTb"/>
            <w:noWrap w:val="false"/>
          </w:tcPr>
          <w:p>
            <w:pPr>
              <w:jc w:val="center"/>
              <w:keepLines w:val="0"/>
              <w:keepNext w:val="0"/>
              <w:pageBreakBefore w:val="0"/>
              <w:spacing w:after="0" w:line="360" w:lineRule="auto"/>
              <w:widowControl w:val="off"/>
              <w:rPr>
                <w:rFonts w:hint="eastAsia" w:ascii="方正黑体_GBK" w:hAnsi="方正黑体_GBK" w:eastAsia="方正黑体_GBK" w:cs="方正黑体_GBK"/>
                <w:color w:val="000000"/>
                <w:sz w:val="24"/>
                <w:szCs w:val="24"/>
                <w:highlight w:val="none"/>
                <w:vertAlign w:val="baseline"/>
                <w:lang w:val="en-US" w:eastAsia="zh-CN" w:bidi="ar-SA"/>
              </w:rPr>
            </w:pPr>
            <w:r>
              <w:rPr>
                <w:rFonts w:hint="eastAsia" w:ascii="方正黑体_GBK" w:hAnsi="方正黑体_GBK" w:eastAsia="方正黑体_GBK" w:cs="方正黑体_GBK"/>
                <w:color w:val="000000"/>
                <w:sz w:val="24"/>
                <w:szCs w:val="24"/>
                <w:highlight w:val="none"/>
                <w:vertAlign w:val="baseline"/>
                <w:lang w:val="en-US" w:eastAsia="zh-CN" w:bidi="ar-SA"/>
              </w:rPr>
              <w:t xml:space="preserve">本月扣分</w:t>
            </w:r>
            <w:r/>
          </w:p>
        </w:tc>
        <w:tc>
          <w:tcPr>
            <w:tcW w:w="1148" w:type="dxa"/>
            <w:vAlign w:val="center"/>
            <w:textDirection w:val="lrTb"/>
            <w:noWrap w:val="false"/>
          </w:tcPr>
          <w:p>
            <w:pPr>
              <w:jc w:val="center"/>
              <w:keepLines w:val="0"/>
              <w:keepNext w:val="0"/>
              <w:pageBreakBefore w:val="0"/>
              <w:spacing w:after="0" w:line="360" w:lineRule="auto"/>
              <w:widowControl w:val="off"/>
              <w:rPr>
                <w:rFonts w:hint="eastAsia" w:ascii="方正黑体_GBK" w:hAnsi="方正黑体_GBK" w:eastAsia="方正黑体_GBK" w:cs="方正黑体_GBK"/>
                <w:color w:val="000000"/>
                <w:sz w:val="24"/>
                <w:szCs w:val="24"/>
                <w:highlight w:val="none"/>
                <w:vertAlign w:val="baseline"/>
                <w:lang w:val="en-US" w:eastAsia="zh-CN" w:bidi="ar-SA"/>
              </w:rPr>
            </w:pPr>
            <w:r>
              <w:rPr>
                <w:rFonts w:hint="eastAsia" w:ascii="方正黑体_GBK" w:hAnsi="方正黑体_GBK" w:eastAsia="方正黑体_GBK" w:cs="方正黑体_GBK"/>
                <w:color w:val="000000"/>
                <w:sz w:val="24"/>
                <w:szCs w:val="24"/>
                <w:highlight w:val="none"/>
                <w:vertAlign w:val="baseline"/>
                <w:lang w:val="en-US" w:eastAsia="zh-CN" w:bidi="ar-SA"/>
              </w:rPr>
              <w:t xml:space="preserve">本月加分</w:t>
            </w:r>
            <w:r/>
          </w:p>
        </w:tc>
        <w:tc>
          <w:tcPr>
            <w:tcW w:w="1185" w:type="dxa"/>
            <w:vAlign w:val="center"/>
            <w:textDirection w:val="lrTb"/>
            <w:noWrap w:val="false"/>
          </w:tcPr>
          <w:p>
            <w:pPr>
              <w:jc w:val="center"/>
              <w:keepLines w:val="0"/>
              <w:keepNext w:val="0"/>
              <w:pageBreakBefore w:val="0"/>
              <w:spacing w:after="0" w:line="360" w:lineRule="auto"/>
              <w:widowControl w:val="off"/>
              <w:rPr>
                <w:rFonts w:hint="eastAsia" w:ascii="方正黑体_GBK" w:hAnsi="方正黑体_GBK" w:eastAsia="方正黑体_GBK" w:cs="方正黑体_GBK"/>
                <w:color w:val="000000"/>
                <w:sz w:val="24"/>
                <w:szCs w:val="24"/>
                <w:highlight w:val="none"/>
                <w:vertAlign w:val="baseline"/>
                <w:lang w:val="en-US" w:eastAsia="zh-CN" w:bidi="ar-SA"/>
              </w:rPr>
            </w:pPr>
            <w:r>
              <w:rPr>
                <w:rFonts w:hint="eastAsia" w:ascii="方正黑体_GBK" w:hAnsi="方正黑体_GBK" w:eastAsia="方正黑体_GBK" w:cs="方正黑体_GBK"/>
                <w:color w:val="000000"/>
                <w:sz w:val="24"/>
                <w:szCs w:val="24"/>
                <w:highlight w:val="none"/>
                <w:vertAlign w:val="baseline"/>
                <w:lang w:val="en-US" w:eastAsia="zh-CN" w:bidi="ar-SA"/>
              </w:rPr>
              <w:t xml:space="preserve">实得分</w:t>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方正黑体_GBK" w:hAnsi="方正黑体_GBK" w:eastAsia="方正黑体_GBK" w:cs="方正黑体_GBK"/>
                <w:color w:val="000000"/>
                <w:sz w:val="24"/>
                <w:szCs w:val="24"/>
                <w:highlight w:val="none"/>
                <w:vertAlign w:val="baseline"/>
                <w:lang w:val="en-US" w:eastAsia="zh-CN" w:bidi="ar-SA"/>
              </w:rPr>
            </w:pPr>
            <w:r>
              <w:rPr>
                <w:rFonts w:hint="eastAsia" w:ascii="方正黑体_GBK" w:hAnsi="方正黑体_GBK" w:eastAsia="方正黑体_GBK" w:cs="方正黑体_GBK"/>
                <w:color w:val="000000"/>
                <w:sz w:val="24"/>
                <w:szCs w:val="24"/>
                <w:highlight w:val="none"/>
                <w:vertAlign w:val="baseline"/>
                <w:lang w:val="en-US" w:eastAsia="zh-CN" w:bidi="ar-SA"/>
              </w:rPr>
              <w:t xml:space="preserve">备注</w:t>
            </w:r>
            <w:r/>
          </w:p>
        </w:tc>
      </w:tr>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人员到岗与履职情况</w:t>
            </w:r>
            <w:r/>
          </w:p>
        </w:tc>
        <w:tc>
          <w:tcPr>
            <w:tcW w:w="116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25分</w:t>
            </w:r>
            <w:r/>
          </w:p>
        </w:tc>
        <w:tc>
          <w:tcPr>
            <w:tcW w:w="11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4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8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环境与秩序情况</w:t>
            </w:r>
            <w:r/>
          </w:p>
        </w:tc>
        <w:tc>
          <w:tcPr>
            <w:tcW w:w="116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40分</w:t>
            </w:r>
            <w:r/>
          </w:p>
        </w:tc>
        <w:tc>
          <w:tcPr>
            <w:tcW w:w="11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4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8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问题整改情况</w:t>
            </w:r>
            <w:r/>
          </w:p>
        </w:tc>
        <w:tc>
          <w:tcPr>
            <w:tcW w:w="116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15分</w:t>
            </w:r>
            <w:r/>
          </w:p>
        </w:tc>
        <w:tc>
          <w:tcPr>
            <w:tcW w:w="11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4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8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应急响应与综合管理</w:t>
            </w:r>
            <w:r/>
          </w:p>
        </w:tc>
        <w:tc>
          <w:tcPr>
            <w:tcW w:w="116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20分</w:t>
            </w:r>
            <w:r/>
          </w:p>
        </w:tc>
        <w:tc>
          <w:tcPr>
            <w:tcW w:w="11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4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8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小计</w:t>
            </w:r>
            <w:r/>
          </w:p>
        </w:tc>
        <w:tc>
          <w:tcPr>
            <w:tcW w:w="116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100分</w:t>
            </w:r>
            <w:r/>
          </w:p>
        </w:tc>
        <w:tc>
          <w:tcPr>
            <w:tcW w:w="11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4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8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加分项</w:t>
            </w:r>
            <w:r/>
          </w:p>
        </w:tc>
        <w:tc>
          <w:tcPr>
            <w:tcW w:w="116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≤5分</w:t>
            </w:r>
            <w:r/>
          </w:p>
        </w:tc>
        <w:tc>
          <w:tcPr>
            <w:tcW w:w="1121"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w:t>
            </w:r>
            <w:r/>
          </w:p>
        </w:tc>
        <w:tc>
          <w:tcPr>
            <w:tcW w:w="114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18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319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月度考核最终得分（S月）</w:t>
            </w:r>
            <w:r/>
          </w:p>
        </w:tc>
        <w:tc>
          <w:tcPr>
            <w:gridSpan w:val="4"/>
            <w:tcW w:w="462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213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gridSpan w:val="6"/>
            <w:tcW w:w="9956"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说明：</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1.应急响应与综合管理：如有合理投诉处理，每件扣2分；未能有效配合处理突发事件而导致严重后果的，每次扣10分。</w:t>
            </w:r>
            <w:r/>
          </w:p>
          <w:p>
            <w:pPr>
              <w:numPr>
                <w:ilvl w:val="0"/>
                <w:numId w:val="0"/>
              </w:numPr>
              <w:jc w:val="both"/>
              <w:keepLines w:val="0"/>
              <w:keepNext w:val="0"/>
              <w:pageBreakBefore w:val="0"/>
              <w:spacing w:after="0" w:line="360" w:lineRule="auto"/>
              <w:widowControl w:val="off"/>
              <w:rPr>
                <w:rFonts w:hint="default"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加分项：提出合理化建议并被甲方采纳，有效提升服务质量或效率，经甲方认定，每条加1分；在突发事件应急处置中表现突出，避免重大损失或产生积极社会影响，经甲方认定或事件报告，每次加2分；获得上级部门或主流媒体的公开表扬，有相关证明的，每次加2分。</w:t>
            </w:r>
            <w:r>
              <w:rPr>
                <w:rFonts w:hint="eastAsia" w:ascii="宋体" w:hAnsi="宋体" w:eastAsia="宋体" w:cs="宋体"/>
                <w:color w:val="000000"/>
                <w:sz w:val="21"/>
                <w:szCs w:val="21"/>
                <w:highlight w:val="none"/>
                <w:vertAlign w:val="baseline"/>
                <w:lang w:val="en-US" w:eastAsia="zh-CN" w:bidi="ar-SA"/>
              </w:rPr>
              <w:tab/>
            </w:r>
            <w:r/>
          </w:p>
        </w:tc>
      </w:tr>
    </w:tbl>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三、月度考核结论</w:t>
      </w:r>
      <w:r/>
    </w:p>
    <w:p>
      <w:pPr>
        <w:numPr>
          <w:ilvl w:val="0"/>
          <w:numId w:val="0"/>
        </w:numPr>
        <w:ind w:firstLine="480"/>
        <w:widowControl w:val="off"/>
        <w:rPr>
          <w:rFonts w:hint="eastAsia" w:ascii="仿宋" w:hAnsi="Times New Roman" w:eastAsia="仿宋" w:cs="仿宋"/>
          <w:color w:val="000000"/>
          <w:sz w:val="24"/>
          <w:szCs w:val="24"/>
          <w:lang w:val="en-US" w:eastAsia="zh-CN" w:bidi="ar-SA"/>
        </w:rPr>
      </w:pPr>
      <w:r>
        <w:rPr>
          <w:rFonts w:hint="eastAsia" w:ascii="仿宋" w:hAnsi="Times New Roman" w:eastAsia="仿宋" w:cs="仿宋"/>
          <w:color w:val="000000"/>
          <w:sz w:val="24"/>
          <w:szCs w:val="24"/>
          <w:lang w:val="en-US" w:eastAsia="zh-CN" w:bidi="ar-SA"/>
        </w:rPr>
        <w:t xml:space="preserve">月度考核最终得分：     分</w:t>
      </w:r>
      <w:r/>
    </w:p>
    <w:p>
      <w:pPr>
        <w:numPr>
          <w:ilvl w:val="0"/>
          <w:numId w:val="0"/>
        </w:numPr>
        <w:ind w:firstLine="480"/>
        <w:widowControl w:val="off"/>
        <w:rPr>
          <w:rFonts w:hint="eastAsia" w:ascii="仿宋" w:hAnsi="Times New Roman" w:eastAsia="仿宋" w:cs="仿宋"/>
          <w:color w:val="000000"/>
          <w:sz w:val="24"/>
          <w:szCs w:val="24"/>
          <w:lang w:val="en-US" w:eastAsia="zh-CN" w:bidi="ar-SA"/>
        </w:rPr>
      </w:pPr>
      <w:r>
        <w:rPr>
          <w:rFonts w:hint="eastAsia" w:ascii="仿宋" w:hAnsi="Times New Roman" w:eastAsia="仿宋" w:cs="仿宋"/>
          <w:color w:val="000000"/>
          <w:sz w:val="24"/>
          <w:szCs w:val="24"/>
          <w:lang w:val="en-US" w:eastAsia="zh-CN" w:bidi="ar-SA"/>
        </w:rPr>
        <w:t xml:space="preserve">当月绩效服务费支付比例：    %</w:t>
      </w:r>
      <w:r/>
    </w:p>
    <w:tbl>
      <w:tblPr>
        <w:tblStyle w:val="729"/>
        <w:tblpPr w:horzAnchor="page" w:tblpX="1959" w:vertAnchor="text" w:tblpY="20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65"/>
        <w:gridCol w:w="3236"/>
      </w:tblGrid>
      <w:tr>
        <w:trPr>
          <w:trHeight w:val="901"/>
        </w:trPr>
        <w:tc>
          <w:tcPr>
            <w:tcBorders>
              <w:top w:val="none" w:color="000000" w:sz="4" w:space="0"/>
              <w:left w:val="none" w:color="000000" w:sz="4" w:space="0"/>
              <w:bottom w:val="none" w:color="000000" w:sz="4" w:space="0"/>
              <w:right w:val="none" w:color="000000" w:sz="4" w:space="0"/>
            </w:tcBorders>
            <w:tcW w:w="6165" w:type="dxa"/>
            <w:vAlign w:val="center"/>
            <w:textDirection w:val="lrTb"/>
            <w:noWrap w:val="false"/>
          </w:tcPr>
          <w:p>
            <w:pPr>
              <w:numPr>
                <w:ilvl w:val="0"/>
                <w:numId w:val="0"/>
              </w:numPr>
              <w:jc w:val="both"/>
              <w:keepLines w:val="0"/>
              <w:keepNext w:val="0"/>
              <w:pageBreakBefore w:val="0"/>
              <w:spacing w:after="0" w:line="360" w:lineRule="auto"/>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甲方考核小组（签字）：</w:t>
            </w:r>
            <w:r/>
          </w:p>
        </w:tc>
        <w:tc>
          <w:tcPr>
            <w:tcBorders>
              <w:top w:val="none" w:color="000000" w:sz="4" w:space="0"/>
              <w:left w:val="none" w:color="000000" w:sz="4" w:space="0"/>
              <w:bottom w:val="none" w:color="000000" w:sz="4" w:space="0"/>
              <w:right w:val="none" w:color="000000" w:sz="4" w:space="0"/>
            </w:tcBorders>
            <w:tcW w:w="3236" w:type="dxa"/>
            <w:vAlign w:val="center"/>
            <w:textDirection w:val="lrTb"/>
            <w:noWrap w:val="false"/>
          </w:tcPr>
          <w:p>
            <w:pPr>
              <w:numPr>
                <w:ilvl w:val="0"/>
                <w:numId w:val="0"/>
              </w:numPr>
              <w:jc w:val="both"/>
              <w:keepLines w:val="0"/>
              <w:keepNext w:val="0"/>
              <w:pageBreakBefore w:val="0"/>
              <w:spacing w:after="0" w:line="360" w:lineRule="auto"/>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乙方确认签字（盖章）：</w:t>
            </w:r>
            <w:r/>
          </w:p>
        </w:tc>
      </w:tr>
      <w:tr>
        <w:trPr/>
        <w:tc>
          <w:tcPr>
            <w:tcBorders>
              <w:top w:val="none" w:color="000000" w:sz="4" w:space="0"/>
              <w:left w:val="none" w:color="000000" w:sz="4" w:space="0"/>
              <w:bottom w:val="none" w:color="000000" w:sz="4" w:space="0"/>
              <w:right w:val="none" w:color="000000" w:sz="4" w:space="0"/>
            </w:tcBorders>
            <w:tcW w:w="6165" w:type="dxa"/>
            <w:vAlign w:val="center"/>
            <w:textDirection w:val="lrTb"/>
            <w:noWrap w:val="false"/>
          </w:tcPr>
          <w:p>
            <w:pPr>
              <w:ind w:left="0" w:firstLine="0"/>
              <w:jc w:val="both"/>
              <w:keepLines w:val="0"/>
              <w:keepNext w:val="0"/>
              <w:spacing w:after="0" w:line="240" w:lineRule="auto"/>
              <w:widowControl/>
              <w:rPr>
                <w:rFonts w:hint="eastAsia" w:ascii="宋体" w:hAnsi="宋体" w:eastAsia="宋体" w:cs="宋体"/>
                <w:b w:val="0"/>
                <w:bCs w:val="0"/>
                <w:sz w:val="24"/>
                <w:szCs w:val="24"/>
                <w:vertAlign w:val="baseline"/>
                <w:lang w:val="en-US" w:eastAsia="zh-CN"/>
              </w:rPr>
              <w:suppressLineNumbers w:val="0"/>
            </w:pPr>
            <w:r>
              <w:rPr>
                <w:rFonts w:hint="eastAsia" w:ascii="宋体" w:hAnsi="宋体" w:eastAsia="宋体" w:cs="宋体"/>
                <w:b w:val="0"/>
                <w:bCs w:val="0"/>
                <w:sz w:val="24"/>
                <w:szCs w:val="24"/>
                <w:vertAlign w:val="baseline"/>
                <w:lang w:val="en-US" w:eastAsia="zh-CN"/>
              </w:rPr>
              <w:t xml:space="preserve">时间：    </w:t>
            </w:r>
            <w:r>
              <w:rPr>
                <w:rFonts w:hint="eastAsia" w:ascii="宋体" w:hAnsi="宋体" w:eastAsia="宋体" w:cs="宋体"/>
                <w:b w:val="0"/>
                <w:bCs w:val="0"/>
                <w:i w:val="0"/>
                <w:iCs w:val="0"/>
                <w:caps w:val="0"/>
                <w:color w:val="404040"/>
                <w:spacing w:val="0"/>
                <w:sz w:val="24"/>
                <w:szCs w:val="24"/>
                <w:shd w:val="clear" w:color="auto" w:fill="ffffff"/>
                <w:lang w:val="en-US" w:eastAsia="zh-CN" w:bidi="ar"/>
              </w:rPr>
              <w:t xml:space="preserve">年   月   日</w:t>
            </w:r>
            <w:r/>
          </w:p>
        </w:tc>
        <w:tc>
          <w:tcPr>
            <w:tcBorders>
              <w:top w:val="none" w:color="000000" w:sz="4" w:space="0"/>
              <w:left w:val="none" w:color="000000" w:sz="4" w:space="0"/>
              <w:bottom w:val="none" w:color="000000" w:sz="4" w:space="0"/>
              <w:right w:val="none" w:color="000000" w:sz="4" w:space="0"/>
            </w:tcBorders>
            <w:tcW w:w="3236" w:type="dxa"/>
            <w:vAlign w:val="center"/>
            <w:textDirection w:val="lrTb"/>
            <w:noWrap w:val="false"/>
          </w:tcPr>
          <w:p>
            <w:pPr>
              <w:numPr>
                <w:ilvl w:val="0"/>
                <w:numId w:val="0"/>
              </w:numPr>
              <w:jc w:val="both"/>
              <w:keepLines w:val="0"/>
              <w:keepNext w:val="0"/>
              <w:pageBreakBefore w:val="0"/>
              <w:spacing w:after="0" w:line="400" w:lineRule="exact"/>
              <w:widowControl w:val="off"/>
              <w:rPr>
                <w:rFonts w:hint="eastAsia" w:ascii="宋体" w:hAnsi="宋体" w:eastAsia="宋体" w:cs="宋体"/>
                <w:b w:val="0"/>
                <w:bCs w:val="0"/>
                <w:color w:val="000000"/>
                <w:sz w:val="24"/>
                <w:szCs w:val="24"/>
                <w:vertAlign w:val="baseline"/>
                <w:lang w:val="en-US" w:eastAsia="zh-CN" w:bidi="ar-SA"/>
              </w:rPr>
            </w:pPr>
            <w:r>
              <w:rPr>
                <w:rFonts w:hint="eastAsia" w:ascii="宋体" w:hAnsi="宋体" w:eastAsia="宋体" w:cs="宋体"/>
                <w:b w:val="0"/>
                <w:bCs w:val="0"/>
                <w:color w:val="000000"/>
                <w:sz w:val="24"/>
                <w:szCs w:val="24"/>
                <w:vertAlign w:val="baseline"/>
                <w:lang w:val="en-US" w:eastAsia="zh-CN" w:bidi="ar-SA"/>
              </w:rPr>
              <w:t xml:space="preserve">时间：    </w:t>
            </w:r>
            <w:r>
              <w:rPr>
                <w:rFonts w:hint="eastAsia" w:ascii="宋体" w:hAnsi="宋体" w:eastAsia="宋体" w:cs="宋体"/>
                <w:b w:val="0"/>
                <w:bCs w:val="0"/>
                <w:i w:val="0"/>
                <w:iCs w:val="0"/>
                <w:caps w:val="0"/>
                <w:color w:val="404040"/>
                <w:spacing w:val="0"/>
                <w:sz w:val="24"/>
                <w:szCs w:val="24"/>
                <w:shd w:val="clear" w:color="auto" w:fill="ffffff"/>
                <w:lang w:val="en-US" w:eastAsia="zh-CN" w:bidi="ar"/>
              </w:rPr>
              <w:t xml:space="preserve">年   月   日</w:t>
            </w:r>
            <w:r/>
          </w:p>
        </w:tc>
      </w:tr>
    </w:tbl>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pageBreakBefore w:val="0"/>
        <w:spacing w:line="440" w:lineRule="exact"/>
        <w:widowControl w:val="off"/>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pageBreakBefore w:val="0"/>
        <w:spacing w:line="440" w:lineRule="exact"/>
        <w:widowControl w:val="off"/>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keepLines w:val="0"/>
        <w:keepNext w:val="0"/>
        <w:pageBreakBefore w:val="0"/>
        <w:spacing w:line="520" w:lineRule="exact"/>
        <w:widowControl w:val="off"/>
        <w:rPr>
          <w:rFonts w:hint="eastAsia" w:ascii="方正小标宋_GBK" w:hAnsi="方正小标宋_GBK" w:eastAsia="方正小标宋_GBK" w:cs="方正小标宋_GBK"/>
          <w:color w:val="auto"/>
          <w:sz w:val="44"/>
          <w:szCs w:val="44"/>
          <w:lang w:val="en-US" w:eastAsia="zh-CN"/>
        </w:rPr>
        <w:sectPr>
          <w:footnotePr/>
          <w:endnotePr/>
          <w:type w:val="nextPage"/>
          <w:pgSz w:w="11906" w:h="16838" w:orient="portrait"/>
          <w:pgMar w:top="1440" w:right="1083" w:bottom="1440" w:left="1083" w:header="851" w:footer="992" w:gutter="0"/>
          <w:pgNumType w:start="1"/>
          <w:cols w:num="1" w:sep="0" w:space="0" w:equalWidth="1"/>
          <w:docGrid w:linePitch="360"/>
        </w:sectPr>
      </w:pPr>
      <w:r>
        <w:rPr>
          <w:rFonts w:hint="eastAsia" w:ascii="方正小标宋_GBK" w:hAnsi="方正小标宋_GBK" w:eastAsia="方正小标宋_GBK" w:cs="方正小标宋_GBK"/>
          <w:color w:val="auto"/>
          <w:sz w:val="44"/>
          <w:szCs w:val="44"/>
          <w:lang w:val="en-US" w:eastAsia="zh-CN"/>
        </w:rPr>
      </w:r>
      <w:r/>
    </w:p>
    <w:p>
      <w:pPr>
        <w:jc w:val="left"/>
        <w:keepLines w:val="0"/>
        <w:keepNext w:val="0"/>
        <w:pageBreakBefore w:val="0"/>
        <w:spacing w:line="520" w:lineRule="exact"/>
        <w:widowControl w:val="off"/>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 xml:space="preserve">附件：</w:t>
      </w:r>
      <w:r/>
    </w:p>
    <w:p>
      <w:pPr>
        <w:jc w:val="center"/>
        <w:keepLines w:val="0"/>
        <w:keepNext w:val="0"/>
        <w:pageBreakBefore w:val="0"/>
        <w:spacing w:line="520" w:lineRule="exact"/>
        <w:widowControl w:val="off"/>
        <w:rPr>
          <w:rFonts w:hint="eastAsia" w:ascii="宋体" w:hAnsi="宋体" w:eastAsia="宋体" w:cs="宋体"/>
          <w:b/>
          <w:bCs/>
          <w:color w:val="auto"/>
          <w:sz w:val="44"/>
          <w:szCs w:val="44"/>
          <w:lang w:val="en-US" w:eastAsia="zh-CN"/>
        </w:rPr>
      </w:pPr>
      <w:r>
        <w:rPr>
          <w:rFonts w:hint="eastAsia" w:ascii="宋体" w:hAnsi="宋体" w:eastAsia="宋体" w:cs="宋体"/>
          <w:b/>
          <w:bCs/>
          <w:color w:val="auto"/>
          <w:sz w:val="32"/>
          <w:szCs w:val="32"/>
          <w:lang w:val="en-US" w:eastAsia="zh-CN"/>
        </w:rPr>
        <w:t xml:space="preserve">灯塔区域巡查情况通报</w:t>
      </w:r>
      <w:r/>
    </w:p>
    <w:p>
      <w:pPr>
        <w:jc w:val="center"/>
        <w:keepLines w:val="0"/>
        <w:keepNext w:val="0"/>
        <w:pageBreakBefore w:val="0"/>
        <w:spacing w:line="520" w:lineRule="exact"/>
        <w:widowControl w:val="off"/>
        <w:rPr>
          <w:rFonts w:hint="default" w:ascii="方正楷体_GBK" w:hAnsi="方正楷体_GBK" w:eastAsia="方正楷体_GBK" w:cs="方正楷体_GBK"/>
          <w:color w:val="auto"/>
          <w:sz w:val="28"/>
          <w:szCs w:val="28"/>
          <w:u w:val="single"/>
          <w:lang w:val="en-US" w:eastAsia="zh-CN"/>
        </w:rPr>
      </w:pPr>
      <w:r>
        <w:rPr>
          <w:rFonts w:hint="eastAsia" w:ascii="方正楷体_GBK" w:hAnsi="方正楷体_GBK" w:eastAsia="方正楷体_GBK" w:cs="方正楷体_GBK"/>
          <w:color w:val="auto"/>
          <w:sz w:val="28"/>
          <w:szCs w:val="28"/>
          <w:u w:val="single"/>
          <w:lang w:val="en-US" w:eastAsia="zh-CN"/>
        </w:rPr>
        <w:t xml:space="preserve">    </w:t>
      </w:r>
      <w:r>
        <w:rPr>
          <w:rFonts w:hint="eastAsia" w:ascii="方正楷体_GBK" w:hAnsi="方正楷体_GBK" w:eastAsia="方正楷体_GBK" w:cs="方正楷体_GBK"/>
          <w:color w:val="auto"/>
          <w:sz w:val="28"/>
          <w:szCs w:val="28"/>
          <w:lang w:val="en-US" w:eastAsia="zh-CN"/>
        </w:rPr>
        <w:t xml:space="preserve">年</w:t>
      </w:r>
      <w:r>
        <w:rPr>
          <w:rFonts w:hint="eastAsia" w:ascii="方正楷体_GBK" w:hAnsi="方正楷体_GBK" w:eastAsia="方正楷体_GBK" w:cs="方正楷体_GBK"/>
          <w:color w:val="auto"/>
          <w:sz w:val="28"/>
          <w:szCs w:val="28"/>
          <w:u w:val="single"/>
          <w:lang w:val="en-US" w:eastAsia="zh-CN"/>
        </w:rPr>
        <w:t xml:space="preserve">   </w:t>
      </w:r>
      <w:r>
        <w:rPr>
          <w:rFonts w:hint="eastAsia" w:ascii="方正楷体_GBK" w:hAnsi="方正楷体_GBK" w:eastAsia="方正楷体_GBK" w:cs="方正楷体_GBK"/>
          <w:color w:val="auto"/>
          <w:sz w:val="28"/>
          <w:szCs w:val="28"/>
          <w:lang w:val="en-US" w:eastAsia="zh-CN"/>
        </w:rPr>
        <w:t xml:space="preserve">月</w:t>
      </w:r>
      <w:r>
        <w:rPr>
          <w:rFonts w:hint="eastAsia" w:ascii="方正楷体_GBK" w:hAnsi="方正楷体_GBK" w:eastAsia="方正楷体_GBK" w:cs="方正楷体_GBK"/>
          <w:color w:val="auto"/>
          <w:sz w:val="28"/>
          <w:szCs w:val="28"/>
          <w:u w:val="single"/>
          <w:lang w:val="en-US" w:eastAsia="zh-CN"/>
        </w:rPr>
        <w:t xml:space="preserve">   </w:t>
      </w:r>
      <w:r>
        <w:rPr>
          <w:rFonts w:hint="eastAsia" w:ascii="方正楷体_GBK" w:hAnsi="方正楷体_GBK" w:eastAsia="方正楷体_GBK" w:cs="方正楷体_GBK"/>
          <w:color w:val="auto"/>
          <w:sz w:val="28"/>
          <w:szCs w:val="28"/>
          <w:lang w:val="en-US" w:eastAsia="zh-CN"/>
        </w:rPr>
        <w:t xml:space="preserve">日-</w:t>
      </w:r>
      <w:r>
        <w:rPr>
          <w:rFonts w:hint="eastAsia" w:ascii="方正楷体_GBK" w:hAnsi="方正楷体_GBK" w:eastAsia="方正楷体_GBK" w:cs="方正楷体_GBK"/>
          <w:color w:val="auto"/>
          <w:sz w:val="28"/>
          <w:szCs w:val="28"/>
          <w:u w:val="single"/>
          <w:lang w:val="en-US" w:eastAsia="zh-CN"/>
        </w:rPr>
        <w:t xml:space="preserve">    </w:t>
      </w:r>
      <w:r>
        <w:rPr>
          <w:rFonts w:hint="eastAsia" w:ascii="方正楷体_GBK" w:hAnsi="方正楷体_GBK" w:eastAsia="方正楷体_GBK" w:cs="方正楷体_GBK"/>
          <w:color w:val="auto"/>
          <w:sz w:val="28"/>
          <w:szCs w:val="28"/>
          <w:lang w:val="en-US" w:eastAsia="zh-CN"/>
        </w:rPr>
        <w:t xml:space="preserve">年</w:t>
      </w:r>
      <w:r>
        <w:rPr>
          <w:rFonts w:hint="eastAsia" w:ascii="方正楷体_GBK" w:hAnsi="方正楷体_GBK" w:eastAsia="方正楷体_GBK" w:cs="方正楷体_GBK"/>
          <w:color w:val="auto"/>
          <w:sz w:val="28"/>
          <w:szCs w:val="28"/>
          <w:u w:val="single"/>
          <w:lang w:val="en-US" w:eastAsia="zh-CN"/>
        </w:rPr>
        <w:t xml:space="preserve">   </w:t>
      </w:r>
      <w:r>
        <w:rPr>
          <w:rFonts w:hint="eastAsia" w:ascii="方正楷体_GBK" w:hAnsi="方正楷体_GBK" w:eastAsia="方正楷体_GBK" w:cs="方正楷体_GBK"/>
          <w:color w:val="auto"/>
          <w:sz w:val="28"/>
          <w:szCs w:val="28"/>
          <w:lang w:val="en-US" w:eastAsia="zh-CN"/>
        </w:rPr>
        <w:t xml:space="preserve">月</w:t>
      </w:r>
      <w:r>
        <w:rPr>
          <w:rFonts w:hint="eastAsia" w:ascii="方正楷体_GBK" w:hAnsi="方正楷体_GBK" w:eastAsia="方正楷体_GBK" w:cs="方正楷体_GBK"/>
          <w:color w:val="auto"/>
          <w:sz w:val="28"/>
          <w:szCs w:val="28"/>
          <w:u w:val="single"/>
          <w:lang w:val="en-US" w:eastAsia="zh-CN"/>
        </w:rPr>
        <w:t xml:space="preserve">   </w:t>
      </w:r>
      <w:r>
        <w:rPr>
          <w:rFonts w:hint="eastAsia" w:ascii="方正楷体_GBK" w:hAnsi="方正楷体_GBK" w:eastAsia="方正楷体_GBK" w:cs="方正楷体_GBK"/>
          <w:color w:val="auto"/>
          <w:sz w:val="28"/>
          <w:szCs w:val="28"/>
          <w:lang w:val="en-US" w:eastAsia="zh-CN"/>
        </w:rPr>
        <w:t xml:space="preserve">日</w:t>
      </w:r>
      <w:r/>
    </w:p>
    <w:p>
      <w:pPr>
        <w:jc w:val="both"/>
        <w:keepLines w:val="0"/>
        <w:keepNext w:val="0"/>
        <w:pageBreakBefore w:val="0"/>
        <w:spacing w:line="52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r>
      <w:r/>
    </w:p>
    <w:p>
      <w:p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本周共开展日常巡查____次（早巡____次、午巡____次、晚巡____次、抽查____次）。整体来看，各岗位人员基本在岗履职，现场环境秩序总体可控。现将本周巡查情况通报如下：</w:t>
      </w:r>
      <w:r/>
    </w:p>
    <w:p>
      <w:pPr>
        <w:ind w:firstLine="640"/>
        <w:jc w:val="both"/>
        <w:keepLines w:val="0"/>
        <w:keepNext w:val="0"/>
        <w:pageBreakBefore w:val="0"/>
        <w:spacing w:line="590" w:lineRule="exact"/>
        <w:widowControl w:val="off"/>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 xml:space="preserve">一、人员到岗与履职情况</w:t>
      </w:r>
      <w:r/>
    </w:p>
    <w:p>
      <w:pPr>
        <w:ind w:firstLine="640"/>
        <w:jc w:val="both"/>
        <w:keepLines w:val="0"/>
        <w:keepNext w:val="0"/>
        <w:pageBreakBefore w:val="0"/>
        <w:spacing w:line="59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（一）人员在岗情况</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860"/>
        <w:gridCol w:w="1755"/>
        <w:gridCol w:w="1650"/>
        <w:gridCol w:w="1559"/>
      </w:tblGrid>
      <w:tr>
        <w:trPr>
          <w:jc w:val="center"/>
        </w:trPr>
        <w:tc>
          <w:tcPr>
            <w:tcW w:w="2236"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岗位</w:t>
            </w:r>
            <w:r/>
          </w:p>
        </w:tc>
        <w:tc>
          <w:tcPr>
            <w:tcW w:w="1860"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应到人数</w:t>
            </w:r>
            <w:r/>
          </w:p>
        </w:tc>
        <w:tc>
          <w:tcPr>
            <w:tcW w:w="1755"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实到人数</w:t>
            </w:r>
            <w:r/>
          </w:p>
        </w:tc>
        <w:tc>
          <w:tcPr>
            <w:tcW w:w="1650"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扣分标准</w:t>
            </w:r>
            <w:r/>
          </w:p>
        </w:tc>
        <w:tc>
          <w:tcPr>
            <w:tcW w:w="1559"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w:t>
            </w:r>
            <w:r/>
          </w:p>
        </w:tc>
      </w:tr>
      <w:tr>
        <w:trPr>
          <w:jc w:val="center"/>
        </w:trPr>
        <w:tc>
          <w:tcPr>
            <w:tcW w:w="223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安全巡查员</w:t>
            </w:r>
            <w:r/>
          </w:p>
        </w:tc>
        <w:tc>
          <w:tcPr>
            <w:tcW w:w="186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755"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650" w:type="dxa"/>
            <w:textDirection w:val="lrTb"/>
            <w:noWrap w:val="false"/>
          </w:tcPr>
          <w:p>
            <w:pPr>
              <w:jc w:val="center"/>
              <w:keepLines w:val="0"/>
              <w:keepNext w:val="0"/>
              <w:pageBreakBefore w:val="0"/>
              <w:spacing w:after="0" w:line="590" w:lineRule="exact"/>
              <w:widowControl w:val="off"/>
              <w:rPr>
                <w:rFonts w:hint="default"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1分/次/人</w:t>
            </w:r>
            <w:r/>
          </w:p>
        </w:tc>
        <w:tc>
          <w:tcPr>
            <w:tcW w:w="155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3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安全劝导员</w:t>
            </w:r>
            <w:r/>
          </w:p>
        </w:tc>
        <w:tc>
          <w:tcPr>
            <w:tcW w:w="186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755"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65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1分/次/人</w:t>
            </w:r>
            <w:r/>
          </w:p>
        </w:tc>
        <w:tc>
          <w:tcPr>
            <w:tcW w:w="155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3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保安</w:t>
            </w:r>
            <w:r/>
          </w:p>
        </w:tc>
        <w:tc>
          <w:tcPr>
            <w:tcW w:w="186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755"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65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1分/次/人</w:t>
            </w:r>
            <w:r/>
          </w:p>
        </w:tc>
        <w:tc>
          <w:tcPr>
            <w:tcW w:w="155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3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保洁</w:t>
            </w:r>
            <w:r/>
          </w:p>
        </w:tc>
        <w:tc>
          <w:tcPr>
            <w:tcW w:w="186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755"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____人/日</w:t>
            </w:r>
            <w:r/>
          </w:p>
        </w:tc>
        <w:tc>
          <w:tcPr>
            <w:tcW w:w="165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1分/次/人</w:t>
            </w:r>
            <w:r/>
          </w:p>
        </w:tc>
        <w:tc>
          <w:tcPr>
            <w:tcW w:w="155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bl>
    <w:p>
      <w:pPr>
        <w:ind w:firstLine="640"/>
        <w:jc w:val="both"/>
        <w:keepLines w:val="0"/>
        <w:keepNext w:val="0"/>
        <w:pageBreakBefore w:val="0"/>
        <w:spacing w:line="59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（二）履职状态情况</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9"/>
        <w:gridCol w:w="2085"/>
        <w:gridCol w:w="1830"/>
        <w:gridCol w:w="1440"/>
        <w:gridCol w:w="1476"/>
      </w:tblGrid>
      <w:tr>
        <w:trPr>
          <w:jc w:val="center"/>
        </w:trPr>
        <w:tc>
          <w:tcPr>
            <w:tcW w:w="2229"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问题类型</w:t>
            </w:r>
            <w:r/>
          </w:p>
        </w:tc>
        <w:tc>
          <w:tcPr>
            <w:tcW w:w="2085"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本周发生次数</w:t>
            </w:r>
            <w:r/>
          </w:p>
        </w:tc>
        <w:tc>
          <w:tcPr>
            <w:tcW w:w="1830"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扣分标准</w:t>
            </w:r>
            <w:r/>
          </w:p>
        </w:tc>
        <w:tc>
          <w:tcPr>
            <w:tcW w:w="1440"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w:t>
            </w:r>
            <w:r/>
          </w:p>
        </w:tc>
        <w:tc>
          <w:tcPr>
            <w:tcW w:w="1476" w:type="dxa"/>
            <w:textDirection w:val="lrTb"/>
            <w:noWrap w:val="false"/>
          </w:tcPr>
          <w:p>
            <w:pPr>
              <w:jc w:val="center"/>
              <w:keepLines w:val="0"/>
              <w:keepNext w:val="0"/>
              <w:pageBreakBefore w:val="0"/>
              <w:spacing w:after="0" w:line="590" w:lineRule="exact"/>
              <w:widowControl w:val="off"/>
              <w:rPr>
                <w:rFonts w:hint="eastAsia" w:ascii="方正黑体_GBK" w:hAnsi="方正黑体_GBK" w:eastAsia="方正黑体_GBK" w:cs="方正黑体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备注</w:t>
            </w:r>
            <w:r/>
          </w:p>
        </w:tc>
      </w:tr>
      <w:tr>
        <w:trPr>
          <w:jc w:val="center"/>
        </w:trPr>
        <w:tc>
          <w:tcPr>
            <w:tcW w:w="222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着装不规范</w:t>
            </w:r>
            <w:r/>
          </w:p>
        </w:tc>
        <w:tc>
          <w:tcPr>
            <w:tcW w:w="2085"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tcW w:w="183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0.5分/次</w:t>
            </w:r>
            <w:r/>
          </w:p>
        </w:tc>
        <w:tc>
          <w:tcPr>
            <w:tcW w:w="144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7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2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脱岗或串岗</w:t>
            </w:r>
            <w:r/>
          </w:p>
        </w:tc>
        <w:tc>
          <w:tcPr>
            <w:shd w:val="clear" w:color="auto" w:fill="auto"/>
            <w:tcW w:w="208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3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1分/次</w:t>
            </w:r>
            <w:r/>
          </w:p>
        </w:tc>
        <w:tc>
          <w:tcPr>
            <w:tcW w:w="144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7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2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扎堆闲聊或玩手机</w:t>
            </w:r>
            <w:r/>
          </w:p>
        </w:tc>
        <w:tc>
          <w:tcPr>
            <w:shd w:val="clear" w:color="auto" w:fill="auto"/>
            <w:tcW w:w="208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3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0.5分/次</w:t>
            </w:r>
            <w:r/>
          </w:p>
        </w:tc>
        <w:tc>
          <w:tcPr>
            <w:tcW w:w="144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7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29"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服务态度散漫或履职不到位</w:t>
            </w:r>
            <w:r/>
          </w:p>
        </w:tc>
        <w:tc>
          <w:tcPr>
            <w:shd w:val="clear" w:color="auto" w:fill="auto"/>
            <w:tcW w:w="208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3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1分/次</w:t>
            </w:r>
            <w:r/>
          </w:p>
        </w:tc>
        <w:tc>
          <w:tcPr>
            <w:tcW w:w="1440"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76" w:type="dxa"/>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bl>
    <w:p>
      <w:pPr>
        <w:numPr>
          <w:ilvl w:val="0"/>
          <w:numId w:val="0"/>
        </w:numPr>
        <w:ind w:firstLine="640"/>
        <w:jc w:val="both"/>
        <w:keepLines w:val="0"/>
        <w:keepNext w:val="0"/>
        <w:pageBreakBefore w:val="0"/>
        <w:spacing w:line="59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（三）小结与扣分合计</w:t>
      </w:r>
      <w:r/>
    </w:p>
    <w:p>
      <w:pPr>
        <w:numPr>
          <w:ilvl w:val="0"/>
          <w:numId w:val="0"/>
        </w:numPr>
        <w:jc w:val="both"/>
        <w:keepLines w:val="0"/>
        <w:keepNext w:val="0"/>
        <w:pageBreakBefore w:val="0"/>
        <w:spacing w:line="590" w:lineRule="exact"/>
        <w:widowControl w:val="off"/>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 </w:t>
      </w:r>
      <w:r/>
    </w:p>
    <w:p>
      <w:pPr>
        <w:numPr>
          <w:ilvl w:val="0"/>
          <w:numId w:val="0"/>
        </w:numPr>
        <w:ind w:firstLine="640"/>
        <w:jc w:val="both"/>
        <w:keepLines w:val="0"/>
        <w:keepNext w:val="0"/>
        <w:pageBreakBefore w:val="0"/>
        <w:spacing w:line="590" w:lineRule="exact"/>
        <w:widowControl w:val="off"/>
        <w:rPr>
          <w:rFonts w:hint="eastAsia" w:ascii="方正仿宋_GBK" w:hAnsi="方正仿宋_GBK" w:eastAsia="方正仿宋_GBK" w:cs="方正仿宋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 xml:space="preserve">二、环境与秩序情况</w:t>
      </w:r>
      <w:r/>
    </w:p>
    <w:p>
      <w:pPr>
        <w:numPr>
          <w:ilvl w:val="0"/>
          <w:numId w:val="0"/>
        </w:numPr>
        <w:ind w:firstLine="640"/>
        <w:jc w:val="both"/>
        <w:keepLines w:val="0"/>
        <w:keepNext w:val="0"/>
        <w:pageBreakBefore w:val="0"/>
        <w:spacing w:line="59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（一）环境卫生方面</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4"/>
        <w:gridCol w:w="2055"/>
        <w:gridCol w:w="1845"/>
        <w:gridCol w:w="1425"/>
        <w:gridCol w:w="1491"/>
      </w:tblGrid>
      <w:tr>
        <w:trPr>
          <w:jc w:val="center"/>
        </w:trPr>
        <w:tc>
          <w:tcPr>
            <w:tcW w:w="2244"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问题类型</w:t>
            </w:r>
            <w:r/>
          </w:p>
        </w:tc>
        <w:tc>
          <w:tcPr>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本周发生次数</w:t>
            </w:r>
            <w:r/>
          </w:p>
        </w:tc>
        <w:tc>
          <w:tcPr>
            <w:tcW w:w="184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扣分标准</w:t>
            </w:r>
            <w:r/>
          </w:p>
        </w:tc>
        <w:tc>
          <w:tcPr>
            <w:tcW w:w="142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w:t>
            </w:r>
            <w:r/>
          </w:p>
        </w:tc>
        <w:tc>
          <w:tcPr>
            <w:tcW w:w="1491"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备注</w:t>
            </w:r>
            <w:r/>
          </w:p>
        </w:tc>
      </w:tr>
      <w:tr>
        <w:trPr>
          <w:jc w:val="center"/>
        </w:trPr>
        <w:tc>
          <w:tcPr>
            <w:tcW w:w="2244"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路面、沙滩、绿化带、海堤周边有明显垃圾</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____处</w:t>
            </w:r>
            <w:r/>
          </w:p>
        </w:tc>
        <w:tc>
          <w:tcPr>
            <w:shd w:val="clear" w:color="auto" w:fill="auto"/>
            <w:tcW w:w="184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0.1分/处</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91"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44"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垃圾桶满溢或周边不整洁</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4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0.1分/次</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91"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44"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成堆垃圾未及时清理</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____处</w:t>
            </w:r>
            <w:r/>
          </w:p>
        </w:tc>
        <w:tc>
          <w:tcPr>
            <w:shd w:val="clear" w:color="auto" w:fill="auto"/>
            <w:tcW w:w="184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0.5分/次</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91"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44"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公共设施损坏未及时发现/报修</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4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1分/次</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91"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bl>
    <w:p>
      <w:pPr>
        <w:numPr>
          <w:ilvl w:val="0"/>
          <w:numId w:val="0"/>
        </w:numPr>
        <w:ind w:firstLine="640"/>
        <w:jc w:val="both"/>
        <w:keepLines w:val="0"/>
        <w:keepNext w:val="0"/>
        <w:pageBreakBefore w:val="0"/>
        <w:spacing w:line="59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（二）交通与摊贩管理方面</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59"/>
        <w:gridCol w:w="2055"/>
        <w:gridCol w:w="1815"/>
        <w:gridCol w:w="1425"/>
        <w:gridCol w:w="1506"/>
      </w:tblGrid>
      <w:tr>
        <w:trPr>
          <w:jc w:val="center"/>
        </w:trPr>
        <w:tc>
          <w:tcPr>
            <w:tcW w:w="2259"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问题类型</w:t>
            </w:r>
            <w:r/>
          </w:p>
        </w:tc>
        <w:tc>
          <w:tcPr>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本周发生次数</w:t>
            </w:r>
            <w:r/>
          </w:p>
        </w:tc>
        <w:tc>
          <w:tcPr>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扣分标准</w:t>
            </w:r>
            <w:r/>
          </w:p>
        </w:tc>
        <w:tc>
          <w:tcPr>
            <w:tcW w:w="142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w:t>
            </w:r>
            <w:r/>
          </w:p>
        </w:tc>
        <w:tc>
          <w:tcPr>
            <w:tcW w:w="1506"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备注</w:t>
            </w:r>
            <w:r/>
          </w:p>
        </w:tc>
      </w:tr>
      <w:tr>
        <w:trPr>
          <w:jc w:val="center"/>
        </w:trPr>
        <w:tc>
          <w:tcPr>
            <w:tcW w:w="2259"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禁入车辆违规进入禁行区域</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0.5分/次</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506"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59"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车辆违规停放</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0.5分/次</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506"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59"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摊贩占道经营或秩序混乱</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0.5分/次</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506"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59"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保安劝阻不及时或不到位</w:t>
            </w:r>
            <w:r/>
          </w:p>
        </w:tc>
        <w:tc>
          <w:tcPr>
            <w:shd w:val="clear" w:color="auto" w:fill="auto"/>
            <w:tcW w:w="205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0.5分/次</w:t>
            </w:r>
            <w:r/>
          </w:p>
        </w:tc>
        <w:tc>
          <w:tcPr>
            <w:tcW w:w="1425"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506"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bl>
    <w:p>
      <w:pPr>
        <w:numPr>
          <w:ilvl w:val="0"/>
          <w:numId w:val="0"/>
        </w:numPr>
        <w:ind w:firstLine="640"/>
        <w:jc w:val="both"/>
        <w:keepLines w:val="0"/>
        <w:keepNext w:val="0"/>
        <w:pageBreakBefore w:val="0"/>
        <w:spacing w:line="59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（三）安全劝导与人流管理方面</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4"/>
        <w:gridCol w:w="2040"/>
        <w:gridCol w:w="1815"/>
        <w:gridCol w:w="1440"/>
        <w:gridCol w:w="1491"/>
      </w:tblGrid>
      <w:tr>
        <w:trPr>
          <w:jc w:val="center"/>
        </w:trPr>
        <w:tc>
          <w:tcPr>
            <w:tcW w:w="2274"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问题类型</w:t>
            </w:r>
            <w:r/>
          </w:p>
        </w:tc>
        <w:tc>
          <w:tcPr>
            <w:tcW w:w="204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本周发生次数</w:t>
            </w:r>
            <w:r/>
          </w:p>
        </w:tc>
        <w:tc>
          <w:tcPr>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扣分标准</w:t>
            </w:r>
            <w:r/>
          </w:p>
        </w:tc>
        <w:tc>
          <w:tcPr>
            <w:tcW w:w="144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扣分</w:t>
            </w:r>
            <w:r/>
          </w:p>
        </w:tc>
        <w:tc>
          <w:tcPr>
            <w:tcW w:w="1491"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32"/>
                <w:szCs w:val="32"/>
                <w:vertAlign w:val="baseline"/>
                <w:lang w:val="en-US" w:eastAsia="zh-CN"/>
              </w:rPr>
            </w:pPr>
            <w:r>
              <w:rPr>
                <w:rFonts w:hint="eastAsia" w:ascii="方正黑体_GBK" w:hAnsi="方正黑体_GBK" w:eastAsia="方正黑体_GBK" w:cs="方正黑体_GBK"/>
                <w:color w:val="auto"/>
                <w:sz w:val="28"/>
                <w:szCs w:val="28"/>
                <w:vertAlign w:val="baseline"/>
                <w:lang w:val="en-US" w:eastAsia="zh-CN"/>
              </w:rPr>
              <w:t xml:space="preserve">备注</w:t>
            </w:r>
            <w:r/>
          </w:p>
        </w:tc>
      </w:tr>
      <w:tr>
        <w:trPr>
          <w:jc w:val="center"/>
        </w:trPr>
        <w:tc>
          <w:tcPr>
            <w:tcW w:w="2274"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游客危险行为未及时劝阻</w:t>
            </w:r>
            <w:r/>
          </w:p>
        </w:tc>
        <w:tc>
          <w:tcPr>
            <w:shd w:val="clear" w:color="auto" w:fill="auto"/>
            <w:tcW w:w="204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1分/次</w:t>
            </w:r>
            <w:r/>
          </w:p>
        </w:tc>
        <w:tc>
          <w:tcPr>
            <w:tcW w:w="1440"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91"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74"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劝阻无效未按时上报</w:t>
            </w:r>
            <w:r/>
          </w:p>
        </w:tc>
        <w:tc>
          <w:tcPr>
            <w:shd w:val="clear" w:color="auto" w:fill="auto"/>
            <w:tcW w:w="204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1分/次</w:t>
            </w:r>
            <w:r/>
          </w:p>
        </w:tc>
        <w:tc>
          <w:tcPr>
            <w:tcW w:w="1440"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91"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r>
        <w:trPr>
          <w:jc w:val="center"/>
        </w:trPr>
        <w:tc>
          <w:tcPr>
            <w:tcW w:w="2274"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t xml:space="preserve">人流密集区域未及时疏导</w:t>
            </w:r>
            <w:r/>
          </w:p>
        </w:tc>
        <w:tc>
          <w:tcPr>
            <w:shd w:val="clear" w:color="auto" w:fill="auto"/>
            <w:tcW w:w="2040"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____次</w:t>
            </w:r>
            <w:r/>
          </w:p>
        </w:tc>
        <w:tc>
          <w:tcPr>
            <w:shd w:val="clear" w:color="auto" w:fill="auto"/>
            <w:tcW w:w="1815" w:type="dxa"/>
            <w:vAlign w:val="top"/>
            <w:textDirection w:val="lrTb"/>
            <w:noWrap w:val="false"/>
          </w:tcPr>
          <w:p>
            <w:pPr>
              <w:jc w:val="center"/>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bidi="ar-SA"/>
              </w:rPr>
            </w:pPr>
            <w:r>
              <w:rPr>
                <w:rFonts w:hint="eastAsia" w:ascii="方正仿宋_GBK" w:hAnsi="方正仿宋_GBK" w:eastAsia="方正仿宋_GBK" w:cs="方正仿宋_GBK"/>
                <w:color w:val="auto"/>
                <w:sz w:val="28"/>
                <w:szCs w:val="28"/>
                <w:vertAlign w:val="baseline"/>
                <w:lang w:val="en-US" w:eastAsia="zh-CN"/>
              </w:rPr>
              <w:t xml:space="preserve">1分/次</w:t>
            </w:r>
            <w:r/>
          </w:p>
        </w:tc>
        <w:tc>
          <w:tcPr>
            <w:tcW w:w="1440"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c>
          <w:tcPr>
            <w:tcW w:w="1491" w:type="dxa"/>
            <w:textDirection w:val="lrTb"/>
            <w:noWrap w:val="false"/>
          </w:tcPr>
          <w:p>
            <w:pPr>
              <w:numPr>
                <w:ilvl w:val="0"/>
                <w:numId w:val="0"/>
              </w:numPr>
              <w:jc w:val="both"/>
              <w:keepLines w:val="0"/>
              <w:keepNext w:val="0"/>
              <w:pageBreakBefore w:val="0"/>
              <w:spacing w:after="0" w:line="590" w:lineRule="exact"/>
              <w:widowControl w:val="off"/>
              <w:rPr>
                <w:rFonts w:hint="eastAsia" w:ascii="方正仿宋_GBK" w:hAnsi="方正仿宋_GBK" w:eastAsia="方正仿宋_GBK" w:cs="方正仿宋_GBK"/>
                <w:color w:val="auto"/>
                <w:sz w:val="28"/>
                <w:szCs w:val="28"/>
                <w:vertAlign w:val="baseline"/>
                <w:lang w:val="en-US" w:eastAsia="zh-CN"/>
              </w:rPr>
            </w:pPr>
            <w:r>
              <w:rPr>
                <w:rFonts w:hint="eastAsia" w:ascii="方正仿宋_GBK" w:hAnsi="方正仿宋_GBK" w:eastAsia="方正仿宋_GBK" w:cs="方正仿宋_GBK"/>
                <w:color w:val="auto"/>
                <w:sz w:val="28"/>
                <w:szCs w:val="28"/>
                <w:vertAlign w:val="baseline"/>
                <w:lang w:val="en-US" w:eastAsia="zh-CN"/>
              </w:rPr>
            </w:r>
            <w:r/>
          </w:p>
        </w:tc>
      </w:tr>
    </w:tbl>
    <w:p>
      <w:pPr>
        <w:numPr>
          <w:ilvl w:val="0"/>
          <w:numId w:val="0"/>
        </w:numPr>
        <w:ind w:firstLine="640"/>
        <w:jc w:val="both"/>
        <w:keepLines w:val="0"/>
        <w:keepNext w:val="0"/>
        <w:pageBreakBefore w:val="0"/>
        <w:spacing w:line="570" w:lineRule="exact"/>
        <w:widowControl w:val="off"/>
        <w:rPr>
          <w:rFonts w:hint="eastAsia" w:ascii="方正黑体_GBK" w:hAnsi="方正黑体_GBK" w:eastAsia="方正黑体_GBK" w:cs="方正黑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（四）小结与扣分合计</w:t>
      </w:r>
      <w:r/>
    </w:p>
    <w:p>
      <w:pPr>
        <w:numPr>
          <w:ilvl w:val="0"/>
          <w:numId w:val="0"/>
        </w:numPr>
        <w:ind w:firstLine="640"/>
        <w:jc w:val="both"/>
        <w:keepLines w:val="0"/>
        <w:keepNext w:val="0"/>
        <w:pageBreakBefore w:val="0"/>
        <w:spacing w:line="570" w:lineRule="exact"/>
        <w:widowControl w:val="off"/>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 xml:space="preserve">三、问题整改与闭环情况</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本周共发现问题____个，其中当场整改____个，上报协调____个。截至周末，已整改完成____个。</w:t>
      </w:r>
      <w:r>
        <w:rPr>
          <w:rFonts w:hint="eastAsia" w:ascii="方正仿宋_GBK" w:hAnsi="方正仿宋_GBK" w:eastAsia="方正仿宋_GBK" w:cs="方正仿宋_GBK"/>
          <w:b/>
          <w:bCs/>
          <w:color w:val="auto"/>
          <w:sz w:val="32"/>
          <w:szCs w:val="32"/>
          <w:lang w:val="en-US" w:eastAsia="zh-CN"/>
        </w:rPr>
        <w:t xml:space="preserve">其中物业责任范围内未配合整改或整改不到位：___</w:t>
      </w:r>
      <w:r>
        <w:rPr>
          <w:rFonts w:hint="default" w:ascii="Times New Roman" w:hAnsi="Times New Roman" w:eastAsia="方正仿宋_GBK" w:cs="Times New Roman"/>
          <w:b/>
          <w:bCs/>
          <w:color w:val="auto"/>
          <w:sz w:val="32"/>
          <w:szCs w:val="32"/>
          <w:lang w:val="en-US" w:eastAsia="zh-CN"/>
        </w:rPr>
        <w:t xml:space="preserve">个（每个扣1分）</w:t>
      </w:r>
      <w:r>
        <w:rPr>
          <w:rFonts w:hint="default" w:ascii="Times New Roman" w:hAnsi="Times New Roman" w:eastAsia="方正仿宋_GBK" w:cs="Times New Roman"/>
          <w:color w:val="auto"/>
          <w:sz w:val="32"/>
          <w:szCs w:val="32"/>
          <w:lang w:val="en-US" w:eastAsia="zh-CN"/>
        </w:rPr>
        <w:t xml:space="preserve">。</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未完成整改问题情况：</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发现问题时间：____月____日</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问题描述：</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处置方式：</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未完成原因：</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预计完成时间：____月____日</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 xml:space="preserve">四、工作亮点与存在问题</w:t>
      </w:r>
      <w:r/>
    </w:p>
    <w:p>
      <w:pPr>
        <w:numPr>
          <w:ilvl w:val="0"/>
          <w:numId w:val="0"/>
        </w:numPr>
        <w:ind w:firstLine="640"/>
        <w:jc w:val="both"/>
        <w:keepLines w:val="0"/>
        <w:keepNext w:val="0"/>
        <w:pageBreakBefore w:val="0"/>
        <w:spacing w:line="57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（一）亮点工作</w:t>
      </w:r>
      <w:r/>
    </w:p>
    <w:p>
      <w:pPr>
        <w:numPr>
          <w:ilvl w:val="0"/>
          <w:numId w:val="0"/>
        </w:numPr>
        <w:ind w:firstLine="640"/>
        <w:jc w:val="both"/>
        <w:keepLines w:val="0"/>
        <w:keepNext w:val="0"/>
        <w:pageBreakBefore w:val="0"/>
        <w:spacing w:line="570" w:lineRule="exact"/>
        <w:widowControl w:val="off"/>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 xml:space="preserve">（二）存在问题与不足</w:t>
      </w:r>
      <w:r/>
    </w:p>
    <w:p>
      <w:pPr>
        <w:numPr>
          <w:ilvl w:val="0"/>
          <w:numId w:val="0"/>
        </w:numPr>
        <w:ind w:firstLine="640"/>
        <w:jc w:val="both"/>
        <w:keepLines w:val="0"/>
        <w:keepNext w:val="0"/>
        <w:pageBreakBefore w:val="0"/>
        <w:spacing w:line="570" w:lineRule="exact"/>
        <w:widowControl w:val="off"/>
        <w:rPr>
          <w:rFonts w:hint="eastAsia" w:ascii="方正仿宋_GBK" w:hAnsi="方正仿宋_GBK" w:eastAsia="方正仿宋_GBK" w:cs="方正仿宋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 xml:space="preserve">五、下周工作建议</w:t>
      </w:r>
      <w:r/>
    </w:p>
    <w:p>
      <w:pPr>
        <w:numPr>
          <w:ilvl w:val="0"/>
          <w:numId w:val="0"/>
        </w:numPr>
        <w:ind w:firstLine="640"/>
        <w:jc w:val="both"/>
        <w:keepLines w:val="0"/>
        <w:keepNext w:val="0"/>
        <w:pageBreakBefore w:val="0"/>
        <w:spacing w:line="570" w:lineRule="exact"/>
        <w:widowControl w:val="off"/>
        <w:rPr>
          <w:rFonts w:hint="eastAsia" w:ascii="宋体" w:hAnsi="宋体" w:eastAsia="宋体" w:cs="宋体"/>
          <w:bCs/>
          <w:color w:val="auto"/>
          <w:sz w:val="32"/>
          <w:szCs w:val="32"/>
          <w:highlight w:val="none"/>
        </w:rPr>
      </w:pPr>
      <w:r>
        <w:rPr>
          <w:rFonts w:hint="eastAsia" w:ascii="方正仿宋_GBK" w:hAnsi="方正仿宋_GBK" w:eastAsia="方正仿宋_GBK" w:cs="方正仿宋_GBK"/>
          <w:color w:val="auto"/>
          <w:sz w:val="32"/>
          <w:szCs w:val="32"/>
          <w:lang w:val="en-US" w:eastAsia="zh-CN"/>
        </w:rPr>
        <w:t xml:space="preserve">填报人：                       填报时间：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sectPr>
          <w:footnotePr/>
          <w:endnotePr/>
          <w:type w:val="nextPage"/>
          <w:pgSz w:w="11906" w:h="16838" w:orient="portrait"/>
          <w:pgMar w:top="1440" w:right="1083" w:bottom="1440" w:left="1083" w:header="851" w:footer="992" w:gutter="0"/>
          <w:pgNumType w:start="1"/>
          <w:cols w:num="1" w:sep="0" w:space="0" w:equalWidth="1"/>
          <w:docGrid w:linePitch="360"/>
        </w:sectPr>
      </w:pPr>
      <w:r>
        <w:rPr>
          <w:rFonts w:hint="eastAsia" w:ascii="宋体" w:hAnsi="宋体" w:eastAsia="宋体" w:cs="宋体"/>
          <w:color w:val="000000"/>
          <w:sz w:val="24"/>
          <w:szCs w:val="24"/>
        </w:rPr>
      </w:r>
      <w:r/>
    </w:p>
    <w:p>
      <w:pPr>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附图：服务范围示意图</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174"/>
      </w:tblGrid>
      <w:tr>
        <w:trPr>
          <w:trHeight w:val="8325"/>
        </w:trPr>
        <w:tc>
          <w:tcPr>
            <w:tcW w:w="14174" w:type="dxa"/>
            <w:textDirection w:val="lrTb"/>
            <w:noWrap w:val="false"/>
          </w:tcPr>
          <w:p>
            <w:pPr>
              <w:spacing w:after="0" w:line="240" w:lineRule="auto"/>
              <w:rPr>
                <w:rFonts w:hint="eastAsia" w:ascii="宋体" w:hAnsi="宋体" w:cs="宋体"/>
                <w:color w:val="000000"/>
                <w:sz w:val="24"/>
                <w:szCs w:val="24"/>
                <w:vertAlign w:val="baseline"/>
                <w:lang w:eastAsia="zh-CN"/>
              </w:rPr>
            </w:pPr>
            <w:r>
              <w:rPr>
                <w:rFonts w:hint="eastAsia" w:ascii="宋体" w:hAnsi="宋体" w:cs="宋体"/>
                <w:color w:val="000000"/>
                <w:sz w:val="24"/>
                <w:szCs w:val="24"/>
                <w:vertAlign w:val="baseline"/>
                <w:lang w:eastAsia="zh-CN"/>
              </w:rPr>
              <mc:AlternateContent>
                <mc:Choice Requires="wpg">
                  <w:drawing>
                    <wp:inline xmlns:wp="http://schemas.openxmlformats.org/drawingml/2006/wordprocessingDrawing" distT="0" distB="0" distL="0" distR="0">
                      <wp:extent cx="8851265" cy="4979035"/>
                      <wp:effectExtent l="0" t="0" r="6985" b="12065"/>
                      <wp:docPr id="7" name="图片 12" descr="服务范围示意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服务范围示意_01(1)"/>
                              <pic:cNvPicPr>
                                <a:picLocks noChangeAspect="1"/>
                              </pic:cNvPicPr>
                              <pic:nvPr/>
                            </pic:nvPicPr>
                            <pic:blipFill>
                              <a:blip r:embed="rId15"/>
                              <a:stretch/>
                            </pic:blipFill>
                            <pic:spPr bwMode="auto">
                              <a:xfrm>
                                <a:off x="0" y="0"/>
                                <a:ext cx="8851265" cy="4979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6.9pt;height:392.0pt;mso-wrap-distance-left:0.0pt;mso-wrap-distance-top:0.0pt;mso-wrap-distance-right:0.0pt;mso-wrap-distance-bottom:0.0pt;" stroked="false">
                      <v:path textboxrect="0,0,0,0"/>
                      <v:imagedata r:id="rId15" o:title=""/>
                    </v:shape>
                  </w:pict>
                </mc:Fallback>
              </mc:AlternateContent>
            </w:r>
            <w:r/>
          </w:p>
        </w:tc>
      </w:tr>
      <w:tr>
        <w:trPr/>
        <w:tc>
          <w:tcPr>
            <w:tcW w:w="14174" w:type="dxa"/>
            <w:textDirection w:val="lrTb"/>
            <w:noWrap w:val="false"/>
          </w:tcPr>
          <w:p>
            <w:pPr>
              <w:spacing w:after="0" w:line="240" w:lineRule="auto"/>
              <w:rPr>
                <w:rFonts w:hint="eastAsia" w:ascii="宋体" w:hAnsi="宋体" w:cs="宋体"/>
                <w:color w:val="000000"/>
                <w:sz w:val="24"/>
                <w:szCs w:val="24"/>
                <w:vertAlign w:val="baseline"/>
                <w:lang w:eastAsia="zh-CN"/>
              </w:rPr>
            </w:pPr>
            <w:r>
              <w:rPr>
                <w:rFonts w:hint="eastAsia" w:ascii="宋体" w:hAnsi="宋体" w:cs="宋体"/>
                <w:color w:val="000000"/>
                <w:sz w:val="24"/>
                <w:szCs w:val="24"/>
                <w:vertAlign w:val="baseline"/>
                <w:lang w:eastAsia="zh-CN"/>
              </w:rPr>
              <mc:AlternateContent>
                <mc:Choice Requires="wpg">
                  <w:drawing>
                    <wp:inline xmlns:wp="http://schemas.openxmlformats.org/drawingml/2006/wordprocessingDrawing" distT="0" distB="0" distL="0" distR="0">
                      <wp:extent cx="8851265" cy="4979035"/>
                      <wp:effectExtent l="0" t="0" r="6985" b="12065"/>
                      <wp:docPr id="8" name="图片 11" descr="服务范围示意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服务范围示意_02"/>
                              <pic:cNvPicPr>
                                <a:picLocks noChangeAspect="1"/>
                              </pic:cNvPicPr>
                              <pic:nvPr/>
                            </pic:nvPicPr>
                            <pic:blipFill>
                              <a:blip r:embed="rId16"/>
                              <a:stretch/>
                            </pic:blipFill>
                            <pic:spPr bwMode="auto">
                              <a:xfrm>
                                <a:off x="0" y="0"/>
                                <a:ext cx="8851265" cy="4979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6.9pt;height:392.0pt;mso-wrap-distance-left:0.0pt;mso-wrap-distance-top:0.0pt;mso-wrap-distance-right:0.0pt;mso-wrap-distance-bottom:0.0pt;" stroked="false">
                      <v:path textboxrect="0,0,0,0"/>
                      <v:imagedata r:id="rId16" o:title=""/>
                    </v:shape>
                  </w:pict>
                </mc:Fallback>
              </mc:AlternateContent>
            </w:r>
            <w:r/>
          </w:p>
        </w:tc>
      </w:tr>
    </w:tbl>
    <w:p>
      <w:pPr>
        <w:rPr>
          <w:rFonts w:hint="eastAsia" w:ascii="宋体" w:hAnsi="宋体" w:cs="宋体"/>
          <w:color w:val="000000"/>
          <w:sz w:val="24"/>
          <w:szCs w:val="24"/>
          <w:lang w:eastAsia="zh-CN"/>
        </w:rPr>
      </w:pPr>
      <w:r>
        <w:rPr>
          <w:rFonts w:hint="eastAsia" w:ascii="宋体" w:hAnsi="宋体" w:cs="宋体"/>
          <w:color w:val="000000"/>
          <w:sz w:val="24"/>
          <w:szCs w:val="24"/>
          <w:lang w:eastAsia="zh-CN"/>
        </w:rPr>
      </w:r>
      <w:r/>
    </w:p>
    <w:sectPr>
      <w:footnotePr/>
      <w:endnotePr/>
      <w:type w:val="nextPage"/>
      <w:pgSz w:w="16838" w:h="11906" w:orient="landscape"/>
      <w:pgMar w:top="1083" w:right="1440" w:bottom="1083" w:left="144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Wingdings">
    <w:panose1 w:val="05000000000000000000"/>
  </w:font>
  <w:font w:name="方正仿宋_GBK">
    <w:panose1 w:val="020B0503020202020204"/>
  </w:font>
  <w:font w:name="方正黑体_GBK">
    <w:panose1 w:val="020B0503020202020204"/>
  </w:font>
  <w:font w:name="华文细黑">
    <w:panose1 w:val="02010600040101010101"/>
  </w:font>
  <w:font w:name="Tahoma">
    <w:panose1 w:val="020B0604030504040204"/>
  </w:font>
  <w:font w:name="楷体_GB2312">
    <w:panose1 w:val="02010609060101010101"/>
  </w:font>
  <w:font w:name="ˎ̥">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Impact">
    <w:panose1 w:val="020B0806030902050204"/>
  </w:font>
  <w:font w:name="仿宋_GB2312">
    <w:panose1 w:val="02010609060101010101"/>
  </w:font>
  <w:font w:name="Verdana">
    <w:panose1 w:val="020B0604030504040204"/>
  </w:font>
  <w:font w:name="黑体">
    <w:panose1 w:val="02010609060101010101"/>
  </w:font>
  <w:font w:name="Calibri">
    <w:panose1 w:val="020F0502020204030204"/>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tabs>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pStyle w:val="113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4"/>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
      <w:numFmt w:val="decimal"/>
      <w:pStyle w:val="114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11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6">
    <w:name w:val="Heading 1"/>
    <w:basedOn w:val="695"/>
    <w:next w:val="695"/>
    <w:link w:val="736"/>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7"/>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8"/>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9"/>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0"/>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1"/>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3"/>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4"/>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right="0" w:firstLine="0"/>
      <w:spacing w:after="57"/>
    </w:pPr>
  </w:style>
  <w:style w:type="paragraph" w:styleId="708">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Body Text Indent"/>
    <w:basedOn w:val="695"/>
    <w:next w:val="710"/>
    <w:uiPriority w:val="0"/>
    <w:qFormat/>
    <w:pPr>
      <w:ind w:firstLine="420"/>
      <w:spacing w:line="360" w:lineRule="auto"/>
    </w:pPr>
    <w:rPr>
      <w:rFonts w:ascii="宋体"/>
      <w:sz w:val="24"/>
    </w:rPr>
  </w:style>
  <w:style w:type="paragraph" w:styleId="710">
    <w:name w:val="envelope return"/>
    <w:uiPriority w:val="99"/>
    <w:unhideWhenUsed/>
    <w:qFormat/>
    <w:pPr>
      <w:jc w:val="both"/>
      <w:widowControl w:val="off"/>
    </w:pPr>
    <w:rPr>
      <w:rFonts w:ascii="Arial" w:hAnsi="Arial" w:eastAsia="宋体" w:cs="Times New Roman"/>
      <w:sz w:val="21"/>
      <w:szCs w:val="21"/>
      <w:lang w:val="en-US" w:eastAsia="zh-CN" w:bidi="ar-SA"/>
    </w:rPr>
  </w:style>
  <w:style w:type="paragraph" w:styleId="711">
    <w:name w:val="toc 5"/>
    <w:basedOn w:val="695"/>
    <w:next w:val="695"/>
    <w:uiPriority w:val="39"/>
    <w:unhideWhenUsed/>
    <w:qFormat/>
    <w:pPr>
      <w:ind w:left="1134" w:right="0" w:firstLine="0"/>
      <w:spacing w:after="57"/>
    </w:pPr>
  </w:style>
  <w:style w:type="paragraph" w:styleId="712">
    <w:name w:val="toc 3"/>
    <w:basedOn w:val="695"/>
    <w:next w:val="695"/>
    <w:uiPriority w:val="39"/>
    <w:unhideWhenUsed/>
    <w:qFormat/>
    <w:pPr>
      <w:ind w:left="567" w:right="0" w:firstLine="0"/>
      <w:spacing w:after="57"/>
    </w:pPr>
  </w:style>
  <w:style w:type="paragraph" w:styleId="713">
    <w:name w:val="Plain Text"/>
    <w:basedOn w:val="695"/>
    <w:uiPriority w:val="0"/>
    <w:qFormat/>
    <w:rPr>
      <w:rFonts w:ascii="宋体" w:hAnsi="Courier New"/>
      <w:sz w:val="28"/>
    </w:rPr>
  </w:style>
  <w:style w:type="paragraph" w:styleId="714">
    <w:name w:val="toc 8"/>
    <w:basedOn w:val="695"/>
    <w:next w:val="695"/>
    <w:uiPriority w:val="39"/>
    <w:unhideWhenUsed/>
    <w:qFormat/>
    <w:pPr>
      <w:ind w:left="1984" w:right="0" w:firstLine="0"/>
      <w:spacing w:after="57"/>
    </w:pPr>
  </w:style>
  <w:style w:type="paragraph" w:styleId="715">
    <w:name w:val="endnote text"/>
    <w:basedOn w:val="695"/>
    <w:link w:val="881"/>
    <w:uiPriority w:val="99"/>
    <w:semiHidden/>
    <w:unhideWhenUsed/>
    <w:qFormat/>
    <w:pPr>
      <w:spacing w:after="0" w:line="240" w:lineRule="auto"/>
    </w:pPr>
    <w:rPr>
      <w:sz w:val="20"/>
    </w:rPr>
  </w:style>
  <w:style w:type="paragraph" w:styleId="716">
    <w:name w:val="Footer"/>
    <w:basedOn w:val="695"/>
    <w:link w:val="754"/>
    <w:uiPriority w:val="99"/>
    <w:unhideWhenUsed/>
    <w:qFormat/>
    <w:pPr>
      <w:spacing w:after="0" w:line="240" w:lineRule="auto"/>
      <w:tabs>
        <w:tab w:val="center" w:pos="7143" w:leader="none"/>
        <w:tab w:val="right" w:pos="14287" w:leader="none"/>
      </w:tabs>
    </w:pPr>
  </w:style>
  <w:style w:type="paragraph" w:styleId="717">
    <w:name w:val="Header"/>
    <w:basedOn w:val="695"/>
    <w:link w:val="752"/>
    <w:uiPriority w:val="99"/>
    <w:unhideWhenUsed/>
    <w:qFormat/>
    <w:pPr>
      <w:spacing w:after="0" w:line="240" w:lineRule="auto"/>
      <w:tabs>
        <w:tab w:val="center" w:pos="7143" w:leader="none"/>
        <w:tab w:val="right" w:pos="14287" w:leader="none"/>
      </w:tabs>
    </w:pPr>
  </w:style>
  <w:style w:type="paragraph" w:styleId="718">
    <w:name w:val="toc 1"/>
    <w:basedOn w:val="695"/>
    <w:next w:val="695"/>
    <w:uiPriority w:val="39"/>
    <w:unhideWhenUsed/>
    <w:qFormat/>
    <w:pPr>
      <w:ind w:left="0" w:right="0" w:firstLine="0"/>
      <w:spacing w:after="57"/>
    </w:pPr>
  </w:style>
  <w:style w:type="paragraph" w:styleId="719">
    <w:name w:val="toc 4"/>
    <w:basedOn w:val="695"/>
    <w:next w:val="695"/>
    <w:uiPriority w:val="39"/>
    <w:unhideWhenUsed/>
    <w:qFormat/>
    <w:pPr>
      <w:ind w:left="850" w:right="0" w:firstLine="0"/>
      <w:spacing w:after="57"/>
    </w:pPr>
  </w:style>
  <w:style w:type="paragraph" w:styleId="720">
    <w:name w:val="Subtitle"/>
    <w:basedOn w:val="695"/>
    <w:next w:val="695"/>
    <w:link w:val="747"/>
    <w:uiPriority w:val="11"/>
    <w:qFormat/>
    <w:pPr>
      <w:spacing w:before="200" w:after="200"/>
    </w:pPr>
    <w:rPr>
      <w:sz w:val="24"/>
      <w:szCs w:val="24"/>
    </w:rPr>
  </w:style>
  <w:style w:type="paragraph" w:styleId="721">
    <w:name w:val="footnote text"/>
    <w:basedOn w:val="695"/>
    <w:link w:val="880"/>
    <w:uiPriority w:val="99"/>
    <w:semiHidden/>
    <w:unhideWhenUsed/>
    <w:qFormat/>
    <w:pPr>
      <w:spacing w:after="40" w:line="240" w:lineRule="auto"/>
    </w:pPr>
    <w:rPr>
      <w:sz w:val="18"/>
    </w:rPr>
  </w:style>
  <w:style w:type="paragraph" w:styleId="722">
    <w:name w:val="toc 6"/>
    <w:basedOn w:val="695"/>
    <w:next w:val="695"/>
    <w:uiPriority w:val="39"/>
    <w:unhideWhenUsed/>
    <w:qFormat/>
    <w:pPr>
      <w:ind w:left="1417" w:right="0" w:firstLine="0"/>
      <w:spacing w:after="57"/>
    </w:pPr>
  </w:style>
  <w:style w:type="paragraph" w:styleId="723">
    <w:name w:val="table of figures"/>
    <w:basedOn w:val="695"/>
    <w:next w:val="695"/>
    <w:uiPriority w:val="99"/>
    <w:unhideWhenUsed/>
    <w:qFormat/>
    <w:pPr>
      <w:spacing w:after="0" w:afterAutospacing="0"/>
    </w:pPr>
  </w:style>
  <w:style w:type="paragraph" w:styleId="724">
    <w:name w:val="toc 2"/>
    <w:basedOn w:val="695"/>
    <w:next w:val="695"/>
    <w:uiPriority w:val="39"/>
    <w:unhideWhenUsed/>
    <w:qFormat/>
    <w:pPr>
      <w:ind w:left="283" w:right="0" w:firstLine="0"/>
      <w:spacing w:after="57"/>
    </w:pPr>
  </w:style>
  <w:style w:type="paragraph" w:styleId="725">
    <w:name w:val="toc 9"/>
    <w:basedOn w:val="695"/>
    <w:next w:val="695"/>
    <w:uiPriority w:val="39"/>
    <w:unhideWhenUsed/>
    <w:qFormat/>
    <w:pPr>
      <w:ind w:left="2268" w:right="0" w:firstLine="0"/>
      <w:spacing w:after="57"/>
    </w:pPr>
  </w:style>
  <w:style w:type="paragraph" w:styleId="726">
    <w:name w:val="Normal (Web)"/>
    <w:uiPriority w:val="99"/>
    <w:unhideWhenUsed/>
    <w:qFormat/>
    <w:pPr>
      <w:jc w:val="both"/>
      <w:widowControl w:val="off"/>
    </w:pPr>
    <w:rPr>
      <w:rFonts w:ascii="Calibri" w:hAnsi="Calibri" w:eastAsia="宋体" w:cs="Times New Roman"/>
      <w:sz w:val="21"/>
      <w:szCs w:val="22"/>
      <w:lang w:val="en-US" w:eastAsia="zh-CN" w:bidi="ar-SA"/>
    </w:rPr>
  </w:style>
  <w:style w:type="paragraph" w:styleId="727">
    <w:name w:val="Title"/>
    <w:basedOn w:val="695"/>
    <w:next w:val="695"/>
    <w:link w:val="746"/>
    <w:uiPriority w:val="10"/>
    <w:qFormat/>
    <w:pPr>
      <w:contextualSpacing/>
      <w:spacing w:before="300" w:after="200"/>
    </w:pPr>
    <w:rPr>
      <w:sz w:val="48"/>
      <w:szCs w:val="48"/>
    </w:rPr>
  </w:style>
  <w:style w:type="paragraph" w:styleId="728">
    <w:name w:val="Body Text First Indent 2"/>
    <w:next w:val="695"/>
    <w:uiPriority w:val="0"/>
    <w:qFormat/>
    <w:pPr>
      <w:ind w:firstLine="420"/>
      <w:jc w:val="both"/>
      <w:spacing w:line="360" w:lineRule="auto"/>
      <w:widowControl w:val="off"/>
    </w:pPr>
    <w:rPr>
      <w:rFonts w:ascii="宋体" w:hAnsi="宋体" w:eastAsia="宋体" w:cs="Times New Roman"/>
      <w:sz w:val="21"/>
      <w:szCs w:val="20"/>
      <w:lang w:val="en-US" w:eastAsia="zh-CN" w:bidi="ar-SA"/>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basedOn w:val="705"/>
    <w:uiPriority w:val="22"/>
    <w:qFormat/>
    <w:rPr>
      <w:b/>
    </w:r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正文文本1"/>
    <w:basedOn w:val="695"/>
    <w:next w:val="695"/>
    <w:link w:val="915"/>
    <w:uiPriority w:val="0"/>
    <w:qFormat/>
    <w:rPr>
      <w:rFonts w:ascii="仿宋_GB2312" w:eastAsia="仿宋_GB2312"/>
      <w:sz w:val="24"/>
      <w:szCs w:val="20"/>
    </w:rPr>
  </w:style>
  <w:style w:type="paragraph" w:styleId="735"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736" w:customStyle="1">
    <w:name w:val="Heading 1 Char"/>
    <w:link w:val="696"/>
    <w:uiPriority w:val="9"/>
    <w:qFormat/>
    <w:rPr>
      <w:rFonts w:ascii="Arial" w:hAnsi="Arial" w:eastAsia="Arial" w:cs="Arial"/>
      <w:sz w:val="40"/>
      <w:szCs w:val="40"/>
    </w:rPr>
  </w:style>
  <w:style w:type="character" w:styleId="737" w:customStyle="1">
    <w:name w:val="Heading 2 Char"/>
    <w:link w:val="697"/>
    <w:uiPriority w:val="9"/>
    <w:qFormat/>
    <w:rPr>
      <w:rFonts w:ascii="Arial" w:hAnsi="Arial" w:eastAsia="Arial" w:cs="Arial"/>
      <w:sz w:val="34"/>
    </w:rPr>
  </w:style>
  <w:style w:type="character" w:styleId="738" w:customStyle="1">
    <w:name w:val="Heading 3 Char"/>
    <w:link w:val="698"/>
    <w:uiPriority w:val="9"/>
    <w:qFormat/>
    <w:rPr>
      <w:rFonts w:ascii="Arial" w:hAnsi="Arial" w:eastAsia="Arial" w:cs="Arial"/>
      <w:sz w:val="30"/>
      <w:szCs w:val="30"/>
    </w:rPr>
  </w:style>
  <w:style w:type="character" w:styleId="739" w:customStyle="1">
    <w:name w:val="Heading 4 Char"/>
    <w:link w:val="699"/>
    <w:uiPriority w:val="9"/>
    <w:qFormat/>
    <w:rPr>
      <w:rFonts w:ascii="Arial" w:hAnsi="Arial" w:eastAsia="Arial" w:cs="Arial"/>
      <w:b/>
      <w:bCs/>
      <w:sz w:val="26"/>
      <w:szCs w:val="26"/>
    </w:rPr>
  </w:style>
  <w:style w:type="character" w:styleId="740" w:customStyle="1">
    <w:name w:val="Heading 5 Char"/>
    <w:link w:val="700"/>
    <w:uiPriority w:val="9"/>
    <w:qFormat/>
    <w:rPr>
      <w:rFonts w:ascii="Arial" w:hAnsi="Arial" w:eastAsia="Arial" w:cs="Arial"/>
      <w:b/>
      <w:bCs/>
      <w:sz w:val="24"/>
      <w:szCs w:val="24"/>
    </w:rPr>
  </w:style>
  <w:style w:type="character" w:styleId="741" w:customStyle="1">
    <w:name w:val="Heading 6 Char"/>
    <w:link w:val="701"/>
    <w:uiPriority w:val="9"/>
    <w:qFormat/>
    <w:rPr>
      <w:rFonts w:ascii="Arial" w:hAnsi="Arial" w:eastAsia="Arial" w:cs="Arial"/>
      <w:b/>
      <w:bCs/>
      <w:sz w:val="22"/>
      <w:szCs w:val="22"/>
    </w:rPr>
  </w:style>
  <w:style w:type="character" w:styleId="742" w:customStyle="1">
    <w:name w:val="Heading 7 Char"/>
    <w:link w:val="702"/>
    <w:uiPriority w:val="9"/>
    <w:qFormat/>
    <w:rPr>
      <w:rFonts w:ascii="Arial" w:hAnsi="Arial" w:eastAsia="Arial" w:cs="Arial"/>
      <w:b/>
      <w:bCs/>
      <w:i/>
      <w:iCs/>
      <w:sz w:val="22"/>
      <w:szCs w:val="22"/>
    </w:rPr>
  </w:style>
  <w:style w:type="character" w:styleId="743" w:customStyle="1">
    <w:name w:val="Heading 8 Char"/>
    <w:link w:val="703"/>
    <w:uiPriority w:val="9"/>
    <w:qFormat/>
    <w:rPr>
      <w:rFonts w:ascii="Arial" w:hAnsi="Arial" w:eastAsia="Arial" w:cs="Arial"/>
      <w:i/>
      <w:iCs/>
      <w:sz w:val="22"/>
      <w:szCs w:val="22"/>
    </w:rPr>
  </w:style>
  <w:style w:type="character" w:styleId="744" w:customStyle="1">
    <w:name w:val="Heading 9 Char"/>
    <w:link w:val="704"/>
    <w:uiPriority w:val="9"/>
    <w:qFormat/>
    <w:rPr>
      <w:rFonts w:ascii="Arial" w:hAnsi="Arial" w:eastAsia="Arial" w:cs="Arial"/>
      <w:i/>
      <w:iCs/>
      <w:sz w:val="21"/>
      <w:szCs w:val="21"/>
    </w:r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27"/>
    <w:uiPriority w:val="10"/>
    <w:qFormat/>
    <w:rPr>
      <w:sz w:val="48"/>
      <w:szCs w:val="48"/>
    </w:rPr>
  </w:style>
  <w:style w:type="character" w:styleId="747" w:customStyle="1">
    <w:name w:val="Subtitle Char"/>
    <w:link w:val="720"/>
    <w:uiPriority w:val="11"/>
    <w:qFormat/>
    <w:rPr>
      <w:sz w:val="24"/>
      <w:szCs w:val="24"/>
    </w:rPr>
  </w:style>
  <w:style w:type="paragraph" w:styleId="748">
    <w:name w:val="Quote"/>
    <w:basedOn w:val="695"/>
    <w:next w:val="695"/>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5"/>
    <w:next w:val="695"/>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17"/>
    <w:uiPriority w:val="99"/>
    <w:qFormat/>
  </w:style>
  <w:style w:type="character" w:styleId="753" w:customStyle="1">
    <w:name w:val="Footer Char"/>
    <w:link w:val="716"/>
    <w:uiPriority w:val="99"/>
    <w:qFormat/>
  </w:style>
  <w:style w:type="character" w:styleId="754" w:customStyle="1">
    <w:name w:val="Caption Char"/>
    <w:link w:val="716"/>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1"/>
    <w:uiPriority w:val="99"/>
    <w:qFormat/>
    <w:rPr>
      <w:sz w:val="18"/>
    </w:rPr>
  </w:style>
  <w:style w:type="character" w:styleId="881" w:customStyle="1">
    <w:name w:val="Endnote Text Char"/>
    <w:link w:val="715"/>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标题 11"/>
    <w:basedOn w:val="695"/>
    <w:next w:val="695"/>
    <w:link w:val="895"/>
    <w:uiPriority w:val="0"/>
    <w:qFormat/>
    <w:pPr>
      <w:keepLines/>
      <w:keepNext/>
      <w:spacing w:before="340" w:after="330" w:line="578" w:lineRule="auto"/>
      <w:outlineLvl w:val="0"/>
    </w:pPr>
    <w:rPr>
      <w:b/>
      <w:bCs/>
      <w:sz w:val="44"/>
      <w:szCs w:val="44"/>
    </w:rPr>
  </w:style>
  <w:style w:type="paragraph" w:styleId="884" w:customStyle="1">
    <w:name w:val="标题 21"/>
    <w:basedOn w:val="695"/>
    <w:next w:val="695"/>
    <w:link w:val="896"/>
    <w:uiPriority w:val="0"/>
    <w:qFormat/>
    <w:pPr>
      <w:keepLines/>
      <w:keepNext/>
      <w:spacing w:before="260" w:after="260" w:line="416" w:lineRule="auto"/>
      <w:outlineLvl w:val="1"/>
    </w:pPr>
    <w:rPr>
      <w:rFonts w:ascii="Arial" w:hAnsi="Arial" w:eastAsia="黑体"/>
      <w:b/>
      <w:bCs/>
      <w:sz w:val="32"/>
      <w:szCs w:val="32"/>
    </w:rPr>
  </w:style>
  <w:style w:type="paragraph" w:styleId="885" w:customStyle="1">
    <w:name w:val="标题 31"/>
    <w:basedOn w:val="695"/>
    <w:next w:val="695"/>
    <w:link w:val="897"/>
    <w:uiPriority w:val="0"/>
    <w:qFormat/>
    <w:pPr>
      <w:keepLines/>
      <w:keepNext/>
      <w:spacing w:before="260" w:after="260" w:line="416" w:lineRule="auto"/>
      <w:outlineLvl w:val="2"/>
    </w:pPr>
    <w:rPr>
      <w:b/>
      <w:bCs/>
      <w:sz w:val="32"/>
      <w:szCs w:val="32"/>
    </w:rPr>
  </w:style>
  <w:style w:type="paragraph" w:styleId="886" w:customStyle="1">
    <w:name w:val="标题 41"/>
    <w:basedOn w:val="695"/>
    <w:next w:val="695"/>
    <w:link w:val="898"/>
    <w:uiPriority w:val="0"/>
    <w:qFormat/>
    <w:pPr>
      <w:jc w:val="center"/>
      <w:keepNext/>
      <w:outlineLvl w:val="3"/>
    </w:pPr>
    <w:rPr>
      <w:rFonts w:eastAsia="新宋体"/>
      <w:sz w:val="30"/>
      <w:szCs w:val="21"/>
    </w:rPr>
  </w:style>
  <w:style w:type="paragraph" w:styleId="887" w:customStyle="1">
    <w:name w:val="标题 51"/>
    <w:basedOn w:val="695"/>
    <w:next w:val="695"/>
    <w:link w:val="899"/>
    <w:uiPriority w:val="0"/>
    <w:qFormat/>
    <w:pPr>
      <w:keepLines/>
      <w:keepNext/>
      <w:spacing w:before="280" w:after="290" w:line="376" w:lineRule="auto"/>
      <w:outlineLvl w:val="4"/>
    </w:pPr>
    <w:rPr>
      <w:b/>
      <w:bCs/>
      <w:sz w:val="28"/>
      <w:szCs w:val="28"/>
    </w:rPr>
  </w:style>
  <w:style w:type="paragraph" w:styleId="888" w:customStyle="1">
    <w:name w:val="标题 61"/>
    <w:basedOn w:val="695"/>
    <w:next w:val="889"/>
    <w:link w:val="900"/>
    <w:uiPriority w:val="0"/>
    <w:qFormat/>
    <w:pPr>
      <w:jc w:val="center"/>
      <w:keepNext/>
      <w:outlineLvl w:val="5"/>
    </w:pPr>
    <w:rPr>
      <w:b/>
      <w:sz w:val="44"/>
      <w:szCs w:val="20"/>
    </w:rPr>
  </w:style>
  <w:style w:type="paragraph" w:styleId="889" w:customStyle="1">
    <w:name w:val="正文缩进11"/>
    <w:basedOn w:val="695"/>
    <w:link w:val="901"/>
    <w:uiPriority w:val="0"/>
    <w:qFormat/>
    <w:pPr>
      <w:ind w:firstLine="420"/>
    </w:pPr>
    <w:rPr>
      <w:sz w:val="20"/>
      <w:szCs w:val="20"/>
    </w:rPr>
  </w:style>
  <w:style w:type="paragraph" w:styleId="890" w:customStyle="1">
    <w:name w:val="标题 71"/>
    <w:basedOn w:val="695"/>
    <w:next w:val="695"/>
    <w:link w:val="902"/>
    <w:uiPriority w:val="0"/>
    <w:qFormat/>
    <w:pPr>
      <w:keepLines/>
      <w:keepNext/>
      <w:spacing w:before="240" w:after="64" w:line="320" w:lineRule="auto"/>
      <w:outlineLvl w:val="6"/>
    </w:pPr>
    <w:rPr>
      <w:b/>
      <w:bCs/>
      <w:sz w:val="24"/>
    </w:rPr>
  </w:style>
  <w:style w:type="paragraph" w:styleId="891" w:customStyle="1">
    <w:name w:val="标题 81"/>
    <w:basedOn w:val="695"/>
    <w:next w:val="695"/>
    <w:link w:val="903"/>
    <w:uiPriority w:val="0"/>
    <w:qFormat/>
    <w:pPr>
      <w:keepLines/>
      <w:keepNext/>
      <w:spacing w:before="240" w:after="64" w:line="320" w:lineRule="auto"/>
      <w:outlineLvl w:val="7"/>
    </w:pPr>
    <w:rPr>
      <w:rFonts w:ascii="Arial" w:hAnsi="Arial" w:eastAsia="黑体"/>
      <w:sz w:val="24"/>
    </w:rPr>
  </w:style>
  <w:style w:type="paragraph" w:styleId="892" w:customStyle="1">
    <w:name w:val="标题 91"/>
    <w:basedOn w:val="695"/>
    <w:next w:val="695"/>
    <w:link w:val="904"/>
    <w:uiPriority w:val="0"/>
    <w:qFormat/>
    <w:pPr>
      <w:keepLines/>
      <w:keepNext/>
      <w:spacing w:before="240" w:after="64" w:line="320" w:lineRule="auto"/>
      <w:outlineLvl w:val="8"/>
    </w:pPr>
    <w:rPr>
      <w:rFonts w:ascii="Arial" w:hAnsi="Arial" w:eastAsia="黑体"/>
      <w:sz w:val="24"/>
      <w:szCs w:val="21"/>
    </w:rPr>
  </w:style>
  <w:style w:type="character" w:styleId="893" w:customStyle="1">
    <w:name w:val="默认段落字体1"/>
    <w:link w:val="695"/>
    <w:uiPriority w:val="1"/>
    <w:unhideWhenUsed/>
    <w:qFormat/>
  </w:style>
  <w:style w:type="table" w:styleId="894" w:customStyle="1">
    <w:name w:val="普通表格1"/>
    <w:uiPriority w:val="99"/>
    <w:unhideWhenUsed/>
    <w:qFormat/>
    <w:tblPr/>
  </w:style>
  <w:style w:type="character" w:styleId="895" w:customStyle="1">
    <w:name w:val="标题 1 字符"/>
    <w:link w:val="883"/>
    <w:uiPriority w:val="0"/>
    <w:qFormat/>
    <w:rPr>
      <w:rFonts w:ascii="Times New Roman" w:hAnsi="Times New Roman" w:eastAsia="宋体" w:cs="Times New Roman"/>
      <w:b/>
      <w:bCs/>
      <w:sz w:val="44"/>
      <w:szCs w:val="44"/>
    </w:rPr>
  </w:style>
  <w:style w:type="character" w:styleId="896" w:customStyle="1">
    <w:name w:val="标题 2 字符"/>
    <w:link w:val="884"/>
    <w:uiPriority w:val="0"/>
    <w:qFormat/>
    <w:rPr>
      <w:rFonts w:ascii="Arial" w:hAnsi="Arial" w:eastAsia="黑体" w:cs="Times New Roman"/>
      <w:b/>
      <w:bCs/>
      <w:sz w:val="32"/>
      <w:szCs w:val="32"/>
    </w:rPr>
  </w:style>
  <w:style w:type="character" w:styleId="897" w:customStyle="1">
    <w:name w:val="标题 3 字符"/>
    <w:link w:val="885"/>
    <w:uiPriority w:val="0"/>
    <w:qFormat/>
    <w:rPr>
      <w:rFonts w:ascii="Times New Roman" w:hAnsi="Times New Roman" w:eastAsia="宋体" w:cs="Times New Roman"/>
      <w:b/>
      <w:bCs/>
      <w:sz w:val="32"/>
      <w:szCs w:val="32"/>
    </w:rPr>
  </w:style>
  <w:style w:type="character" w:styleId="898" w:customStyle="1">
    <w:name w:val="标题 4 字符"/>
    <w:link w:val="886"/>
    <w:uiPriority w:val="0"/>
    <w:qFormat/>
    <w:rPr>
      <w:rFonts w:ascii="Times New Roman" w:hAnsi="Times New Roman" w:eastAsia="新宋体" w:cs="Times New Roman"/>
      <w:sz w:val="30"/>
      <w:szCs w:val="21"/>
    </w:rPr>
  </w:style>
  <w:style w:type="character" w:styleId="899" w:customStyle="1">
    <w:name w:val="标题 5 字符"/>
    <w:link w:val="887"/>
    <w:uiPriority w:val="0"/>
    <w:qFormat/>
    <w:rPr>
      <w:rFonts w:ascii="Times New Roman" w:hAnsi="Times New Roman" w:eastAsia="宋体" w:cs="Times New Roman"/>
      <w:b/>
      <w:bCs/>
      <w:sz w:val="28"/>
      <w:szCs w:val="28"/>
    </w:rPr>
  </w:style>
  <w:style w:type="character" w:styleId="900" w:customStyle="1">
    <w:name w:val="标题 6 字符"/>
    <w:link w:val="888"/>
    <w:uiPriority w:val="0"/>
    <w:qFormat/>
    <w:rPr>
      <w:rFonts w:ascii="Times New Roman" w:hAnsi="Times New Roman" w:eastAsia="宋体" w:cs="Times New Roman"/>
      <w:b/>
      <w:sz w:val="44"/>
      <w:szCs w:val="20"/>
    </w:rPr>
  </w:style>
  <w:style w:type="character" w:styleId="901" w:customStyle="1">
    <w:name w:val="正文缩进 字符"/>
    <w:link w:val="889"/>
    <w:uiPriority w:val="0"/>
    <w:qFormat/>
    <w:rPr>
      <w:rFonts w:ascii="Times New Roman" w:hAnsi="Times New Roman" w:eastAsia="宋体" w:cs="Times New Roman"/>
      <w:sz w:val="20"/>
      <w:szCs w:val="20"/>
    </w:rPr>
  </w:style>
  <w:style w:type="character" w:styleId="902" w:customStyle="1">
    <w:name w:val="标题 7 字符"/>
    <w:link w:val="890"/>
    <w:uiPriority w:val="0"/>
    <w:qFormat/>
    <w:rPr>
      <w:rFonts w:ascii="Times New Roman" w:hAnsi="Times New Roman" w:eastAsia="宋体" w:cs="Times New Roman"/>
      <w:b/>
      <w:bCs/>
      <w:sz w:val="24"/>
      <w:szCs w:val="24"/>
    </w:rPr>
  </w:style>
  <w:style w:type="character" w:styleId="903" w:customStyle="1">
    <w:name w:val="标题 8 字符"/>
    <w:link w:val="891"/>
    <w:uiPriority w:val="0"/>
    <w:qFormat/>
    <w:rPr>
      <w:rFonts w:ascii="Arial" w:hAnsi="Arial" w:eastAsia="黑体" w:cs="Times New Roman"/>
      <w:sz w:val="24"/>
      <w:szCs w:val="24"/>
    </w:rPr>
  </w:style>
  <w:style w:type="character" w:styleId="904" w:customStyle="1">
    <w:name w:val="标题 9 字符"/>
    <w:link w:val="892"/>
    <w:uiPriority w:val="0"/>
    <w:qFormat/>
    <w:rPr>
      <w:rFonts w:ascii="Arial" w:hAnsi="Arial" w:eastAsia="黑体" w:cs="Times New Roman"/>
      <w:sz w:val="24"/>
      <w:szCs w:val="21"/>
    </w:rPr>
  </w:style>
  <w:style w:type="paragraph" w:styleId="905" w:customStyle="1">
    <w:name w:val="列表 31"/>
    <w:basedOn w:val="695"/>
    <w:uiPriority w:val="0"/>
    <w:qFormat/>
    <w:pPr>
      <w:ind w:left="100" w:hanging="200"/>
    </w:pPr>
    <w:rPr>
      <w:szCs w:val="21"/>
    </w:rPr>
  </w:style>
  <w:style w:type="paragraph" w:styleId="906" w:customStyle="1">
    <w:name w:val="目录 71"/>
    <w:basedOn w:val="695"/>
    <w:next w:val="695"/>
    <w:uiPriority w:val="0"/>
    <w:qFormat/>
    <w:pPr>
      <w:ind w:left="1260"/>
      <w:jc w:val="left"/>
    </w:pPr>
    <w:rPr>
      <w:szCs w:val="21"/>
    </w:rPr>
  </w:style>
  <w:style w:type="paragraph" w:styleId="907" w:customStyle="1">
    <w:name w:val="题注1"/>
    <w:basedOn w:val="695"/>
    <w:next w:val="695"/>
    <w:uiPriority w:val="0"/>
    <w:qFormat/>
    <w:rPr>
      <w:rFonts w:ascii="Cambria" w:hAnsi="Cambria" w:eastAsia="黑体"/>
      <w:sz w:val="20"/>
      <w:szCs w:val="20"/>
    </w:rPr>
  </w:style>
  <w:style w:type="paragraph" w:styleId="908" w:customStyle="1">
    <w:name w:val="索引 51"/>
    <w:basedOn w:val="695"/>
    <w:next w:val="695"/>
    <w:uiPriority w:val="99"/>
    <w:unhideWhenUsed/>
    <w:qFormat/>
    <w:pPr>
      <w:ind w:left="800"/>
    </w:pPr>
  </w:style>
  <w:style w:type="paragraph" w:styleId="909" w:customStyle="1">
    <w:name w:val="文档结构图1"/>
    <w:basedOn w:val="695"/>
    <w:link w:val="910"/>
    <w:uiPriority w:val="0"/>
    <w:qFormat/>
    <w:pPr>
      <w:shd w:val="clear" w:color="auto" w:fill="000080"/>
    </w:pPr>
    <w:rPr>
      <w:sz w:val="20"/>
    </w:rPr>
  </w:style>
  <w:style w:type="character" w:styleId="910" w:customStyle="1">
    <w:name w:val="文档结构图 字符"/>
    <w:link w:val="909"/>
    <w:uiPriority w:val="0"/>
    <w:semiHidden/>
    <w:qFormat/>
    <w:rPr>
      <w:szCs w:val="24"/>
      <w:shd w:val="clear" w:color="auto" w:fill="000080"/>
    </w:rPr>
  </w:style>
  <w:style w:type="paragraph" w:styleId="911" w:customStyle="1">
    <w:name w:val="批注文字1"/>
    <w:basedOn w:val="695"/>
    <w:link w:val="912"/>
    <w:uiPriority w:val="0"/>
    <w:unhideWhenUsed/>
    <w:qFormat/>
    <w:pPr>
      <w:jc w:val="left"/>
    </w:pPr>
  </w:style>
  <w:style w:type="character" w:styleId="912" w:customStyle="1">
    <w:name w:val="批注文字 字符"/>
    <w:link w:val="911"/>
    <w:uiPriority w:val="0"/>
    <w:qFormat/>
    <w:rPr>
      <w:sz w:val="21"/>
      <w:szCs w:val="24"/>
    </w:rPr>
  </w:style>
  <w:style w:type="paragraph" w:styleId="913" w:customStyle="1">
    <w:name w:val="正文文本 31"/>
    <w:basedOn w:val="695"/>
    <w:link w:val="914"/>
    <w:uiPriority w:val="0"/>
    <w:qFormat/>
    <w:pPr>
      <w:spacing w:after="120"/>
    </w:pPr>
    <w:rPr>
      <w:sz w:val="16"/>
      <w:szCs w:val="16"/>
    </w:rPr>
  </w:style>
  <w:style w:type="character" w:styleId="914" w:customStyle="1">
    <w:name w:val="正文文本 3 字符"/>
    <w:link w:val="913"/>
    <w:uiPriority w:val="0"/>
    <w:qFormat/>
    <w:rPr>
      <w:rFonts w:ascii="Times New Roman" w:hAnsi="Times New Roman" w:eastAsia="宋体" w:cs="Times New Roman"/>
      <w:sz w:val="16"/>
      <w:szCs w:val="16"/>
    </w:rPr>
  </w:style>
  <w:style w:type="character" w:styleId="915" w:customStyle="1">
    <w:name w:val="正文文本 字符"/>
    <w:link w:val="734"/>
    <w:uiPriority w:val="0"/>
    <w:qFormat/>
    <w:rPr>
      <w:rFonts w:ascii="仿宋_GB2312" w:hAnsi="Times New Roman" w:eastAsia="仿宋_GB2312" w:cs="Times New Roman"/>
      <w:sz w:val="24"/>
      <w:szCs w:val="20"/>
    </w:rPr>
  </w:style>
  <w:style w:type="paragraph" w:styleId="916" w:customStyle="1">
    <w:name w:val="正文文本缩进11"/>
    <w:basedOn w:val="695"/>
    <w:link w:val="917"/>
    <w:uiPriority w:val="0"/>
    <w:qFormat/>
    <w:pPr>
      <w:ind w:left="765"/>
    </w:pPr>
    <w:rPr>
      <w:rFonts w:ascii="仿宋_GB2312" w:eastAsia="仿宋_GB2312"/>
      <w:sz w:val="28"/>
      <w:szCs w:val="20"/>
    </w:rPr>
  </w:style>
  <w:style w:type="character" w:styleId="917" w:customStyle="1">
    <w:name w:val="正文文本缩进 字符"/>
    <w:link w:val="916"/>
    <w:uiPriority w:val="0"/>
    <w:qFormat/>
    <w:rPr>
      <w:rFonts w:ascii="仿宋_GB2312" w:hAnsi="Times New Roman" w:eastAsia="仿宋_GB2312" w:cs="Times New Roman"/>
      <w:sz w:val="28"/>
      <w:szCs w:val="20"/>
    </w:rPr>
  </w:style>
  <w:style w:type="paragraph" w:styleId="918" w:customStyle="1">
    <w:name w:val="列表 21"/>
    <w:basedOn w:val="695"/>
    <w:uiPriority w:val="0"/>
    <w:qFormat/>
    <w:pPr>
      <w:ind w:left="100" w:hanging="200"/>
    </w:pPr>
    <w:rPr>
      <w:szCs w:val="21"/>
    </w:rPr>
  </w:style>
  <w:style w:type="paragraph" w:styleId="919" w:customStyle="1">
    <w:name w:val="目录 51"/>
    <w:basedOn w:val="695"/>
    <w:next w:val="695"/>
    <w:uiPriority w:val="39"/>
    <w:qFormat/>
    <w:pPr>
      <w:ind w:left="840"/>
      <w:jc w:val="left"/>
    </w:pPr>
    <w:rPr>
      <w:szCs w:val="21"/>
    </w:rPr>
  </w:style>
  <w:style w:type="paragraph" w:styleId="920" w:customStyle="1">
    <w:name w:val="目录 31"/>
    <w:basedOn w:val="695"/>
    <w:next w:val="695"/>
    <w:uiPriority w:val="39"/>
    <w:qFormat/>
    <w:pPr>
      <w:ind w:left="420"/>
      <w:jc w:val="left"/>
    </w:pPr>
    <w:rPr>
      <w:i/>
      <w:iCs/>
    </w:rPr>
  </w:style>
  <w:style w:type="paragraph" w:styleId="921" w:customStyle="1">
    <w:name w:val="纯文本11"/>
    <w:basedOn w:val="695"/>
    <w:link w:val="922"/>
    <w:uiPriority w:val="0"/>
    <w:qFormat/>
    <w:rPr>
      <w:rFonts w:ascii="宋体" w:hAnsi="Courier New"/>
      <w:sz w:val="20"/>
      <w:szCs w:val="21"/>
    </w:rPr>
  </w:style>
  <w:style w:type="character" w:styleId="922" w:customStyle="1">
    <w:name w:val="纯文本 字符"/>
    <w:link w:val="921"/>
    <w:uiPriority w:val="0"/>
    <w:qFormat/>
    <w:rPr>
      <w:rFonts w:ascii="宋体" w:hAnsi="Courier New" w:eastAsia="宋体" w:cs="Courier New"/>
      <w:szCs w:val="21"/>
    </w:rPr>
  </w:style>
  <w:style w:type="paragraph" w:styleId="923" w:customStyle="1">
    <w:name w:val="目录 81"/>
    <w:basedOn w:val="695"/>
    <w:next w:val="695"/>
    <w:uiPriority w:val="0"/>
    <w:qFormat/>
    <w:pPr>
      <w:ind w:left="1470"/>
      <w:jc w:val="left"/>
    </w:pPr>
    <w:rPr>
      <w:szCs w:val="21"/>
    </w:rPr>
  </w:style>
  <w:style w:type="paragraph" w:styleId="924" w:customStyle="1">
    <w:name w:val="日期1"/>
    <w:basedOn w:val="695"/>
    <w:next w:val="695"/>
    <w:link w:val="925"/>
    <w:uiPriority w:val="0"/>
    <w:qFormat/>
    <w:rPr>
      <w:sz w:val="24"/>
      <w:szCs w:val="20"/>
    </w:rPr>
  </w:style>
  <w:style w:type="character" w:styleId="925" w:customStyle="1">
    <w:name w:val="日期 字符"/>
    <w:link w:val="924"/>
    <w:uiPriority w:val="0"/>
    <w:qFormat/>
    <w:rPr>
      <w:rFonts w:ascii="Times New Roman" w:hAnsi="Times New Roman" w:eastAsia="宋体" w:cs="Times New Roman"/>
      <w:sz w:val="24"/>
      <w:szCs w:val="20"/>
    </w:rPr>
  </w:style>
  <w:style w:type="paragraph" w:styleId="926" w:customStyle="1">
    <w:name w:val="正文文本缩进 21"/>
    <w:basedOn w:val="695"/>
    <w:link w:val="927"/>
    <w:uiPriority w:val="0"/>
    <w:qFormat/>
    <w:pPr>
      <w:ind w:firstLine="560"/>
      <w:spacing w:line="500" w:lineRule="exact"/>
    </w:pPr>
    <w:rPr>
      <w:rFonts w:eastAsia="仿宋_GB2312"/>
      <w:sz w:val="28"/>
      <w:szCs w:val="20"/>
    </w:rPr>
  </w:style>
  <w:style w:type="character" w:styleId="927" w:customStyle="1">
    <w:name w:val="正文文本缩进 2 字符"/>
    <w:link w:val="926"/>
    <w:uiPriority w:val="0"/>
    <w:qFormat/>
    <w:rPr>
      <w:rFonts w:ascii="Times New Roman" w:hAnsi="Times New Roman" w:eastAsia="仿宋_GB2312" w:cs="Times New Roman"/>
      <w:sz w:val="28"/>
      <w:szCs w:val="20"/>
    </w:rPr>
  </w:style>
  <w:style w:type="paragraph" w:styleId="928" w:customStyle="1">
    <w:name w:val="批注框文本1"/>
    <w:basedOn w:val="695"/>
    <w:link w:val="929"/>
    <w:uiPriority w:val="0"/>
    <w:qFormat/>
    <w:rPr>
      <w:sz w:val="18"/>
      <w:szCs w:val="18"/>
    </w:rPr>
  </w:style>
  <w:style w:type="character" w:styleId="929" w:customStyle="1">
    <w:name w:val="批注框文本 字符"/>
    <w:link w:val="928"/>
    <w:uiPriority w:val="0"/>
    <w:semiHidden/>
    <w:qFormat/>
    <w:rPr>
      <w:sz w:val="18"/>
      <w:szCs w:val="18"/>
    </w:rPr>
  </w:style>
  <w:style w:type="paragraph" w:styleId="930" w:customStyle="1">
    <w:name w:val="页脚1"/>
    <w:basedOn w:val="695"/>
    <w:link w:val="931"/>
    <w:uiPriority w:val="99"/>
    <w:qFormat/>
    <w:pPr>
      <w:jc w:val="left"/>
      <w:tabs>
        <w:tab w:val="center" w:pos="4153" w:leader="none"/>
        <w:tab w:val="right" w:pos="8306" w:leader="none"/>
      </w:tabs>
    </w:pPr>
    <w:rPr>
      <w:sz w:val="18"/>
      <w:szCs w:val="20"/>
    </w:rPr>
  </w:style>
  <w:style w:type="character" w:styleId="931" w:customStyle="1">
    <w:name w:val="页脚 字符"/>
    <w:link w:val="930"/>
    <w:uiPriority w:val="99"/>
    <w:qFormat/>
    <w:rPr>
      <w:rFonts w:ascii="Times New Roman" w:hAnsi="Times New Roman" w:eastAsia="宋体" w:cs="Times New Roman"/>
      <w:sz w:val="18"/>
      <w:szCs w:val="20"/>
    </w:rPr>
  </w:style>
  <w:style w:type="paragraph" w:styleId="932" w:customStyle="1">
    <w:name w:val="寄信人地址1"/>
    <w:basedOn w:val="695"/>
    <w:uiPriority w:val="99"/>
    <w:qFormat/>
    <w:pPr>
      <w:ind w:firstLine="200"/>
      <w:spacing w:line="360" w:lineRule="auto"/>
    </w:pPr>
    <w:rPr>
      <w:rFonts w:ascii="Arial" w:hAnsi="Arial" w:eastAsia="仿宋_GB2312" w:cs="Arial"/>
      <w:sz w:val="24"/>
    </w:rPr>
  </w:style>
  <w:style w:type="paragraph" w:styleId="933" w:customStyle="1">
    <w:name w:val="页眉1"/>
    <w:basedOn w:val="695"/>
    <w:link w:val="934"/>
    <w:uiPriority w:val="0"/>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字符"/>
    <w:link w:val="933"/>
    <w:uiPriority w:val="0"/>
    <w:qFormat/>
    <w:rPr>
      <w:rFonts w:ascii="Times New Roman" w:hAnsi="Times New Roman" w:eastAsia="宋体" w:cs="Times New Roman"/>
      <w:sz w:val="18"/>
      <w:szCs w:val="18"/>
    </w:rPr>
  </w:style>
  <w:style w:type="paragraph" w:styleId="935" w:customStyle="1">
    <w:name w:val="目录 11"/>
    <w:basedOn w:val="695"/>
    <w:next w:val="695"/>
    <w:uiPriority w:val="39"/>
    <w:qFormat/>
    <w:rPr>
      <w:sz w:val="24"/>
    </w:rPr>
  </w:style>
  <w:style w:type="paragraph" w:styleId="936" w:customStyle="1">
    <w:name w:val="目录 41"/>
    <w:basedOn w:val="695"/>
    <w:next w:val="695"/>
    <w:link w:val="937"/>
    <w:uiPriority w:val="39"/>
    <w:qFormat/>
    <w:pPr>
      <w:ind w:left="630"/>
      <w:jc w:val="left"/>
    </w:pPr>
    <w:rPr>
      <w:szCs w:val="21"/>
    </w:rPr>
  </w:style>
  <w:style w:type="character" w:styleId="937" w:customStyle="1">
    <w:name w:val="TOC 4 字符"/>
    <w:link w:val="936"/>
    <w:uiPriority w:val="39"/>
    <w:qFormat/>
    <w:rPr>
      <w:sz w:val="21"/>
      <w:szCs w:val="21"/>
    </w:rPr>
  </w:style>
  <w:style w:type="paragraph" w:styleId="938" w:customStyle="1">
    <w:name w:val="副标题1"/>
    <w:basedOn w:val="695"/>
    <w:next w:val="695"/>
    <w:link w:val="939"/>
    <w:uiPriority w:val="0"/>
    <w:qFormat/>
    <w:pPr>
      <w:jc w:val="center"/>
      <w:spacing w:before="240" w:after="60" w:line="312" w:lineRule="auto"/>
      <w:outlineLvl w:val="1"/>
    </w:pPr>
    <w:rPr>
      <w:rFonts w:ascii="Cambria" w:hAnsi="Cambria"/>
      <w:b/>
      <w:bCs/>
      <w:sz w:val="32"/>
      <w:szCs w:val="32"/>
    </w:rPr>
  </w:style>
  <w:style w:type="character" w:styleId="939" w:customStyle="1">
    <w:name w:val="副标题 字符"/>
    <w:link w:val="938"/>
    <w:uiPriority w:val="0"/>
    <w:qFormat/>
    <w:rPr>
      <w:rFonts w:ascii="Cambria" w:hAnsi="Cambria"/>
      <w:b/>
      <w:bCs/>
      <w:sz w:val="32"/>
      <w:szCs w:val="32"/>
    </w:rPr>
  </w:style>
  <w:style w:type="paragraph" w:styleId="940" w:customStyle="1">
    <w:name w:val="列表1"/>
    <w:basedOn w:val="695"/>
    <w:uiPriority w:val="0"/>
    <w:qFormat/>
    <w:pPr>
      <w:ind w:left="200" w:hanging="200"/>
    </w:pPr>
  </w:style>
  <w:style w:type="paragraph" w:styleId="941" w:customStyle="1">
    <w:name w:val="脚注文本1"/>
    <w:basedOn w:val="695"/>
    <w:link w:val="942"/>
    <w:uiPriority w:val="0"/>
    <w:qFormat/>
    <w:rPr>
      <w:sz w:val="20"/>
      <w:szCs w:val="20"/>
    </w:rPr>
  </w:style>
  <w:style w:type="character" w:styleId="942" w:customStyle="1">
    <w:name w:val="脚注文本 字符"/>
    <w:link w:val="941"/>
    <w:uiPriority w:val="0"/>
    <w:qFormat/>
  </w:style>
  <w:style w:type="paragraph" w:styleId="943" w:customStyle="1">
    <w:name w:val="目录 61"/>
    <w:basedOn w:val="695"/>
    <w:next w:val="695"/>
    <w:uiPriority w:val="0"/>
    <w:qFormat/>
    <w:pPr>
      <w:ind w:left="1050"/>
      <w:jc w:val="left"/>
    </w:pPr>
    <w:rPr>
      <w:szCs w:val="21"/>
    </w:rPr>
  </w:style>
  <w:style w:type="paragraph" w:styleId="944" w:customStyle="1">
    <w:name w:val="正文文本缩进 31"/>
    <w:basedOn w:val="695"/>
    <w:link w:val="945"/>
    <w:uiPriority w:val="0"/>
    <w:qFormat/>
    <w:pPr>
      <w:ind w:left="420"/>
      <w:spacing w:after="120"/>
    </w:pPr>
    <w:rPr>
      <w:sz w:val="16"/>
      <w:szCs w:val="16"/>
    </w:rPr>
  </w:style>
  <w:style w:type="character" w:styleId="945" w:customStyle="1">
    <w:name w:val="正文文本缩进 3 字符"/>
    <w:link w:val="944"/>
    <w:uiPriority w:val="0"/>
    <w:qFormat/>
    <w:rPr>
      <w:rFonts w:ascii="Times New Roman" w:hAnsi="Times New Roman" w:eastAsia="宋体" w:cs="Times New Roman"/>
      <w:sz w:val="16"/>
      <w:szCs w:val="16"/>
    </w:rPr>
  </w:style>
  <w:style w:type="paragraph" w:styleId="946" w:customStyle="1">
    <w:name w:val="图表目录1"/>
    <w:basedOn w:val="695"/>
    <w:next w:val="695"/>
    <w:uiPriority w:val="0"/>
    <w:qFormat/>
    <w:pPr>
      <w:ind w:left="840" w:hanging="420"/>
    </w:pPr>
    <w:rPr>
      <w:szCs w:val="21"/>
    </w:rPr>
  </w:style>
  <w:style w:type="paragraph" w:styleId="947" w:customStyle="1">
    <w:name w:val="目录 21"/>
    <w:basedOn w:val="695"/>
    <w:next w:val="695"/>
    <w:uiPriority w:val="39"/>
    <w:qFormat/>
    <w:pPr>
      <w:ind w:left="210"/>
      <w:jc w:val="left"/>
    </w:pPr>
    <w:rPr>
      <w:smallCaps/>
    </w:rPr>
  </w:style>
  <w:style w:type="paragraph" w:styleId="948" w:customStyle="1">
    <w:name w:val="目录 91"/>
    <w:basedOn w:val="695"/>
    <w:next w:val="695"/>
    <w:uiPriority w:val="0"/>
    <w:qFormat/>
    <w:pPr>
      <w:ind w:left="1680"/>
      <w:jc w:val="left"/>
    </w:pPr>
    <w:rPr>
      <w:szCs w:val="21"/>
    </w:rPr>
  </w:style>
  <w:style w:type="paragraph" w:styleId="949" w:customStyle="1">
    <w:name w:val="正文文本 21"/>
    <w:basedOn w:val="695"/>
    <w:link w:val="950"/>
    <w:uiPriority w:val="0"/>
    <w:qFormat/>
    <w:rPr>
      <w:b/>
      <w:bCs/>
      <w:sz w:val="18"/>
    </w:rPr>
  </w:style>
  <w:style w:type="character" w:styleId="950" w:customStyle="1">
    <w:name w:val="正文文本 2 字符"/>
    <w:link w:val="949"/>
    <w:uiPriority w:val="0"/>
    <w:qFormat/>
    <w:rPr>
      <w:rFonts w:ascii="Times New Roman" w:hAnsi="Times New Roman" w:eastAsia="宋体" w:cs="Times New Roman"/>
      <w:b/>
      <w:bCs/>
      <w:sz w:val="18"/>
      <w:szCs w:val="24"/>
    </w:rPr>
  </w:style>
  <w:style w:type="paragraph" w:styleId="951" w:customStyle="1">
    <w:name w:val="列表接续 21"/>
    <w:basedOn w:val="695"/>
    <w:uiPriority w:val="0"/>
    <w:qFormat/>
    <w:pPr>
      <w:ind w:left="840"/>
      <w:spacing w:after="120"/>
    </w:pPr>
  </w:style>
  <w:style w:type="paragraph" w:styleId="952" w:customStyle="1">
    <w:name w:val="普通(网站)11"/>
    <w:basedOn w:val="695"/>
    <w:uiPriority w:val="99"/>
    <w:qFormat/>
    <w:pPr>
      <w:jc w:val="left"/>
      <w:spacing w:before="100" w:beforeAutospacing="1" w:after="100" w:afterAutospacing="1"/>
      <w:widowControl/>
    </w:pPr>
    <w:rPr>
      <w:rFonts w:ascii="宋体" w:hAnsi="宋体"/>
      <w:color w:val="000000"/>
      <w:sz w:val="24"/>
    </w:rPr>
  </w:style>
  <w:style w:type="paragraph" w:styleId="953" w:customStyle="1">
    <w:name w:val="索引 11"/>
    <w:basedOn w:val="695"/>
    <w:next w:val="695"/>
    <w:uiPriority w:val="0"/>
    <w:semiHidden/>
    <w:qFormat/>
    <w:pPr>
      <w:spacing w:line="240" w:lineRule="atLeast"/>
    </w:pPr>
    <w:rPr>
      <w:b/>
      <w:bCs/>
      <w:szCs w:val="21"/>
    </w:rPr>
  </w:style>
  <w:style w:type="paragraph" w:styleId="954" w:customStyle="1">
    <w:name w:val="标题11"/>
    <w:basedOn w:val="695"/>
    <w:link w:val="955"/>
    <w:uiPriority w:val="0"/>
    <w:qFormat/>
    <w:pPr>
      <w:jc w:val="center"/>
      <w:spacing w:before="240" w:after="60" w:line="420" w:lineRule="atLeast"/>
      <w:outlineLvl w:val="0"/>
    </w:pPr>
    <w:rPr>
      <w:rFonts w:ascii="Arial" w:hAnsi="Arial"/>
      <w:b/>
      <w:sz w:val="32"/>
      <w:szCs w:val="20"/>
    </w:rPr>
  </w:style>
  <w:style w:type="character" w:styleId="955" w:customStyle="1">
    <w:name w:val="标题 字符"/>
    <w:link w:val="954"/>
    <w:uiPriority w:val="0"/>
    <w:qFormat/>
    <w:rPr>
      <w:rFonts w:ascii="Arial" w:hAnsi="Arial"/>
      <w:b/>
      <w:sz w:val="32"/>
    </w:rPr>
  </w:style>
  <w:style w:type="paragraph" w:styleId="956" w:customStyle="1">
    <w:name w:val="批注主题1"/>
    <w:basedOn w:val="911"/>
    <w:next w:val="911"/>
    <w:link w:val="957"/>
    <w:uiPriority w:val="0"/>
    <w:unhideWhenUsed/>
    <w:qFormat/>
    <w:rPr>
      <w:b/>
      <w:bCs/>
    </w:rPr>
  </w:style>
  <w:style w:type="character" w:styleId="957" w:customStyle="1">
    <w:name w:val="批注主题 字符"/>
    <w:link w:val="956"/>
    <w:uiPriority w:val="0"/>
    <w:qFormat/>
    <w:rPr>
      <w:b/>
      <w:bCs/>
      <w:sz w:val="21"/>
      <w:szCs w:val="24"/>
    </w:rPr>
  </w:style>
  <w:style w:type="paragraph" w:styleId="958" w:customStyle="1">
    <w:name w:val="正文首行缩进11"/>
    <w:basedOn w:val="734"/>
    <w:link w:val="959"/>
    <w:uiPriority w:val="0"/>
    <w:qFormat/>
    <w:pPr>
      <w:ind w:firstLine="420"/>
      <w:spacing w:after="120"/>
    </w:pPr>
    <w:rPr>
      <w:rFonts w:ascii="Times New Roman" w:eastAsia="宋体"/>
      <w:szCs w:val="24"/>
    </w:rPr>
  </w:style>
  <w:style w:type="character" w:styleId="959" w:customStyle="1">
    <w:name w:val="正文文本首行缩进 字符"/>
    <w:link w:val="958"/>
    <w:uiPriority w:val="0"/>
    <w:qFormat/>
    <w:rPr>
      <w:rFonts w:ascii="Times New Roman" w:hAnsi="Times New Roman" w:eastAsia="宋体" w:cs="Times New Roman"/>
      <w:sz w:val="24"/>
      <w:szCs w:val="24"/>
    </w:rPr>
  </w:style>
  <w:style w:type="paragraph" w:styleId="960" w:customStyle="1">
    <w:name w:val="正文首行缩进 211"/>
    <w:basedOn w:val="916"/>
    <w:next w:val="695"/>
    <w:link w:val="961"/>
    <w:uiPriority w:val="0"/>
    <w:unhideWhenUsed/>
    <w:qFormat/>
    <w:pPr>
      <w:ind w:left="420" w:firstLine="420"/>
      <w:spacing w:after="120"/>
    </w:pPr>
    <w:rPr>
      <w:sz w:val="21"/>
      <w:szCs w:val="24"/>
    </w:rPr>
  </w:style>
  <w:style w:type="character" w:styleId="961" w:customStyle="1">
    <w:name w:val="正文文本首行缩进 2 字符"/>
    <w:link w:val="960"/>
    <w:uiPriority w:val="0"/>
    <w:qFormat/>
    <w:rPr>
      <w:rFonts w:ascii="仿宋_GB2312" w:hAnsi="Times New Roman" w:eastAsia="仿宋_GB2312" w:cs="Times New Roman"/>
      <w:sz w:val="21"/>
      <w:szCs w:val="24"/>
    </w:rPr>
  </w:style>
  <w:style w:type="table" w:styleId="962" w:customStyle="1">
    <w:name w:val="网格型11"/>
    <w:basedOn w:val="894"/>
    <w:uiPriority w:val="0"/>
    <w:qFormat/>
    <w:tblPr/>
  </w:style>
  <w:style w:type="character" w:styleId="963" w:customStyle="1">
    <w:name w:val="要点1"/>
    <w:link w:val="695"/>
    <w:uiPriority w:val="0"/>
    <w:qFormat/>
    <w:rPr>
      <w:b/>
      <w:bCs/>
    </w:rPr>
  </w:style>
  <w:style w:type="character" w:styleId="964" w:customStyle="1">
    <w:name w:val="页码1"/>
    <w:link w:val="695"/>
    <w:uiPriority w:val="0"/>
    <w:qFormat/>
  </w:style>
  <w:style w:type="character" w:styleId="965" w:customStyle="1">
    <w:name w:val="已访问的超链接1"/>
    <w:link w:val="695"/>
    <w:uiPriority w:val="99"/>
    <w:qFormat/>
    <w:rPr>
      <w:color w:val="800080"/>
      <w:u w:val="single"/>
    </w:rPr>
  </w:style>
  <w:style w:type="character" w:styleId="966" w:customStyle="1">
    <w:name w:val="强调1"/>
    <w:link w:val="695"/>
    <w:uiPriority w:val="0"/>
    <w:qFormat/>
    <w:rPr>
      <w:b/>
      <w:bCs/>
    </w:rPr>
  </w:style>
  <w:style w:type="character" w:styleId="967" w:customStyle="1">
    <w:name w:val="HTML 定义1"/>
    <w:link w:val="695"/>
    <w:uiPriority w:val="99"/>
    <w:unhideWhenUsed/>
    <w:qFormat/>
  </w:style>
  <w:style w:type="character" w:styleId="968" w:customStyle="1">
    <w:name w:val="HTML 打字机1"/>
    <w:link w:val="695"/>
    <w:uiPriority w:val="99"/>
    <w:unhideWhenUsed/>
    <w:qFormat/>
    <w:rPr>
      <w:rFonts w:ascii="monospace" w:hAnsi="monospace" w:eastAsia="monospace" w:cs="monospace"/>
      <w:sz w:val="20"/>
    </w:rPr>
  </w:style>
  <w:style w:type="character" w:styleId="969" w:customStyle="1">
    <w:name w:val="HTML 缩写1"/>
    <w:link w:val="695"/>
    <w:uiPriority w:val="99"/>
    <w:unhideWhenUsed/>
    <w:qFormat/>
  </w:style>
  <w:style w:type="character" w:styleId="970" w:customStyle="1">
    <w:name w:val="HTML 变量1"/>
    <w:link w:val="695"/>
    <w:uiPriority w:val="99"/>
    <w:unhideWhenUsed/>
    <w:qFormat/>
  </w:style>
  <w:style w:type="character" w:styleId="971" w:customStyle="1">
    <w:name w:val="超链接1"/>
    <w:link w:val="695"/>
    <w:uiPriority w:val="99"/>
    <w:qFormat/>
    <w:rPr>
      <w:color w:val="0000ff"/>
      <w:u w:val="single"/>
    </w:rPr>
  </w:style>
  <w:style w:type="character" w:styleId="972" w:customStyle="1">
    <w:name w:val="HTML 代码1"/>
    <w:link w:val="695"/>
    <w:uiPriority w:val="99"/>
    <w:unhideWhenUsed/>
    <w:qFormat/>
    <w:rPr>
      <w:rFonts w:ascii="monospace" w:hAnsi="monospace" w:eastAsia="monospace" w:cs="monospace"/>
      <w:sz w:val="20"/>
    </w:rPr>
  </w:style>
  <w:style w:type="character" w:styleId="973" w:customStyle="1">
    <w:name w:val="批注引用1"/>
    <w:link w:val="695"/>
    <w:uiPriority w:val="0"/>
    <w:unhideWhenUsed/>
    <w:qFormat/>
    <w:rPr>
      <w:sz w:val="21"/>
      <w:szCs w:val="21"/>
    </w:rPr>
  </w:style>
  <w:style w:type="character" w:styleId="974" w:customStyle="1">
    <w:name w:val="HTML 引文1"/>
    <w:link w:val="695"/>
    <w:uiPriority w:val="99"/>
    <w:unhideWhenUsed/>
    <w:qFormat/>
  </w:style>
  <w:style w:type="character" w:styleId="975" w:customStyle="1">
    <w:name w:val="脚注引用1"/>
    <w:link w:val="695"/>
    <w:uiPriority w:val="0"/>
    <w:qFormat/>
    <w:rPr>
      <w:vertAlign w:val="superscript"/>
    </w:rPr>
  </w:style>
  <w:style w:type="character" w:styleId="976" w:customStyle="1">
    <w:name w:val="HTML 键盘1"/>
    <w:link w:val="695"/>
    <w:uiPriority w:val="99"/>
    <w:unhideWhenUsed/>
    <w:qFormat/>
    <w:rPr>
      <w:rFonts w:ascii="monospace" w:hAnsi="monospace" w:eastAsia="monospace" w:cs="monospace"/>
      <w:sz w:val="20"/>
    </w:rPr>
  </w:style>
  <w:style w:type="character" w:styleId="977" w:customStyle="1">
    <w:name w:val="HTML 样本1"/>
    <w:link w:val="695"/>
    <w:uiPriority w:val="99"/>
    <w:unhideWhenUsed/>
    <w:qFormat/>
    <w:rPr>
      <w:rFonts w:ascii="monospace" w:hAnsi="monospace" w:eastAsia="monospace" w:cs="monospace"/>
    </w:rPr>
  </w:style>
  <w:style w:type="paragraph" w:styleId="978" w:customStyle="1">
    <w:name w:val="正文首行缩进 21"/>
    <w:uiPriority w:val="99"/>
    <w:unhideWhenUsed/>
    <w:qFormat/>
    <w:pPr>
      <w:ind w:firstLine="200"/>
      <w:jc w:val="both"/>
      <w:spacing w:after="120" w:line="360" w:lineRule="auto"/>
      <w:widowControl w:val="off"/>
    </w:pPr>
    <w:rPr>
      <w:rFonts w:hint="default" w:ascii="宋体" w:hAnsi="Times New Roman" w:eastAsia="宋体" w:cs="Times New Roman"/>
      <w:sz w:val="24"/>
      <w:szCs w:val="24"/>
      <w:lang w:val="en-US" w:eastAsia="zh-CN" w:bidi="ar-SA"/>
    </w:rPr>
  </w:style>
  <w:style w:type="character" w:styleId="979" w:customStyle="1">
    <w:name w:val="列表段落 字符1"/>
    <w:link w:val="980"/>
    <w:uiPriority w:val="99"/>
    <w:qFormat/>
  </w:style>
  <w:style w:type="paragraph" w:styleId="980" w:customStyle="1">
    <w:name w:val="列表段落"/>
    <w:basedOn w:val="695"/>
    <w:link w:val="979"/>
    <w:uiPriority w:val="99"/>
    <w:qFormat/>
    <w:pPr>
      <w:ind w:firstLine="420"/>
    </w:pPr>
    <w:rPr>
      <w:sz w:val="20"/>
      <w:szCs w:val="20"/>
    </w:rPr>
  </w:style>
  <w:style w:type="character" w:styleId="981" w:customStyle="1">
    <w:name w:val="文档结构图 Char1"/>
    <w:link w:val="695"/>
    <w:uiPriority w:val="0"/>
    <w:semiHidden/>
    <w:qFormat/>
    <w:rPr>
      <w:rFonts w:ascii="宋体" w:hAnsi="Times New Roman" w:eastAsia="宋体" w:cs="Times New Roman"/>
      <w:sz w:val="18"/>
      <w:szCs w:val="18"/>
    </w:rPr>
  </w:style>
  <w:style w:type="character" w:styleId="982" w:customStyle="1">
    <w:name w:val="普通正文 Char"/>
    <w:link w:val="983"/>
    <w:uiPriority w:val="0"/>
    <w:qFormat/>
    <w:rPr>
      <w:rFonts w:ascii="Arial" w:hAnsi="Arial"/>
      <w:sz w:val="24"/>
      <w:szCs w:val="24"/>
    </w:rPr>
  </w:style>
  <w:style w:type="paragraph" w:styleId="983" w:customStyle="1">
    <w:name w:val="普通正文"/>
    <w:basedOn w:val="695"/>
    <w:link w:val="982"/>
    <w:uiPriority w:val="0"/>
    <w:qFormat/>
    <w:pPr>
      <w:ind w:left="-2" w:right="120" w:firstLine="480"/>
      <w:jc w:val="center"/>
      <w:spacing w:before="120" w:after="120" w:line="360" w:lineRule="auto"/>
    </w:pPr>
    <w:rPr>
      <w:rFonts w:ascii="Arial" w:hAnsi="Arial"/>
      <w:sz w:val="24"/>
    </w:rPr>
  </w:style>
  <w:style w:type="character" w:styleId="984" w:customStyle="1">
    <w:name w:val="FA正文 Char"/>
    <w:link w:val="985"/>
    <w:uiPriority w:val="0"/>
    <w:qFormat/>
    <w:rPr>
      <w:rFonts w:ascii="宋体" w:hAnsi="宋体" w:eastAsia="宋体" w:cs="Times New Roman"/>
      <w:sz w:val="28"/>
      <w:szCs w:val="28"/>
    </w:rPr>
  </w:style>
  <w:style w:type="paragraph" w:styleId="985" w:customStyle="1">
    <w:name w:val="FA正文"/>
    <w:basedOn w:val="695"/>
    <w:link w:val="984"/>
    <w:uiPriority w:val="0"/>
    <w:qFormat/>
    <w:pPr>
      <w:ind w:firstLine="538"/>
      <w:spacing w:line="440" w:lineRule="atLeast"/>
      <w:tabs>
        <w:tab w:val="left" w:pos="3375" w:leader="none"/>
      </w:tabs>
    </w:pPr>
    <w:rPr>
      <w:rFonts w:ascii="宋体" w:hAnsi="宋体"/>
      <w:sz w:val="28"/>
      <w:szCs w:val="28"/>
    </w:rPr>
  </w:style>
  <w:style w:type="character" w:styleId="986" w:customStyle="1">
    <w:name w:val="正文缩进2格 Char"/>
    <w:link w:val="987"/>
    <w:uiPriority w:val="0"/>
    <w:qFormat/>
    <w:rPr>
      <w:rFonts w:ascii="仿宋_GB2312" w:hAnsi="宋体" w:eastAsia="仿宋_GB2312" w:cs="Times New Roman"/>
      <w:sz w:val="31"/>
      <w:szCs w:val="28"/>
    </w:rPr>
  </w:style>
  <w:style w:type="paragraph" w:styleId="987" w:customStyle="1">
    <w:name w:val="正文缩进2格"/>
    <w:basedOn w:val="695"/>
    <w:link w:val="986"/>
    <w:uiPriority w:val="0"/>
    <w:qFormat/>
    <w:pPr>
      <w:ind w:firstLine="639"/>
      <w:spacing w:line="600" w:lineRule="exact"/>
    </w:pPr>
    <w:rPr>
      <w:rFonts w:ascii="仿宋_GB2312" w:hAnsi="宋体" w:eastAsia="仿宋_GB2312"/>
      <w:sz w:val="31"/>
      <w:szCs w:val="28"/>
    </w:rPr>
  </w:style>
  <w:style w:type="character" w:styleId="988" w:customStyle="1">
    <w:name w:val="cn_text1"/>
    <w:link w:val="695"/>
    <w:uiPriority w:val="0"/>
    <w:qFormat/>
    <w:rPr>
      <w:rFonts w:ascii="ˎ̥" w:hAnsi="ˎ̥"/>
      <w:color w:val="003399"/>
      <w:spacing w:val="15"/>
      <w:sz w:val="18"/>
      <w:szCs w:val="18"/>
    </w:rPr>
  </w:style>
  <w:style w:type="character" w:styleId="989" w:customStyle="1">
    <w:name w:val="ssss Char"/>
    <w:link w:val="695"/>
    <w:uiPriority w:val="0"/>
    <w:qFormat/>
    <w:rPr>
      <w:rFonts w:eastAsia="宋体"/>
      <w:sz w:val="24"/>
      <w:szCs w:val="24"/>
      <w:lang w:val="en-US" w:eastAsia="zh-CN" w:bidi="ar-SA"/>
    </w:rPr>
  </w:style>
  <w:style w:type="character" w:styleId="990" w:customStyle="1">
    <w:name w:val="ssss Char1"/>
    <w:link w:val="991"/>
    <w:uiPriority w:val="0"/>
    <w:qFormat/>
    <w:rPr>
      <w:rFonts w:ascii="Times New Roman" w:hAnsi="Times New Roman" w:eastAsia="宋体" w:cs="Times New Roman"/>
      <w:sz w:val="24"/>
      <w:szCs w:val="24"/>
    </w:rPr>
  </w:style>
  <w:style w:type="paragraph" w:styleId="991" w:customStyle="1">
    <w:name w:val="ssss"/>
    <w:basedOn w:val="695"/>
    <w:link w:val="990"/>
    <w:uiPriority w:val="0"/>
    <w:qFormat/>
    <w:pPr>
      <w:ind w:firstLine="480"/>
      <w:spacing w:line="360" w:lineRule="auto"/>
    </w:pPr>
    <w:rPr>
      <w:sz w:val="24"/>
    </w:rPr>
  </w:style>
  <w:style w:type="character" w:styleId="992" w:customStyle="1">
    <w:name w:val="标题 4 Char1"/>
    <w:link w:val="695"/>
    <w:uiPriority w:val="0"/>
    <w:qFormat/>
    <w:rPr>
      <w:rFonts w:ascii="Arial" w:hAnsi="Arial" w:eastAsia="黑体"/>
      <w:b/>
      <w:bCs/>
      <w:sz w:val="28"/>
      <w:szCs w:val="28"/>
      <w:lang w:val="en-US" w:eastAsia="zh-CN" w:bidi="ar-SA"/>
    </w:rPr>
  </w:style>
  <w:style w:type="character" w:styleId="993" w:customStyle="1">
    <w:name w:val="列表段落 字符"/>
    <w:link w:val="695"/>
    <w:uiPriority w:val="34"/>
    <w:qFormat/>
    <w:rPr>
      <w:rFonts w:ascii="Calibri" w:hAnsi="Calibri"/>
      <w:sz w:val="21"/>
      <w:szCs w:val="22"/>
    </w:rPr>
  </w:style>
  <w:style w:type="character" w:styleId="994" w:customStyle="1">
    <w:name w:val="批注框文本 Char1"/>
    <w:link w:val="695"/>
    <w:uiPriority w:val="0"/>
    <w:semiHidden/>
    <w:qFormat/>
    <w:rPr>
      <w:rFonts w:ascii="Times New Roman" w:hAnsi="Times New Roman" w:eastAsia="宋体" w:cs="Times New Roman"/>
      <w:sz w:val="18"/>
      <w:szCs w:val="18"/>
    </w:rPr>
  </w:style>
  <w:style w:type="character" w:styleId="995" w:customStyle="1">
    <w:name w:val="样式 ssss + 宋体 五号1 Char"/>
    <w:link w:val="996"/>
    <w:uiPriority w:val="0"/>
    <w:qFormat/>
    <w:rPr>
      <w:rFonts w:ascii="宋体" w:hAnsi="宋体" w:eastAsia="宋体" w:cs="Times New Roman"/>
      <w:sz w:val="24"/>
      <w:szCs w:val="24"/>
    </w:rPr>
  </w:style>
  <w:style w:type="paragraph" w:styleId="996" w:customStyle="1">
    <w:name w:val="样式 ssss + 宋体 五号1"/>
    <w:basedOn w:val="991"/>
    <w:link w:val="995"/>
    <w:uiPriority w:val="0"/>
    <w:qFormat/>
    <w:rPr>
      <w:rFonts w:ascii="宋体" w:hAnsi="宋体"/>
    </w:rPr>
  </w:style>
  <w:style w:type="character" w:styleId="997" w:customStyle="1">
    <w:name w:val="point_normal1"/>
    <w:link w:val="695"/>
    <w:uiPriority w:val="0"/>
    <w:qFormat/>
    <w:rPr>
      <w:rFonts w:ascii="Arial" w:hAnsi="Arial" w:cs="Arial"/>
      <w:sz w:val="16"/>
      <w:szCs w:val="16"/>
    </w:rPr>
  </w:style>
  <w:style w:type="paragraph" w:styleId="998" w:customStyle="1">
    <w:name w:val="样式 正文文本缩进 3 + 四号"/>
    <w:basedOn w:val="944"/>
    <w:uiPriority w:val="0"/>
    <w:qFormat/>
    <w:pPr>
      <w:ind w:left="0" w:firstLine="437"/>
      <w:spacing w:after="0" w:line="360" w:lineRule="auto"/>
    </w:pPr>
    <w:rPr>
      <w:sz w:val="24"/>
      <w:szCs w:val="21"/>
    </w:rPr>
  </w:style>
  <w:style w:type="paragraph" w:styleId="999" w:customStyle="1">
    <w:name w:val="2cxsplast"/>
    <w:basedOn w:val="695"/>
    <w:uiPriority w:val="0"/>
    <w:qFormat/>
    <w:pPr>
      <w:jc w:val="left"/>
      <w:spacing w:before="100" w:beforeAutospacing="1" w:after="100" w:afterAutospacing="1"/>
      <w:widowControl/>
    </w:pPr>
    <w:rPr>
      <w:rFonts w:ascii="宋体" w:hAnsi="宋体" w:cs="宋体"/>
      <w:sz w:val="24"/>
    </w:rPr>
  </w:style>
  <w:style w:type="paragraph" w:styleId="1000" w:customStyle="1">
    <w:name w:val="ec_msonormal"/>
    <w:basedOn w:val="695"/>
    <w:uiPriority w:val="0"/>
    <w:qFormat/>
    <w:pPr>
      <w:jc w:val="left"/>
      <w:spacing w:before="100" w:beforeAutospacing="1" w:after="100" w:afterAutospacing="1"/>
      <w:widowControl/>
    </w:pPr>
    <w:rPr>
      <w:rFonts w:ascii="宋体" w:hAnsi="宋体"/>
      <w:sz w:val="24"/>
    </w:rPr>
  </w:style>
  <w:style w:type="paragraph" w:styleId="1001" w:customStyle="1">
    <w:name w:val=" Char Char Char Char"/>
    <w:basedOn w:val="695"/>
    <w:uiPriority w:val="0"/>
    <w:qFormat/>
    <w:rPr>
      <w:rFonts w:ascii="Tahoma" w:hAnsi="Tahoma"/>
      <w:sz w:val="24"/>
      <w:szCs w:val="20"/>
    </w:rPr>
  </w:style>
  <w:style w:type="paragraph" w:styleId="1002" w:customStyle="1">
    <w:name w:val=" Char Char Char Char Char Char Char Char Char Char Char Char Char"/>
    <w:basedOn w:val="695"/>
    <w:uiPriority w:val="0"/>
    <w:qFormat/>
  </w:style>
  <w:style w:type="paragraph" w:styleId="1003" w:customStyle="1">
    <w:name w:val="表格正文"/>
    <w:basedOn w:val="695"/>
    <w:uiPriority w:val="0"/>
    <w:qFormat/>
    <w:pPr>
      <w:jc w:val="left"/>
      <w:spacing w:line="360" w:lineRule="auto"/>
    </w:pPr>
    <w:rPr>
      <w:rFonts w:ascii="Calibri" w:hAnsi="Calibri"/>
      <w:color w:val="000000"/>
      <w:szCs w:val="28"/>
    </w:rPr>
  </w:style>
  <w:style w:type="paragraph" w:styleId="100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05" w:customStyle="1">
    <w:name w:val="Char Char Char Char"/>
    <w:basedOn w:val="695"/>
    <w:uiPriority w:val="0"/>
    <w:qFormat/>
    <w:rPr>
      <w:rFonts w:ascii="Tahoma" w:hAnsi="Tahoma"/>
      <w:sz w:val="24"/>
      <w:szCs w:val="20"/>
    </w:rPr>
  </w:style>
  <w:style w:type="paragraph" w:styleId="1006" w:customStyle="1">
    <w:name w:val="Char Char Char"/>
    <w:basedOn w:val="695"/>
    <w:uiPriority w:val="0"/>
    <w:qFormat/>
    <w:rPr>
      <w:rFonts w:ascii="Tahoma" w:hAnsi="Tahoma"/>
      <w:sz w:val="24"/>
      <w:szCs w:val="20"/>
    </w:rPr>
  </w:style>
  <w:style w:type="paragraph" w:styleId="1007" w:customStyle="1">
    <w:name w:val="标题-----3"/>
    <w:basedOn w:val="885"/>
    <w:uiPriority w:val="0"/>
    <w:qFormat/>
    <w:pPr>
      <w:spacing w:before="0" w:after="0" w:line="240" w:lineRule="auto"/>
      <w:outlineLvl w:val="0"/>
    </w:pPr>
    <w:rPr>
      <w:rFonts w:ascii="宋体" w:hAnsi="宋体"/>
      <w:b w:val="0"/>
      <w:bCs w:val="0"/>
      <w:sz w:val="28"/>
      <w:szCs w:val="28"/>
    </w:rPr>
  </w:style>
  <w:style w:type="paragraph" w:styleId="1008" w:customStyle="1">
    <w:name w:val="样式 ssss + 居中"/>
    <w:basedOn w:val="991"/>
    <w:uiPriority w:val="0"/>
    <w:qFormat/>
    <w:pPr>
      <w:jc w:val="center"/>
    </w:pPr>
    <w:rPr>
      <w:rFonts w:cs="宋体"/>
      <w:szCs w:val="20"/>
    </w:rPr>
  </w:style>
  <w:style w:type="paragraph" w:styleId="1009" w:customStyle="1">
    <w:name w:val="样式 宋体 四号 黑色 左侧:  0.74 厘米 首行缩进:  0.74 厘米 行距: 1.5 倍行距"/>
    <w:basedOn w:val="695"/>
    <w:uiPriority w:val="0"/>
    <w:qFormat/>
    <w:pPr>
      <w:ind w:firstLine="420"/>
      <w:spacing w:line="360" w:lineRule="auto"/>
    </w:pPr>
    <w:rPr>
      <w:rFonts w:ascii="宋体"/>
      <w:color w:val="000000"/>
      <w:sz w:val="24"/>
      <w:szCs w:val="21"/>
    </w:rPr>
  </w:style>
  <w:style w:type="paragraph" w:styleId="1010" w:customStyle="1">
    <w:name w:val="样式 样式 ssss + 宋体 五号 + 首行缩进:  2 字符"/>
    <w:basedOn w:val="1011"/>
    <w:uiPriority w:val="0"/>
    <w:qFormat/>
    <w:pPr>
      <w:ind w:firstLine="480"/>
    </w:pPr>
  </w:style>
  <w:style w:type="paragraph" w:styleId="1011" w:customStyle="1">
    <w:name w:val="样式 ssss + 宋体 五号"/>
    <w:basedOn w:val="991"/>
    <w:uiPriority w:val="0"/>
    <w:qFormat/>
    <w:pPr>
      <w:ind w:firstLine="420"/>
    </w:pPr>
    <w:rPr>
      <w:rFonts w:ascii="宋体" w:hAnsi="宋体" w:cs="宋体"/>
      <w:szCs w:val="20"/>
    </w:rPr>
  </w:style>
  <w:style w:type="paragraph" w:styleId="1012" w:customStyle="1">
    <w:name w:val="msonormalcxsplast"/>
    <w:basedOn w:val="695"/>
    <w:uiPriority w:val="0"/>
    <w:qFormat/>
    <w:pPr>
      <w:jc w:val="left"/>
      <w:spacing w:before="100" w:beforeAutospacing="1" w:after="100" w:afterAutospacing="1"/>
      <w:widowControl/>
    </w:pPr>
    <w:rPr>
      <w:rFonts w:ascii="宋体" w:hAnsi="宋体" w:cs="宋体"/>
      <w:sz w:val="24"/>
    </w:rPr>
  </w:style>
  <w:style w:type="paragraph" w:styleId="1013" w:customStyle="1">
    <w:name w:val=" Char"/>
    <w:basedOn w:val="695"/>
    <w:uiPriority w:val="0"/>
    <w:qFormat/>
    <w:rPr>
      <w:rFonts w:ascii="Tahoma" w:hAnsi="Tahoma"/>
      <w:sz w:val="24"/>
      <w:szCs w:val="20"/>
    </w:rPr>
  </w:style>
  <w:style w:type="paragraph" w:styleId="1014" w:customStyle="1">
    <w:name w:val="xl25"/>
    <w:basedOn w:val="69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15" w:customStyle="1">
    <w:name w:val="标题------4"/>
    <w:basedOn w:val="88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16" w:customStyle="1">
    <w:name w:val="msonormalcxspmiddle"/>
    <w:basedOn w:val="695"/>
    <w:uiPriority w:val="0"/>
    <w:qFormat/>
    <w:pPr>
      <w:jc w:val="left"/>
      <w:spacing w:before="100" w:beforeAutospacing="1" w:after="100" w:afterAutospacing="1"/>
      <w:widowControl/>
    </w:pPr>
    <w:rPr>
      <w:rFonts w:ascii="宋体" w:hAnsi="宋体" w:cs="宋体"/>
      <w:sz w:val="24"/>
    </w:rPr>
  </w:style>
  <w:style w:type="paragraph" w:styleId="1017" w:customStyle="1">
    <w:name w:val="Char Char Char Char Char Char Char Char Char Char Char Char Char"/>
    <w:basedOn w:val="695"/>
    <w:uiPriority w:val="0"/>
    <w:qFormat/>
    <w:rPr>
      <w:sz w:val="24"/>
    </w:rPr>
  </w:style>
  <w:style w:type="paragraph" w:styleId="1018" w:customStyle="1">
    <w:name w:val="表格"/>
    <w:basedOn w:val="695"/>
    <w:uiPriority w:val="0"/>
    <w:qFormat/>
    <w:rPr>
      <w:rFonts w:ascii="Arial" w:hAnsi="Arial"/>
      <w:sz w:val="24"/>
    </w:rPr>
  </w:style>
  <w:style w:type="paragraph" w:styleId="1019" w:customStyle="1">
    <w:name w:val="正文样式1"/>
    <w:basedOn w:val="695"/>
    <w:uiPriority w:val="0"/>
    <w:qFormat/>
    <w:pPr>
      <w:ind w:firstLine="480"/>
      <w:spacing w:before="120" w:after="120" w:line="360" w:lineRule="auto"/>
    </w:pPr>
    <w:rPr>
      <w:sz w:val="24"/>
      <w:szCs w:val="20"/>
    </w:rPr>
  </w:style>
  <w:style w:type="paragraph" w:styleId="1020" w:customStyle="1">
    <w:name w:val=" Char Char1 Char Char Char Char Char Char"/>
    <w:basedOn w:val="695"/>
    <w:uiPriority w:val="0"/>
    <w:qFormat/>
    <w:pPr>
      <w:jc w:val="left"/>
      <w:spacing w:after="160" w:line="240" w:lineRule="exact"/>
      <w:widowControl/>
    </w:pPr>
    <w:rPr>
      <w:rFonts w:ascii="Verdana" w:hAnsi="Verdana" w:eastAsia="仿宋_GB2312"/>
      <w:sz w:val="24"/>
      <w:szCs w:val="20"/>
      <w:lang w:eastAsia="en-US"/>
    </w:rPr>
  </w:style>
  <w:style w:type="paragraph" w:styleId="1021" w:customStyle="1">
    <w:name w:val="Char Char Char Char Char Char Char Char Char Char"/>
    <w:basedOn w:val="695"/>
    <w:uiPriority w:val="0"/>
    <w:qFormat/>
    <w:rPr>
      <w:rFonts w:ascii="Tahoma" w:hAnsi="Tahoma"/>
      <w:sz w:val="24"/>
      <w:szCs w:val="20"/>
    </w:rPr>
  </w:style>
  <w:style w:type="paragraph" w:styleId="1022" w:customStyle="1">
    <w:name w:val="Char"/>
    <w:basedOn w:val="695"/>
    <w:uiPriority w:val="0"/>
    <w:qFormat/>
    <w:pPr>
      <w:tabs>
        <w:tab w:val="left" w:pos="360" w:leader="none"/>
      </w:tabs>
    </w:pPr>
    <w:rPr>
      <w:sz w:val="24"/>
    </w:rPr>
  </w:style>
  <w:style w:type="paragraph" w:styleId="1023" w:customStyle="1">
    <w:name w:val="标题1"/>
    <w:basedOn w:val="695"/>
    <w:next w:val="69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customStyle="1">
    <w:name w:val="Header2"/>
    <w:basedOn w:val="695"/>
    <w:uiPriority w:val="0"/>
    <w:qFormat/>
    <w:pPr>
      <w:numPr>
        <w:ilvl w:val="0"/>
        <w:numId w:val="1"/>
      </w:numPr>
    </w:pPr>
  </w:style>
  <w:style w:type="paragraph" w:styleId="1025" w:customStyle="1">
    <w:name w:val=" Char Char 字元 字元 字元 Char Char Char Char"/>
    <w:basedOn w:val="695"/>
    <w:uiPriority w:val="0"/>
    <w:qFormat/>
    <w:pPr>
      <w:spacing w:line="360" w:lineRule="auto"/>
    </w:pPr>
    <w:rPr>
      <w:sz w:val="24"/>
      <w:szCs w:val="20"/>
    </w:rPr>
  </w:style>
  <w:style w:type="paragraph" w:styleId="1026" w:customStyle="1">
    <w:name w:val="2cxspmiddle"/>
    <w:basedOn w:val="695"/>
    <w:uiPriority w:val="0"/>
    <w:qFormat/>
    <w:pPr>
      <w:jc w:val="left"/>
      <w:spacing w:before="100" w:beforeAutospacing="1" w:after="100" w:afterAutospacing="1"/>
      <w:widowControl/>
    </w:pPr>
    <w:rPr>
      <w:rFonts w:ascii="宋体" w:hAnsi="宋体" w:cs="宋体"/>
      <w:sz w:val="24"/>
    </w:rPr>
  </w:style>
  <w:style w:type="paragraph" w:styleId="102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29" w:customStyle="1">
    <w:name w:val="网格型1"/>
    <w:basedOn w:val="894"/>
    <w:uiPriority w:val="39"/>
    <w:qFormat/>
    <w:rPr>
      <w:rFonts w:ascii="等线" w:hAnsi="等线" w:eastAsia="等线" w:cs="Times New Roman"/>
      <w:sz w:val="21"/>
      <w:szCs w:val="22"/>
    </w:rPr>
    <w:tblPr/>
  </w:style>
  <w:style w:type="character" w:styleId="1030" w:customStyle="1">
    <w:name w:val="批注框文本 Char"/>
    <w:link w:val="695"/>
    <w:uiPriority w:val="0"/>
    <w:qFormat/>
    <w:rPr>
      <w:rFonts w:ascii="Calibri" w:hAnsi="Calibri" w:eastAsia="宋体" w:cs="Times New Roman"/>
      <w:sz w:val="18"/>
      <w:szCs w:val="18"/>
    </w:rPr>
  </w:style>
  <w:style w:type="character" w:styleId="1031" w:customStyle="1">
    <w:name w:val="正文文本 Char"/>
    <w:link w:val="695"/>
    <w:uiPriority w:val="0"/>
    <w:qFormat/>
    <w:rPr>
      <w:sz w:val="21"/>
      <w:szCs w:val="24"/>
    </w:rPr>
  </w:style>
  <w:style w:type="character" w:styleId="1032" w:customStyle="1">
    <w:name w:val="标题 1 Char"/>
    <w:link w:val="695"/>
    <w:uiPriority w:val="0"/>
    <w:qFormat/>
    <w:rPr>
      <w:b/>
      <w:bCs/>
      <w:sz w:val="44"/>
      <w:szCs w:val="44"/>
    </w:rPr>
  </w:style>
  <w:style w:type="character" w:styleId="1033" w:customStyle="1">
    <w:name w:val="标题 2 Char"/>
    <w:link w:val="695"/>
    <w:uiPriority w:val="0"/>
    <w:qFormat/>
    <w:rPr>
      <w:rFonts w:ascii="Arial" w:hAnsi="Arial" w:eastAsia="黑体"/>
      <w:b/>
      <w:bCs/>
      <w:sz w:val="32"/>
      <w:szCs w:val="32"/>
    </w:rPr>
  </w:style>
  <w:style w:type="character" w:styleId="1034" w:customStyle="1">
    <w:name w:val="标题 3 Char"/>
    <w:link w:val="695"/>
    <w:uiPriority w:val="0"/>
    <w:qFormat/>
    <w:rPr>
      <w:b/>
      <w:bCs/>
      <w:sz w:val="32"/>
      <w:szCs w:val="32"/>
    </w:rPr>
  </w:style>
  <w:style w:type="character" w:styleId="1035" w:customStyle="1">
    <w:name w:val="标题 4 Char"/>
    <w:link w:val="695"/>
    <w:uiPriority w:val="0"/>
    <w:qFormat/>
    <w:rPr>
      <w:rFonts w:eastAsia="新宋体"/>
      <w:sz w:val="30"/>
      <w:szCs w:val="21"/>
    </w:rPr>
  </w:style>
  <w:style w:type="character" w:styleId="1036" w:customStyle="1">
    <w:name w:val="正文缩进 Char"/>
    <w:link w:val="695"/>
    <w:uiPriority w:val="99"/>
    <w:qFormat/>
    <w:rPr>
      <w:sz w:val="21"/>
    </w:rPr>
  </w:style>
  <w:style w:type="character" w:styleId="1037" w:customStyle="1">
    <w:name w:val="文档结构图 Char"/>
    <w:link w:val="695"/>
    <w:uiPriority w:val="0"/>
    <w:qFormat/>
    <w:rPr>
      <w:sz w:val="21"/>
      <w:szCs w:val="24"/>
      <w:shd w:val="clear" w:color="auto" w:fill="000080"/>
    </w:rPr>
  </w:style>
  <w:style w:type="character" w:styleId="1038" w:customStyle="1">
    <w:name w:val="正文文本 3 Char"/>
    <w:link w:val="695"/>
    <w:uiPriority w:val="0"/>
    <w:qFormat/>
    <w:rPr>
      <w:sz w:val="16"/>
      <w:szCs w:val="16"/>
    </w:rPr>
  </w:style>
  <w:style w:type="character" w:styleId="1039" w:customStyle="1">
    <w:name w:val="正文文本缩进 Char"/>
    <w:link w:val="695"/>
    <w:uiPriority w:val="0"/>
    <w:qFormat/>
    <w:rPr>
      <w:sz w:val="21"/>
      <w:szCs w:val="24"/>
    </w:rPr>
  </w:style>
  <w:style w:type="character" w:styleId="1040" w:customStyle="1">
    <w:name w:val="日期 Char"/>
    <w:link w:val="695"/>
    <w:uiPriority w:val="0"/>
    <w:qFormat/>
    <w:rPr>
      <w:sz w:val="21"/>
      <w:szCs w:val="24"/>
    </w:rPr>
  </w:style>
  <w:style w:type="character" w:styleId="1041" w:customStyle="1">
    <w:name w:val="页脚 Char"/>
    <w:link w:val="695"/>
    <w:uiPriority w:val="0"/>
    <w:qFormat/>
    <w:rPr>
      <w:sz w:val="18"/>
      <w:szCs w:val="18"/>
    </w:rPr>
  </w:style>
  <w:style w:type="character" w:styleId="1042" w:customStyle="1">
    <w:name w:val="页眉 Char"/>
    <w:link w:val="695"/>
    <w:uiPriority w:val="0"/>
    <w:qFormat/>
    <w:rPr>
      <w:sz w:val="18"/>
      <w:szCs w:val="18"/>
    </w:rPr>
  </w:style>
  <w:style w:type="character" w:styleId="1043" w:customStyle="1">
    <w:name w:val="正文文本缩进 3 Char"/>
    <w:link w:val="695"/>
    <w:uiPriority w:val="0"/>
    <w:qFormat/>
    <w:rPr>
      <w:rFonts w:ascii="宋体"/>
      <w:b/>
      <w:spacing w:val="6"/>
      <w:sz w:val="28"/>
      <w:szCs w:val="24"/>
    </w:rPr>
  </w:style>
  <w:style w:type="table" w:styleId="1044" w:customStyle="1">
    <w:name w:val="网格型2"/>
    <w:basedOn w:val="894"/>
    <w:uiPriority w:val="59"/>
    <w:qFormat/>
    <w:pPr>
      <w:jc w:val="both"/>
      <w:widowControl w:val="off"/>
    </w:pPr>
    <w:tblPr/>
  </w:style>
  <w:style w:type="character" w:styleId="1045" w:customStyle="1">
    <w:name w:val="标题 3.1 Char"/>
    <w:link w:val="1046"/>
    <w:uiPriority w:val="0"/>
    <w:qFormat/>
    <w:rPr>
      <w:rFonts w:ascii="宋体" w:hAnsi="宋体"/>
      <w:b/>
      <w:bCs/>
      <w:color w:val="000000"/>
      <w:sz w:val="32"/>
      <w:szCs w:val="32"/>
    </w:rPr>
  </w:style>
  <w:style w:type="paragraph" w:styleId="1046" w:customStyle="1">
    <w:name w:val="标题 3.1"/>
    <w:basedOn w:val="885"/>
    <w:link w:val="1045"/>
    <w:uiPriority w:val="0"/>
    <w:qFormat/>
    <w:pPr>
      <w:spacing w:line="600" w:lineRule="exact"/>
      <w:tabs>
        <w:tab w:val="left" w:pos="1440" w:leader="none"/>
        <w:tab w:val="left" w:pos="1620" w:leader="none"/>
      </w:tabs>
    </w:pPr>
    <w:rPr>
      <w:rFonts w:ascii="宋体" w:hAnsi="宋体"/>
      <w:color w:val="000000"/>
    </w:rPr>
  </w:style>
  <w:style w:type="paragraph" w:styleId="1047" w:customStyle="1">
    <w:name w:val="正文缩进4格"/>
    <w:basedOn w:val="987"/>
    <w:uiPriority w:val="0"/>
    <w:qFormat/>
    <w:pPr>
      <w:ind w:left="2" w:firstLine="538"/>
    </w:pPr>
    <w:rPr>
      <w:color w:val="000000"/>
      <w:sz w:val="28"/>
    </w:rPr>
  </w:style>
  <w:style w:type="paragraph" w:styleId="1048" w:customStyle="1">
    <w:name w:val="Char1"/>
    <w:basedOn w:val="695"/>
    <w:uiPriority w:val="0"/>
    <w:qFormat/>
    <w:pPr>
      <w:ind w:left="840" w:hanging="420"/>
      <w:tabs>
        <w:tab w:val="left" w:pos="840" w:leader="none"/>
      </w:tabs>
    </w:pPr>
    <w:rPr>
      <w:sz w:val="24"/>
    </w:rPr>
  </w:style>
  <w:style w:type="paragraph" w:styleId="1049" w:customStyle="1">
    <w:name w:val="para"/>
    <w:basedOn w:val="695"/>
    <w:uiPriority w:val="0"/>
    <w:qFormat/>
    <w:pPr>
      <w:jc w:val="left"/>
      <w:spacing w:before="100" w:beforeAutospacing="1" w:after="100" w:afterAutospacing="1"/>
      <w:widowControl/>
    </w:pPr>
    <w:rPr>
      <w:rFonts w:ascii="Arial" w:hAnsi="Arial" w:cs="Arial"/>
      <w:sz w:val="18"/>
      <w:szCs w:val="18"/>
    </w:rPr>
  </w:style>
  <w:style w:type="character" w:styleId="1050" w:customStyle="1">
    <w:name w:val="mini-outputtext1"/>
    <w:link w:val="695"/>
    <w:uiPriority w:val="0"/>
    <w:qFormat/>
  </w:style>
  <w:style w:type="character" w:styleId="1051" w:customStyle="1">
    <w:name w:val="font31"/>
    <w:link w:val="695"/>
    <w:uiPriority w:val="0"/>
    <w:qFormat/>
    <w:rPr>
      <w:rFonts w:hint="eastAsia" w:ascii="宋体" w:hAnsi="宋体" w:eastAsia="宋体" w:cs="宋体"/>
      <w:color w:val="000000"/>
      <w:sz w:val="21"/>
      <w:szCs w:val="21"/>
      <w:u w:val="none"/>
    </w:rPr>
  </w:style>
  <w:style w:type="character" w:styleId="1052" w:customStyle="1">
    <w:name w:val="font61"/>
    <w:link w:val="695"/>
    <w:uiPriority w:val="0"/>
    <w:qFormat/>
    <w:rPr>
      <w:rFonts w:ascii="Times New Roman" w:hAnsi="Times New Roman" w:cs="Times New Roman"/>
      <w:color w:val="000000"/>
      <w:sz w:val="21"/>
      <w:szCs w:val="21"/>
      <w:u w:val="none"/>
    </w:rPr>
  </w:style>
  <w:style w:type="character" w:styleId="1053" w:customStyle="1">
    <w:name w:val="font01"/>
    <w:link w:val="695"/>
    <w:uiPriority w:val="0"/>
    <w:qFormat/>
    <w:rPr>
      <w:rFonts w:ascii="等线" w:hAnsi="等线" w:eastAsia="等线" w:cs="等线"/>
      <w:color w:val="000000"/>
      <w:sz w:val="22"/>
      <w:szCs w:val="22"/>
      <w:u w:val="none"/>
    </w:rPr>
  </w:style>
  <w:style w:type="character" w:styleId="1054" w:customStyle="1">
    <w:name w:val="font51"/>
    <w:link w:val="695"/>
    <w:uiPriority w:val="0"/>
    <w:qFormat/>
    <w:rPr>
      <w:rFonts w:ascii="等线" w:hAnsi="等线" w:eastAsia="等线" w:cs="等线"/>
      <w:b/>
      <w:bCs/>
      <w:color w:val="000000"/>
      <w:sz w:val="22"/>
      <w:szCs w:val="22"/>
      <w:u w:val="none"/>
    </w:rPr>
  </w:style>
  <w:style w:type="paragraph" w:styleId="1055" w:customStyle="1">
    <w:name w:val="普通(网站) Char"/>
    <w:basedOn w:val="695"/>
    <w:uiPriority w:val="0"/>
    <w:qFormat/>
    <w:pPr>
      <w:jc w:val="left"/>
      <w:spacing w:before="100" w:beforeAutospacing="1" w:after="100" w:afterAutospacing="1"/>
      <w:widowControl/>
    </w:pPr>
    <w:rPr>
      <w:rFonts w:hint="eastAsia" w:ascii="宋体" w:hAnsi="宋体"/>
      <w:sz w:val="24"/>
    </w:rPr>
  </w:style>
  <w:style w:type="character" w:styleId="1056" w:customStyle="1">
    <w:name w:val="fontstyle01"/>
    <w:link w:val="695"/>
    <w:uiPriority w:val="0"/>
    <w:qFormat/>
    <w:rPr>
      <w:rFonts w:hint="eastAsia" w:ascii="宋体" w:hAnsi="宋体" w:eastAsia="宋体"/>
      <w:color w:val="000000"/>
      <w:sz w:val="22"/>
      <w:szCs w:val="22"/>
    </w:rPr>
  </w:style>
  <w:style w:type="character" w:styleId="1057" w:customStyle="1">
    <w:name w:val="未处理的提及"/>
    <w:link w:val="695"/>
    <w:uiPriority w:val="99"/>
    <w:unhideWhenUsed/>
    <w:qFormat/>
    <w:rPr>
      <w:color w:val="605e5c"/>
      <w:shd w:val="clear" w:color="auto" w:fill="e1dfdd"/>
    </w:rPr>
  </w:style>
  <w:style w:type="paragraph" w:styleId="1058" w:customStyle="1">
    <w:name w:val="正文（缩进）"/>
    <w:basedOn w:val="695"/>
    <w:uiPriority w:val="0"/>
    <w:qFormat/>
    <w:pPr>
      <w:ind w:firstLine="480"/>
      <w:spacing w:before="156" w:after="156"/>
    </w:pPr>
  </w:style>
  <w:style w:type="paragraph" w:styleId="1059" w:customStyle="1">
    <w:name w:val="标书正文"/>
    <w:uiPriority w:val="0"/>
    <w:qFormat/>
    <w:pPr>
      <w:jc w:val="both"/>
      <w:spacing w:line="400" w:lineRule="exact"/>
      <w:widowControl w:val="off"/>
    </w:pPr>
    <w:rPr>
      <w:rFonts w:hint="default" w:ascii="Times New Roman" w:hAnsi="Times New Roman" w:eastAsia="宋体" w:cs="Times New Roman"/>
      <w:sz w:val="24"/>
      <w:szCs w:val="22"/>
      <w:lang w:val="en-US" w:eastAsia="zh-CN" w:bidi="ar-SA"/>
    </w:rPr>
  </w:style>
  <w:style w:type="paragraph" w:styleId="1060" w:customStyle="1">
    <w:name w:val="！正文"/>
    <w:uiPriority w:val="0"/>
    <w:qFormat/>
    <w:pPr>
      <w:ind w:firstLine="480"/>
    </w:pPr>
    <w:rPr>
      <w:rFonts w:hint="default" w:ascii="Times New Roman" w:hAnsi="Times New Roman" w:eastAsia="宋体" w:cs="Times New Roman"/>
      <w:sz w:val="21"/>
      <w:lang w:val="en-US" w:eastAsia="zh-CN" w:bidi="ar-SA"/>
    </w:rPr>
  </w:style>
  <w:style w:type="paragraph" w:styleId="1061" w:customStyle="1">
    <w:name w:val="列出段落1"/>
    <w:link w:val="1062"/>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character" w:styleId="1062" w:customStyle="1">
    <w:name w:val="列出段落 Char"/>
    <w:link w:val="1061"/>
    <w:uiPriority w:val="0"/>
    <w:qFormat/>
    <w:rPr>
      <w:sz w:val="21"/>
      <w:szCs w:val="24"/>
      <w:lang w:bidi="ar-SA"/>
    </w:rPr>
  </w:style>
  <w:style w:type="character" w:styleId="1063" w:customStyle="1">
    <w:name w:val="font71"/>
    <w:link w:val="695"/>
    <w:uiPriority w:val="0"/>
    <w:qFormat/>
    <w:rPr>
      <w:rFonts w:hint="eastAsia" w:ascii="宋体" w:hAnsi="宋体" w:eastAsia="宋体" w:cs="宋体"/>
      <w:color w:val="000000"/>
      <w:sz w:val="21"/>
      <w:szCs w:val="21"/>
      <w:u w:val="none"/>
    </w:rPr>
  </w:style>
  <w:style w:type="paragraph" w:styleId="106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5" w:customStyle="1">
    <w:name w:val="标题 5 Char"/>
    <w:link w:val="695"/>
    <w:uiPriority w:val="0"/>
    <w:qFormat/>
    <w:rPr>
      <w:rFonts w:ascii="宋体"/>
      <w:color w:val="000000"/>
      <w:sz w:val="28"/>
      <w:szCs w:val="28"/>
    </w:rPr>
  </w:style>
  <w:style w:type="character" w:styleId="1066" w:customStyle="1">
    <w:name w:val="标题 6 Char"/>
    <w:link w:val="695"/>
    <w:uiPriority w:val="0"/>
    <w:qFormat/>
    <w:rPr>
      <w:rFonts w:ascii="Arial" w:hAnsi="Arial" w:eastAsia="黑体"/>
      <w:b/>
      <w:bCs/>
      <w:sz w:val="24"/>
      <w:szCs w:val="24"/>
    </w:rPr>
  </w:style>
  <w:style w:type="character" w:styleId="1067" w:customStyle="1">
    <w:name w:val="标题 7 Char"/>
    <w:link w:val="695"/>
    <w:uiPriority w:val="0"/>
    <w:qFormat/>
    <w:rPr>
      <w:b/>
      <w:bCs/>
      <w:sz w:val="24"/>
      <w:szCs w:val="24"/>
    </w:rPr>
  </w:style>
  <w:style w:type="character" w:styleId="1068" w:customStyle="1">
    <w:name w:val="标题 8 Char"/>
    <w:link w:val="695"/>
    <w:uiPriority w:val="0"/>
    <w:qFormat/>
    <w:rPr>
      <w:rFonts w:ascii="Arial" w:hAnsi="Arial" w:eastAsia="黑体"/>
      <w:sz w:val="24"/>
      <w:szCs w:val="24"/>
    </w:rPr>
  </w:style>
  <w:style w:type="character" w:styleId="1069" w:customStyle="1">
    <w:name w:val="标题 9 Char"/>
    <w:link w:val="695"/>
    <w:uiPriority w:val="0"/>
    <w:qFormat/>
    <w:rPr>
      <w:rFonts w:ascii="Arial" w:hAnsi="Arial" w:eastAsia="黑体"/>
      <w:sz w:val="21"/>
      <w:szCs w:val="21"/>
    </w:rPr>
  </w:style>
  <w:style w:type="character" w:styleId="1070" w:customStyle="1">
    <w:name w:val="纯文本 Char"/>
    <w:link w:val="695"/>
    <w:uiPriority w:val="0"/>
    <w:qFormat/>
    <w:rPr>
      <w:rFonts w:ascii="宋体" w:hAnsi="Courier New" w:cs="Courier New"/>
      <w:sz w:val="21"/>
      <w:szCs w:val="21"/>
    </w:rPr>
  </w:style>
  <w:style w:type="character" w:styleId="1071" w:customStyle="1">
    <w:name w:val="正文文本缩进 2 Char"/>
    <w:link w:val="695"/>
    <w:uiPriority w:val="0"/>
    <w:qFormat/>
    <w:rPr>
      <w:sz w:val="21"/>
      <w:szCs w:val="24"/>
    </w:rPr>
  </w:style>
  <w:style w:type="character" w:styleId="1072" w:customStyle="1">
    <w:name w:val="正文文本 2 Char"/>
    <w:link w:val="695"/>
    <w:uiPriority w:val="0"/>
    <w:qFormat/>
    <w:rPr>
      <w:rFonts w:ascii="楷体_GB2312" w:eastAsia="楷体_GB2312"/>
      <w:sz w:val="28"/>
      <w:szCs w:val="28"/>
    </w:rPr>
  </w:style>
  <w:style w:type="character" w:styleId="1073" w:customStyle="1">
    <w:name w:val="正文首行缩进 Char"/>
    <w:link w:val="695"/>
    <w:uiPriority w:val="0"/>
    <w:qFormat/>
    <w:rPr>
      <w:rFonts w:ascii="仿宋_GB2312" w:eastAsia="仿宋_GB2312"/>
      <w:sz w:val="30"/>
      <w:szCs w:val="30"/>
    </w:rPr>
  </w:style>
  <w:style w:type="character" w:styleId="1074" w:customStyle="1">
    <w:name w:val="标题 3 Char Char"/>
    <w:link w:val="695"/>
    <w:uiPriority w:val="0"/>
    <w:qFormat/>
    <w:rPr>
      <w:rFonts w:ascii="黑体" w:hAnsi="宋体" w:eastAsia="黑体"/>
      <w:bCs/>
      <w:sz w:val="28"/>
      <w:szCs w:val="28"/>
    </w:rPr>
  </w:style>
  <w:style w:type="character" w:styleId="1075" w:customStyle="1">
    <w:name w:val="书籍标题"/>
    <w:link w:val="695"/>
    <w:uiPriority w:val="0"/>
    <w:qFormat/>
    <w:rPr>
      <w:b/>
      <w:bCs/>
      <w:smallCaps/>
      <w:spacing w:val="5"/>
    </w:rPr>
  </w:style>
  <w:style w:type="character" w:styleId="1076" w:customStyle="1">
    <w:name w:val="Char Char7"/>
    <w:link w:val="695"/>
    <w:uiPriority w:val="0"/>
    <w:qFormat/>
    <w:rPr>
      <w:rFonts w:ascii="Arial" w:hAnsi="Arial" w:eastAsia="黑体"/>
      <w:b/>
      <w:bCs/>
      <w:sz w:val="32"/>
      <w:szCs w:val="32"/>
      <w:lang w:val="en-US" w:eastAsia="zh-CN" w:bidi="ar-SA"/>
    </w:rPr>
  </w:style>
  <w:style w:type="character" w:styleId="1077" w:customStyle="1">
    <w:name w:val="正文文本缩进 3 Char1"/>
    <w:link w:val="695"/>
    <w:uiPriority w:val="0"/>
    <w:semiHidden/>
    <w:qFormat/>
    <w:rPr>
      <w:sz w:val="16"/>
      <w:szCs w:val="16"/>
    </w:rPr>
  </w:style>
  <w:style w:type="character" w:styleId="1078" w:customStyle="1">
    <w:name w:val="mini-tree-nodetext1"/>
    <w:link w:val="695"/>
    <w:uiPriority w:val="0"/>
    <w:qFormat/>
  </w:style>
  <w:style w:type="character" w:styleId="1079" w:customStyle="1">
    <w:name w:val="标题 Char1"/>
    <w:link w:val="695"/>
    <w:uiPriority w:val="0"/>
    <w:qFormat/>
    <w:rPr>
      <w:rFonts w:ascii="Cambria" w:hAnsi="Cambria" w:cs="Times New Roman"/>
      <w:b/>
      <w:bCs/>
      <w:sz w:val="32"/>
      <w:szCs w:val="32"/>
    </w:rPr>
  </w:style>
  <w:style w:type="character" w:styleId="1080" w:customStyle="1">
    <w:name w:val="明显引用 字符"/>
    <w:link w:val="1081"/>
    <w:uiPriority w:val="0"/>
    <w:qFormat/>
    <w:rPr>
      <w:b/>
      <w:bCs/>
      <w:i/>
      <w:iCs/>
      <w:color w:val="4f81bd"/>
      <w:sz w:val="21"/>
      <w:szCs w:val="24"/>
    </w:rPr>
  </w:style>
  <w:style w:type="paragraph" w:styleId="1081" w:customStyle="1">
    <w:name w:val="明显引用"/>
    <w:basedOn w:val="695"/>
    <w:next w:val="695"/>
    <w:link w:val="1080"/>
    <w:uiPriority w:val="0"/>
    <w:qFormat/>
    <w:pPr>
      <w:ind w:left="936" w:right="936"/>
      <w:spacing w:before="200" w:after="280"/>
      <w:pBdr>
        <w:bottom w:val="single" w:color="4F81BD" w:sz="4" w:space="4"/>
      </w:pBdr>
    </w:pPr>
    <w:rPr>
      <w:b/>
      <w:bCs/>
      <w:i/>
      <w:iCs/>
      <w:color w:val="4f81bd"/>
    </w:rPr>
  </w:style>
  <w:style w:type="character" w:styleId="1082" w:customStyle="1">
    <w:name w:val="明显引用 Char1"/>
    <w:link w:val="695"/>
    <w:uiPriority w:val="0"/>
    <w:qFormat/>
    <w:rPr>
      <w:b/>
      <w:bCs/>
      <w:i/>
      <w:iCs/>
      <w:color w:val="4f81bd"/>
      <w:sz w:val="21"/>
      <w:szCs w:val="24"/>
    </w:rPr>
  </w:style>
  <w:style w:type="character" w:styleId="1083" w:customStyle="1">
    <w:name w:val="批注文字 Char1"/>
    <w:link w:val="695"/>
    <w:uiPriority w:val="0"/>
    <w:semiHidden/>
    <w:qFormat/>
    <w:rPr>
      <w:sz w:val="21"/>
      <w:szCs w:val="21"/>
    </w:rPr>
  </w:style>
  <w:style w:type="character" w:styleId="1084" w:customStyle="1">
    <w:name w:val="页眉 Char Char"/>
    <w:link w:val="695"/>
    <w:uiPriority w:val="0"/>
    <w:qFormat/>
    <w:rPr>
      <w:sz w:val="18"/>
    </w:rPr>
  </w:style>
  <w:style w:type="character" w:styleId="1085" w:customStyle="1">
    <w:name w:val="二级目录 Char"/>
    <w:link w:val="1086"/>
    <w:uiPriority w:val="0"/>
    <w:qFormat/>
    <w:rPr>
      <w:b/>
      <w:sz w:val="30"/>
      <w:szCs w:val="28"/>
      <w:lang w:val="en-US" w:eastAsia="zh-CN" w:bidi="ar-SA"/>
    </w:rPr>
  </w:style>
  <w:style w:type="paragraph" w:styleId="1086" w:customStyle="1">
    <w:name w:val="二级目录"/>
    <w:next w:val="695"/>
    <w:link w:val="1085"/>
    <w:uiPriority w:val="0"/>
    <w:qFormat/>
    <w:pPr>
      <w:numPr>
        <w:ilvl w:val="0"/>
        <w:numId w:val="2"/>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7" w:customStyle="1">
    <w:name w:val="页脚 Char1"/>
    <w:link w:val="695"/>
    <w:uiPriority w:val="99"/>
    <w:semiHidden/>
    <w:qFormat/>
    <w:rPr>
      <w:sz w:val="18"/>
      <w:szCs w:val="18"/>
    </w:rPr>
  </w:style>
  <w:style w:type="character" w:styleId="1088" w:customStyle="1">
    <w:name w:val="纯文本 Char1"/>
    <w:link w:val="695"/>
    <w:uiPriority w:val="0"/>
    <w:semiHidden/>
    <w:qFormat/>
    <w:rPr>
      <w:rFonts w:ascii="宋体" w:hAnsi="Courier New" w:cs="Courier New"/>
      <w:sz w:val="21"/>
      <w:szCs w:val="21"/>
    </w:rPr>
  </w:style>
  <w:style w:type="character" w:styleId="1089" w:customStyle="1">
    <w:name w:val="明显强调"/>
    <w:link w:val="695"/>
    <w:uiPriority w:val="0"/>
    <w:qFormat/>
    <w:rPr>
      <w:b/>
      <w:bCs/>
      <w:i/>
      <w:iCs/>
      <w:color w:val="4f81bd"/>
    </w:rPr>
  </w:style>
  <w:style w:type="character" w:styleId="1090" w:customStyle="1">
    <w:name w:val="明显参考"/>
    <w:link w:val="695"/>
    <w:uiPriority w:val="0"/>
    <w:qFormat/>
    <w:rPr>
      <w:b/>
      <w:bCs/>
      <w:smallCaps/>
      <w:color w:val="c0504d"/>
      <w:spacing w:val="5"/>
      <w:u w:val="single"/>
    </w:rPr>
  </w:style>
  <w:style w:type="character" w:styleId="1091" w:customStyle="1">
    <w:name w:val="正文文本缩进 Char1"/>
    <w:link w:val="695"/>
    <w:uiPriority w:val="0"/>
    <w:semiHidden/>
    <w:qFormat/>
    <w:rPr>
      <w:sz w:val="21"/>
      <w:szCs w:val="21"/>
    </w:rPr>
  </w:style>
  <w:style w:type="character" w:styleId="1092" w:customStyle="1">
    <w:name w:val="font161"/>
    <w:link w:val="695"/>
    <w:uiPriority w:val="0"/>
    <w:qFormat/>
    <w:rPr>
      <w:b/>
      <w:bCs/>
      <w:sz w:val="32"/>
      <w:szCs w:val="32"/>
    </w:rPr>
  </w:style>
  <w:style w:type="character" w:styleId="1093" w:customStyle="1">
    <w:name w:val="无间隔 字符"/>
    <w:link w:val="1094"/>
    <w:uiPriority w:val="0"/>
    <w:qFormat/>
    <w:rPr>
      <w:sz w:val="21"/>
      <w:szCs w:val="24"/>
      <w:lang w:val="en-US" w:eastAsia="zh-CN" w:bidi="ar-SA"/>
    </w:rPr>
  </w:style>
  <w:style w:type="paragraph" w:styleId="1094" w:customStyle="1">
    <w:name w:val="无间隔"/>
    <w:link w:val="109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5" w:customStyle="1">
    <w:name w:val="正文文本 Char1"/>
    <w:link w:val="695"/>
    <w:uiPriority w:val="0"/>
    <w:semiHidden/>
    <w:qFormat/>
    <w:rPr>
      <w:sz w:val="21"/>
      <w:szCs w:val="21"/>
    </w:rPr>
  </w:style>
  <w:style w:type="character" w:styleId="1096" w:customStyle="1">
    <w:name w:val="Char Char2"/>
    <w:link w:val="695"/>
    <w:uiPriority w:val="0"/>
    <w:qFormat/>
    <w:rPr>
      <w:rFonts w:eastAsia="宋体"/>
      <w:sz w:val="21"/>
      <w:szCs w:val="24"/>
      <w:lang w:val="en-US" w:eastAsia="zh-CN" w:bidi="ar-SA"/>
    </w:rPr>
  </w:style>
  <w:style w:type="character" w:styleId="1097" w:customStyle="1">
    <w:name w:val="页脚 Char Char"/>
    <w:link w:val="695"/>
    <w:uiPriority w:val="0"/>
    <w:qFormat/>
    <w:rPr>
      <w:sz w:val="18"/>
    </w:rPr>
  </w:style>
  <w:style w:type="character" w:styleId="1098" w:customStyle="1">
    <w:name w:val="副标题 Char1"/>
    <w:link w:val="695"/>
    <w:uiPriority w:val="0"/>
    <w:qFormat/>
    <w:rPr>
      <w:rFonts w:ascii="Cambria" w:hAnsi="Cambria" w:cs="Times New Roman"/>
      <w:b/>
      <w:bCs/>
      <w:sz w:val="32"/>
      <w:szCs w:val="32"/>
    </w:rPr>
  </w:style>
  <w:style w:type="character" w:styleId="1099" w:customStyle="1">
    <w:name w:val="明显引用 Char2"/>
    <w:link w:val="695"/>
    <w:uiPriority w:val="30"/>
    <w:qFormat/>
    <w:rPr>
      <w:b/>
      <w:bCs/>
      <w:i/>
      <w:iCs/>
      <w:color w:val="4f81bd"/>
      <w:sz w:val="21"/>
      <w:szCs w:val="21"/>
    </w:rPr>
  </w:style>
  <w:style w:type="character" w:styleId="1100" w:customStyle="1">
    <w:name w:val="正文文本 3 Char1"/>
    <w:link w:val="695"/>
    <w:uiPriority w:val="0"/>
    <w:semiHidden/>
    <w:qFormat/>
    <w:rPr>
      <w:sz w:val="16"/>
      <w:szCs w:val="16"/>
    </w:rPr>
  </w:style>
  <w:style w:type="character" w:styleId="1101" w:customStyle="1">
    <w:name w:val="正文缩进2格 Char Char"/>
    <w:link w:val="695"/>
    <w:uiPriority w:val="0"/>
    <w:qFormat/>
    <w:rPr>
      <w:rFonts w:ascii="仿宋_GB2312" w:hAnsi="宋体" w:eastAsia="仿宋_GB2312"/>
      <w:sz w:val="31"/>
      <w:szCs w:val="28"/>
    </w:rPr>
  </w:style>
  <w:style w:type="character" w:styleId="1102" w:customStyle="1">
    <w:name w:val="脚注文本 Char1"/>
    <w:link w:val="695"/>
    <w:uiPriority w:val="0"/>
    <w:qFormat/>
    <w:rPr>
      <w:sz w:val="18"/>
      <w:szCs w:val="18"/>
    </w:rPr>
  </w:style>
  <w:style w:type="character" w:styleId="1103" w:customStyle="1">
    <w:name w:val="引用 Char1"/>
    <w:link w:val="695"/>
    <w:uiPriority w:val="0"/>
    <w:qFormat/>
    <w:rPr>
      <w:i/>
      <w:iCs/>
      <w:color w:val="000000"/>
      <w:sz w:val="21"/>
      <w:szCs w:val="21"/>
    </w:rPr>
  </w:style>
  <w:style w:type="character" w:styleId="1104" w:customStyle="1">
    <w:name w:val="正文文本 2 Char1"/>
    <w:link w:val="695"/>
    <w:uiPriority w:val="0"/>
    <w:semiHidden/>
    <w:qFormat/>
    <w:rPr>
      <w:sz w:val="21"/>
      <w:szCs w:val="21"/>
    </w:rPr>
  </w:style>
  <w:style w:type="character" w:styleId="1105" w:customStyle="1">
    <w:name w:val="批注文字 Char Char"/>
    <w:link w:val="695"/>
    <w:uiPriority w:val="0"/>
    <w:qFormat/>
    <w:rPr>
      <w:rFonts w:eastAsia="宋体"/>
      <w:sz w:val="21"/>
      <w:szCs w:val="24"/>
      <w:lang w:val="en-US" w:eastAsia="zh-CN" w:bidi="ar-SA"/>
    </w:rPr>
  </w:style>
  <w:style w:type="character" w:styleId="1106" w:customStyle="1">
    <w:name w:val="引用 Char2"/>
    <w:link w:val="695"/>
    <w:uiPriority w:val="29"/>
    <w:qFormat/>
    <w:rPr>
      <w:i/>
      <w:iCs/>
      <w:color w:val="000000"/>
      <w:sz w:val="21"/>
      <w:szCs w:val="21"/>
    </w:rPr>
  </w:style>
  <w:style w:type="character" w:styleId="1107" w:customStyle="1">
    <w:name w:val="标题 Char2"/>
    <w:link w:val="695"/>
    <w:uiPriority w:val="10"/>
    <w:qFormat/>
    <w:rPr>
      <w:rFonts w:ascii="Cambria" w:hAnsi="Cambria" w:cs="Times New Roman"/>
      <w:b/>
      <w:bCs/>
      <w:sz w:val="32"/>
      <w:szCs w:val="32"/>
    </w:rPr>
  </w:style>
  <w:style w:type="character" w:styleId="1108" w:customStyle="1">
    <w:name w:val=" Char Char2"/>
    <w:link w:val="695"/>
    <w:uiPriority w:val="0"/>
    <w:qFormat/>
    <w:rPr>
      <w:rFonts w:eastAsia="宋体"/>
      <w:sz w:val="21"/>
      <w:szCs w:val="24"/>
      <w:lang w:val="en-US" w:eastAsia="zh-CN" w:bidi="ar-SA"/>
    </w:rPr>
  </w:style>
  <w:style w:type="character" w:styleId="1109" w:customStyle="1">
    <w:name w:val="脚注文本 Char2"/>
    <w:link w:val="695"/>
    <w:uiPriority w:val="99"/>
    <w:semiHidden/>
    <w:qFormat/>
    <w:rPr>
      <w:sz w:val="18"/>
      <w:szCs w:val="18"/>
    </w:rPr>
  </w:style>
  <w:style w:type="character" w:styleId="1110" w:customStyle="1">
    <w:name w:val="副标题 Char2"/>
    <w:link w:val="695"/>
    <w:uiPriority w:val="11"/>
    <w:qFormat/>
    <w:rPr>
      <w:rFonts w:ascii="Cambria" w:hAnsi="Cambria" w:cs="Times New Roman"/>
      <w:b/>
      <w:bCs/>
      <w:sz w:val="32"/>
      <w:szCs w:val="32"/>
    </w:rPr>
  </w:style>
  <w:style w:type="character" w:styleId="1111" w:customStyle="1">
    <w:name w:val="样式 Char Char"/>
    <w:link w:val="1112"/>
    <w:uiPriority w:val="0"/>
    <w:qFormat/>
    <w:rPr>
      <w:rFonts w:ascii="宋体" w:hAnsi="宋体" w:cs="宋体"/>
      <w:sz w:val="24"/>
      <w:szCs w:val="24"/>
      <w:lang w:val="en-US" w:eastAsia="zh-CN" w:bidi="ar-SA"/>
    </w:rPr>
  </w:style>
  <w:style w:type="paragraph" w:styleId="1112" w:customStyle="1">
    <w:name w:val="样式"/>
    <w:link w:val="1111"/>
    <w:uiPriority w:val="0"/>
    <w:qFormat/>
    <w:pPr>
      <w:widowControl w:val="off"/>
    </w:pPr>
    <w:rPr>
      <w:rFonts w:hint="default" w:ascii="宋体" w:hAnsi="宋体" w:eastAsia="宋体" w:cs="宋体"/>
      <w:sz w:val="24"/>
      <w:szCs w:val="24"/>
      <w:lang w:val="en-US" w:eastAsia="zh-CN" w:bidi="ar-SA"/>
    </w:rPr>
  </w:style>
  <w:style w:type="character" w:styleId="1113" w:customStyle="1">
    <w:name w:val="批注主题 Char1"/>
    <w:link w:val="695"/>
    <w:uiPriority w:val="0"/>
    <w:semiHidden/>
    <w:qFormat/>
    <w:rPr>
      <w:b/>
      <w:bCs/>
      <w:sz w:val="21"/>
      <w:szCs w:val="21"/>
    </w:rPr>
  </w:style>
  <w:style w:type="character" w:styleId="1114" w:customStyle="1">
    <w:name w:val="引用 字符"/>
    <w:link w:val="1115"/>
    <w:uiPriority w:val="0"/>
    <w:qFormat/>
    <w:rPr>
      <w:i/>
      <w:iCs/>
      <w:color w:val="000000"/>
      <w:sz w:val="21"/>
      <w:szCs w:val="24"/>
    </w:rPr>
  </w:style>
  <w:style w:type="paragraph" w:styleId="1115" w:customStyle="1">
    <w:name w:val="引用"/>
    <w:basedOn w:val="695"/>
    <w:next w:val="695"/>
    <w:link w:val="1114"/>
    <w:uiPriority w:val="0"/>
    <w:qFormat/>
    <w:rPr>
      <w:i/>
      <w:iCs/>
      <w:color w:val="000000"/>
    </w:rPr>
  </w:style>
  <w:style w:type="character" w:styleId="1116" w:customStyle="1">
    <w:name w:val="引用 Char3"/>
    <w:link w:val="695"/>
    <w:uiPriority w:val="99"/>
    <w:qFormat/>
    <w:rPr>
      <w:i/>
      <w:iCs/>
      <w:color w:val="000000"/>
      <w:sz w:val="21"/>
      <w:szCs w:val="24"/>
    </w:rPr>
  </w:style>
  <w:style w:type="character" w:styleId="1117" w:customStyle="1">
    <w:name w:val=" Char Char8"/>
    <w:link w:val="695"/>
    <w:uiPriority w:val="0"/>
    <w:qFormat/>
    <w:rPr>
      <w:rFonts w:ascii="Arial" w:hAnsi="Arial" w:eastAsia="黑体"/>
      <w:b/>
      <w:bCs/>
      <w:sz w:val="32"/>
      <w:szCs w:val="32"/>
      <w:lang w:val="en-US" w:eastAsia="zh-CN" w:bidi="ar-SA"/>
    </w:rPr>
  </w:style>
  <w:style w:type="character" w:styleId="1118" w:customStyle="1">
    <w:name w:val=" Char Char Char"/>
    <w:link w:val="695"/>
    <w:uiPriority w:val="0"/>
    <w:qFormat/>
    <w:rPr>
      <w:rFonts w:ascii="Arial" w:hAnsi="Arial" w:eastAsia="黑体"/>
      <w:b/>
      <w:bCs/>
      <w:sz w:val="32"/>
      <w:szCs w:val="32"/>
      <w:lang w:val="en-US" w:eastAsia="zh-CN" w:bidi="ar-SA"/>
    </w:rPr>
  </w:style>
  <w:style w:type="character" w:styleId="1119" w:customStyle="1">
    <w:name w:val=" Char Char7"/>
    <w:link w:val="695"/>
    <w:uiPriority w:val="0"/>
    <w:qFormat/>
    <w:rPr>
      <w:rFonts w:ascii="Arial" w:hAnsi="Arial" w:eastAsia="黑体"/>
      <w:b/>
      <w:bCs/>
      <w:sz w:val="32"/>
      <w:szCs w:val="32"/>
      <w:lang w:val="en-US" w:eastAsia="zh-CN" w:bidi="ar-SA"/>
    </w:rPr>
  </w:style>
  <w:style w:type="character" w:styleId="1120" w:customStyle="1">
    <w:name w:val="Char Char8"/>
    <w:link w:val="695"/>
    <w:uiPriority w:val="0"/>
    <w:qFormat/>
    <w:rPr>
      <w:rFonts w:ascii="Arial" w:hAnsi="Arial" w:eastAsia="黑体"/>
      <w:b/>
      <w:bCs/>
      <w:sz w:val="32"/>
      <w:szCs w:val="32"/>
      <w:lang w:val="en-US" w:eastAsia="zh-CN" w:bidi="ar-SA"/>
    </w:rPr>
  </w:style>
  <w:style w:type="character" w:styleId="1121" w:customStyle="1">
    <w:name w:val="标题 4 Char Char"/>
    <w:link w:val="695"/>
    <w:uiPriority w:val="0"/>
    <w:qFormat/>
    <w:rPr>
      <w:rFonts w:ascii="Arial" w:hAnsi="Arial" w:eastAsia="黑体"/>
      <w:b/>
      <w:bCs/>
      <w:sz w:val="28"/>
      <w:szCs w:val="28"/>
    </w:rPr>
  </w:style>
  <w:style w:type="character" w:styleId="1122" w:customStyle="1">
    <w:name w:val="不明显强调"/>
    <w:link w:val="695"/>
    <w:uiPriority w:val="0"/>
    <w:qFormat/>
    <w:rPr>
      <w:i/>
      <w:iCs/>
      <w:color w:val="808080"/>
    </w:rPr>
  </w:style>
  <w:style w:type="character" w:styleId="1123" w:customStyle="1">
    <w:name w:val="页眉 Char1"/>
    <w:link w:val="695"/>
    <w:uiPriority w:val="99"/>
    <w:semiHidden/>
    <w:qFormat/>
    <w:rPr>
      <w:sz w:val="18"/>
      <w:szCs w:val="18"/>
    </w:rPr>
  </w:style>
  <w:style w:type="character" w:styleId="1124" w:customStyle="1">
    <w:name w:val="正文文本缩进 2 Char1"/>
    <w:link w:val="695"/>
    <w:uiPriority w:val="0"/>
    <w:semiHidden/>
    <w:qFormat/>
    <w:rPr>
      <w:sz w:val="21"/>
      <w:szCs w:val="21"/>
    </w:rPr>
  </w:style>
  <w:style w:type="character" w:styleId="1125" w:customStyle="1">
    <w:name w:val="不明显参考"/>
    <w:link w:val="695"/>
    <w:uiPriority w:val="0"/>
    <w:qFormat/>
    <w:rPr>
      <w:smallCaps/>
      <w:color w:val="c0504d"/>
      <w:u w:val="single"/>
    </w:rPr>
  </w:style>
  <w:style w:type="character" w:styleId="1126" w:customStyle="1">
    <w:name w:val="font5 Char"/>
    <w:link w:val="695"/>
    <w:uiPriority w:val="0"/>
    <w:qFormat/>
    <w:rPr>
      <w:rFonts w:ascii="宋体" w:hAnsi="宋体" w:eastAsia="宋体"/>
      <w:sz w:val="28"/>
      <w:szCs w:val="28"/>
      <w:lang w:val="en-US" w:eastAsia="zh-CN" w:bidi="ar-SA"/>
    </w:rPr>
  </w:style>
  <w:style w:type="paragraph" w:styleId="1127" w:customStyle="1">
    <w:name w:val="普通 (Web)"/>
    <w:basedOn w:val="695"/>
    <w:uiPriority w:val="0"/>
    <w:qFormat/>
    <w:pPr>
      <w:jc w:val="left"/>
      <w:spacing w:before="100" w:beforeAutospacing="1" w:after="100" w:afterAutospacing="1"/>
      <w:widowControl/>
    </w:pPr>
    <w:rPr>
      <w:rFonts w:ascii="宋体" w:hAnsi="宋体"/>
      <w:sz w:val="24"/>
    </w:rPr>
  </w:style>
  <w:style w:type="paragraph" w:styleId="1128" w:customStyle="1">
    <w:name w:val="font5"/>
    <w:basedOn w:val="695"/>
    <w:uiPriority w:val="0"/>
    <w:qFormat/>
    <w:pPr>
      <w:jc w:val="left"/>
      <w:spacing w:before="100" w:beforeAutospacing="1" w:after="100" w:afterAutospacing="1"/>
      <w:widowControl/>
    </w:pPr>
    <w:rPr>
      <w:rFonts w:hint="eastAsia" w:ascii="宋体" w:hAnsi="宋体"/>
      <w:sz w:val="28"/>
      <w:szCs w:val="28"/>
    </w:rPr>
  </w:style>
  <w:style w:type="paragraph" w:styleId="1129" w:customStyle="1">
    <w:name w:val="样式 标题 2 + Times New Roman 四号 非加粗 段前: 5 磅 段后: 0 磅 行距: 固定值 20..."/>
    <w:basedOn w:val="884"/>
    <w:uiPriority w:val="0"/>
    <w:qFormat/>
    <w:pPr>
      <w:spacing w:before="100" w:after="0" w:line="400" w:lineRule="exact"/>
    </w:pPr>
    <w:rPr>
      <w:rFonts w:ascii="Times New Roman" w:hAnsi="Times New Roman" w:cs="宋体"/>
      <w:b w:val="0"/>
      <w:bCs w:val="0"/>
      <w:sz w:val="28"/>
      <w:szCs w:val="20"/>
    </w:rPr>
  </w:style>
  <w:style w:type="paragraph" w:styleId="1130" w:customStyle="1">
    <w:name w:val="table_1stline"/>
    <w:basedOn w:val="695"/>
    <w:uiPriority w:val="0"/>
    <w:qFormat/>
    <w:pPr>
      <w:jc w:val="left"/>
      <w:spacing w:before="120"/>
      <w:widowControl/>
    </w:pPr>
    <w:rPr>
      <w:bCs/>
      <w:sz w:val="20"/>
      <w:szCs w:val="20"/>
      <w:lang w:val="de-DE" w:eastAsia="de-DE"/>
    </w:rPr>
  </w:style>
  <w:style w:type="paragraph" w:styleId="1131" w:customStyle="1">
    <w:name w:val="TOC 标题"/>
    <w:basedOn w:val="883"/>
    <w:next w:val="695"/>
    <w:uiPriority w:val="39"/>
    <w:qFormat/>
    <w:pPr>
      <w:jc w:val="center"/>
      <w:outlineLvl w:val="9"/>
    </w:pPr>
  </w:style>
  <w:style w:type="paragraph" w:styleId="1132" w:customStyle="1">
    <w:name w:val="font6"/>
    <w:basedOn w:val="695"/>
    <w:uiPriority w:val="0"/>
    <w:qFormat/>
    <w:pPr>
      <w:jc w:val="left"/>
      <w:spacing w:before="100" w:beforeAutospacing="1" w:after="100" w:afterAutospacing="1"/>
      <w:widowControl/>
    </w:pPr>
    <w:rPr>
      <w:rFonts w:hint="eastAsia" w:ascii="宋体" w:hAnsi="宋体"/>
      <w:sz w:val="28"/>
      <w:szCs w:val="28"/>
      <w:u w:val="single"/>
    </w:rPr>
  </w:style>
  <w:style w:type="paragraph" w:styleId="1133" w:customStyle="1">
    <w:name w:val="xl29"/>
    <w:basedOn w:val="69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34" w:customStyle="1">
    <w:name w:val="样式 标题 2 + 黑色 行距: 1.5 倍行距"/>
    <w:basedOn w:val="884"/>
    <w:uiPriority w:val="0"/>
    <w:qFormat/>
    <w:pPr>
      <w:spacing w:line="360" w:lineRule="auto"/>
    </w:pPr>
    <w:rPr>
      <w:rFonts w:ascii="宋体" w:hAnsi="宋体" w:eastAsia="宋体"/>
      <w:bCs w:val="0"/>
      <w:color w:val="000000"/>
    </w:rPr>
  </w:style>
  <w:style w:type="paragraph" w:styleId="1135" w:customStyle="1">
    <w:name w:val="table_lines"/>
    <w:basedOn w:val="695"/>
    <w:uiPriority w:val="0"/>
    <w:qFormat/>
    <w:pPr>
      <w:jc w:val="left"/>
      <w:widowControl/>
    </w:pPr>
    <w:rPr>
      <w:sz w:val="20"/>
      <w:szCs w:val="20"/>
      <w:lang w:val="de-DE" w:eastAsia="de-DE"/>
    </w:rPr>
  </w:style>
  <w:style w:type="paragraph" w:styleId="1136" w:customStyle="1">
    <w:name w:val="标题3"/>
    <w:basedOn w:val="695"/>
    <w:next w:val="695"/>
    <w:uiPriority w:val="0"/>
    <w:qFormat/>
    <w:pPr>
      <w:ind w:firstLine="624"/>
      <w:spacing w:line="590" w:lineRule="atLeast"/>
    </w:pPr>
    <w:rPr>
      <w:rFonts w:ascii="方正黑体_GBK" w:eastAsia="方正黑体_GBK"/>
      <w:sz w:val="32"/>
      <w:szCs w:val="32"/>
    </w:rPr>
  </w:style>
  <w:style w:type="paragraph" w:styleId="1137" w:customStyle="1">
    <w:name w:val="样式 标题 1 + 黑体 三号 非加粗 居中 段前: 6 磅 段后: 6 磅 行距: 固定值 20 磅"/>
    <w:basedOn w:val="883"/>
    <w:uiPriority w:val="0"/>
    <w:qFormat/>
    <w:pPr>
      <w:jc w:val="center"/>
      <w:spacing w:before="120" w:after="120" w:line="400" w:lineRule="exact"/>
    </w:pPr>
    <w:rPr>
      <w:rFonts w:ascii="黑体" w:hAnsi="黑体" w:eastAsia="黑体" w:cs="宋体"/>
      <w:b w:val="0"/>
      <w:bCs w:val="0"/>
      <w:sz w:val="32"/>
      <w:szCs w:val="20"/>
    </w:rPr>
  </w:style>
  <w:style w:type="paragraph" w:styleId="1138" w:customStyle="1">
    <w:name w:val="附录1"/>
    <w:uiPriority w:val="0"/>
    <w:qFormat/>
    <w:pPr>
      <w:numPr>
        <w:ilvl w:val="0"/>
        <w:numId w:val="2"/>
      </w:num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39" w:customStyle="1">
    <w:name w:val="xl24"/>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0" w:customStyle="1">
    <w:name w:val="xl27"/>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1" w:customStyle="1">
    <w:name w:val="表格文字"/>
    <w:basedOn w:val="695"/>
    <w:uiPriority w:val="0"/>
    <w:qFormat/>
    <w:pPr>
      <w:jc w:val="left"/>
      <w:spacing w:line="420" w:lineRule="atLeast"/>
    </w:pPr>
  </w:style>
  <w:style w:type="paragraph" w:styleId="1142" w:customStyle="1">
    <w:name w:val="样式1"/>
    <w:basedOn w:val="695"/>
    <w:uiPriority w:val="0"/>
    <w:qFormat/>
    <w:pPr>
      <w:numPr>
        <w:ilvl w:val="0"/>
        <w:numId w:val="3"/>
      </w:numPr>
      <w:tabs>
        <w:tab w:val="left" w:pos="709" w:leader="none"/>
      </w:tabs>
    </w:pPr>
    <w:rPr>
      <w:rFonts w:ascii="宋体" w:hAnsi="宋体"/>
      <w:szCs w:val="21"/>
    </w:rPr>
  </w:style>
  <w:style w:type="paragraph" w:styleId="1143">
    <w:name w:val="List Paragraph"/>
    <w:basedOn w:val="695"/>
    <w:uiPriority w:val="34"/>
    <w:qFormat/>
    <w:pPr>
      <w:contextualSpacing/>
      <w:ind w:left="720"/>
      <w:jc w:val="left"/>
      <w:widowControl/>
    </w:pPr>
    <w:rPr>
      <w:rFonts w:ascii="Calibri" w:hAnsi="Calibri"/>
      <w:sz w:val="24"/>
      <w:lang w:eastAsia="en-US" w:bidi="en-US"/>
    </w:rPr>
  </w:style>
  <w:style w:type="paragraph" w:styleId="1144" w:customStyle="1">
    <w:name w:val="Char Char2 Char Char"/>
    <w:basedOn w:val="909"/>
    <w:uiPriority w:val="0"/>
    <w:qFormat/>
    <w:rPr>
      <w:rFonts w:hint="eastAsia" w:ascii="Tahoma" w:hAnsi="Tahoma"/>
      <w:sz w:val="24"/>
      <w:shd w:val="clear" w:color="auto" w:fill="000080"/>
    </w:rPr>
  </w:style>
  <w:style w:type="paragraph" w:styleId="1145" w:customStyle="1">
    <w:name w:val="6'"/>
    <w:basedOn w:val="695"/>
    <w:uiPriority w:val="0"/>
    <w:qFormat/>
    <w:pPr>
      <w:jc w:val="center"/>
      <w:spacing w:line="320" w:lineRule="exact"/>
    </w:pPr>
    <w:rPr>
      <w:spacing w:val="20"/>
    </w:rPr>
  </w:style>
  <w:style w:type="paragraph" w:styleId="1146" w:customStyle="1">
    <w:name w:val=" Char Char2 Char Char"/>
    <w:basedOn w:val="909"/>
    <w:uiPriority w:val="0"/>
    <w:qFormat/>
    <w:rPr>
      <w:rFonts w:hint="eastAsia" w:ascii="Tahoma" w:hAnsi="Tahoma"/>
      <w:sz w:val="24"/>
      <w:shd w:val="clear" w:color="auto" w:fill="000080"/>
    </w:rPr>
  </w:style>
  <w:style w:type="paragraph" w:styleId="1147" w:customStyle="1">
    <w:name w:val="font7"/>
    <w:basedOn w:val="695"/>
    <w:uiPriority w:val="0"/>
    <w:qFormat/>
    <w:pPr>
      <w:jc w:val="left"/>
      <w:spacing w:before="100" w:beforeAutospacing="1" w:after="100" w:afterAutospacing="1"/>
      <w:widowControl/>
    </w:pPr>
    <w:rPr>
      <w:rFonts w:hint="eastAsia" w:ascii="宋体" w:hAnsi="宋体"/>
      <w:sz w:val="18"/>
      <w:szCs w:val="18"/>
    </w:rPr>
  </w:style>
  <w:style w:type="paragraph" w:styleId="1148" w:customStyle="1">
    <w:name w:val="xl30"/>
    <w:basedOn w:val="695"/>
    <w:uiPriority w:val="0"/>
    <w:qFormat/>
    <w:pPr>
      <w:jc w:val="center"/>
      <w:spacing w:before="100" w:beforeAutospacing="1" w:after="100" w:afterAutospacing="1"/>
      <w:widowControl/>
    </w:pPr>
    <w:rPr>
      <w:rFonts w:ascii="宋体" w:hAnsi="宋体"/>
      <w:b/>
      <w:bCs/>
      <w:sz w:val="36"/>
      <w:szCs w:val="36"/>
    </w:rPr>
  </w:style>
  <w:style w:type="paragraph" w:styleId="1149" w:customStyle="1">
    <w:name w:val="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150" w:customStyle="1">
    <w:name w:val="标题 2 + 黑色 行距: 1.5 倍行距"/>
    <w:basedOn w:val="884"/>
    <w:uiPriority w:val="0"/>
    <w:qFormat/>
    <w:pPr>
      <w:spacing w:line="360" w:lineRule="auto"/>
    </w:pPr>
    <w:rPr>
      <w:rFonts w:eastAsia="宋体" w:cs="宋体"/>
      <w:color w:val="000000"/>
      <w:szCs w:val="20"/>
    </w:rPr>
  </w:style>
  <w:style w:type="paragraph" w:styleId="1151" w:customStyle="1">
    <w:name w:val="paragraphindent"/>
    <w:basedOn w:val="695"/>
    <w:uiPriority w:val="0"/>
    <w:qFormat/>
    <w:pPr>
      <w:jc w:val="left"/>
      <w:spacing w:before="100" w:beforeAutospacing="1" w:after="100" w:afterAutospacing="1"/>
      <w:widowControl/>
    </w:pPr>
    <w:rPr>
      <w:rFonts w:ascii="宋体" w:hAnsi="宋体" w:cs="宋体"/>
      <w:sz w:val="24"/>
    </w:rPr>
  </w:style>
  <w:style w:type="paragraph" w:styleId="1152" w:customStyle="1">
    <w:name w:val=" Char Char Char Char Char Char Char Char Char Char"/>
    <w:basedOn w:val="695"/>
    <w:uiPriority w:val="0"/>
    <w:qFormat/>
    <w:pPr>
      <w:spacing w:line="360" w:lineRule="auto"/>
    </w:pPr>
    <w:rPr>
      <w:sz w:val="24"/>
      <w:szCs w:val="20"/>
    </w:rPr>
  </w:style>
  <w:style w:type="paragraph" w:styleId="1153" w:customStyle="1">
    <w:name w:val="正文文本缩进1"/>
    <w:basedOn w:val="695"/>
    <w:uiPriority w:val="0"/>
    <w:qFormat/>
    <w:pPr>
      <w:ind w:firstLine="420"/>
      <w:spacing w:line="360" w:lineRule="auto"/>
    </w:pPr>
    <w:rPr>
      <w:rFonts w:ascii="宋体"/>
      <w:sz w:val="24"/>
    </w:rPr>
  </w:style>
  <w:style w:type="paragraph" w:styleId="1154" w:customStyle="1">
    <w:name w:val="纯文本1"/>
    <w:basedOn w:val="695"/>
    <w:uiPriority w:val="0"/>
    <w:qFormat/>
    <w:rPr>
      <w:rFonts w:ascii="宋体" w:hAnsi="Courier New"/>
      <w:sz w:val="28"/>
    </w:rPr>
  </w:style>
  <w:style w:type="paragraph" w:styleId="115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p0"/>
    <w:basedOn w:val="695"/>
    <w:uiPriority w:val="0"/>
    <w:qFormat/>
    <w:pPr>
      <w:ind w:firstLine="420"/>
      <w:jc w:val="left"/>
      <w:widowControl/>
    </w:pPr>
    <w:rPr>
      <w:sz w:val="20"/>
      <w:szCs w:val="20"/>
    </w:rPr>
  </w:style>
  <w:style w:type="paragraph" w:styleId="1157" w:customStyle="1">
    <w:name w:val="样式2"/>
    <w:basedOn w:val="885"/>
    <w:uiPriority w:val="0"/>
    <w:qFormat/>
    <w:pPr>
      <w:ind w:firstLine="137"/>
      <w:spacing w:before="20" w:after="20" w:line="415" w:lineRule="auto"/>
    </w:pPr>
    <w:rPr>
      <w:rFonts w:hAnsi="黑体" w:eastAsia="黑体"/>
      <w:b w:val="0"/>
      <w:bCs w:val="0"/>
      <w:sz w:val="24"/>
      <w:szCs w:val="20"/>
    </w:rPr>
  </w:style>
  <w:style w:type="paragraph" w:styleId="1158" w:customStyle="1">
    <w:name w:val="Body Text(ch)"/>
    <w:basedOn w:val="695"/>
    <w:next w:val="734"/>
    <w:uiPriority w:val="0"/>
    <w:qFormat/>
    <w:pPr>
      <w:spacing w:after="120"/>
    </w:pPr>
    <w:rPr>
      <w:rFonts w:ascii="宋体" w:hAnsi="Arial"/>
      <w:bCs/>
      <w:iCs/>
    </w:rPr>
  </w:style>
  <w:style w:type="paragraph" w:styleId="1159" w:customStyle="1">
    <w:name w:val="图标"/>
    <w:basedOn w:val="695"/>
    <w:next w:val="69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0" w:customStyle="1">
    <w:name w:val="样式4"/>
    <w:basedOn w:val="885"/>
    <w:uiPriority w:val="0"/>
    <w:qFormat/>
    <w:pPr>
      <w:ind w:firstLine="137"/>
      <w:spacing w:before="20" w:after="20" w:line="415" w:lineRule="auto"/>
    </w:pPr>
    <w:rPr>
      <w:rFonts w:hAnsi="黑体" w:eastAsia="Arial"/>
      <w:b w:val="0"/>
      <w:bCs w:val="0"/>
      <w:sz w:val="24"/>
      <w:szCs w:val="20"/>
    </w:rPr>
  </w:style>
  <w:style w:type="paragraph" w:styleId="1161" w:customStyle="1">
    <w:name w:val="样式3"/>
    <w:basedOn w:val="885"/>
    <w:uiPriority w:val="0"/>
    <w:qFormat/>
    <w:pPr>
      <w:ind w:firstLine="137"/>
      <w:spacing w:before="20" w:after="20" w:line="415" w:lineRule="auto"/>
    </w:pPr>
    <w:rPr>
      <w:rFonts w:hAnsi="黑体" w:eastAsia="Arial"/>
      <w:b w:val="0"/>
      <w:bCs w:val="0"/>
      <w:sz w:val="24"/>
      <w:szCs w:val="20"/>
    </w:rPr>
  </w:style>
  <w:style w:type="paragraph" w:styleId="1162" w:customStyle="1">
    <w:name w:val="4"/>
    <w:basedOn w:val="695"/>
    <w:next w:val="944"/>
    <w:uiPriority w:val="0"/>
    <w:qFormat/>
    <w:pPr>
      <w:ind w:firstLine="420"/>
      <w:spacing w:line="360" w:lineRule="auto"/>
    </w:pPr>
    <w:rPr>
      <w:color w:val="ff0000"/>
      <w:sz w:val="24"/>
    </w:rPr>
  </w:style>
  <w:style w:type="paragraph" w:styleId="1163" w:customStyle="1">
    <w:name w:val="1"/>
    <w:basedOn w:val="695"/>
    <w:next w:val="695"/>
    <w:uiPriority w:val="0"/>
    <w:qFormat/>
  </w:style>
  <w:style w:type="paragraph" w:styleId="1164" w:customStyle="1">
    <w:name w:val="Personal Name"/>
    <w:basedOn w:val="954"/>
    <w:uiPriority w:val="0"/>
    <w:qFormat/>
    <w:rPr>
      <w:rFonts w:ascii="Impact" w:hAnsi="Impact"/>
      <w:b w:val="0"/>
      <w:caps/>
      <w:color w:val="000000"/>
      <w:sz w:val="28"/>
      <w:szCs w:val="28"/>
    </w:rPr>
  </w:style>
  <w:style w:type="paragraph" w:styleId="1165" w:customStyle="1">
    <w:name w:val="xl2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66" w:customStyle="1">
    <w:name w:val="样式 标题 3 + (中文) 黑体 小四 非加粗 段前: 7.8 磅 段后: 0 磅 行距: 固定值 20 磅"/>
    <w:basedOn w:val="885"/>
    <w:uiPriority w:val="0"/>
    <w:qFormat/>
    <w:pPr>
      <w:ind w:firstLine="137"/>
      <w:spacing w:before="0" w:after="0" w:line="400" w:lineRule="exact"/>
    </w:pPr>
    <w:rPr>
      <w:rFonts w:hAnsi="黑体" w:eastAsia="黑体" w:cs="宋体"/>
      <w:sz w:val="24"/>
      <w:szCs w:val="20"/>
    </w:rPr>
  </w:style>
  <w:style w:type="paragraph" w:styleId="1167" w:customStyle="1">
    <w:name w:val="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168"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69"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70"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1171"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1172" w:customStyle="1">
    <w:name w:val="正文文本11"/>
    <w:next w:val="695"/>
    <w:uiPriority w:val="0"/>
    <w:qFormat/>
    <w:pPr>
      <w:jc w:val="both"/>
      <w:widowControl w:val="off"/>
    </w:pPr>
    <w:rPr>
      <w:rFonts w:hint="default" w:ascii="楷体_GB2312" w:hAnsi="Arial" w:eastAsia="楷体_GB2312" w:cs="Times New Roman"/>
      <w:sz w:val="28"/>
      <w:szCs w:val="28"/>
      <w:lang w:val="en-US" w:eastAsia="zh-CN" w:bidi="ar-SA"/>
    </w:rPr>
  </w:style>
  <w:style w:type="paragraph" w:styleId="1173" w:customStyle="1">
    <w:name w:val="普通(网站)1"/>
    <w:uiPriority w:val="99"/>
    <w:qFormat/>
    <w:pPr>
      <w:spacing w:before="100" w:beforeAutospacing="1" w:after="100" w:afterAutospacing="1"/>
    </w:pPr>
    <w:rPr>
      <w:rFonts w:hint="default" w:ascii="宋体" w:hAnsi="宋体" w:eastAsia="宋体" w:cs="宋体"/>
      <w:sz w:val="24"/>
      <w:szCs w:val="24"/>
      <w:lang w:val="en-US" w:eastAsia="zh-CN" w:bidi="ar-SA"/>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dc:creator>
  <cp:lastModifiedBy>南通分公司1</cp:lastModifiedBy>
  <cp:revision>5</cp:revision>
  <dcterms:created xsi:type="dcterms:W3CDTF">2025-04-02T07:26:00Z</dcterms:created>
  <dcterms:modified xsi:type="dcterms:W3CDTF">2026-04-03T03:31:37Z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eyJoZGlkIjoiY2UxZWYyMTc4OTE2NWIzOTU4MjBjOWQ2YTIyOTA3OGQiLCJ1c2VySWQiOiIzNzkxOTYxMDcifQ==</vt:lpwstr>
  </property>
  <property fmtid="{D5CDD505-2E9C-101B-9397-08002B2CF9AE}" pid="3" name="KSOProductBuildVer">
    <vt:lpwstr>2052-12.1.0.25225</vt:lpwstr>
  </property>
  <property fmtid="{D5CDD505-2E9C-101B-9397-08002B2CF9AE}" pid="4" name="ICV">
    <vt:lpwstr>27371B52601B6269A1B8CC6907FE32B0_43</vt:lpwstr>
  </property>
</Properties>
</file>