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highlight w:val="none"/>
        </w:rPr>
      </w:pPr>
      <w:r>
        <w:rPr>
          <w:rFonts w:ascii="宋体" w:hAnsi="宋体"/>
          <w:b/>
          <w:sz w:val="72"/>
          <w:highlight w:val="none"/>
        </w:rPr>
      </w:r>
      <w:r/>
    </w:p>
    <w:p>
      <w:pPr>
        <w:ind w:left="0"/>
        <w:jc w:val="center"/>
        <w:rPr>
          <w:rFonts w:ascii="宋体" w:hAnsi="宋体"/>
          <w:b/>
          <w:sz w:val="108"/>
          <w:highlight w:val="none"/>
        </w:rPr>
      </w:pPr>
      <w:r>
        <w:rPr>
          <w:rFonts w:hint="eastAsia" w:ascii="宋体" w:hAnsi="宋体"/>
          <w:b/>
          <w:sz w:val="108"/>
          <w:highlight w:val="none"/>
        </w:rPr>
        <w:t xml:space="preserve">苏州市政府采购</w:t>
      </w:r>
      <w:r/>
    </w:p>
    <w:p>
      <w:pPr>
        <w:ind w:left="0"/>
        <w:jc w:val="center"/>
        <w:rPr>
          <w:rFonts w:ascii="宋体" w:hAnsi="宋体"/>
          <w:b/>
          <w:sz w:val="108"/>
          <w:highlight w:val="none"/>
        </w:rPr>
      </w:pPr>
      <w:r>
        <w:rPr>
          <w:rFonts w:hint="eastAsia" w:ascii="宋体" w:hAnsi="宋体"/>
          <w:b/>
          <w:sz w:val="108"/>
          <w:highlight w:val="none"/>
        </w:rPr>
        <w:t xml:space="preserve">招标文件</w:t>
      </w:r>
      <w:r/>
    </w:p>
    <w:p>
      <w:pPr>
        <w:ind w:left="0"/>
        <w:jc w:val="left"/>
        <w:spacing w:line="360" w:lineRule="auto"/>
        <w:rPr>
          <w:rFonts w:ascii="宋体" w:hAnsi="宋体"/>
          <w:highlight w:val="none"/>
        </w:rPr>
      </w:pPr>
      <w:r>
        <w:rPr>
          <w:rFonts w:ascii="宋体" w:hAnsi="宋体"/>
          <w:highlight w:val="none"/>
        </w:rPr>
      </w:r>
      <w:r/>
    </w:p>
    <w:p>
      <w:pPr>
        <w:ind w:left="0"/>
        <w:jc w:val="left"/>
        <w:spacing w:line="360" w:lineRule="auto"/>
        <w:rPr>
          <w:rFonts w:ascii="宋体" w:hAnsi="宋体"/>
          <w:highlight w:val="none"/>
        </w:rPr>
      </w:pPr>
      <w:r>
        <w:rPr>
          <w:rFonts w:ascii="宋体" w:hAnsi="宋体"/>
          <w:highlight w:val="none"/>
        </w:rPr>
      </w:r>
      <w:r/>
    </w:p>
    <w:p>
      <w:pPr>
        <w:ind w:left="0"/>
        <w:jc w:val="left"/>
        <w:spacing w:line="480" w:lineRule="auto"/>
        <w:rPr>
          <w:rFonts w:ascii="宋体" w:hAnsi="宋体"/>
          <w:b/>
          <w:sz w:val="32"/>
          <w:highlight w:val="none"/>
        </w:rPr>
      </w:pPr>
      <w:r>
        <w:rPr>
          <w:rFonts w:ascii="宋体" w:hAnsi="宋体"/>
          <w:b/>
          <w:sz w:val="32"/>
          <w:highlight w:val="none"/>
        </w:rPr>
      </w:r>
      <w:r/>
    </w:p>
    <w:p>
      <w:pPr>
        <w:ind w:left="1842"/>
        <w:jc w:val="left"/>
        <w:spacing w:line="480" w:lineRule="auto"/>
        <w:rPr>
          <w:rFonts w:hint="default" w:ascii="宋体" w:hAnsi="宋体" w:eastAsia="宋体"/>
          <w:b/>
          <w:sz w:val="32"/>
          <w:highlight w:val="none"/>
          <w:lang w:val="en-US" w:eastAsia="zh-CN"/>
        </w:rPr>
      </w:pPr>
      <w:r>
        <w:rPr>
          <w:rFonts w:ascii="宋体" w:hAnsi="宋体"/>
          <w:b/>
          <w:sz w:val="32"/>
          <w:highlight w:val="none"/>
        </w:rPr>
        <w:t xml:space="preserve">项目编号：</w:t>
      </w:r>
      <w:r>
        <w:rPr>
          <w:rFonts w:hint="eastAsia" w:ascii="宋体" w:hAnsi="宋体"/>
          <w:b/>
          <w:sz w:val="32"/>
          <w:highlight w:val="none"/>
        </w:rPr>
        <w:t xml:space="preserve">JSZC-320500-JZCG-G2026-00</w:t>
      </w:r>
      <w:r>
        <w:rPr>
          <w:rFonts w:hint="eastAsia" w:ascii="宋体" w:hAnsi="宋体"/>
          <w:b/>
          <w:sz w:val="32"/>
          <w:highlight w:val="none"/>
          <w:lang w:val="en-US" w:eastAsia="zh-CN"/>
        </w:rPr>
        <w:t xml:space="preserve">91</w:t>
      </w:r>
      <w:r/>
    </w:p>
    <w:p>
      <w:pPr>
        <w:ind w:left="1842"/>
        <w:jc w:val="left"/>
        <w:spacing w:line="480" w:lineRule="auto"/>
        <w:rPr>
          <w:rFonts w:ascii="宋体" w:hAnsi="宋体"/>
          <w:b/>
          <w:sz w:val="32"/>
          <w:highlight w:val="none"/>
        </w:rPr>
      </w:pPr>
      <w:r>
        <w:rPr>
          <w:rFonts w:ascii="宋体" w:hAnsi="宋体"/>
          <w:b/>
          <w:sz w:val="32"/>
          <w:highlight w:val="none"/>
        </w:rPr>
        <w:t xml:space="preserve">采购单位：</w:t>
      </w:r>
      <w:r>
        <w:rPr>
          <w:rFonts w:hint="eastAsia" w:ascii="宋体" w:hAnsi="宋体"/>
          <w:b/>
          <w:sz w:val="32"/>
          <w:highlight w:val="none"/>
        </w:rPr>
        <w:t xml:space="preserve">苏州市公安局</w:t>
      </w:r>
      <w:r/>
    </w:p>
    <w:p>
      <w:pPr>
        <w:ind w:left="1842"/>
        <w:jc w:val="left"/>
        <w:spacing w:line="480" w:lineRule="auto"/>
        <w:rPr>
          <w:rFonts w:ascii="宋体" w:hAnsi="宋体"/>
          <w:b/>
          <w:sz w:val="32"/>
          <w:highlight w:val="none"/>
        </w:rPr>
      </w:pPr>
      <w:r>
        <w:rPr>
          <w:rFonts w:ascii="宋体" w:hAnsi="宋体"/>
          <w:b/>
          <w:sz w:val="32"/>
          <w:highlight w:val="none"/>
        </w:rPr>
        <w:t xml:space="preserve">项目名称：</w:t>
      </w:r>
      <w:r>
        <w:rPr>
          <w:rFonts w:hint="eastAsia" w:ascii="宋体" w:hAnsi="宋体"/>
          <w:b/>
          <w:sz w:val="32"/>
          <w:highlight w:val="none"/>
        </w:rPr>
        <w:t xml:space="preserve">姑苏区及城市快速路道路交通设施维护服务 </w:t>
      </w:r>
      <w:r/>
    </w:p>
    <w:p>
      <w:pPr>
        <w:ind w:left="1842"/>
        <w:jc w:val="left"/>
        <w:spacing w:line="480" w:lineRule="auto"/>
        <w:tabs>
          <w:tab w:val="center" w:pos="6264" w:leader="none"/>
        </w:tabs>
        <w:rPr>
          <w:rFonts w:ascii="宋体" w:hAnsi="宋体"/>
          <w:b/>
          <w:spacing w:val="20"/>
          <w:sz w:val="32"/>
          <w:highlight w:val="none"/>
        </w:rPr>
      </w:pPr>
      <w:r>
        <w:rPr>
          <w:rFonts w:ascii="宋体" w:hAnsi="宋体"/>
          <w:b/>
          <w:sz w:val="32"/>
          <w:highlight w:val="none"/>
        </w:rPr>
        <w:t xml:space="preserve">项目类别：</w:t>
      </w:r>
      <w:r>
        <w:rPr>
          <w:rFonts w:hint="eastAsia" w:ascii="宋体" w:hAnsi="宋体"/>
          <w:b/>
          <w:sz w:val="32"/>
          <w:highlight w:val="none"/>
        </w:rPr>
        <w:t xml:space="preserve">服务类</w:t>
      </w:r>
      <w:r/>
    </w:p>
    <w:p>
      <w:pPr>
        <w:ind w:left="0" w:firstLine="2695"/>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ind w:left="0"/>
        <w:jc w:val="left"/>
        <w:rPr>
          <w:rFonts w:ascii="宋体" w:hAnsi="宋体"/>
          <w:b/>
          <w:sz w:val="32"/>
          <w:highlight w:val="none"/>
        </w:rPr>
      </w:pPr>
      <w:r>
        <w:rPr>
          <w:rFonts w:ascii="宋体" w:hAnsi="宋体"/>
          <w:b/>
          <w:sz w:val="32"/>
          <w:highlight w:val="none"/>
        </w:rPr>
      </w:r>
      <w:r/>
    </w:p>
    <w:p>
      <w:pPr>
        <w:pStyle w:val="867"/>
        <w:rPr>
          <w:highlight w:val="none"/>
        </w:rPr>
      </w:pPr>
      <w:r>
        <w:rPr>
          <w:highlight w:val="none"/>
        </w:rPr>
      </w:r>
      <w:r/>
    </w:p>
    <w:p>
      <w:pPr>
        <w:rPr>
          <w:rFonts w:ascii="Times New Roman" w:hAnsi="Times New Roman" w:cs="Times New Roman"/>
          <w:highlight w:val="none"/>
        </w:rPr>
      </w:pPr>
      <w:r>
        <w:rPr>
          <w:rFonts w:ascii="Times New Roman" w:hAnsi="Times New Roman" w:cs="Times New Roman"/>
          <w:highlight w:val="none"/>
        </w:rPr>
      </w:r>
      <w:r/>
    </w:p>
    <w:p>
      <w:pPr>
        <w:jc w:val="left"/>
        <w:rPr>
          <w:rFonts w:ascii="宋体" w:hAnsi="宋体"/>
          <w:b/>
          <w:sz w:val="32"/>
          <w:highlight w:val="none"/>
        </w:rPr>
      </w:pPr>
      <w:r>
        <w:rPr>
          <w:rFonts w:ascii="宋体" w:hAnsi="宋体"/>
          <w:b/>
          <w:sz w:val="32"/>
          <w:highlight w:val="none"/>
        </w:rPr>
      </w:r>
      <w:r/>
    </w:p>
    <w:p>
      <w:pPr>
        <w:ind w:left="0" w:firstLine="1606"/>
        <w:jc w:val="left"/>
        <w:rPr>
          <w:rFonts w:ascii="宋体" w:hAnsi="宋体"/>
          <w:b/>
          <w:sz w:val="32"/>
          <w:highlight w:val="none"/>
        </w:rPr>
      </w:pPr>
      <w:r>
        <w:rPr>
          <w:rFonts w:ascii="宋体" w:hAnsi="宋体"/>
          <w:b/>
          <w:sz w:val="32"/>
          <w:highlight w:val="none"/>
        </w:rPr>
      </w:r>
      <w:r/>
    </w:p>
    <w:p>
      <w:pPr>
        <w:ind w:left="0"/>
        <w:jc w:val="center"/>
        <w:rPr>
          <w:rFonts w:ascii="宋体" w:hAnsi="宋体"/>
          <w:b/>
          <w:sz w:val="32"/>
          <w:highlight w:val="none"/>
        </w:rPr>
      </w:pPr>
      <w:r>
        <w:rPr>
          <w:rFonts w:hint="eastAsia" w:ascii="宋体" w:hAnsi="宋体"/>
          <w:b/>
          <w:sz w:val="32"/>
          <w:highlight w:val="none"/>
        </w:rPr>
        <w:t xml:space="preserve">苏州市政府集中采购中心</w:t>
      </w:r>
      <w:r/>
    </w:p>
    <w:p>
      <w:pPr>
        <w:ind w:left="0"/>
        <w:jc w:val="center"/>
        <w:rPr>
          <w:rFonts w:ascii="宋体" w:hAnsi="宋体"/>
          <w:b/>
          <w:sz w:val="32"/>
          <w:highlight w:val="none"/>
        </w:rPr>
      </w:pPr>
      <w:r>
        <w:rPr>
          <w:rFonts w:hint="eastAsia" w:ascii="宋体" w:hAnsi="宋体"/>
          <w:b/>
          <w:sz w:val="32"/>
          <w:highlight w:val="none"/>
        </w:rPr>
        <w:t xml:space="preserve">202</w:t>
      </w:r>
      <w:r>
        <w:rPr>
          <w:rFonts w:hint="eastAsia" w:ascii="宋体" w:hAnsi="宋体"/>
          <w:b/>
          <w:sz w:val="32"/>
          <w:highlight w:val="none"/>
          <w:lang w:val="en-US" w:eastAsia="zh-CN"/>
        </w:rPr>
        <w:t xml:space="preserve">6</w:t>
      </w:r>
      <w:r>
        <w:rPr>
          <w:rFonts w:hint="eastAsia" w:ascii="宋体" w:hAnsi="宋体"/>
          <w:b/>
          <w:sz w:val="32"/>
          <w:highlight w:val="none"/>
        </w:rPr>
        <w:t xml:space="preserve">年</w:t>
      </w:r>
      <w:r>
        <w:rPr>
          <w:rFonts w:hint="eastAsia" w:ascii="宋体" w:hAnsi="宋体"/>
          <w:b/>
          <w:sz w:val="32"/>
          <w:highlight w:val="none"/>
          <w:lang w:val="en-US" w:eastAsia="zh-CN"/>
        </w:rPr>
        <w:t xml:space="preserve">4</w:t>
      </w:r>
      <w:r>
        <w:rPr>
          <w:rFonts w:hint="eastAsia" w:ascii="宋体" w:hAnsi="宋体"/>
          <w:b/>
          <w:sz w:val="32"/>
          <w:highlight w:val="none"/>
        </w:rPr>
        <w:t xml:space="preserve">月</w:t>
      </w:r>
      <w:r/>
    </w:p>
    <w:p>
      <w:pPr>
        <w:ind w:left="0"/>
        <w:jc w:val="center"/>
        <w:rPr>
          <w:rFonts w:ascii="宋体" w:hAnsi="宋体"/>
          <w:sz w:val="48"/>
          <w:highlight w:val="none"/>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highlight w:val="none"/>
        </w:rPr>
      </w:r>
      <w:r/>
    </w:p>
    <w:p>
      <w:pPr>
        <w:ind w:left="0"/>
        <w:jc w:val="center"/>
        <w:rPr>
          <w:rFonts w:ascii="宋体" w:hAnsi="宋体"/>
          <w:sz w:val="48"/>
          <w:highlight w:val="none"/>
        </w:rPr>
      </w:pPr>
      <w:r>
        <w:rPr>
          <w:rFonts w:hint="eastAsia" w:ascii="宋体" w:hAnsi="宋体"/>
          <w:sz w:val="48"/>
          <w:highlight w:val="none"/>
        </w:rPr>
        <w:t xml:space="preserve">总目录</w:t>
      </w:r>
      <w:r/>
    </w:p>
    <w:p>
      <w:pPr>
        <w:pStyle w:val="874"/>
        <w:ind w:firstLine="0"/>
        <w:jc w:val="left"/>
        <w:spacing w:before="120" w:after="120"/>
        <w:tabs>
          <w:tab w:val="right" w:pos="9856" w:leader="dot"/>
        </w:tabs>
        <w:rPr>
          <w:rStyle w:val="906"/>
          <w:rFonts w:ascii="宋体" w:hAnsi="宋体" w:cs="Calibri"/>
          <w:bCs/>
          <w:caps/>
          <w:color w:val="auto"/>
          <w:sz w:val="32"/>
          <w:szCs w:val="32"/>
          <w:highlight w:val="none"/>
        </w:rPr>
        <w:outlineLvl w:val="9"/>
      </w:pPr>
      <w:r>
        <w:rPr>
          <w:rFonts w:ascii="宋体" w:hAnsi="宋体" w:cs="Calibri"/>
          <w:bCs/>
          <w:caps/>
          <w:color w:val="auto"/>
          <w:sz w:val="32"/>
          <w:szCs w:val="32"/>
          <w:highlight w:val="none"/>
        </w:rPr>
      </w:r>
      <w:r/>
    </w:p>
    <w:p>
      <w:pPr>
        <w:pStyle w:val="874"/>
        <w:ind w:firstLine="0"/>
        <w:tabs>
          <w:tab w:val="right" w:pos="9864" w:leader="dot"/>
        </w:tabs>
        <w:rPr>
          <w:rFonts w:asciiTheme="minorEastAsia" w:hAnsiTheme="minorEastAsia" w:eastAsiaTheme="minorEastAsia" w:cstheme="minorEastAsia"/>
          <w:sz w:val="32"/>
          <w:szCs w:val="32"/>
          <w:highlight w:val="none"/>
        </w:rPr>
      </w:pPr>
      <w:r>
        <w:rPr>
          <w:rStyle w:val="906"/>
          <w:rFonts w:hint="eastAsia" w:asciiTheme="minorEastAsia" w:hAnsiTheme="minorEastAsia" w:eastAsiaTheme="minorEastAsia" w:cstheme="minorEastAsia"/>
          <w:color w:val="auto"/>
          <w:sz w:val="32"/>
          <w:highlight w:val="none"/>
        </w:rPr>
        <w:fldChar w:fldCharType="begin"/>
      </w:r>
      <w:r>
        <w:rPr>
          <w:rStyle w:val="906"/>
          <w:rFonts w:hint="eastAsia" w:asciiTheme="minorEastAsia" w:hAnsiTheme="minorEastAsia" w:eastAsiaTheme="minorEastAsia" w:cstheme="minorEastAsia"/>
          <w:bCs/>
          <w:caps/>
          <w:color w:val="auto"/>
          <w:sz w:val="32"/>
          <w:szCs w:val="32"/>
          <w:highlight w:val="none"/>
        </w:rPr>
        <w:instrText xml:space="preserve"> TOC \o "1-1" \h \z \u </w:instrText>
      </w:r>
      <w:r>
        <w:rPr>
          <w:rStyle w:val="906"/>
          <w:rFonts w:hint="eastAsia" w:asciiTheme="minorEastAsia" w:hAnsiTheme="minorEastAsia" w:eastAsiaTheme="minorEastAsia" w:cstheme="minorEastAsia"/>
          <w:color w:val="auto"/>
          <w:sz w:val="32"/>
          <w:highlight w:val="none"/>
        </w:rPr>
        <w:fldChar w:fldCharType="separate"/>
      </w:r>
      <w:r>
        <w:rPr>
          <w:highlight w:val="none"/>
        </w:rPr>
        <w:fldChar w:fldCharType="begin"/>
      </w:r>
      <w:r>
        <w:rPr>
          <w:highlight w:val="none"/>
        </w:rPr>
        <w:instrText xml:space="preserve"> HYPERLINK \l "_Toc17940"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第一章  投标邀请函</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_Toc17940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5</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"_Toc6704"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第二章  投标人须知</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_Toc6704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8</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"_Toc6230"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第三章  投标文件格式</w:t>
      </w:r>
      <w:bookmarkStart w:id="167" w:name="_GoBack"/>
      <w:r/>
      <w:bookmarkEnd w:id="167"/>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_Toc6230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20</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"_Toc6127"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第四章  招标书</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_Toc6127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32</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"_Toc18058"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第五章  合同及主要条款</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_Toc18058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41</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"_Toc4590"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第六章  评标办法和评分标准</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_Toc4590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48</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"_Toc22085"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第七章  考核标准</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_Toc22085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53</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tabs>
          <w:tab w:val="right" w:pos="9864" w:leader="dot"/>
        </w:tabs>
        <w:rPr>
          <w:rFonts w:asciiTheme="minorEastAsia" w:hAnsiTheme="minorEastAsia" w:eastAsiaTheme="minorEastAsia" w:cstheme="minorEastAsia"/>
          <w:sz w:val="32"/>
          <w:szCs w:val="32"/>
          <w:highlight w:val="none"/>
        </w:rPr>
      </w:pPr>
      <w:r>
        <w:rPr>
          <w:highlight w:val="none"/>
        </w:rPr>
        <w:fldChar w:fldCharType="begin"/>
      </w:r>
      <w:r>
        <w:rPr>
          <w:highlight w:val="none"/>
        </w:rPr>
        <w:instrText xml:space="preserve"> HYPERLINK \l "_Toc26268" </w:instrText>
      </w:r>
      <w:r>
        <w:rPr>
          <w:highlight w:val="none"/>
        </w:rPr>
        <w:fldChar w:fldCharType="separate"/>
      </w:r>
      <w:r>
        <w:rPr>
          <w:rFonts w:hint="eastAsia" w:asciiTheme="minorEastAsia" w:hAnsiTheme="minorEastAsia" w:eastAsiaTheme="minorEastAsia" w:cstheme="minorEastAsia"/>
          <w:sz w:val="32"/>
          <w:szCs w:val="32"/>
          <w:highlight w:val="none"/>
        </w:rPr>
        <w:t xml:space="preserve">第八章 附件</w:t>
      </w:r>
      <w:r>
        <w:rPr>
          <w:rFonts w:hint="eastAsia" w:asciiTheme="minorEastAsia" w:hAnsiTheme="minorEastAsia" w:eastAsiaTheme="minorEastAsia" w:cstheme="minorEastAsia"/>
          <w:sz w:val="32"/>
          <w:szCs w:val="32"/>
          <w:highlight w:val="none"/>
        </w:rPr>
        <w:tab/>
      </w:r>
      <w:r>
        <w:rPr>
          <w:rFonts w:hint="eastAsia" w:asciiTheme="minorEastAsia" w:hAnsiTheme="minorEastAsia" w:eastAsiaTheme="minorEastAsia" w:cstheme="minorEastAsia"/>
          <w:sz w:val="32"/>
          <w:szCs w:val="32"/>
          <w:highlight w:val="none"/>
        </w:rPr>
        <w:fldChar w:fldCharType="begin"/>
      </w:r>
      <w:r>
        <w:rPr>
          <w:rFonts w:hint="eastAsia" w:asciiTheme="minorEastAsia" w:hAnsiTheme="minorEastAsia" w:eastAsiaTheme="minorEastAsia" w:cstheme="minorEastAsia"/>
          <w:sz w:val="32"/>
          <w:szCs w:val="32"/>
          <w:highlight w:val="none"/>
        </w:rPr>
        <w:instrText xml:space="preserve"> PAGEREF _Toc26268 \h </w:instrText>
      </w:r>
      <w:r>
        <w:rPr>
          <w:rFonts w:hint="eastAsia" w:asciiTheme="minorEastAsia" w:hAnsiTheme="minorEastAsia" w:eastAsiaTheme="minorEastAsia" w:cstheme="minorEastAsia"/>
          <w:sz w:val="32"/>
          <w:szCs w:val="32"/>
          <w:highlight w:val="none"/>
        </w:rPr>
        <w:fldChar w:fldCharType="separate"/>
      </w:r>
      <w:r>
        <w:rPr>
          <w:rFonts w:hint="eastAsia" w:asciiTheme="minorEastAsia" w:hAnsiTheme="minorEastAsia" w:eastAsiaTheme="minorEastAsia" w:cstheme="minorEastAsia"/>
          <w:sz w:val="32"/>
          <w:szCs w:val="32"/>
          <w:highlight w:val="none"/>
        </w:rPr>
        <w:t xml:space="preserve">55</w:t>
      </w:r>
      <w:r>
        <w:rPr>
          <w:rFonts w:hint="eastAsia" w:asciiTheme="minorEastAsia" w:hAnsiTheme="minorEastAsia" w:eastAsiaTheme="minorEastAsia" w:cstheme="minorEastAsia"/>
          <w:sz w:val="32"/>
          <w:szCs w:val="32"/>
          <w:highlight w:val="none"/>
        </w:rPr>
        <w:fldChar w:fldCharType="end"/>
      </w:r>
      <w:r>
        <w:rPr>
          <w:rFonts w:hint="eastAsia" w:asciiTheme="minorEastAsia" w:hAnsiTheme="minorEastAsia" w:eastAsiaTheme="minorEastAsia" w:cstheme="minorEastAsia"/>
          <w:sz w:val="32"/>
          <w:szCs w:val="32"/>
          <w:highlight w:val="none"/>
        </w:rPr>
        <w:fldChar w:fldCharType="end"/>
      </w:r>
      <w:r/>
    </w:p>
    <w:p>
      <w:pPr>
        <w:pStyle w:val="874"/>
        <w:ind w:firstLine="0"/>
        <w:jc w:val="left"/>
        <w:spacing w:before="120" w:after="120"/>
        <w:tabs>
          <w:tab w:val="right" w:pos="9856" w:leader="dot"/>
        </w:tabs>
        <w:rPr>
          <w:rFonts w:ascii="宋体" w:hAnsi="宋体"/>
          <w:sz w:val="32"/>
          <w:szCs w:val="32"/>
          <w:highlight w:val="none"/>
        </w:rPr>
        <w:outlineLvl w:val="9"/>
      </w:pPr>
      <w:r>
        <w:rPr>
          <w:rFonts w:hint="eastAsia" w:asciiTheme="minorEastAsia" w:hAnsiTheme="minorEastAsia" w:eastAsiaTheme="minorEastAsia" w:cstheme="minorEastAsia"/>
          <w:bCs/>
          <w:caps/>
          <w:sz w:val="32"/>
          <w:szCs w:val="32"/>
          <w:highlight w:val="none"/>
        </w:rPr>
        <w:fldChar w:fldCharType="end"/>
      </w:r>
      <w:r/>
    </w:p>
    <w:p>
      <w:pPr>
        <w:ind w:left="0"/>
        <w:rPr>
          <w:rFonts w:ascii="宋体" w:hAnsi="宋体" w:cs="Times New Roman"/>
          <w:sz w:val="32"/>
          <w:szCs w:val="32"/>
          <w:highlight w:val="none"/>
        </w:rPr>
      </w:pPr>
      <w:r>
        <w:rPr>
          <w:rFonts w:ascii="宋体" w:hAnsi="宋体" w:cs="Times New Roman"/>
          <w:sz w:val="32"/>
          <w:szCs w:val="32"/>
          <w:highlight w:val="none"/>
        </w:rPr>
      </w:r>
      <w:r/>
    </w:p>
    <w:p>
      <w:pPr>
        <w:ind w:left="0"/>
        <w:jc w:val="center"/>
        <w:rPr>
          <w:rFonts w:ascii="宋体" w:hAnsi="宋体"/>
          <w:b/>
          <w:spacing w:val="20"/>
          <w:sz w:val="30"/>
          <w:highlight w:val="none"/>
        </w:rPr>
      </w:pPr>
      <w:r>
        <w:rPr>
          <w:rFonts w:ascii="宋体" w:hAnsi="宋体"/>
          <w:highlight w:val="none"/>
        </w:rPr>
        <w:br w:type="page" w:clear="all"/>
      </w:r>
      <w:bookmarkStart w:id="0" w:name="_Toc15681"/>
      <w:r/>
      <w:bookmarkStart w:id="1" w:name="_Toc17003"/>
      <w:r/>
      <w:bookmarkStart w:id="2" w:name="_Toc16121"/>
      <w:r>
        <w:rPr>
          <w:rFonts w:ascii="宋体" w:hAnsi="宋体"/>
          <w:b/>
          <w:spacing w:val="20"/>
          <w:sz w:val="30"/>
          <w:highlight w:val="none"/>
        </w:rPr>
        <w:t xml:space="preserve">前 附 表</w:t>
      </w:r>
      <w:bookmarkEnd w:id="0"/>
      <w:r/>
      <w:bookmarkEnd w:id="1"/>
      <w:r/>
      <w:bookmarkEnd w:id="2"/>
      <w:r/>
      <w:r/>
    </w:p>
    <w:tbl>
      <w:tblPr>
        <w:tblStyle w:val="852"/>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hint="default" w:ascii="宋体" w:hAnsi="宋体" w:eastAsia="宋体" w:cs="Times New Roman"/>
                <w:sz w:val="21"/>
                <w:szCs w:val="21"/>
                <w:highlight w:val="none"/>
                <w:lang w:val="en-US" w:eastAsia="zh-CN"/>
              </w:rPr>
            </w:pPr>
            <w:r>
              <w:rPr>
                <w:rFonts w:hint="eastAsia" w:ascii="宋体" w:hAnsi="宋体"/>
                <w:sz w:val="21"/>
                <w:szCs w:val="21"/>
                <w:highlight w:val="none"/>
              </w:rPr>
              <w:t xml:space="preserve">JSZC-320500-JZCG-G2026-00</w:t>
            </w:r>
            <w:r>
              <w:rPr>
                <w:rFonts w:hint="eastAsia" w:ascii="宋体" w:hAnsi="宋体"/>
                <w:sz w:val="21"/>
                <w:szCs w:val="21"/>
                <w:highlight w:val="none"/>
                <w:lang w:val="en-US" w:eastAsia="zh-CN"/>
              </w:rPr>
              <w:t xml:space="preserve">91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sz w:val="21"/>
                <w:szCs w:val="21"/>
                <w:highlight w:val="none"/>
              </w:rPr>
              <w:t xml:space="preserve">姑苏区及城市快速路道路交通设施维护服务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highlight w:val="none"/>
              </w:rPr>
            </w:pP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采购代理机构</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名称：苏州市政府集中采购中心</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地址：苏州高新区邓尉路105号狮山科技馆7楼</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联系人：朱工、丁工</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名称：苏州市公安局</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地址：江苏省苏州市人民路3998号</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联系人：支钟毓</w:t>
            </w:r>
            <w:r/>
          </w:p>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联系电话：0512-65111701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highlight w:val="none"/>
              </w:rPr>
            </w:pPr>
            <w:r>
              <w:rPr>
                <w:rFonts w:hint="eastAsia" w:ascii="宋体" w:hAnsi="宋体"/>
                <w:sz w:val="21"/>
                <w:szCs w:val="21"/>
                <w:highlight w:val="none"/>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highlight w:val="none"/>
              </w:rPr>
            </w:pPr>
            <w:r>
              <w:rPr>
                <w:rFonts w:hint="eastAsia" w:ascii="宋体" w:hAnsi="宋体"/>
                <w:sz w:val="21"/>
                <w:szCs w:val="21"/>
                <w:highlight w:val="none"/>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获取招标文件</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投标文件网上</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Pr>
                <w:rFonts w:hint="eastAsia" w:ascii="宋体" w:hAnsi="宋体" w:cs="Times New Roman"/>
                <w:sz w:val="21"/>
                <w:szCs w:val="21"/>
                <w:highlight w:val="none"/>
              </w:rPr>
              <w:t xml:space="preserve">（北京时间）</w:t>
            </w:r>
            <w:r>
              <w:rPr>
                <w:rFonts w:ascii="宋体" w:hAnsi="宋体" w:cs="Times New Roman"/>
                <w:sz w:val="21"/>
                <w:szCs w:val="21"/>
                <w:highlight w:val="none"/>
              </w:rPr>
              <w:t xml:space="preserve"> </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开标时间</w:t>
            </w:r>
            <w:r/>
          </w:p>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cs="Times New Roman"/>
                <w:sz w:val="21"/>
                <w:szCs w:val="21"/>
                <w:highlight w:val="none"/>
              </w:rPr>
            </w:r>
            <w:r>
              <w:rPr>
                <w:rFonts w:hint="eastAsia" w:ascii="宋体" w:hAnsi="宋体" w:cs="Times New Roman"/>
                <w:sz w:val="21"/>
                <w:szCs w:val="21"/>
                <w:highlight w:val="none"/>
              </w:rPr>
              <w:t xml:space="preserve">（北京时间）</w:t>
            </w:r>
            <w:r/>
          </w:p>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“苏采云”系统（网址：</w:t>
            </w:r>
            <w:r>
              <w:rPr>
                <w:rFonts w:ascii="宋体" w:hAnsi="宋体" w:cs="Times New Roman"/>
                <w:sz w:val="21"/>
                <w:szCs w:val="21"/>
                <w:highlight w:val="none"/>
              </w:rPr>
              <w:t xml:space="preserve">http</w:t>
            </w:r>
            <w:r>
              <w:rPr>
                <w:rFonts w:hint="eastAsia" w:ascii="宋体" w:hAnsi="宋体" w:cs="Times New Roman"/>
                <w:sz w:val="21"/>
                <w:szCs w:val="21"/>
                <w:highlight w:val="none"/>
              </w:rPr>
              <w:t xml:space="preserve">：</w:t>
            </w:r>
            <w:r>
              <w:rPr>
                <w:rFonts w:ascii="宋体" w:hAnsi="宋体" w:cs="Times New Roman"/>
                <w:sz w:val="21"/>
                <w:szCs w:val="21"/>
                <w:highlight w:val="none"/>
              </w:rPr>
              <w:t xml:space="preserve">//jszfcg.jsczt.cn/</w:t>
            </w:r>
            <w:r>
              <w:rPr>
                <w:rFonts w:hint="eastAsia" w:ascii="宋体" w:hAnsi="宋体" w:cs="Times New Roman"/>
                <w:sz w:val="21"/>
                <w:szCs w:val="21"/>
                <w:highlight w:val="none"/>
              </w:rPr>
              <w:t xml:space="preserve">）</w:t>
            </w:r>
            <w:r/>
          </w:p>
          <w:p>
            <w:pPr>
              <w:ind w:left="0"/>
              <w:jc w:val="left"/>
              <w:spacing w:line="440" w:lineRule="exact"/>
              <w:rPr>
                <w:rFonts w:ascii="宋体" w:hAnsi="宋体" w:cs="Times New Roman"/>
                <w:sz w:val="21"/>
                <w:szCs w:val="21"/>
                <w:highlight w:val="none"/>
              </w:rPr>
            </w:pP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评标时间</w:t>
            </w:r>
            <w:r/>
          </w:p>
          <w:p>
            <w:pPr>
              <w:ind w:left="0"/>
              <w:jc w:val="center"/>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202</w:t>
            </w:r>
            <w:r>
              <w:rPr>
                <w:rFonts w:ascii="宋体" w:hAnsi="宋体" w:cs="Times New Roman"/>
                <w:sz w:val="21"/>
                <w:szCs w:val="21"/>
                <w:highlight w:val="none"/>
              </w:rPr>
              <w:t xml:space="preserve">6</w:t>
            </w:r>
            <w:r>
              <w:rPr>
                <w:rFonts w:hint="eastAsia" w:ascii="宋体" w:hAnsi="宋体" w:cs="Times New Roman"/>
                <w:sz w:val="21"/>
                <w:szCs w:val="21"/>
                <w:highlight w:val="none"/>
              </w:rPr>
              <w:t xml:space="preserve">年</w:t>
            </w:r>
            <w:r>
              <w:rPr>
                <w:rFonts w:ascii="宋体" w:hAnsi="宋体" w:cs="Times New Roman"/>
                <w:sz w:val="21"/>
                <w:szCs w:val="21"/>
                <w:highlight w:val="none"/>
                <w:u w:val="single"/>
              </w:rPr>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ascii="宋体" w:hAnsi="宋体" w:cs="Times New Roman"/>
                <w:sz w:val="21"/>
                <w:szCs w:val="21"/>
                <w:highlight w:val="none"/>
                <w:u w:val="single"/>
              </w:rPr>
            </w:r>
            <w:r>
              <w:rPr>
                <w:rFonts w:hint="eastAsia" w:ascii="宋体" w:hAnsi="宋体" w:cs="Times New Roman"/>
                <w:sz w:val="21"/>
                <w:szCs w:val="21"/>
                <w:highlight w:val="none"/>
              </w:rPr>
              <w:t xml:space="preserve">（北京时间）</w:t>
            </w:r>
            <w:r/>
          </w:p>
          <w:p>
            <w:pPr>
              <w:ind w:left="0"/>
              <w:jc w:val="left"/>
              <w:spacing w:line="312" w:lineRule="auto"/>
              <w:rPr>
                <w:rFonts w:ascii="宋体" w:hAnsi="宋体" w:cs="Times New Roman"/>
                <w:sz w:val="21"/>
                <w:szCs w:val="21"/>
                <w:highlight w:val="none"/>
              </w:rPr>
            </w:pPr>
            <w:r>
              <w:rPr>
                <w:rFonts w:hint="eastAsia" w:ascii="宋体" w:hAnsi="宋体" w:cs="Times New Roman"/>
                <w:sz w:val="21"/>
                <w:szCs w:val="21"/>
                <w:highlight w:val="none"/>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highlight w:val="none"/>
              </w:rPr>
            </w:pPr>
            <w:r>
              <w:rPr>
                <w:rFonts w:hint="eastAsia" w:ascii="宋体" w:hAnsi="宋体" w:cs="Arial"/>
                <w:sz w:val="21"/>
                <w:szCs w:val="21"/>
                <w:highlight w:val="none"/>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w:t>
            </w:r>
            <w:r>
              <w:rPr>
                <w:rFonts w:hint="eastAsia" w:ascii="宋体" w:hAnsi="宋体" w:cs="Times New Roman"/>
                <w:sz w:val="21"/>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highlight w:val="none"/>
              </w:rPr>
            </w:pPr>
            <w:r>
              <w:rPr>
                <w:rFonts w:hint="eastAsia" w:ascii="宋体" w:hAnsi="宋体"/>
                <w:b/>
                <w:bCs/>
                <w:sz w:val="21"/>
                <w:szCs w:val="21"/>
                <w:highlight w:val="none"/>
              </w:rPr>
              <w:t xml:space="preserve">合同总金额的10%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5"/>
              <w:ind w:left="0" w:firstLine="0"/>
              <w:spacing w:line="440" w:lineRule="exact"/>
              <w:rPr>
                <w:rFonts w:ascii="宋体" w:hAnsi="宋体" w:cs="宋体"/>
                <w:sz w:val="21"/>
                <w:szCs w:val="21"/>
                <w:highlight w:val="none"/>
              </w:rPr>
            </w:pPr>
            <w:r>
              <w:rPr>
                <w:rFonts w:hint="eastAsia" w:ascii="宋体" w:hAnsi="宋体" w:cs="宋体"/>
                <w:sz w:val="21"/>
                <w:szCs w:val="21"/>
                <w:highlight w:val="none"/>
              </w:rPr>
              <w:t xml:space="preserve">确定出中标人后，采购代理机构在法定时间内向中标人发出中标通知书。中标通知书将成为合同的组成部分。</w:t>
            </w:r>
            <w:r/>
          </w:p>
          <w:p>
            <w:pPr>
              <w:pStyle w:val="1075"/>
              <w:ind w:left="0" w:firstLine="0"/>
              <w:spacing w:line="440" w:lineRule="exact"/>
              <w:rPr>
                <w:rFonts w:ascii="宋体" w:hAnsi="宋体" w:cs="宋体"/>
                <w:sz w:val="21"/>
                <w:szCs w:val="21"/>
                <w:highlight w:val="none"/>
              </w:rPr>
            </w:pPr>
            <w:r>
              <w:rPr>
                <w:rFonts w:hint="eastAsia" w:ascii="宋体" w:hAnsi="宋体" w:cs="宋体"/>
                <w:b/>
                <w:sz w:val="21"/>
                <w:szCs w:val="21"/>
                <w:highlight w:val="none"/>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出现下列情形之一的，为废标：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highlight w:val="none"/>
              </w:rPr>
            </w:pPr>
            <w:r>
              <w:rPr>
                <w:rFonts w:ascii="宋体" w:hAnsi="宋体" w:cs="Times New Roman"/>
                <w:sz w:val="21"/>
                <w:szCs w:val="21"/>
                <w:highlight w:val="none"/>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highlight w:val="none"/>
              </w:rPr>
            </w:pPr>
            <w:r>
              <w:rPr>
                <w:rFonts w:hint="eastAsia" w:ascii="宋体" w:hAnsi="宋体" w:cs="Times New Roman"/>
                <w:sz w:val="21"/>
                <w:szCs w:val="21"/>
                <w:highlight w:val="none"/>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cs="Times New Roman"/>
                <w:sz w:val="21"/>
                <w:szCs w:val="21"/>
                <w:highlight w:val="none"/>
              </w:rPr>
              <w:t xml:space="preserve">（四）投标文件含有采购人不能接受的附加条件的；</w:t>
            </w:r>
            <w:r/>
          </w:p>
          <w:p>
            <w:pPr>
              <w:ind w:left="0"/>
              <w:jc w:val="left"/>
              <w:spacing w:line="440" w:lineRule="exact"/>
              <w:tabs>
                <w:tab w:val="left" w:pos="420" w:leader="none"/>
              </w:tabs>
              <w:rPr>
                <w:rFonts w:ascii="宋体" w:hAnsi="宋体"/>
                <w:b/>
                <w:sz w:val="21"/>
                <w:szCs w:val="21"/>
                <w:highlight w:val="none"/>
              </w:rPr>
            </w:pPr>
            <w:r>
              <w:rPr>
                <w:rFonts w:hint="eastAsia" w:ascii="宋体" w:hAnsi="宋体"/>
                <w:b/>
                <w:sz w:val="21"/>
                <w:szCs w:val="21"/>
                <w:highlight w:val="none"/>
              </w:rPr>
              <w:t xml:space="preserve">（五）机器码检查中，出现不同投标人投标文件机器码一致情形的；</w:t>
            </w:r>
            <w:r/>
          </w:p>
          <w:p>
            <w:pPr>
              <w:ind w:left="0"/>
              <w:jc w:val="left"/>
              <w:spacing w:line="440" w:lineRule="exact"/>
              <w:tabs>
                <w:tab w:val="left" w:pos="420" w:leader="none"/>
              </w:tabs>
              <w:rPr>
                <w:rFonts w:ascii="宋体" w:hAnsi="宋体" w:cs="Times New Roman"/>
                <w:sz w:val="21"/>
                <w:szCs w:val="21"/>
                <w:highlight w:val="none"/>
              </w:rPr>
            </w:pPr>
            <w:r>
              <w:rPr>
                <w:rFonts w:hint="eastAsia" w:ascii="宋体" w:hAnsi="宋体"/>
                <w:sz w:val="21"/>
                <w:szCs w:val="21"/>
                <w:highlight w:val="none"/>
              </w:rPr>
              <w:t xml:space="preserve">（六）法</w:t>
            </w:r>
            <w:r>
              <w:rPr>
                <w:rFonts w:hint="eastAsia" w:ascii="宋体" w:hAnsi="宋体"/>
                <w:color w:val="000000" w:themeColor="text1"/>
                <w:sz w:val="21"/>
                <w:szCs w:val="21"/>
                <w:highlight w:val="none"/>
                <w14:textFill>
                  <w14:solidFill>
                    <w14:schemeClr w14:val="tx1"/>
                  </w14:solidFill>
                </w14:textFill>
              </w:rPr>
              <w:t xml:space="preserve">律、法规和招标文件规定的其他无效情形。</w:t>
            </w:r>
            <w:r/>
          </w:p>
        </w:tc>
      </w:tr>
    </w:tbl>
    <w:p>
      <w:pPr>
        <w:ind w:left="0"/>
        <w:jc w:val="center"/>
        <w:rPr>
          <w:rFonts w:ascii="宋体" w:hAnsi="宋体"/>
          <w:b/>
          <w:sz w:val="44"/>
          <w:szCs w:val="22"/>
          <w:highlight w:val="none"/>
        </w:rPr>
      </w:pPr>
      <w:r/>
      <w:bookmarkStart w:id="3" w:name="_Toc7166"/>
      <w:r/>
      <w:bookmarkStart w:id="4" w:name="_Toc28592"/>
      <w:r/>
      <w:r/>
    </w:p>
    <w:p>
      <w:pPr>
        <w:ind w:left="0"/>
        <w:jc w:val="center"/>
        <w:rPr>
          <w:rFonts w:ascii="宋体" w:hAnsi="宋体"/>
          <w:b/>
          <w:sz w:val="44"/>
          <w:szCs w:val="22"/>
          <w:highlight w:val="none"/>
        </w:rPr>
      </w:pPr>
      <w:r>
        <w:rPr>
          <w:rFonts w:ascii="宋体" w:hAnsi="宋体"/>
          <w:b/>
          <w:sz w:val="44"/>
          <w:szCs w:val="22"/>
          <w:highlight w:val="none"/>
        </w:rPr>
      </w:r>
      <w:r/>
    </w:p>
    <w:p>
      <w:pPr>
        <w:pStyle w:val="867"/>
        <w:rPr>
          <w:rFonts w:ascii="宋体" w:hAnsi="宋体"/>
          <w:highlight w:val="none"/>
        </w:rPr>
      </w:pPr>
      <w:r>
        <w:rPr>
          <w:rFonts w:ascii="宋体" w:hAnsi="宋体"/>
          <w:highlight w:val="none"/>
        </w:rPr>
      </w:r>
      <w:r/>
    </w:p>
    <w:p>
      <w:pPr>
        <w:ind w:left="0"/>
        <w:jc w:val="center"/>
        <w:rPr>
          <w:rFonts w:ascii="宋体" w:hAnsi="宋体"/>
          <w:b/>
          <w:sz w:val="44"/>
          <w:szCs w:val="22"/>
          <w:highlight w:val="none"/>
        </w:rPr>
      </w:pPr>
      <w:r>
        <w:rPr>
          <w:rFonts w:ascii="宋体" w:hAnsi="宋体"/>
          <w:b/>
          <w:sz w:val="44"/>
          <w:szCs w:val="22"/>
          <w:highlight w:val="none"/>
        </w:rPr>
      </w:r>
      <w:r/>
    </w:p>
    <w:p>
      <w:pPr>
        <w:pStyle w:val="867"/>
        <w:rPr>
          <w:rFonts w:ascii="宋体" w:hAnsi="宋体"/>
          <w:highlight w:val="none"/>
        </w:rPr>
      </w:pPr>
      <w:r>
        <w:rPr>
          <w:rFonts w:ascii="宋体" w:hAnsi="宋体"/>
          <w:highlight w:val="none"/>
        </w:rPr>
      </w:r>
      <w:r/>
    </w:p>
    <w:p>
      <w:pPr>
        <w:pStyle w:val="859"/>
        <w:rPr>
          <w:rFonts w:ascii="宋体" w:hAnsi="宋体" w:cs="Times New Roman"/>
          <w:highlight w:val="none"/>
        </w:rPr>
      </w:pPr>
      <w:r>
        <w:rPr>
          <w:rFonts w:ascii="宋体" w:hAnsi="宋体" w:cs="Times New Roman"/>
          <w:highlight w:val="none"/>
        </w:rPr>
      </w:r>
      <w:r/>
    </w:p>
    <w:p>
      <w:pPr>
        <w:ind w:left="0"/>
        <w:rPr>
          <w:rFonts w:ascii="宋体" w:hAnsi="宋体"/>
          <w:b/>
          <w:sz w:val="44"/>
          <w:szCs w:val="22"/>
          <w:highlight w:val="none"/>
        </w:rPr>
      </w:pPr>
      <w:r>
        <w:rPr>
          <w:rFonts w:ascii="宋体" w:hAnsi="宋体"/>
          <w:b/>
          <w:sz w:val="44"/>
          <w:szCs w:val="22"/>
          <w:highlight w:val="none"/>
        </w:rPr>
      </w:r>
      <w:r/>
    </w:p>
    <w:p>
      <w:pPr>
        <w:pStyle w:val="842"/>
        <w:ind w:left="431" w:firstLine="17"/>
        <w:jc w:val="center"/>
        <w:spacing w:before="0" w:after="0" w:line="360" w:lineRule="auto"/>
        <w:rPr>
          <w:rStyle w:val="971"/>
          <w:rFonts w:ascii="宋体" w:hAnsi="宋体"/>
          <w:highlight w:val="none"/>
        </w:rPr>
      </w:pPr>
      <w:r>
        <w:rPr>
          <w:rFonts w:hint="eastAsia" w:ascii="宋体" w:hAnsi="宋体"/>
          <w:b/>
          <w:sz w:val="44"/>
          <w:szCs w:val="22"/>
          <w:highlight w:val="none"/>
        </w:rPr>
        <w:br w:type="page" w:clear="all"/>
      </w:r>
      <w:bookmarkStart w:id="5" w:name="_Toc17940"/>
      <w:r>
        <w:rPr>
          <w:rFonts w:hint="eastAsia" w:ascii="宋体" w:hAnsi="宋体"/>
          <w:b/>
          <w:sz w:val="44"/>
          <w:szCs w:val="22"/>
          <w:highlight w:val="none"/>
        </w:rPr>
        <w:t xml:space="preserve">第一章  投标邀请函</w:t>
      </w:r>
      <w:bookmarkEnd w:id="3"/>
      <w:r/>
      <w:bookmarkEnd w:id="4"/>
      <w:r/>
      <w:bookmarkEnd w:id="5"/>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项目概况：</w:t>
      </w:r>
      <w:r>
        <w:rPr>
          <w:rFonts w:hint="eastAsia" w:ascii="宋体" w:hAnsi="宋体"/>
          <w:b/>
          <w:sz w:val="21"/>
          <w:szCs w:val="21"/>
          <w:highlight w:val="none"/>
          <w:u w:val="single"/>
        </w:rPr>
        <w:t xml:space="preserve"> 姑苏区及城市快速路道路交通设施维护服务</w:t>
      </w:r>
      <w:r>
        <w:rPr>
          <w:rFonts w:ascii="宋体" w:hAnsi="宋体"/>
          <w:b/>
          <w:sz w:val="21"/>
          <w:szCs w:val="21"/>
          <w:highlight w:val="none"/>
          <w:u w:val="single"/>
        </w:rPr>
        <w:t xml:space="preserve"> </w:t>
      </w:r>
      <w:r>
        <w:rPr>
          <w:rFonts w:hint="eastAsia" w:ascii="宋体" w:hAnsi="宋体"/>
          <w:b/>
          <w:sz w:val="21"/>
          <w:szCs w:val="21"/>
          <w:highlight w:val="none"/>
        </w:rPr>
        <w:t xml:space="preserve">招标项目的潜在投标人应在</w:t>
      </w:r>
      <w:r>
        <w:rPr>
          <w:rFonts w:hint="eastAsia" w:ascii="宋体" w:hAnsi="宋体"/>
          <w:b/>
          <w:sz w:val="21"/>
          <w:szCs w:val="21"/>
          <w:highlight w:val="none"/>
          <w:u w:val="single"/>
        </w:rPr>
        <w:t xml:space="preserve"> “苏采云”系统（网址：http：//jszfcg.jsczt.cn/） </w:t>
      </w:r>
      <w:r>
        <w:rPr>
          <w:rFonts w:hint="eastAsia" w:ascii="宋体" w:hAnsi="宋体"/>
          <w:b/>
          <w:sz w:val="21"/>
          <w:szCs w:val="21"/>
          <w:highlight w:val="none"/>
        </w:rPr>
        <w:t xml:space="preserve">获取招标文件，并于</w:t>
      </w:r>
      <w:r>
        <w:rPr>
          <w:rFonts w:hint="eastAsia" w:ascii="宋体" w:hAnsi="宋体"/>
          <w:b/>
          <w:sz w:val="21"/>
          <w:szCs w:val="21"/>
          <w:highlight w:val="none"/>
          <w:u w:val="single"/>
        </w:rPr>
        <w:t xml:space="preserve">202</w:t>
      </w:r>
      <w:r>
        <w:rPr>
          <w:rFonts w:ascii="宋体" w:hAnsi="宋体"/>
          <w:b/>
          <w:sz w:val="21"/>
          <w:szCs w:val="21"/>
          <w:highlight w:val="none"/>
          <w:u w:val="single"/>
        </w:rPr>
        <w:t xml:space="preserve">6</w:t>
      </w:r>
      <w:r>
        <w:rPr>
          <w:rFonts w:hint="eastAsia" w:ascii="宋体" w:hAnsi="宋体"/>
          <w:b/>
          <w:sz w:val="21"/>
          <w:szCs w:val="21"/>
          <w:highlight w:val="none"/>
          <w:u w:val="single"/>
        </w:rPr>
        <w:t xml:space="preserve">年</w:t>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b/>
          <w:sz w:val="21"/>
          <w:szCs w:val="21"/>
          <w:highlight w:val="none"/>
          <w:u w:val="single"/>
        </w:rPr>
      </w:r>
      <w:r>
        <w:rPr>
          <w:rFonts w:hint="eastAsia" w:ascii="宋体" w:hAnsi="宋体"/>
          <w:b/>
          <w:sz w:val="21"/>
          <w:szCs w:val="21"/>
          <w:highlight w:val="none"/>
          <w:u w:val="single"/>
        </w:rPr>
        <w:t xml:space="preserve">（北京时间）</w:t>
      </w:r>
      <w:r>
        <w:rPr>
          <w:rFonts w:hint="eastAsia" w:ascii="宋体" w:hAnsi="宋体"/>
          <w:b/>
          <w:sz w:val="21"/>
          <w:szCs w:val="21"/>
          <w:highlight w:val="none"/>
        </w:rPr>
        <w:t xml:space="preserve">前递交投标文件。</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一、项目基本情况 </w:t>
      </w:r>
      <w:r/>
    </w:p>
    <w:p>
      <w:pPr>
        <w:pStyle w:val="859"/>
        <w:ind w:left="0" w:firstLine="420"/>
        <w:spacing w:line="360" w:lineRule="auto"/>
        <w:rPr>
          <w:rFonts w:hint="default" w:ascii="宋体" w:hAnsi="宋体" w:eastAsia="宋体"/>
          <w:sz w:val="21"/>
          <w:szCs w:val="21"/>
          <w:highlight w:val="none"/>
          <w:lang w:val="en-US" w:eastAsia="zh-CN"/>
        </w:rPr>
      </w:pPr>
      <w:r>
        <w:rPr>
          <w:rFonts w:hint="eastAsia" w:ascii="宋体" w:hAnsi="宋体"/>
          <w:sz w:val="21"/>
          <w:szCs w:val="21"/>
          <w:highlight w:val="none"/>
        </w:rPr>
        <w:t xml:space="preserve">1.项目编号：JSZC-320500-JZCG-G2026-00</w:t>
      </w:r>
      <w:r>
        <w:rPr>
          <w:rFonts w:hint="eastAsia" w:ascii="宋体" w:hAnsi="宋体"/>
          <w:sz w:val="21"/>
          <w:szCs w:val="21"/>
          <w:highlight w:val="none"/>
          <w:lang w:val="en-US" w:eastAsia="zh-CN"/>
        </w:rPr>
        <w:t xml:space="preserve">91</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2.项目名称：姑苏区及城市快速路道路交通设施维护服务</w:t>
      </w:r>
      <w:r>
        <w:rPr>
          <w:rFonts w:ascii="宋体" w:hAnsi="宋体"/>
          <w:sz w:val="21"/>
          <w:szCs w:val="21"/>
          <w:highlight w:val="none"/>
        </w:rPr>
        <w:t xml:space="preserve">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3.采购方式：公开招标</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4.预算金额：人民币壹仟柒佰叁拾柒万捌仟柒佰叁拾贰元柒角（¥17378732.7元）</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5.最高限价：人民币壹仟柒佰叁拾柒万捌仟柒佰叁拾贰元柒角（¥17378732.7元）</w:t>
      </w:r>
      <w:r>
        <w:rPr>
          <w:rFonts w:ascii="宋体" w:hAnsi="宋体"/>
          <w:sz w:val="21"/>
          <w:szCs w:val="21"/>
          <w:highlight w:val="none"/>
        </w:rPr>
        <w:t xml:space="preserve">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6.合同履行期限：合同签订后24个月内，具体时间详见合同</w:t>
      </w:r>
      <w:r>
        <w:rPr>
          <w:rFonts w:ascii="宋体" w:hAnsi="宋体"/>
          <w:sz w:val="21"/>
          <w:szCs w:val="21"/>
          <w:highlight w:val="none"/>
        </w:rPr>
        <w:t xml:space="preserve">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7.采购需求：城市快速道路交通安全设施的日常维护、故障维修及紧急抢修等服务，保障交通安全设施完整、有效。</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二、供应商的资格要求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1.满足《中华人民共和国政府采购法》第二十二条规定，投标人应当具备下列条件：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（1）具有独立承担民事责任的能力；</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（2）具有良好的商业信誉和健全的财务会计制度；</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（3）具有履行合同所必需的设备和专业技术能力；</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（4）有依法缴纳税收和社会保障资金的良好记录；</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（6）法律、行政法规规定的其他条件。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2.落实政府采购政策需满足的资格要求：</w:t>
      </w:r>
      <w:r>
        <w:rPr>
          <w:rFonts w:hint="eastAsia" w:ascii="宋体" w:hAnsi="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3.本项目的特定资格要求：无</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4.联合体及转包、分包：本项目不接受联合体，不得转包、分包本项目。</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三、获取招标文件 </w:t>
      </w:r>
      <w:r/>
    </w:p>
    <w:p>
      <w:pPr>
        <w:pStyle w:val="85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1.时间：自公告发布之日起5个工作日</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2.地点：“苏采云”系统自行下载采购文件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3.方式：</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（1）CA证书办理</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highlight w:val="none"/>
        </w:rPr>
        <w:t xml:space="preserve">—</w:t>
      </w:r>
      <w:r>
        <w:rPr>
          <w:rFonts w:hint="eastAsia" w:ascii="宋体" w:hAnsi="宋体"/>
          <w:sz w:val="21"/>
          <w:szCs w:val="21"/>
          <w:highlight w:val="none"/>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highlight w:val="none"/>
        </w:rPr>
        <w:t xml:space="preserve">苏州现场办理地址：苏州高新区邓尉路105号狮山科技馆1楼服务大厅，咨询电话：0512-65737699。</w:t>
      </w:r>
      <w:r/>
    </w:p>
    <w:p>
      <w:pPr>
        <w:pStyle w:val="85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（2）参与采购活动</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（3）电子投标准备</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highlight w:val="none"/>
        </w:rPr>
        <w:t xml:space="preserve">（具体详见《苏采云系统供应商操作手册》，网址链接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sz w:val="21"/>
          <w:szCs w:val="21"/>
          <w:highlight w:val="none"/>
        </w:rPr>
        <w:t xml:space="preserve">）</w:t>
      </w:r>
      <w:r>
        <w:rPr>
          <w:rFonts w:hint="eastAsia" w:ascii="宋体" w:hAnsi="宋体"/>
          <w:sz w:val="21"/>
          <w:szCs w:val="21"/>
          <w:highlight w:val="none"/>
        </w:rPr>
        <w:t xml:space="preserve">。</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在系统操作过程中如有疑问，请按以下方式联系：</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注册咨询：</w:t>
      </w:r>
      <w:r>
        <w:rPr>
          <w:rFonts w:ascii="宋体" w:hAnsi="宋体"/>
          <w:sz w:val="21"/>
          <w:szCs w:val="21"/>
          <w:highlight w:val="none"/>
        </w:rPr>
        <w:t xml:space="preserve">13914088964</w:t>
      </w:r>
      <w:r>
        <w:rPr>
          <w:rFonts w:hint="eastAsia" w:ascii="宋体" w:hAnsi="宋体"/>
          <w:sz w:val="21"/>
          <w:szCs w:val="21"/>
          <w:highlight w:val="none"/>
        </w:rPr>
        <w:t xml:space="preserve">；</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CA技术咨询电话：</w:t>
      </w:r>
      <w:r>
        <w:rPr>
          <w:rFonts w:ascii="宋体" w:hAnsi="宋体"/>
          <w:sz w:val="21"/>
          <w:szCs w:val="21"/>
          <w:highlight w:val="none"/>
        </w:rPr>
        <w:t xml:space="preserve">400-608-6099</w:t>
      </w:r>
      <w:r>
        <w:rPr>
          <w:rFonts w:hint="eastAsia" w:ascii="宋体" w:hAnsi="宋体"/>
          <w:sz w:val="21"/>
          <w:szCs w:val="21"/>
          <w:highlight w:val="none"/>
        </w:rPr>
        <w:t xml:space="preserve">；</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签章使用问题：025-83633811、025-83633812、15380932027、15371015030；</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系统使用指导与咨询：联系电话：</w:t>
      </w:r>
      <w:bookmarkStart w:id="6" w:name="OLE_LINK40"/>
      <w:r/>
      <w:bookmarkStart w:id="7" w:name="OLE_LINK39"/>
      <w:r>
        <w:rPr>
          <w:rFonts w:ascii="宋体" w:hAnsi="宋体"/>
          <w:sz w:val="21"/>
          <w:szCs w:val="21"/>
          <w:highlight w:val="none"/>
        </w:rPr>
        <w:t xml:space="preserve">13914088964</w:t>
      </w:r>
      <w:bookmarkEnd w:id="6"/>
      <w:r/>
      <w:bookmarkEnd w:id="7"/>
      <w:r>
        <w:rPr>
          <w:rFonts w:hint="eastAsia" w:ascii="宋体" w:hAnsi="宋体"/>
          <w:sz w:val="21"/>
          <w:szCs w:val="21"/>
          <w:highlight w:val="none"/>
        </w:rPr>
        <w:t xml:space="preserve">；智能客服：登录苏采云系统后，联系系统右下方智能客服图标进行咨询。</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4.售价：免费</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四、提交投标文件截止时间、开标时间和地点</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1.提交投标文件截止时间：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w:t>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rPr>
          <w:rFonts w:ascii="宋体" w:hAnsi="宋体"/>
          <w:sz w:val="21"/>
          <w:szCs w:val="21"/>
          <w:highlight w:val="none"/>
        </w:rPr>
        <w:t xml:space="preserve">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2.开标时间：</w:t>
      </w:r>
      <w:r>
        <w:rPr>
          <w:rFonts w:hint="eastAsia" w:ascii="宋体" w:hAnsi="宋体"/>
          <w:sz w:val="21"/>
          <w:szCs w:val="21"/>
          <w:highlight w:val="none"/>
          <w:u w:val="single"/>
        </w:rPr>
        <w:t xml:space="preserve">202</w:t>
      </w:r>
      <w:r>
        <w:rPr>
          <w:rFonts w:ascii="宋体" w:hAnsi="宋体"/>
          <w:sz w:val="21"/>
          <w:szCs w:val="21"/>
          <w:highlight w:val="none"/>
          <w:u w:val="single"/>
        </w:rPr>
        <w:t xml:space="preserve">6</w:t>
      </w:r>
      <w:r>
        <w:rPr>
          <w:rFonts w:hint="eastAsia" w:ascii="宋体" w:hAnsi="宋体"/>
          <w:sz w:val="21"/>
          <w:szCs w:val="21"/>
          <w:highlight w:val="none"/>
          <w:u w:val="single"/>
        </w:rPr>
        <w:t xml:space="preserve">年</w:t>
      </w:r>
      <w:r>
        <w:rPr>
          <w:rFonts w:hint="eastAsia" w:ascii="宋体" w:hAnsi="宋体" w:cs="Times New Roman"/>
          <w:sz w:val="21"/>
          <w:szCs w:val="21"/>
          <w:highlight w:val="none"/>
          <w:u w:val="single"/>
        </w:rPr>
        <w:t xml:space="preserve">4月</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日9</w:t>
      </w:r>
      <w:r>
        <w:rPr>
          <w:rFonts w:hint="eastAsia" w:ascii="宋体" w:hAnsi="宋体" w:cs="Times New Roman"/>
          <w:sz w:val="21"/>
          <w:szCs w:val="21"/>
          <w:highlight w:val="none"/>
          <w:u w:val="single"/>
        </w:rPr>
        <w:t xml:space="preserve">点</w:t>
      </w:r>
      <w:r>
        <w:rPr>
          <w:rFonts w:ascii="宋体" w:hAnsi="宋体" w:cs="Times New Roman"/>
          <w:sz w:val="21"/>
          <w:szCs w:val="21"/>
          <w:highlight w:val="none"/>
          <w:u w:val="single"/>
        </w:rPr>
        <w:t xml:space="preserve">30</w:t>
      </w:r>
      <w:r>
        <w:rPr>
          <w:rFonts w:hint="eastAsia" w:ascii="宋体" w:hAnsi="宋体" w:cs="Times New Roman"/>
          <w:sz w:val="21"/>
          <w:szCs w:val="21"/>
          <w:highlight w:val="none"/>
          <w:u w:val="single"/>
        </w:rPr>
        <w:t xml:space="preserve">分</w:t>
      </w:r>
      <w:r/>
      <w:r>
        <w:rPr>
          <w:rFonts w:hint="eastAsia" w:ascii="宋体" w:hAnsi="宋体"/>
          <w:sz w:val="21"/>
          <w:szCs w:val="21"/>
          <w:highlight w:val="none"/>
          <w:u w:val="single"/>
        </w:rPr>
      </w:r>
      <w:r>
        <w:rPr>
          <w:rFonts w:hint="eastAsia" w:ascii="宋体" w:hAnsi="宋体"/>
          <w:sz w:val="21"/>
          <w:szCs w:val="21"/>
          <w:highlight w:val="none"/>
        </w:rPr>
        <w:t xml:space="preserve">（北京时间）；</w:t>
      </w:r>
      <w:r/>
    </w:p>
    <w:p>
      <w:pPr>
        <w:pStyle w:val="859"/>
        <w:ind w:left="0" w:firstLine="420"/>
        <w:spacing w:line="360" w:lineRule="auto"/>
        <w:rPr>
          <w:rFonts w:ascii="宋体" w:hAnsi="宋体"/>
          <w:sz w:val="21"/>
          <w:szCs w:val="21"/>
          <w:highlight w:val="none"/>
        </w:rPr>
      </w:pPr>
      <w:r>
        <w:rPr>
          <w:rFonts w:ascii="宋体" w:hAnsi="宋体"/>
          <w:sz w:val="21"/>
          <w:szCs w:val="21"/>
          <w:highlight w:val="none"/>
        </w:rPr>
        <w:t xml:space="preserve">3.</w:t>
      </w:r>
      <w:r>
        <w:rPr>
          <w:rFonts w:hint="eastAsia" w:ascii="宋体" w:hAnsi="宋体"/>
          <w:sz w:val="21"/>
          <w:szCs w:val="21"/>
          <w:highlight w:val="none"/>
        </w:rPr>
        <w:t xml:space="preserve">开标地点：“苏采云”系统（网址：</w:t>
      </w:r>
      <w:r>
        <w:rPr>
          <w:rFonts w:ascii="宋体" w:hAnsi="宋体"/>
          <w:sz w:val="21"/>
          <w:szCs w:val="21"/>
          <w:highlight w:val="none"/>
        </w:rPr>
        <w:t xml:space="preserve">http</w:t>
      </w:r>
      <w:r>
        <w:rPr>
          <w:rFonts w:hint="eastAsia" w:ascii="宋体" w:hAnsi="宋体"/>
          <w:sz w:val="21"/>
          <w:szCs w:val="21"/>
          <w:highlight w:val="none"/>
        </w:rPr>
        <w:t xml:space="preserve">：</w:t>
      </w:r>
      <w:r>
        <w:rPr>
          <w:rFonts w:ascii="宋体" w:hAnsi="宋体"/>
          <w:sz w:val="21"/>
          <w:szCs w:val="21"/>
          <w:highlight w:val="none"/>
        </w:rPr>
        <w:t xml:space="preserve">//jszfcg.jsczt.cn/</w:t>
      </w:r>
      <w:r>
        <w:rPr>
          <w:rFonts w:hint="eastAsia" w:ascii="宋体" w:hAnsi="宋体"/>
          <w:sz w:val="21"/>
          <w:szCs w:val="21"/>
          <w:highlight w:val="none"/>
        </w:rPr>
        <w:t xml:space="preserve">）</w:t>
      </w:r>
      <w:r/>
    </w:p>
    <w:p>
      <w:pPr>
        <w:pStyle w:val="859"/>
        <w:ind w:left="0" w:firstLine="420"/>
        <w:spacing w:line="360" w:lineRule="auto"/>
        <w:rPr>
          <w:rFonts w:ascii="宋体" w:hAnsi="宋体"/>
          <w:sz w:val="21"/>
          <w:szCs w:val="21"/>
          <w:highlight w:val="none"/>
        </w:rPr>
      </w:pPr>
      <w:r>
        <w:rPr>
          <w:rFonts w:ascii="宋体" w:hAnsi="宋体"/>
          <w:sz w:val="21"/>
          <w:szCs w:val="21"/>
          <w:highlight w:val="none"/>
        </w:rPr>
        <w:t xml:space="preserve">4.</w:t>
      </w:r>
      <w:r>
        <w:rPr>
          <w:rFonts w:hint="eastAsia" w:ascii="宋体" w:hAnsi="宋体"/>
          <w:sz w:val="21"/>
          <w:szCs w:val="21"/>
          <w:highlight w:val="none"/>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highlight w:val="none"/>
        </w:rPr>
        <w:t xml:space="preserve">供应商应充分考虑到网络环境、网络带宽等风险因素，如因供应商自身原因造成的电子投标文件上传不成功由供应商自行承担全部责任。</w:t>
      </w:r>
      <w:r/>
    </w:p>
    <w:p>
      <w:pPr>
        <w:pStyle w:val="85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highlight w:val="none"/>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请供应商确保电脑、系统及其他设备（视频输入输出设备等）无误，且开标直至项目结束始终保持系统在线状态。</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五、公告期限</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自本公告发布之日起 </w:t>
      </w:r>
      <w:r>
        <w:rPr>
          <w:rFonts w:ascii="宋体" w:hAnsi="宋体"/>
          <w:sz w:val="21"/>
          <w:szCs w:val="21"/>
          <w:highlight w:val="none"/>
        </w:rPr>
        <w:t xml:space="preserve">5</w:t>
      </w:r>
      <w:r>
        <w:rPr>
          <w:rFonts w:hint="eastAsia" w:ascii="宋体" w:hAnsi="宋体"/>
          <w:sz w:val="21"/>
          <w:szCs w:val="21"/>
          <w:highlight w:val="none"/>
        </w:rPr>
        <w:t xml:space="preserve"> 个工作日</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六、其他补充事宜</w:t>
      </w:r>
      <w:r/>
    </w:p>
    <w:p>
      <w:pPr>
        <w:ind w:left="0" w:firstLine="420"/>
        <w:spacing w:line="360" w:lineRule="auto"/>
        <w:tabs>
          <w:tab w:val="left" w:pos="567" w:leader="none"/>
        </w:tabs>
        <w:rPr>
          <w:rFonts w:ascii="Times New Roman" w:hAnsi="Times New Roman"/>
          <w:color w:val="000000"/>
          <w:sz w:val="21"/>
          <w:szCs w:val="21"/>
          <w:highlight w:val="none"/>
        </w:rPr>
      </w:pPr>
      <w:r>
        <w:rPr>
          <w:rFonts w:hint="eastAsia" w:ascii="Times New Roman" w:hAnsi="Times New Roman"/>
          <w:color w:val="000000"/>
          <w:sz w:val="21"/>
          <w:szCs w:val="21"/>
          <w:highlight w:val="none"/>
        </w:rPr>
        <w:t xml:space="preserve">根据苏州市财政局《关于深入开展苏州市政府采购合同信用融资业务的通知》相关要求，本项目支持政府采购合同信用融资。</w:t>
      </w:r>
      <w:r/>
    </w:p>
    <w:tbl>
      <w:tblPr>
        <w:tblStyle w:val="852"/>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900"/>
              <w:ind w:left="0" w:firstLine="0"/>
              <w:jc w:val="center"/>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sz w:val="21"/>
                <w:szCs w:val="21"/>
                <w:highlight w:val="none"/>
              </w:rPr>
              <w:t xml:space="preserve">政府采购合同信用融资政策告知函</w:t>
            </w:r>
            <w:r/>
          </w:p>
          <w:p>
            <w:pPr>
              <w:pStyle w:val="900"/>
              <w:ind w:left="0" w:firstLine="0"/>
              <w:spacing w:line="240" w:lineRule="auto"/>
              <w:rPr>
                <w:rFonts w:asciiTheme="minorEastAsia" w:hAnsiTheme="minorEastAsia" w:eastAsiaTheme="minorEastAsia"/>
                <w:b/>
                <w:color w:val="000000"/>
                <w:sz w:val="21"/>
                <w:szCs w:val="21"/>
                <w:highlight w:val="none"/>
              </w:rPr>
            </w:pPr>
            <w:r>
              <w:rPr>
                <w:rFonts w:hint="eastAsia" w:asciiTheme="minorEastAsia" w:hAnsiTheme="minorEastAsia" w:eastAsiaTheme="minorEastAsia"/>
                <w:b/>
                <w:color w:val="000000"/>
                <w:sz w:val="21"/>
                <w:szCs w:val="21"/>
                <w:highlight w:val="none"/>
              </w:rPr>
              <w:t xml:space="preserve">各政府采购供应商：</w:t>
            </w:r>
            <w:r/>
          </w:p>
          <w:p>
            <w:pPr>
              <w:pStyle w:val="900"/>
              <w:ind w:left="0"/>
              <w:rPr>
                <w:rFonts w:cs="宋体" w:asciiTheme="minorEastAsia" w:hAnsiTheme="minorEastAsia" w:eastAsiaTheme="minorEastAsia"/>
                <w:color w:val="000000"/>
                <w:sz w:val="21"/>
                <w:szCs w:val="21"/>
                <w:highlight w:val="none"/>
              </w:rPr>
            </w:pPr>
            <w:r>
              <w:rPr>
                <w:rFonts w:hint="eastAsia" w:cs="宋体" w:asciiTheme="minorEastAsia" w:hAnsiTheme="minorEastAsia" w:eastAsiaTheme="minorEastAsia"/>
                <w:color w:val="000000"/>
                <w:sz w:val="21"/>
                <w:szCs w:val="21"/>
                <w:highlight w:val="none"/>
              </w:rPr>
              <w:t xml:space="preserve">欢迎贵公司参加苏州市政府采购活动！</w:t>
            </w:r>
            <w:r/>
          </w:p>
          <w:p>
            <w:pPr>
              <w:pStyle w:val="900"/>
              <w:ind w:left="0"/>
              <w:spacing w:line="240" w:lineRule="auto"/>
              <w:widowControl w:val="off"/>
              <w:rPr>
                <w:color w:val="000000"/>
                <w:szCs w:val="21"/>
                <w:highlight w:val="none"/>
              </w:rPr>
            </w:pPr>
            <w:r>
              <w:rPr>
                <w:rFonts w:hint="eastAsia" w:cs="宋体" w:asciiTheme="minorEastAsia" w:hAnsiTheme="minorEastAsia" w:eastAsiaTheme="minorEastAsia"/>
                <w:color w:val="000000"/>
                <w:sz w:val="21"/>
                <w:szCs w:val="21"/>
                <w:highlight w:val="none"/>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highlight w:val="none"/>
              </w:rPr>
              <w:t xml:space="preserve">苏财购〔2021〕82号</w:t>
            </w:r>
            <w:r>
              <w:rPr>
                <w:rFonts w:hint="eastAsia" w:cs="宋体" w:asciiTheme="minorEastAsia" w:hAnsiTheme="minorEastAsia" w:eastAsiaTheme="minorEastAsia"/>
                <w:color w:val="000000"/>
                <w:sz w:val="21"/>
                <w:szCs w:val="21"/>
                <w:highlight w:val="none"/>
              </w:rPr>
              <w:t xml:space="preserve">)及苏州市财政局、人民银行苏州市分行相关文件要求，按照双方自愿的原则提供便捷、优惠的贷款服务。</w:t>
            </w:r>
            <w:r/>
          </w:p>
        </w:tc>
      </w:tr>
    </w:tbl>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七、对本次招标提出询问，请按以下方式联系</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1.采购人信息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名称：苏州市公安局  </w:t>
      </w:r>
      <w:r>
        <w:rPr>
          <w:rFonts w:ascii="宋体" w:hAnsi="宋体"/>
          <w:sz w:val="21"/>
          <w:szCs w:val="21"/>
          <w:highlight w:val="none"/>
        </w:rPr>
        <w:t xml:space="preserve">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地址：江苏省苏州市人民路3998号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联系人：支钟毓</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联系方式：0512-65111701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2.采购代理机构信息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名称：苏州市政府集中采购中心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地址：苏州高新区邓尉路105号狮山科技馆</w:t>
      </w:r>
      <w:r>
        <w:rPr>
          <w:rFonts w:ascii="宋体" w:hAnsi="宋体"/>
          <w:sz w:val="21"/>
          <w:szCs w:val="21"/>
          <w:highlight w:val="none"/>
        </w:rPr>
        <w:t xml:space="preserve">7</w:t>
      </w:r>
      <w:r>
        <w:rPr>
          <w:rFonts w:hint="eastAsia" w:ascii="宋体" w:hAnsi="宋体"/>
          <w:sz w:val="21"/>
          <w:szCs w:val="21"/>
          <w:highlight w:val="none"/>
        </w:rPr>
        <w:t xml:space="preserve">楼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联系方式：0512-69820691 </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3.项目联系方式</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项目联系人：朱工、丁工</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电话：0512-69820691 </w:t>
      </w:r>
      <w:bookmarkStart w:id="8" w:name="_Toc2412"/>
      <w:r/>
      <w:bookmarkStart w:id="9" w:name="_Toc6217"/>
      <w:r/>
      <w:r/>
    </w:p>
    <w:p>
      <w:pPr>
        <w:ind w:left="0"/>
        <w:jc w:val="left"/>
        <w:rPr>
          <w:rFonts w:ascii="宋体" w:hAnsi="宋体"/>
          <w:b/>
          <w:sz w:val="44"/>
          <w:szCs w:val="22"/>
          <w:highlight w:val="none"/>
        </w:rPr>
      </w:pPr>
      <w:r>
        <w:rPr>
          <w:rFonts w:ascii="宋体" w:hAnsi="宋体"/>
          <w:b/>
          <w:sz w:val="44"/>
          <w:szCs w:val="22"/>
          <w:highlight w:val="none"/>
        </w:rPr>
        <w:br w:type="page" w:clear="all"/>
      </w:r>
      <w:r/>
    </w:p>
    <w:p>
      <w:pPr>
        <w:pStyle w:val="842"/>
        <w:ind w:left="0" w:firstLine="0"/>
        <w:jc w:val="center"/>
        <w:rPr>
          <w:rFonts w:ascii="宋体" w:hAnsi="宋体"/>
          <w:b/>
          <w:sz w:val="44"/>
          <w:szCs w:val="22"/>
          <w:highlight w:val="none"/>
        </w:rPr>
      </w:pPr>
      <w:r/>
      <w:bookmarkStart w:id="10" w:name="_Toc6704"/>
      <w:r>
        <w:rPr>
          <w:rFonts w:ascii="宋体" w:hAnsi="宋体"/>
          <w:b/>
          <w:sz w:val="44"/>
          <w:szCs w:val="22"/>
          <w:highlight w:val="none"/>
        </w:rPr>
        <w:t xml:space="preserve">第</w:t>
      </w:r>
      <w:r>
        <w:rPr>
          <w:rFonts w:hint="eastAsia" w:ascii="宋体" w:hAnsi="宋体"/>
          <w:b/>
          <w:sz w:val="44"/>
          <w:szCs w:val="22"/>
          <w:highlight w:val="none"/>
        </w:rPr>
        <w:t xml:space="preserve">二</w:t>
      </w:r>
      <w:r>
        <w:rPr>
          <w:rFonts w:ascii="宋体" w:hAnsi="宋体"/>
          <w:b/>
          <w:sz w:val="44"/>
          <w:szCs w:val="22"/>
          <w:highlight w:val="none"/>
        </w:rPr>
        <w:t xml:space="preserve">章  </w:t>
      </w:r>
      <w:bookmarkStart w:id="11" w:name="投标人须知"/>
      <w:r/>
      <w:bookmarkEnd w:id="11"/>
      <w:r>
        <w:rPr>
          <w:rFonts w:ascii="宋体" w:hAnsi="宋体"/>
          <w:b/>
          <w:sz w:val="44"/>
          <w:szCs w:val="22"/>
          <w:highlight w:val="none"/>
        </w:rPr>
        <w:t xml:space="preserve">投标人须知</w:t>
      </w:r>
      <w:bookmarkEnd w:id="8"/>
      <w:r/>
      <w:bookmarkEnd w:id="9"/>
      <w:r/>
      <w:bookmarkEnd w:id="10"/>
      <w:r/>
      <w:r/>
    </w:p>
    <w:p>
      <w:pPr>
        <w:pStyle w:val="859"/>
        <w:ind w:left="0" w:firstLine="422"/>
        <w:spacing w:line="360" w:lineRule="auto"/>
        <w:rPr>
          <w:rFonts w:ascii="宋体" w:hAnsi="宋体"/>
          <w:b/>
          <w:sz w:val="21"/>
          <w:szCs w:val="21"/>
          <w:highlight w:val="none"/>
        </w:rPr>
      </w:pPr>
      <w:r/>
      <w:bookmarkStart w:id="12" w:name="_Toc13437"/>
      <w:r/>
      <w:bookmarkStart w:id="13" w:name="_Toc20132"/>
      <w:r>
        <w:rPr>
          <w:rFonts w:hint="eastAsia" w:ascii="宋体" w:hAnsi="宋体"/>
          <w:b/>
          <w:sz w:val="21"/>
          <w:szCs w:val="21"/>
          <w:highlight w:val="none"/>
        </w:rPr>
        <w:t xml:space="preserve">一、说明和释义</w:t>
      </w:r>
      <w:bookmarkEnd w:id="12"/>
      <w:r/>
      <w:bookmarkEnd w:id="13"/>
      <w:r/>
      <w:r/>
    </w:p>
    <w:p>
      <w:pPr>
        <w:pStyle w:val="859"/>
        <w:ind w:left="0" w:firstLine="422"/>
        <w:spacing w:line="360" w:lineRule="auto"/>
        <w:rPr>
          <w:rFonts w:ascii="宋体" w:hAnsi="宋体"/>
          <w:b/>
          <w:sz w:val="21"/>
          <w:szCs w:val="21"/>
          <w:highlight w:val="none"/>
        </w:rPr>
      </w:pPr>
      <w:r/>
      <w:bookmarkStart w:id="14" w:name="_Toc9408"/>
      <w:r>
        <w:rPr>
          <w:rFonts w:hint="eastAsia" w:ascii="宋体" w:hAnsi="宋体"/>
          <w:b/>
          <w:sz w:val="21"/>
          <w:szCs w:val="21"/>
          <w:highlight w:val="none"/>
        </w:rPr>
        <w:t xml:space="preserve">1.说明</w:t>
      </w:r>
      <w:bookmarkEnd w:id="14"/>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1.1本招标文件仅适用苏州市政府集中采购中心组织的招标活动。</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1.2本次招标活动及因本次招标产生的合同受中国法律制约和保护。</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1.3本招标文件的解释权属苏州市政府集中采购中心。</w:t>
      </w:r>
      <w:r/>
    </w:p>
    <w:p>
      <w:pPr>
        <w:pStyle w:val="859"/>
        <w:ind w:left="0" w:firstLine="422"/>
        <w:spacing w:line="360" w:lineRule="auto"/>
        <w:rPr>
          <w:rFonts w:ascii="宋体" w:hAnsi="宋体"/>
          <w:b/>
          <w:sz w:val="21"/>
          <w:szCs w:val="21"/>
          <w:highlight w:val="none"/>
        </w:rPr>
      </w:pPr>
      <w:r/>
      <w:bookmarkStart w:id="15" w:name="_Toc27555"/>
      <w:r>
        <w:rPr>
          <w:rFonts w:hint="eastAsia" w:ascii="宋体" w:hAnsi="宋体"/>
          <w:b/>
          <w:sz w:val="21"/>
          <w:szCs w:val="21"/>
          <w:highlight w:val="none"/>
        </w:rPr>
        <w:t xml:space="preserve">2.词语释义</w:t>
      </w:r>
      <w:bookmarkEnd w:id="15"/>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2.1 采购人：指依法进行政府采购的国家机关、事业单位、团体组织。</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2.2采购代理机构：指依法接受采购人委托，从事货物、工程和服务等政府采购业务的采购代理机构。本项目的采购代理机构是苏州市政府集中采购中心。</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2.3 投标人（供应商）：是指响应招标、参加投标竞争的法人、其他组织或者自然人。</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4 </w:t>
      </w:r>
      <w:r>
        <w:rPr>
          <w:rFonts w:hint="eastAsia" w:ascii="宋体" w:hAnsi="宋体"/>
          <w:sz w:val="21"/>
          <w:szCs w:val="21"/>
          <w:highlight w:val="none"/>
        </w:rPr>
        <w:t xml:space="preserve">投标：投标人根据采购人或采购代理机构发布的招标文件，编制投标文件并按规定投标的行为。</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5</w:t>
      </w:r>
      <w:r>
        <w:rPr>
          <w:rFonts w:hint="eastAsia" w:ascii="宋体" w:hAnsi="宋体"/>
          <w:sz w:val="21"/>
          <w:szCs w:val="21"/>
          <w:highlight w:val="none"/>
        </w:rPr>
        <w:t xml:space="preserve">合同：采供双方根据招标文件和中标的投标文件及中标通知书规定的内容签署的以书面形式所达成的协议，包括所有的附件、附录和构成协议的所有文件。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6</w:t>
      </w:r>
      <w:r>
        <w:rPr>
          <w:rFonts w:hint="eastAsia" w:ascii="宋体" w:hAnsi="宋体"/>
          <w:sz w:val="21"/>
          <w:szCs w:val="21"/>
          <w:highlight w:val="none"/>
        </w:rPr>
        <w:t xml:space="preserve">甲方（采购人）：指招标文件中载明的，依法进行政府采购的国家机关、事业单位、团体组织。</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7</w:t>
      </w:r>
      <w:r>
        <w:rPr>
          <w:rFonts w:hint="eastAsia" w:ascii="宋体" w:hAnsi="宋体"/>
          <w:sz w:val="21"/>
          <w:szCs w:val="21"/>
          <w:highlight w:val="none"/>
        </w:rPr>
        <w:t xml:space="preserve">乙方（中标供应商）：合同中规定的向采购人提供货物和服务的法人或其他组织和自然人。</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8</w:t>
      </w:r>
      <w:r>
        <w:rPr>
          <w:rFonts w:hint="eastAsia" w:ascii="宋体" w:hAnsi="宋体"/>
          <w:sz w:val="21"/>
          <w:szCs w:val="21"/>
          <w:highlight w:val="none"/>
        </w:rPr>
        <w:t xml:space="preserve">天：日历日。</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ascii="宋体" w:hAnsi="宋体"/>
          <w:sz w:val="21"/>
          <w:szCs w:val="21"/>
          <w:highlight w:val="none"/>
        </w:rPr>
        <w:t xml:space="preserve">9</w:t>
      </w:r>
      <w:r>
        <w:rPr>
          <w:rFonts w:hint="eastAsia" w:ascii="宋体" w:hAnsi="宋体"/>
          <w:sz w:val="21"/>
          <w:szCs w:val="21"/>
          <w:highlight w:val="none"/>
        </w:rPr>
        <w:t xml:space="preserve">时间：除特别说明，均指北京时间。</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0</w:t>
      </w:r>
      <w:r>
        <w:rPr>
          <w:rFonts w:hint="eastAsia" w:ascii="宋体" w:hAnsi="宋体"/>
          <w:sz w:val="21"/>
          <w:szCs w:val="21"/>
          <w:highlight w:val="none"/>
        </w:rPr>
        <w:t xml:space="preserve">知识产权：指专利权、商标权、著作权等无形财产专有权的统称。</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1</w:t>
      </w:r>
      <w:r>
        <w:rPr>
          <w:rFonts w:hint="eastAsia" w:ascii="宋体" w:hAnsi="宋体"/>
          <w:sz w:val="21"/>
          <w:szCs w:val="21"/>
          <w:highlight w:val="none"/>
        </w:rPr>
        <w:t xml:space="preserve">交货地点：合同中明确约定的乙方提交的货物和服务最终到达地点。</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2</w:t>
      </w:r>
      <w:r>
        <w:rPr>
          <w:rFonts w:hint="eastAsia" w:ascii="宋体" w:hAnsi="宋体"/>
          <w:sz w:val="21"/>
          <w:szCs w:val="21"/>
          <w:highlight w:val="none"/>
        </w:rPr>
        <w:t xml:space="preserve">合同价款：根据合同规定,乙方在正确地履行合同义务后甲方应支付乙方的价款。</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3</w:t>
      </w:r>
      <w:r>
        <w:rPr>
          <w:rFonts w:hint="eastAsia" w:ascii="宋体" w:hAnsi="宋体"/>
          <w:sz w:val="21"/>
          <w:szCs w:val="21"/>
          <w:highlight w:val="none"/>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4</w:t>
      </w:r>
      <w:r>
        <w:rPr>
          <w:rFonts w:hint="eastAsia" w:ascii="宋体" w:hAnsi="宋体"/>
          <w:sz w:val="21"/>
          <w:szCs w:val="21"/>
          <w:highlight w:val="none"/>
        </w:rPr>
        <w:t xml:space="preserve">不可抗力：不能预见、不能避免并且不能克服的客观情况。</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5</w:t>
      </w:r>
      <w:r>
        <w:rPr>
          <w:rFonts w:hint="eastAsia" w:ascii="宋体" w:hAnsi="宋体"/>
          <w:sz w:val="21"/>
          <w:szCs w:val="21"/>
          <w:highlight w:val="none"/>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6</w:t>
      </w:r>
      <w:r>
        <w:rPr>
          <w:rFonts w:hint="eastAsia" w:ascii="宋体" w:hAnsi="宋体"/>
          <w:sz w:val="21"/>
          <w:szCs w:val="21"/>
          <w:highlight w:val="none"/>
        </w:rPr>
        <w:t xml:space="preserve">进口产品：指通过中国海关报关验放进入中国境内且产自境外的产品。</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2.1</w:t>
      </w:r>
      <w:r>
        <w:rPr>
          <w:rFonts w:ascii="宋体" w:hAnsi="宋体"/>
          <w:sz w:val="21"/>
          <w:szCs w:val="21"/>
          <w:highlight w:val="none"/>
        </w:rPr>
        <w:t xml:space="preserve">7</w:t>
      </w:r>
      <w:r>
        <w:rPr>
          <w:rFonts w:hint="eastAsia" w:ascii="宋体" w:hAnsi="宋体"/>
          <w:sz w:val="21"/>
          <w:szCs w:val="21"/>
          <w:highlight w:val="none"/>
        </w:rPr>
        <w:t xml:space="preserve">书面形式：指书面文字、合同书、信件和传真等可以有形地表现所载内容的形式。</w:t>
      </w:r>
      <w:bookmarkStart w:id="16" w:name="_Toc13350"/>
      <w:r/>
      <w:bookmarkStart w:id="17" w:name="_Toc14976"/>
      <w:r/>
      <w:r/>
    </w:p>
    <w:p>
      <w:pPr>
        <w:pStyle w:val="85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二、投标人</w:t>
      </w:r>
      <w:bookmarkEnd w:id="16"/>
      <w:r/>
      <w:bookmarkEnd w:id="17"/>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3.合格投标人的资格条件：</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3.1满足《中华人民共和国政府采购法》第二十二条规定，投标人应当具备下列条件：</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（3）具有履行合同所必需的设备和专业技术能力；</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（4）有依法缴纳税收和社会保障资金的良好记录；</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（5）参加政府采购活动前三年内，在经营活动中没有重大违法记录；</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（6）法律、行政法规规定的其他条件。</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3.2落实政府采购政策需满足的资格要求：</w:t>
      </w:r>
      <w:r>
        <w:rPr>
          <w:rFonts w:hint="eastAsia" w:ascii="宋体" w:hAnsi="宋体" w:cs="宋体"/>
          <w:b/>
          <w:sz w:val="21"/>
          <w:szCs w:val="21"/>
          <w:highlight w:val="none"/>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3.3本项目的特定资格要求：无</w:t>
      </w:r>
      <w:r/>
    </w:p>
    <w:p>
      <w:pPr>
        <w:pStyle w:val="89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4.投标人代表</w:t>
      </w:r>
      <w:r/>
    </w:p>
    <w:p>
      <w:pPr>
        <w:pStyle w:val="898"/>
        <w:ind w:lef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4.1指授权全权代表投标人参加投标活动并签署投标文件的人，如果投标人代表不是法人代表，须持有《法定代表人授权委托书》（详见统一格式）。</w:t>
      </w:r>
      <w:r/>
    </w:p>
    <w:p>
      <w:pPr>
        <w:pStyle w:val="898"/>
        <w:ind w:left="0" w:firstLine="422"/>
        <w:spacing w:before="0" w:after="0" w:line="360" w:lineRule="auto"/>
        <w:rPr>
          <w:rFonts w:ascii="宋体" w:hAnsi="宋体"/>
          <w:b/>
          <w:sz w:val="21"/>
          <w:szCs w:val="21"/>
          <w:highlight w:val="none"/>
        </w:rPr>
      </w:pPr>
      <w:r>
        <w:rPr>
          <w:rFonts w:hint="eastAsia" w:ascii="宋体" w:hAnsi="宋体"/>
          <w:b/>
          <w:sz w:val="21"/>
          <w:szCs w:val="21"/>
          <w:highlight w:val="none"/>
        </w:rPr>
        <w:t xml:space="preserve">5.投标费用</w:t>
      </w:r>
      <w:r/>
    </w:p>
    <w:p>
      <w:pPr>
        <w:pStyle w:val="898"/>
        <w:ind w:left="0" w:firstLine="420"/>
        <w:spacing w:before="0" w:after="0" w:line="360" w:lineRule="auto"/>
        <w:rPr>
          <w:rFonts w:ascii="宋体" w:hAnsi="宋体"/>
          <w:sz w:val="21"/>
          <w:szCs w:val="21"/>
          <w:highlight w:val="none"/>
        </w:rPr>
      </w:pPr>
      <w:r>
        <w:rPr>
          <w:rFonts w:hint="eastAsia" w:ascii="宋体" w:hAnsi="宋体"/>
          <w:sz w:val="21"/>
          <w:szCs w:val="21"/>
          <w:highlight w:val="none"/>
        </w:rPr>
        <w:t xml:space="preserve">5.1无论投标过程中的做法和结果如何，投标人自行承担所有与参加投标有关的全部费用。</w:t>
      </w:r>
      <w:r/>
    </w:p>
    <w:p>
      <w:pPr>
        <w:pStyle w:val="85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5.2本次招标活动采购人和采购代理机构不收取标书工本费与中标服务费。</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6.联合投标及转包、分包</w:t>
      </w:r>
      <w:r/>
    </w:p>
    <w:p>
      <w:pPr>
        <w:pStyle w:val="85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6.1本项目不接受联合体投标。</w:t>
      </w:r>
      <w:r/>
    </w:p>
    <w:p>
      <w:pPr>
        <w:pStyle w:val="85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6.2本项目不接受转包、分包。</w:t>
      </w:r>
      <w:bookmarkStart w:id="18" w:name="_Toc5764"/>
      <w:r/>
      <w:bookmarkStart w:id="19" w:name="_Toc31958"/>
      <w:r/>
      <w:r/>
    </w:p>
    <w:p>
      <w:pPr>
        <w:pStyle w:val="859"/>
        <w:ind w:left="0" w:firstLine="420"/>
        <w:spacing w:line="360" w:lineRule="auto"/>
        <w:rPr>
          <w:rFonts w:ascii="宋体" w:hAnsi="宋体" w:cs="Times New Roman"/>
          <w:sz w:val="21"/>
          <w:szCs w:val="21"/>
          <w:highlight w:val="none"/>
        </w:rPr>
      </w:pPr>
      <w:r>
        <w:rPr>
          <w:rFonts w:hint="eastAsia" w:ascii="宋体" w:hAnsi="宋体" w:cs="Times New Roman"/>
          <w:sz w:val="21"/>
          <w:szCs w:val="21"/>
          <w:highlight w:val="none"/>
        </w:rPr>
        <w:t xml:space="preserve">6</w:t>
      </w:r>
      <w:r>
        <w:rPr>
          <w:rFonts w:ascii="宋体" w:hAnsi="宋体" w:cs="Times New Roman"/>
          <w:sz w:val="21"/>
          <w:szCs w:val="21"/>
          <w:highlight w:val="none"/>
        </w:rPr>
        <w:t xml:space="preserve">.3</w:t>
      </w:r>
      <w:r>
        <w:rPr>
          <w:rFonts w:hint="eastAsia" w:ascii="宋体" w:hAnsi="宋体" w:cs="Times New Roman"/>
          <w:sz w:val="21"/>
          <w:szCs w:val="21"/>
          <w:highlight w:val="none"/>
        </w:rPr>
        <w:t xml:space="preserve">本项目不接受进口产品。</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三、招标文件的说明</w:t>
      </w:r>
      <w:bookmarkEnd w:id="18"/>
      <w:r/>
      <w:bookmarkEnd w:id="19"/>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7.招标文件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8.招标文件的澄清和修改</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8.4招标文件的澄清、修改、补充等内容均以苏州市政府采购网上发布的内容为准。</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9.勘察现场（不涉及此条的忽略）</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10.投标质疑</w:t>
      </w:r>
      <w:r/>
    </w:p>
    <w:p>
      <w:pPr>
        <w:pStyle w:val="859"/>
        <w:ind w:left="0" w:firstLine="420"/>
        <w:spacing w:line="360" w:lineRule="auto"/>
        <w:rPr>
          <w:rFonts w:ascii="宋体" w:hAnsi="宋体"/>
          <w:sz w:val="21"/>
          <w:szCs w:val="21"/>
          <w:highlight w:val="none"/>
        </w:rPr>
      </w:pPr>
      <w:r/>
      <w:bookmarkStart w:id="20" w:name="_Toc19463"/>
      <w:r/>
      <w:bookmarkStart w:id="21" w:name="_Toc16745"/>
      <w:r>
        <w:rPr>
          <w:rFonts w:hint="eastAsia" w:ascii="宋体" w:hAnsi="宋体"/>
          <w:sz w:val="21"/>
          <w:szCs w:val="21"/>
          <w:highlight w:val="none"/>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10.2本次招标文件要求供应商在法定质疑期内一次性提出针对同一采购程序环节的质疑，否则不予受理。</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10.3供应商提出质疑应当提交质疑函和必要的证明材料，质疑函应当包括下列内容：</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（1）供应商的姓名或者名称（以提供的营业执照副本复印件为准）、地址、邮编、联系人及联系电话；</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（2）质疑项目的名称、编号；</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（3）具体、明确的质疑事项和与质疑事项相关的请求；</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（4）事实依据；</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（5）必要的法律依据；</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（6）提出质疑的日期。</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highlight w:val="none"/>
        </w:rPr>
        <w:t xml:space="preserve">授权委托书</w:t>
      </w:r>
      <w:r>
        <w:rPr>
          <w:rFonts w:hint="eastAsia" w:ascii="宋体" w:hAnsi="宋体"/>
          <w:sz w:val="21"/>
          <w:szCs w:val="21"/>
          <w:highlight w:val="none"/>
        </w:rPr>
        <w:t xml:space="preserve">上应当载明代理人的姓名或者名称、代理事项、具体权限、期限和相关事项。</w:t>
      </w:r>
      <w:r/>
    </w:p>
    <w:p>
      <w:pPr>
        <w:pStyle w:val="859"/>
        <w:ind w:left="0" w:firstLine="422"/>
        <w:spacing w:line="360" w:lineRule="auto"/>
        <w:rPr>
          <w:b/>
          <w:sz w:val="21"/>
          <w:szCs w:val="21"/>
          <w:highlight w:val="none"/>
        </w:rPr>
      </w:pPr>
      <w:r>
        <w:rPr>
          <w:rFonts w:hint="eastAsia"/>
          <w:b/>
          <w:sz w:val="21"/>
          <w:szCs w:val="21"/>
          <w:highlight w:val="none"/>
        </w:rPr>
        <w:t xml:space="preserve">供应商提交的质疑函必须按照《政府采购供应商质疑函范本》要求的格式和内容进行填写，质疑函范本下载网址详见链接：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//czju.suzhou.gov.cn/zfcg/html/content/20180305093615738.shtml</w:t>
      </w:r>
      <w:r>
        <w:rPr>
          <w:rFonts w:hint="eastAsia" w:ascii="宋体" w:hAnsi="宋体"/>
          <w:sz w:val="21"/>
          <w:szCs w:val="21"/>
          <w:highlight w:val="none"/>
        </w:rPr>
        <w:t xml:space="preserve">。</w:t>
      </w:r>
      <w:r/>
    </w:p>
    <w:p>
      <w:pPr>
        <w:pStyle w:val="859"/>
        <w:ind w:left="0" w:firstLine="420"/>
        <w:spacing w:line="360" w:lineRule="auto"/>
        <w:rPr>
          <w:rFonts w:ascii="宋体" w:hAnsi="宋体"/>
          <w:b/>
          <w:sz w:val="21"/>
          <w:szCs w:val="21"/>
          <w:highlight w:val="none"/>
        </w:rPr>
      </w:pPr>
      <w:r>
        <w:rPr>
          <w:rFonts w:hint="eastAsia" w:ascii="宋体" w:hAnsi="宋体"/>
          <w:sz w:val="21"/>
          <w:szCs w:val="21"/>
          <w:highlight w:val="none"/>
        </w:rPr>
        <w:t xml:space="preserve">10.4根据《政府采购质疑和投诉办法》（财政部第94号令）第十一条规定，提出质疑的供应商应当是参与所质疑项目采购活动的供应商。因此凡是对招标文件提出质疑的供应商，必须是依法获取招标文件，</w:t>
      </w:r>
      <w:bookmarkStart w:id="22" w:name="OLE_LINK42"/>
      <w:r/>
      <w:bookmarkStart w:id="23" w:name="OLE_LINK38"/>
      <w:r/>
      <w:bookmarkStart w:id="24" w:name="OLE_LINK41"/>
      <w:r>
        <w:rPr>
          <w:rFonts w:hint="eastAsia" w:ascii="宋体" w:hAnsi="宋体"/>
          <w:b/>
          <w:sz w:val="21"/>
          <w:szCs w:val="21"/>
          <w:highlight w:val="none"/>
        </w:rPr>
        <w:t xml:space="preserve">请将合法获取招标文件的证明材料（即《投标供应商确认函》）、</w:t>
      </w:r>
      <w:bookmarkStart w:id="25" w:name="OLE_LINK43"/>
      <w:r>
        <w:rPr>
          <w:rFonts w:hint="eastAsia" w:ascii="宋体" w:hAnsi="宋体"/>
          <w:b/>
          <w:sz w:val="21"/>
          <w:szCs w:val="21"/>
          <w:highlight w:val="none"/>
        </w:rPr>
        <w:t xml:space="preserve">供应商营业执照复印件、法定代表人身份证复印件、授权代表身份证复印件（如有）、授权委托书（如有）</w:t>
      </w:r>
      <w:bookmarkEnd w:id="22"/>
      <w:r/>
      <w:bookmarkEnd w:id="23"/>
      <w:r/>
      <w:bookmarkEnd w:id="24"/>
      <w:r/>
      <w:bookmarkEnd w:id="25"/>
      <w:r>
        <w:rPr>
          <w:rFonts w:hint="eastAsia" w:ascii="宋体" w:hAnsi="宋体"/>
          <w:b/>
          <w:sz w:val="21"/>
          <w:szCs w:val="21"/>
          <w:highlight w:val="none"/>
        </w:rPr>
        <w:t xml:space="preserve">与质疑函一起递交，否则不予受理。</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10.5接收质疑函的方式：书面形式（当场送达或邮寄方式）。</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质疑联系人：金工</w:t>
      </w:r>
      <w:r/>
    </w:p>
    <w:p>
      <w:pPr>
        <w:pStyle w:val="859"/>
        <w:ind w:left="0" w:firstLine="422"/>
        <w:spacing w:line="360" w:lineRule="auto"/>
        <w:rPr>
          <w:rFonts w:ascii="宋体" w:hAnsi="宋体"/>
          <w:b/>
          <w:sz w:val="21"/>
          <w:szCs w:val="21"/>
          <w:highlight w:val="none"/>
        </w:rPr>
      </w:pPr>
      <w:r/>
      <w:bookmarkStart w:id="26" w:name="OLE_LINK32"/>
      <w:r/>
      <w:bookmarkStart w:id="27" w:name="OLE_LINK33"/>
      <w:r/>
      <w:bookmarkStart w:id="28" w:name="OLE_LINK35"/>
      <w:r/>
      <w:bookmarkStart w:id="29" w:name="OLE_LINK22"/>
      <w:r>
        <w:rPr>
          <w:rFonts w:hint="eastAsia" w:ascii="宋体" w:hAnsi="宋体"/>
          <w:b/>
          <w:sz w:val="21"/>
          <w:szCs w:val="21"/>
          <w:highlight w:val="none"/>
        </w:rPr>
        <w:t xml:space="preserve">联系电话：0512-69826795</w:t>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联系地址：苏州高新区邓尉路105号狮山科技馆7楼7</w:t>
      </w:r>
      <w:r>
        <w:rPr>
          <w:rFonts w:ascii="宋体" w:hAnsi="宋体"/>
          <w:b/>
          <w:sz w:val="21"/>
          <w:szCs w:val="21"/>
          <w:highlight w:val="none"/>
        </w:rPr>
        <w:t xml:space="preserve">17</w:t>
      </w:r>
      <w:r>
        <w:rPr>
          <w:rFonts w:hint="eastAsia" w:ascii="宋体" w:hAnsi="宋体"/>
          <w:b/>
          <w:sz w:val="21"/>
          <w:szCs w:val="21"/>
          <w:highlight w:val="none"/>
        </w:rPr>
        <w:t xml:space="preserve">室</w:t>
      </w:r>
      <w:bookmarkEnd w:id="26"/>
      <w:bookmarkEnd w:id="27"/>
      <w:bookmarkEnd w:id="28"/>
      <w:bookmarkEnd w:id="29"/>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四、投标文件说明</w:t>
      </w:r>
      <w:bookmarkEnd w:id="20"/>
      <w:r/>
      <w:bookmarkEnd w:id="21"/>
      <w:r/>
      <w:r/>
    </w:p>
    <w:p>
      <w:pPr>
        <w:pStyle w:val="859"/>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1</w:t>
      </w:r>
      <w:r>
        <w:rPr>
          <w:rFonts w:hint="eastAsia" w:ascii="宋体" w:hAnsi="宋体"/>
          <w:b/>
          <w:sz w:val="21"/>
          <w:szCs w:val="21"/>
          <w:highlight w:val="none"/>
        </w:rPr>
        <w:t xml:space="preserve">.提示与要求</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1</w:t>
      </w:r>
      <w:r>
        <w:rPr>
          <w:rFonts w:hint="eastAsia" w:ascii="宋体" w:hAnsi="宋体"/>
          <w:sz w:val="21"/>
          <w:szCs w:val="21"/>
          <w:highlight w:val="none"/>
        </w:rPr>
        <w:t xml:space="preserve">.2无论是否递交投标文件，投标人都应将招标文件及以后的所有通知、文件等视为保密文件。</w:t>
      </w:r>
      <w:r/>
    </w:p>
    <w:p>
      <w:pPr>
        <w:pStyle w:val="859"/>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2</w:t>
      </w:r>
      <w:r>
        <w:rPr>
          <w:rFonts w:hint="eastAsia" w:ascii="宋体" w:hAnsi="宋体"/>
          <w:b/>
          <w:sz w:val="21"/>
          <w:szCs w:val="21"/>
          <w:highlight w:val="none"/>
        </w:rPr>
        <w:t xml:space="preserve">.投标文件计量单位和使用文字</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.1投标文件中所使用的计量单位，除招标文件中有特殊要求外，均应使用中华人民共和国法定计量单位。</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2</w:t>
      </w:r>
      <w:r>
        <w:rPr>
          <w:rFonts w:hint="eastAsia" w:ascii="宋体" w:hAnsi="宋体"/>
          <w:sz w:val="21"/>
          <w:szCs w:val="21"/>
          <w:highlight w:val="none"/>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13. 知识产权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w:t>
      </w:r>
      <w:r>
        <w:rPr>
          <w:rFonts w:hint="eastAsia" w:ascii="宋体" w:hAnsi="宋体"/>
          <w:b/>
          <w:sz w:val="21"/>
          <w:szCs w:val="21"/>
          <w:highlight w:val="none"/>
        </w:rPr>
        <w:t xml:space="preserve">投标文件的组成</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投标文件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.1封面</w:t>
      </w:r>
      <w:r/>
    </w:p>
    <w:p>
      <w:pPr>
        <w:ind w:left="0" w:firstLine="422"/>
        <w:spacing w:line="360" w:lineRule="auto"/>
        <w:rPr>
          <w:rFonts w:ascii="宋体" w:hAnsi="宋体"/>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.2开标一览表</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资格审查文件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.1关于资格文件的声明函（格式见第三章）；</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2</w:t>
      </w:r>
      <w:r>
        <w:rPr>
          <w:rFonts w:hint="eastAsia" w:ascii="宋体" w:hAnsi="宋体"/>
          <w:sz w:val="21"/>
          <w:szCs w:val="21"/>
          <w:highlight w:val="none"/>
        </w:rPr>
        <w:t xml:space="preserve">投标人法定代表人身份证复印件；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3</w:t>
      </w:r>
      <w:r>
        <w:rPr>
          <w:rFonts w:hint="eastAsia" w:ascii="宋体" w:hAnsi="宋体"/>
          <w:sz w:val="21"/>
          <w:szCs w:val="21"/>
          <w:highlight w:val="none"/>
        </w:rPr>
        <w:t xml:space="preserve">法定代表人授权委托书（如有授权，格式见第三章）；</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4</w:t>
      </w:r>
      <w:r>
        <w:rPr>
          <w:rFonts w:hint="eastAsia" w:ascii="宋体" w:hAnsi="宋体"/>
          <w:sz w:val="21"/>
          <w:szCs w:val="21"/>
          <w:highlight w:val="none"/>
        </w:rPr>
        <w:t xml:space="preserve">投标人授权代理人身份证复印件（如有授权）；</w:t>
      </w:r>
      <w:r/>
    </w:p>
    <w:p>
      <w:pPr>
        <w:pStyle w:val="85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5</w:t>
      </w:r>
      <w:r>
        <w:rPr>
          <w:rFonts w:hint="eastAsia" w:ascii="宋体" w:hAnsi="宋体"/>
          <w:sz w:val="21"/>
          <w:szCs w:val="21"/>
          <w:highlight w:val="none"/>
        </w:rPr>
        <w:t xml:space="preserve">合格投标人资格证明材料：</w:t>
      </w:r>
      <w:r/>
    </w:p>
    <w:p>
      <w:pPr>
        <w:pStyle w:val="89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（1）具有独立承担民事责任的能力证明。包括法人或者其他组织的营业执照等证明文件，自然人的身份证明；</w:t>
      </w:r>
      <w:r/>
    </w:p>
    <w:p>
      <w:pPr>
        <w:pStyle w:val="89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（2）具有良好的商业信誉和健全的财务会计制度证明</w:t>
      </w:r>
      <w:r>
        <w:rPr>
          <w:rFonts w:hint="eastAsia" w:ascii="宋体" w:hAnsi="宋体" w:cs="宋体"/>
          <w:b/>
          <w:sz w:val="21"/>
          <w:szCs w:val="21"/>
          <w:highlight w:val="none"/>
        </w:rPr>
        <w:t xml:space="preserve">（法人应提供最近一期经会计师事务所审计的财务报告，其他组织、自然人及成立未满一年的法人应提供银行出具的资信证明）；</w:t>
      </w:r>
      <w:r/>
    </w:p>
    <w:p>
      <w:pPr>
        <w:pStyle w:val="898"/>
        <w:ind w:left="0" w:right="0" w:firstLine="420"/>
        <w:spacing w:before="0" w:after="0" w:line="360" w:lineRule="auto"/>
        <w:rPr>
          <w:rFonts w:ascii="宋体" w:hAnsi="宋体" w:cs="宋体"/>
          <w:sz w:val="21"/>
          <w:szCs w:val="21"/>
          <w:highlight w:val="none"/>
        </w:rPr>
      </w:pPr>
      <w:r>
        <w:rPr>
          <w:rFonts w:hint="eastAsia" w:ascii="宋体" w:hAnsi="宋体" w:cs="宋体"/>
          <w:sz w:val="21"/>
          <w:szCs w:val="21"/>
          <w:highlight w:val="none"/>
        </w:rPr>
        <w:t xml:space="preserve">（3）具备履行合同所必需的设备和专业技术能力的证明材料或承诺；</w:t>
      </w:r>
      <w:r/>
    </w:p>
    <w:p>
      <w:pPr>
        <w:pStyle w:val="85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（4）依法缴纳税收和社会保障资金的相关资料</w:t>
      </w:r>
      <w:r>
        <w:rPr>
          <w:rFonts w:hint="eastAsia" w:ascii="宋体" w:hAnsi="宋体"/>
          <w:b/>
          <w:sz w:val="21"/>
          <w:szCs w:val="21"/>
          <w:highlight w:val="none"/>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highlight w:val="none"/>
        </w:rPr>
        <w:t xml:space="preserve">；</w:t>
      </w:r>
      <w:r/>
    </w:p>
    <w:p>
      <w:pPr>
        <w:pStyle w:val="859"/>
        <w:ind w:left="0" w:firstLine="420"/>
        <w:spacing w:line="360" w:lineRule="auto"/>
        <w:tabs>
          <w:tab w:val="left" w:pos="0" w:leader="none"/>
        </w:tabs>
        <w:rPr>
          <w:rFonts w:ascii="宋体" w:hAnsi="宋体"/>
          <w:sz w:val="21"/>
          <w:szCs w:val="21"/>
          <w:highlight w:val="none"/>
        </w:rPr>
      </w:pPr>
      <w:r>
        <w:rPr>
          <w:rFonts w:hint="eastAsia" w:ascii="宋体" w:hAnsi="宋体"/>
          <w:sz w:val="21"/>
          <w:szCs w:val="21"/>
          <w:highlight w:val="none"/>
        </w:rPr>
        <w:t xml:space="preserve">（5）参加政府采购活动前三年内在经营活动中没有重大违法记录的书面声明函。</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6</w:t>
      </w:r>
      <w:r>
        <w:rPr>
          <w:rFonts w:hint="eastAsia" w:ascii="宋体" w:hAnsi="宋体"/>
          <w:sz w:val="21"/>
          <w:szCs w:val="21"/>
          <w:highlight w:val="none"/>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14.1.</w:t>
      </w:r>
      <w:r>
        <w:rPr>
          <w:rFonts w:hint="eastAsia" w:ascii="宋体" w:hAnsi="宋体"/>
          <w:sz w:val="21"/>
          <w:szCs w:val="21"/>
          <w:highlight w:val="none"/>
          <w:lang w:val="en-US" w:eastAsia="zh-CN"/>
        </w:rPr>
        <w:t xml:space="preserve">3</w:t>
      </w:r>
      <w:r>
        <w:rPr>
          <w:rFonts w:hint="eastAsia" w:ascii="宋体" w:hAnsi="宋体"/>
          <w:sz w:val="21"/>
          <w:szCs w:val="21"/>
          <w:highlight w:val="none"/>
        </w:rPr>
        <w:t xml:space="preserve">.</w:t>
      </w:r>
      <w:r>
        <w:rPr>
          <w:rFonts w:ascii="宋体" w:hAnsi="宋体"/>
          <w:sz w:val="21"/>
          <w:szCs w:val="21"/>
          <w:highlight w:val="none"/>
        </w:rPr>
        <w:t xml:space="preserve">7</w:t>
      </w:r>
      <w:r>
        <w:rPr>
          <w:rFonts w:hint="eastAsia" w:ascii="宋体" w:hAnsi="宋体"/>
          <w:sz w:val="21"/>
          <w:szCs w:val="21"/>
          <w:highlight w:val="none"/>
        </w:rPr>
        <w:t xml:space="preserve">其它有关资格证明文件。</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rPr>
        <w:t xml:space="preserve">.</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符合性审查文件</w:t>
      </w:r>
      <w:r/>
    </w:p>
    <w:p>
      <w:pPr>
        <w:pStyle w:val="859"/>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rPr>
        <w:t xml:space="preserve">.</w:t>
      </w:r>
      <w:r>
        <w:rPr>
          <w:rFonts w:hint="eastAsia" w:ascii="宋体" w:hAnsi="宋体"/>
          <w:sz w:val="21"/>
          <w:szCs w:val="21"/>
          <w:highlight w:val="none"/>
          <w:lang w:val="en-US" w:eastAsia="zh-CN"/>
        </w:rPr>
        <w:t xml:space="preserve">4</w:t>
      </w:r>
      <w:r>
        <w:rPr>
          <w:rFonts w:ascii="宋体" w:hAnsi="宋体"/>
          <w:sz w:val="21"/>
          <w:szCs w:val="21"/>
          <w:highlight w:val="none"/>
        </w:rPr>
        <w:t xml:space="preserve">.1</w:t>
      </w:r>
      <w:r>
        <w:rPr>
          <w:rFonts w:hint="eastAsia" w:ascii="宋体" w:hAnsi="宋体"/>
          <w:sz w:val="21"/>
          <w:szCs w:val="21"/>
          <w:highlight w:val="none"/>
        </w:rPr>
        <w:t xml:space="preserve">投标函（格式见第三章）；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w:t>
      </w:r>
      <w:r>
        <w:rPr>
          <w:rFonts w:hint="eastAsia" w:ascii="宋体" w:hAnsi="宋体"/>
          <w:sz w:val="21"/>
          <w:szCs w:val="21"/>
          <w:highlight w:val="none"/>
          <w:lang w:val="en-US" w:eastAsia="zh-CN"/>
        </w:rPr>
        <w:t xml:space="preserve">4</w:t>
      </w:r>
      <w:r>
        <w:rPr>
          <w:rFonts w:ascii="宋体" w:hAnsi="宋体"/>
          <w:sz w:val="21"/>
          <w:szCs w:val="21"/>
          <w:highlight w:val="none"/>
        </w:rPr>
        <w:t xml:space="preserve">.2</w:t>
      </w:r>
      <w:r>
        <w:rPr>
          <w:rFonts w:hint="eastAsia" w:ascii="宋体" w:hAnsi="宋体"/>
          <w:sz w:val="21"/>
          <w:szCs w:val="21"/>
          <w:highlight w:val="none"/>
        </w:rPr>
        <w:t xml:space="preserve">偏离表（格式见第三章）；</w:t>
      </w:r>
      <w:r/>
    </w:p>
    <w:p>
      <w:pPr>
        <w:ind w:left="0" w:firstLine="408"/>
        <w:spacing w:line="360" w:lineRule="auto"/>
        <w:rPr>
          <w:rFonts w:ascii="宋体" w:hAnsi="宋体"/>
          <w:sz w:val="21"/>
          <w:szCs w:val="21"/>
          <w:highlight w:val="none"/>
        </w:rPr>
      </w:pPr>
      <w:r>
        <w:rPr>
          <w:rFonts w:ascii="宋体" w:hAnsi="宋体"/>
          <w:sz w:val="21"/>
          <w:szCs w:val="21"/>
          <w:highlight w:val="none"/>
        </w:rPr>
        <w:t xml:space="preserve">14.1.</w:t>
      </w:r>
      <w:r>
        <w:rPr>
          <w:rFonts w:hint="eastAsia" w:ascii="宋体" w:hAnsi="宋体"/>
          <w:sz w:val="21"/>
          <w:szCs w:val="21"/>
          <w:highlight w:val="none"/>
          <w:lang w:val="en-US" w:eastAsia="zh-CN"/>
        </w:rPr>
        <w:t xml:space="preserve">4</w:t>
      </w:r>
      <w:r>
        <w:rPr>
          <w:rFonts w:ascii="宋体" w:hAnsi="宋体"/>
          <w:sz w:val="21"/>
          <w:szCs w:val="21"/>
          <w:highlight w:val="none"/>
        </w:rPr>
        <w:t xml:space="preserve">.3</w:t>
      </w:r>
      <w:r>
        <w:rPr>
          <w:rFonts w:hint="eastAsia" w:ascii="宋体" w:hAnsi="宋体"/>
          <w:sz w:val="21"/>
          <w:szCs w:val="21"/>
          <w:highlight w:val="none"/>
        </w:rPr>
        <w:t xml:space="preserve">项目服务人员配置表（格式见第三章）；</w:t>
      </w:r>
      <w:r/>
    </w:p>
    <w:p>
      <w:pPr>
        <w:ind w:left="0" w:firstLine="408"/>
        <w:spacing w:line="360" w:lineRule="auto"/>
        <w:rPr>
          <w:rFonts w:ascii="宋体" w:hAnsi="宋体"/>
          <w:b/>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lang w:val="en-US" w:eastAsia="zh-CN"/>
        </w:rPr>
        <w:t xml:space="preserve">4</w:t>
      </w:r>
      <w:r>
        <w:rPr>
          <w:rFonts w:ascii="宋体" w:hAnsi="宋体"/>
          <w:sz w:val="21"/>
          <w:szCs w:val="21"/>
          <w:highlight w:val="none"/>
        </w:rPr>
        <w:t xml:space="preserve">.4</w:t>
      </w:r>
      <w:r>
        <w:rPr>
          <w:rFonts w:hint="eastAsia" w:ascii="宋体" w:hAnsi="宋体"/>
          <w:sz w:val="21"/>
          <w:szCs w:val="21"/>
          <w:highlight w:val="none"/>
        </w:rPr>
        <w:t xml:space="preserve">其他有关符合性证明的文件；</w:t>
      </w:r>
      <w:r/>
    </w:p>
    <w:p>
      <w:pPr>
        <w:ind w:left="0" w:firstLine="408"/>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4.1.</w:t>
      </w: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综合评审文件（供应商根据评分标准制作）</w:t>
      </w:r>
      <w:r/>
    </w:p>
    <w:p>
      <w:pPr>
        <w:ind w:left="0" w:firstLine="408"/>
        <w:spacing w:line="360" w:lineRule="auto"/>
        <w:rPr>
          <w:rFonts w:ascii="宋体" w:hAnsi="宋体" w:cs="Times New Roman"/>
          <w:sz w:val="21"/>
          <w:szCs w:val="21"/>
          <w:highlight w:val="none"/>
          <w:lang w:val="zh-CN"/>
        </w:rPr>
      </w:pPr>
      <w:r>
        <w:rPr>
          <w:rFonts w:ascii="宋体" w:hAnsi="宋体"/>
          <w:sz w:val="21"/>
          <w:szCs w:val="21"/>
          <w:highlight w:val="none"/>
        </w:rPr>
        <w:t xml:space="preserve">14.1.</w:t>
      </w:r>
      <w:r>
        <w:rPr>
          <w:rFonts w:hint="eastAsia" w:ascii="宋体" w:hAnsi="宋体"/>
          <w:sz w:val="21"/>
          <w:szCs w:val="21"/>
          <w:highlight w:val="none"/>
          <w:lang w:val="en-US" w:eastAsia="zh-CN"/>
        </w:rPr>
        <w:t xml:space="preserve">6</w:t>
      </w:r>
      <w:r>
        <w:rPr>
          <w:rFonts w:hint="eastAsia" w:ascii="宋体" w:hAnsi="宋体"/>
          <w:sz w:val="21"/>
          <w:szCs w:val="21"/>
          <w:highlight w:val="none"/>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4.1.</w:t>
      </w:r>
      <w:r>
        <w:rPr>
          <w:rFonts w:hint="eastAsia" w:ascii="宋体" w:hAnsi="宋体"/>
          <w:sz w:val="21"/>
          <w:szCs w:val="21"/>
          <w:highlight w:val="none"/>
          <w:lang w:val="en-US" w:eastAsia="zh-CN"/>
        </w:rPr>
        <w:t xml:space="preserve">7</w:t>
      </w:r>
      <w:r>
        <w:rPr>
          <w:rFonts w:hint="eastAsia" w:ascii="宋体" w:hAnsi="宋体"/>
          <w:sz w:val="21"/>
          <w:szCs w:val="21"/>
          <w:highlight w:val="none"/>
        </w:rPr>
        <w:t xml:space="preserve">其他可以证明投标人资质、服务质量的证书、文件等相关资料。</w:t>
      </w:r>
      <w:r/>
    </w:p>
    <w:p>
      <w:pPr>
        <w:pStyle w:val="107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注：（1）以上</w:t>
      </w:r>
      <w:r>
        <w:rPr>
          <w:rFonts w:ascii="宋体" w:hAnsi="宋体" w:cs="宋体"/>
          <w:b/>
          <w:bCs/>
          <w:sz w:val="21"/>
          <w:szCs w:val="21"/>
          <w:highlight w:val="none"/>
        </w:rPr>
        <w:t xml:space="preserve">14.1.</w:t>
      </w:r>
      <w:r>
        <w:rPr>
          <w:rFonts w:hint="eastAsia" w:ascii="宋体" w:hAnsi="宋体" w:cs="宋体"/>
          <w:b/>
          <w:bCs/>
          <w:sz w:val="21"/>
          <w:szCs w:val="21"/>
          <w:highlight w:val="none"/>
          <w:lang w:val="en-US" w:eastAsia="zh-CN"/>
        </w:rPr>
        <w:t xml:space="preserve">3</w:t>
      </w:r>
      <w:r>
        <w:rPr>
          <w:rFonts w:ascii="宋体" w:hAnsi="宋体" w:cs="宋体"/>
          <w:b/>
          <w:bCs/>
          <w:sz w:val="21"/>
          <w:szCs w:val="21"/>
          <w:highlight w:val="none"/>
        </w:rPr>
        <w:t xml:space="preserve">.1-14.1.</w:t>
      </w:r>
      <w:r>
        <w:rPr>
          <w:rFonts w:hint="eastAsia" w:ascii="宋体" w:hAnsi="宋体" w:cs="宋体"/>
          <w:b/>
          <w:bCs/>
          <w:sz w:val="21"/>
          <w:szCs w:val="21"/>
          <w:highlight w:val="none"/>
          <w:lang w:val="en-US" w:eastAsia="zh-CN"/>
        </w:rPr>
        <w:t xml:space="preserve">3</w:t>
      </w:r>
      <w:r>
        <w:rPr>
          <w:rFonts w:ascii="宋体" w:hAnsi="宋体" w:cs="宋体"/>
          <w:b/>
          <w:bCs/>
          <w:sz w:val="21"/>
          <w:szCs w:val="21"/>
          <w:highlight w:val="none"/>
        </w:rPr>
        <w:t xml:space="preserve">.</w:t>
      </w:r>
      <w:r>
        <w:rPr>
          <w:rFonts w:hint="eastAsia" w:ascii="宋体" w:hAnsi="宋体" w:cs="宋体"/>
          <w:b/>
          <w:bCs/>
          <w:sz w:val="21"/>
          <w:szCs w:val="21"/>
          <w:highlight w:val="none"/>
          <w:lang w:val="en-US" w:eastAsia="zh-CN"/>
        </w:rPr>
        <w:t xml:space="preserve">7</w:t>
      </w:r>
      <w:r>
        <w:rPr>
          <w:rFonts w:hint="eastAsia" w:ascii="宋体" w:hAnsi="宋体" w:cs="宋体"/>
          <w:b/>
          <w:bCs/>
          <w:sz w:val="21"/>
          <w:szCs w:val="21"/>
          <w:highlight w:val="none"/>
        </w:rPr>
        <w:t xml:space="preserve">为资格审查要求提供的材料，是作为对供应商资格审查、质疑身份认定的依据，投标人必须提供并加盖电子公章。否则，投标文件将被认定为不符合资格审查要求。</w:t>
      </w:r>
      <w:r/>
    </w:p>
    <w:p>
      <w:pPr>
        <w:pStyle w:val="1075"/>
        <w:ind w:left="0" w:firstLine="430"/>
        <w:spacing w:line="360" w:lineRule="auto"/>
        <w:rPr>
          <w:rFonts w:ascii="宋体" w:hAnsi="宋体" w:cs="宋体"/>
          <w:b/>
          <w:bCs/>
          <w:sz w:val="21"/>
          <w:szCs w:val="21"/>
          <w:highlight w:val="none"/>
        </w:rPr>
      </w:pPr>
      <w:r>
        <w:rPr>
          <w:rFonts w:hint="eastAsia" w:ascii="宋体" w:hAnsi="宋体" w:cs="宋体"/>
          <w:b/>
          <w:bCs/>
          <w:sz w:val="21"/>
          <w:szCs w:val="21"/>
          <w:highlight w:val="none"/>
        </w:rPr>
        <w:t xml:space="preserve">（2）以上</w:t>
      </w:r>
      <w:r>
        <w:rPr>
          <w:rFonts w:ascii="宋体" w:hAnsi="宋体" w:cs="宋体"/>
          <w:b/>
          <w:bCs/>
          <w:sz w:val="21"/>
          <w:szCs w:val="21"/>
          <w:highlight w:val="none"/>
        </w:rPr>
        <w:t xml:space="preserve">14.1.</w:t>
      </w:r>
      <w:r>
        <w:rPr>
          <w:rFonts w:hint="eastAsia" w:ascii="宋体" w:hAnsi="宋体" w:cs="宋体"/>
          <w:b/>
          <w:bCs/>
          <w:sz w:val="21"/>
          <w:szCs w:val="21"/>
          <w:highlight w:val="none"/>
          <w:lang w:val="en-US" w:eastAsia="zh-CN"/>
        </w:rPr>
        <w:t xml:space="preserve">4</w:t>
      </w:r>
      <w:r>
        <w:rPr>
          <w:rFonts w:ascii="宋体" w:hAnsi="宋体" w:cs="宋体"/>
          <w:b/>
          <w:bCs/>
          <w:sz w:val="21"/>
          <w:szCs w:val="21"/>
          <w:highlight w:val="none"/>
        </w:rPr>
        <w:t xml:space="preserve">.1</w:t>
      </w:r>
      <w:r>
        <w:rPr>
          <w:rFonts w:hint="eastAsia" w:ascii="宋体" w:hAnsi="宋体" w:cs="宋体"/>
          <w:b/>
          <w:bCs/>
          <w:sz w:val="21"/>
          <w:szCs w:val="21"/>
          <w:highlight w:val="none"/>
        </w:rPr>
        <w:t xml:space="preserve">-</w:t>
      </w:r>
      <w:r>
        <w:rPr>
          <w:rFonts w:ascii="宋体" w:hAnsi="宋体" w:cs="宋体"/>
          <w:b/>
          <w:bCs/>
          <w:sz w:val="21"/>
          <w:szCs w:val="21"/>
          <w:highlight w:val="none"/>
        </w:rPr>
        <w:t xml:space="preserve">14.1.</w:t>
      </w:r>
      <w:r>
        <w:rPr>
          <w:rFonts w:hint="eastAsia" w:ascii="宋体" w:hAnsi="宋体" w:cs="宋体"/>
          <w:b/>
          <w:bCs/>
          <w:sz w:val="21"/>
          <w:szCs w:val="21"/>
          <w:highlight w:val="none"/>
          <w:lang w:val="en-US" w:eastAsia="zh-CN"/>
        </w:rPr>
        <w:t xml:space="preserve">4</w:t>
      </w:r>
      <w:r>
        <w:rPr>
          <w:rFonts w:ascii="宋体" w:hAnsi="宋体" w:cs="宋体"/>
          <w:b/>
          <w:bCs/>
          <w:sz w:val="21"/>
          <w:szCs w:val="21"/>
          <w:highlight w:val="none"/>
        </w:rPr>
        <w:t xml:space="preserve">.4</w:t>
      </w:r>
      <w:r>
        <w:rPr>
          <w:rFonts w:hint="eastAsia" w:ascii="宋体" w:hAnsi="宋体" w:cs="宋体"/>
          <w:b/>
          <w:bCs/>
          <w:sz w:val="21"/>
          <w:szCs w:val="21"/>
          <w:highlight w:val="none"/>
        </w:rPr>
        <w:t xml:space="preserve">为符合性审查须提供的资料，投标人必须提供并加盖电子公章。否则，投标文件将被认定为未实质性响应。</w:t>
      </w:r>
      <w:r/>
    </w:p>
    <w:p>
      <w:pPr>
        <w:pStyle w:val="1075"/>
        <w:ind w:left="0" w:firstLine="430"/>
        <w:spacing w:line="360" w:lineRule="auto"/>
        <w:rPr>
          <w:rFonts w:ascii="宋体" w:hAnsi="宋体"/>
          <w:sz w:val="21"/>
          <w:szCs w:val="21"/>
          <w:highlight w:val="none"/>
        </w:rPr>
      </w:pPr>
      <w:r>
        <w:rPr>
          <w:rFonts w:hint="eastAsia" w:ascii="宋体" w:hAnsi="宋体"/>
          <w:b/>
          <w:sz w:val="21"/>
          <w:szCs w:val="21"/>
          <w:highlight w:val="none"/>
        </w:rPr>
        <w:t xml:space="preserve">（3）“1</w:t>
      </w:r>
      <w:r>
        <w:rPr>
          <w:rFonts w:ascii="宋体" w:hAnsi="宋体"/>
          <w:b/>
          <w:sz w:val="21"/>
          <w:szCs w:val="21"/>
          <w:highlight w:val="none"/>
        </w:rPr>
        <w:t xml:space="preserve">4.1.</w:t>
      </w:r>
      <w:r>
        <w:rPr>
          <w:rFonts w:hint="eastAsia" w:ascii="宋体" w:hAnsi="宋体"/>
          <w:b/>
          <w:sz w:val="21"/>
          <w:szCs w:val="21"/>
          <w:highlight w:val="none"/>
          <w:lang w:val="en-US" w:eastAsia="zh-CN"/>
        </w:rPr>
        <w:t xml:space="preserve">3</w:t>
      </w:r>
      <w:r>
        <w:rPr>
          <w:rFonts w:ascii="宋体" w:hAnsi="宋体"/>
          <w:b/>
          <w:sz w:val="21"/>
          <w:szCs w:val="21"/>
          <w:highlight w:val="none"/>
        </w:rPr>
        <w:t xml:space="preserve">-14.1.</w:t>
      </w: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”中不得出现投标总报价。</w:t>
      </w:r>
      <w:r>
        <w:rPr>
          <w:rFonts w:hint="eastAsia" w:ascii="宋体" w:hAnsi="宋体"/>
          <w:sz w:val="21"/>
          <w:szCs w:val="21"/>
          <w:highlight w:val="none"/>
        </w:rPr>
        <w:t xml:space="preserve">投标人所提交的资料的完整与否，将直接影响投标人的评分。</w:t>
      </w:r>
      <w:r/>
    </w:p>
    <w:p>
      <w:pPr>
        <w:pStyle w:val="1075"/>
        <w:ind w:left="0" w:firstLine="430"/>
        <w:spacing w:line="360" w:lineRule="auto"/>
        <w:rPr>
          <w:rFonts w:ascii="宋体" w:hAnsi="宋体" w:cs="宋体"/>
          <w:b/>
          <w:bCs/>
          <w:sz w:val="21"/>
          <w:szCs w:val="21"/>
          <w:highlight w:val="none"/>
        </w:rPr>
      </w:pPr>
      <w:r>
        <w:rPr>
          <w:rFonts w:hint="eastAsia" w:ascii="宋体" w:hAnsi="宋体"/>
          <w:b/>
          <w:sz w:val="21"/>
          <w:szCs w:val="21"/>
          <w:highlight w:val="none"/>
        </w:rPr>
        <w:t xml:space="preserve">（</w:t>
      </w:r>
      <w:r>
        <w:rPr>
          <w:rFonts w:ascii="宋体" w:hAnsi="宋体"/>
          <w:b/>
          <w:sz w:val="21"/>
          <w:szCs w:val="21"/>
          <w:highlight w:val="none"/>
        </w:rPr>
        <w:t xml:space="preserve">4</w:t>
      </w:r>
      <w:r>
        <w:rPr>
          <w:rFonts w:hint="eastAsia" w:ascii="宋体" w:hAnsi="宋体"/>
          <w:b/>
          <w:sz w:val="21"/>
          <w:szCs w:val="21"/>
          <w:highlight w:val="none"/>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75"/>
        <w:ind w:left="0" w:firstLine="430"/>
        <w:spacing w:line="360" w:lineRule="auto"/>
        <w:rPr>
          <w:rFonts w:ascii="宋体" w:hAnsi="宋体"/>
          <w:b/>
          <w:sz w:val="21"/>
          <w:szCs w:val="21"/>
          <w:highlight w:val="none"/>
        </w:rPr>
      </w:pPr>
      <w:r>
        <w:rPr>
          <w:rFonts w:hint="eastAsia" w:ascii="宋体" w:hAnsi="宋体"/>
          <w:b/>
          <w:sz w:val="21"/>
          <w:szCs w:val="21"/>
          <w:highlight w:val="none"/>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.投标文件编制要求</w:t>
      </w:r>
      <w:r/>
    </w:p>
    <w:p>
      <w:pPr>
        <w:ind w:left="0" w:firstLine="422"/>
        <w:spacing w:line="360" w:lineRule="auto"/>
        <w:rPr>
          <w:rFonts w:ascii="宋体" w:hAnsi="宋体"/>
          <w:b/>
          <w:sz w:val="21"/>
          <w:szCs w:val="21"/>
          <w:highlight w:val="none"/>
        </w:rPr>
      </w:pPr>
      <w:r>
        <w:rPr>
          <w:rFonts w:hint="eastAsia" w:ascii="宋体" w:hAnsi="宋体"/>
          <w:b/>
          <w:sz w:val="21"/>
          <w:szCs w:val="21"/>
          <w:highlight w:val="none"/>
        </w:rPr>
        <w:t xml:space="preserve">1</w:t>
      </w:r>
      <w:r>
        <w:rPr>
          <w:rFonts w:ascii="宋体" w:hAnsi="宋体"/>
          <w:b/>
          <w:sz w:val="21"/>
          <w:szCs w:val="21"/>
          <w:highlight w:val="none"/>
        </w:rPr>
        <w:t xml:space="preserve">5</w:t>
      </w:r>
      <w:r>
        <w:rPr>
          <w:rFonts w:hint="eastAsia" w:ascii="宋体" w:hAnsi="宋体"/>
          <w:b/>
          <w:sz w:val="21"/>
          <w:szCs w:val="21"/>
          <w:highlight w:val="none"/>
        </w:rPr>
        <w:t xml:space="preserve">.1投标文件按统一格式、顺序编写。</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5</w:t>
      </w:r>
      <w:r>
        <w:rPr>
          <w:rFonts w:hint="eastAsia" w:ascii="宋体" w:hAnsi="宋体"/>
          <w:sz w:val="21"/>
          <w:szCs w:val="21"/>
          <w:highlight w:val="none"/>
        </w:rPr>
        <w:t xml:space="preserve">.2《开标一览表》为在开标仪式上唱标的内容，要求按格式填写，统一规范，不得自行增减内容。</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6</w:t>
      </w:r>
      <w:r>
        <w:rPr>
          <w:rFonts w:hint="eastAsia" w:ascii="宋体" w:hAnsi="宋体" w:cs="宋体"/>
          <w:b/>
          <w:sz w:val="21"/>
          <w:szCs w:val="21"/>
          <w:highlight w:val="none"/>
        </w:rPr>
        <w:t xml:space="preserve">.投标报价（编制）要求的说明</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ascii="宋体" w:hAnsi="宋体"/>
          <w:sz w:val="21"/>
          <w:szCs w:val="21"/>
          <w:highlight w:val="none"/>
        </w:rPr>
        <w:t xml:space="preserve">6</w:t>
      </w:r>
      <w:r>
        <w:rPr>
          <w:rFonts w:hint="eastAsia" w:ascii="宋体" w:hAnsi="宋体"/>
          <w:sz w:val="21"/>
          <w:szCs w:val="21"/>
          <w:highlight w:val="none"/>
        </w:rPr>
        <w:t xml:space="preserve">.1除非合同中另有规定，投标人对《开标一览表》中的报价</w:t>
      </w:r>
      <w:r>
        <w:rPr>
          <w:rFonts w:hint="eastAsia" w:ascii="宋体" w:hAnsi="宋体"/>
          <w:sz w:val="21"/>
          <w:szCs w:val="21"/>
          <w:highlight w:val="none"/>
          <w:lang w:val="zh-CN"/>
        </w:rPr>
        <w:t xml:space="preserve">应综合考量</w:t>
      </w:r>
      <w:r>
        <w:rPr>
          <w:rFonts w:hint="eastAsia" w:ascii="宋体" w:hAnsi="宋体"/>
          <w:sz w:val="21"/>
          <w:szCs w:val="21"/>
          <w:highlight w:val="none"/>
        </w:rPr>
        <w:t xml:space="preserve">完成本次服务项目所需的服务成本、经营成本、法定税费和管理企业的利润、保险及合同包含的所有风险、责任等各项应有费用。</w:t>
      </w:r>
      <w:r>
        <w:rPr>
          <w:rFonts w:hint="eastAsia" w:ascii="宋体" w:hAnsi="宋体"/>
          <w:sz w:val="21"/>
          <w:szCs w:val="21"/>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highlight w:val="none"/>
        </w:rPr>
        <w:t xml:space="preserve">。</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.2投标人应按《公开分项报价》要求的内容填写，并由其法定代表人或授权代理人签署。</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.3投标人应对招标文件内所要采购的全部内容进行报价，只投其中部分内容者，其标书将被拒绝（如为多标段项目，则上述提到的全部内容是指所投标段对应采购的全部内容）。</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.4一项投标内容只允许一个报价，招标人不接受任何有选择性的投标报价。</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.5投标文件报价采用人民币表示，除非合同的特殊条款另有规定。</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6</w:t>
      </w:r>
      <w:r>
        <w:rPr>
          <w:rFonts w:hint="eastAsia" w:ascii="宋体" w:hAnsi="宋体" w:cs="宋体"/>
          <w:sz w:val="21"/>
          <w:szCs w:val="21"/>
          <w:highlight w:val="none"/>
        </w:rPr>
        <w:t xml:space="preserve">.6最低的报价或最高的折扣率不能作为中标的保证。</w:t>
      </w:r>
      <w:r/>
    </w:p>
    <w:p>
      <w:pPr>
        <w:pStyle w:val="1075"/>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1</w:t>
      </w:r>
      <w:r>
        <w:rPr>
          <w:rFonts w:ascii="宋体" w:hAnsi="宋体" w:cs="宋体"/>
          <w:b/>
          <w:sz w:val="21"/>
          <w:szCs w:val="21"/>
          <w:highlight w:val="none"/>
        </w:rPr>
        <w:t xml:space="preserve">7</w:t>
      </w:r>
      <w:r>
        <w:rPr>
          <w:rFonts w:hint="eastAsia" w:ascii="宋体" w:hAnsi="宋体" w:cs="宋体"/>
          <w:b/>
          <w:sz w:val="21"/>
          <w:szCs w:val="21"/>
          <w:highlight w:val="none"/>
        </w:rPr>
        <w:t xml:space="preserve">.投标保证金：</w:t>
      </w:r>
      <w:r>
        <w:rPr>
          <w:rFonts w:hint="eastAsia" w:ascii="宋体" w:hAnsi="宋体" w:cs="宋体"/>
          <w:b/>
          <w:sz w:val="21"/>
          <w:szCs w:val="21"/>
          <w:highlight w:val="none"/>
          <w:lang w:val="en-US"/>
        </w:rPr>
        <w:t xml:space="preserve">本项目不收取投标保证金。</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.投标文件的有效期</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.1自提交投标文件截止之日起90天内，投标文件中承诺的投标有效期应当不少于招标文件中载明的投标有效期。</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1</w:t>
      </w:r>
      <w:r>
        <w:rPr>
          <w:rFonts w:ascii="宋体" w:hAnsi="宋体" w:cs="宋体"/>
          <w:sz w:val="21"/>
          <w:szCs w:val="21"/>
          <w:highlight w:val="none"/>
        </w:rPr>
        <w:t xml:space="preserve">8</w:t>
      </w:r>
      <w:r>
        <w:rPr>
          <w:rFonts w:hint="eastAsia" w:ascii="宋体" w:hAnsi="宋体" w:cs="宋体"/>
          <w:sz w:val="21"/>
          <w:szCs w:val="21"/>
          <w:highlight w:val="none"/>
        </w:rPr>
        <w:t xml:space="preserve">.2在特殊情况下，采购人、采购代理机构可与投标人协商延长投标书的有效期。这种要求和答复都应以书面形式进行。同意延长有效期的投标人不能修改投标文件。</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1</w:t>
      </w:r>
      <w:r>
        <w:rPr>
          <w:rFonts w:ascii="宋体" w:hAnsi="宋体" w:cs="宋体"/>
          <w:b/>
          <w:sz w:val="21"/>
          <w:szCs w:val="21"/>
          <w:highlight w:val="none"/>
        </w:rPr>
        <w:t xml:space="preserve">9</w:t>
      </w:r>
      <w:r>
        <w:rPr>
          <w:rFonts w:hint="eastAsia" w:ascii="宋体" w:hAnsi="宋体" w:cs="宋体"/>
          <w:b/>
          <w:sz w:val="21"/>
          <w:szCs w:val="21"/>
          <w:highlight w:val="none"/>
        </w:rPr>
        <w:t xml:space="preserve">.投标文件的制作、签署、上传</w:t>
      </w:r>
      <w:r/>
    </w:p>
    <w:p>
      <w:pPr>
        <w:pStyle w:val="1075"/>
        <w:ind w:left="0" w:firstLine="428"/>
        <w:spacing w:line="360" w:lineRule="auto"/>
        <w:rPr>
          <w:rFonts w:ascii="宋体" w:hAnsi="宋体"/>
          <w:b/>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本项目采用电子招投标形式，请供应商按照</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进行制作、上传电子投标文件。</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9.2</w:t>
      </w:r>
      <w:r>
        <w:rPr>
          <w:rFonts w:hint="eastAsia" w:ascii="宋体" w:hAnsi="宋体" w:cs="宋体"/>
          <w:color w:val="000000" w:themeColor="text1"/>
          <w:sz w:val="21"/>
          <w:szCs w:val="21"/>
          <w:highlight w:val="none"/>
          <w14:textFill>
            <w14:solidFill>
              <w14:schemeClr w14:val="tx1"/>
            </w14:solidFill>
          </w14:textFill>
        </w:rPr>
        <w:t xml:space="preserve">制作电子投标文件时，应按照招标文件要求加盖投标人电子公章。</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w:t>
      </w:r>
      <w:r>
        <w:rPr>
          <w:rFonts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b/>
          <w:color w:val="000000" w:themeColor="text1"/>
          <w:sz w:val="21"/>
          <w:szCs w:val="21"/>
          <w:highlight w:val="none"/>
          <w14:textFill>
            <w14:solidFill>
              <w14:schemeClr w14:val="tx1"/>
            </w14:solidFill>
          </w14:textFill>
        </w:rPr>
        <w:t xml:space="preserve">电子投标文件制作完成后请于</w:t>
      </w:r>
      <w:r>
        <w:rPr>
          <w:rFonts w:hint="eastAsia" w:ascii="宋体" w:hAnsi="宋体"/>
          <w:b/>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b/>
          <w:color w:val="000000" w:themeColor="text1"/>
          <w:sz w:val="21"/>
          <w:szCs w:val="21"/>
          <w:highlight w:val="none"/>
          <w14:textFill>
            <w14:solidFill>
              <w14:schemeClr w14:val="tx1"/>
            </w14:solidFill>
          </w14:textFill>
        </w:rPr>
        <w:t xml:space="preserve">前成功上传至“苏采云”系统，否则视为放弃参加该采购项目。</w:t>
      </w:r>
      <w:bookmarkStart w:id="30" w:name="_Toc25608"/>
      <w:r/>
      <w:bookmarkStart w:id="31" w:name="_Toc31150"/>
      <w:r>
        <w:rPr>
          <w:rFonts w:hint="eastAsia" w:ascii="宋体" w:hAnsi="宋体" w:cs="宋体"/>
          <w:color w:val="000000" w:themeColor="text1"/>
          <w:sz w:val="21"/>
          <w:szCs w:val="21"/>
          <w:highlight w:val="none"/>
          <w14:textFill>
            <w14:solidFill>
              <w14:schemeClr w14:val="tx1"/>
            </w14:solidFill>
          </w14:textFill>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0"/>
      <w:bookmarkEnd w:id="31"/>
      <w:r/>
    </w:p>
    <w:p>
      <w:pPr>
        <w:pStyle w:val="1075"/>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五、投标文件的递交、补充、修改和撤回</w:t>
      </w:r>
      <w:r/>
    </w:p>
    <w:p>
      <w:pPr>
        <w:pStyle w:val="1075"/>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20.投标文件的递交</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s="宋体"/>
          <w:color w:val="000000" w:themeColor="text1"/>
          <w:sz w:val="21"/>
          <w:szCs w:val="21"/>
          <w:highlight w:val="none"/>
          <w14:textFill>
            <w14:solidFill>
              <w14:schemeClr w14:val="tx1"/>
            </w14:solidFill>
          </w14:textFill>
        </w:rPr>
        <w:t xml:space="preserve">20</w:t>
      </w:r>
      <w:r>
        <w:rPr>
          <w:rFonts w:hint="eastAsia" w:ascii="宋体" w:hAnsi="宋体" w:cs="宋体"/>
          <w:color w:val="000000" w:themeColor="text1"/>
          <w:sz w:val="21"/>
          <w:szCs w:val="21"/>
          <w:highlight w:val="none"/>
          <w14:textFill>
            <w14:solidFill>
              <w14:schemeClr w14:val="tx1"/>
            </w14:solidFill>
          </w14:textFill>
        </w:rPr>
        <w:t xml:space="preserve">.1投标人应当在投标截止时间前制作并上传电子投标文件。</w:t>
      </w:r>
      <w:r/>
    </w:p>
    <w:p>
      <w:pPr>
        <w:pStyle w:val="859"/>
        <w:ind w:left="0" w:firstLine="420"/>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20</w:t>
      </w:r>
      <w:r>
        <w:rPr>
          <w:rFonts w:hint="eastAsia" w:ascii="宋体" w:hAnsi="宋体"/>
          <w:color w:val="000000" w:themeColor="text1"/>
          <w:sz w:val="21"/>
          <w:szCs w:val="21"/>
          <w:highlight w:val="none"/>
          <w14:textFill>
            <w14:solidFill>
              <w14:schemeClr w14:val="tx1"/>
            </w14:solidFill>
          </w14:textFill>
        </w:rPr>
        <w:t xml:space="preserve">.2投标人通过</w:t>
      </w:r>
      <w:r>
        <w:rPr>
          <w:rFonts w:hint="eastAsia" w:ascii="宋体" w:hAnsi="宋体"/>
          <w:b/>
          <w:color w:val="000000" w:themeColor="text1"/>
          <w:sz w:val="21"/>
          <w:szCs w:val="21"/>
          <w:highlight w:val="none"/>
          <w14:textFill>
            <w14:solidFill>
              <w14:schemeClr w14:val="tx1"/>
            </w14:solidFill>
          </w14:textFill>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highlight w:val="none"/>
          <w14:textFill>
            <w14:solidFill>
              <w14:schemeClr w14:val="tx1"/>
            </w14:solidFill>
          </w14:textFill>
        </w:rPr>
        <w:t xml:space="preserve">《苏采云系统供应商操作手册》，</w:t>
      </w:r>
      <w:r>
        <w:rPr>
          <w:rFonts w:hint="eastAsia" w:ascii="宋体" w:hAnsi="宋体"/>
          <w:b/>
          <w:sz w:val="21"/>
          <w:szCs w:val="21"/>
          <w:highlight w:val="none"/>
        </w:rPr>
        <w:t xml:space="preserve">网址链接</w:t>
      </w:r>
      <w:r>
        <w:rPr>
          <w:rFonts w:ascii="宋体" w:hAnsi="宋体"/>
          <w:b/>
          <w:sz w:val="21"/>
          <w:szCs w:val="21"/>
          <w:highlight w:val="none"/>
        </w:rPr>
        <w:t xml:space="preserve">https</w:t>
      </w:r>
      <w:r>
        <w:rPr>
          <w:rFonts w:hint="eastAsia" w:ascii="宋体" w:hAnsi="宋体"/>
          <w:b/>
          <w:sz w:val="21"/>
          <w:szCs w:val="21"/>
          <w:highlight w:val="none"/>
        </w:rPr>
        <w:t xml:space="preserve">：</w:t>
      </w:r>
      <w:r>
        <w:rPr>
          <w:rFonts w:ascii="宋体" w:hAnsi="宋体"/>
          <w:b/>
          <w:sz w:val="21"/>
          <w:szCs w:val="21"/>
          <w:highlight w:val="none"/>
        </w:rPr>
        <w:t xml:space="preserve">//czju.suzhou.gov.cn/zfcg/html/content/20231220161910031.shtml</w:t>
      </w:r>
      <w:r>
        <w:rPr>
          <w:rFonts w:hint="eastAsia" w:ascii="宋体" w:hAnsi="宋体"/>
          <w:b/>
          <w:color w:val="000000" w:themeColor="text1"/>
          <w:sz w:val="21"/>
          <w:szCs w:val="21"/>
          <w:highlight w:val="none"/>
          <w14:textFill>
            <w14:solidFill>
              <w14:schemeClr w14:val="tx1"/>
            </w14:solidFill>
          </w14:textFill>
        </w:rPr>
        <w:t xml:space="preserve">）</w:t>
      </w:r>
      <w:r/>
    </w:p>
    <w:p>
      <w:pPr>
        <w:pStyle w:val="107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21</w:t>
      </w:r>
      <w:r>
        <w:rPr>
          <w:rFonts w:hint="eastAsia" w:ascii="宋体" w:hAnsi="宋体" w:cs="宋体"/>
          <w:b/>
          <w:sz w:val="21"/>
          <w:szCs w:val="21"/>
          <w:highlight w:val="none"/>
        </w:rPr>
        <w:t xml:space="preserve">.投标截止时间</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.1投标人应当在招标文件要求</w:t>
      </w:r>
      <w:r>
        <w:rPr>
          <w:rFonts w:hint="eastAsia" w:ascii="宋体" w:hAnsi="宋体"/>
          <w:sz w:val="21"/>
          <w:szCs w:val="21"/>
          <w:highlight w:val="none"/>
        </w:rPr>
        <w:t xml:space="preserve">投标文件网上提交截止时间</w:t>
      </w:r>
      <w:r>
        <w:rPr>
          <w:rFonts w:hint="eastAsia" w:ascii="宋体" w:hAnsi="宋体" w:cs="宋体"/>
          <w:sz w:val="21"/>
          <w:szCs w:val="21"/>
          <w:highlight w:val="none"/>
        </w:rPr>
        <w:t xml:space="preserve">前，将投标文件完成提交（上传）。</w:t>
      </w:r>
      <w:r>
        <w:rPr>
          <w:rFonts w:hint="eastAsia" w:ascii="宋体" w:hAnsi="宋体"/>
          <w:sz w:val="21"/>
          <w:szCs w:val="21"/>
          <w:highlight w:val="none"/>
        </w:rPr>
        <w:t xml:space="preserve">逾期提交（上传）的投标文件</w:t>
      </w:r>
      <w:r>
        <w:rPr>
          <w:rFonts w:hint="eastAsia" w:ascii="宋体" w:hAnsi="宋体" w:cs="宋体"/>
          <w:sz w:val="21"/>
          <w:szCs w:val="21"/>
          <w:highlight w:val="none"/>
        </w:rPr>
        <w:t xml:space="preserve">，</w:t>
      </w:r>
      <w:r>
        <w:rPr>
          <w:rFonts w:hint="eastAsia" w:ascii="宋体" w:hAnsi="宋体"/>
          <w:sz w:val="21"/>
          <w:szCs w:val="21"/>
          <w:highlight w:val="none"/>
        </w:rPr>
        <w:t xml:space="preserve">采购人和采购代理机构</w:t>
      </w:r>
      <w:r>
        <w:rPr>
          <w:rFonts w:hint="eastAsia" w:ascii="宋体" w:hAnsi="宋体" w:cs="宋体"/>
          <w:sz w:val="21"/>
          <w:szCs w:val="21"/>
          <w:highlight w:val="none"/>
        </w:rPr>
        <w:t xml:space="preserve">拒绝接收。</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.2采购人和采购代理机构推迟投标截止时间时，将按本须知规定的更正公告的方式对外发布。在这种情况下，</w:t>
      </w:r>
      <w:r>
        <w:rPr>
          <w:rFonts w:hint="eastAsia" w:ascii="宋体" w:hAnsi="宋体"/>
          <w:sz w:val="21"/>
          <w:szCs w:val="21"/>
          <w:highlight w:val="none"/>
        </w:rPr>
        <w:t xml:space="preserve">采购人、采购代理机构</w:t>
      </w:r>
      <w:r>
        <w:rPr>
          <w:rFonts w:hint="eastAsia" w:ascii="宋体" w:hAnsi="宋体" w:cs="宋体"/>
          <w:sz w:val="21"/>
          <w:szCs w:val="21"/>
          <w:highlight w:val="none"/>
        </w:rPr>
        <w:t xml:space="preserve">和投标人的权利和义务将受到新的截止期的约束。</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21</w:t>
      </w:r>
      <w:r>
        <w:rPr>
          <w:rFonts w:hint="eastAsia" w:ascii="宋体" w:hAnsi="宋体" w:cs="宋体"/>
          <w:sz w:val="21"/>
          <w:szCs w:val="21"/>
          <w:highlight w:val="none"/>
        </w:rPr>
        <w:t xml:space="preserve">.3在投标截止时间止成功解密的投标文件少于三份，采购代理机构有权宣布本次招标失败。</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2</w:t>
      </w:r>
      <w:r>
        <w:rPr>
          <w:rFonts w:hint="eastAsia" w:ascii="宋体" w:hAnsi="宋体" w:cs="宋体"/>
          <w:b/>
          <w:sz w:val="21"/>
          <w:szCs w:val="21"/>
          <w:highlight w:val="none"/>
        </w:rPr>
        <w:t xml:space="preserve">.投标文件的补充、修改和撤回</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.1投标人在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前，可以对其电子投标文件进行补充、修改，具体操作方法见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之后，投标人不得对其电子投标文件作任何修改。</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.2投标人在</w:t>
      </w:r>
      <w:r>
        <w:rPr>
          <w:rFonts w:hint="eastAsia" w:ascii="宋体" w:hAnsi="宋体"/>
          <w:color w:val="000000" w:themeColor="text1"/>
          <w:sz w:val="21"/>
          <w:szCs w:val="21"/>
          <w:highlight w:val="none"/>
          <w14:textFill>
            <w14:solidFill>
              <w14:schemeClr w14:val="tx1"/>
            </w14:solidFill>
          </w14:textFill>
        </w:rPr>
        <w:t xml:space="preserve">投标文件网上提交截止时间</w:t>
      </w:r>
      <w:r>
        <w:rPr>
          <w:rFonts w:hint="eastAsia" w:ascii="宋体" w:hAnsi="宋体" w:cs="宋体"/>
          <w:color w:val="000000" w:themeColor="text1"/>
          <w:sz w:val="21"/>
          <w:szCs w:val="21"/>
          <w:highlight w:val="none"/>
          <w14:textFill>
            <w14:solidFill>
              <w14:schemeClr w14:val="tx1"/>
            </w14:solidFill>
          </w14:textFill>
        </w:rPr>
        <w:t xml:space="preserve">前，可以撤回其电子投标文件，具体操作方法见</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w:t>
      </w:r>
      <w:bookmarkStart w:id="32" w:name="_Toc22837"/>
      <w:r/>
      <w:bookmarkStart w:id="33" w:name="_Toc29371"/>
      <w:r>
        <w:rPr>
          <w:rFonts w:hint="eastAsia" w:ascii="宋体" w:hAnsi="宋体" w:cs="宋体"/>
          <w:color w:val="000000" w:themeColor="text1"/>
          <w:sz w:val="21"/>
          <w:szCs w:val="21"/>
          <w:highlight w:val="none"/>
          <w14:textFill>
            <w14:solidFill>
              <w14:schemeClr w14:val="tx1"/>
            </w14:solidFill>
          </w14:textFill>
        </w:rPr>
        <w:t xml:space="preserve">投标人撤回电子投标文件，则认为其不再参与本项目投标活动。在投标截止时间至招标文件中规定的投标有效期满之间的这段时间内，投标人不得撤回其投标。</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六、开标和评标</w:t>
      </w:r>
      <w:bookmarkEnd w:id="32"/>
      <w:r/>
      <w:bookmarkEnd w:id="33"/>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.开标</w:t>
      </w:r>
      <w:r/>
    </w:p>
    <w:p>
      <w:pPr>
        <w:pStyle w:val="1075"/>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w:t>
      </w:r>
      <w:r>
        <w:rPr>
          <w:rFonts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.1开标由采购代理机构</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主持，邀请投标人</w:t>
      </w:r>
      <w:r>
        <w:rPr>
          <w:rFonts w:hint="eastAsia" w:ascii="宋体" w:hAnsi="宋体" w:cs="宋体"/>
          <w:color w:val="000000" w:themeColor="text1"/>
          <w:sz w:val="21"/>
          <w:szCs w:val="21"/>
          <w:highlight w:val="none"/>
          <w:lang w:val="en-US"/>
          <w14:textFill>
            <w14:solidFill>
              <w14:schemeClr w14:val="tx1"/>
            </w14:solidFill>
          </w14:textFill>
        </w:rPr>
        <w:t xml:space="preserve">在线</w:t>
      </w:r>
      <w:r>
        <w:rPr>
          <w:rFonts w:hint="eastAsia" w:ascii="宋体" w:hAnsi="宋体" w:cs="宋体"/>
          <w:color w:val="000000" w:themeColor="text1"/>
          <w:sz w:val="21"/>
          <w:szCs w:val="21"/>
          <w:highlight w:val="none"/>
          <w14:textFill>
            <w14:solidFill>
              <w14:schemeClr w14:val="tx1"/>
            </w14:solidFill>
          </w14:textFill>
        </w:rPr>
        <w:t xml:space="preserve">参加。投标人应当按照</w:t>
      </w:r>
      <w:r>
        <w:rPr>
          <w:rFonts w:hint="eastAsia" w:asciiTheme="minorEastAsia" w:hAnsiTheme="minorEastAsia" w:eastAsiaTheme="minorEastAsia"/>
          <w:color w:val="000000" w:themeColor="text1"/>
          <w:sz w:val="21"/>
          <w:szCs w:val="21"/>
          <w:highlight w:val="none"/>
          <w14:textFill>
            <w14:solidFill>
              <w14:schemeClr w14:val="tx1"/>
            </w14:solidFill>
          </w14:textFill>
        </w:rPr>
        <w:t xml:space="preserve">《苏采云系统供应商操作手册》</w:t>
      </w:r>
      <w:r>
        <w:rPr>
          <w:rFonts w:hint="eastAsia" w:ascii="宋体" w:hAnsi="宋体" w:cs="宋体"/>
          <w:color w:val="000000" w:themeColor="text1"/>
          <w:sz w:val="21"/>
          <w:szCs w:val="21"/>
          <w:highlight w:val="none"/>
          <w14:textFill>
            <w14:solidFill>
              <w14:schemeClr w14:val="tx1"/>
            </w14:solidFill>
          </w14:textFill>
        </w:rPr>
        <w:t xml:space="preserve">规定，</w:t>
      </w:r>
      <w:r>
        <w:rPr>
          <w:rFonts w:hint="eastAsia" w:ascii="宋体" w:hAnsi="宋体" w:cs="宋体"/>
          <w:b/>
          <w:color w:val="000000" w:themeColor="text1"/>
          <w:sz w:val="21"/>
          <w:szCs w:val="21"/>
          <w:highlight w:val="none"/>
          <w14:textFill>
            <w14:solidFill>
              <w14:schemeClr w14:val="tx1"/>
            </w14:solidFill>
          </w14:textFill>
        </w:rPr>
        <w:t xml:space="preserve">参加开标活动和在“苏采云”系统规定的时间内对投标文件进行解密</w:t>
      </w:r>
      <w:r>
        <w:rPr>
          <w:rFonts w:hint="eastAsia" w:ascii="宋体" w:hAnsi="宋体" w:cs="宋体"/>
          <w:color w:val="000000" w:themeColor="text1"/>
          <w:sz w:val="21"/>
          <w:szCs w:val="21"/>
          <w:highlight w:val="none"/>
          <w14:textFill>
            <w14:solidFill>
              <w14:schemeClr w14:val="tx1"/>
            </w14:solidFill>
          </w14:textFill>
        </w:rPr>
        <w:t xml:space="preserve">。评标委员会成员不得参加开标活动。</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2</w:t>
      </w:r>
      <w:r>
        <w:rPr>
          <w:rFonts w:hint="eastAsia" w:ascii="宋体" w:hAnsi="宋体" w:cs="宋体"/>
          <w:sz w:val="21"/>
          <w:szCs w:val="21"/>
          <w:highlight w:val="none"/>
        </w:rPr>
        <w:t xml:space="preserve">开标时，由采购代理机构</w:t>
      </w:r>
      <w:r>
        <w:rPr>
          <w:rFonts w:hint="eastAsia" w:ascii="宋体" w:hAnsi="宋体" w:cs="宋体"/>
          <w:sz w:val="21"/>
          <w:szCs w:val="21"/>
          <w:highlight w:val="none"/>
          <w:lang w:val="en-US"/>
        </w:rPr>
        <w:t xml:space="preserve">通过“苏采云”系统在线</w:t>
      </w:r>
      <w:r>
        <w:rPr>
          <w:rFonts w:hint="eastAsia" w:ascii="宋体" w:hAnsi="宋体" w:cs="宋体"/>
          <w:sz w:val="21"/>
          <w:szCs w:val="21"/>
          <w:highlight w:val="none"/>
        </w:rPr>
        <w:t xml:space="preserve">宣布投标人名称、投标价格和招标文件规定的需要宣布的其他内容。</w:t>
      </w:r>
      <w:r>
        <w:rPr>
          <w:rFonts w:hint="eastAsia" w:ascii="宋体" w:hAnsi="宋体" w:cs="宋体"/>
          <w:sz w:val="21"/>
          <w:szCs w:val="21"/>
          <w:highlight w:val="none"/>
          <w:lang w:val="en-US"/>
        </w:rPr>
        <w:t xml:space="preserve">投标人在不见面开标系统中确认投标价格，如</w:t>
      </w:r>
      <w:r>
        <w:rPr>
          <w:rFonts w:hint="eastAsia" w:ascii="宋体" w:hAnsi="宋体" w:cs="宋体"/>
          <w:sz w:val="21"/>
          <w:szCs w:val="21"/>
          <w:highlight w:val="none"/>
        </w:rPr>
        <w:t xml:space="preserve">投标人未</w:t>
      </w:r>
      <w:r>
        <w:rPr>
          <w:rFonts w:hint="eastAsia" w:ascii="宋体" w:hAnsi="宋体" w:cs="宋体"/>
          <w:sz w:val="21"/>
          <w:szCs w:val="21"/>
          <w:highlight w:val="none"/>
          <w:lang w:val="en-US"/>
        </w:rPr>
        <w:t xml:space="preserve">在线</w:t>
      </w:r>
      <w:r>
        <w:rPr>
          <w:rFonts w:hint="eastAsia" w:ascii="宋体" w:hAnsi="宋体" w:cs="宋体"/>
          <w:sz w:val="21"/>
          <w:szCs w:val="21"/>
          <w:highlight w:val="none"/>
        </w:rPr>
        <w:t xml:space="preserve">参加开标</w:t>
      </w:r>
      <w:r>
        <w:rPr>
          <w:rFonts w:hint="eastAsia" w:ascii="宋体" w:hAnsi="宋体" w:cs="宋体"/>
          <w:sz w:val="21"/>
          <w:szCs w:val="21"/>
          <w:highlight w:val="none"/>
          <w:lang w:val="en-US"/>
        </w:rPr>
        <w:t xml:space="preserve">或未在规定时间内确认价格</w:t>
      </w:r>
      <w:r>
        <w:rPr>
          <w:rFonts w:hint="eastAsia" w:ascii="宋体" w:hAnsi="宋体" w:cs="宋体"/>
          <w:sz w:val="21"/>
          <w:szCs w:val="21"/>
          <w:highlight w:val="none"/>
        </w:rPr>
        <w:t xml:space="preserve">的，视同认可开标结果。</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资格审查</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.1公开招标采购项目开标结束后，采购人应当依法对投标人的资格进行审查，未通过资格审查的视为无效投标。</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.2.1查询时间：投标文件递交截止时间。</w:t>
      </w:r>
      <w:r/>
    </w:p>
    <w:p>
      <w:pPr>
        <w:pStyle w:val="107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.2.2查询渠道</w:t>
      </w:r>
      <w:r>
        <w:rPr>
          <w:rFonts w:hint="eastAsia" w:ascii="宋体" w:hAnsi="宋体" w:cs="宋体"/>
          <w:b/>
          <w:sz w:val="21"/>
          <w:szCs w:val="21"/>
          <w:highlight w:val="none"/>
        </w:rPr>
        <w:t xml:space="preserve">：</w:t>
      </w:r>
      <w:r>
        <w:rPr>
          <w:rFonts w:hint="eastAsia" w:ascii="宋体" w:hAnsi="宋体" w:cs="宋体"/>
          <w:color w:val="000000" w:themeColor="text1"/>
          <w:sz w:val="21"/>
          <w:szCs w:val="21"/>
          <w:highlight w:val="none"/>
          <w14:textFill>
            <w14:solidFill>
              <w14:schemeClr w14:val="tx1"/>
            </w14:solidFill>
          </w14:textFill>
        </w:rPr>
        <w:t xml:space="preserve">采购代理机构会在接收投标文件截止时间后，登录</w:t>
      </w:r>
      <w:r>
        <w:rPr>
          <w:rFonts w:ascii="宋体" w:hAnsi="宋体" w:cs="宋体"/>
          <w:color w:val="000000" w:themeColor="text1"/>
          <w:sz w:val="21"/>
          <w:szCs w:val="21"/>
          <w:highlight w:val="none"/>
          <w14:textFill>
            <w14:solidFill>
              <w14:schemeClr w14:val="tx1"/>
            </w14:solidFill>
          </w14:textFill>
        </w:rPr>
        <w:t xml:space="preserve">信用中国</w:t>
      </w:r>
      <w:r>
        <w:rPr>
          <w:rFonts w:hint="eastAsia" w:ascii="宋体" w:hAnsi="宋体" w:cs="宋体"/>
          <w:color w:val="000000" w:themeColor="text1"/>
          <w:sz w:val="21"/>
          <w:szCs w:val="21"/>
          <w:highlight w:val="none"/>
          <w14:textFill>
            <w14:solidFill>
              <w14:schemeClr w14:val="tx1"/>
            </w14:solidFill>
          </w14:textFill>
        </w:rPr>
        <w:t xml:space="preserve">网站</w:t>
      </w:r>
      <w:r>
        <w:rPr>
          <w:rFonts w:ascii="宋体" w:hAnsi="宋体" w:cs="宋体"/>
          <w:color w:val="000000" w:themeColor="text1"/>
          <w:sz w:val="21"/>
          <w:szCs w:val="21"/>
          <w:highlight w:val="none"/>
          <w14:textFill>
            <w14:solidFill>
              <w14:schemeClr w14:val="tx1"/>
            </w14:solidFill>
          </w14:textFill>
        </w:rPr>
        <w:t xml:space="preserve">（www.creditchina.gov.cn）</w:t>
      </w:r>
      <w:r>
        <w:rPr>
          <w:rFonts w:hint="eastAsia" w:ascii="宋体" w:hAnsi="宋体" w:cs="宋体"/>
          <w:color w:val="000000" w:themeColor="text1"/>
          <w:sz w:val="21"/>
          <w:szCs w:val="21"/>
          <w:highlight w:val="none"/>
          <w14:textFill>
            <w14:solidFill>
              <w14:schemeClr w14:val="tx1"/>
            </w14:solidFill>
          </w14:textFill>
        </w:rPr>
        <w:t xml:space="preserve">和中国政府采购网（</w:t>
      </w:r>
      <w:r>
        <w:rPr>
          <w:rFonts w:ascii="宋体" w:hAnsi="宋体" w:cs="宋体"/>
          <w:color w:val="000000" w:themeColor="text1"/>
          <w:sz w:val="21"/>
          <w:szCs w:val="21"/>
          <w:highlight w:val="none"/>
          <w14:textFill>
            <w14:solidFill>
              <w14:schemeClr w14:val="tx1"/>
            </w14:solidFill>
          </w14:textFill>
        </w:rPr>
        <w:t xml:space="preserve">www.ccgp.gov.cn/</w:t>
      </w:r>
      <w:r>
        <w:rPr>
          <w:rFonts w:hint="eastAsia" w:ascii="宋体" w:hAnsi="宋体" w:cs="宋体"/>
          <w:color w:val="000000" w:themeColor="text1"/>
          <w:sz w:val="21"/>
          <w:szCs w:val="21"/>
          <w:highlight w:val="none"/>
          <w14:textFill>
            <w14:solidFill>
              <w14:schemeClr w14:val="tx1"/>
            </w14:solidFill>
          </w14:textFill>
        </w:rPr>
        <w:t xml:space="preserve">）</w:t>
      </w:r>
      <w:r>
        <w:rPr>
          <w:rFonts w:ascii="宋体" w:hAnsi="宋体" w:cs="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s="宋体"/>
          <w:color w:val="000000" w:themeColor="text1"/>
          <w:sz w:val="21"/>
          <w:szCs w:val="21"/>
          <w:highlight w:val="none"/>
          <w14:textFill>
            <w14:solidFill>
              <w14:schemeClr w14:val="tx1"/>
            </w14:solidFill>
          </w14:textFill>
        </w:rPr>
        <w:t xml:space="preserve">评标委员会。</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3.3</w:t>
      </w:r>
      <w:r>
        <w:rPr>
          <w:rFonts w:hint="eastAsia" w:ascii="宋体" w:hAnsi="宋体" w:cs="宋体"/>
          <w:sz w:val="21"/>
          <w:szCs w:val="21"/>
          <w:highlight w:val="none"/>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highlight w:val="none"/>
          <w:lang w:val="en-US"/>
        </w:rPr>
        <w:t xml:space="preserve">录</w:t>
      </w:r>
      <w:r>
        <w:rPr>
          <w:rFonts w:hint="eastAsia" w:ascii="宋体" w:hAnsi="宋体" w:cs="宋体"/>
          <w:sz w:val="21"/>
          <w:szCs w:val="21"/>
          <w:highlight w:val="none"/>
        </w:rPr>
        <w:t xml:space="preserve">到来源网站页面进行复核并打印，作为证据留存。</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3</w:t>
      </w:r>
      <w:r>
        <w:rPr>
          <w:rFonts w:hint="eastAsia" w:ascii="宋体" w:hAnsi="宋体" w:cs="宋体"/>
          <w:b/>
          <w:sz w:val="21"/>
          <w:szCs w:val="21"/>
          <w:highlight w:val="none"/>
        </w:rPr>
        <w:t xml:space="preserve">.</w:t>
      </w:r>
      <w:r>
        <w:rPr>
          <w:rFonts w:ascii="宋体" w:hAnsi="宋体" w:cs="宋体"/>
          <w:b/>
          <w:sz w:val="21"/>
          <w:szCs w:val="21"/>
          <w:highlight w:val="none"/>
        </w:rPr>
        <w:t xml:space="preserve">3.3</w:t>
      </w:r>
      <w:r>
        <w:rPr>
          <w:rFonts w:hint="eastAsia" w:ascii="宋体" w:hAnsi="宋体" w:cs="宋体"/>
          <w:b/>
          <w:sz w:val="21"/>
          <w:szCs w:val="21"/>
          <w:highlight w:val="none"/>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4</w:t>
      </w:r>
      <w:r>
        <w:rPr>
          <w:rFonts w:hint="eastAsia" w:ascii="宋体" w:hAnsi="宋体" w:cs="宋体"/>
          <w:b/>
          <w:sz w:val="21"/>
          <w:szCs w:val="21"/>
          <w:highlight w:val="none"/>
        </w:rPr>
        <w:t xml:space="preserve">.评标委员会</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.1评标委员会负责具体评标事务，并独立履行下列职责：</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.1.1审查、评价投标文件是否符合招标文件的商务、技术等实质性要求；</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.1.2要求投标人对投标文件有关事项作出澄清或者说明；</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.1.3对投标文件进行比较和评价；</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.1.4确定中标候选人名单，以及根据采购人委托直接确定中标人；</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.1.5向采购人、采购代理机构或者有关部门报告评标中发现的违法行为。</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.2评标委员会成员应当履行下列义务：</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.2.1遵纪守法，客观、公正、廉洁地履行职责；</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.2.2按照招标文件规定的评标办法和评标标准进行评标，对评审意见承担个人责任；</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.2.3对评标过程和结果，以及投标人的商业秘密保密；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.2.4评标委员会根据全体评标成员签字的原始评标记录和评标结果编写评标报告。评标报告应当包括以下内容： </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（一）招标公告刊登的媒体名称、开标日期和地点；</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（二）投标人名单和评标委员会成员名单；</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（三）评标方法和标准；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（四）开标记录和评标情况及说明，包括无效投标人名单及原因；</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（五）评标结果，确定的中标候选人名单或者经采购人委托直接确定的中标人；</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（六）其他需要说明的情况，包括评标过程中投标人根据评标委员会要求进行的澄清、说明或者补正，评标委员会成员的更换等。</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.2.5配合相关部门的投诉处理工作；</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4</w:t>
      </w:r>
      <w:r>
        <w:rPr>
          <w:rFonts w:hint="eastAsia" w:ascii="宋体" w:hAnsi="宋体" w:cs="宋体"/>
          <w:sz w:val="21"/>
          <w:szCs w:val="21"/>
          <w:highlight w:val="none"/>
        </w:rPr>
        <w:t xml:space="preserve">.2.6配合采购人和采购代理机构答复投标人提出的质疑。</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5</w:t>
      </w:r>
      <w:r>
        <w:rPr>
          <w:rFonts w:hint="eastAsia" w:ascii="宋体" w:hAnsi="宋体" w:cs="宋体"/>
          <w:b/>
          <w:sz w:val="21"/>
          <w:szCs w:val="21"/>
          <w:highlight w:val="none"/>
        </w:rPr>
        <w:t xml:space="preserve">.评标内容的保密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.1公开开标后，直到宣布授予中标合同为止，凡属于审查、澄清、评价和比较投标的所有资料，有关授予合同的信息都不应向投标人或与评标无关的其他人泄露。</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5</w:t>
      </w:r>
      <w:r>
        <w:rPr>
          <w:rFonts w:hint="eastAsia" w:ascii="宋体" w:hAnsi="宋体" w:cs="宋体"/>
          <w:sz w:val="21"/>
          <w:szCs w:val="21"/>
          <w:highlight w:val="none"/>
        </w:rPr>
        <w:t xml:space="preserve">.2在投标文件的审查、澄清、评价和比较以及授予合同的过程中，投标人对采购人、采购代理机构和评标委员会成员施加影响的任何行为，都将取消其中标资格。</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.对投标文件初审</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.1评标委员会应当对符合资格的投标人的投标文件进行符合性审查，以确定其是否满足招标文件的实质性要求。</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投标文件有下列情况之一者评标委员会有权将其拒绝：</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.1.1投标人的投标文件未按照本须知规定制作的；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.1.2未按本须知规定提交资格文件；</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.1.3与招标文件有重大偏离；</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.1.4投标人拒绝修正错误；</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.1.5投标人的报价是选择性的；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.1.6投标人的报价只投了部分内容；</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.1.7投标人的投标文件出现了评标委员会认为不应当雷同的情况；</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.1.8其他被评委会认定无效的情况。</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.3投标文件报价出现前后不一致的，除招标文件另有规定外，按照下列规定修正：</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（一）投标文件中开标一览表（报价表）内容与投标文件中相应内容不一致的，以开标一览表（报价表）为准；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（二）大写金额和小写金额不一致的，以大写金额为准；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（三）单价金额小数点或者百分比有明显错位的，以开标一览表的总价为准，并修改单价；</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（四）总价金额与按单价汇总金额不一致的，以单价金额计算结果为准。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75"/>
        <w:ind w:left="0" w:firstLine="422"/>
        <w:spacing w:line="360" w:lineRule="auto"/>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2</w:t>
      </w:r>
      <w:r>
        <w:rPr>
          <w:rFonts w:ascii="宋体" w:hAnsi="宋体" w:cs="宋体"/>
          <w:b/>
          <w:color w:val="000000" w:themeColor="text1"/>
          <w:sz w:val="21"/>
          <w:szCs w:val="21"/>
          <w:highlight w:val="none"/>
          <w14:textFill>
            <w14:solidFill>
              <w14:schemeClr w14:val="tx1"/>
            </w14:solidFill>
          </w14:textFill>
        </w:rPr>
        <w:t xml:space="preserve">6</w:t>
      </w:r>
      <w:r>
        <w:rPr>
          <w:rFonts w:hint="eastAsia" w:ascii="宋体" w:hAnsi="宋体" w:cs="宋体"/>
          <w:b/>
          <w:color w:val="000000" w:themeColor="text1"/>
          <w:sz w:val="21"/>
          <w:szCs w:val="21"/>
          <w:highlight w:val="none"/>
          <w14:textFill>
            <w14:solidFill>
              <w14:schemeClr w14:val="tx1"/>
            </w14:solidFill>
          </w14:textFill>
        </w:rPr>
        <w:t xml:space="preserve">.4异常低价投标审查</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6.4.1</w:t>
      </w:r>
      <w:r>
        <w:rPr>
          <w:rFonts w:hint="eastAsia" w:ascii="宋体" w:hAnsi="宋体" w:cs="宋体"/>
          <w:b/>
          <w:color w:val="000000" w:themeColor="text1"/>
          <w:sz w:val="21"/>
          <w:szCs w:val="21"/>
          <w:highlight w:val="none"/>
          <w:lang w:val="en-US"/>
          <w14:textFill>
            <w14:solidFill>
              <w14:schemeClr w14:val="tx1"/>
            </w14:solidFill>
          </w14:textFill>
        </w:rPr>
        <w:t xml:space="preserve">评标过程中出现下列情形之一的，</w:t>
      </w:r>
      <w:bookmarkStart w:id="34" w:name="OLE_LINK6"/>
      <w:r/>
      <w:bookmarkStart w:id="35" w:name="OLE_LINK5"/>
      <w:r>
        <w:rPr>
          <w:rFonts w:hint="eastAsia" w:ascii="宋体" w:hAnsi="宋体" w:cs="宋体"/>
          <w:b/>
          <w:color w:val="000000" w:themeColor="text1"/>
          <w:sz w:val="21"/>
          <w:szCs w:val="21"/>
          <w:highlight w:val="none"/>
          <w:lang w:val="en-US"/>
          <w14:textFill>
            <w14:solidFill>
              <w14:schemeClr w14:val="tx1"/>
            </w14:solidFill>
          </w14:textFill>
        </w:rPr>
        <w:t xml:space="preserve">评标</w:t>
      </w:r>
      <w:bookmarkEnd w:id="34"/>
      <w:r/>
      <w:bookmarkEnd w:id="35"/>
      <w:r>
        <w:rPr>
          <w:rFonts w:hint="eastAsia" w:ascii="宋体" w:hAnsi="宋体" w:cs="宋体"/>
          <w:b/>
          <w:color w:val="000000" w:themeColor="text1"/>
          <w:sz w:val="21"/>
          <w:szCs w:val="21"/>
          <w:highlight w:val="none"/>
          <w:lang w:val="en-US"/>
          <w14:textFill>
            <w14:solidFill>
              <w14:schemeClr w14:val="tx1"/>
            </w14:solidFill>
          </w14:textFill>
        </w:rPr>
        <w:t xml:space="preserve">委员会应当启动异常低价投标审查程序：</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（一）投标报价低于全部通过符合性审查供应商投标报价平均值50%的，即投标报价&lt;全部通过符合性审查供应商投标报价平均值×50%；</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（二）投标报价低于通过符合性审查的次低报价供应商投标报价50%的，即投标报价&lt;通过符合性审查的次低报价供应商投标报价×50%；</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（三）投标报价低于采购项目最高限价45%的，即投标报价&lt;采购项目最高限价×45%；</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（四）评标委员会基于专业判断，认为供应商报价过低，有可能影响产品质量或者不能诚信履约的其他情形。</w:t>
      </w:r>
      <w:r/>
    </w:p>
    <w:p>
      <w:pPr>
        <w:pStyle w:val="1075"/>
        <w:ind w:left="0" w:firstLine="422"/>
        <w:spacing w:line="360" w:lineRule="auto"/>
        <w:rPr>
          <w:color w:val="333333"/>
          <w:highlight w:val="none"/>
          <w:shd w:val="clear" w:color="auto" w:fill="ffffff"/>
        </w:rPr>
      </w:pPr>
      <w:r/>
      <w:bookmarkStart w:id="36" w:name="OLE_LINK3"/>
      <w:r/>
      <w:bookmarkStart w:id="37" w:name="OLE_LINK4"/>
      <w:r>
        <w:rPr>
          <w:rFonts w:ascii="宋体" w:hAnsi="宋体"/>
          <w:b/>
          <w:color w:val="000000" w:themeColor="text1"/>
          <w:sz w:val="21"/>
          <w:szCs w:val="21"/>
          <w:highlight w:val="none"/>
          <w14:textFill>
            <w14:solidFill>
              <w14:schemeClr w14:val="tx1"/>
            </w14:solidFill>
          </w14:textFill>
        </w:rPr>
        <w:t xml:space="preserve">26.4.2</w:t>
      </w:r>
      <w:r>
        <w:rPr>
          <w:rFonts w:hint="eastAsia" w:ascii="宋体" w:hAnsi="宋体"/>
          <w:b/>
          <w:color w:val="000000" w:themeColor="text1"/>
          <w:sz w:val="21"/>
          <w:szCs w:val="21"/>
          <w:highlight w:val="none"/>
          <w14:textFill>
            <w14:solidFill>
              <w14:schemeClr w14:val="tx1"/>
            </w14:solidFill>
          </w14:textFill>
        </w:rPr>
        <w:t xml:space="preserve">启动异常低价投标审查后，</w:t>
      </w:r>
      <w:bookmarkStart w:id="38" w:name="OLE_LINK1"/>
      <w:r/>
      <w:bookmarkStart w:id="39" w:name="OLE_LINK2"/>
      <w:r>
        <w:rPr>
          <w:rFonts w:hint="eastAsia" w:ascii="宋体" w:hAnsi="宋体"/>
          <w:b/>
          <w:color w:val="000000" w:themeColor="text1"/>
          <w:sz w:val="21"/>
          <w:szCs w:val="21"/>
          <w:highlight w:val="none"/>
          <w14:textFill>
            <w14:solidFill>
              <w14:schemeClr w14:val="tx1"/>
            </w14:solidFill>
          </w14:textFill>
        </w:rPr>
        <w:t xml:space="preserve">评标委员会</w:t>
      </w:r>
      <w:bookmarkEnd w:id="38"/>
      <w:r/>
      <w:bookmarkEnd w:id="39"/>
      <w:r>
        <w:rPr>
          <w:rFonts w:hint="eastAsia" w:ascii="宋体" w:hAnsi="宋体"/>
          <w:b/>
          <w:color w:val="000000" w:themeColor="text1"/>
          <w:sz w:val="21"/>
          <w:szCs w:val="21"/>
          <w:highlight w:val="none"/>
          <w14:textFill>
            <w14:solidFill>
              <w14:schemeClr w14:val="tx1"/>
            </w14:solidFill>
          </w14:textFill>
        </w:rPr>
        <w:t xml:space="preserve">应当要求相关供应商在评标现场合理的时间内对投标价格作出解释，提供项目具体成本测算等与报价合理性相关的书面说明及相关证明材料</w:t>
      </w:r>
      <w:bookmarkStart w:id="40" w:name="OLE_LINK9"/>
      <w:r/>
      <w:bookmarkStart w:id="41" w:name="OLE_LINK10"/>
      <w:r>
        <w:rPr>
          <w:rFonts w:hint="eastAsia" w:ascii="宋体" w:hAnsi="宋体"/>
          <w:b/>
          <w:color w:val="000000" w:themeColor="text1"/>
          <w:sz w:val="21"/>
          <w:szCs w:val="21"/>
          <w:highlight w:val="none"/>
          <w14:textFill>
            <w14:solidFill>
              <w14:schemeClr w14:val="tx1"/>
            </w14:solidFill>
          </w14:textFill>
        </w:rPr>
        <w:t xml:space="preserve">，</w:t>
      </w:r>
      <w:bookmarkEnd w:id="40"/>
      <w:r/>
      <w:bookmarkEnd w:id="41"/>
      <w:r>
        <w:rPr>
          <w:rFonts w:hint="eastAsia" w:ascii="宋体" w:hAnsi="宋体"/>
          <w:b/>
          <w:color w:val="000000" w:themeColor="text1"/>
          <w:sz w:val="21"/>
          <w:szCs w:val="21"/>
          <w:highlight w:val="none"/>
          <w14:textFill>
            <w14:solidFill>
              <w14:schemeClr w14:val="tx1"/>
            </w14:solidFill>
          </w14:textFill>
        </w:rPr>
        <w:t xml:space="preserve">包括但不限于原材料成本、人工成本、制造费用等，给予相关供应商的合理时间一般不少于</w:t>
      </w:r>
      <w:r>
        <w:rPr>
          <w:rFonts w:hint="eastAsia" w:ascii="宋体" w:hAnsi="宋体"/>
          <w:b/>
          <w:color w:val="ff0000"/>
          <w:sz w:val="21"/>
          <w:szCs w:val="21"/>
          <w:highlight w:val="none"/>
        </w:rPr>
        <w:t xml:space="preserve">30分钟</w:t>
      </w:r>
      <w:r>
        <w:rPr>
          <w:rFonts w:hint="eastAsia" w:ascii="宋体" w:hAnsi="宋体"/>
          <w:b/>
          <w:color w:val="000000" w:themeColor="text1"/>
          <w:sz w:val="21"/>
          <w:szCs w:val="21"/>
          <w:highlight w:val="none"/>
          <w14:textFill>
            <w14:solidFill>
              <w14:schemeClr w14:val="tx1"/>
            </w14:solidFill>
          </w14:textFill>
        </w:rPr>
        <w:t xml:space="preserve">。其中，属于2</w:t>
      </w:r>
      <w:r>
        <w:rPr>
          <w:rFonts w:ascii="宋体" w:hAnsi="宋体"/>
          <w:b/>
          <w:color w:val="000000" w:themeColor="text1"/>
          <w:sz w:val="21"/>
          <w:szCs w:val="21"/>
          <w:highlight w:val="none"/>
          <w14:textFill>
            <w14:solidFill>
              <w14:schemeClr w14:val="tx1"/>
            </w14:solidFill>
          </w14:textFill>
        </w:rPr>
        <w:t xml:space="preserve">6.4.1</w:t>
      </w:r>
      <w:r>
        <w:rPr>
          <w:rFonts w:hint="eastAsia" w:ascii="宋体" w:hAnsi="宋体"/>
          <w:b/>
          <w:color w:val="000000" w:themeColor="text1"/>
          <w:sz w:val="21"/>
          <w:szCs w:val="21"/>
          <w:highlight w:val="none"/>
          <w14:textFill>
            <w14:solidFill>
              <w14:schemeClr w14:val="tx1"/>
            </w14:solidFill>
          </w14:textFill>
        </w:rPr>
        <w:t xml:space="preserve">第（三）项情形，供应商已随投标文件一并提交相关书面说明及必要的证明材料的，在评审现场可不再重复提交。</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w:t>
      </w:r>
      <w:r>
        <w:rPr>
          <w:rFonts w:ascii="宋体" w:hAnsi="宋体" w:cs="宋体"/>
          <w:b/>
          <w:color w:val="000000" w:themeColor="text1"/>
          <w:sz w:val="21"/>
          <w:szCs w:val="21"/>
          <w:highlight w:val="none"/>
          <w:lang w:val="en-US"/>
          <w14:textFill>
            <w14:solidFill>
              <w14:schemeClr w14:val="tx1"/>
            </w14:solidFill>
          </w14:textFill>
        </w:rPr>
        <w:t xml:space="preserve">6.4.3</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ascii="宋体" w:hAnsi="宋体" w:cs="宋体"/>
          <w:b/>
          <w:color w:val="000000" w:themeColor="text1"/>
          <w:sz w:val="21"/>
          <w:szCs w:val="21"/>
          <w:highlight w:val="none"/>
          <w:lang w:val="en-US"/>
          <w14:textFill>
            <w14:solidFill>
              <w14:schemeClr w14:val="tx1"/>
            </w14:solidFill>
          </w14:textFill>
        </w:rPr>
        <w:t xml:space="preserve">26.4.4</w:t>
      </w:r>
      <w:r>
        <w:rPr>
          <w:rFonts w:hint="eastAsia" w:ascii="宋体" w:hAnsi="宋体"/>
          <w:b/>
          <w:color w:val="000000" w:themeColor="text1"/>
          <w:sz w:val="21"/>
          <w:szCs w:val="21"/>
          <w:highlight w:val="none"/>
          <w14:textFill>
            <w14:solidFill>
              <w14:schemeClr w14:val="tx1"/>
            </w14:solidFill>
          </w14:textFill>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t xml:space="preserve">异常低价投标（响应）审查的启动原因、审查意见和审查结果应当在评审报告中记录，并随供应商提供的相关书面说明及证明材料，以及评标委员会有关互联网浏览、查询历史一并归档。</w:t>
      </w:r>
      <w:bookmarkEnd w:id="36"/>
      <w:r/>
      <w:bookmarkEnd w:id="37"/>
      <w:r/>
      <w:r/>
    </w:p>
    <w:p>
      <w:pPr>
        <w:pStyle w:val="1075"/>
        <w:ind w:left="0" w:firstLine="422"/>
        <w:spacing w:line="360" w:lineRule="auto"/>
        <w:rPr>
          <w:rFonts w:ascii="宋体" w:hAnsi="宋体" w:cs="宋体"/>
          <w:b/>
          <w:color w:val="000000" w:themeColor="text1"/>
          <w:sz w:val="21"/>
          <w:szCs w:val="21"/>
          <w:highlight w:val="none"/>
          <w:lang w:val="en-US"/>
          <w14:textFill>
            <w14:solidFill>
              <w14:schemeClr w14:val="tx1"/>
            </w14:solidFill>
          </w14:textFill>
        </w:rPr>
      </w:pPr>
      <w:r>
        <w:rPr>
          <w:rFonts w:hint="eastAsia" w:ascii="宋体" w:hAnsi="宋体" w:cs="宋体"/>
          <w:b/>
          <w:color w:val="000000" w:themeColor="text1"/>
          <w:sz w:val="21"/>
          <w:szCs w:val="21"/>
          <w:highlight w:val="none"/>
          <w:lang w:val="en-US"/>
          <w14:textFill>
            <w14:solidFill>
              <w14:schemeClr w14:val="tx1"/>
            </w14:solidFill>
          </w14:textFill>
        </w:rPr>
        <w:t xml:space="preserve">26.</w:t>
      </w:r>
      <w:r>
        <w:rPr>
          <w:rFonts w:ascii="宋体" w:hAnsi="宋体" w:cs="宋体"/>
          <w:b/>
          <w:color w:val="000000" w:themeColor="text1"/>
          <w:sz w:val="21"/>
          <w:szCs w:val="21"/>
          <w:highlight w:val="none"/>
          <w:lang w:val="en-US"/>
          <w14:textFill>
            <w14:solidFill>
              <w14:schemeClr w14:val="tx1"/>
            </w14:solidFill>
          </w14:textFill>
        </w:rPr>
        <w:t xml:space="preserve">5</w:t>
      </w:r>
      <w:r>
        <w:rPr>
          <w:rFonts w:hint="eastAsia" w:ascii="宋体" w:hAnsi="宋体" w:cs="宋体"/>
          <w:b/>
          <w:color w:val="000000" w:themeColor="text1"/>
          <w:sz w:val="21"/>
          <w:szCs w:val="21"/>
          <w:highlight w:val="none"/>
          <w:lang w:val="en-US"/>
          <w14:textFill>
            <w14:solidFill>
              <w14:schemeClr w14:val="tx1"/>
            </w14:solidFill>
          </w14:textFill>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6</w:t>
      </w:r>
      <w:r>
        <w:rPr>
          <w:rFonts w:hint="eastAsia" w:ascii="宋体" w:hAnsi="宋体" w:cs="宋体"/>
          <w:sz w:val="21"/>
          <w:szCs w:val="21"/>
          <w:highlight w:val="none"/>
        </w:rPr>
        <w:t xml:space="preserve">.</w:t>
      </w:r>
      <w:r>
        <w:rPr>
          <w:rFonts w:ascii="宋体" w:hAnsi="宋体" w:cs="宋体"/>
          <w:sz w:val="21"/>
          <w:szCs w:val="21"/>
          <w:highlight w:val="none"/>
        </w:rPr>
        <w:t xml:space="preserve">6</w:t>
      </w:r>
      <w:r>
        <w:rPr>
          <w:rFonts w:hint="eastAsia" w:ascii="宋体" w:hAnsi="宋体" w:cs="宋体"/>
          <w:sz w:val="21"/>
          <w:szCs w:val="21"/>
          <w:highlight w:val="none"/>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7</w:t>
      </w:r>
      <w:r>
        <w:rPr>
          <w:rFonts w:hint="eastAsia" w:ascii="宋体" w:hAnsi="宋体" w:cs="宋体"/>
          <w:b/>
          <w:sz w:val="21"/>
          <w:szCs w:val="21"/>
          <w:highlight w:val="none"/>
        </w:rPr>
        <w:t xml:space="preserve">.投标的澄清</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.1对于投标文件中含义不明确、同类问题表述不一致或者有明显文字和计算错误的内容，评标委员会应当以书面形式要求投标人作出必要的澄清、说明或者补正。</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7</w:t>
      </w:r>
      <w:r>
        <w:rPr>
          <w:rFonts w:hint="eastAsia" w:ascii="宋体" w:hAnsi="宋体" w:cs="宋体"/>
          <w:sz w:val="21"/>
          <w:szCs w:val="21"/>
          <w:highlight w:val="none"/>
        </w:rPr>
        <w:t xml:space="preserve">.2投标人的澄清、说明或者补正应当采用书面形式，并加盖</w:t>
      </w:r>
      <w:r>
        <w:rPr>
          <w:rFonts w:hint="eastAsia" w:ascii="宋体" w:hAnsi="宋体" w:cs="宋体"/>
          <w:sz w:val="21"/>
          <w:szCs w:val="21"/>
          <w:highlight w:val="none"/>
          <w:lang w:val="en-US"/>
        </w:rPr>
        <w:t xml:space="preserve">其单位电子</w:t>
      </w:r>
      <w:r>
        <w:rPr>
          <w:rFonts w:hint="eastAsia" w:ascii="宋体" w:hAnsi="宋体" w:cs="宋体"/>
          <w:sz w:val="21"/>
          <w:szCs w:val="21"/>
          <w:highlight w:val="none"/>
        </w:rPr>
        <w:t xml:space="preserve">公章。投标人的澄清、说明或者补正不得超出投标文件的范围或者改变投标文件的实质性内容。</w:t>
      </w:r>
      <w:r/>
    </w:p>
    <w:p>
      <w:pPr>
        <w:pStyle w:val="1075"/>
        <w:ind w:left="0" w:firstLine="42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sz w:val="21"/>
          <w:szCs w:val="21"/>
          <w:highlight w:val="none"/>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highlight w:val="none"/>
        </w:rPr>
        <w:t xml:space="preserve">(</w:t>
      </w:r>
      <w:r>
        <w:rPr>
          <w:rFonts w:hint="eastAsia" w:ascii="宋体" w:hAnsi="宋体" w:cs="宋体"/>
          <w:b/>
          <w:sz w:val="21"/>
          <w:szCs w:val="21"/>
          <w:highlight w:val="none"/>
        </w:rPr>
        <w:t xml:space="preserve">此处规定时间的计算以系统中的倒计时间为准，</w:t>
      </w:r>
      <w:r>
        <w:rPr>
          <w:rFonts w:hint="eastAsia" w:ascii="宋体" w:hAnsi="宋体" w:cs="宋体"/>
          <w:color w:val="000000" w:themeColor="text1"/>
          <w:sz w:val="21"/>
          <w:szCs w:val="21"/>
          <w:highlight w:val="none"/>
          <w14:textFill>
            <w14:solidFill>
              <w14:schemeClr w14:val="tx1"/>
            </w14:solidFill>
          </w14:textFill>
        </w:rPr>
        <w:t xml:space="preserve">供应商应随时保持系统在线，如因供应商自身原因未在规定时间内提交澄清确认资料的，导致的不利后果由供应商自行承担。</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8.</w:t>
      </w:r>
      <w:r>
        <w:rPr>
          <w:rFonts w:hint="eastAsia" w:ascii="宋体" w:hAnsi="宋体" w:cs="宋体"/>
          <w:b/>
          <w:sz w:val="21"/>
          <w:szCs w:val="21"/>
          <w:highlight w:val="none"/>
        </w:rPr>
        <w:t xml:space="preserve">投标无效</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.1投标人存在下列情况之一的，投标无效：</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一</w:t>
      </w:r>
      <w:r>
        <w:rPr>
          <w:rFonts w:hint="eastAsia" w:ascii="宋体" w:hAnsi="宋体" w:cs="宋体"/>
          <w:sz w:val="21"/>
          <w:szCs w:val="21"/>
          <w:highlight w:val="none"/>
        </w:rPr>
        <w:t xml:space="preserve">）投标文件未按招标文件要求签署、盖章的；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二</w:t>
      </w:r>
      <w:r>
        <w:rPr>
          <w:rFonts w:hint="eastAsia" w:ascii="宋体" w:hAnsi="宋体" w:cs="宋体"/>
          <w:sz w:val="21"/>
          <w:szCs w:val="21"/>
          <w:highlight w:val="none"/>
        </w:rPr>
        <w:t xml:space="preserve">）不具备招标文件中规定的资格要求的；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）报价超过招标文件中规定的预算金额或者最高限价的；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w:t>
      </w:r>
      <w:r>
        <w:rPr>
          <w:rFonts w:hint="eastAsia" w:ascii="宋体" w:hAnsi="宋体" w:cs="宋体"/>
          <w:sz w:val="21"/>
          <w:szCs w:val="21"/>
          <w:highlight w:val="none"/>
          <w:lang w:val="en-US"/>
        </w:rPr>
        <w:t xml:space="preserve">四</w:t>
      </w:r>
      <w:r>
        <w:rPr>
          <w:rFonts w:hint="eastAsia" w:ascii="宋体" w:hAnsi="宋体" w:cs="宋体"/>
          <w:sz w:val="21"/>
          <w:szCs w:val="21"/>
          <w:highlight w:val="none"/>
        </w:rPr>
        <w:t xml:space="preserve">）投标文件含有采购人不能接受的附加条件的；</w:t>
      </w:r>
      <w:r/>
    </w:p>
    <w:p>
      <w:pPr>
        <w:pStyle w:val="1075"/>
        <w:ind w:left="0" w:firstLine="422"/>
        <w:spacing w:line="360" w:lineRule="auto"/>
        <w:rPr>
          <w:rFonts w:ascii="宋体" w:hAnsi="宋体"/>
          <w:b/>
          <w:color w:val="ff0000"/>
          <w:sz w:val="21"/>
          <w:szCs w:val="21"/>
          <w:highlight w:val="none"/>
        </w:rPr>
      </w:pPr>
      <w:r>
        <w:rPr>
          <w:rFonts w:hint="eastAsia" w:ascii="宋体" w:hAnsi="宋体"/>
          <w:b/>
          <w:color w:val="ff0000"/>
          <w:sz w:val="21"/>
          <w:szCs w:val="21"/>
          <w:highlight w:val="none"/>
        </w:rPr>
        <w:t xml:space="preserve">（五）机器码检查中，出现不同投标人投标文件机器码一致情形的；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（六）法律、法规和招标文件规定的其他无效情形。</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.2投标人应当遵循公平竞争的原则，不得恶意串通，不得妨碍其他投标人的竞争行为，不得损害采购人或者其他投标人的合法权益。</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在评标过程中发现投标人有上述情形的，评标委员会应当认定其投标无效，并书面报告本级财政部门。</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8</w:t>
      </w:r>
      <w:r>
        <w:rPr>
          <w:rFonts w:hint="eastAsia" w:ascii="宋体" w:hAnsi="宋体" w:cs="宋体"/>
          <w:sz w:val="21"/>
          <w:szCs w:val="21"/>
          <w:highlight w:val="none"/>
        </w:rPr>
        <w:t xml:space="preserve">.3有下列情形之一的，视为投标人串通投标，其投标无效：</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（一）不同投标人的投标文件由同一单位或者个人编制；</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（二）不同投标人委托同一单位或者个人办理投标事宜；</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（三）不同投标人的投标文件载明的项目管理成员或者联系人员为同一人；</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（四）不同投标人的投标文件异常一致或者投标报价呈规律性差异；</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（五）不同投标人的投标文件相互混装。</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2</w:t>
      </w:r>
      <w:r>
        <w:rPr>
          <w:rFonts w:ascii="宋体" w:hAnsi="宋体" w:cs="宋体"/>
          <w:b/>
          <w:sz w:val="21"/>
          <w:szCs w:val="21"/>
          <w:highlight w:val="none"/>
        </w:rPr>
        <w:t xml:space="preserve">9</w:t>
      </w:r>
      <w:r>
        <w:rPr>
          <w:rFonts w:hint="eastAsia" w:ascii="宋体" w:hAnsi="宋体" w:cs="宋体"/>
          <w:b/>
          <w:sz w:val="21"/>
          <w:szCs w:val="21"/>
          <w:highlight w:val="none"/>
        </w:rPr>
        <w:t xml:space="preserve">.废标</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.1在招标过程中，出现下列情况之一的，应予废标：</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.1.1符合专业条件的供应商或者对招标文件作实质投标的供应商不足</w:t>
      </w:r>
      <w:r>
        <w:rPr>
          <w:rFonts w:hint="eastAsia" w:ascii="宋体" w:hAnsi="宋体" w:cs="宋体"/>
          <w:sz w:val="21"/>
          <w:szCs w:val="21"/>
          <w:highlight w:val="none"/>
          <w:lang w:val="en-US"/>
        </w:rPr>
        <w:t xml:space="preserve">三</w:t>
      </w:r>
      <w:r>
        <w:rPr>
          <w:rFonts w:hint="eastAsia" w:ascii="宋体" w:hAnsi="宋体" w:cs="宋体"/>
          <w:sz w:val="21"/>
          <w:szCs w:val="21"/>
          <w:highlight w:val="none"/>
        </w:rPr>
        <w:t xml:space="preserve">家的；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.1.2出现影响采购公正的违法、违规行为的；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.1.3投标人的报价均超过了采购预算，采购人不能支付的；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.1.4因重大变故，采购任务取消的；</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w:t>
      </w:r>
      <w:r>
        <w:rPr>
          <w:rFonts w:ascii="宋体" w:hAnsi="宋体" w:cs="宋体"/>
          <w:sz w:val="21"/>
          <w:szCs w:val="21"/>
          <w:highlight w:val="none"/>
        </w:rPr>
        <w:t xml:space="preserve">9</w:t>
      </w:r>
      <w:r>
        <w:rPr>
          <w:rFonts w:hint="eastAsia" w:ascii="宋体" w:hAnsi="宋体" w:cs="宋体"/>
          <w:sz w:val="21"/>
          <w:szCs w:val="21"/>
          <w:highlight w:val="none"/>
        </w:rPr>
        <w:t xml:space="preserve">.2废标后，采购人和采购代理机构将把废标的理由通知所有投标人。</w:t>
      </w:r>
      <w:r/>
    </w:p>
    <w:p>
      <w:pPr>
        <w:pStyle w:val="1075"/>
        <w:ind w:left="0" w:firstLine="422"/>
        <w:spacing w:line="360" w:lineRule="auto"/>
        <w:rPr>
          <w:rFonts w:ascii="宋体" w:hAnsi="宋体" w:cs="宋体"/>
          <w:b/>
          <w:sz w:val="21"/>
          <w:szCs w:val="21"/>
          <w:highlight w:val="none"/>
        </w:rPr>
      </w:pPr>
      <w:r>
        <w:rPr>
          <w:rFonts w:ascii="宋体" w:hAnsi="宋体" w:cs="宋体"/>
          <w:b/>
          <w:sz w:val="21"/>
          <w:szCs w:val="21"/>
          <w:highlight w:val="none"/>
        </w:rPr>
        <w:t xml:space="preserve">30</w:t>
      </w:r>
      <w:r>
        <w:rPr>
          <w:rFonts w:hint="eastAsia" w:ascii="宋体" w:hAnsi="宋体" w:cs="宋体"/>
          <w:b/>
          <w:sz w:val="21"/>
          <w:szCs w:val="21"/>
          <w:highlight w:val="none"/>
        </w:rPr>
        <w:t xml:space="preserve">.投标文件的评价和比较</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30</w:t>
      </w:r>
      <w:r>
        <w:rPr>
          <w:rFonts w:hint="eastAsia" w:ascii="宋体" w:hAnsi="宋体" w:cs="宋体"/>
          <w:sz w:val="21"/>
          <w:szCs w:val="21"/>
          <w:highlight w:val="none"/>
        </w:rPr>
        <w:t xml:space="preserve">.2最低的投标报价或最高的折扣比例是中标的重要条件，但不是唯一条件。</w:t>
      </w:r>
      <w:bookmarkStart w:id="42" w:name="_Toc19501"/>
      <w:r/>
      <w:bookmarkStart w:id="43" w:name="_Toc18442"/>
      <w:r/>
      <w:r/>
    </w:p>
    <w:p>
      <w:pPr>
        <w:pStyle w:val="107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七、授予合同</w:t>
      </w:r>
      <w:bookmarkEnd w:id="42"/>
      <w:r/>
      <w:bookmarkEnd w:id="43"/>
      <w:r/>
      <w:r/>
    </w:p>
    <w:p>
      <w:pPr>
        <w:pStyle w:val="1075"/>
        <w:ind w:left="0" w:firstLine="422"/>
        <w:spacing w:line="360" w:lineRule="auto"/>
        <w:rPr>
          <w:rFonts w:ascii="宋体" w:hAnsi="宋体" w:cs="宋体"/>
          <w:sz w:val="21"/>
          <w:szCs w:val="21"/>
          <w:highlight w:val="none"/>
        </w:rPr>
      </w:pPr>
      <w:r>
        <w:rPr>
          <w:rFonts w:ascii="宋体" w:hAnsi="宋体" w:cs="宋体"/>
          <w:b/>
          <w:sz w:val="21"/>
          <w:szCs w:val="21"/>
          <w:highlight w:val="none"/>
        </w:rPr>
        <w:t xml:space="preserve">31</w:t>
      </w:r>
      <w:r>
        <w:rPr>
          <w:rFonts w:hint="eastAsia" w:ascii="宋体" w:hAnsi="宋体" w:cs="宋体"/>
          <w:b/>
          <w:sz w:val="21"/>
          <w:szCs w:val="21"/>
          <w:highlight w:val="none"/>
        </w:rPr>
        <w:t xml:space="preserve">.中标单位的确认</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.1评标委员会根据投标人资格审查情况，对投标文件进行评价和比较，按照评标办法和标准进行评标，并按采购人的委托向采购人推荐中标人。</w:t>
      </w:r>
      <w:r/>
    </w:p>
    <w:p>
      <w:pPr>
        <w:pStyle w:val="1075"/>
        <w:ind w:left="0" w:firstLine="420"/>
        <w:spacing w:line="360" w:lineRule="auto"/>
        <w:rPr>
          <w:rFonts w:ascii="宋体" w:hAnsi="宋体" w:cs="宋体"/>
          <w:sz w:val="21"/>
          <w:szCs w:val="21"/>
          <w:highlight w:val="none"/>
        </w:rPr>
      </w:pPr>
      <w:r>
        <w:rPr>
          <w:rFonts w:ascii="宋体" w:hAnsi="宋体" w:cs="宋体"/>
          <w:sz w:val="21"/>
          <w:szCs w:val="21"/>
          <w:highlight w:val="none"/>
        </w:rPr>
        <w:t xml:space="preserve">31</w:t>
      </w:r>
      <w:r>
        <w:rPr>
          <w:rFonts w:hint="eastAsia" w:ascii="宋体" w:hAnsi="宋体" w:cs="宋体"/>
          <w:sz w:val="21"/>
          <w:szCs w:val="21"/>
          <w:highlight w:val="none"/>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2</w:t>
      </w:r>
      <w:r>
        <w:rPr>
          <w:rFonts w:hint="eastAsia" w:ascii="宋体" w:hAnsi="宋体" w:cs="宋体"/>
          <w:b/>
          <w:sz w:val="21"/>
          <w:szCs w:val="21"/>
          <w:highlight w:val="none"/>
        </w:rPr>
        <w:t xml:space="preserve">.合同授予标准</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采购人将把合同授予其投标文件在实质上响应投标招标文件要求且按本须知规定评选出的投标人。确定为中标的投标人必须具有实施本合同的能力和资源。</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3</w:t>
      </w:r>
      <w:r>
        <w:rPr>
          <w:rFonts w:hint="eastAsia" w:ascii="宋体" w:hAnsi="宋体" w:cs="宋体"/>
          <w:b/>
          <w:sz w:val="21"/>
          <w:szCs w:val="21"/>
          <w:highlight w:val="none"/>
        </w:rPr>
        <w:t xml:space="preserve">.中标通知书</w:t>
      </w:r>
      <w:r/>
    </w:p>
    <w:p>
      <w:pPr>
        <w:pStyle w:val="107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.1确定出中标人后，采购代理机构在法定时间内向中标人发出中标通知书。</w:t>
      </w:r>
      <w:r>
        <w:rPr>
          <w:rFonts w:hint="eastAsia" w:ascii="宋体" w:hAnsi="宋体" w:cs="宋体"/>
          <w:b/>
          <w:sz w:val="21"/>
          <w:szCs w:val="21"/>
          <w:highlight w:val="none"/>
        </w:rPr>
        <w:t xml:space="preserve">请中标人在中标结果公告届满之日起30日内,使用CA证书登录“苏采云”系统及时下载中标通知书。</w:t>
      </w:r>
      <w:r>
        <w:rPr>
          <w:rFonts w:hint="eastAsia" w:ascii="宋体" w:hAnsi="宋体" w:cs="宋体"/>
          <w:sz w:val="21"/>
          <w:szCs w:val="21"/>
          <w:highlight w:val="none"/>
        </w:rPr>
        <w:t xml:space="preserve">因系统存储空间有限，自中标结果公告届满之日起30日后，“苏采云”系统不再保证提供下载中标通知书服务,因未及时下载而造成的不利后果由中标人自行承担。</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.2中标通知书将成为合同的组成部分，对采购人和中标人具有同等法律效力。</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3</w:t>
      </w:r>
      <w:r>
        <w:rPr>
          <w:rFonts w:hint="eastAsia" w:ascii="宋体" w:hAnsi="宋体" w:cs="宋体"/>
          <w:sz w:val="21"/>
          <w:szCs w:val="21"/>
          <w:highlight w:val="none"/>
        </w:rPr>
        <w:t xml:space="preserve">.</w:t>
      </w:r>
      <w:r>
        <w:rPr>
          <w:rFonts w:ascii="宋体" w:hAnsi="宋体" w:cs="宋体"/>
          <w:sz w:val="21"/>
          <w:szCs w:val="21"/>
          <w:highlight w:val="none"/>
        </w:rPr>
        <w:t xml:space="preserve">3</w:t>
      </w:r>
      <w:r>
        <w:rPr>
          <w:rFonts w:hint="eastAsia" w:ascii="宋体" w:hAnsi="宋体" w:cs="宋体"/>
          <w:sz w:val="21"/>
          <w:szCs w:val="21"/>
          <w:highlight w:val="none"/>
        </w:rPr>
        <w:t xml:space="preserve">中标通知书发出后，采购人不得违法改变中标结果，中标人无正当理由不得放弃中标。</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4</w:t>
      </w:r>
      <w:r>
        <w:rPr>
          <w:rFonts w:hint="eastAsia" w:ascii="宋体" w:hAnsi="宋体" w:cs="宋体"/>
          <w:b/>
          <w:sz w:val="21"/>
          <w:szCs w:val="21"/>
          <w:highlight w:val="none"/>
        </w:rPr>
        <w:t xml:space="preserve">.合同的签订</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4.1 </w:t>
      </w:r>
      <w:r>
        <w:rPr>
          <w:rFonts w:hint="eastAsia" w:ascii="宋体" w:hAnsi="宋体" w:cs="宋体"/>
          <w:sz w:val="21"/>
          <w:szCs w:val="21"/>
          <w:highlight w:val="none"/>
        </w:rPr>
        <w:t xml:space="preserve">按照</w:t>
      </w:r>
      <w:r>
        <w:rPr>
          <w:rFonts w:hint="eastAsia" w:ascii="宋体" w:hAnsi="宋体"/>
          <w:sz w:val="21"/>
          <w:highlight w:val="none"/>
        </w:rPr>
        <w:t xml:space="preserve">《关于印发&lt;苏州市政府采购促进中小企业发展实施意见&gt;的通知》（苏财购〔2022〕16号）</w:t>
      </w:r>
      <w:r>
        <w:rPr>
          <w:rFonts w:hint="eastAsia" w:ascii="宋体" w:hAnsi="宋体" w:cs="宋体"/>
          <w:sz w:val="21"/>
          <w:szCs w:val="21"/>
          <w:highlight w:val="none"/>
        </w:rPr>
        <w:t xml:space="preserve">文件精神，采购人与中标人原则上应当在中标通知书发出之日起十五日内，按照招标文件及投标文件确定的事项签订政府采购合同。</w:t>
      </w:r>
      <w:r/>
    </w:p>
    <w:p>
      <w:pPr>
        <w:pStyle w:val="1075"/>
        <w:ind w:left="0" w:firstLine="420"/>
        <w:spacing w:line="360" w:lineRule="auto"/>
        <w:rPr>
          <w:rFonts w:ascii="宋体" w:hAnsi="宋体" w:cs="宋体"/>
          <w:sz w:val="21"/>
          <w:szCs w:val="21"/>
          <w:highlight w:val="none"/>
          <w:lang w:val="en-US"/>
        </w:rPr>
      </w:pPr>
      <w:r>
        <w:rPr>
          <w:rFonts w:hint="eastAsia" w:ascii="宋体" w:hAnsi="宋体" w:cs="宋体"/>
          <w:sz w:val="21"/>
          <w:szCs w:val="21"/>
          <w:highlight w:val="none"/>
        </w:rPr>
        <w:t xml:space="preserve">3</w:t>
      </w:r>
      <w:r>
        <w:rPr>
          <w:rFonts w:ascii="宋体" w:hAnsi="宋体" w:cs="宋体"/>
          <w:sz w:val="21"/>
          <w:szCs w:val="21"/>
          <w:highlight w:val="none"/>
        </w:rPr>
        <w:t xml:space="preserve">4.2 </w:t>
      </w:r>
      <w:r>
        <w:rPr>
          <w:rFonts w:hint="eastAsia" w:ascii="宋体" w:hAnsi="宋体" w:cs="宋体"/>
          <w:sz w:val="21"/>
          <w:szCs w:val="21"/>
          <w:highlight w:val="none"/>
          <w:lang w:val="en-US"/>
        </w:rPr>
        <w:t xml:space="preserve">采购人与中标人所签订的合同不得对招标文件确定的事项和中标人投标文件作实质性修改，采购人不得向中标人提出任何不合理的要求作为签订合同的条件。</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4.3</w:t>
      </w:r>
      <w:r>
        <w:rPr>
          <w:rFonts w:hint="eastAsia" w:ascii="宋体" w:hAnsi="宋体" w:cs="宋体"/>
          <w:sz w:val="21"/>
          <w:szCs w:val="21"/>
          <w:highlight w:val="none"/>
        </w:rPr>
        <w:t xml:space="preserve">招标文件、中标人的投标文件及招标过程中有关澄清、承诺文件均应作为合同附件。</w:t>
      </w:r>
      <w:r/>
    </w:p>
    <w:p>
      <w:pPr>
        <w:pStyle w:val="1075"/>
        <w:ind w:left="0" w:firstLine="420"/>
        <w:spacing w:line="360" w:lineRule="auto"/>
        <w:rPr>
          <w:rFonts w:ascii="宋体" w:hAnsi="宋体" w:cs="宋体"/>
          <w:b/>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4.4</w:t>
      </w:r>
      <w:r>
        <w:rPr>
          <w:rFonts w:hint="eastAsia" w:ascii="宋体" w:hAnsi="宋体" w:cs="宋体"/>
          <w:sz w:val="21"/>
          <w:szCs w:val="21"/>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75"/>
        <w:ind w:left="0"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3</w:t>
      </w:r>
      <w:r>
        <w:rPr>
          <w:rFonts w:ascii="宋体" w:hAnsi="宋体" w:cs="宋体"/>
          <w:sz w:val="21"/>
          <w:szCs w:val="21"/>
          <w:highlight w:val="none"/>
        </w:rPr>
        <w:t xml:space="preserve">4.5</w:t>
      </w:r>
      <w:r>
        <w:rPr>
          <w:rFonts w:hint="eastAsia" w:ascii="宋体" w:hAnsi="宋体" w:cs="宋体"/>
          <w:sz w:val="21"/>
          <w:szCs w:val="21"/>
          <w:highlight w:val="none"/>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highlight w:val="none"/>
        </w:rPr>
        <w:t xml:space="preserve">0%</w:t>
      </w:r>
      <w:r>
        <w:rPr>
          <w:rFonts w:hint="eastAsia" w:ascii="宋体" w:hAnsi="宋体" w:cs="宋体"/>
          <w:sz w:val="21"/>
          <w:szCs w:val="21"/>
          <w:highlight w:val="none"/>
        </w:rPr>
        <w:t xml:space="preserve">。</w:t>
      </w:r>
      <w:bookmarkStart w:id="44" w:name="_Toc21029"/>
      <w:r/>
      <w:bookmarkStart w:id="45" w:name="_Toc8186"/>
      <w:r/>
      <w:r/>
    </w:p>
    <w:p>
      <w:pPr>
        <w:pStyle w:val="1075"/>
        <w:ind w:left="0" w:firstLine="422"/>
        <w:spacing w:line="360" w:lineRule="auto"/>
        <w:rPr>
          <w:rFonts w:ascii="宋体" w:hAnsi="宋体" w:cs="宋体"/>
          <w:sz w:val="21"/>
          <w:szCs w:val="21"/>
          <w:highlight w:val="none"/>
        </w:rPr>
      </w:pPr>
      <w:r>
        <w:rPr>
          <w:rFonts w:hint="eastAsia" w:ascii="宋体" w:hAnsi="宋体"/>
          <w:b/>
          <w:sz w:val="21"/>
          <w:szCs w:val="21"/>
          <w:highlight w:val="none"/>
        </w:rPr>
        <w:t xml:space="preserve">八、其他事项</w:t>
      </w:r>
      <w:bookmarkEnd w:id="44"/>
      <w:r/>
      <w:bookmarkEnd w:id="45"/>
      <w:r/>
      <w:r/>
    </w:p>
    <w:p>
      <w:pPr>
        <w:pStyle w:val="1075"/>
        <w:ind w:left="0" w:firstLine="422"/>
        <w:spacing w:line="360" w:lineRule="auto"/>
        <w:rPr>
          <w:rFonts w:ascii="宋体" w:hAnsi="宋体" w:cs="宋体"/>
          <w:b/>
          <w:sz w:val="21"/>
          <w:szCs w:val="21"/>
          <w:highlight w:val="none"/>
          <w:lang w:val="en-US"/>
        </w:rPr>
      </w:pPr>
      <w:r>
        <w:rPr>
          <w:rFonts w:hint="eastAsia" w:ascii="宋体" w:hAnsi="宋体" w:cs="宋体"/>
          <w:b/>
          <w:sz w:val="21"/>
          <w:szCs w:val="21"/>
          <w:highlight w:val="none"/>
        </w:rPr>
        <w:t xml:space="preserve">3</w:t>
      </w:r>
      <w:r>
        <w:rPr>
          <w:rFonts w:ascii="宋体" w:hAnsi="宋体" w:cs="宋体"/>
          <w:b/>
          <w:sz w:val="21"/>
          <w:szCs w:val="21"/>
          <w:highlight w:val="none"/>
        </w:rPr>
        <w:t xml:space="preserve">5</w:t>
      </w:r>
      <w:r>
        <w:rPr>
          <w:rFonts w:hint="eastAsia" w:ascii="宋体" w:hAnsi="宋体" w:cs="宋体"/>
          <w:b/>
          <w:sz w:val="21"/>
          <w:szCs w:val="21"/>
          <w:highlight w:val="none"/>
        </w:rPr>
        <w:t xml:space="preserve">.代理服务费：</w:t>
      </w:r>
      <w:r>
        <w:rPr>
          <w:rFonts w:hint="eastAsia" w:ascii="宋体" w:hAnsi="宋体" w:cs="宋体"/>
          <w:sz w:val="21"/>
          <w:szCs w:val="21"/>
          <w:highlight w:val="none"/>
        </w:rPr>
        <w:t xml:space="preserve">本项目不收取代理服务费。</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6.</w:t>
      </w:r>
      <w:r>
        <w:rPr>
          <w:rFonts w:hint="eastAsia" w:ascii="宋体" w:hAnsi="宋体" w:cs="宋体"/>
          <w:b/>
          <w:sz w:val="21"/>
          <w:szCs w:val="21"/>
          <w:highlight w:val="none"/>
        </w:rPr>
        <w:t xml:space="preserve">对投标人的机器码检查</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机器码检查中，出现不同投标人投标文件机器码一致情形的，投标文件将被认定为无效投标；</w:t>
      </w:r>
      <w:r/>
    </w:p>
    <w:p>
      <w:pPr>
        <w:pStyle w:val="1075"/>
        <w:ind w:left="0"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7</w:t>
      </w:r>
      <w:r>
        <w:rPr>
          <w:rFonts w:hint="eastAsia" w:ascii="宋体" w:hAnsi="宋体" w:cs="宋体"/>
          <w:b/>
          <w:sz w:val="21"/>
          <w:szCs w:val="21"/>
          <w:highlight w:val="none"/>
        </w:rPr>
        <w:t xml:space="preserve">.有关监督部门将对招投标全过程进行监督。</w:t>
      </w:r>
      <w:r/>
    </w:p>
    <w:p>
      <w:pPr>
        <w:pStyle w:val="1075"/>
        <w:ind w:left="0" w:firstLine="422"/>
        <w:spacing w:line="360" w:lineRule="auto"/>
        <w:rPr>
          <w:rFonts w:ascii="宋体" w:hAnsi="宋体" w:cs="宋体"/>
          <w:sz w:val="21"/>
          <w:szCs w:val="21"/>
          <w:highlight w:val="none"/>
        </w:rPr>
      </w:pPr>
      <w:r>
        <w:rPr>
          <w:rFonts w:hint="eastAsia" w:ascii="宋体" w:hAnsi="宋体" w:cs="宋体"/>
          <w:b/>
          <w:sz w:val="21"/>
          <w:szCs w:val="21"/>
          <w:highlight w:val="none"/>
        </w:rPr>
        <w:t xml:space="preserve">3</w:t>
      </w:r>
      <w:r>
        <w:rPr>
          <w:rFonts w:ascii="宋体" w:hAnsi="宋体" w:cs="宋体"/>
          <w:b/>
          <w:sz w:val="21"/>
          <w:szCs w:val="21"/>
          <w:highlight w:val="none"/>
        </w:rPr>
        <w:t xml:space="preserve">8</w:t>
      </w:r>
      <w:r>
        <w:rPr>
          <w:rFonts w:hint="eastAsia" w:ascii="宋体" w:hAnsi="宋体" w:cs="宋体"/>
          <w:b/>
          <w:sz w:val="21"/>
          <w:szCs w:val="21"/>
          <w:highlight w:val="none"/>
        </w:rPr>
        <w:t xml:space="preserve">.未尽事宜：</w:t>
      </w:r>
      <w:r>
        <w:rPr>
          <w:rFonts w:hint="eastAsia" w:ascii="宋体" w:hAnsi="宋体" w:cs="宋体"/>
          <w:sz w:val="21"/>
          <w:szCs w:val="21"/>
          <w:highlight w:val="none"/>
        </w:rPr>
        <w:t xml:space="preserve">按《中华人民共和国政府采购法》及其他有关的法律法规的规定执行。</w:t>
      </w:r>
      <w:r/>
    </w:p>
    <w:p>
      <w:pPr>
        <w:pStyle w:val="1075"/>
        <w:ind w:left="0" w:firstLine="0"/>
        <w:spacing w:line="360" w:lineRule="auto"/>
        <w:rPr>
          <w:rFonts w:ascii="宋体" w:hAnsi="宋体" w:cs="宋体"/>
          <w:sz w:val="21"/>
          <w:szCs w:val="21"/>
          <w:highlight w:val="none"/>
        </w:rPr>
      </w:pPr>
      <w:r>
        <w:rPr>
          <w:rFonts w:ascii="宋体" w:hAnsi="宋体" w:cs="宋体"/>
          <w:sz w:val="21"/>
          <w:szCs w:val="21"/>
          <w:highlight w:val="none"/>
        </w:rPr>
      </w:r>
      <w:r/>
    </w:p>
    <w:p>
      <w:pPr>
        <w:pStyle w:val="842"/>
        <w:ind w:left="0" w:firstLine="0"/>
        <w:jc w:val="center"/>
        <w:rPr>
          <w:rFonts w:ascii="宋体" w:hAnsi="宋体"/>
          <w:sz w:val="21"/>
          <w:szCs w:val="21"/>
          <w:highlight w:val="none"/>
          <w:lang w:val="zh-CN"/>
        </w:rPr>
      </w:pPr>
      <w:r/>
      <w:bookmarkStart w:id="46" w:name="_Toc7264"/>
      <w:r/>
      <w:bookmarkStart w:id="47" w:name="_Toc24711"/>
      <w:r>
        <w:rPr>
          <w:rFonts w:hint="eastAsia" w:ascii="宋体" w:hAnsi="宋体"/>
          <w:b/>
          <w:sz w:val="44"/>
          <w:szCs w:val="22"/>
          <w:highlight w:val="none"/>
        </w:rPr>
        <w:br w:type="page" w:clear="all"/>
      </w:r>
      <w:bookmarkStart w:id="48" w:name="_Toc6230"/>
      <w:r>
        <w:rPr>
          <w:rFonts w:hint="eastAsia" w:ascii="宋体" w:hAnsi="宋体"/>
          <w:b/>
          <w:sz w:val="44"/>
          <w:szCs w:val="22"/>
          <w:highlight w:val="none"/>
        </w:rPr>
        <w:t xml:space="preserve">第三章  </w:t>
      </w:r>
      <w:bookmarkStart w:id="49" w:name="投标文件格式"/>
      <w:r/>
      <w:bookmarkEnd w:id="49"/>
      <w:r>
        <w:rPr>
          <w:rFonts w:hint="eastAsia" w:ascii="宋体" w:hAnsi="宋体"/>
          <w:b/>
          <w:sz w:val="44"/>
          <w:szCs w:val="22"/>
          <w:highlight w:val="none"/>
        </w:rPr>
        <w:t xml:space="preserve">投标文件格式</w:t>
      </w:r>
      <w:bookmarkEnd w:id="46"/>
      <w:r/>
      <w:bookmarkEnd w:id="47"/>
      <w:r/>
      <w:bookmarkEnd w:id="48"/>
      <w:r/>
      <w:r/>
    </w:p>
    <w:p>
      <w:pPr>
        <w:ind w:left="0"/>
        <w:spacing w:line="440" w:lineRule="exact"/>
        <w:rPr>
          <w:rFonts w:ascii="宋体" w:hAnsi="宋体"/>
          <w:b/>
          <w:sz w:val="21"/>
          <w:szCs w:val="21"/>
          <w:highlight w:val="none"/>
        </w:rPr>
      </w:pPr>
      <w:r>
        <w:rPr>
          <w:rFonts w:ascii="宋体" w:hAnsi="宋体"/>
          <w:b/>
          <w:sz w:val="21"/>
          <w:szCs w:val="21"/>
          <w:highlight w:val="none"/>
        </w:rPr>
        <w:t xml:space="preserve">说明：</w:t>
      </w:r>
      <w:r/>
    </w:p>
    <w:p>
      <w:pPr>
        <w:pStyle w:val="1075"/>
        <w:ind w:left="0" w:firstLine="420"/>
        <w:spacing w:line="440" w:lineRule="exact"/>
        <w:rPr>
          <w:rFonts w:ascii="宋体" w:hAnsi="宋体"/>
          <w:b/>
          <w:sz w:val="21"/>
          <w:szCs w:val="21"/>
          <w:highlight w:val="none"/>
        </w:rPr>
      </w:pPr>
      <w:r>
        <w:rPr>
          <w:rFonts w:ascii="宋体" w:hAnsi="宋体"/>
          <w:sz w:val="21"/>
          <w:szCs w:val="21"/>
          <w:highlight w:val="none"/>
        </w:rPr>
        <w:t xml:space="preserve">对本章所有的投标书格式，投标方可根据自身情况进行补充和修改，但补充和修改不得造成与本格式内容有实质性的违背。</w:t>
      </w:r>
      <w:r/>
    </w:p>
    <w:p>
      <w:pPr>
        <w:ind w:left="0"/>
        <w:rPr>
          <w:rFonts w:ascii="宋体" w:hAnsi="宋体"/>
          <w:b/>
          <w:sz w:val="21"/>
          <w:szCs w:val="21"/>
          <w:highlight w:val="none"/>
        </w:rPr>
        <w:outlineLvl w:val="0"/>
      </w:pPr>
      <w:r/>
      <w:bookmarkStart w:id="50" w:name="_Toc105397779"/>
      <w:r/>
      <w:bookmarkStart w:id="51" w:name="_Toc9528"/>
      <w:r/>
      <w:bookmarkStart w:id="52" w:name="_Toc2573"/>
      <w:r/>
      <w:bookmarkStart w:id="53" w:name="_Toc3821"/>
      <w:r/>
      <w:bookmarkStart w:id="54" w:name="_Toc17036"/>
      <w:r/>
      <w:bookmarkStart w:id="55" w:name="_Toc71810480"/>
      <w:r>
        <w:rPr>
          <w:rFonts w:hint="eastAsia" w:ascii="宋体" w:hAnsi="宋体"/>
          <w:b/>
          <w:sz w:val="21"/>
          <w:szCs w:val="21"/>
          <w:highlight w:val="none"/>
        </w:rPr>
        <w:t xml:space="preserve">附件1.投标函</w:t>
      </w:r>
      <w:bookmarkEnd w:id="50"/>
      <w:r/>
      <w:bookmarkEnd w:id="51"/>
      <w:r/>
      <w:bookmarkEnd w:id="52"/>
      <w:r/>
      <w:bookmarkEnd w:id="53"/>
      <w:r/>
      <w:bookmarkEnd w:id="54"/>
      <w:r/>
      <w:bookmarkEnd w:id="55"/>
      <w:r/>
      <w:r/>
    </w:p>
    <w:p>
      <w:pPr>
        <w:ind w:left="0" w:firstLine="4638"/>
        <w:jc w:val="left"/>
        <w:spacing w:line="440" w:lineRule="exact"/>
        <w:rPr>
          <w:rFonts w:ascii="宋体" w:hAnsi="宋体"/>
          <w:b/>
          <w:sz w:val="21"/>
          <w:szCs w:val="21"/>
          <w:highlight w:val="none"/>
        </w:rPr>
      </w:pPr>
      <w:r>
        <w:rPr>
          <w:rFonts w:hint="eastAsia" w:ascii="宋体" w:hAnsi="宋体"/>
          <w:b/>
          <w:sz w:val="21"/>
          <w:szCs w:val="21"/>
          <w:highlight w:val="none"/>
        </w:rPr>
        <w:t xml:space="preserve">投标函</w:t>
      </w:r>
      <w:r/>
    </w:p>
    <w:p>
      <w:pPr>
        <w:ind w:left="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致：</w:t>
      </w:r>
      <w:r>
        <w:rPr>
          <w:rFonts w:hint="eastAsia" w:ascii="宋体" w:hAnsi="宋体"/>
          <w:sz w:val="21"/>
          <w:szCs w:val="21"/>
          <w:highlight w:val="none"/>
          <w:u w:val="single"/>
          <w:lang w:val="zh-CN"/>
        </w:rPr>
        <w:t xml:space="preserve">苏州市政府集中采购中心</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我方收到贵中心</w:t>
      </w:r>
      <w:r>
        <w:rPr>
          <w:rFonts w:hint="eastAsia" w:ascii="宋体" w:hAnsi="宋体"/>
          <w:sz w:val="21"/>
          <w:szCs w:val="21"/>
          <w:highlight w:val="none"/>
          <w:u w:val="single"/>
          <w:lang w:val="zh-CN"/>
        </w:rPr>
        <w:t xml:space="preserve">             </w:t>
      </w:r>
      <w:r>
        <w:rPr>
          <w:rFonts w:hint="eastAsia" w:ascii="宋体" w:hAnsi="宋体"/>
          <w:sz w:val="21"/>
          <w:szCs w:val="21"/>
          <w:highlight w:val="none"/>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w:t>
      </w:r>
      <w:r>
        <w:rPr>
          <w:rFonts w:ascii="宋体" w:hAnsi="宋体"/>
          <w:sz w:val="21"/>
          <w:szCs w:val="21"/>
          <w:highlight w:val="none"/>
        </w:rPr>
        <w:t xml:space="preserve">.</w:t>
      </w:r>
      <w:r>
        <w:rPr>
          <w:rFonts w:hint="eastAsia" w:ascii="宋体" w:hAnsi="宋体"/>
          <w:sz w:val="21"/>
          <w:szCs w:val="21"/>
          <w:highlight w:val="none"/>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4</w:t>
      </w:r>
      <w:r>
        <w:rPr>
          <w:rFonts w:ascii="宋体" w:hAnsi="宋体"/>
          <w:sz w:val="21"/>
          <w:szCs w:val="21"/>
          <w:highlight w:val="none"/>
        </w:rPr>
        <w:t xml:space="preserve">.</w:t>
      </w:r>
      <w:r>
        <w:rPr>
          <w:rFonts w:hint="eastAsia" w:ascii="宋体" w:hAnsi="宋体"/>
          <w:sz w:val="21"/>
          <w:szCs w:val="21"/>
          <w:highlight w:val="none"/>
          <w:lang w:val="zh-CN"/>
        </w:rPr>
        <w:t xml:space="preserve">本投标书的有效期限为投标截止时间之日起90天。</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5</w:t>
      </w:r>
      <w:r>
        <w:rPr>
          <w:rFonts w:ascii="宋体" w:hAnsi="宋体"/>
          <w:sz w:val="21"/>
          <w:szCs w:val="21"/>
          <w:highlight w:val="none"/>
        </w:rPr>
        <w:t xml:space="preserve">.</w:t>
      </w:r>
      <w:r>
        <w:rPr>
          <w:rFonts w:hint="eastAsia" w:ascii="宋体" w:hAnsi="宋体"/>
          <w:sz w:val="21"/>
          <w:szCs w:val="21"/>
          <w:highlight w:val="none"/>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6</w:t>
      </w:r>
      <w:r>
        <w:rPr>
          <w:rFonts w:ascii="宋体" w:hAnsi="宋体"/>
          <w:sz w:val="21"/>
          <w:szCs w:val="21"/>
          <w:highlight w:val="none"/>
        </w:rPr>
        <w:t xml:space="preserve">.</w:t>
      </w:r>
      <w:r>
        <w:rPr>
          <w:rFonts w:hint="eastAsia" w:ascii="宋体" w:hAnsi="宋体"/>
          <w:sz w:val="21"/>
          <w:szCs w:val="21"/>
          <w:highlight w:val="none"/>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7</w:t>
      </w:r>
      <w:r>
        <w:rPr>
          <w:rFonts w:ascii="宋体" w:hAnsi="宋体"/>
          <w:sz w:val="21"/>
          <w:szCs w:val="21"/>
          <w:highlight w:val="none"/>
        </w:rPr>
        <w:t xml:space="preserve">.</w:t>
      </w:r>
      <w:r>
        <w:rPr>
          <w:rFonts w:hint="eastAsia" w:ascii="宋体" w:hAnsi="宋体"/>
          <w:sz w:val="21"/>
          <w:szCs w:val="21"/>
          <w:highlight w:val="none"/>
          <w:lang w:val="zh-CN"/>
        </w:rPr>
        <w:t xml:space="preserve">我方承诺该项投标在开标后的全过程中保持有效，不作任何更改和变动。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8</w:t>
      </w:r>
      <w:r>
        <w:rPr>
          <w:rFonts w:ascii="宋体" w:hAnsi="宋体"/>
          <w:sz w:val="21"/>
          <w:szCs w:val="21"/>
          <w:highlight w:val="none"/>
        </w:rPr>
        <w:t xml:space="preserve">.</w:t>
      </w:r>
      <w:r>
        <w:rPr>
          <w:rFonts w:hint="eastAsia" w:ascii="宋体" w:hAnsi="宋体"/>
          <w:sz w:val="21"/>
          <w:szCs w:val="21"/>
          <w:highlight w:val="none"/>
          <w:lang w:val="zh-CN"/>
        </w:rPr>
        <w:t xml:space="preserve">我方承诺满足《中华人民共和国政府采购法》第二十二条规定的所有条件。</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9</w:t>
      </w:r>
      <w:r>
        <w:rPr>
          <w:rFonts w:ascii="宋体" w:hAnsi="宋体"/>
          <w:sz w:val="21"/>
          <w:szCs w:val="21"/>
          <w:highlight w:val="none"/>
        </w:rPr>
        <w:t xml:space="preserve">.</w:t>
      </w:r>
      <w:r>
        <w:rPr>
          <w:rFonts w:hint="eastAsia" w:ascii="宋体" w:hAnsi="宋体"/>
          <w:sz w:val="21"/>
          <w:szCs w:val="21"/>
          <w:highlight w:val="none"/>
          <w:lang w:val="zh-CN"/>
        </w:rPr>
        <w:t xml:space="preserve">与本投标有关的通讯地址：</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单   位：                                              联 系 人：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地   址：                                              邮政编码： </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联系电话：                                             电子邮箱：</w:t>
      </w:r>
      <w:r/>
    </w:p>
    <w:p>
      <w:pPr>
        <w:ind w:left="0" w:firstLine="420"/>
        <w:spacing w:line="440" w:lineRule="exact"/>
        <w:rPr>
          <w:rFonts w:ascii="宋体" w:hAnsi="宋体"/>
          <w:sz w:val="21"/>
          <w:szCs w:val="21"/>
          <w:highlight w:val="none"/>
        </w:rPr>
      </w:pPr>
      <w:r>
        <w:rPr>
          <w:rFonts w:hint="eastAsia" w:ascii="宋体" w:hAnsi="宋体"/>
          <w:sz w:val="21"/>
          <w:szCs w:val="21"/>
          <w:highlight w:val="none"/>
          <w:lang w:val="zh-CN"/>
        </w:rPr>
        <w:t xml:space="preserve">                                      </w:t>
      </w:r>
      <w:r>
        <w:rPr>
          <w:rFonts w:ascii="宋体" w:hAnsi="宋体"/>
          <w:sz w:val="21"/>
          <w:szCs w:val="21"/>
          <w:highlight w:val="none"/>
          <w:lang w:val="zh-CN"/>
        </w:rPr>
        <w:t xml:space="preserve">              </w:t>
      </w:r>
      <w:r>
        <w:rPr>
          <w:rFonts w:hint="eastAsia" w:ascii="宋体" w:hAnsi="宋体"/>
          <w:sz w:val="21"/>
          <w:szCs w:val="21"/>
          <w:highlight w:val="none"/>
        </w:rPr>
        <w:t xml:space="preserve">投标人（盖章）： </w:t>
      </w:r>
      <w:r/>
    </w:p>
    <w:p>
      <w:pPr>
        <w:ind w:left="0" w:firstLine="420"/>
        <w:spacing w:line="440" w:lineRule="exact"/>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法定代表人或代理人（签字或盖章）：</w:t>
      </w:r>
      <w:r/>
    </w:p>
    <w:p>
      <w:pPr>
        <w:ind w:left="0" w:firstLine="420"/>
        <w:spacing w:line="440" w:lineRule="exact"/>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日    期：     年     月    日</w:t>
      </w:r>
      <w:r/>
    </w:p>
    <w:p>
      <w:pPr>
        <w:ind w:left="0"/>
        <w:rPr>
          <w:rFonts w:ascii="宋体" w:hAnsi="宋体"/>
          <w:b/>
          <w:sz w:val="21"/>
          <w:szCs w:val="21"/>
          <w:highlight w:val="none"/>
        </w:rPr>
        <w:outlineLvl w:val="0"/>
      </w:pPr>
      <w:r>
        <w:rPr>
          <w:rFonts w:ascii="宋体" w:hAnsi="宋体"/>
          <w:b/>
          <w:sz w:val="21"/>
          <w:szCs w:val="21"/>
          <w:highlight w:val="none"/>
        </w:rPr>
        <w:br w:type="page" w:clear="all"/>
      </w:r>
      <w:bookmarkStart w:id="56" w:name="_Toc700"/>
      <w:r/>
      <w:bookmarkStart w:id="57" w:name="_Toc14242"/>
      <w:r/>
      <w:bookmarkStart w:id="58" w:name="_Toc105397780"/>
      <w:r/>
      <w:bookmarkStart w:id="59" w:name="_Toc71810481"/>
      <w:r>
        <w:rPr>
          <w:rFonts w:ascii="宋体" w:hAnsi="宋体"/>
          <w:b/>
          <w:sz w:val="21"/>
          <w:szCs w:val="21"/>
          <w:highlight w:val="none"/>
        </w:rPr>
        <w:t xml:space="preserve">附件2</w:t>
      </w:r>
      <w:r>
        <w:rPr>
          <w:rFonts w:hint="eastAsia" w:ascii="宋体" w:hAnsi="宋体"/>
          <w:b/>
          <w:sz w:val="21"/>
          <w:szCs w:val="21"/>
          <w:highlight w:val="none"/>
        </w:rPr>
        <w:t xml:space="preserve">.</w:t>
      </w:r>
      <w:r>
        <w:rPr>
          <w:rFonts w:ascii="宋体" w:hAnsi="宋体"/>
          <w:b/>
          <w:sz w:val="21"/>
          <w:szCs w:val="21"/>
          <w:highlight w:val="none"/>
        </w:rPr>
        <w:t xml:space="preserve">开标一览表</w:t>
      </w:r>
      <w:bookmarkEnd w:id="56"/>
      <w:r/>
      <w:bookmarkEnd w:id="57"/>
      <w:r/>
      <w:bookmarkEnd w:id="58"/>
      <w:r/>
      <w:bookmarkEnd w:id="59"/>
      <w:r/>
      <w:r/>
    </w:p>
    <w:p>
      <w:pPr>
        <w:rPr>
          <w:rFonts w:ascii="宋体" w:hAnsi="宋体"/>
          <w:sz w:val="21"/>
          <w:szCs w:val="21"/>
          <w:highlight w:val="none"/>
        </w:rPr>
      </w:pPr>
      <w:r>
        <w:rPr>
          <w:rFonts w:ascii="宋体" w:hAnsi="宋体"/>
          <w:sz w:val="21"/>
          <w:szCs w:val="21"/>
          <w:highlight w:val="none"/>
        </w:rPr>
      </w:r>
      <w:r/>
    </w:p>
    <w:p>
      <w:pPr>
        <w:ind w:left="0"/>
        <w:jc w:val="center"/>
        <w:rPr>
          <w:rFonts w:ascii="宋体" w:hAnsi="宋体"/>
          <w:b/>
          <w:sz w:val="21"/>
          <w:szCs w:val="21"/>
          <w:highlight w:val="none"/>
        </w:rPr>
      </w:pPr>
      <w:r>
        <w:rPr>
          <w:rFonts w:hint="eastAsia" w:ascii="宋体" w:hAnsi="宋体"/>
          <w:b/>
          <w:sz w:val="21"/>
          <w:szCs w:val="21"/>
          <w:highlight w:val="none"/>
        </w:rPr>
        <w:t xml:space="preserve">开标一览表（</w:t>
      </w:r>
      <w:r>
        <w:rPr>
          <w:rFonts w:hint="eastAsia" w:ascii="宋体" w:hAnsi="宋体"/>
          <w:b/>
          <w:sz w:val="21"/>
          <w:szCs w:val="21"/>
          <w:highlight w:val="none"/>
          <w:lang w:val="en-US" w:eastAsia="zh-CN"/>
        </w:rPr>
        <w:t xml:space="preserve">优惠率</w:t>
      </w:r>
      <w:r>
        <w:rPr>
          <w:rFonts w:hint="eastAsia" w:ascii="宋体" w:hAnsi="宋体"/>
          <w:b/>
          <w:sz w:val="21"/>
          <w:szCs w:val="21"/>
          <w:highlight w:val="none"/>
        </w:rPr>
        <w:t xml:space="preserve">）</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投标人全称（加盖公章）：</w:t>
      </w:r>
      <w:bookmarkStart w:id="60" w:name="TBR"/>
      <w:r/>
      <w:bookmarkEnd w:id="60"/>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项目编号：  </w:t>
      </w:r>
      <w:bookmarkStart w:id="61" w:name="XMBH"/>
      <w:r/>
      <w:bookmarkEnd w:id="61"/>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分包号：</w:t>
      </w:r>
      <w:bookmarkStart w:id="62" w:name="FBH"/>
      <w:r/>
      <w:bookmarkEnd w:id="62"/>
      <w:r/>
      <w:r/>
    </w:p>
    <w:tbl>
      <w:tblPr>
        <w:tblStyle w:val="85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3"/>
        <w:gridCol w:w="7267"/>
      </w:tblGrid>
      <w:tr>
        <w:trPr>
          <w:cantSplit/>
          <w:trHeight w:val="1098"/>
        </w:trPr>
        <w:tc>
          <w:tcPr>
            <w:tcBorders>
              <w:top w:val="single" w:color="auto" w:sz="4" w:space="0"/>
              <w:left w:val="single" w:color="auto" w:sz="4" w:space="0"/>
              <w:bottom w:val="single" w:color="auto" w:sz="4" w:space="0"/>
              <w:right w:val="single" w:color="auto" w:sz="4" w:space="0"/>
            </w:tcBorders>
            <w:tcW w:w="1395" w:type="pct"/>
            <w:vAlign w:val="center"/>
            <w:textDirection w:val="lrTb"/>
            <w:noWrap w:val="false"/>
          </w:tcPr>
          <w:p>
            <w:pPr>
              <w:ind w:left="0"/>
              <w:jc w:val="center"/>
              <w:spacing w:line="600" w:lineRule="exact"/>
              <w:rPr>
                <w:rFonts w:ascii="宋体" w:hAnsi="宋体"/>
                <w:sz w:val="21"/>
                <w:szCs w:val="21"/>
                <w:highlight w:val="none"/>
              </w:rPr>
            </w:pPr>
            <w:r>
              <w:rPr>
                <w:rFonts w:hint="eastAsia" w:ascii="宋体" w:hAnsi="宋体" w:cs="Times New Roman"/>
                <w:sz w:val="21"/>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hint="eastAsia" w:ascii="宋体" w:hAnsi="宋体" w:eastAsia="宋体" w:cs="Times New Roman"/>
                <w:sz w:val="21"/>
                <w:szCs w:val="21"/>
                <w:highlight w:val="none"/>
                <w:lang w:eastAsia="zh-CN"/>
              </w:rPr>
            </w:pPr>
            <w:r>
              <w:rPr>
                <w:rFonts w:hint="eastAsia" w:ascii="宋体" w:hAnsi="宋体" w:cs="Times New Roman"/>
                <w:sz w:val="21"/>
                <w:szCs w:val="21"/>
                <w:highlight w:val="none"/>
              </w:rPr>
              <w:t xml:space="preserve">投标</w:t>
            </w:r>
            <w:r>
              <w:rPr>
                <w:rFonts w:hint="eastAsia" w:ascii="宋体" w:hAnsi="宋体" w:cs="Times New Roman"/>
                <w:sz w:val="21"/>
                <w:szCs w:val="21"/>
                <w:highlight w:val="none"/>
                <w:lang w:val="en-US" w:eastAsia="zh-CN"/>
              </w:rPr>
              <w:t xml:space="preserve">优惠率</w:t>
            </w:r>
            <w:r/>
          </w:p>
        </w:tc>
      </w:tr>
      <w:tr>
        <w:trPr>
          <w:cantSplit/>
          <w:trHeight w:val="1697"/>
        </w:trPr>
        <w:tc>
          <w:tcPr>
            <w:tcBorders>
              <w:top w:val="single" w:color="auto" w:sz="4" w:space="0"/>
              <w:left w:val="single" w:color="auto" w:sz="4" w:space="0"/>
              <w:bottom w:val="single" w:color="auto" w:sz="4" w:space="0"/>
              <w:right w:val="single" w:color="auto" w:sz="4" w:space="0"/>
            </w:tcBorders>
            <w:tcW w:w="1395" w:type="pct"/>
            <w:vAlign w:val="center"/>
            <w:textDirection w:val="lrTb"/>
            <w:noWrap w:val="false"/>
          </w:tcPr>
          <w:p>
            <w:pPr>
              <w:ind w:left="0"/>
              <w:jc w:val="center"/>
              <w:spacing w:line="600" w:lineRule="exact"/>
              <w:rPr>
                <w:rFonts w:ascii="宋体" w:hAnsi="宋体"/>
                <w:sz w:val="21"/>
                <w:szCs w:val="21"/>
                <w:highlight w:val="none"/>
              </w:rPr>
            </w:pPr>
            <w:r/>
            <w:bookmarkStart w:id="63" w:name="XMMC"/>
            <w:r/>
            <w:bookmarkEnd w:id="63"/>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highlight w:val="none"/>
              </w:rPr>
            </w:pPr>
            <w:r>
              <w:rPr>
                <w:rFonts w:hint="eastAsia" w:ascii="宋体" w:hAnsi="宋体"/>
                <w:sz w:val="21"/>
                <w:szCs w:val="21"/>
                <w:highlight w:val="none"/>
              </w:rPr>
              <w:t xml:space="preserve">小写：</w:t>
            </w:r>
            <w:bookmarkStart w:id="64" w:name="JEXX"/>
            <w:r/>
            <w:bookmarkEnd w:id="64"/>
            <w:r>
              <w:rPr>
                <w:rFonts w:hint="eastAsia" w:ascii="宋体" w:hAnsi="宋体"/>
                <w:sz w:val="21"/>
                <w:szCs w:val="21"/>
                <w:highlight w:val="none"/>
              </w:rPr>
              <w:t xml:space="preserve">     %</w:t>
            </w:r>
            <w:r/>
          </w:p>
        </w:tc>
      </w:tr>
    </w:tbl>
    <w:p>
      <w:pPr>
        <w:spacing w:line="600" w:lineRule="exact"/>
        <w:rPr>
          <w:rFonts w:ascii="宋体" w:hAnsi="宋体" w:cs="Times New Roman"/>
          <w:sz w:val="21"/>
          <w:szCs w:val="21"/>
          <w:highlight w:val="none"/>
        </w:rPr>
      </w:pPr>
      <w:r>
        <w:rPr>
          <w:rFonts w:ascii="宋体" w:hAnsi="宋体" w:cs="Times New Roman"/>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 日期：   </w:t>
      </w:r>
      <w:bookmarkStart w:id="65" w:name="NF"/>
      <w:r/>
      <w:bookmarkEnd w:id="65"/>
      <w:r>
        <w:rPr>
          <w:rFonts w:hint="eastAsia" w:ascii="宋体" w:hAnsi="宋体"/>
          <w:sz w:val="21"/>
          <w:szCs w:val="21"/>
          <w:highlight w:val="none"/>
        </w:rPr>
        <w:t xml:space="preserve"> 年 </w:t>
      </w:r>
      <w:bookmarkStart w:id="66" w:name="YF"/>
      <w:r/>
      <w:bookmarkEnd w:id="66"/>
      <w:r>
        <w:rPr>
          <w:rFonts w:hint="eastAsia" w:ascii="宋体" w:hAnsi="宋体"/>
          <w:sz w:val="21"/>
          <w:szCs w:val="21"/>
          <w:highlight w:val="none"/>
        </w:rPr>
        <w:t xml:space="preserve"> </w:t>
      </w:r>
      <w:r>
        <w:rPr>
          <w:rFonts w:ascii="宋体" w:hAnsi="宋体"/>
          <w:sz w:val="21"/>
          <w:szCs w:val="21"/>
          <w:highlight w:val="none"/>
        </w:rPr>
        <w:t xml:space="preserve"> </w:t>
      </w:r>
      <w:r>
        <w:rPr>
          <w:rFonts w:hint="eastAsia" w:ascii="宋体" w:hAnsi="宋体"/>
          <w:sz w:val="21"/>
          <w:szCs w:val="21"/>
          <w:highlight w:val="none"/>
        </w:rPr>
        <w:t xml:space="preserve">月 </w:t>
      </w:r>
      <w:bookmarkStart w:id="67" w:name="RI"/>
      <w:r/>
      <w:bookmarkEnd w:id="67"/>
      <w:r>
        <w:rPr>
          <w:rFonts w:ascii="宋体" w:hAnsi="宋体"/>
          <w:sz w:val="21"/>
          <w:szCs w:val="21"/>
          <w:highlight w:val="none"/>
        </w:rPr>
        <w:t xml:space="preserve"> </w:t>
      </w:r>
      <w:r>
        <w:rPr>
          <w:rFonts w:hint="eastAsia" w:ascii="宋体" w:hAnsi="宋体"/>
          <w:sz w:val="21"/>
          <w:szCs w:val="21"/>
          <w:highlight w:val="none"/>
        </w:rPr>
        <w:t xml:space="preserve"> 日</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填写说明：</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1</w:t>
      </w:r>
      <w:r>
        <w:rPr>
          <w:rFonts w:ascii="宋体" w:hAnsi="宋体"/>
          <w:sz w:val="21"/>
          <w:szCs w:val="21"/>
          <w:highlight w:val="none"/>
        </w:rPr>
        <w:t xml:space="preserve">.</w:t>
      </w:r>
      <w:r>
        <w:rPr>
          <w:rFonts w:hint="eastAsia" w:ascii="宋体" w:hAnsi="宋体"/>
          <w:sz w:val="21"/>
          <w:szCs w:val="21"/>
          <w:highlight w:val="none"/>
          <w:lang w:val="zh-CN"/>
        </w:rPr>
        <w:t xml:space="preserve">开标一览表必须加盖投标人公章（复印件无效）。</w:t>
      </w:r>
      <w:r/>
    </w:p>
    <w:p>
      <w:pPr>
        <w:ind w:left="0" w:firstLine="420"/>
        <w:spacing w:line="440" w:lineRule="exact"/>
        <w:rPr>
          <w:rFonts w:hint="eastAsia" w:ascii="宋体" w:hAnsi="宋体"/>
          <w:sz w:val="21"/>
          <w:szCs w:val="21"/>
          <w:highlight w:val="none"/>
          <w:lang w:val="zh-CN"/>
        </w:rPr>
      </w:pPr>
      <w:r>
        <w:rPr>
          <w:rFonts w:hint="eastAsia" w:ascii="宋体" w:hAnsi="宋体"/>
          <w:sz w:val="21"/>
          <w:szCs w:val="21"/>
          <w:highlight w:val="none"/>
          <w:lang w:val="zh-CN"/>
        </w:rPr>
        <w:t xml:space="preserve">2</w:t>
      </w:r>
      <w:r>
        <w:rPr>
          <w:rFonts w:ascii="宋体" w:hAnsi="宋体"/>
          <w:sz w:val="21"/>
          <w:szCs w:val="21"/>
          <w:highlight w:val="none"/>
        </w:rPr>
        <w:t xml:space="preserve">.</w:t>
      </w:r>
      <w:r>
        <w:rPr>
          <w:rFonts w:hint="eastAsia" w:ascii="宋体" w:hAnsi="宋体"/>
          <w:sz w:val="21"/>
          <w:szCs w:val="21"/>
          <w:highlight w:val="none"/>
          <w:lang w:val="zh-CN"/>
        </w:rPr>
        <w:t xml:space="preserve">如有分包，投标人投任何一个包的标的，都需单独填写开标一览表。</w:t>
      </w:r>
      <w:r/>
    </w:p>
    <w:p>
      <w:pPr>
        <w:ind w:left="0" w:firstLine="420"/>
        <w:spacing w:line="440" w:lineRule="exact"/>
        <w:rPr>
          <w:rFonts w:ascii="宋体" w:hAnsi="宋体"/>
          <w:sz w:val="21"/>
          <w:szCs w:val="21"/>
          <w:highlight w:val="none"/>
          <w:lang w:val="zh-CN"/>
        </w:rPr>
      </w:pPr>
      <w:r>
        <w:rPr>
          <w:rFonts w:hint="eastAsia" w:ascii="宋体" w:hAnsi="宋体"/>
          <w:sz w:val="21"/>
          <w:szCs w:val="21"/>
          <w:highlight w:val="none"/>
          <w:lang w:val="zh-CN"/>
        </w:rPr>
        <w:t xml:space="preserve">3、合同固定单价按单价最高限价*（1-优惠率（%））计算。</w:t>
      </w:r>
      <w:r/>
    </w:p>
    <w:p>
      <w:pPr>
        <w:ind w:left="0" w:firstLine="420"/>
        <w:spacing w:line="440" w:lineRule="exact"/>
        <w:rPr>
          <w:rFonts w:ascii="宋体" w:hAnsi="宋体"/>
          <w:b/>
          <w:sz w:val="21"/>
          <w:szCs w:val="21"/>
          <w:highlight w:val="none"/>
          <w:lang w:val="zh-CN"/>
        </w:rPr>
      </w:pPr>
      <w:r>
        <w:rPr>
          <w:rFonts w:hint="eastAsia" w:ascii="宋体" w:hAnsi="宋体"/>
          <w:sz w:val="21"/>
          <w:szCs w:val="21"/>
          <w:highlight w:val="none"/>
          <w:lang w:val="zh-CN"/>
        </w:rPr>
        <w:t xml:space="preserve">4、投标价：以</w:t>
      </w:r>
      <w:r>
        <w:rPr>
          <w:rFonts w:hint="eastAsia" w:ascii="宋体" w:hAnsi="宋体"/>
          <w:sz w:val="21"/>
          <w:szCs w:val="21"/>
          <w:highlight w:val="none"/>
          <w:lang w:val="en-US" w:eastAsia="zh-CN"/>
        </w:rPr>
        <w:t xml:space="preserve">附件中</w:t>
      </w:r>
      <w:r>
        <w:rPr>
          <w:rFonts w:hint="eastAsia" w:ascii="宋体" w:hAnsi="宋体"/>
          <w:sz w:val="21"/>
          <w:szCs w:val="21"/>
          <w:highlight w:val="none"/>
          <w:lang w:val="zh-CN"/>
        </w:rPr>
        <w:t xml:space="preserve">的清单中单价（限价）进行整体的优惠率报价，整体的优惠率即为各项产品单价（限价）的优惠率，投标优惠率≥0，步长为1%。（优惠率释义：例如单价（限价）为100元，投标人如以98元的价格提供服务，则优惠率为2％；步长为1%释义：例如所投优惠率为1%、2%、3%……19%、20%等整数的优惠率，不能为1.1%、2.54%等带小数的优惠率），</w:t>
      </w:r>
      <w:r>
        <w:rPr>
          <w:rFonts w:hint="eastAsia" w:ascii="宋体" w:hAnsi="宋体"/>
          <w:sz w:val="21"/>
          <w:szCs w:val="21"/>
          <w:highlight w:val="none"/>
        </w:rPr>
        <w:t xml:space="preserve">未按要求报价</w:t>
      </w:r>
      <w:r>
        <w:rPr>
          <w:rFonts w:hint="eastAsia" w:ascii="宋体" w:hAnsi="宋体"/>
          <w:sz w:val="21"/>
          <w:szCs w:val="21"/>
          <w:highlight w:val="none"/>
          <w:lang w:val="zh-CN"/>
        </w:rPr>
        <w:t xml:space="preserve">视为</w:t>
      </w:r>
      <w:r>
        <w:rPr>
          <w:rFonts w:hint="eastAsia" w:ascii="宋体" w:hAnsi="宋体"/>
          <w:sz w:val="21"/>
          <w:szCs w:val="21"/>
          <w:highlight w:val="none"/>
        </w:rPr>
        <w:t xml:space="preserve">非</w:t>
      </w:r>
      <w:r>
        <w:rPr>
          <w:rFonts w:hint="eastAsia" w:ascii="宋体" w:hAnsi="宋体"/>
          <w:sz w:val="21"/>
          <w:szCs w:val="21"/>
          <w:highlight w:val="none"/>
          <w:lang w:val="zh-CN"/>
        </w:rPr>
        <w:t xml:space="preserve">实质性响应。</w:t>
      </w:r>
      <w:r/>
    </w:p>
    <w:p>
      <w:pPr>
        <w:ind w:left="0" w:firstLine="420"/>
        <w:spacing w:line="440" w:lineRule="exact"/>
        <w:rPr>
          <w:rFonts w:ascii="宋体" w:hAnsi="宋体"/>
          <w:sz w:val="21"/>
          <w:szCs w:val="21"/>
          <w:highlight w:val="none"/>
          <w:lang w:val="zh-CN"/>
        </w:rPr>
      </w:pPr>
      <w:r>
        <w:rPr>
          <w:rFonts w:ascii="宋体" w:hAnsi="宋体"/>
          <w:sz w:val="21"/>
          <w:szCs w:val="21"/>
          <w:highlight w:val="none"/>
          <w:lang w:val="zh-CN"/>
        </w:rPr>
      </w:r>
      <w:r/>
    </w:p>
    <w:p>
      <w:pPr>
        <w:pStyle w:val="867"/>
        <w:rPr>
          <w:rFonts w:ascii="宋体" w:hAnsi="宋体"/>
          <w:highlight w:val="none"/>
        </w:rPr>
      </w:pPr>
      <w:r>
        <w:rPr>
          <w:rFonts w:ascii="宋体" w:hAnsi="宋体"/>
          <w:highlight w:val="none"/>
        </w:rPr>
      </w:r>
      <w:r/>
    </w:p>
    <w:p>
      <w:pPr>
        <w:ind w:left="0"/>
        <w:spacing w:line="440" w:lineRule="exact"/>
        <w:rPr>
          <w:rFonts w:ascii="宋体" w:hAnsi="宋体"/>
          <w:b/>
          <w:sz w:val="21"/>
          <w:szCs w:val="21"/>
          <w:highlight w:val="none"/>
        </w:rPr>
      </w:pPr>
      <w:r/>
      <w:bookmarkStart w:id="68" w:name="_Toc7945"/>
      <w:r/>
      <w:bookmarkStart w:id="69" w:name="_Toc71810482"/>
      <w:r/>
      <w:bookmarkStart w:id="70" w:name="_Toc241"/>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r/>
    </w:p>
    <w:p>
      <w:pPr>
        <w:pStyle w:val="867"/>
        <w:rPr>
          <w:highlight w:val="none"/>
        </w:rPr>
      </w:pPr>
      <w:r>
        <w:rPr>
          <w:highlight w:val="none"/>
        </w:rPr>
      </w:r>
      <w:r/>
    </w:p>
    <w:p>
      <w:pPr>
        <w:ind w:left="0"/>
        <w:spacing w:line="440" w:lineRule="exact"/>
        <w:rPr>
          <w:rFonts w:ascii="宋体" w:hAnsi="宋体"/>
          <w:b/>
          <w:sz w:val="21"/>
          <w:szCs w:val="21"/>
          <w:highlight w:val="none"/>
        </w:rPr>
      </w:pPr>
      <w:r>
        <w:rPr>
          <w:rFonts w:ascii="宋体" w:hAnsi="宋体"/>
          <w:b/>
          <w:sz w:val="21"/>
          <w:szCs w:val="21"/>
          <w:highlight w:val="none"/>
        </w:rPr>
      </w:r>
      <w:bookmarkEnd w:id="68"/>
      <w:bookmarkEnd w:id="69"/>
      <w:bookmarkEnd w:id="70"/>
      <w:r/>
    </w:p>
    <w:p>
      <w:pPr>
        <w:ind w:left="0"/>
        <w:rPr>
          <w:rFonts w:ascii="宋体" w:hAnsi="宋体"/>
          <w:sz w:val="21"/>
          <w:szCs w:val="21"/>
          <w:highlight w:val="none"/>
        </w:rPr>
        <w:outlineLvl w:val="0"/>
      </w:pPr>
      <w:r>
        <w:rPr>
          <w:rFonts w:ascii="宋体" w:hAnsi="宋体"/>
          <w:b/>
          <w:sz w:val="21"/>
          <w:szCs w:val="21"/>
          <w:highlight w:val="none"/>
        </w:rPr>
        <w:br w:type="page" w:clear="all"/>
      </w:r>
      <w:bookmarkStart w:id="71" w:name="_Toc24167"/>
      <w:r/>
      <w:bookmarkStart w:id="72" w:name="_Toc30549"/>
      <w:r/>
      <w:bookmarkStart w:id="73" w:name="_Toc105397782"/>
      <w:r/>
      <w:bookmarkStart w:id="74" w:name="_Toc71810483"/>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3</w:t>
      </w:r>
      <w:r>
        <w:rPr>
          <w:rFonts w:hint="eastAsia" w:ascii="宋体" w:hAnsi="宋体"/>
          <w:b/>
          <w:sz w:val="21"/>
          <w:szCs w:val="21"/>
          <w:highlight w:val="none"/>
        </w:rPr>
        <w:t xml:space="preserve">.</w:t>
      </w:r>
      <w:r>
        <w:rPr>
          <w:rFonts w:ascii="宋体" w:hAnsi="宋体"/>
          <w:b/>
          <w:sz w:val="21"/>
          <w:szCs w:val="21"/>
          <w:highlight w:val="none"/>
        </w:rPr>
        <w:t xml:space="preserve">法定代表人授权委托书</w:t>
      </w:r>
      <w:bookmarkEnd w:id="71"/>
      <w:r/>
      <w:bookmarkEnd w:id="72"/>
      <w:r/>
      <w:bookmarkEnd w:id="73"/>
      <w:r/>
      <w:bookmarkEnd w:id="74"/>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法定代表人授权委托书</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本授权委托书声明：  我 </w:t>
      </w:r>
      <w:r>
        <w:rPr>
          <w:rFonts w:ascii="宋体" w:hAnsi="宋体"/>
          <w:sz w:val="21"/>
          <w:szCs w:val="21"/>
          <w:highlight w:val="none"/>
          <w:u w:val="single"/>
        </w:rPr>
        <w:t xml:space="preserve">       </w:t>
      </w:r>
      <w:r>
        <w:rPr>
          <w:rFonts w:ascii="宋体" w:hAnsi="宋体"/>
          <w:sz w:val="21"/>
          <w:szCs w:val="21"/>
          <w:highlight w:val="none"/>
        </w:rPr>
        <w:t xml:space="preserve">（姓名）系</w:t>
      </w:r>
      <w:r>
        <w:rPr>
          <w:rFonts w:ascii="宋体" w:hAnsi="宋体"/>
          <w:sz w:val="21"/>
          <w:szCs w:val="21"/>
          <w:highlight w:val="none"/>
          <w:u w:val="single"/>
        </w:rPr>
        <w:t xml:space="preserve">            </w:t>
      </w:r>
      <w:r>
        <w:rPr>
          <w:rFonts w:hint="eastAsia" w:ascii="宋体" w:hAnsi="宋体"/>
          <w:sz w:val="21"/>
          <w:szCs w:val="21"/>
          <w:highlight w:val="none"/>
          <w:u w:val="single"/>
        </w:rPr>
        <w:t xml:space="preserve">（</w:t>
      </w:r>
      <w:r>
        <w:rPr>
          <w:rFonts w:ascii="宋体" w:hAnsi="宋体"/>
          <w:sz w:val="21"/>
          <w:szCs w:val="21"/>
          <w:highlight w:val="none"/>
        </w:rPr>
        <w:t xml:space="preserve">投标人名称）的法定代表人，现授权委托</w:t>
      </w:r>
      <w:r>
        <w:rPr>
          <w:rFonts w:ascii="宋体" w:hAnsi="宋体"/>
          <w:sz w:val="21"/>
          <w:szCs w:val="21"/>
          <w:highlight w:val="none"/>
          <w:u w:val="single"/>
        </w:rPr>
        <w:t xml:space="preserve">             </w:t>
      </w:r>
      <w:r>
        <w:rPr>
          <w:rFonts w:ascii="宋体" w:hAnsi="宋体"/>
          <w:sz w:val="21"/>
          <w:szCs w:val="21"/>
          <w:highlight w:val="none"/>
        </w:rPr>
        <w:t xml:space="preserve">（姓名）为我公司授权代表（即代理人），以本公司的名义参</w:t>
      </w:r>
      <w:r>
        <w:rPr>
          <w:rFonts w:hint="eastAsia" w:ascii="宋体" w:hAnsi="宋体"/>
          <w:sz w:val="21"/>
          <w:szCs w:val="21"/>
          <w:highlight w:val="none"/>
        </w:rPr>
        <w:t xml:space="preserve">加</w:t>
      </w:r>
      <w:r>
        <w:rPr>
          <w:rFonts w:hint="eastAsia" w:ascii="宋体" w:hAnsi="宋体"/>
          <w:sz w:val="21"/>
          <w:szCs w:val="21"/>
          <w:highlight w:val="none"/>
          <w:u w:val="single"/>
        </w:rPr>
        <w:t xml:space="preserve"> 苏州市政府集中采购中心</w:t>
      </w:r>
      <w:r>
        <w:rPr>
          <w:rFonts w:ascii="宋体" w:hAnsi="宋体"/>
          <w:sz w:val="21"/>
          <w:szCs w:val="21"/>
          <w:highlight w:val="none"/>
        </w:rPr>
        <w:t xml:space="preserve">组织实施的编号为</w:t>
      </w:r>
      <w:r>
        <w:rPr>
          <w:rFonts w:hint="eastAsia" w:ascii="宋体" w:hAnsi="宋体"/>
          <w:sz w:val="21"/>
          <w:szCs w:val="21"/>
          <w:highlight w:val="none"/>
        </w:rPr>
        <w:t xml:space="preserve"> </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（项目编号）</w:t>
      </w:r>
      <w:r>
        <w:rPr>
          <w:rFonts w:ascii="宋体" w:hAnsi="宋体"/>
          <w:sz w:val="21"/>
          <w:szCs w:val="21"/>
          <w:highlight w:val="none"/>
        </w:rPr>
        <w:t xml:space="preserve">的招标活动。代理人在开标、评标、合同谈判过程中所签署的一切文件和处理与这有关的一切事务，我均予以承认</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highlight w:val="none"/>
        </w:rPr>
      </w:pPr>
      <w:r>
        <w:rPr>
          <w:rFonts w:ascii="宋体" w:hAnsi="宋体"/>
          <w:sz w:val="21"/>
          <w:szCs w:val="21"/>
          <w:highlight w:val="none"/>
        </w:rPr>
        <w:t xml:space="preserve">代理人无转委托权。特此委托。</w:t>
      </w:r>
      <w:r/>
    </w:p>
    <w:p>
      <w:pPr>
        <w:pStyle w:val="867"/>
        <w:rPr>
          <w:rFonts w:ascii="宋体" w:hAnsi="宋体"/>
          <w:highlight w:val="none"/>
        </w:rPr>
      </w:pPr>
      <w:r>
        <w:rPr>
          <w:rFonts w:ascii="宋体" w:hAnsi="宋体"/>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spacing w:line="360" w:lineRule="auto"/>
        <w:rPr>
          <w:rFonts w:ascii="宋体" w:hAnsi="宋体"/>
          <w:b/>
          <w:sz w:val="21"/>
          <w:szCs w:val="21"/>
          <w:highlight w:val="none"/>
        </w:rPr>
        <w:outlineLvl w:val="0"/>
      </w:pPr>
      <w:r>
        <w:rPr>
          <w:rFonts w:ascii="宋体" w:hAnsi="宋体"/>
          <w:sz w:val="21"/>
          <w:szCs w:val="21"/>
          <w:highlight w:val="none"/>
          <w:lang w:val="zh-CN"/>
        </w:rPr>
        <w:br w:type="page" w:clear="all"/>
      </w:r>
      <w:bookmarkStart w:id="75" w:name="_Toc71810484"/>
      <w:r/>
      <w:bookmarkStart w:id="76" w:name="_Toc21574"/>
      <w:r/>
      <w:bookmarkStart w:id="77" w:name="_Toc10013"/>
      <w:r/>
      <w:bookmarkStart w:id="78" w:name="_Toc105397783"/>
      <w:r/>
      <w:bookmarkStart w:id="79" w:name="_Toc19621"/>
      <w:r/>
      <w:bookmarkStart w:id="80" w:name="_Toc437"/>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4</w:t>
      </w:r>
      <w:r>
        <w:rPr>
          <w:rFonts w:hint="eastAsia" w:ascii="宋体" w:hAnsi="宋体"/>
          <w:b/>
          <w:sz w:val="21"/>
          <w:szCs w:val="21"/>
          <w:highlight w:val="none"/>
        </w:rPr>
        <w:t xml:space="preserve">.</w:t>
      </w:r>
      <w:r>
        <w:rPr>
          <w:rFonts w:ascii="宋体" w:hAnsi="宋体"/>
          <w:b/>
          <w:sz w:val="21"/>
          <w:szCs w:val="21"/>
          <w:highlight w:val="none"/>
        </w:rPr>
        <w:t xml:space="preserve">中小企业声明函</w:t>
      </w:r>
      <w:bookmarkEnd w:id="75"/>
      <w:r/>
      <w:bookmarkEnd w:id="76"/>
      <w:r/>
      <w:bookmarkEnd w:id="77"/>
      <w:r/>
      <w:bookmarkEnd w:id="78"/>
      <w:r/>
      <w:bookmarkEnd w:id="79"/>
      <w:r/>
      <w:bookmarkEnd w:id="80"/>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中小企业声明函（服务）</w:t>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本公司（联合体）郑重声明，根据《政府采购促进中小企业发展管理办法》（财库[20</w:t>
      </w:r>
      <w:r>
        <w:rPr>
          <w:rFonts w:ascii="宋体" w:hAnsi="宋体"/>
          <w:sz w:val="21"/>
          <w:szCs w:val="21"/>
          <w:highlight w:val="none"/>
        </w:rPr>
        <w:t xml:space="preserve">20</w:t>
      </w:r>
      <w:r>
        <w:rPr>
          <w:rFonts w:hint="eastAsia" w:ascii="宋体" w:hAnsi="宋体"/>
          <w:sz w:val="21"/>
          <w:szCs w:val="21"/>
          <w:highlight w:val="none"/>
        </w:rPr>
        <w:t xml:space="preserve">]</w:t>
      </w:r>
      <w:r>
        <w:rPr>
          <w:rFonts w:ascii="宋体" w:hAnsi="宋体"/>
          <w:sz w:val="21"/>
          <w:szCs w:val="21"/>
          <w:highlight w:val="none"/>
        </w:rPr>
        <w:t xml:space="preserve">46</w:t>
      </w:r>
      <w:r>
        <w:rPr>
          <w:rFonts w:hint="eastAsia" w:ascii="宋体" w:hAnsi="宋体"/>
          <w:sz w:val="21"/>
          <w:szCs w:val="21"/>
          <w:highlight w:val="none"/>
        </w:rPr>
        <w:t xml:space="preserve">号）的规定，本公司（联合体）参加</w:t>
      </w:r>
      <w:r>
        <w:rPr>
          <w:rFonts w:hint="eastAsia" w:ascii="宋体" w:hAnsi="宋体"/>
          <w:sz w:val="21"/>
          <w:szCs w:val="21"/>
          <w:highlight w:val="none"/>
          <w:u w:val="single"/>
        </w:rPr>
        <w:t xml:space="preserve">（</w:t>
      </w:r>
      <w:r>
        <w:rPr>
          <w:rFonts w:hint="eastAsia" w:ascii="宋体" w:hAnsi="宋体"/>
          <w:b/>
          <w:sz w:val="21"/>
          <w:szCs w:val="21"/>
          <w:highlight w:val="none"/>
          <w:u w:val="single"/>
        </w:rPr>
        <w:t xml:space="preserve">苏州市公安局</w:t>
      </w:r>
      <w:r>
        <w:rPr>
          <w:rFonts w:hint="eastAsia" w:ascii="宋体" w:hAnsi="宋体"/>
          <w:sz w:val="21"/>
          <w:szCs w:val="21"/>
          <w:highlight w:val="none"/>
          <w:u w:val="single"/>
        </w:rPr>
        <w:t xml:space="preserve">）</w:t>
      </w:r>
      <w:r>
        <w:rPr>
          <w:rFonts w:hint="eastAsia" w:ascii="宋体" w:hAnsi="宋体"/>
          <w:sz w:val="21"/>
          <w:szCs w:val="21"/>
          <w:highlight w:val="none"/>
        </w:rPr>
        <w:t xml:space="preserve">的</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姑苏区及城市快速路道路交通设施维护服务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1、</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姑苏区及城市快速路道路交通设施维护服务</w:t>
      </w:r>
      <w:r>
        <w:rPr>
          <w:rFonts w:hint="eastAsia" w:ascii="宋体" w:hAnsi="宋体"/>
          <w:sz w:val="21"/>
          <w:szCs w:val="21"/>
          <w:highlight w:val="none"/>
          <w:u w:val="single"/>
        </w:rPr>
        <w:t xml:space="preserve">）</w:t>
      </w:r>
      <w:r>
        <w:rPr>
          <w:rFonts w:hint="eastAsia" w:ascii="宋体" w:hAnsi="宋体"/>
          <w:sz w:val="21"/>
          <w:szCs w:val="21"/>
          <w:highlight w:val="none"/>
        </w:rPr>
        <w:t xml:space="preserve">，属于</w:t>
      </w:r>
      <w:r>
        <w:rPr>
          <w:rFonts w:hint="eastAsia" w:ascii="宋体" w:hAnsi="宋体"/>
          <w:sz w:val="21"/>
          <w:szCs w:val="21"/>
          <w:highlight w:val="none"/>
          <w:u w:val="single"/>
        </w:rPr>
        <w:t xml:space="preserve">（</w:t>
      </w:r>
      <w:r>
        <w:rPr>
          <w:rFonts w:hint="eastAsia" w:ascii="宋体" w:hAnsi="宋体"/>
          <w:b/>
          <w:bCs/>
          <w:sz w:val="21"/>
          <w:szCs w:val="21"/>
          <w:highlight w:val="none"/>
          <w:u w:val="single"/>
        </w:rPr>
        <w:t xml:space="preserve">其他未列明行业</w:t>
      </w:r>
      <w:r>
        <w:rPr>
          <w:rFonts w:hint="eastAsia" w:ascii="宋体" w:hAnsi="宋体"/>
          <w:sz w:val="21"/>
          <w:szCs w:val="21"/>
          <w:highlight w:val="none"/>
          <w:u w:val="single"/>
        </w:rPr>
        <w:t xml:space="preserve">）行业</w:t>
      </w:r>
      <w:r>
        <w:rPr>
          <w:rFonts w:hint="eastAsia" w:ascii="宋体" w:hAnsi="宋体"/>
          <w:sz w:val="21"/>
          <w:szCs w:val="21"/>
          <w:highlight w:val="none"/>
        </w:rPr>
        <w:t xml:space="preserve">；承接企业为</w:t>
      </w:r>
      <w:r>
        <w:rPr>
          <w:rFonts w:hint="eastAsia" w:ascii="宋体" w:hAnsi="宋体"/>
          <w:sz w:val="21"/>
          <w:szCs w:val="21"/>
          <w:highlight w:val="none"/>
          <w:u w:val="single"/>
        </w:rPr>
        <w:t xml:space="preserve">（企业名称）</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w:t>
      </w:r>
      <w:r>
        <w:rPr>
          <w:rStyle w:val="908"/>
          <w:rFonts w:ascii="宋体" w:hAnsi="宋体"/>
          <w:sz w:val="21"/>
          <w:szCs w:val="21"/>
          <w:highlight w:val="none"/>
        </w:rPr>
        <w:footnoteReference w:id="2"/>
      </w:r>
      <w:r>
        <w:rPr>
          <w:rFonts w:hint="eastAsia" w:ascii="宋体" w:hAnsi="宋体"/>
          <w:sz w:val="21"/>
          <w:szCs w:val="21"/>
          <w:highlight w:val="none"/>
        </w:rPr>
        <w:t xml:space="preserve">，属于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2、</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姑苏区及城市快速路道路交通设施维护服务</w:t>
      </w:r>
      <w:r>
        <w:rPr>
          <w:rFonts w:hint="eastAsia" w:ascii="宋体" w:hAnsi="宋体"/>
          <w:sz w:val="21"/>
          <w:szCs w:val="21"/>
          <w:highlight w:val="none"/>
          <w:u w:val="single"/>
        </w:rPr>
        <w:t xml:space="preserve"> </w:t>
      </w:r>
      <w:r>
        <w:rPr>
          <w:rFonts w:hint="eastAsia" w:ascii="宋体" w:hAnsi="宋体"/>
          <w:sz w:val="21"/>
          <w:szCs w:val="21"/>
          <w:highlight w:val="none"/>
          <w:u w:val="single"/>
          <w:lang w:val="zh-CN"/>
        </w:rPr>
        <w:t xml:space="preserve">）</w:t>
      </w:r>
      <w:r>
        <w:rPr>
          <w:rFonts w:hint="eastAsia" w:ascii="宋体" w:hAnsi="宋体"/>
          <w:sz w:val="21"/>
          <w:szCs w:val="21"/>
          <w:highlight w:val="none"/>
          <w:lang w:val="zh-CN"/>
        </w:rPr>
        <w:t xml:space="preserve">，属于</w:t>
      </w:r>
      <w:r>
        <w:rPr>
          <w:rFonts w:hint="eastAsia" w:ascii="宋体" w:hAnsi="宋体"/>
          <w:sz w:val="21"/>
          <w:szCs w:val="21"/>
          <w:highlight w:val="none"/>
          <w:u w:val="single"/>
          <w:lang w:val="zh-CN"/>
        </w:rPr>
        <w:t xml:space="preserve">（</w:t>
      </w:r>
      <w:r>
        <w:rPr>
          <w:rFonts w:hint="eastAsia" w:ascii="宋体" w:hAnsi="宋体"/>
          <w:b/>
          <w:bCs/>
          <w:sz w:val="21"/>
          <w:szCs w:val="21"/>
          <w:highlight w:val="none"/>
          <w:u w:val="single"/>
        </w:rPr>
        <w:t xml:space="preserve">其他未列明行业</w:t>
      </w:r>
      <w:r>
        <w:rPr>
          <w:rFonts w:hint="eastAsia" w:ascii="宋体" w:hAnsi="宋体"/>
          <w:sz w:val="21"/>
          <w:szCs w:val="21"/>
          <w:highlight w:val="none"/>
          <w:u w:val="single"/>
          <w:lang w:val="zh-CN"/>
        </w:rPr>
        <w:t xml:space="preserve">）行业</w:t>
      </w:r>
      <w:r>
        <w:rPr>
          <w:rFonts w:hint="eastAsia" w:ascii="宋体" w:hAnsi="宋体"/>
          <w:sz w:val="21"/>
          <w:szCs w:val="21"/>
          <w:highlight w:val="none"/>
          <w:lang w:val="zh-CN"/>
        </w:rPr>
        <w:t xml:space="preserve">；承接企业为</w:t>
      </w:r>
      <w:r>
        <w:rPr>
          <w:rFonts w:hint="eastAsia" w:ascii="宋体" w:hAnsi="宋体"/>
          <w:sz w:val="21"/>
          <w:szCs w:val="21"/>
          <w:highlight w:val="none"/>
          <w:u w:val="single"/>
          <w:lang w:val="zh-CN"/>
        </w:rPr>
        <w:t xml:space="preserve">（企业名称）</w:t>
      </w:r>
      <w:r>
        <w:rPr>
          <w:rFonts w:hint="eastAsia" w:ascii="宋体" w:hAnsi="宋体"/>
          <w:sz w:val="21"/>
          <w:szCs w:val="21"/>
          <w:highlight w:val="none"/>
          <w:lang w:val="zh-CN"/>
        </w:rPr>
        <w:t xml:space="preserve">，</w:t>
      </w:r>
      <w:r>
        <w:rPr>
          <w:rFonts w:hint="eastAsia" w:ascii="宋体" w:hAnsi="宋体"/>
          <w:sz w:val="21"/>
          <w:szCs w:val="21"/>
          <w:highlight w:val="none"/>
        </w:rPr>
        <w:t xml:space="preserve">从业人员</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人，营业收入为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万元，资产总额为</w:t>
      </w:r>
      <w:r>
        <w:rPr>
          <w:rFonts w:hint="eastAsia" w:ascii="宋体" w:hAnsi="宋体"/>
          <w:sz w:val="21"/>
          <w:szCs w:val="21"/>
          <w:highlight w:val="none"/>
          <w:u w:val="single"/>
        </w:rPr>
        <w:t xml:space="preserve"> </w:t>
      </w:r>
      <w:r>
        <w:rPr>
          <w:rFonts w:ascii="宋体" w:hAnsi="宋体"/>
          <w:sz w:val="21"/>
          <w:szCs w:val="21"/>
          <w:highlight w:val="none"/>
          <w:u w:val="single"/>
        </w:rPr>
        <w:t xml:space="preserve">     </w:t>
      </w:r>
      <w:r>
        <w:rPr>
          <w:rFonts w:hint="eastAsia" w:ascii="宋体" w:hAnsi="宋体"/>
          <w:sz w:val="21"/>
          <w:szCs w:val="21"/>
          <w:highlight w:val="none"/>
        </w:rPr>
        <w:t xml:space="preserve">万元，属于</w:t>
      </w:r>
      <w:r>
        <w:rPr>
          <w:rFonts w:hint="eastAsia" w:ascii="宋体" w:hAnsi="宋体"/>
          <w:sz w:val="21"/>
          <w:szCs w:val="21"/>
          <w:highlight w:val="none"/>
          <w:u w:val="single"/>
        </w:rPr>
        <w:t xml:space="preserve">（□中型企业、□小型企业、□微型企业）</w:t>
      </w: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本企业对上述声明内容的真实性负责。如有虚假，将依法承担相应责任。</w:t>
      </w:r>
      <w:r/>
    </w:p>
    <w:p>
      <w:pPr>
        <w:ind w:left="0"/>
        <w:jc w:val="left"/>
        <w:spacing w:line="360" w:lineRule="auto"/>
        <w:rPr>
          <w:rFonts w:ascii="宋体" w:hAnsi="宋体"/>
          <w:sz w:val="21"/>
          <w:szCs w:val="21"/>
          <w:highlight w:val="none"/>
        </w:rPr>
      </w:pPr>
      <w:r>
        <w:rPr>
          <w:rFonts w:ascii="宋体" w:hAnsi="宋体"/>
          <w:sz w:val="21"/>
          <w:szCs w:val="21"/>
          <w:highlight w:val="none"/>
        </w:rPr>
      </w:r>
      <w:r/>
    </w:p>
    <w:p>
      <w:pPr>
        <w:ind w:firstLine="4200"/>
        <w:spacing w:line="360" w:lineRule="auto"/>
        <w:rPr>
          <w:rFonts w:ascii="宋体" w:hAnsi="宋体"/>
          <w:sz w:val="21"/>
          <w:szCs w:val="21"/>
          <w:highlight w:val="none"/>
        </w:rPr>
      </w:pPr>
      <w:r>
        <w:rPr>
          <w:rFonts w:hint="eastAsia" w:ascii="宋体" w:hAnsi="宋体"/>
          <w:sz w:val="21"/>
          <w:szCs w:val="21"/>
          <w:highlight w:val="none"/>
          <w:lang w:val="zh-CN"/>
        </w:rPr>
        <w:t xml:space="preserve">企业名称（盖章）：</w:t>
      </w:r>
      <w:r/>
    </w:p>
    <w:p>
      <w:pPr>
        <w:ind w:left="0" w:right="2500" w:firstLine="5250"/>
        <w:spacing w:line="360" w:lineRule="auto"/>
        <w:rPr>
          <w:rFonts w:ascii="宋体" w:hAnsi="宋体"/>
          <w:sz w:val="21"/>
          <w:szCs w:val="21"/>
          <w:highlight w:val="none"/>
          <w:lang w:val="zh-CN"/>
        </w:rPr>
      </w:pPr>
      <w:r>
        <w:rPr>
          <w:rFonts w:hint="eastAsia" w:ascii="宋体" w:hAnsi="宋体"/>
          <w:sz w:val="21"/>
          <w:szCs w:val="21"/>
          <w:highlight w:val="none"/>
          <w:lang w:val="zh-CN"/>
        </w:rPr>
        <w:t xml:space="preserve">日 期：</w:t>
      </w:r>
      <w:r>
        <w:rPr>
          <w:rFonts w:ascii="宋体" w:hAnsi="宋体"/>
          <w:sz w:val="21"/>
          <w:szCs w:val="21"/>
          <w:highlight w:val="none"/>
          <w:lang w:val="zh-CN"/>
        </w:rPr>
        <w:t xml:space="preserve"> </w:t>
      </w:r>
      <w:r>
        <w:rPr>
          <w:rFonts w:hint="eastAsia" w:ascii="宋体" w:hAnsi="宋体"/>
          <w:sz w:val="21"/>
          <w:szCs w:val="21"/>
          <w:highlight w:val="none"/>
          <w:lang w:val="zh-CN"/>
        </w:rPr>
        <w:t xml:space="preserve">年 </w:t>
      </w:r>
      <w:r>
        <w:rPr>
          <w:rFonts w:ascii="宋体" w:hAnsi="宋体"/>
          <w:sz w:val="21"/>
          <w:szCs w:val="21"/>
          <w:highlight w:val="none"/>
          <w:lang w:val="zh-CN"/>
        </w:rPr>
        <w:t xml:space="preserve"> </w:t>
      </w:r>
      <w:r>
        <w:rPr>
          <w:rFonts w:hint="eastAsia" w:ascii="宋体" w:hAnsi="宋体"/>
          <w:sz w:val="21"/>
          <w:szCs w:val="21"/>
          <w:highlight w:val="none"/>
          <w:lang w:val="zh-CN"/>
        </w:rPr>
        <w:t xml:space="preserve">月 </w:t>
      </w:r>
      <w:r>
        <w:rPr>
          <w:rFonts w:ascii="宋体" w:hAnsi="宋体"/>
          <w:sz w:val="21"/>
          <w:szCs w:val="21"/>
          <w:highlight w:val="none"/>
          <w:lang w:val="zh-CN"/>
        </w:rPr>
        <w:t xml:space="preserve"> </w:t>
      </w:r>
      <w:r>
        <w:rPr>
          <w:rFonts w:hint="eastAsia" w:ascii="宋体" w:hAnsi="宋体"/>
          <w:sz w:val="21"/>
          <w:szCs w:val="21"/>
          <w:highlight w:val="none"/>
          <w:lang w:val="zh-CN"/>
        </w:rPr>
        <w:t xml:space="preserve">日</w:t>
      </w:r>
      <w:r/>
    </w:p>
    <w:p>
      <w:pPr>
        <w:ind w:left="0"/>
        <w:spacing w:line="280" w:lineRule="exact"/>
        <w:rPr>
          <w:rFonts w:ascii="宋体" w:hAnsi="宋体"/>
          <w:b/>
          <w:highlight w:val="none"/>
        </w:rPr>
      </w:pPr>
      <w:r>
        <w:rPr>
          <w:rFonts w:ascii="宋体" w:hAnsi="宋体"/>
          <w:sz w:val="21"/>
          <w:szCs w:val="21"/>
          <w:highlight w:val="none"/>
          <w:lang w:val="zh-CN"/>
        </w:rPr>
        <w:br w:type="page" w:clear="all"/>
      </w:r>
      <w:bookmarkStart w:id="81" w:name="_Toc71810485"/>
      <w:r>
        <w:rPr>
          <w:rFonts w:hint="eastAsia" w:ascii="宋体" w:hAnsi="宋体"/>
          <w:b/>
          <w:highlight w:val="none"/>
        </w:rPr>
        <w:t xml:space="preserve">附：中小企业划型标准规定</w:t>
      </w:r>
      <w:r/>
    </w:p>
    <w:p>
      <w:pPr>
        <w:ind w:left="0" w:firstLine="402"/>
        <w:spacing w:line="280" w:lineRule="exact"/>
        <w:rPr>
          <w:rFonts w:ascii="宋体" w:hAnsi="宋体"/>
          <w:highlight w:val="none"/>
        </w:rPr>
      </w:pPr>
      <w:r>
        <w:rPr>
          <w:rFonts w:hint="eastAsia" w:ascii="宋体" w:hAnsi="宋体"/>
          <w:b/>
          <w:highlight w:val="none"/>
        </w:rPr>
        <w:t xml:space="preserve">（一）农、林、牧、渔业。</w:t>
      </w:r>
      <w:r>
        <w:rPr>
          <w:rFonts w:hint="eastAsia" w:ascii="宋体" w:hAnsi="宋体"/>
          <w:highlight w:val="none"/>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（二）工业。</w:t>
      </w:r>
      <w:r>
        <w:rPr>
          <w:rFonts w:hint="eastAsia" w:ascii="宋体" w:hAnsi="宋体"/>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（三）建筑业。</w:t>
      </w:r>
      <w:r>
        <w:rPr>
          <w:rFonts w:hint="eastAsia" w:ascii="宋体" w:hAnsi="宋体"/>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（四）批发业。</w:t>
      </w:r>
      <w:r>
        <w:rPr>
          <w:rFonts w:hint="eastAsia" w:ascii="宋体" w:hAnsi="宋体"/>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（五）零售业。</w:t>
      </w:r>
      <w:r>
        <w:rPr>
          <w:rFonts w:hint="eastAsia" w:ascii="宋体" w:hAnsi="宋体"/>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（六）交通运输业。</w:t>
      </w:r>
      <w:r>
        <w:rPr>
          <w:rFonts w:hint="eastAsia" w:ascii="宋体" w:hAnsi="宋体"/>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（七）仓储业。</w:t>
      </w:r>
      <w:r>
        <w:rPr>
          <w:rFonts w:hint="eastAsia" w:ascii="宋体" w:hAnsi="宋体"/>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（八）邮政业。</w:t>
      </w:r>
      <w:r>
        <w:rPr>
          <w:rFonts w:hint="eastAsia" w:ascii="宋体" w:hAnsi="宋体"/>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（九）住宿业。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（十）餐饮业。</w:t>
      </w:r>
      <w:r>
        <w:rPr>
          <w:rFonts w:hint="eastAsia" w:ascii="宋体" w:hAnsi="宋体"/>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（十一）信息传输业。</w:t>
      </w:r>
      <w:r>
        <w:rPr>
          <w:rFonts w:hint="eastAsia" w:ascii="宋体" w:hAnsi="宋体"/>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（十二）软件和信息技术服务业。</w:t>
      </w:r>
      <w:r>
        <w:rPr>
          <w:rFonts w:hint="eastAsia" w:ascii="宋体" w:hAnsi="宋体"/>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（十三）房地产开发经营。</w:t>
      </w:r>
      <w:r>
        <w:rPr>
          <w:rFonts w:hint="eastAsia" w:ascii="宋体" w:hAnsi="宋体"/>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（十四）物业管理。</w:t>
      </w:r>
      <w:r>
        <w:rPr>
          <w:rFonts w:hint="eastAsia" w:ascii="宋体" w:hAnsi="宋体"/>
          <w:highlight w:val="none"/>
        </w:rPr>
        <w:t xml:space="preserve">从业人员1000人以下或营业收入5000万元以下的为中小微型企业。其中，从业人员</w:t>
      </w:r>
      <w:r/>
    </w:p>
    <w:p>
      <w:pPr>
        <w:ind w:left="0"/>
        <w:spacing w:line="280" w:lineRule="exact"/>
        <w:rPr>
          <w:rFonts w:ascii="宋体" w:hAnsi="宋体"/>
          <w:highlight w:val="none"/>
        </w:rPr>
      </w:pPr>
      <w:r>
        <w:rPr>
          <w:rFonts w:hint="eastAsia" w:ascii="宋体" w:hAnsi="宋体"/>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（十五）租赁和商务服务业。</w:t>
      </w:r>
      <w:r>
        <w:rPr>
          <w:rFonts w:hint="eastAsia" w:ascii="宋体" w:hAnsi="宋体"/>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highlight w:val="none"/>
        </w:rPr>
      </w:pPr>
      <w:r>
        <w:rPr>
          <w:rFonts w:hint="eastAsia" w:ascii="宋体" w:hAnsi="宋体"/>
          <w:b/>
          <w:highlight w:val="none"/>
        </w:rPr>
        <w:t xml:space="preserve">（十六）其他未列明行业。</w:t>
      </w:r>
      <w:r>
        <w:rPr>
          <w:rFonts w:hint="eastAsia" w:ascii="宋体" w:hAnsi="宋体"/>
          <w:highlight w:val="none"/>
        </w:rPr>
        <w:t xml:space="preserve">从业人员300人以下的为中小微型企业。其中，从业人员100人及以上的为中型企业；从业人员10人及以上的为小型企业；从业人员10人以下的为微型企业。</w:t>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r>
      <w:r/>
    </w:p>
    <w:p>
      <w:pPr>
        <w:pStyle w:val="867"/>
        <w:rPr>
          <w:rFonts w:ascii="宋体" w:hAnsi="宋体"/>
          <w:highlight w:val="none"/>
          <w:lang w:val="zh-CN"/>
        </w:rPr>
      </w:pPr>
      <w:r>
        <w:rPr>
          <w:rFonts w:ascii="宋体" w:hAnsi="宋体"/>
          <w:highlight w:val="none"/>
          <w:lang w:val="zh-CN"/>
        </w:rPr>
      </w:r>
      <w:r/>
    </w:p>
    <w:p>
      <w:pPr>
        <w:ind w:left="0"/>
        <w:jc w:val="left"/>
        <w:rPr>
          <w:rFonts w:ascii="宋体" w:hAnsi="宋体"/>
          <w:b/>
          <w:bCs/>
          <w:sz w:val="21"/>
          <w:szCs w:val="21"/>
          <w:highlight w:val="none"/>
        </w:rPr>
        <w:outlineLvl w:val="0"/>
      </w:pPr>
      <w:r/>
      <w:bookmarkStart w:id="82" w:name="_Toc6194"/>
      <w:r/>
      <w:bookmarkStart w:id="83" w:name="_Toc105397784"/>
      <w:r/>
      <w:bookmarkStart w:id="84" w:name="_Toc16872"/>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5</w:t>
      </w:r>
      <w:r>
        <w:rPr>
          <w:rFonts w:hint="eastAsia" w:ascii="宋体" w:hAnsi="宋体"/>
          <w:b/>
          <w:sz w:val="21"/>
          <w:szCs w:val="21"/>
          <w:highlight w:val="none"/>
        </w:rPr>
        <w:t xml:space="preserve">.残疾人福利性单位声明函</w:t>
      </w:r>
      <w:bookmarkEnd w:id="81"/>
      <w:r/>
      <w:bookmarkEnd w:id="82"/>
      <w:r/>
      <w:bookmarkEnd w:id="83"/>
      <w:r/>
      <w:bookmarkEnd w:id="84"/>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残疾人福利性单位声明函</w:t>
      </w:r>
      <w:r/>
    </w:p>
    <w:p>
      <w:pPr>
        <w:ind w:left="0"/>
        <w:spacing w:line="360" w:lineRule="auto"/>
        <w:rPr>
          <w:rFonts w:ascii="宋体" w:hAnsi="宋体"/>
          <w:sz w:val="21"/>
          <w:szCs w:val="21"/>
          <w:highlight w:val="none"/>
          <w:lang w:val="zh-CN"/>
        </w:rPr>
      </w:pPr>
      <w:r/>
      <w:bookmarkStart w:id="85" w:name="_Toc32206"/>
      <w:r/>
      <w:bookmarkStart w:id="86" w:name="_Toc3869"/>
      <w:r/>
      <w:bookmarkStart w:id="87" w:name="_Toc15378"/>
      <w:r>
        <w:rPr>
          <w:rFonts w:hint="eastAsia" w:ascii="宋体" w:hAnsi="宋体"/>
          <w:sz w:val="21"/>
          <w:szCs w:val="21"/>
          <w:highlight w:val="none"/>
          <w:u w:val="single"/>
          <w:lang w:val="zh-CN"/>
        </w:rPr>
        <w:t xml:space="preserve">苏州市政府集中采购中心</w:t>
      </w:r>
      <w:r>
        <w:rPr>
          <w:rFonts w:hint="eastAsia" w:ascii="宋体" w:hAnsi="宋体"/>
          <w:sz w:val="21"/>
          <w:szCs w:val="21"/>
          <w:highlight w:val="none"/>
          <w:lang w:val="zh-CN"/>
        </w:rPr>
        <w:t xml:space="preserve">：</w:t>
      </w:r>
      <w:bookmarkEnd w:id="85"/>
      <w:r/>
      <w:bookmarkEnd w:id="86"/>
      <w:r/>
      <w:bookmarkEnd w:id="87"/>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highlight w:val="none"/>
          <w:lang w:val="zh-CN"/>
        </w:rPr>
        <w:t xml:space="preserve">贵中心组织实施的编号为</w:t>
      </w:r>
      <w:r>
        <w:rPr>
          <w:rFonts w:ascii="宋体" w:hAnsi="宋体"/>
          <w:sz w:val="21"/>
          <w:szCs w:val="21"/>
          <w:highlight w:val="none"/>
          <w:u w:val="single"/>
          <w:lang w:val="zh-CN"/>
        </w:rPr>
        <w:t xml:space="preserve">              </w:t>
      </w:r>
      <w:r>
        <w:rPr>
          <w:rFonts w:hint="eastAsia" w:ascii="宋体" w:hAnsi="宋体"/>
          <w:sz w:val="21"/>
          <w:szCs w:val="21"/>
          <w:highlight w:val="none"/>
          <w:lang w:val="zh-CN"/>
        </w:rPr>
        <w:t xml:space="preserve">号的招标活动</w:t>
      </w:r>
      <w:r>
        <w:rPr>
          <w:rFonts w:hint="eastAsia" w:ascii="宋体" w:hAnsi="宋体"/>
          <w:sz w:val="21"/>
          <w:szCs w:val="21"/>
          <w:highlight w:val="none"/>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本单位对上述声明的真实性负责。如有虚假，将依法承担相应责任。</w:t>
      </w:r>
      <w:r/>
    </w:p>
    <w:p>
      <w:pPr>
        <w:pStyle w:val="1193"/>
        <w:spacing w:line="360" w:lineRule="auto"/>
        <w:rPr>
          <w:rFonts w:hAnsi="宋体"/>
          <w:sz w:val="21"/>
          <w:szCs w:val="21"/>
          <w:highlight w:val="none"/>
        </w:rPr>
      </w:pPr>
      <w:r>
        <w:rPr>
          <w:rFonts w:hAnsi="宋体"/>
          <w:sz w:val="21"/>
          <w:szCs w:val="21"/>
          <w:highlight w:val="none"/>
        </w:rPr>
      </w:r>
      <w:r/>
    </w:p>
    <w:p>
      <w:pPr>
        <w:ind w:left="0" w:firstLine="0"/>
        <w:spacing w:line="360" w:lineRule="auto"/>
        <w:rPr>
          <w:rFonts w:ascii="宋体" w:hAnsi="宋体"/>
          <w:b/>
          <w:sz w:val="21"/>
          <w:szCs w:val="21"/>
          <w:highlight w:val="none"/>
        </w:rPr>
      </w:pPr>
      <w:r>
        <w:rPr>
          <w:rFonts w:ascii="宋体" w:hAnsi="宋体"/>
          <w:b/>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900"/>
        <w:ind w:left="0" w:firstLine="0"/>
        <w:rPr>
          <w:rFonts w:ascii="宋体" w:hAnsi="宋体"/>
          <w:b/>
          <w:highlight w:val="none"/>
          <w:lang w:val="zh-CN"/>
        </w:rPr>
      </w:pPr>
      <w:r>
        <w:rPr>
          <w:rFonts w:ascii="宋体" w:hAnsi="宋体"/>
          <w:b/>
          <w:highlight w:val="none"/>
          <w:lang w:val="zh-CN"/>
        </w:rPr>
      </w:r>
      <w:r/>
    </w:p>
    <w:p>
      <w:pPr>
        <w:pStyle w:val="900"/>
        <w:ind w:left="0" w:firstLine="0"/>
        <w:rPr>
          <w:rFonts w:ascii="宋体" w:hAnsi="宋体" w:cs="Arial"/>
          <w:b/>
          <w:color w:val="333333"/>
          <w:highlight w:val="none"/>
          <w:shd w:val="clear" w:color="auto" w:fill="ffffff"/>
        </w:rPr>
      </w:pPr>
      <w:r>
        <w:rPr>
          <w:rFonts w:hint="eastAsia" w:ascii="宋体" w:hAnsi="宋体"/>
          <w:b/>
          <w:highlight w:val="none"/>
          <w:lang w:val="zh-CN"/>
        </w:rPr>
        <w:t xml:space="preserve">备注：1.</w:t>
      </w:r>
      <w:r>
        <w:rPr>
          <w:rFonts w:hint="eastAsia" w:ascii="宋体" w:hAnsi="宋体" w:cs="Arial"/>
          <w:b/>
          <w:color w:val="333333"/>
          <w:highlight w:val="none"/>
          <w:shd w:val="clear" w:color="auto" w:fill="ffffff"/>
        </w:rPr>
        <w:t xml:space="preserve">享受政府采购支持政策的残疾人福利性单位应当同时满足以下条件：</w:t>
      </w:r>
      <w:r/>
    </w:p>
    <w:p>
      <w:pPr>
        <w:pStyle w:val="900"/>
        <w:ind w:left="0" w:firstLine="400"/>
        <w:rPr>
          <w:rFonts w:ascii="宋体" w:hAnsi="宋体" w:cs="Arial"/>
          <w:color w:val="333333"/>
          <w:highlight w:val="none"/>
          <w:shd w:val="clear" w:color="auto" w:fill="ffffff"/>
        </w:rPr>
      </w:pPr>
      <w:r>
        <w:rPr>
          <w:rFonts w:hint="eastAsia" w:ascii="宋体" w:hAnsi="宋体"/>
          <w:highlight w:val="none"/>
          <w:lang w:val="zh-CN"/>
        </w:rPr>
        <w:fldChar w:fldCharType="begin"/>
      </w:r>
      <w:r>
        <w:rPr>
          <w:rFonts w:hint="eastAsia" w:ascii="宋体" w:hAnsi="宋体"/>
          <w:highlight w:val="none"/>
          <w:lang w:val="zh-CN"/>
        </w:rPr>
        <w:instrText xml:space="preserve"> = 1 \* GB3 </w:instrText>
      </w:r>
      <w:r>
        <w:rPr>
          <w:rFonts w:hint="eastAsia" w:ascii="宋体" w:hAnsi="宋体"/>
          <w:highlight w:val="none"/>
          <w:lang w:val="zh-CN"/>
        </w:rPr>
        <w:fldChar w:fldCharType="separate"/>
      </w:r>
      <w:r>
        <w:rPr>
          <w:rFonts w:hint="eastAsia" w:ascii="宋体" w:hAnsi="宋体"/>
          <w:highlight w:val="none"/>
          <w:lang w:val="zh-CN"/>
        </w:rPr>
        <w:t xml:space="preserve">①</w:t>
      </w:r>
      <w:r>
        <w:rPr>
          <w:rFonts w:hint="eastAsia" w:ascii="宋体" w:hAnsi="宋体"/>
          <w:highlight w:val="none"/>
          <w:lang w:val="zh-CN"/>
        </w:rPr>
        <w:fldChar w:fldCharType="end"/>
      </w:r>
      <w:r>
        <w:rPr>
          <w:rFonts w:hint="eastAsia" w:ascii="宋体" w:hAnsi="宋体"/>
          <w:highlight w:val="none"/>
          <w:lang w:val="zh-CN"/>
        </w:rPr>
        <w:t xml:space="preserve">安置的残疾人占本单位在职职工人数的比例不低于25%（含25%），并且安置的残疾人人数不少于10人（含10人）；</w:t>
      </w:r>
      <w:r/>
    </w:p>
    <w:p>
      <w:pPr>
        <w:pStyle w:val="90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2 \* GB3 </w:instrText>
      </w:r>
      <w:r>
        <w:rPr>
          <w:rFonts w:hint="eastAsia" w:ascii="宋体" w:hAnsi="宋体"/>
          <w:highlight w:val="none"/>
          <w:lang w:val="zh-CN"/>
        </w:rPr>
        <w:fldChar w:fldCharType="separate"/>
      </w:r>
      <w:r>
        <w:rPr>
          <w:rFonts w:hint="eastAsia" w:ascii="宋体" w:hAnsi="宋体"/>
          <w:highlight w:val="none"/>
          <w:lang w:val="zh-CN"/>
        </w:rPr>
        <w:t xml:space="preserve">②</w:t>
      </w:r>
      <w:r>
        <w:rPr>
          <w:rFonts w:hint="eastAsia" w:ascii="宋体" w:hAnsi="宋体"/>
          <w:highlight w:val="none"/>
          <w:lang w:val="zh-CN"/>
        </w:rPr>
        <w:fldChar w:fldCharType="end"/>
      </w:r>
      <w:r>
        <w:rPr>
          <w:rFonts w:hint="eastAsia" w:ascii="宋体" w:hAnsi="宋体"/>
          <w:highlight w:val="none"/>
          <w:lang w:val="zh-CN"/>
        </w:rPr>
        <w:t xml:space="preserve">依法与安置的每位残疾人签订了一年以上（含一年）的劳动合同或服务协议；</w:t>
      </w:r>
      <w:r/>
    </w:p>
    <w:p>
      <w:pPr>
        <w:pStyle w:val="90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3 \* GB3 </w:instrText>
      </w:r>
      <w:r>
        <w:rPr>
          <w:rFonts w:hint="eastAsia" w:ascii="宋体" w:hAnsi="宋体"/>
          <w:highlight w:val="none"/>
          <w:lang w:val="zh-CN"/>
        </w:rPr>
        <w:fldChar w:fldCharType="separate"/>
      </w:r>
      <w:r>
        <w:rPr>
          <w:rFonts w:hint="eastAsia" w:ascii="宋体" w:hAnsi="宋体"/>
          <w:highlight w:val="none"/>
          <w:lang w:val="zh-CN"/>
        </w:rPr>
        <w:t xml:space="preserve">③</w:t>
      </w:r>
      <w:r>
        <w:rPr>
          <w:rFonts w:hint="eastAsia" w:ascii="宋体" w:hAnsi="宋体"/>
          <w:highlight w:val="none"/>
          <w:lang w:val="zh-CN"/>
        </w:rPr>
        <w:fldChar w:fldCharType="end"/>
      </w:r>
      <w:r>
        <w:rPr>
          <w:rFonts w:hint="eastAsia" w:ascii="宋体" w:hAnsi="宋体"/>
          <w:highlight w:val="none"/>
          <w:lang w:val="zh-CN"/>
        </w:rPr>
        <w:t xml:space="preserve">为安置的每位残疾人按月足额缴纳了基本养老保险、基本医疗保险、失业保险、工伤保险和生育保险等社会保险费；</w:t>
      </w:r>
      <w:r/>
    </w:p>
    <w:p>
      <w:pPr>
        <w:pStyle w:val="90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4 \* GB3 </w:instrText>
      </w:r>
      <w:r>
        <w:rPr>
          <w:rFonts w:hint="eastAsia" w:ascii="宋体" w:hAnsi="宋体"/>
          <w:highlight w:val="none"/>
          <w:lang w:val="zh-CN"/>
        </w:rPr>
        <w:fldChar w:fldCharType="separate"/>
      </w:r>
      <w:r>
        <w:rPr>
          <w:rFonts w:hint="eastAsia" w:ascii="宋体" w:hAnsi="宋体"/>
          <w:highlight w:val="none"/>
          <w:lang w:val="zh-CN"/>
        </w:rPr>
        <w:t xml:space="preserve">④</w:t>
      </w:r>
      <w:r>
        <w:rPr>
          <w:rFonts w:hint="eastAsia" w:ascii="宋体" w:hAnsi="宋体"/>
          <w:highlight w:val="none"/>
          <w:lang w:val="zh-CN"/>
        </w:rPr>
        <w:fldChar w:fldCharType="end"/>
      </w:r>
      <w:r>
        <w:rPr>
          <w:rFonts w:hint="eastAsia" w:ascii="宋体" w:hAnsi="宋体"/>
          <w:highlight w:val="none"/>
          <w:lang w:val="zh-CN"/>
        </w:rPr>
        <w:t xml:space="preserve">通过银行等金融机构向安置的每位残疾人，按月支付了不低于单位所在区县适用的经省级人民政府批准的月最低工资标准的工资；</w:t>
      </w:r>
      <w:r/>
    </w:p>
    <w:p>
      <w:pPr>
        <w:pStyle w:val="900"/>
        <w:ind w:left="0" w:firstLine="400"/>
        <w:rPr>
          <w:rFonts w:ascii="宋体" w:hAnsi="宋体"/>
          <w:highlight w:val="none"/>
          <w:lang w:val="zh-CN"/>
        </w:rPr>
      </w:pPr>
      <w:r>
        <w:rPr>
          <w:rFonts w:hint="eastAsia" w:ascii="宋体" w:hAnsi="宋体"/>
          <w:highlight w:val="none"/>
          <w:lang w:val="zh-CN"/>
        </w:rPr>
        <w:fldChar w:fldCharType="begin"/>
      </w:r>
      <w:r>
        <w:rPr>
          <w:rFonts w:hint="eastAsia" w:ascii="宋体" w:hAnsi="宋体"/>
          <w:highlight w:val="none"/>
          <w:lang w:val="zh-CN"/>
        </w:rPr>
        <w:instrText xml:space="preserve"> = 5 \* GB3 </w:instrText>
      </w:r>
      <w:r>
        <w:rPr>
          <w:rFonts w:hint="eastAsia" w:ascii="宋体" w:hAnsi="宋体"/>
          <w:highlight w:val="none"/>
          <w:lang w:val="zh-CN"/>
        </w:rPr>
        <w:fldChar w:fldCharType="separate"/>
      </w:r>
      <w:r>
        <w:rPr>
          <w:rFonts w:hint="eastAsia" w:ascii="宋体" w:hAnsi="宋体"/>
          <w:highlight w:val="none"/>
          <w:lang w:val="zh-CN"/>
        </w:rPr>
        <w:t xml:space="preserve">⑤</w:t>
      </w:r>
      <w:r>
        <w:rPr>
          <w:rFonts w:hint="eastAsia" w:ascii="宋体" w:hAnsi="宋体"/>
          <w:highlight w:val="none"/>
          <w:lang w:val="zh-CN"/>
        </w:rPr>
        <w:fldChar w:fldCharType="end"/>
      </w:r>
      <w:r>
        <w:rPr>
          <w:rFonts w:hint="eastAsia" w:ascii="宋体" w:hAnsi="宋体"/>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900"/>
        <w:ind w:left="0" w:firstLine="400"/>
        <w:rPr>
          <w:rFonts w:ascii="宋体" w:hAnsi="宋体"/>
          <w:highlight w:val="none"/>
          <w:lang w:val="zh-CN"/>
        </w:rPr>
      </w:pPr>
      <w:r>
        <w:rPr>
          <w:rFonts w:hint="eastAsia" w:ascii="宋体" w:hAnsi="宋体"/>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0"/>
        <w:ind w:left="0" w:firstLine="402"/>
        <w:rPr>
          <w:rFonts w:ascii="宋体" w:hAnsi="宋体"/>
          <w:b/>
          <w:highlight w:val="none"/>
          <w:lang w:val="zh-CN"/>
        </w:rPr>
      </w:pPr>
      <w:r>
        <w:rPr>
          <w:rFonts w:hint="eastAsia" w:ascii="宋体" w:hAnsi="宋体"/>
          <w:b/>
          <w:highlight w:val="none"/>
          <w:lang w:val="zh-CN"/>
        </w:rPr>
        <w:t xml:space="preserve">2.中标单位为残疾人福利性单位的，《残疾人福利性单位声明函》将随中标结果同时公告。</w:t>
      </w:r>
      <w:r/>
    </w:p>
    <w:p>
      <w:pPr>
        <w:pStyle w:val="900"/>
        <w:ind w:left="0" w:firstLine="402"/>
        <w:rPr>
          <w:rFonts w:ascii="宋体" w:hAnsi="宋体"/>
          <w:b/>
          <w:highlight w:val="none"/>
          <w:lang w:val="zh-CN"/>
        </w:rPr>
      </w:pPr>
      <w:r>
        <w:rPr>
          <w:rFonts w:hint="eastAsia" w:ascii="宋体" w:hAnsi="宋体"/>
          <w:b/>
          <w:highlight w:val="none"/>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highlight w:val="none"/>
        </w:rPr>
        <w:outlineLvl w:val="0"/>
      </w:pPr>
      <w:r>
        <w:rPr>
          <w:rFonts w:ascii="宋体" w:hAnsi="宋体"/>
          <w:sz w:val="21"/>
          <w:szCs w:val="21"/>
          <w:highlight w:val="none"/>
          <w:lang w:val="zh-CN"/>
        </w:rPr>
        <w:br w:type="page" w:clear="all"/>
      </w:r>
      <w:bookmarkStart w:id="88" w:name="_Toc71810487"/>
      <w:r/>
      <w:bookmarkStart w:id="89" w:name="_Toc105397785"/>
      <w:r/>
      <w:bookmarkStart w:id="90" w:name="_Toc18578"/>
      <w:r/>
      <w:bookmarkStart w:id="91" w:name="_Toc16432"/>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6</w:t>
      </w:r>
      <w:r>
        <w:rPr>
          <w:rFonts w:hint="eastAsia" w:ascii="宋体" w:hAnsi="宋体"/>
          <w:b/>
          <w:sz w:val="21"/>
          <w:szCs w:val="21"/>
          <w:highlight w:val="none"/>
        </w:rPr>
        <w:t xml:space="preserve">.</w:t>
      </w:r>
      <w:bookmarkEnd w:id="88"/>
      <w:r>
        <w:rPr>
          <w:rFonts w:hint="eastAsia" w:ascii="宋体" w:hAnsi="宋体"/>
          <w:highlight w:val="none"/>
        </w:rPr>
        <w:t xml:space="preserve"> </w:t>
      </w:r>
      <w:r>
        <w:rPr>
          <w:rFonts w:hint="eastAsia" w:ascii="宋体" w:hAnsi="宋体"/>
          <w:b/>
          <w:sz w:val="21"/>
          <w:szCs w:val="21"/>
          <w:highlight w:val="none"/>
        </w:rPr>
        <w:t xml:space="preserve">偏离表（技术、商务）</w:t>
      </w:r>
      <w:bookmarkEnd w:id="89"/>
      <w:r/>
      <w:bookmarkEnd w:id="90"/>
      <w:r/>
      <w:bookmarkEnd w:id="91"/>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偏离表（技术、商务）</w:t>
      </w:r>
      <w:r/>
    </w:p>
    <w:tbl>
      <w:tblPr>
        <w:tblStyle w:val="85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cs="Times New Roman"/>
                <w:sz w:val="21"/>
                <w:szCs w:val="21"/>
                <w:highlight w:val="none"/>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highlight w:val="none"/>
              </w:rPr>
            </w:pPr>
            <w:r>
              <w:rPr>
                <w:rFonts w:hint="eastAsia" w:ascii="宋体" w:hAnsi="宋体" w:cs="Times New Roman"/>
                <w:sz w:val="21"/>
                <w:szCs w:val="21"/>
                <w:highlight w:val="none"/>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23"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984"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2127"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842" w:type="dxa"/>
            <w:vAlign w:val="center"/>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c>
          <w:tcPr>
            <w:tcW w:w="1418" w:type="dxa"/>
            <w:textDirection w:val="lrTb"/>
            <w:noWrap w:val="false"/>
          </w:tcPr>
          <w:p>
            <w:pPr>
              <w:ind w:left="0"/>
              <w:jc w:val="center"/>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highlight w:val="none"/>
        </w:rPr>
        <w:t xml:space="preserve">未说明偏离的，将被认为响应招标文件的规定。</w:t>
      </w:r>
      <w:r>
        <w:rPr>
          <w:rFonts w:hint="eastAsia" w:ascii="宋体" w:hAnsi="宋体"/>
          <w:sz w:val="21"/>
          <w:szCs w:val="21"/>
          <w:highlight w:val="none"/>
        </w:rPr>
        <w:t xml:space="preserve">但该表不作为投标人对所投标服务关于商务条款等详细描述和说明的替代。</w:t>
      </w:r>
      <w:r/>
    </w:p>
    <w:p>
      <w:pPr>
        <w:ind w:left="0" w:firstLine="420"/>
        <w:spacing w:line="360" w:lineRule="auto"/>
        <w:rPr>
          <w:rFonts w:ascii="宋体" w:hAnsi="宋体"/>
          <w:sz w:val="21"/>
          <w:szCs w:val="21"/>
          <w:highlight w:val="none"/>
        </w:rPr>
      </w:pPr>
      <w:r>
        <w:rPr>
          <w:rFonts w:hint="eastAsia" w:ascii="宋体" w:hAnsi="宋体"/>
          <w:sz w:val="21"/>
          <w:szCs w:val="21"/>
          <w:highlight w:val="none"/>
        </w:rPr>
        <w:t xml:space="preserve">表格可根据实际情况自行调整、编辑。</w:t>
      </w:r>
      <w:r/>
    </w:p>
    <w:p>
      <w:pPr>
        <w:ind w:left="0" w:right="1560"/>
        <w:jc w:val="center"/>
        <w:spacing w:line="360" w:lineRule="auto"/>
        <w:widowControl w:val="off"/>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firstLine="4830"/>
        <w:jc w:val="left"/>
        <w:spacing w:line="360" w:lineRule="auto"/>
        <w:rPr>
          <w:rFonts w:ascii="宋体" w:hAnsi="宋体"/>
          <w:sz w:val="21"/>
          <w:szCs w:val="21"/>
          <w:highlight w:val="none"/>
        </w:rPr>
      </w:pPr>
      <w:r/>
      <w:bookmarkStart w:id="92" w:name="_Toc31973"/>
      <w:r/>
      <w:bookmarkStart w:id="93" w:name="_Toc27138"/>
      <w:r>
        <w:rPr>
          <w:rFonts w:ascii="宋体" w:hAnsi="宋体"/>
          <w:sz w:val="21"/>
          <w:szCs w:val="21"/>
          <w:highlight w:val="none"/>
        </w:rPr>
        <w:t xml:space="preserve"> </w:t>
      </w:r>
      <w:r/>
    </w:p>
    <w:p>
      <w:pPr>
        <w:pStyle w:val="867"/>
        <w:rPr>
          <w:rFonts w:ascii="宋体" w:hAnsi="宋体" w:cs="宋体"/>
          <w:sz w:val="21"/>
          <w:szCs w:val="21"/>
          <w:highlight w:val="none"/>
        </w:rPr>
      </w:pPr>
      <w:r>
        <w:rPr>
          <w:rFonts w:ascii="宋体" w:hAnsi="宋体" w:cs="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r>
      <w:r/>
    </w:p>
    <w:p>
      <w:pPr>
        <w:ind w:left="0"/>
        <w:rPr>
          <w:rFonts w:ascii="宋体" w:hAnsi="宋体" w:cs="Times New Roman"/>
          <w:highlight w:val="none"/>
        </w:rPr>
      </w:pPr>
      <w:r>
        <w:rPr>
          <w:rFonts w:ascii="宋体" w:hAnsi="宋体" w:cs="Times New Roman"/>
          <w:highlight w:val="none"/>
        </w:rPr>
      </w:r>
      <w:r/>
    </w:p>
    <w:p>
      <w:pPr>
        <w:pStyle w:val="867"/>
        <w:rPr>
          <w:rFonts w:ascii="宋体" w:hAnsi="宋体"/>
          <w:highlight w:val="none"/>
        </w:rPr>
      </w:pPr>
      <w:r>
        <w:rPr>
          <w:rFonts w:ascii="宋体" w:hAnsi="宋体"/>
          <w:highlight w:val="none"/>
        </w:rPr>
      </w:r>
      <w:r/>
    </w:p>
    <w:p>
      <w:pPr>
        <w:pStyle w:val="859"/>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94" w:name="_Toc105397786"/>
      <w:r/>
      <w:bookmarkStart w:id="95" w:name="_Toc4362"/>
      <w:r/>
      <w:bookmarkStart w:id="96" w:name="_Toc24027"/>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7</w:t>
      </w:r>
      <w:r>
        <w:rPr>
          <w:rFonts w:hint="eastAsia" w:ascii="宋体" w:hAnsi="宋体"/>
          <w:b/>
          <w:sz w:val="21"/>
          <w:szCs w:val="21"/>
          <w:highlight w:val="none"/>
        </w:rPr>
        <w:t xml:space="preserve">.项目服务人员配置表</w:t>
      </w:r>
      <w:bookmarkEnd w:id="94"/>
      <w:r/>
      <w:bookmarkEnd w:id="95"/>
      <w:r/>
      <w:bookmarkEnd w:id="96"/>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项目服务人员配置表</w:t>
      </w:r>
      <w:r/>
    </w:p>
    <w:tbl>
      <w:tblPr>
        <w:tblStyle w:val="852"/>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岗位</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姓名</w:t>
            </w:r>
            <w:r/>
          </w:p>
        </w:tc>
        <w:tc>
          <w:tcPr>
            <w:tcW w:w="992"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性别</w:t>
            </w:r>
            <w:r/>
          </w:p>
        </w:tc>
        <w:tc>
          <w:tcPr>
            <w:tcW w:w="1299"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年龄</w:t>
            </w:r>
            <w:r/>
          </w:p>
        </w:tc>
        <w:tc>
          <w:tcPr>
            <w:tcW w:w="1560"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职称</w:t>
            </w:r>
            <w:r>
              <w:rPr>
                <w:rFonts w:hint="eastAsia" w:ascii="宋体" w:hAnsi="宋体" w:cs="Times New Roman"/>
                <w:sz w:val="21"/>
                <w:szCs w:val="21"/>
                <w:highlight w:val="none"/>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hint="eastAsia" w:ascii="宋体" w:hAnsi="宋体"/>
                <w:sz w:val="21"/>
                <w:szCs w:val="21"/>
                <w:highlight w:val="none"/>
              </w:rPr>
              <w:t xml:space="preserve">...</w:t>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1276" w:type="dxa"/>
            <w:vAlign w:val="center"/>
            <w:textDirection w:val="lrTb"/>
            <w:noWrap w:val="false"/>
          </w:tcPr>
          <w:p>
            <w:pPr>
              <w:ind w:left="0"/>
              <w:jc w:val="center"/>
              <w:widowControl w:val="off"/>
              <w:rPr>
                <w:rFonts w:ascii="宋体" w:hAnsi="宋体"/>
                <w:sz w:val="21"/>
                <w:szCs w:val="21"/>
                <w:highlight w:val="none"/>
              </w:rPr>
            </w:pPr>
            <w:r>
              <w:rPr>
                <w:rFonts w:ascii="宋体" w:hAnsi="宋体"/>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152" w:type="dxa"/>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spacing w:line="360" w:lineRule="auto"/>
        <w:widowControl w:val="off"/>
        <w:rPr>
          <w:rFonts w:ascii="Times New Roman" w:hAnsi="Times New Roman"/>
          <w:b/>
          <w:sz w:val="21"/>
          <w:highlight w:val="none"/>
        </w:rPr>
      </w:pPr>
      <w:r>
        <w:rPr>
          <w:rFonts w:hint="eastAsia" w:ascii="宋体" w:hAnsi="宋体"/>
          <w:b/>
          <w:sz w:val="21"/>
          <w:szCs w:val="21"/>
          <w:highlight w:val="none"/>
        </w:rPr>
        <w:t xml:space="preserve">注：1.</w:t>
      </w:r>
      <w:r>
        <w:rPr>
          <w:rFonts w:hint="eastAsia" w:ascii="Times New Roman" w:hAnsi="Times New Roman"/>
          <w:b/>
          <w:sz w:val="21"/>
          <w:highlight w:val="none"/>
        </w:rPr>
        <w:t xml:space="preserve">服务类项目中供应商若使用退休人员，将不享受</w:t>
      </w:r>
      <w:r>
        <w:rPr>
          <w:rFonts w:hint="eastAsia"/>
          <w:b/>
          <w:sz w:val="21"/>
          <w:highlight w:val="none"/>
        </w:rPr>
        <w:t xml:space="preserve">中小企业</w:t>
      </w:r>
      <w:r>
        <w:rPr>
          <w:rFonts w:hint="eastAsia" w:ascii="Times New Roman" w:hAnsi="Times New Roman"/>
          <w:b/>
          <w:sz w:val="21"/>
          <w:highlight w:val="none"/>
        </w:rPr>
        <w:t xml:space="preserve">扶持政策。</w:t>
      </w:r>
      <w:r/>
    </w:p>
    <w:p>
      <w:pPr>
        <w:ind w:left="0"/>
        <w:spacing w:line="360" w:lineRule="auto"/>
        <w:widowControl w:val="off"/>
        <w:rPr>
          <w:rFonts w:ascii="宋体" w:hAnsi="宋体"/>
          <w:b/>
          <w:sz w:val="21"/>
          <w:szCs w:val="21"/>
          <w:highlight w:val="none"/>
        </w:rPr>
      </w:pPr>
      <w:r>
        <w:rPr>
          <w:rFonts w:hint="eastAsia" w:asciiTheme="minorEastAsia" w:hAnsiTheme="minorEastAsia" w:eastAsiaTheme="minorEastAsia" w:cstheme="minorEastAsia"/>
          <w:b/>
          <w:sz w:val="21"/>
          <w:highlight w:val="none"/>
        </w:rPr>
        <w:t xml:space="preserve">2.</w:t>
      </w:r>
      <w:r>
        <w:rPr>
          <w:rFonts w:hint="eastAsia" w:asciiTheme="minorEastAsia" w:hAnsiTheme="minorEastAsia" w:eastAsiaTheme="minorEastAsia" w:cstheme="minorEastAsia"/>
          <w:b/>
          <w:sz w:val="21"/>
          <w:szCs w:val="21"/>
          <w:highlight w:val="none"/>
        </w:rPr>
        <w:t xml:space="preserve">投标文件中项目经理须提供与本项目工作内容相关专业的本科及以上学历；维护工程师须提供与本项目工作内容相关专业的大专及以上学历；电工须提供特种作业操作证（准操项目：低压电工作业）；高处作业人员须提供特种作业操作证特种作业操作证（准操项目：高处安装、维护、拆除作业）。以上人员须按要求提供相关人员证书复印件、投标单位为其缴纳的最新一期的社保缴纳证明复印件，未提供视为未实质性响应招标文件要求。</w:t>
      </w:r>
      <w:r/>
    </w:p>
    <w:p>
      <w:pPr>
        <w:ind w:left="0" w:firstLine="420"/>
        <w:jc w:val="left"/>
        <w:spacing w:line="360" w:lineRule="auto"/>
        <w:widowControl w:val="off"/>
        <w:rPr>
          <w:rFonts w:ascii="Times New Roman" w:hAnsi="Times New Roman"/>
          <w:sz w:val="21"/>
          <w:highlight w:val="none"/>
        </w:rPr>
      </w:pPr>
      <w:r>
        <w:rPr>
          <w:rFonts w:ascii="Times New Roman" w:hAnsi="Times New Roman"/>
          <w:sz w:val="21"/>
          <w:highlight w:val="none"/>
        </w:rPr>
        <w:t xml:space="preserve"> </w:t>
      </w:r>
      <w:r/>
    </w:p>
    <w:p>
      <w:pPr>
        <w:ind w:right="840" w:firstLine="5250"/>
        <w:spacing w:line="360" w:lineRule="auto"/>
        <w:rPr>
          <w:rFonts w:ascii="宋体" w:hAnsi="宋体"/>
          <w:sz w:val="21"/>
          <w:highlight w:val="none"/>
        </w:rPr>
      </w:pPr>
      <w:r>
        <w:rPr>
          <w:rFonts w:ascii="宋体" w:hAnsi="宋体"/>
          <w:sz w:val="21"/>
          <w:highlight w:val="none"/>
        </w:rPr>
        <w:t xml:space="preserve">投标人（盖章）：</w:t>
      </w:r>
      <w:r/>
    </w:p>
    <w:p>
      <w:pPr>
        <w:jc w:val="right"/>
        <w:spacing w:line="360" w:lineRule="auto"/>
        <w:rPr>
          <w:rFonts w:ascii="宋体" w:hAnsi="宋体"/>
          <w:sz w:val="21"/>
          <w:highlight w:val="none"/>
        </w:rPr>
      </w:pPr>
      <w:r>
        <w:rPr>
          <w:rFonts w:ascii="宋体" w:hAnsi="宋体"/>
          <w:sz w:val="21"/>
          <w:highlight w:val="none"/>
        </w:rPr>
        <w:t xml:space="preserve">法定代表人或代理人（签字或盖章）：</w:t>
      </w:r>
      <w:r/>
    </w:p>
    <w:p>
      <w:pPr>
        <w:ind w:left="0" w:firstLine="6300"/>
        <w:spacing w:line="360" w:lineRule="auto"/>
        <w:rPr>
          <w:rFonts w:ascii="宋体" w:hAnsi="宋体"/>
          <w:sz w:val="21"/>
          <w:highlight w:val="none"/>
        </w:rPr>
      </w:pPr>
      <w:r>
        <w:rPr>
          <w:rFonts w:hint="eastAsia" w:ascii="宋体" w:hAnsi="宋体"/>
          <w:sz w:val="21"/>
          <w:highlight w:val="none"/>
        </w:rPr>
        <w:t xml:space="preserve">日</w:t>
      </w:r>
      <w:r>
        <w:rPr>
          <w:rFonts w:ascii="宋体" w:hAnsi="宋体"/>
          <w:sz w:val="21"/>
          <w:highlight w:val="none"/>
        </w:rPr>
        <w:t xml:space="preserve">    </w:t>
      </w:r>
      <w:r>
        <w:rPr>
          <w:rFonts w:hint="eastAsia" w:ascii="宋体" w:hAnsi="宋体"/>
          <w:sz w:val="21"/>
          <w:highlight w:val="none"/>
        </w:rPr>
        <w:t xml:space="preserve">期：</w:t>
      </w:r>
      <w:r>
        <w:rPr>
          <w:rFonts w:ascii="宋体" w:hAnsi="宋体"/>
          <w:sz w:val="21"/>
          <w:highlight w:val="none"/>
        </w:rPr>
        <w:t xml:space="preserve">     </w:t>
      </w:r>
      <w:r>
        <w:rPr>
          <w:rFonts w:hint="eastAsia" w:ascii="宋体" w:hAnsi="宋体"/>
          <w:sz w:val="21"/>
          <w:highlight w:val="none"/>
        </w:rPr>
        <w:t xml:space="preserve">年</w:t>
      </w:r>
      <w:r>
        <w:rPr>
          <w:rFonts w:ascii="宋体" w:hAnsi="宋体"/>
          <w:sz w:val="21"/>
          <w:highlight w:val="none"/>
        </w:rPr>
        <w:t xml:space="preserve">   </w:t>
      </w:r>
      <w:r>
        <w:rPr>
          <w:rFonts w:hint="eastAsia" w:ascii="宋体" w:hAnsi="宋体"/>
          <w:sz w:val="21"/>
          <w:highlight w:val="none"/>
        </w:rPr>
        <w:t xml:space="preserve">  月</w:t>
      </w:r>
      <w:r>
        <w:rPr>
          <w:rFonts w:ascii="宋体" w:hAnsi="宋体"/>
          <w:sz w:val="21"/>
          <w:highlight w:val="none"/>
        </w:rPr>
        <w:t xml:space="preserve">   </w:t>
      </w:r>
      <w:r>
        <w:rPr>
          <w:rFonts w:hint="eastAsia" w:ascii="宋体" w:hAnsi="宋体"/>
          <w:sz w:val="21"/>
          <w:highlight w:val="none"/>
        </w:rPr>
        <w:t xml:space="preserve"> 日</w:t>
      </w:r>
      <w:r/>
    </w:p>
    <w:p>
      <w:pPr>
        <w:ind w:left="0"/>
        <w:jc w:val="left"/>
        <w:rPr>
          <w:rFonts w:ascii="宋体" w:hAnsi="宋体"/>
          <w:b/>
          <w:sz w:val="21"/>
          <w:szCs w:val="21"/>
          <w:highlight w:val="none"/>
        </w:rPr>
        <w:outlineLvl w:val="0"/>
      </w:pPr>
      <w:r/>
      <w:bookmarkStart w:id="97" w:name="_Toc105397787"/>
      <w:r/>
      <w:bookmarkStart w:id="98" w:name="_Toc71810489"/>
      <w:r>
        <w:rPr>
          <w:rFonts w:ascii="宋体" w:hAnsi="宋体"/>
          <w:b/>
          <w:sz w:val="21"/>
          <w:szCs w:val="21"/>
          <w:highlight w:val="none"/>
        </w:rPr>
        <w:br w:type="page" w:clear="all"/>
      </w:r>
      <w:bookmarkStart w:id="99" w:name="_Toc25846"/>
      <w:r/>
      <w:bookmarkStart w:id="100" w:name="_Toc21592"/>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8</w:t>
      </w:r>
      <w:r>
        <w:rPr>
          <w:rFonts w:hint="eastAsia" w:ascii="宋体" w:hAnsi="宋体"/>
          <w:b/>
          <w:sz w:val="21"/>
          <w:szCs w:val="21"/>
          <w:highlight w:val="none"/>
        </w:rPr>
        <w:t xml:space="preserve">.相关业绩一览表</w:t>
      </w:r>
      <w:bookmarkEnd w:id="97"/>
      <w:r/>
      <w:bookmarkEnd w:id="98"/>
      <w:r/>
      <w:bookmarkEnd w:id="99"/>
      <w:r/>
      <w:bookmarkEnd w:id="100"/>
      <w:r/>
      <w:r/>
    </w:p>
    <w:p>
      <w:pPr>
        <w:ind w:left="0"/>
        <w:jc w:val="center"/>
        <w:spacing w:before="100" w:beforeAutospacing="1" w:after="100" w:afterAutospacing="1" w:line="480" w:lineRule="auto"/>
        <w:rPr>
          <w:rFonts w:ascii="宋体" w:hAnsi="宋体"/>
          <w:b/>
          <w:sz w:val="21"/>
          <w:szCs w:val="21"/>
          <w:highlight w:val="none"/>
        </w:rPr>
      </w:pPr>
      <w:r>
        <w:rPr>
          <w:rFonts w:ascii="宋体" w:hAnsi="宋体"/>
          <w:b/>
          <w:sz w:val="21"/>
          <w:szCs w:val="21"/>
          <w:highlight w:val="none"/>
        </w:rPr>
        <w:t xml:space="preserve">相关业绩一览表</w:t>
      </w:r>
      <w:r/>
    </w:p>
    <w:tbl>
      <w:tblPr>
        <w:tblStyle w:val="85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hint="eastAsia" w:ascii="宋体" w:hAnsi="宋体" w:cs="Times New Roman"/>
                <w:sz w:val="21"/>
                <w:szCs w:val="21"/>
                <w:highlight w:val="none"/>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highlight w:val="none"/>
              </w:rPr>
            </w:pPr>
            <w:r>
              <w:rPr>
                <w:rFonts w:ascii="宋体" w:hAnsi="宋体" w:cs="Times New Roman"/>
                <w:sz w:val="21"/>
                <w:szCs w:val="21"/>
                <w:highlight w:val="none"/>
              </w:rPr>
            </w:r>
            <w:r/>
          </w:p>
        </w:tc>
      </w:tr>
    </w:tbl>
    <w:p>
      <w:pPr>
        <w:ind w:left="0" w:firstLine="420"/>
        <w:spacing w:line="360" w:lineRule="auto"/>
        <w:widowControl w:val="off"/>
        <w:rPr>
          <w:rFonts w:ascii="宋体" w:hAnsi="宋体"/>
          <w:sz w:val="21"/>
          <w:szCs w:val="21"/>
          <w:highlight w:val="none"/>
        </w:rPr>
      </w:pPr>
      <w:r>
        <w:rPr>
          <w:rFonts w:ascii="宋体" w:hAnsi="宋体"/>
          <w:sz w:val="21"/>
          <w:szCs w:val="21"/>
          <w:highlight w:val="none"/>
        </w:rPr>
      </w:r>
      <w:r/>
    </w:p>
    <w:p>
      <w:pPr>
        <w:ind w:left="0" w:firstLine="420"/>
        <w:spacing w:line="360" w:lineRule="auto"/>
        <w:widowControl w:val="off"/>
        <w:rPr>
          <w:rFonts w:ascii="宋体" w:hAnsi="宋体"/>
          <w:sz w:val="21"/>
          <w:szCs w:val="21"/>
          <w:highlight w:val="none"/>
        </w:rPr>
      </w:pPr>
      <w:r>
        <w:rPr>
          <w:rFonts w:hint="eastAsia" w:ascii="宋体" w:hAnsi="宋体"/>
          <w:sz w:val="21"/>
          <w:szCs w:val="21"/>
          <w:highlight w:val="none"/>
        </w:rPr>
        <w:t xml:space="preserve">注：</w:t>
      </w:r>
      <w:r>
        <w:rPr>
          <w:rFonts w:ascii="宋体" w:hAnsi="宋体"/>
          <w:sz w:val="21"/>
          <w:szCs w:val="21"/>
          <w:highlight w:val="none"/>
        </w:rPr>
        <w:t xml:space="preserve">若事项较多，投标人可根据投标内容的实际情况另纸说明</w:t>
      </w:r>
      <w:r>
        <w:rPr>
          <w:rFonts w:hint="eastAsia" w:ascii="宋体" w:hAnsi="宋体"/>
          <w:sz w:val="21"/>
          <w:szCs w:val="21"/>
          <w:highlight w:val="none"/>
        </w:rPr>
        <w:t xml:space="preserve">。</w:t>
      </w:r>
      <w:r/>
    </w:p>
    <w:p>
      <w:pPr>
        <w:ind w:left="0"/>
        <w:jc w:val="left"/>
        <w:spacing w:line="360" w:lineRule="auto"/>
        <w:widowControl w:val="off"/>
        <w:rPr>
          <w:rFonts w:ascii="宋体" w:hAnsi="宋体"/>
          <w:b/>
          <w:sz w:val="21"/>
          <w:szCs w:val="21"/>
          <w:highlight w:val="none"/>
        </w:rPr>
      </w:pPr>
      <w:r>
        <w:rPr>
          <w:rFonts w:ascii="宋体" w:hAnsi="宋体"/>
          <w:b/>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67"/>
        <w:rPr>
          <w:rFonts w:ascii="宋体" w:hAnsi="宋体"/>
          <w:highlight w:val="none"/>
        </w:rPr>
      </w:pPr>
      <w:r>
        <w:rPr>
          <w:rFonts w:ascii="宋体" w:hAnsi="宋体"/>
          <w:highlight w:val="none"/>
        </w:rPr>
      </w:r>
      <w:r/>
    </w:p>
    <w:p>
      <w:pPr>
        <w:pStyle w:val="859"/>
        <w:rPr>
          <w:rFonts w:ascii="宋体" w:hAnsi="宋体" w:cs="Times New Roman"/>
          <w:highlight w:val="none"/>
        </w:rPr>
      </w:pPr>
      <w:r>
        <w:rPr>
          <w:rFonts w:ascii="宋体" w:hAnsi="宋体" w:cs="Times New Roman"/>
          <w:highlight w:val="none"/>
        </w:rPr>
      </w:r>
      <w:r/>
    </w:p>
    <w:p>
      <w:pPr>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rPr>
          <w:rFonts w:ascii="宋体" w:hAnsi="宋体"/>
          <w:sz w:val="21"/>
          <w:szCs w:val="21"/>
          <w:highlight w:val="none"/>
        </w:rPr>
        <w:br w:type="page" w:clear="all"/>
      </w:r>
      <w:bookmarkEnd w:id="92"/>
      <w:r/>
      <w:bookmarkEnd w:id="93"/>
      <w:r/>
      <w:bookmarkStart w:id="101" w:name="_Toc3123"/>
      <w:r/>
      <w:bookmarkStart w:id="102" w:name="_Toc24075"/>
      <w:r/>
      <w:bookmarkStart w:id="103" w:name="_Toc105397788"/>
      <w:r/>
      <w:bookmarkStart w:id="104" w:name="_Toc71810490"/>
      <w:r>
        <w:rPr>
          <w:rFonts w:ascii="宋体" w:hAnsi="宋体"/>
          <w:b/>
          <w:sz w:val="21"/>
          <w:szCs w:val="21"/>
          <w:highlight w:val="none"/>
        </w:rPr>
        <w:t xml:space="preserve">附件</w:t>
      </w:r>
      <w:r>
        <w:rPr>
          <w:rFonts w:hint="eastAsia" w:ascii="宋体" w:hAnsi="宋体"/>
          <w:b/>
          <w:sz w:val="21"/>
          <w:szCs w:val="21"/>
          <w:highlight w:val="none"/>
          <w:lang w:val="en-US" w:eastAsia="zh-CN"/>
        </w:rPr>
        <w:t xml:space="preserve">9</w:t>
      </w:r>
      <w:r>
        <w:rPr>
          <w:rFonts w:hint="eastAsia" w:ascii="宋体" w:hAnsi="宋体"/>
          <w:b/>
          <w:sz w:val="21"/>
          <w:szCs w:val="21"/>
          <w:highlight w:val="none"/>
        </w:rPr>
        <w:t xml:space="preserve">.针对本项目的实施方案</w:t>
      </w:r>
      <w:bookmarkEnd w:id="101"/>
      <w:r/>
      <w:bookmarkEnd w:id="102"/>
      <w:r/>
      <w:bookmarkEnd w:id="103"/>
      <w:r/>
      <w:r/>
    </w:p>
    <w:p>
      <w:pPr>
        <w:ind w:left="0"/>
        <w:jc w:val="center"/>
        <w:spacing w:before="100" w:beforeAutospacing="1" w:after="100" w:afterAutospacing="1" w:line="480" w:lineRule="auto"/>
        <w:rPr>
          <w:rFonts w:ascii="宋体" w:hAnsi="宋体"/>
          <w:b/>
          <w:sz w:val="21"/>
          <w:szCs w:val="21"/>
          <w:highlight w:val="none"/>
        </w:rPr>
      </w:pPr>
      <w:r>
        <w:rPr>
          <w:rFonts w:hint="eastAsia" w:ascii="宋体" w:hAnsi="宋体"/>
          <w:b/>
          <w:sz w:val="21"/>
          <w:szCs w:val="21"/>
          <w:highlight w:val="none"/>
        </w:rPr>
        <w:t xml:space="preserve">针对本项目的实施方案</w:t>
      </w:r>
      <w:r/>
    </w:p>
    <w:tbl>
      <w:tblPr>
        <w:tblStyle w:val="852"/>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提示：</w:t>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1</w:t>
            </w:r>
            <w:r>
              <w:rPr>
                <w:rFonts w:ascii="宋体" w:hAnsi="宋体"/>
                <w:sz w:val="21"/>
                <w:szCs w:val="21"/>
                <w:highlight w:val="none"/>
              </w:rPr>
              <w:t xml:space="preserve">.</w:t>
            </w:r>
            <w:r>
              <w:rPr>
                <w:rFonts w:hint="eastAsia" w:ascii="宋体" w:hAnsi="宋体" w:cs="Times New Roman"/>
                <w:sz w:val="21"/>
                <w:szCs w:val="21"/>
                <w:highlight w:val="none"/>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highlight w:val="none"/>
              </w:rPr>
            </w:pPr>
            <w:r>
              <w:rPr>
                <w:rFonts w:hint="eastAsia" w:ascii="宋体" w:hAnsi="宋体" w:cs="Times New Roman"/>
                <w:sz w:val="21"/>
                <w:szCs w:val="21"/>
                <w:highlight w:val="none"/>
              </w:rPr>
              <w:t xml:space="preserve">2</w:t>
            </w:r>
            <w:r>
              <w:rPr>
                <w:rFonts w:ascii="宋体" w:hAnsi="宋体"/>
                <w:sz w:val="21"/>
                <w:szCs w:val="21"/>
                <w:highlight w:val="none"/>
              </w:rPr>
              <w:t xml:space="preserve">.</w:t>
            </w:r>
            <w:r>
              <w:rPr>
                <w:rFonts w:hint="eastAsia" w:ascii="宋体" w:hAnsi="宋体" w:cs="Times New Roman"/>
                <w:sz w:val="21"/>
                <w:szCs w:val="21"/>
                <w:highlight w:val="none"/>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b/>
                <w:sz w:val="21"/>
                <w:szCs w:val="21"/>
                <w:highlight w:val="none"/>
              </w:rPr>
            </w:pPr>
            <w:r>
              <w:rPr>
                <w:rFonts w:ascii="宋体" w:hAnsi="宋体" w:cs="Times New Roman"/>
                <w:b/>
                <w:sz w:val="21"/>
                <w:szCs w:val="21"/>
                <w:highlight w:val="none"/>
              </w:rPr>
            </w:r>
            <w:r/>
          </w:p>
          <w:p>
            <w:pPr>
              <w:ind w:left="0"/>
              <w:jc w:val="left"/>
              <w:widowControl w:val="off"/>
              <w:rPr>
                <w:rFonts w:ascii="宋体" w:hAnsi="宋体" w:cs="Times New Roman"/>
                <w:sz w:val="21"/>
                <w:szCs w:val="21"/>
                <w:highlight w:val="none"/>
              </w:rPr>
            </w:pPr>
            <w:r>
              <w:rPr>
                <w:rFonts w:hint="eastAsia" w:ascii="宋体" w:hAnsi="宋体" w:cs="Times New Roman"/>
                <w:sz w:val="21"/>
                <w:szCs w:val="21"/>
                <w:highlight w:val="none"/>
              </w:rPr>
              <w:t xml:space="preserve"> </w:t>
            </w:r>
            <w:r/>
          </w:p>
        </w:tc>
      </w:tr>
    </w:tbl>
    <w:p>
      <w:pPr>
        <w:ind w:firstLine="4830"/>
        <w:jc w:val="left"/>
        <w:spacing w:line="360" w:lineRule="auto"/>
        <w:rPr>
          <w:rFonts w:ascii="宋体" w:hAnsi="宋体"/>
          <w:sz w:val="21"/>
          <w:szCs w:val="21"/>
          <w:highlight w:val="none"/>
        </w:rPr>
      </w:pPr>
      <w:r>
        <w:rPr>
          <w:rFonts w:hint="eastAsia" w:ascii="宋体" w:hAnsi="宋体"/>
          <w:sz w:val="21"/>
          <w:szCs w:val="21"/>
          <w:highlight w:val="none"/>
        </w:rPr>
        <w:t xml:space="preserve"> </w:t>
      </w:r>
      <w:r>
        <w:rPr>
          <w:rFonts w:ascii="宋体" w:hAnsi="宋体"/>
          <w:sz w:val="21"/>
          <w:szCs w:val="21"/>
          <w:highlight w:val="none"/>
        </w:rPr>
        <w:t xml:space="preserve">                                                                                   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pStyle w:val="867"/>
        <w:rPr>
          <w:rFonts w:ascii="宋体" w:hAnsi="宋体"/>
          <w:highlight w:val="none"/>
        </w:rPr>
      </w:pPr>
      <w:r>
        <w:rPr>
          <w:rFonts w:ascii="宋体" w:hAnsi="宋体"/>
          <w:highlight w:val="none"/>
        </w:rPr>
      </w:r>
      <w:r/>
    </w:p>
    <w:p>
      <w:pPr>
        <w:pStyle w:val="859"/>
        <w:rPr>
          <w:rFonts w:ascii="宋体" w:hAnsi="宋体" w:cs="Times New Roman"/>
          <w:highlight w:val="none"/>
        </w:rPr>
      </w:pPr>
      <w:r>
        <w:rPr>
          <w:rFonts w:ascii="宋体" w:hAnsi="宋体" w:cs="Times New Roman"/>
          <w:highlight w:val="none"/>
        </w:rPr>
      </w:r>
      <w:r/>
    </w:p>
    <w:p>
      <w:pPr>
        <w:ind w:left="0"/>
        <w:jc w:val="left"/>
        <w:rPr>
          <w:rFonts w:ascii="宋体" w:hAnsi="宋体"/>
          <w:b/>
          <w:sz w:val="21"/>
          <w:szCs w:val="21"/>
          <w:highlight w:val="none"/>
        </w:rPr>
        <w:outlineLvl w:val="0"/>
      </w:pPr>
      <w:r/>
      <w:bookmarkStart w:id="105" w:name="_Toc105397789"/>
      <w:r/>
      <w:bookmarkStart w:id="106" w:name="_Toc27776"/>
      <w:r/>
      <w:bookmarkStart w:id="107" w:name="_Toc9867"/>
      <w:r>
        <w:rPr>
          <w:rFonts w:ascii="宋体" w:hAnsi="宋体"/>
          <w:b/>
          <w:sz w:val="21"/>
          <w:szCs w:val="21"/>
          <w:highlight w:val="none"/>
        </w:rPr>
        <w:t xml:space="preserve">附件1</w:t>
      </w:r>
      <w:r>
        <w:rPr>
          <w:rFonts w:hint="eastAsia" w:ascii="宋体" w:hAnsi="宋体"/>
          <w:b/>
          <w:sz w:val="21"/>
          <w:szCs w:val="21"/>
          <w:highlight w:val="none"/>
          <w:lang w:val="en-US" w:eastAsia="zh-CN"/>
        </w:rPr>
        <w:t xml:space="preserve">0</w:t>
      </w:r>
      <w:r>
        <w:rPr>
          <w:rFonts w:hint="eastAsia" w:ascii="宋体" w:hAnsi="宋体"/>
          <w:b/>
          <w:sz w:val="21"/>
          <w:szCs w:val="21"/>
          <w:highlight w:val="none"/>
        </w:rPr>
        <w:t xml:space="preserve">.</w:t>
      </w:r>
      <w:r>
        <w:rPr>
          <w:rFonts w:ascii="宋体" w:hAnsi="宋体"/>
          <w:b/>
          <w:sz w:val="21"/>
          <w:szCs w:val="21"/>
          <w:highlight w:val="none"/>
        </w:rPr>
        <w:t xml:space="preserve">关于资格文件的声明函</w:t>
      </w:r>
      <w:bookmarkEnd w:id="104"/>
      <w:r/>
      <w:bookmarkEnd w:id="105"/>
      <w:r/>
      <w:bookmarkEnd w:id="106"/>
      <w:r/>
      <w:bookmarkEnd w:id="107"/>
      <w:r/>
      <w:r/>
    </w:p>
    <w:p>
      <w:pPr>
        <w:ind w:left="0" w:firstLine="420"/>
        <w:jc w:val="center"/>
        <w:rPr>
          <w:rFonts w:ascii="宋体" w:hAnsi="宋体"/>
          <w:b/>
          <w:sz w:val="21"/>
          <w:szCs w:val="21"/>
          <w:highlight w:val="none"/>
        </w:rPr>
      </w:pPr>
      <w:r>
        <w:rPr>
          <w:rFonts w:ascii="宋体" w:hAnsi="宋体"/>
          <w:b/>
          <w:sz w:val="21"/>
          <w:szCs w:val="21"/>
          <w:highlight w:val="none"/>
        </w:rPr>
      </w:r>
      <w:r/>
    </w:p>
    <w:p>
      <w:pPr>
        <w:ind w:left="0"/>
        <w:jc w:val="center"/>
        <w:rPr>
          <w:rFonts w:ascii="宋体" w:hAnsi="宋体"/>
          <w:b/>
          <w:sz w:val="21"/>
          <w:szCs w:val="21"/>
          <w:highlight w:val="none"/>
        </w:rPr>
      </w:pPr>
      <w:r>
        <w:rPr>
          <w:rFonts w:ascii="宋体" w:hAnsi="宋体"/>
          <w:b/>
          <w:sz w:val="21"/>
          <w:szCs w:val="21"/>
          <w:highlight w:val="none"/>
        </w:rPr>
        <w:t xml:space="preserve">关于资格文件的声明函</w:t>
      </w:r>
      <w:r/>
    </w:p>
    <w:p>
      <w:pPr>
        <w:ind w:left="0" w:firstLine="420"/>
        <w:jc w:val="center"/>
        <w:rPr>
          <w:rFonts w:ascii="宋体" w:hAnsi="宋体"/>
          <w:sz w:val="21"/>
          <w:szCs w:val="21"/>
          <w:highlight w:val="none"/>
        </w:rPr>
      </w:pPr>
      <w:r>
        <w:rPr>
          <w:rFonts w:ascii="宋体" w:hAnsi="宋体"/>
          <w:sz w:val="21"/>
          <w:szCs w:val="21"/>
          <w:highlight w:val="none"/>
        </w:rPr>
      </w:r>
      <w:r/>
    </w:p>
    <w:p>
      <w:pPr>
        <w:ind w:left="0"/>
        <w:jc w:val="left"/>
        <w:spacing w:line="360" w:lineRule="auto"/>
        <w:rPr>
          <w:rFonts w:ascii="宋体" w:hAnsi="宋体"/>
          <w:sz w:val="21"/>
          <w:szCs w:val="21"/>
          <w:highlight w:val="none"/>
        </w:rPr>
      </w:pPr>
      <w:r>
        <w:rPr>
          <w:rFonts w:hint="eastAsia" w:ascii="宋体" w:hAnsi="宋体"/>
          <w:sz w:val="21"/>
          <w:szCs w:val="21"/>
          <w:highlight w:val="none"/>
          <w:u w:val="single"/>
        </w:rPr>
        <w:t xml:space="preserve">苏州市政府集中采购中心</w:t>
      </w:r>
      <w:r>
        <w:rPr>
          <w:rFonts w:ascii="宋体" w:hAnsi="宋体"/>
          <w:sz w:val="21"/>
          <w:szCs w:val="21"/>
          <w:highlight w:val="none"/>
        </w:rPr>
        <w:t xml:space="preserve">：</w:t>
      </w:r>
      <w:r/>
    </w:p>
    <w:p>
      <w:pPr>
        <w:ind w:left="0" w:firstLine="420"/>
        <w:jc w:val="left"/>
        <w:spacing w:line="360" w:lineRule="auto"/>
        <w:rPr>
          <w:rFonts w:ascii="宋体" w:hAnsi="宋体"/>
          <w:sz w:val="21"/>
          <w:szCs w:val="21"/>
          <w:highlight w:val="none"/>
        </w:rPr>
      </w:pPr>
      <w:r>
        <w:rPr>
          <w:rFonts w:ascii="宋体" w:hAnsi="宋体"/>
          <w:sz w:val="21"/>
          <w:szCs w:val="21"/>
          <w:highlight w:val="none"/>
        </w:rPr>
        <w:t xml:space="preserve">本公司愿就由贵</w:t>
      </w:r>
      <w:r>
        <w:rPr>
          <w:rFonts w:hint="eastAsia" w:ascii="宋体" w:hAnsi="宋体"/>
          <w:sz w:val="21"/>
          <w:szCs w:val="21"/>
          <w:highlight w:val="none"/>
        </w:rPr>
        <w:t xml:space="preserve">中心</w:t>
      </w:r>
      <w:r>
        <w:rPr>
          <w:rFonts w:ascii="宋体" w:hAnsi="宋体"/>
          <w:sz w:val="21"/>
          <w:szCs w:val="21"/>
          <w:highlight w:val="none"/>
        </w:rPr>
        <w:t xml:space="preserve">组织实施的编号为</w:t>
      </w:r>
      <w:r>
        <w:rPr>
          <w:rFonts w:ascii="宋体" w:hAnsi="宋体"/>
          <w:sz w:val="21"/>
          <w:szCs w:val="21"/>
          <w:highlight w:val="none"/>
          <w:u w:val="single"/>
        </w:rPr>
        <w:t xml:space="preserve">              </w:t>
      </w:r>
      <w:r>
        <w:rPr>
          <w:rFonts w:ascii="宋体" w:hAnsi="宋体"/>
          <w:sz w:val="21"/>
          <w:szCs w:val="21"/>
          <w:highlight w:val="none"/>
        </w:rPr>
        <w:t xml:space="preserve">号（</w:t>
      </w:r>
      <w:r>
        <w:rPr>
          <w:rFonts w:hint="eastAsia" w:ascii="宋体" w:hAnsi="宋体"/>
          <w:sz w:val="21"/>
          <w:szCs w:val="21"/>
          <w:highlight w:val="none"/>
        </w:rPr>
        <w:t xml:space="preserve">项目</w:t>
      </w:r>
      <w:r>
        <w:rPr>
          <w:rFonts w:ascii="宋体" w:hAnsi="宋体"/>
          <w:sz w:val="21"/>
          <w:szCs w:val="21"/>
          <w:highlight w:val="none"/>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left="0" w:firstLine="420"/>
        <w:jc w:val="left"/>
        <w:spacing w:line="360" w:lineRule="auto"/>
        <w:rPr>
          <w:rFonts w:ascii="宋体" w:hAnsi="宋体"/>
          <w:sz w:val="21"/>
          <w:szCs w:val="21"/>
          <w:highlight w:val="none"/>
        </w:rPr>
      </w:pPr>
      <w:r>
        <w:rPr>
          <w:rFonts w:ascii="宋体" w:hAnsi="宋体"/>
          <w:sz w:val="21"/>
          <w:szCs w:val="21"/>
          <w:highlight w:val="none"/>
        </w:rPr>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投标人（盖章）： </w:t>
      </w:r>
      <w:r/>
    </w:p>
    <w:p>
      <w:pPr>
        <w:ind w:firstLine="4830"/>
        <w:jc w:val="left"/>
        <w:spacing w:line="360" w:lineRule="auto"/>
        <w:rPr>
          <w:rFonts w:ascii="宋体" w:hAnsi="宋体"/>
          <w:sz w:val="21"/>
          <w:szCs w:val="21"/>
          <w:highlight w:val="none"/>
        </w:rPr>
      </w:pPr>
      <w:r>
        <w:rPr>
          <w:rFonts w:ascii="宋体" w:hAnsi="宋体"/>
          <w:sz w:val="21"/>
          <w:szCs w:val="21"/>
          <w:highlight w:val="none"/>
        </w:rPr>
        <w:t xml:space="preserve">法定代表人或代理人（签字或盖章）：</w:t>
      </w:r>
      <w:r/>
    </w:p>
    <w:p>
      <w:pPr>
        <w:ind w:firstLine="4830"/>
        <w:jc w:val="left"/>
        <w:spacing w:line="360" w:lineRule="auto"/>
        <w:rPr>
          <w:rFonts w:ascii="宋体" w:hAnsi="宋体"/>
          <w:b/>
          <w:sz w:val="21"/>
          <w:szCs w:val="21"/>
          <w:highlight w:val="none"/>
        </w:rPr>
      </w:pPr>
      <w:r>
        <w:rPr>
          <w:rFonts w:ascii="宋体" w:hAnsi="宋体"/>
          <w:sz w:val="21"/>
          <w:szCs w:val="21"/>
          <w:highlight w:val="none"/>
        </w:rPr>
        <w:t xml:space="preserve">日期</w:t>
      </w:r>
      <w:r>
        <w:rPr>
          <w:rFonts w:hint="eastAsia" w:ascii="宋体" w:hAnsi="宋体"/>
          <w:sz w:val="21"/>
          <w:szCs w:val="21"/>
          <w:highlight w:val="none"/>
        </w:rPr>
        <w:t xml:space="preserve">：</w:t>
      </w:r>
      <w:r>
        <w:rPr>
          <w:rFonts w:ascii="宋体" w:hAnsi="宋体"/>
          <w:sz w:val="21"/>
          <w:szCs w:val="21"/>
          <w:highlight w:val="none"/>
        </w:rPr>
        <w:t xml:space="preserve">       </w:t>
      </w:r>
      <w:r>
        <w:rPr>
          <w:rFonts w:hint="eastAsia" w:ascii="宋体" w:hAnsi="宋体"/>
          <w:sz w:val="21"/>
          <w:szCs w:val="21"/>
          <w:highlight w:val="none"/>
        </w:rPr>
        <w:t xml:space="preserve">年 </w:t>
      </w:r>
      <w:r>
        <w:rPr>
          <w:rFonts w:ascii="宋体" w:hAnsi="宋体"/>
          <w:sz w:val="21"/>
          <w:szCs w:val="21"/>
          <w:highlight w:val="none"/>
        </w:rPr>
        <w:t xml:space="preserve">     </w:t>
      </w:r>
      <w:r>
        <w:rPr>
          <w:rFonts w:hint="eastAsia" w:ascii="宋体" w:hAnsi="宋体"/>
          <w:sz w:val="21"/>
          <w:szCs w:val="21"/>
          <w:highlight w:val="none"/>
        </w:rPr>
        <w:t xml:space="preserve">月 </w:t>
      </w:r>
      <w:r>
        <w:rPr>
          <w:rFonts w:ascii="宋体" w:hAnsi="宋体"/>
          <w:sz w:val="21"/>
          <w:szCs w:val="21"/>
          <w:highlight w:val="none"/>
        </w:rPr>
        <w:t xml:space="preserve">    </w:t>
      </w:r>
      <w:r>
        <w:rPr>
          <w:rFonts w:hint="eastAsia" w:ascii="宋体" w:hAnsi="宋体"/>
          <w:sz w:val="21"/>
          <w:szCs w:val="21"/>
          <w:highlight w:val="none"/>
        </w:rPr>
        <w:t xml:space="preserve">日</w:t>
      </w:r>
      <w:r/>
    </w:p>
    <w:p>
      <w:pPr>
        <w:ind w:left="0"/>
        <w:jc w:val="left"/>
        <w:rPr>
          <w:highlight w:val="none"/>
        </w:rPr>
        <w:outlineLvl w:val="0"/>
      </w:pPr>
      <w:r>
        <w:rPr>
          <w:rFonts w:ascii="宋体" w:hAnsi="宋体"/>
          <w:sz w:val="21"/>
          <w:szCs w:val="21"/>
          <w:highlight w:val="none"/>
        </w:rPr>
        <w:br w:type="page" w:clear="all"/>
      </w:r>
      <w:bookmarkStart w:id="108" w:name="_Toc15092"/>
      <w:r/>
      <w:bookmarkStart w:id="109" w:name="_Toc26240"/>
      <w:r>
        <w:rPr>
          <w:rFonts w:ascii="宋体" w:hAnsi="宋体"/>
          <w:b/>
          <w:sz w:val="21"/>
          <w:szCs w:val="21"/>
          <w:highlight w:val="none"/>
        </w:rPr>
        <w:t xml:space="preserve">附件1</w:t>
      </w:r>
      <w:r>
        <w:rPr>
          <w:rFonts w:hint="eastAsia" w:ascii="宋体" w:hAnsi="宋体"/>
          <w:b/>
          <w:sz w:val="21"/>
          <w:szCs w:val="21"/>
          <w:highlight w:val="none"/>
          <w:lang w:val="en-US" w:eastAsia="zh-CN"/>
        </w:rPr>
        <w:t xml:space="preserve">1</w:t>
      </w:r>
      <w:r>
        <w:rPr>
          <w:rFonts w:hint="eastAsia" w:ascii="宋体" w:hAnsi="宋体"/>
          <w:b/>
          <w:sz w:val="21"/>
          <w:szCs w:val="21"/>
          <w:highlight w:val="none"/>
        </w:rPr>
        <w:t xml:space="preserve">.</w:t>
      </w:r>
      <w:r>
        <w:rPr>
          <w:rFonts w:ascii="宋体" w:hAnsi="宋体"/>
          <w:b/>
          <w:sz w:val="21"/>
          <w:szCs w:val="21"/>
          <w:highlight w:val="none"/>
        </w:rPr>
        <w:t xml:space="preserve">关于</w:t>
      </w:r>
      <w:r>
        <w:rPr>
          <w:rFonts w:hint="eastAsia" w:ascii="宋体" w:hAnsi="宋体"/>
          <w:b/>
          <w:sz w:val="21"/>
          <w:szCs w:val="21"/>
          <w:highlight w:val="none"/>
        </w:rPr>
        <w:t xml:space="preserve">投标报价合理性</w:t>
      </w:r>
      <w:r>
        <w:rPr>
          <w:rFonts w:ascii="宋体" w:hAnsi="宋体"/>
          <w:b/>
          <w:sz w:val="21"/>
          <w:szCs w:val="21"/>
          <w:highlight w:val="none"/>
        </w:rPr>
        <w:t xml:space="preserve">的</w:t>
      </w:r>
      <w:r>
        <w:rPr>
          <w:rFonts w:hint="eastAsia" w:ascii="宋体" w:hAnsi="宋体"/>
          <w:b/>
          <w:sz w:val="21"/>
          <w:szCs w:val="21"/>
          <w:highlight w:val="none"/>
        </w:rPr>
        <w:t xml:space="preserve">澄清说明</w:t>
      </w:r>
      <w:bookmarkEnd w:id="108"/>
      <w:r/>
      <w:bookmarkEnd w:id="109"/>
      <w:r/>
      <w:r/>
    </w:p>
    <w:p>
      <w:pPr>
        <w:ind w:left="0" w:firstLine="420"/>
        <w:jc w:val="center"/>
        <w:rPr>
          <w:rFonts w:ascii="宋体" w:hAnsi="宋体"/>
          <w:b/>
          <w:color w:val="ff0000"/>
          <w:sz w:val="21"/>
          <w:szCs w:val="21"/>
          <w:highlight w:val="none"/>
        </w:rPr>
      </w:pPr>
      <w:r>
        <w:rPr>
          <w:rFonts w:ascii="宋体" w:hAnsi="宋体"/>
          <w:b/>
          <w:color w:val="ff0000"/>
          <w:sz w:val="21"/>
          <w:szCs w:val="21"/>
          <w:highlight w:val="none"/>
        </w:rPr>
      </w:r>
      <w:r/>
    </w:p>
    <w:p>
      <w:pPr>
        <w:ind w:left="0"/>
        <w:jc w:val="center"/>
        <w:rPr>
          <w:rFonts w:ascii="宋体" w:hAnsi="宋体"/>
          <w:b/>
          <w:color w:val="000000" w:themeColor="text1"/>
          <w:sz w:val="21"/>
          <w:szCs w:val="21"/>
          <w:highlight w:val="none"/>
          <w14:textFill>
            <w14:solidFill>
              <w14:schemeClr w14:val="tx1"/>
            </w14:solidFill>
          </w14:textFill>
        </w:rPr>
      </w:pPr>
      <w:r>
        <w:rPr>
          <w:rFonts w:ascii="宋体" w:hAnsi="宋体"/>
          <w:b/>
          <w:color w:val="000000" w:themeColor="text1"/>
          <w:sz w:val="21"/>
          <w:szCs w:val="21"/>
          <w:highlight w:val="none"/>
          <w14:textFill>
            <w14:solidFill>
              <w14:schemeClr w14:val="tx1"/>
            </w14:solidFill>
          </w14:textFill>
        </w:rPr>
        <w:t xml:space="preserve">关于</w:t>
      </w:r>
      <w:r>
        <w:rPr>
          <w:rFonts w:hint="eastAsia" w:ascii="宋体" w:hAnsi="宋体"/>
          <w:b/>
          <w:color w:val="000000" w:themeColor="text1"/>
          <w:sz w:val="21"/>
          <w:szCs w:val="21"/>
          <w:highlight w:val="none"/>
          <w14:textFill>
            <w14:solidFill>
              <w14:schemeClr w14:val="tx1"/>
            </w14:solidFill>
          </w14:textFill>
        </w:rPr>
        <w:t xml:space="preserve">投标报价合理性</w:t>
      </w:r>
      <w:r>
        <w:rPr>
          <w:rFonts w:ascii="宋体" w:hAnsi="宋体"/>
          <w:b/>
          <w:color w:val="000000" w:themeColor="text1"/>
          <w:sz w:val="21"/>
          <w:szCs w:val="21"/>
          <w:highlight w:val="none"/>
          <w14:textFill>
            <w14:solidFill>
              <w14:schemeClr w14:val="tx1"/>
            </w14:solidFill>
          </w14:textFill>
        </w:rPr>
        <w:t xml:space="preserve">的</w:t>
      </w:r>
      <w:r>
        <w:rPr>
          <w:rFonts w:hint="eastAsia" w:ascii="宋体" w:hAnsi="宋体"/>
          <w:b/>
          <w:color w:val="000000" w:themeColor="text1"/>
          <w:sz w:val="21"/>
          <w:szCs w:val="21"/>
          <w:highlight w:val="none"/>
          <w14:textFill>
            <w14:solidFill>
              <w14:schemeClr w14:val="tx1"/>
            </w14:solidFill>
          </w14:textFill>
        </w:rPr>
        <w:t xml:space="preserve">澄清说明</w:t>
      </w:r>
      <w:r/>
    </w:p>
    <w:p>
      <w:pPr>
        <w:ind w:left="0"/>
        <w:jc w:val="left"/>
        <w:spacing w:line="360" w:lineRule="auto"/>
        <w:rPr>
          <w:rFonts w:ascii="宋体" w:hAnsi="宋体"/>
          <w:color w:val="000000" w:themeColor="text1"/>
          <w:sz w:val="21"/>
          <w:szCs w:val="21"/>
          <w:highlight w:val="none"/>
          <w:u w:val="single"/>
          <w14:textFill>
            <w14:solidFill>
              <w14:schemeClr w14:val="tx1"/>
            </w14:solidFill>
          </w14:textFill>
        </w:rPr>
      </w:pPr>
      <w:r>
        <w:rPr>
          <w:rFonts w:ascii="宋体" w:hAnsi="宋体"/>
          <w:color w:val="000000" w:themeColor="text1"/>
          <w:sz w:val="21"/>
          <w:szCs w:val="21"/>
          <w:highlight w:val="none"/>
          <w:u w:val="single"/>
          <w14:textFill>
            <w14:solidFill>
              <w14:schemeClr w14:val="tx1"/>
            </w14:solidFill>
          </w14:textFill>
        </w:rPr>
      </w:r>
      <w:r/>
    </w:p>
    <w:p>
      <w:pPr>
        <w:ind w:left="0"/>
        <w:jc w:val="left"/>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u w:val="single"/>
          <w14:textFill>
            <w14:solidFill>
              <w14:schemeClr w14:val="tx1"/>
            </w14:solidFill>
          </w14:textFill>
        </w:rPr>
        <w:t xml:space="preserve">苏州市政府集中采购中心</w:t>
      </w:r>
      <w:r>
        <w:rPr>
          <w:rFonts w:ascii="宋体" w:hAnsi="宋体"/>
          <w:color w:val="000000" w:themeColor="text1"/>
          <w:sz w:val="21"/>
          <w:szCs w:val="21"/>
          <w:highlight w:val="none"/>
          <w14:textFill>
            <w14:solidFill>
              <w14:schemeClr w14:val="tx1"/>
            </w14:solidFill>
          </w14:textFill>
        </w:rPr>
        <w:t xml:space="preserve">：</w:t>
      </w:r>
      <w:r/>
    </w:p>
    <w:p>
      <w:pPr>
        <w:pStyle w:val="853"/>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本公司愿就由贵</w:t>
      </w:r>
      <w:r>
        <w:rPr>
          <w:rFonts w:hint="eastAsia" w:ascii="宋体" w:hAnsi="宋体"/>
          <w:color w:val="000000" w:themeColor="text1"/>
          <w:sz w:val="21"/>
          <w:szCs w:val="21"/>
          <w:highlight w:val="none"/>
          <w14:textFill>
            <w14:solidFill>
              <w14:schemeClr w14:val="tx1"/>
            </w14:solidFill>
          </w14:textFill>
        </w:rPr>
        <w:t xml:space="preserve">中心</w:t>
      </w:r>
      <w:r>
        <w:rPr>
          <w:rFonts w:ascii="宋体" w:hAnsi="宋体"/>
          <w:color w:val="000000" w:themeColor="text1"/>
          <w:sz w:val="21"/>
          <w:szCs w:val="21"/>
          <w:highlight w:val="none"/>
          <w14:textFill>
            <w14:solidFill>
              <w14:schemeClr w14:val="tx1"/>
            </w14:solidFill>
          </w14:textFill>
        </w:rPr>
        <w:t xml:space="preserve">组织实施的编号为</w:t>
      </w:r>
      <w:r>
        <w:rPr>
          <w:rFonts w:ascii="宋体" w:hAnsi="宋体"/>
          <w:color w:val="000000" w:themeColor="text1"/>
          <w:sz w:val="21"/>
          <w:szCs w:val="21"/>
          <w:highlight w:val="none"/>
          <w:u w:val="single"/>
          <w14:textFill>
            <w14:solidFill>
              <w14:schemeClr w14:val="tx1"/>
            </w14:solidFill>
          </w14:textFill>
        </w:rPr>
        <w:t xml:space="preserve">              </w:t>
      </w:r>
      <w:r>
        <w:rPr>
          <w:rFonts w:ascii="宋体" w:hAnsi="宋体"/>
          <w:color w:val="000000" w:themeColor="text1"/>
          <w:sz w:val="21"/>
          <w:szCs w:val="21"/>
          <w:highlight w:val="none"/>
          <w14:textFill>
            <w14:solidFill>
              <w14:schemeClr w14:val="tx1"/>
            </w14:solidFill>
          </w14:textFill>
        </w:rPr>
        <w:t xml:space="preserve">号（</w:t>
      </w:r>
      <w:r>
        <w:rPr>
          <w:rFonts w:hint="eastAsia" w:ascii="宋体" w:hAnsi="宋体"/>
          <w:color w:val="000000" w:themeColor="text1"/>
          <w:sz w:val="21"/>
          <w:szCs w:val="21"/>
          <w:highlight w:val="none"/>
          <w14:textFill>
            <w14:solidFill>
              <w14:schemeClr w14:val="tx1"/>
            </w14:solidFill>
          </w14:textFill>
        </w:rPr>
        <w:t xml:space="preserve">项目</w:t>
      </w:r>
      <w:r>
        <w:rPr>
          <w:rFonts w:ascii="宋体" w:hAnsi="宋体"/>
          <w:color w:val="000000" w:themeColor="text1"/>
          <w:sz w:val="21"/>
          <w:szCs w:val="21"/>
          <w:highlight w:val="none"/>
          <w14:textFill>
            <w14:solidFill>
              <w14:schemeClr w14:val="tx1"/>
            </w14:solidFill>
          </w14:textFill>
        </w:rPr>
        <w:t xml:space="preserve">编号）的招标活动进行投标</w:t>
      </w:r>
      <w:r>
        <w:rPr>
          <w:rFonts w:hint="eastAsia" w:ascii="宋体" w:hAnsi="宋体"/>
          <w:color w:val="000000" w:themeColor="text1"/>
          <w:sz w:val="21"/>
          <w:szCs w:val="21"/>
          <w:highlight w:val="none"/>
          <w14:textFill>
            <w14:solidFill>
              <w14:schemeClr w14:val="tx1"/>
            </w14:solidFill>
          </w14:textFill>
        </w:rPr>
        <w:t xml:space="preserve">，对于本公司的投标报价合理性作出说明如下：</w:t>
      </w:r>
      <w:r/>
    </w:p>
    <w:tbl>
      <w:tblPr>
        <w:tblStyle w:val="85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highlight w:val="none"/>
                <w:shd w:val="pct10" w:color="auto" w:fill="ffffff"/>
              </w:rPr>
            </w:pPr>
            <w:r>
              <w:rPr>
                <w:rFonts w:hint="eastAsia" w:ascii="宋体" w:hAnsi="宋体"/>
                <w:b/>
                <w:color w:val="ff0000"/>
                <w:sz w:val="21"/>
                <w:szCs w:val="21"/>
                <w:highlight w:val="none"/>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highlight w:val="none"/>
          <w:lang w:val="zh-CN"/>
          <w14:textFill>
            <w14:solidFill>
              <w14:schemeClr w14:val="tx1"/>
            </w14:solidFill>
          </w14:textFill>
        </w:rPr>
      </w:pPr>
      <w:r/>
      <w:bookmarkStart w:id="110" w:name="OLE_LINK7"/>
      <w:r>
        <w:rPr>
          <w:rFonts w:hint="eastAsia" w:ascii="宋体" w:hAnsi="宋体"/>
          <w:b/>
          <w:color w:val="000000" w:themeColor="text1"/>
          <w:sz w:val="21"/>
          <w:szCs w:val="21"/>
          <w:highlight w:val="none"/>
          <w:lang w:val="zh-CN"/>
          <w14:textFill>
            <w14:solidFill>
              <w14:schemeClr w14:val="tx1"/>
            </w14:solidFill>
          </w14:textFill>
        </w:rPr>
        <w:t xml:space="preserve">备注：根据招标文件第二章“投标人须知”第26.4</w:t>
      </w:r>
      <w:bookmarkStart w:id="111" w:name="OLE_LINK12"/>
      <w:r>
        <w:rPr>
          <w:rFonts w:hint="eastAsia" w:ascii="宋体" w:hAnsi="宋体"/>
          <w:b/>
          <w:color w:val="000000" w:themeColor="text1"/>
          <w:sz w:val="21"/>
          <w:szCs w:val="21"/>
          <w:highlight w:val="none"/>
          <w:lang w:val="zh-CN"/>
          <w14:textFill>
            <w14:solidFill>
              <w14:schemeClr w14:val="tx1"/>
            </w14:solidFill>
          </w14:textFill>
        </w:rPr>
        <w:t xml:space="preserve">条要求，当政府采购评审中出现供应商“</w:t>
      </w:r>
      <w:r>
        <w:rPr>
          <w:rFonts w:hint="eastAsia" w:ascii="宋体" w:hAnsi="宋体"/>
          <w:b/>
          <w:color w:val="ff0000"/>
          <w:sz w:val="21"/>
          <w:szCs w:val="21"/>
          <w:highlight w:val="none"/>
          <w:lang w:val="zh-CN"/>
        </w:rPr>
        <w:t xml:space="preserve">投标报价低于全部通过符合性审查供应商投标报价平均值50%的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投标报价低于通过符合性审查的次低报价供应商投标报价50%的</w:t>
      </w:r>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投标</w:t>
      </w:r>
      <w:r>
        <w:rPr>
          <w:rFonts w:ascii="宋体" w:hAnsi="宋体"/>
          <w:b/>
          <w:color w:val="ff0000"/>
          <w:sz w:val="21"/>
          <w:szCs w:val="21"/>
          <w:highlight w:val="none"/>
          <w:lang w:val="zh-CN"/>
        </w:rPr>
        <w:t xml:space="preserve">报价</w:t>
      </w:r>
      <w:r>
        <w:rPr>
          <w:rFonts w:hint="eastAsia" w:ascii="宋体" w:hAnsi="宋体"/>
          <w:b/>
          <w:color w:val="ff0000"/>
          <w:sz w:val="21"/>
          <w:szCs w:val="21"/>
          <w:highlight w:val="none"/>
          <w:lang w:val="zh-CN"/>
        </w:rPr>
        <w:t xml:space="preserve">低于</w:t>
      </w:r>
      <w:r>
        <w:rPr>
          <w:rFonts w:ascii="宋体" w:hAnsi="宋体"/>
          <w:b/>
          <w:color w:val="ff0000"/>
          <w:sz w:val="21"/>
          <w:szCs w:val="21"/>
          <w:highlight w:val="none"/>
          <w:lang w:val="zh-CN"/>
        </w:rPr>
        <w:t xml:space="preserve">采购项目最高</w:t>
      </w:r>
      <w:r>
        <w:rPr>
          <w:rFonts w:hint="eastAsia" w:ascii="宋体" w:hAnsi="宋体"/>
          <w:b/>
          <w:color w:val="ff0000"/>
          <w:sz w:val="21"/>
          <w:szCs w:val="21"/>
          <w:highlight w:val="none"/>
          <w:lang w:val="zh-CN"/>
        </w:rPr>
        <w:t xml:space="preserve">限价</w:t>
      </w:r>
      <w:r>
        <w:rPr>
          <w:rFonts w:ascii="宋体" w:hAnsi="宋体"/>
          <w:b/>
          <w:color w:val="ff0000"/>
          <w:sz w:val="21"/>
          <w:szCs w:val="21"/>
          <w:highlight w:val="none"/>
          <w:lang w:val="zh-CN"/>
        </w:rPr>
        <w:t xml:space="preserve">45%</w:t>
      </w:r>
      <w:bookmarkStart w:id="112" w:name="OLE_LINK16"/>
      <w:r>
        <w:rPr>
          <w:rFonts w:hint="eastAsia" w:ascii="宋体" w:hAnsi="宋体"/>
          <w:b/>
          <w:color w:val="ff0000"/>
          <w:sz w:val="21"/>
          <w:szCs w:val="21"/>
          <w:highlight w:val="none"/>
          <w:lang w:val="zh-CN"/>
        </w:rPr>
        <w:t xml:space="preserve">的</w:t>
      </w:r>
      <w:bookmarkEnd w:id="111"/>
      <w:r/>
      <w:bookmarkEnd w:id="112"/>
      <w:r>
        <w:rPr>
          <w:rFonts w:hint="eastAsia" w:ascii="宋体" w:hAnsi="宋体"/>
          <w:b/>
          <w:color w:val="000000" w:themeColor="text1"/>
          <w:sz w:val="21"/>
          <w:szCs w:val="21"/>
          <w:highlight w:val="none"/>
          <w:lang w:val="zh-CN"/>
          <w14:textFill>
            <w14:solidFill>
              <w14:schemeClr w14:val="tx1"/>
            </w14:solidFill>
          </w14:textFill>
        </w:rPr>
        <w:t xml:space="preserve">”或者“</w:t>
      </w:r>
      <w:r>
        <w:rPr>
          <w:rFonts w:hint="eastAsia" w:ascii="宋体" w:hAnsi="宋体"/>
          <w:b/>
          <w:color w:val="ff0000"/>
          <w:sz w:val="21"/>
          <w:szCs w:val="21"/>
          <w:highlight w:val="none"/>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highlight w:val="none"/>
          <w:lang w:val="zh-CN"/>
          <w14:textFill>
            <w14:solidFill>
              <w14:schemeClr w14:val="tx1"/>
            </w14:solidFill>
          </w14:textFill>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110"/>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投标人（盖章）： </w:t>
      </w:r>
      <w:r/>
    </w:p>
    <w:p>
      <w:pPr>
        <w:ind w:firstLine="4830"/>
        <w:jc w:val="left"/>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法定代表人或代理人（签字或盖章）：</w:t>
      </w:r>
      <w:r/>
    </w:p>
    <w:p>
      <w:pPr>
        <w:ind w:firstLine="4830"/>
        <w:jc w:val="left"/>
        <w:spacing w:line="360" w:lineRule="auto"/>
        <w:rPr>
          <w:rFonts w:ascii="宋体" w:hAnsi="宋体"/>
          <w:b/>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日期</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年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月 </w:t>
      </w: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日</w:t>
      </w:r>
      <w:r/>
    </w:p>
    <w:p>
      <w:pPr>
        <w:pStyle w:val="853"/>
        <w:ind w:left="0" w:firstLine="0"/>
        <w:rPr>
          <w:highlight w:val="none"/>
          <w:lang w:val="zh-CN"/>
        </w:rPr>
      </w:pPr>
      <w:r>
        <w:rPr>
          <w:highlight w:val="none"/>
          <w:lang w:val="zh-CN"/>
        </w:rPr>
      </w:r>
      <w:r/>
    </w:p>
    <w:p>
      <w:pPr>
        <w:pStyle w:val="842"/>
        <w:ind w:left="0" w:firstLine="0"/>
        <w:jc w:val="center"/>
        <w:rPr>
          <w:rFonts w:ascii="宋体" w:hAnsi="宋体"/>
          <w:b/>
          <w:sz w:val="44"/>
          <w:szCs w:val="22"/>
          <w:highlight w:val="none"/>
        </w:rPr>
      </w:pPr>
      <w:r/>
      <w:bookmarkStart w:id="113" w:name="_Toc6127"/>
      <w:r/>
      <w:bookmarkStart w:id="114" w:name="_Toc4098"/>
      <w:r/>
      <w:bookmarkStart w:id="115" w:name="_Toc23660"/>
      <w:r>
        <w:rPr>
          <w:rFonts w:hint="eastAsia" w:ascii="宋体" w:hAnsi="宋体"/>
          <w:b/>
          <w:sz w:val="44"/>
          <w:szCs w:val="22"/>
          <w:highlight w:val="none"/>
        </w:rPr>
        <w:t xml:space="preserve">第四章  </w:t>
      </w:r>
      <w:bookmarkStart w:id="116" w:name="招标书"/>
      <w:r/>
      <w:bookmarkEnd w:id="116"/>
      <w:r>
        <w:rPr>
          <w:rFonts w:hint="eastAsia" w:ascii="宋体" w:hAnsi="宋体"/>
          <w:b/>
          <w:sz w:val="44"/>
          <w:szCs w:val="22"/>
          <w:highlight w:val="none"/>
        </w:rPr>
        <w:t xml:space="preserve">招标书</w:t>
      </w:r>
      <w:bookmarkEnd w:id="113"/>
      <w:r/>
      <w:bookmarkEnd w:id="114"/>
      <w:r/>
      <w:bookmarkEnd w:id="115"/>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苏州市政府集中采购中心</w:t>
      </w:r>
      <w:r>
        <w:rPr>
          <w:rFonts w:ascii="宋体" w:hAnsi="宋体"/>
          <w:sz w:val="21"/>
          <w:highlight w:val="none"/>
        </w:rPr>
        <w:t xml:space="preserve">受</w:t>
      </w:r>
      <w:r>
        <w:rPr>
          <w:rFonts w:hint="eastAsia" w:ascii="宋体" w:hAnsi="宋体"/>
          <w:sz w:val="21"/>
          <w:szCs w:val="21"/>
          <w:highlight w:val="none"/>
          <w:u w:val="single"/>
        </w:rPr>
        <w:t xml:space="preserve"> 苏州市公安局 </w:t>
      </w:r>
      <w:r>
        <w:rPr>
          <w:rFonts w:ascii="宋体" w:hAnsi="宋体"/>
          <w:sz w:val="21"/>
          <w:highlight w:val="none"/>
        </w:rPr>
        <w:t xml:space="preserve">的委托，就</w:t>
      </w:r>
      <w:r>
        <w:rPr>
          <w:rFonts w:hint="eastAsia" w:ascii="宋体" w:hAnsi="宋体"/>
          <w:sz w:val="21"/>
          <w:highlight w:val="none"/>
          <w:u w:val="single"/>
        </w:rPr>
        <w:t xml:space="preserve"> 姑苏区及城市快速路道路交通设施维护服务  </w:t>
      </w:r>
      <w:r>
        <w:rPr>
          <w:rFonts w:hint="eastAsia" w:ascii="宋体" w:hAnsi="宋体"/>
          <w:sz w:val="21"/>
          <w:highlight w:val="none"/>
        </w:rPr>
        <w:t xml:space="preserve">项目</w:t>
      </w:r>
      <w:r>
        <w:rPr>
          <w:rFonts w:ascii="宋体" w:hAnsi="宋体"/>
          <w:sz w:val="21"/>
          <w:highlight w:val="none"/>
        </w:rPr>
        <w:t xml:space="preserve">进行公开招标，现欢迎符合相关条件的</w:t>
      </w:r>
      <w:r>
        <w:rPr>
          <w:rFonts w:hint="eastAsia" w:ascii="宋体" w:hAnsi="宋体"/>
          <w:sz w:val="21"/>
          <w:highlight w:val="none"/>
        </w:rPr>
        <w:t xml:space="preserve">供应</w:t>
      </w:r>
      <w:r>
        <w:rPr>
          <w:rFonts w:ascii="宋体" w:hAnsi="宋体"/>
          <w:sz w:val="21"/>
          <w:highlight w:val="none"/>
        </w:rPr>
        <w:t xml:space="preserve">商参加投标。</w:t>
      </w:r>
      <w:r/>
    </w:p>
    <w:p>
      <w:pPr>
        <w:ind w:left="0" w:firstLine="420"/>
        <w:spacing w:line="360" w:lineRule="auto"/>
        <w:tabs>
          <w:tab w:val="left" w:pos="0" w:leader="none"/>
        </w:tabs>
        <w:rPr>
          <w:rFonts w:hint="default" w:ascii="宋体" w:hAnsi="宋体" w:eastAsia="宋体"/>
          <w:sz w:val="21"/>
          <w:highlight w:val="none"/>
          <w:lang w:val="en-US" w:eastAsia="zh-CN"/>
        </w:rPr>
      </w:pPr>
      <w:r>
        <w:rPr>
          <w:rFonts w:hint="eastAsia" w:ascii="宋体" w:hAnsi="宋体"/>
          <w:sz w:val="21"/>
          <w:highlight w:val="none"/>
        </w:rPr>
        <w:t xml:space="preserve">一、项目编号：</w:t>
      </w:r>
      <w:r>
        <w:rPr>
          <w:rFonts w:hint="eastAsia" w:ascii="宋体" w:hAnsi="宋体"/>
          <w:sz w:val="21"/>
          <w:szCs w:val="21"/>
          <w:highlight w:val="none"/>
        </w:rPr>
        <w:t xml:space="preserve">JSZC-320500-JZCG-G2026-00</w:t>
      </w:r>
      <w:r>
        <w:rPr>
          <w:rFonts w:hint="eastAsia" w:ascii="宋体" w:hAnsi="宋体"/>
          <w:sz w:val="21"/>
          <w:szCs w:val="21"/>
          <w:highlight w:val="none"/>
          <w:lang w:val="en-US" w:eastAsia="zh-CN"/>
        </w:rPr>
        <w:t xml:space="preserve">91</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二、项目名称：</w:t>
      </w:r>
      <w:r>
        <w:rPr>
          <w:rFonts w:hint="eastAsia" w:ascii="宋体" w:hAnsi="宋体"/>
          <w:sz w:val="21"/>
          <w:szCs w:val="21"/>
          <w:highlight w:val="none"/>
        </w:rPr>
        <w:t xml:space="preserve">姑苏区及城市快速路道路交通设施维护服务</w:t>
      </w:r>
      <w:r>
        <w:rPr>
          <w:rFonts w:ascii="宋体" w:hAnsi="宋体"/>
          <w:sz w:val="21"/>
          <w:szCs w:val="21"/>
          <w:highlight w:val="none"/>
        </w:rPr>
        <w:t xml:space="preserve"> </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三、预算金额：</w:t>
      </w:r>
      <w:r>
        <w:rPr>
          <w:rFonts w:hint="eastAsia" w:ascii="宋体" w:hAnsi="宋体"/>
          <w:sz w:val="21"/>
          <w:szCs w:val="21"/>
          <w:highlight w:val="none"/>
        </w:rPr>
        <w:t xml:space="preserve">人民币壹仟柒佰叁拾柒万捌仟柒佰叁拾贰元柒角（¥17378732.7元）</w:t>
      </w:r>
      <w:r/>
    </w:p>
    <w:p>
      <w:pPr>
        <w:ind w:left="0" w:firstLine="420"/>
        <w:spacing w:line="360" w:lineRule="auto"/>
        <w:tabs>
          <w:tab w:val="left" w:pos="0" w:leader="none"/>
        </w:tabs>
        <w:rPr>
          <w:rFonts w:ascii="宋体" w:hAnsi="宋体"/>
          <w:sz w:val="21"/>
          <w:highlight w:val="none"/>
        </w:rPr>
      </w:pPr>
      <w:r>
        <w:rPr>
          <w:rFonts w:hint="eastAsia" w:ascii="宋体" w:hAnsi="宋体"/>
          <w:sz w:val="21"/>
          <w:highlight w:val="none"/>
        </w:rPr>
        <w:t xml:space="preserve">四、最高限价：</w:t>
      </w:r>
      <w:r>
        <w:rPr>
          <w:rFonts w:hint="eastAsia" w:ascii="宋体" w:hAnsi="宋体"/>
          <w:sz w:val="21"/>
          <w:szCs w:val="21"/>
          <w:highlight w:val="none"/>
        </w:rPr>
        <w:t xml:space="preserve">人民币壹仟柒佰叁拾柒万捌仟柒佰叁拾贰元柒角（¥17378732.7元）</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五、合同履行期限：合同签订后24个月内，具体时间详见合同</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六、招标内容：</w:t>
      </w:r>
      <w:r/>
    </w:p>
    <w:p>
      <w:pPr>
        <w:ind w:left="416"/>
        <w:spacing w:line="360" w:lineRule="auto"/>
        <w:tabs>
          <w:tab w:val="left" w:pos="420" w:leader="none"/>
        </w:tabs>
        <w:rPr>
          <w:rFonts w:ascii="宋体" w:hAnsi="宋体"/>
          <w:sz w:val="21"/>
          <w:highlight w:val="none"/>
        </w:rPr>
      </w:pPr>
      <w:r>
        <w:rPr>
          <w:rFonts w:hint="eastAsia" w:ascii="宋体" w:hAnsi="宋体"/>
          <w:sz w:val="21"/>
          <w:highlight w:val="none"/>
        </w:rPr>
        <w:t xml:space="preserve">（一）本项目需实现的功能、目标：</w:t>
      </w:r>
      <w:r/>
    </w:p>
    <w:p>
      <w:pPr>
        <w:ind w:left="416"/>
        <w:spacing w:line="360" w:lineRule="auto"/>
        <w:tabs>
          <w:tab w:val="left" w:pos="420" w:leader="none"/>
        </w:tabs>
        <w:rPr>
          <w:rFonts w:ascii="宋体" w:hAnsi="宋体"/>
          <w:sz w:val="21"/>
          <w:highlight w:val="none"/>
        </w:rPr>
      </w:pPr>
      <w:r>
        <w:rPr>
          <w:rFonts w:hint="eastAsia" w:ascii="宋体" w:hAnsi="宋体"/>
          <w:sz w:val="21"/>
          <w:highlight w:val="none"/>
        </w:rPr>
        <w:t xml:space="preserve">开展道路交通安全设施维护保养工作，保障道路交通秩序安全畅通。</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城市快速道路交通安全设施的日常维护、故障维修及紧急抢修等服务，保障交通安全设施完整、有效。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（二）实施地点：城市快速路道路。</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（三）服务内容</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聚焦专业化专项维护，核心门架式标志结构加固、防撞等级达标护栏维修更换、防眩设施调整修复、视线诱导设施更新等作业，需依托大型专业设备完成高空、高强度专项施工。（明细详见附件</w:t>
      </w:r>
      <w:r>
        <w:rPr>
          <w:rFonts w:hint="eastAsia" w:ascii="宋体" w:hAnsi="宋体"/>
          <w:sz w:val="21"/>
          <w:highlight w:val="none"/>
          <w:lang w:val="en-US" w:eastAsia="zh-CN"/>
        </w:rPr>
        <w:t xml:space="preserve">1</w:t>
      </w:r>
      <w:r>
        <w:rPr>
          <w:rFonts w:hint="eastAsia" w:ascii="宋体" w:hAnsi="宋体"/>
          <w:sz w:val="21"/>
          <w:highlight w:val="none"/>
        </w:rPr>
        <w:t xml:space="preserve">）</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w:t>
      </w:r>
      <w:r>
        <w:rPr>
          <w:rFonts w:hint="eastAsia" w:ascii="宋体" w:hAnsi="宋体"/>
          <w:sz w:val="21"/>
          <w:highlight w:val="none"/>
        </w:rPr>
        <w:t xml:space="preserve">四</w:t>
      </w:r>
      <w:r>
        <w:rPr>
          <w:rFonts w:ascii="宋体" w:hAnsi="宋体"/>
          <w:sz w:val="21"/>
          <w:highlight w:val="none"/>
        </w:rPr>
        <w:t xml:space="preserve">）执行标准：参照执行国家、行业及地方技术规范中关于交通安全设施设置规范、标准，包括但不限于以下标准。在服务过程中，如国家、行业及地方技术规范出现重大技术变化，则参照最新标准执行。</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1.《城市道路交通工程项目规范》（GB 55011-2021）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2.《城市道路工程设计规范》（CJJ37-2012）（2016版）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3.《城市道路路线设计规范》（CJJ193-2012）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4.《城市道路交通标志和标线设置规范》（GB51038-2015）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5.《城市道路交通组织设计规范》（GBT36670-2018）</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6.《城市道路交通设施设计规范》（GB50688-2011）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7.《道路交通标志和标线第1部分:总则》（GB 5768.1-2025）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8.《道路交通标志和标线第2部分：道路交通标志》（GB 5768.2-2022）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9.《道路交通标志和标线第3部分：道路交通标线》（GB 5768.3-2009）（GB 5768.3-2025，2026.05.01实施）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10.《道路交通标志和标线第4部分：作业区》（GB 5768.4-2017）</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11.《道路交通标志和标线第5部分:限制速度》（GB 5768.5-2017）</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12.《道路交通标志板及支撑件》（GB/T23827-2021）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13.《太阳能突起路标》（GB/T19813-2005）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14.《隔离栅》（GB/T26941-2011）（GB/T 26941-2025，2026.03.01实施）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15.《道路交通反光膜》（GB/T18833-2012）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16.《路面标线涂料》（JT/T280-2022）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17.《LED主动发光道路交通标志》（GB/T 31446-2015）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18.《公路防撞桶》（GB/T28650-2012）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19.《锥形交通路标》（GA/T415-2003）</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20.《道路交通诱导可变信息标志》（GA/T484-2010 LED）</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21.《橡胶减速丘》（GA/T487-2020）</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22.《太阳能道路交通标志》（GA/T580-2005）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23.《城市道路交通隔离栏设置指南》（GA/T1567-2019）</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24.《公路护栏安全性能评价标准》（JTG/B0501-2013）</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25.《内部照明标志》（JT/T750-2009）</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26. 《交通分隔栏》（JT/T 1033-2025，2026.01.01实施）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27.《公路用凸面反光镜》（JT/T801-2011）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28.《城市综合交通体系规划标准》（GBT51328-2018）</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29. 《公路交通工程钢构件防腐技术条件》（GB/T18226-2015）（GB/T 18226-2025，2026.03.01实施）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30.《城市停车规划规范》（GBT51149-2016）</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31.《城市道路交叉口规划规范》（GB50647-2011）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32.《公交专用车道设置》（GAT507-2004）</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33.《城市道路单向交通组织原则》（GAT486-2015）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34.《城市道路路内停车泊位设置规范》（GAT850-2021）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35.《城市道路施工作业交通组织规范》（GAT900-2010，GAT900-2025,2026.05.01实施）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36.《中小学与幼儿园校园周边道路交通设施设置规范》（GAT1215-2014）</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37.《建设项目交通影响评价技术标准》（CJJT141-2010）</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38.《城市快速路设计规程》（CJJ129-2009）</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39.《城市道路交叉口设计规程》（CJJ152-2010）</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40.《城镇道路路面设计规范》（CJJ169-2012）</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41.《城市道路路基设计规范》（CJJ194-2013）</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42.《城市桥梁抗震设计规范》（CJJ 166-2011）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43.《公路桥梁抗震设计规范》（JTG/T 2231-01-2020）</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44.《城市桥梁设计规范》（CJJ11-2011）（2019 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45.《公路工程技术标准》（JTGB01-2014）</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46.《公路交通标志和标线设置规范》（JTGD82-2009）</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47.《公路交通安全设施设计规范》（JTGD81-2017）</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48.《公路交通安全设施设计细则》（JTG/T D81—2017）</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49.《公路项目安全性评价规范》（JTGB05-2015）</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50.《无障碍设计规范》（GB 50763-2012）（部分条款废止）</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51.《建筑与市政工程无障碍通用规范》（GB 55019-2021）</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52.《苏州市城市道路交通管理设施设置标准》（2017版）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53.《苏州市公交线网优化技术导则》（2015版）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54.《苏州市交通影响评价管理办法》（2018版）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55.《苏州市建筑物配建停车位指标》（2020版）</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t xml:space="preserve">56.《苏州市占道项目施工期交通影响评价技术导则》（2017版）</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（五）维护响应时间：</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方须负责提供7*24小时应急响应服务。投标方在接到交通设施故障内容通知后，投标方应在1小时内响应，2小时内到达现场处理问题；复杂故障现场解决不了的重大故障，有影响通行或交通安全隐患的，应当在现场设置临时防护设施，投标方在维护维修中使用的原材料、器件等必须合格且与现有交通设备配件具有相同型号或提供不低于原设备品质的配件（须采购方确认后方可替换）</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（六）维护设备配备：</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城市快速路道路交通安全设施维护：高空作业车至少3辆、巡视工具车至少3辆（车辆类型：轻型多用途货车，使用性质：工程救险），防撞车至少3辆；需确保车辆行驶及施工安全，车辆使用过程中发生交通事故或其他意外事件，均由投标方承担责任。</w:t>
      </w:r>
      <w:r/>
    </w:p>
    <w:p>
      <w:pPr>
        <w:ind w:left="0" w:firstLine="422"/>
        <w:spacing w:line="360" w:lineRule="auto"/>
        <w:tabs>
          <w:tab w:val="left" w:pos="420" w:leader="none"/>
        </w:tabs>
        <w:rPr>
          <w:rFonts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注：自有车辆投标文件中需提供行驶证复印件，租赁车辆投标文件中需提供租赁合同复印件、行驶证复印件和租赁发票复印件，租赁期限需超过项目维护服务期限，未提供视为未实质性响应招标文件要求。</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（七）项目人员配置要求：</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投标方须针对本项目专门成立服务工作团队，服务团队成员至少17人，包括项目经理1名，维护工程师2名，电工2名，高处作业人员3名，巡检人员3名，安全员至少3名，辅助工至少3名。</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具体人员配置要求如下：</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（1）项目经理：主要负责项目管理、布置分发维护工作内容，</w:t>
      </w:r>
      <w:r>
        <w:rPr>
          <w:rFonts w:hint="eastAsia" w:asciiTheme="minorEastAsia" w:hAnsiTheme="minorEastAsia" w:eastAsiaTheme="minorEastAsia" w:cstheme="minorEastAsia"/>
          <w:sz w:val="21"/>
          <w:szCs w:val="21"/>
          <w:highlight w:val="none"/>
          <w:lang w:eastAsia="zh-CN"/>
        </w:rPr>
        <w:t xml:space="preserve">接受</w:t>
      </w:r>
      <w:r>
        <w:rPr>
          <w:rFonts w:hint="eastAsia" w:asciiTheme="minorEastAsia" w:hAnsiTheme="minorEastAsia" w:eastAsiaTheme="minorEastAsia" w:cstheme="minorEastAsia"/>
          <w:sz w:val="21"/>
          <w:szCs w:val="21"/>
          <w:highlight w:val="none"/>
        </w:rPr>
        <w:t xml:space="preserve">采购方的工作指导，负责与采购方及其他单位、部门之间的协调，</w:t>
      </w:r>
      <w:r>
        <w:rPr>
          <w:rFonts w:hint="eastAsia" w:asciiTheme="minorEastAsia" w:hAnsiTheme="minorEastAsia" w:eastAsiaTheme="minorEastAsia" w:cstheme="minorEastAsia"/>
          <w:b/>
          <w:sz w:val="21"/>
          <w:szCs w:val="21"/>
          <w:highlight w:val="none"/>
        </w:rPr>
        <w:t xml:space="preserve">需具有与本项目工作内容相关专业的本科及以上学历</w:t>
      </w:r>
      <w:r>
        <w:rPr>
          <w:rFonts w:hint="eastAsia" w:asciiTheme="minorEastAsia" w:hAnsiTheme="minorEastAsia" w:eastAsiaTheme="minorEastAsia" w:cstheme="minorEastAsia"/>
          <w:sz w:val="21"/>
          <w:szCs w:val="21"/>
          <w:highlight w:val="none"/>
        </w:rPr>
        <w:t xml:space="preserve">，须提供学历证书扫描件。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（2）维护工程师：负责制定和落实设施定期检查和维护计划安排，对设备技术参数进行把关，</w:t>
      </w:r>
      <w:r>
        <w:rPr>
          <w:rFonts w:hint="eastAsia" w:asciiTheme="minorEastAsia" w:hAnsiTheme="minorEastAsia" w:eastAsiaTheme="minorEastAsia" w:cstheme="minorEastAsia"/>
          <w:b/>
          <w:sz w:val="21"/>
          <w:szCs w:val="21"/>
          <w:highlight w:val="none"/>
        </w:rPr>
        <w:t xml:space="preserve">需具有与本项目工作内容相关专业的大专及以上学历</w:t>
      </w:r>
      <w:r>
        <w:rPr>
          <w:rFonts w:hint="eastAsia" w:asciiTheme="minorEastAsia" w:hAnsiTheme="minorEastAsia" w:eastAsiaTheme="minorEastAsia" w:cstheme="minorEastAsia"/>
          <w:sz w:val="21"/>
          <w:szCs w:val="21"/>
          <w:highlight w:val="none"/>
        </w:rPr>
        <w:t xml:space="preserve">，须提供学历证书扫描件。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（3）电工：负责电器相关设施设备维护需持特种作业操作证，须提供</w:t>
      </w:r>
      <w:r>
        <w:rPr>
          <w:rFonts w:hint="eastAsia" w:asciiTheme="minorEastAsia" w:hAnsiTheme="minorEastAsia" w:eastAsiaTheme="minorEastAsia" w:cstheme="minorEastAsia"/>
          <w:b/>
          <w:sz w:val="21"/>
          <w:szCs w:val="21"/>
          <w:highlight w:val="none"/>
        </w:rPr>
        <w:t xml:space="preserve">特种作业操作证（准操项目：低压电工作业）</w:t>
      </w:r>
      <w:r>
        <w:rPr>
          <w:rFonts w:hint="eastAsia" w:asciiTheme="minorEastAsia" w:hAnsiTheme="minorEastAsia" w:eastAsiaTheme="minorEastAsia" w:cstheme="minorEastAsia"/>
          <w:sz w:val="21"/>
          <w:szCs w:val="21"/>
          <w:highlight w:val="none"/>
        </w:rPr>
        <w:t xml:space="preserve">扫描件。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高处作业人员：负责高处作业，需持特种作业操作证，须提供</w:t>
      </w:r>
      <w:r>
        <w:rPr>
          <w:rFonts w:hint="eastAsia" w:asciiTheme="minorEastAsia" w:hAnsiTheme="minorEastAsia" w:eastAsiaTheme="minorEastAsia" w:cstheme="minorEastAsia"/>
          <w:b/>
          <w:sz w:val="21"/>
          <w:szCs w:val="21"/>
          <w:highlight w:val="none"/>
        </w:rPr>
        <w:t xml:space="preserve">特种作业操作证（准操项目：高处安装、维护、拆除作业）</w:t>
      </w:r>
      <w:r>
        <w:rPr>
          <w:rFonts w:hint="eastAsia" w:asciiTheme="minorEastAsia" w:hAnsiTheme="minorEastAsia" w:eastAsiaTheme="minorEastAsia" w:cstheme="minorEastAsia"/>
          <w:sz w:val="21"/>
          <w:szCs w:val="21"/>
          <w:highlight w:val="none"/>
        </w:rPr>
        <w:t xml:space="preserve">扫描件。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（4）巡检人员：负责巡查发现、登记维护过程中的问题，接受、处理、反馈采购方的相关工作指令，每周汇总维护工作台账，每月5号前提交上一个月维护台账。</w:t>
      </w:r>
      <w:r/>
    </w:p>
    <w:p>
      <w:pPr>
        <w:ind w:left="0" w:firstLine="422"/>
        <w:spacing w:line="360" w:lineRule="auto"/>
        <w:tabs>
          <w:tab w:val="left" w:pos="420" w:leader="none"/>
        </w:tabs>
        <w:rPr>
          <w:rFonts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注：投标文件中项目经理须提供与本项目工作内容相关专业的本科及以上学历；维护工程师须提供与本项目工作内容相关专业的大专及以上学历；电工须提供特种作业操作证（准操项目：低压电工作业）；高处作业人员须提供特种作业操作证特种作业操作证（准操项目：高处安装、维护、拆除作业）。以上人员须按要求提供相关人员证书复印件、投标单位为其缴纳的最新一期的社保缴纳证明复印件，未提供视为未实质性响应招标文件要求。</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投标方需制定相关的安全措施，确保项目人员安全，在项目作业期间发生的由投标方造成的事故，导致的人员（包含项目施工人员及事故相关人员）及财产损失，均由投标方承担。</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服务团队人员及巡视车辆在合同期内只能服务于本项目（标段），不得服务于其他单位或项目，（须在投标文件中提供相应承诺函，格式自拟），否则采购方有权在合同期内扣减当月部分维护费用，情节严重的将提前终止维护合同。如需更换巡检人员或巡视工具车的，则需提前向采购方报备，经采购方同意后，方可替换。</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（八）考核标准</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每个季度由采购方业务大队、秩序大队及第三方巡检对标志牌、标线、护栏等各类型交通安全设施状态进行考核，采购方为考核主体，第三方巡检负责配合采购方。考核平均得分在90分及以上的,全额支付当季维护费；平均得分在90-80分（含80分）的，从90分起每减1分扣除当季维护费的1%；平均得分在80-70分（含70分）的，从80分起每减1分扣除当季维护费的2%；得分低于70分为不合格，不予支付当季度维护费用。考核办法详见第七章。</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（九）维护的基本要求：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1.城市快速路（全封闭 / 半封闭）通行路段的道路交通安全设施应根据类别、等级和技术级别进行维护。</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2.适配性要求：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适配城市快速路全封闭 / 半封闭通行、车速高、车流大、无行人干扰、通行负荷大的特征，维护作业需保障快速路通行连续性，严防因设施故障引发交通拥堵或安全事故。</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作业方式要求：聚焦专业化专项维护，作业需依托高空作业车、防撞车等大型专业设备，规范开展高空、高强度专项施工；作业前需制定详细的施工方案，明确交通管制措施及安全防护方案，报相关交通管理部门审批后执行。</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4.响应机制要求：执行 “全天候值守，极速抢修” 标准，设立 24 小时应急值守电话，确保突发情况能够第一时间响应；针对交通事故、货物坠落等突发情况导致的设施损坏，需开展极速处置与抢修工作，确保快速路及时恢复安全通行状态，特殊情况需连续作业的，需制定轮班方案确保尽快恢复通行。</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5.巡检与质量要求：每周开展 1 次全面巡检，每季度进行 1 次结构安全检测，建立设施维护档案，详细记录巡检结果、维护内容及质量状况；维护后的设施需符合相关国家标准，确保结构稳固、功能完善、防护达标。</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6.维护部门应建立维护档案，并应符合下列规定：</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（1）维护档案应包括下列内容：标志、标线、护栏等主要技术资料、维护技术文件、巡检、检测、维护资料、敷设管线等技术文件及相关资料。</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（2）维护档案管理工作实行电子化、数据化。</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（3）所有交通安全设施应完好、整洁。交通标志牌清晰、明了，整体美观。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（4）维护维修中使用的原材料、器件等必须合格且与现有交通设备配件具有相同型号或提供不低于原设备品质的配件（须采购方确认后方可替换）</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（5）交通维护作业应在保证安全的情况下尽量不影响交通，作业区间必须设置明显的安全标志，警示灯等，采取措施、保证安全并减少对交通的干扰。</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（6）维护必须文明，做到工完、料清、场清。</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（7）投标方必须无条件的接受采购方的考核监督，考核表作为维护结算费用的依据。</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（十）维护项目具体要求及实施内容</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门架式标志维护：对快速路沿线的门架式标志进行定期结构检查，重点排查支架、横梁、连接件等部位的牢固性，对出现松动、锈蚀、开裂的构件进行加固处理，必要时更换受损部件；对标志面板进行清洁，确保标识清晰，对破损、褪色的面板及时更换。</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防撞护栏维护：针对快速路防撞等级达标的护栏，定期检查其结构完整性，对因交通事故、碰撞等导致的护栏变形、断裂、脱落等情况，及时进行维修或更换，更换后的护栏需符合原防撞等级标准，确保防护性能不降低；对护栏连接部位进行紧固，对锈蚀部位进行除锈、防腐处理。</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防眩设施维护：定期检查防眩板等防眩设施的安装状态，对出现松动、移位、破损、缺失的防眩设施，及时进行紧固、复位、更换或补充；根据季节变化及光照条件，适时调整防眩设施角度，确保防眩效果达标，保障夜间行车安全。</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视线诱导设施维护：对快速路的视线诱导标、轮廓标等设施进行常态化巡检，及时清理设施表面污渍，对出现损坏、褪色、反光效果不佳的设施进行更换，确保其在不同天气及光照条件下能够清晰引导车辆行驶方向。</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突发故障应急抢修：针对交通事故、货物坠落等突发情况导致的快速路交通安全设施损坏，开展极速处置与抢修工作，快速清理损坏设施残骸，临时设置警示标识，在最短时间内完成设施修复或临时替代处置，恢复快速路安全通行条件。</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6.制定详细的巡视计划，避免每天巡视的道路相同。</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7.每周提供维护巡查记录表电子版一份，每月提供维护台账、维护巡查记录表、下月维护作业计划等书面版、电子版各一份。</w:t>
      </w:r>
      <w:r/>
    </w:p>
    <w:p>
      <w:pPr>
        <w:ind w:left="0" w:firstLine="420"/>
        <w:spacing w:line="360" w:lineRule="auto"/>
        <w:tabs>
          <w:tab w:val="left" w:pos="420" w:leader="none"/>
        </w:tabs>
        <w:rPr>
          <w:rFonts w:ascii="宋体" w:hAnsi="宋体"/>
          <w:sz w:val="21"/>
          <w:highlight w:val="none"/>
        </w:rPr>
      </w:pPr>
      <w:r>
        <w:rPr>
          <w:rFonts w:ascii="宋体" w:hAnsi="宋体"/>
          <w:sz w:val="21"/>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（十一）维护安全要求</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1.安全与风险防范：需严格防范高速行驶车辆对作业区域的撞击风险，执行最高级别作业安全管控标准；作业现场需设置多级安全警示区域，从作业点上游不少于 1 公里处开始设置预警标志，逐步缩小警示范围，引导车辆减速避让。</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2.防护设施要求：作业期间必须配备防撞车、移动警示灯、反光锥、安全防护网等最高标准的安全防护设施，防撞车需停放在作业区域来车方向前方，形成安全防护屏障；作业区域边界需设置清晰的反光标识及防护设施，确保夜间及恶劣天气下可视性良好。</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3.人员资质与能力要求：维护团队需持有高空作业证、低压电工证等专业资质证书，熟练操作高空作业车、防撞车等专业设备；全面掌握快速路场景安全作业规范及应急避险流程，具备高强度、高风险环境下的作业能力及突发安全事件应急处置能力。</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4.作业规范要求：作业人员必须穿戴全套高可视性安全防护装备（包括反光安全帽、反光背心等），严格遵守高空作业、交通安全等相关操作规程；严禁在未设置完整安全防护措施的情况下开展作业，严禁违规横穿快速路，作业期间安排专人进行安全监护，实时关注交通流及作业安全状况。</w:t>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5.每月应对服务团队成员进行不少于一次安全学习，场地、交通等与培训相关的费用均由投标方承担。</w:t>
      </w:r>
      <w:r/>
    </w:p>
    <w:p>
      <w:pPr>
        <w:ind w:left="0" w:firstLine="0"/>
        <w:spacing w:line="360" w:lineRule="auto"/>
        <w:tabs>
          <w:tab w:val="left" w:pos="420" w:leader="none"/>
        </w:tabs>
        <w:rPr>
          <w:rFonts w:asciiTheme="minorEastAsia" w:hAnsiTheme="minorEastAsia" w:eastAsiaTheme="minorEastAsia" w:cstheme="minorEastAsia"/>
          <w:sz w:val="21"/>
          <w:szCs w:val="21"/>
          <w:highlight w:val="none"/>
        </w:rPr>
      </w:pPr>
      <w:r>
        <w:rPr>
          <w:rFonts w:asciiTheme="minorEastAsia" w:hAnsiTheme="minorEastAsia" w:eastAsiaTheme="minorEastAsia" w:cstheme="minorEastAsia"/>
          <w:sz w:val="21"/>
          <w:szCs w:val="21"/>
          <w:highlight w:val="none"/>
        </w:rPr>
      </w:r>
      <w:r/>
    </w:p>
    <w:p>
      <w:pPr>
        <w:ind w:left="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（十</w:t>
      </w:r>
      <w:r>
        <w:rPr>
          <w:rFonts w:hint="eastAsia" w:asciiTheme="minorEastAsia" w:hAnsiTheme="minorEastAsia" w:eastAsiaTheme="minorEastAsia" w:cstheme="minorEastAsia"/>
          <w:sz w:val="21"/>
          <w:szCs w:val="21"/>
          <w:highlight w:val="none"/>
          <w:lang w:val="en-US" w:eastAsia="zh-CN"/>
        </w:rPr>
        <w:t xml:space="preserve">二</w:t>
      </w:r>
      <w:r>
        <w:rPr>
          <w:rFonts w:hint="eastAsia" w:asciiTheme="minorEastAsia" w:hAnsiTheme="minorEastAsia" w:eastAsiaTheme="minorEastAsia" w:cstheme="minorEastAsia"/>
          <w:sz w:val="21"/>
          <w:szCs w:val="21"/>
          <w:highlight w:val="none"/>
        </w:rPr>
        <w:t xml:space="preserve">）采购商务要求</w:t>
      </w:r>
      <w:r/>
    </w:p>
    <w:p>
      <w:pPr>
        <w:ind w:left="40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1.</w:t>
      </w:r>
      <w:r>
        <w:rPr>
          <w:rFonts w:hint="eastAsia" w:asciiTheme="minorEastAsia" w:hAnsiTheme="minorEastAsia" w:eastAsiaTheme="minorEastAsia" w:cstheme="minorEastAsia"/>
          <w:sz w:val="21"/>
          <w:szCs w:val="21"/>
          <w:highlight w:val="none"/>
          <w:lang w:val="zh-CN"/>
        </w:rPr>
        <w:t xml:space="preserve">培训：每月应对服务团队成员进行不少于一次安全学习，场地、交通等与培训相关的费用均由投标方承担。</w:t>
      </w:r>
      <w:r/>
    </w:p>
    <w:p>
      <w:pPr>
        <w:ind w:left="40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2.验收标准：</w:t>
      </w:r>
      <w:r/>
    </w:p>
    <w:p>
      <w:pPr>
        <w:ind w:left="40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（1）按服务内容、服务标准及其他的约定进行验收。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（2）验收时间：</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①阶段性验收：每季度组织对维护质量进行考核、验收，由采购方组织投标方及第三方巡检参与验收。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②整体性验收：最后一个季度服务期满后，由采购方组织投标方及第三方巡检对项目整体验收，验收合格并对验收结果签字确认。</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③第一年度服务结束后由采购方开展年度考核，考核通过后方可继续开展第二年度服务合同。</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（3）验收范围包括但不限于：维护档案、维护巡查记录、安全学习记录、维护设施符合技术要求等相关内容。</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（4）验收合格的确认：经采购方及第三方巡检确认通过验收，视为验收合格。</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rPr>
        <w:t xml:space="preserve">3.</w:t>
      </w:r>
      <w:r>
        <w:rPr>
          <w:rFonts w:hint="eastAsia" w:asciiTheme="minorEastAsia" w:hAnsiTheme="minorEastAsia" w:eastAsiaTheme="minorEastAsia" w:cstheme="minorEastAsia"/>
          <w:sz w:val="21"/>
          <w:szCs w:val="21"/>
          <w:highlight w:val="none"/>
          <w:lang w:val="zh-CN"/>
        </w:rPr>
        <w:t xml:space="preserve">付款方式：</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本合同服务期为2年，一个年度为一个服务周期，每个服务周期维护金额不超过合同总金额的50%。合同生效后，采购方在收到投标方发票后向投标方支付第一个服务周期维护金额的30%作为当期预付款；第二个服务周期开始15日内，采购方在收到投标方发票后向投标方支付第二个服务周期维护金额的30%作为当期预付款。</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每个服务周期剩余费用由采购方按季度支付，每季度维护费用不超过合同总金额的8.75%，实际的维护费用以考核结果为准。每季组织对维护质量进行检查考核，根据考核结果于下一个季度的第一个月内支付维护费用，考核结果以采购方及第三方巡检的验收评估结果为准；最后一个季度维护费用需待服务期满，由采购方组织投标方及第三方巡检对项目整体验收，验收合格并对验收结果签字确认，采购方支付合同剩余款项。</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asciiTheme="minorEastAsia" w:hAnsiTheme="minorEastAsia" w:eastAsiaTheme="minorEastAsia" w:cstheme="minorEastAsia"/>
          <w:sz w:val="21"/>
          <w:szCs w:val="21"/>
          <w:highlight w:val="none"/>
          <w:lang w:val="zh-CN"/>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w:t>
      </w:r>
      <w:r>
        <w:rPr>
          <w:rFonts w:hint="eastAsia" w:asciiTheme="minorEastAsia" w:hAnsiTheme="minorEastAsia" w:eastAsiaTheme="minorEastAsia" w:cstheme="minorEastAsia"/>
          <w:sz w:val="21"/>
          <w:szCs w:val="21"/>
          <w:highlight w:val="none"/>
          <w:lang w:val="en-US" w:eastAsia="zh-CN"/>
        </w:rPr>
        <w:t xml:space="preserve">三</w:t>
      </w:r>
      <w:r>
        <w:rPr>
          <w:rFonts w:hint="eastAsia" w:asciiTheme="minorEastAsia" w:hAnsiTheme="minorEastAsia" w:eastAsiaTheme="minorEastAsia" w:cstheme="minorEastAsia"/>
          <w:sz w:val="21"/>
          <w:szCs w:val="21"/>
          <w:highlight w:val="none"/>
          <w:lang w:val="zh-CN"/>
        </w:rPr>
        <w:t xml:space="preserve">）投标单位提供为交通运行服务提供相关的维护保养方案，须包括：</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日常维护；</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应急抢修；</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应急任务临时措施；</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4</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日常巡检；</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5</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人员及车辆配置情况；</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6</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对接保障制度等内容。</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asciiTheme="minorEastAsia" w:hAnsiTheme="minorEastAsia" w:eastAsiaTheme="minorEastAsia" w:cstheme="minorEastAsia"/>
          <w:sz w:val="21"/>
          <w:szCs w:val="21"/>
          <w:highlight w:val="none"/>
          <w:lang w:val="zh-CN"/>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w:t>
      </w:r>
      <w:r>
        <w:rPr>
          <w:rFonts w:hint="eastAsia" w:asciiTheme="minorEastAsia" w:hAnsiTheme="minorEastAsia" w:eastAsiaTheme="minorEastAsia" w:cstheme="minorEastAsia"/>
          <w:sz w:val="21"/>
          <w:szCs w:val="21"/>
          <w:highlight w:val="none"/>
          <w:lang w:val="en-US" w:eastAsia="zh-CN"/>
        </w:rPr>
        <w:t xml:space="preserve">四</w:t>
      </w:r>
      <w:r>
        <w:rPr>
          <w:rFonts w:hint="eastAsia" w:asciiTheme="minorEastAsia" w:hAnsiTheme="minorEastAsia" w:eastAsiaTheme="minorEastAsia" w:cstheme="minorEastAsia"/>
          <w:sz w:val="21"/>
          <w:szCs w:val="21"/>
          <w:highlight w:val="none"/>
          <w:lang w:val="zh-CN"/>
        </w:rPr>
        <w:t xml:space="preserve">）投标单位提供交通事故应急抢修处理方案，须包括：</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通知后的响应时间；</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处理流程；</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人员安排等内容。</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asciiTheme="minorEastAsia" w:hAnsiTheme="minorEastAsia" w:eastAsiaTheme="minorEastAsia" w:cstheme="minorEastAsia"/>
          <w:sz w:val="21"/>
          <w:szCs w:val="21"/>
          <w:highlight w:val="none"/>
          <w:lang w:val="zh-CN"/>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（十</w:t>
      </w:r>
      <w:r>
        <w:rPr>
          <w:rFonts w:hint="eastAsia" w:asciiTheme="minorEastAsia" w:hAnsiTheme="minorEastAsia" w:eastAsiaTheme="minorEastAsia" w:cstheme="minorEastAsia"/>
          <w:sz w:val="21"/>
          <w:szCs w:val="21"/>
          <w:highlight w:val="none"/>
          <w:lang w:val="en-US" w:eastAsia="zh-CN"/>
        </w:rPr>
        <w:t xml:space="preserve">五</w:t>
      </w:r>
      <w:r>
        <w:rPr>
          <w:rFonts w:hint="eastAsia" w:asciiTheme="minorEastAsia" w:hAnsiTheme="minorEastAsia" w:eastAsiaTheme="minorEastAsia" w:cstheme="minorEastAsia"/>
          <w:sz w:val="21"/>
          <w:szCs w:val="21"/>
          <w:highlight w:val="none"/>
          <w:lang w:val="zh-CN"/>
        </w:rPr>
        <w:t xml:space="preserve">）投标单位提供安全管理措施及应急预案，须包括：</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维护作业安全责任体系方案；</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日常维护作业安全防护措施及秩序管理方案；</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3</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恶劣天气等应急预案；</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4</w:t>
      </w:r>
      <w:r>
        <w:rPr>
          <w:rFonts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lang w:val="zh-CN"/>
        </w:rPr>
        <w:t xml:space="preserve">事故现场交通组织方案等内容。</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asciiTheme="minorEastAsia" w:hAnsiTheme="minorEastAsia" w:eastAsiaTheme="minorEastAsia" w:cstheme="minorEastAsia"/>
          <w:sz w:val="21"/>
          <w:szCs w:val="21"/>
          <w:highlight w:val="none"/>
          <w:lang w:val="zh-CN"/>
        </w:rPr>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w:t>
      </w:r>
      <w:r>
        <w:rPr>
          <w:rFonts w:hint="eastAsia" w:asciiTheme="minorEastAsia" w:hAnsiTheme="minorEastAsia" w:eastAsiaTheme="minorEastAsia" w:cstheme="minorEastAsia"/>
          <w:sz w:val="21"/>
          <w:szCs w:val="21"/>
          <w:highlight w:val="none"/>
        </w:rPr>
        <w:t xml:space="preserve">十</w:t>
      </w:r>
      <w:r>
        <w:rPr>
          <w:rFonts w:hint="eastAsia" w:asciiTheme="minorEastAsia" w:hAnsiTheme="minorEastAsia" w:eastAsiaTheme="minorEastAsia" w:cstheme="minorEastAsia"/>
          <w:sz w:val="21"/>
          <w:szCs w:val="21"/>
          <w:highlight w:val="none"/>
          <w:lang w:val="en-US" w:eastAsia="zh-CN"/>
        </w:rPr>
        <w:t xml:space="preserve">六</w:t>
      </w:r>
      <w:r>
        <w:rPr>
          <w:rFonts w:hint="eastAsia" w:asciiTheme="minorEastAsia" w:hAnsiTheme="minorEastAsia" w:eastAsiaTheme="minorEastAsia" w:cstheme="minorEastAsia"/>
          <w:sz w:val="21"/>
          <w:szCs w:val="21"/>
          <w:highlight w:val="none"/>
          <w:lang w:val="zh-CN"/>
        </w:rPr>
        <w:t xml:space="preserve">）履约验收：</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s>
        <w:rPr>
          <w:rFonts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pStyle w:val="867"/>
        <w:rPr>
          <w:highlight w:val="none"/>
        </w:rPr>
      </w:pPr>
      <w:r>
        <w:rPr>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七、综合说明</w:t>
      </w:r>
      <w:r/>
    </w:p>
    <w:p>
      <w:pPr>
        <w:ind w:left="0" w:firstLine="420"/>
        <w:spacing w:line="360" w:lineRule="auto"/>
        <w:tabs>
          <w:tab w:val="left" w:pos="420" w:leader="none"/>
          <w:tab w:val="left" w:pos="540" w:leader="none"/>
        </w:tabs>
        <w:rPr>
          <w:rFonts w:ascii="宋体" w:hAnsi="宋体"/>
          <w:sz w:val="21"/>
          <w:highlight w:val="none"/>
        </w:rPr>
      </w:pPr>
      <w:r>
        <w:rPr>
          <w:rFonts w:hint="eastAsia" w:ascii="宋体" w:hAnsi="宋体"/>
          <w:sz w:val="21"/>
          <w:highlight w:val="none"/>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highlight w:val="none"/>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3</w:t>
      </w:r>
      <w:r>
        <w:rPr>
          <w:rFonts w:hint="eastAsia" w:ascii="宋体" w:hAnsi="宋体"/>
          <w:sz w:val="21"/>
          <w:highlight w:val="none"/>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highlight w:val="none"/>
        </w:rPr>
      </w:pPr>
      <w:r>
        <w:rPr>
          <w:rFonts w:ascii="宋体" w:hAnsi="宋体"/>
          <w:sz w:val="21"/>
          <w:highlight w:val="none"/>
        </w:rPr>
        <w:t xml:space="preserve">4</w:t>
      </w:r>
      <w:r>
        <w:rPr>
          <w:rFonts w:hint="eastAsia" w:ascii="宋体" w:hAnsi="宋体"/>
          <w:sz w:val="21"/>
          <w:highlight w:val="none"/>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7"/>
        <w:ind w:firstLine="200"/>
        <w:spacing w:line="360" w:lineRule="auto"/>
        <w:rPr>
          <w:rFonts w:ascii="宋体" w:hAnsi="宋体"/>
          <w:highlight w:val="none"/>
        </w:rPr>
      </w:pPr>
      <w:r>
        <w:rPr>
          <w:rFonts w:ascii="宋体" w:hAnsi="宋体"/>
          <w:highlight w:val="none"/>
        </w:rPr>
      </w:r>
      <w:r/>
    </w:p>
    <w:p>
      <w:pPr>
        <w:ind w:left="0" w:firstLine="420"/>
        <w:spacing w:line="360" w:lineRule="auto"/>
        <w:tabs>
          <w:tab w:val="left" w:pos="420" w:leader="none"/>
        </w:tabs>
        <w:rPr>
          <w:rFonts w:ascii="宋体" w:hAnsi="宋体"/>
          <w:sz w:val="21"/>
          <w:highlight w:val="none"/>
        </w:rPr>
      </w:pPr>
      <w:r>
        <w:rPr>
          <w:rFonts w:hint="eastAsia" w:ascii="宋体" w:hAnsi="宋体"/>
          <w:sz w:val="21"/>
          <w:highlight w:val="none"/>
        </w:rPr>
        <w:t xml:space="preserve">八、政府采购政策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1.中小微企业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highlight w:val="none"/>
        </w:rPr>
        <w:t xml:space="preserve">服务类项目中供应商若使用退休人员，将不享受相关扶持政策。</w:t>
      </w:r>
      <w:r/>
    </w:p>
    <w:p>
      <w:pPr>
        <w:ind w:left="0" w:firstLine="422"/>
        <w:spacing w:line="360" w:lineRule="auto"/>
        <w:tabs>
          <w:tab w:val="left" w:pos="567" w:leader="none"/>
        </w:tabs>
        <w:rPr>
          <w:rFonts w:ascii="宋体" w:hAnsi="宋体"/>
          <w:sz w:val="21"/>
          <w:highlight w:val="none"/>
        </w:rPr>
      </w:pPr>
      <w:r>
        <w:rPr>
          <w:rFonts w:hint="eastAsia" w:ascii="宋体" w:hAnsi="宋体"/>
          <w:b/>
          <w:sz w:val="21"/>
          <w:highlight w:val="none"/>
        </w:rPr>
        <w:t xml:space="preserve">根据《政府采购促进中小企业发展管理办法》（财库〔2020〕4</w:t>
      </w:r>
      <w:r>
        <w:rPr>
          <w:rFonts w:hint="eastAsia" w:ascii="宋体" w:hAnsi="宋体" w:cs="Times New Roman"/>
          <w:b/>
          <w:sz w:val="21"/>
          <w:highlight w:val="none"/>
        </w:rPr>
        <w:t xml:space="preserve">6号）及《中小企业划型标准规定》（工信部联企业〔2011〕300号），本采购标的对应的中小企业划分标准所属行业为：其他未列明行业。</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t xml:space="preserve">2</w:t>
      </w:r>
      <w:r>
        <w:rPr>
          <w:rFonts w:hint="eastAsia" w:ascii="宋体" w:hAnsi="宋体"/>
          <w:sz w:val="21"/>
          <w:highlight w:val="none"/>
        </w:rPr>
        <w:t xml:space="preserve">.残疾人福利性单位</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3.监狱企业</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4.绿色采购</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（1）根据《关于调整优化节能产品、环境标志产品政府采购执行机制的通知》（财库〔</w:t>
      </w:r>
      <w:r>
        <w:rPr>
          <w:rFonts w:ascii="宋体" w:hAnsi="宋体"/>
          <w:sz w:val="21"/>
          <w:highlight w:val="none"/>
        </w:rPr>
        <w:t xml:space="preserve">2019</w:t>
      </w:r>
      <w:r>
        <w:rPr>
          <w:rFonts w:hint="eastAsia" w:ascii="宋体" w:hAnsi="宋体"/>
          <w:sz w:val="21"/>
          <w:highlight w:val="none"/>
        </w:rPr>
        <w:t xml:space="preserve">〕</w:t>
      </w:r>
      <w:r>
        <w:rPr>
          <w:rFonts w:ascii="宋体" w:hAnsi="宋体"/>
          <w:sz w:val="21"/>
          <w:highlight w:val="none"/>
        </w:rPr>
        <w:t xml:space="preserve">9</w:t>
      </w:r>
      <w:r>
        <w:rPr>
          <w:rFonts w:hint="eastAsia" w:ascii="宋体" w:hAnsi="宋体"/>
          <w:sz w:val="21"/>
          <w:highlight w:val="none"/>
        </w:rPr>
        <w:t xml:space="preserve">号）等相关文件的规定，</w:t>
      </w:r>
      <w:r>
        <w:rPr>
          <w:rFonts w:hint="eastAsia" w:ascii="宋体" w:hAnsi="宋体"/>
          <w:b/>
          <w:sz w:val="21"/>
          <w:highlight w:val="none"/>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highlight w:val="none"/>
        </w:rPr>
      </w:pPr>
      <w:r>
        <w:rPr>
          <w:rFonts w:ascii="宋体" w:hAnsi="宋体"/>
          <w:sz w:val="21"/>
          <w:highlight w:val="none"/>
        </w:rPr>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highlight w:val="none"/>
          <w14:textFill>
            <w14:solidFill>
              <w14:schemeClr w14:val="tx1"/>
            </w14:solidFill>
          </w14:textFill>
        </w:rPr>
      </w:pPr>
      <w:r>
        <w:rPr>
          <w:rFonts w:hint="eastAsia" w:ascii="宋体" w:hAnsi="宋体" w:cs="Times New Roman"/>
          <w:sz w:val="21"/>
          <w:highlight w:val="none"/>
        </w:rPr>
        <w:t xml:space="preserve">1</w:t>
      </w:r>
      <w:r>
        <w:rPr>
          <w:rFonts w:hint="eastAsia" w:ascii="宋体" w:hAnsi="宋体"/>
          <w:sz w:val="21"/>
          <w:highlight w:val="none"/>
        </w:rPr>
        <w:t xml:space="preserve">.</w:t>
      </w:r>
      <w:r>
        <w:rPr>
          <w:rFonts w:hint="eastAsia" w:ascii="宋体" w:hAnsi="宋体" w:cs="Times New Roman"/>
          <w:sz w:val="21"/>
          <w:highlight w:val="none"/>
        </w:rPr>
        <w:t xml:space="preserve">采购代理机构会在接收投标文件截止时间后，</w:t>
      </w:r>
      <w:r>
        <w:rPr>
          <w:rFonts w:hint="eastAsia" w:ascii="宋体" w:hAnsi="宋体"/>
          <w:color w:val="000000" w:themeColor="text1"/>
          <w:sz w:val="21"/>
          <w:szCs w:val="21"/>
          <w:highlight w:val="none"/>
          <w14:textFill>
            <w14:solidFill>
              <w14:schemeClr w14:val="tx1"/>
            </w14:solidFill>
          </w14:textFill>
        </w:rPr>
        <w:t xml:space="preserve">登录</w:t>
      </w:r>
      <w:r>
        <w:rPr>
          <w:rFonts w:ascii="宋体" w:hAnsi="宋体"/>
          <w:color w:val="000000" w:themeColor="text1"/>
          <w:sz w:val="21"/>
          <w:szCs w:val="21"/>
          <w:highlight w:val="none"/>
          <w14:textFill>
            <w14:solidFill>
              <w14:schemeClr w14:val="tx1"/>
            </w14:solidFill>
          </w14:textFill>
        </w:rPr>
        <w:t xml:space="preserve">信用中国</w:t>
      </w:r>
      <w:r>
        <w:rPr>
          <w:rFonts w:hint="eastAsia" w:ascii="宋体" w:hAnsi="宋体"/>
          <w:color w:val="000000" w:themeColor="text1"/>
          <w:sz w:val="21"/>
          <w:szCs w:val="21"/>
          <w:highlight w:val="none"/>
          <w14:textFill>
            <w14:solidFill>
              <w14:schemeClr w14:val="tx1"/>
            </w14:solidFill>
          </w14:textFill>
        </w:rPr>
        <w:t xml:space="preserve">网站</w:t>
      </w:r>
      <w:r>
        <w:rPr>
          <w:rFonts w:ascii="宋体" w:hAnsi="宋体"/>
          <w:color w:val="000000" w:themeColor="text1"/>
          <w:sz w:val="21"/>
          <w:szCs w:val="21"/>
          <w:highlight w:val="none"/>
          <w14:textFill>
            <w14:solidFill>
              <w14:schemeClr w14:val="tx1"/>
            </w14:solidFill>
          </w14:textFill>
        </w:rPr>
        <w:t xml:space="preserve">（www.creditchina.gov.cn/）</w:t>
      </w:r>
      <w:r>
        <w:rPr>
          <w:rFonts w:hint="eastAsia" w:ascii="宋体" w:hAnsi="宋体"/>
          <w:color w:val="000000" w:themeColor="text1"/>
          <w:sz w:val="21"/>
          <w:szCs w:val="21"/>
          <w:highlight w:val="none"/>
          <w14:textFill>
            <w14:solidFill>
              <w14:schemeClr w14:val="tx1"/>
            </w14:solidFill>
          </w14:textFill>
        </w:rPr>
        <w:t xml:space="preserve">和中国政府采购网（</w:t>
      </w:r>
      <w:r>
        <w:rPr>
          <w:rFonts w:ascii="宋体" w:hAnsi="宋体"/>
          <w:color w:val="000000" w:themeColor="text1"/>
          <w:sz w:val="21"/>
          <w:szCs w:val="21"/>
          <w:highlight w:val="none"/>
          <w14:textFill>
            <w14:solidFill>
              <w14:schemeClr w14:val="tx1"/>
            </w14:solidFill>
          </w14:textFill>
        </w:rPr>
        <w:t xml:space="preserve">www.ccgp.gov.cn/</w:t>
      </w:r>
      <w:r>
        <w:rPr>
          <w:rFonts w:hint="eastAsia" w:ascii="宋体" w:hAnsi="宋体"/>
          <w:color w:val="000000" w:themeColor="text1"/>
          <w:sz w:val="21"/>
          <w:szCs w:val="21"/>
          <w:highlight w:val="none"/>
          <w14:textFill>
            <w14:solidFill>
              <w14:schemeClr w14:val="tx1"/>
            </w14:solidFill>
          </w14:textFill>
        </w:rPr>
        <w:t xml:space="preserve">）</w:t>
      </w:r>
      <w:r>
        <w:rPr>
          <w:rFonts w:ascii="宋体" w:hAnsi="宋体"/>
          <w:color w:val="000000" w:themeColor="text1"/>
          <w:sz w:val="21"/>
          <w:szCs w:val="21"/>
          <w:highlight w:val="none"/>
          <w14:textFill>
            <w14:solidFill>
              <w14:schemeClr w14:val="tx1"/>
            </w14:solidFill>
          </w14:textFill>
        </w:rPr>
        <w:t xml:space="preserve">查询供应商的信用记录，并将查询结果递交</w:t>
      </w:r>
      <w:r>
        <w:rPr>
          <w:rFonts w:hint="eastAsia" w:ascii="宋体" w:hAnsi="宋体"/>
          <w:color w:val="000000" w:themeColor="text1"/>
          <w:sz w:val="21"/>
          <w:szCs w:val="21"/>
          <w:highlight w:val="none"/>
          <w14:textFill>
            <w14:solidFill>
              <w14:schemeClr w14:val="tx1"/>
            </w14:solidFill>
          </w14:textFill>
        </w:rPr>
        <w:t xml:space="preserve">评标委员会</w:t>
      </w:r>
      <w:r>
        <w:rPr>
          <w:rFonts w:hint="eastAsia" w:ascii="宋体" w:hAnsi="宋体" w:cs="Times New Roman"/>
          <w:color w:val="000000" w:themeColor="text1"/>
          <w:sz w:val="21"/>
          <w:highlight w:val="none"/>
          <w14:textFill>
            <w14:solidFill>
              <w14:schemeClr w14:val="tx1"/>
            </w14:solidFill>
          </w14:textFill>
        </w:rPr>
        <w:t xml:space="preserve">。</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highlight w:val="none"/>
        </w:rPr>
      </w:pPr>
      <w:r>
        <w:rPr>
          <w:rFonts w:hint="eastAsia" w:ascii="宋体" w:hAnsi="宋体" w:cs="Times New Roman"/>
          <w:sz w:val="21"/>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highlight w:val="none"/>
        </w:rPr>
      </w:pPr>
      <w:r>
        <w:rPr>
          <w:rFonts w:hint="eastAsia" w:ascii="宋体" w:hAnsi="宋体"/>
          <w:sz w:val="21"/>
          <w:highlight w:val="none"/>
        </w:rPr>
        <w:t xml:space="preserve">十、</w:t>
      </w:r>
      <w:r>
        <w:rPr>
          <w:rFonts w:ascii="宋体" w:hAnsi="宋体"/>
          <w:sz w:val="21"/>
          <w:highlight w:val="none"/>
        </w:rPr>
        <w:t xml:space="preserve">凡涉及招标文件的补充说明和修改，均以网上发布的通知为准。</w:t>
      </w:r>
      <w:r/>
    </w:p>
    <w:p>
      <w:pPr>
        <w:pStyle w:val="842"/>
        <w:ind w:left="0" w:firstLine="0"/>
        <w:jc w:val="center"/>
        <w:rPr>
          <w:rFonts w:ascii="宋体" w:hAnsi="宋体"/>
          <w:b/>
          <w:sz w:val="44"/>
          <w:szCs w:val="22"/>
          <w:highlight w:val="none"/>
        </w:rPr>
      </w:pPr>
      <w:r/>
      <w:bookmarkStart w:id="117" w:name="_Toc11789"/>
      <w:r/>
      <w:bookmarkStart w:id="118" w:name="_Toc5111"/>
      <w:r/>
      <w:bookmarkStart w:id="119" w:name="_Hlk55741158"/>
      <w:r>
        <w:rPr>
          <w:rFonts w:hint="eastAsia" w:ascii="宋体" w:hAnsi="宋体"/>
          <w:b/>
          <w:sz w:val="44"/>
          <w:szCs w:val="22"/>
          <w:highlight w:val="none"/>
        </w:rPr>
        <w:br w:type="page" w:clear="all"/>
      </w:r>
      <w:bookmarkStart w:id="120" w:name="_Toc18058"/>
      <w:r>
        <w:rPr>
          <w:rFonts w:hint="eastAsia" w:ascii="宋体" w:hAnsi="宋体"/>
          <w:b/>
          <w:sz w:val="44"/>
          <w:szCs w:val="22"/>
          <w:highlight w:val="none"/>
        </w:rPr>
        <w:t xml:space="preserve">第五章 </w:t>
      </w:r>
      <w:bookmarkStart w:id="121" w:name="合同的特殊条款"/>
      <w:r/>
      <w:bookmarkEnd w:id="121"/>
      <w:r>
        <w:rPr>
          <w:rFonts w:hint="eastAsia" w:ascii="宋体" w:hAnsi="宋体"/>
          <w:b/>
          <w:sz w:val="44"/>
          <w:szCs w:val="22"/>
          <w:highlight w:val="none"/>
        </w:rPr>
        <w:t xml:space="preserve"> 合同及主要条款</w:t>
      </w:r>
      <w:bookmarkEnd w:id="117"/>
      <w:r/>
      <w:bookmarkEnd w:id="118"/>
      <w:r/>
      <w:bookmarkEnd w:id="120"/>
      <w:r/>
      <w:bookmarkEnd w:id="119"/>
      <w:r/>
    </w:p>
    <w:p>
      <w:pPr>
        <w:ind w:left="0"/>
        <w:jc w:val="center"/>
        <w:spacing w:line="360" w:lineRule="auto"/>
        <w:widowControl w:val="off"/>
        <w:rPr>
          <w:rFonts w:ascii="宋体" w:hAnsi="宋体" w:cs="Times New Roman"/>
          <w:b/>
          <w:bCs/>
          <w:sz w:val="36"/>
          <w:szCs w:val="36"/>
          <w:highlight w:val="none"/>
        </w:rPr>
      </w:pPr>
      <w:r/>
      <w:bookmarkStart w:id="122" w:name="_Toc57376410"/>
      <w:r/>
      <w:bookmarkStart w:id="123" w:name="_Toc8564"/>
      <w:r/>
      <w:bookmarkStart w:id="124" w:name="_Toc27667"/>
      <w:r>
        <w:rPr>
          <w:rFonts w:hint="eastAsia" w:ascii="宋体" w:hAnsi="宋体" w:cs="Times New Roman"/>
          <w:b/>
          <w:bCs/>
          <w:sz w:val="36"/>
          <w:szCs w:val="36"/>
          <w:highlight w:val="none"/>
        </w:rPr>
        <w:t xml:space="preserve">政府采购合同</w:t>
      </w:r>
      <w:r/>
    </w:p>
    <w:p>
      <w:pPr>
        <w:ind w:left="0" w:firstLine="48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宋体" w:hAnsi="宋体"/>
          <w:sz w:val="24"/>
          <w:szCs w:val="24"/>
          <w:highlight w:val="none"/>
          <w:lang w:val="zh-CN"/>
        </w:rPr>
        <w:t xml:space="preserve">                    </w:t>
      </w:r>
      <w:r>
        <w:rPr>
          <w:rFonts w:hint="eastAsia" w:asciiTheme="minorEastAsia" w:hAnsiTheme="minorEastAsia" w:eastAsiaTheme="minorEastAsia" w:cstheme="minorEastAsia"/>
          <w:sz w:val="21"/>
          <w:szCs w:val="21"/>
          <w:highlight w:val="none"/>
          <w:lang w:val="zh-CN"/>
        </w:rPr>
        <w:t xml:space="preserve">              项目编号：</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lang w:val="zh-CN"/>
        </w:rPr>
        <w:t xml:space="preserve">甲方：</w:t>
      </w:r>
      <w:r>
        <w:rPr>
          <w:rFonts w:hint="eastAsia" w:asciiTheme="minorEastAsia" w:hAnsiTheme="minorEastAsia" w:eastAsiaTheme="minorEastAsia" w:cstheme="minorEastAsia"/>
          <w:sz w:val="21"/>
          <w:szCs w:val="21"/>
          <w:highlight w:val="none"/>
        </w:rPr>
        <w:t xml:space="preserve">苏州市公安局</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地址：</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联系人：</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联系方式：</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乙方：</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地址：</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法定代表人：</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联系人：</w:t>
      </w:r>
      <w:r/>
    </w:p>
    <w:p>
      <w:pPr>
        <w:ind w:left="0" w:firstLine="420"/>
        <w:spacing w:line="360" w:lineRule="auto"/>
        <w:widowControl w:val="off"/>
        <w:rPr>
          <w:rFonts w:hint="eastAsia" w:asciiTheme="minorEastAsia" w:hAnsiTheme="minorEastAsia" w:eastAsiaTheme="minorEastAsia" w:cstheme="minorEastAsia"/>
          <w:sz w:val="21"/>
          <w:szCs w:val="21"/>
          <w:highlight w:val="none"/>
          <w:lang w:val="zh-CN"/>
        </w:rPr>
      </w:pPr>
      <w:r>
        <w:rPr>
          <w:rFonts w:hint="eastAsia" w:asciiTheme="minorEastAsia" w:hAnsiTheme="minorEastAsia" w:eastAsiaTheme="minorEastAsia" w:cstheme="minorEastAsia"/>
          <w:sz w:val="21"/>
          <w:szCs w:val="21"/>
          <w:highlight w:val="none"/>
          <w:lang w:val="zh-CN"/>
        </w:rPr>
        <w:t xml:space="preserve">联系方式：</w:t>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根据《中华人民共和国民法典》《中华人民共和国政府采购法》等相关法律法规的规定，甲乙双方就此次成交的【姑苏区及城市快速路道路交通设施维护服务（标段___）】（以下简称“本项目”）的购销事宜，协商一致，签订本合同书，以兹共同遵守。</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一、合同内容：</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1、合同范围：乙方应为甲方提供【姑苏区及城市快速路道路交通设施维护服务（标段___）】。乙方在服务期限为甲方提供相应的维护服务。具体内容详见采购文件第三章 采购需求。</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2、服务期限：【2】年，即自 年 月 日至 年 月 日。</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3、服务地点：具体以甲方要求为准。</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二、下列文件为本合同不可分割部分：</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1、中标通知书；</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2、乙方投标（响应）文件；</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3、采购（响应）文件；</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4、乙方在开评标过程中所作的其它承诺、声明、书面澄清等。</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bookmarkStart w:id="125" w:name="OLE_LINK172"/>
      <w:r/>
      <w:bookmarkStart w:id="126" w:name="OLE_LINK171"/>
      <w:r>
        <w:rPr>
          <w:rFonts w:hint="eastAsia" w:asciiTheme="minorEastAsia" w:hAnsiTheme="minorEastAsia" w:eastAsiaTheme="minorEastAsia" w:cstheme="minorEastAsia"/>
          <w:sz w:val="21"/>
          <w:szCs w:val="21"/>
          <w:highlight w:val="none"/>
        </w:rPr>
        <w:t xml:space="preserve">以上文件与本合同具有同等法律效力，</w:t>
      </w:r>
      <w:bookmarkEnd w:id="125"/>
      <w:r/>
      <w:bookmarkEnd w:id="126"/>
      <w:r/>
      <w:bookmarkStart w:id="127" w:name="OLE_LINK206"/>
      <w:r/>
      <w:bookmarkStart w:id="128" w:name="OLE_LINK207"/>
      <w:r>
        <w:rPr>
          <w:rFonts w:hint="eastAsia" w:asciiTheme="minorEastAsia" w:hAnsiTheme="minorEastAsia" w:eastAsiaTheme="minorEastAsia" w:cstheme="minorEastAsia"/>
          <w:sz w:val="21"/>
          <w:szCs w:val="21"/>
          <w:highlight w:val="none"/>
        </w:rPr>
        <w:t xml:space="preserve">若与本合同内容有冲突的，则以本合同内容为准。如上述文件之间存在冲突或不一致的，以排列序位在前的文件为准，同一序位的文件以形成时间在后的为准。</w:t>
      </w:r>
      <w:bookmarkEnd w:id="127"/>
      <w:r/>
      <w:bookmarkEnd w:id="128"/>
      <w:r/>
      <w:r/>
    </w:p>
    <w:p>
      <w:pPr>
        <w:ind w:left="0" w:firstLine="422"/>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b/>
          <w:sz w:val="21"/>
          <w:szCs w:val="21"/>
          <w:highlight w:val="none"/>
        </w:rPr>
        <w:t xml:space="preserve">三、合同价款及支付方式：</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1、本项目（含税）总价为人民币：基准总价 × (1 - 成交优惠率（%）  ) = 【            】</w:t>
      </w:r>
      <w:r>
        <w:rPr>
          <w:rFonts w:hint="eastAsia" w:asciiTheme="minorEastAsia" w:hAnsiTheme="minorEastAsia" w:eastAsiaTheme="minorEastAsia" w:cstheme="minorEastAsia"/>
          <w:b/>
          <w:bCs/>
          <w:sz w:val="21"/>
          <w:szCs w:val="21"/>
          <w:highlight w:val="none"/>
        </w:rPr>
        <w:t xml:space="preserve">（基准总价为本合同对应标段的预算金额</w:t>
      </w:r>
      <w:r>
        <w:rPr>
          <w:rFonts w:hint="eastAsia" w:asciiTheme="minorEastAsia" w:hAnsiTheme="minorEastAsia" w:eastAsiaTheme="minorEastAsia" w:cstheme="minorEastAsia"/>
          <w:b/>
          <w:bCs/>
          <w:sz w:val="21"/>
          <w:szCs w:val="21"/>
          <w:highlight w:val="none"/>
          <w:lang w:eastAsia="zh-CN"/>
        </w:rPr>
        <w:t xml:space="preserve">；优惠率是指供应商对附件的清单中单价（限价）进行整体的优惠率报价，整体的优惠率即为各项产品单价（限价）的优惠率</w:t>
      </w:r>
      <w:r>
        <w:rPr>
          <w:rFonts w:hint="eastAsia" w:asciiTheme="minorEastAsia" w:hAnsiTheme="minorEastAsia" w:eastAsiaTheme="minorEastAsia" w:cstheme="minorEastAsia"/>
          <w:b/>
          <w:bCs/>
          <w:sz w:val="21"/>
          <w:szCs w:val="21"/>
          <w:highlight w:val="none"/>
        </w:rPr>
        <w:t xml:space="preserve">）</w:t>
      </w:r>
      <w:r>
        <w:rPr>
          <w:rFonts w:hint="eastAsia" w:asciiTheme="minorEastAsia" w:hAnsiTheme="minorEastAsia" w:eastAsiaTheme="minorEastAsia" w:cstheme="minorEastAsia"/>
          <w:sz w:val="21"/>
          <w:szCs w:val="21"/>
          <w:highlight w:val="none"/>
        </w:rPr>
        <w:t xml:space="preserve">，包括招标文件中确定的工作以内及以外的全部服务内容及服务要求，以及相关保险、利润、税金、人员、交通、食宿、代理服务费等一切费用。上述金额为最终报价，除非因特殊原因并经甲乙双方协商同意，乙方不得再要求追加任何费用。</w:t>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2、付款方式：</w:t>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本合同服务期为2年，一个年度为一个服务周期，每个服务周期维护金额不超过合同总金额的50%。合同生效后，甲方在收到乙方发票后向乙方支付第一个服务周期维护金额的30%作为当期预付款；第二个服务周期开始15日内，甲方在收到乙方发票后向乙方支付第二个服务周期维护金额的30%作为当期预付款。</w:t>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每个服务周期剩余费用由甲方按季度支付，每季度维护费用不超过合同总金额的8.75%，实际的维护费用以考核结果为准。每季组织对维护质量进行检查考核，根据考核结果于下一个季度的第一个月内支付维护费用，考核结果以甲方及第三方的验收评估结果为准，第三方验收评估机构应为甲方通过公开遴选确定的具备相应资质的独立第三方，且与乙方无利害关系；最后一个季度维护费用需待服务期满，由甲方组织乙方及第三方对项目整体验收，验收合格并对验收结果签字确认，甲方支付合同剩余款项。</w:t>
      </w:r>
      <w:r/>
    </w:p>
    <w:p>
      <w:pPr>
        <w:ind w:left="0" w:firstLine="48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考核平均得分在90分及以上的,全额支付当季维护费；平均得分在90-80分（含80分）的，从90分起每减1分扣除当季维护费的1%；平均得分在80-70分（含70分）的，从80分起每减1分扣除当季维护费的2%；得分低于70分为不合格，不予支付当季度维护费用。</w:t>
      </w:r>
      <w:r/>
    </w:p>
    <w:p>
      <w:pPr>
        <w:ind w:left="0" w:firstLine="42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3、乙方提请甲方款项结算前，需提供以下材料，</w:t>
      </w:r>
      <w:bookmarkStart w:id="129" w:name="_Hlk44274401"/>
      <w:r>
        <w:rPr>
          <w:rFonts w:hint="eastAsia" w:asciiTheme="minorEastAsia" w:hAnsiTheme="minorEastAsia" w:eastAsiaTheme="minorEastAsia" w:cstheme="minorEastAsia"/>
          <w:sz w:val="21"/>
          <w:szCs w:val="21"/>
          <w:highlight w:val="none"/>
        </w:rPr>
        <w:t xml:space="preserve">因乙方未按约定提供以下材料的，甲方有权迟延付款，且不承担迟延付款责任</w:t>
      </w:r>
      <w:bookmarkEnd w:id="129"/>
      <w:r>
        <w:rPr>
          <w:rFonts w:hint="eastAsia" w:asciiTheme="minorEastAsia" w:hAnsiTheme="minorEastAsia" w:eastAsiaTheme="minorEastAsia" w:cstheme="minorEastAsia"/>
          <w:sz w:val="21"/>
          <w:szCs w:val="21"/>
          <w:highlight w:val="none"/>
        </w:rPr>
        <w:t xml:space="preserve">：</w:t>
      </w:r>
      <w:r/>
    </w:p>
    <w:p>
      <w:pPr>
        <w:ind w:left="0" w:firstLine="42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3.1合法有效且符合甲方要求的发票。</w:t>
      </w:r>
      <w:r/>
    </w:p>
    <w:p>
      <w:pPr>
        <w:ind w:left="0" w:firstLine="42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3.2甲方对乙方提供的服务进行考核所形成的考核单证。</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4、支付方式：银行转账或数字人民币支付。</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4.1乙方数字人民币信息：</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账户名：</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开户银行：</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数字人民币账号（数币钱包ID）：</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4.2乙方银行账户信息：</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账户名：</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开户银行：</w:t>
      </w:r>
      <w:r/>
    </w:p>
    <w:p>
      <w:pPr>
        <w:ind w:left="0" w:firstLine="735"/>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银行账号：</w:t>
      </w:r>
      <w:r/>
    </w:p>
    <w:p>
      <w:pPr>
        <w:numPr>
          <w:ilvl w:val="0"/>
          <w:numId w:val="1"/>
        </w:num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公证费等合理维权费用，以及因第三人主张违约金、利息损失导致甲方产生的赔偿、支付等全部损失均由乙方承担。</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四、履约保证金：</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1、履约保证金金额为：合同总金额的10%；即人民币大写    （￥    ）。</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2、本合同签订之日起【三十】日内，按照合同约定，乙方可以转账方式或者支票、汇票、本票、保函等非现金形式向甲方缴纳或提交履约保证金。</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3、乙方未按照约定的期限和方式提交履约保证金的，甲方有权解除本合同，乙方应向甲方支付本合同总金额5%的违约金，给甲方造成损失的，乙方应赔偿甲方一切直接、间接损失；甲方书面同意乙方延期提交履约保证金的除外。</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4、在服务期满、服务缺陷全部更正完毕，且甲方收到乙方提供的经双方签章的《政府采购合同履行验收报告》后，甲方凭乙方的收款收据在【三十】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 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在乙方以第三方担保的方式提供履约担保的情况下，如第三方担保期限已经届满或担保义务免除，则视为甲方返还履约保证金的义务消灭，甲方无需实际返还行为。</w:t>
      </w:r>
      <w:r/>
    </w:p>
    <w:p>
      <w:pPr>
        <w:numPr>
          <w:ilvl w:val="255"/>
          <w:numId w:val="0"/>
        </w:numPr>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五、甲方权利和义务：</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1、根据甲方采购要求及乙方响应文件中的承诺，对乙方提供的服务及履行本合同情况实行验收考核。</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2、如乙方提供的服务人员不称职或不符合甲方要求的，甲方有权要求乙方限期更换。</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3、甲方必须满足本采购文件相关要求。</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六、乙方权利和义务：</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一）乙方根据甲方有关要求，在约定的时间内完成本项目服务内容，乙方因履行本合同而知悉的甲方（及其分支机构）文件、资料、信息，除甲方作出相反的书面说明外，均视为甲方的保密信息，乙方不得向乙方内部无关人员以及任何第三方泄露，也不得用于本合同约定之外的用途。乙方承担保密义务的时间为永久。</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（二）乙方应保证乙方及其工作人员具有相应的资质，并采取必要的安全措施。</w:t>
      </w:r>
      <w:bookmarkStart w:id="130" w:name="OLE_LINK27"/>
      <w:r/>
      <w:bookmarkStart w:id="131" w:name="OLE_LINK28"/>
      <w:r>
        <w:rPr>
          <w:rFonts w:hint="eastAsia" w:asciiTheme="minorEastAsia" w:hAnsiTheme="minorEastAsia" w:eastAsiaTheme="minorEastAsia" w:cstheme="minorEastAsia"/>
          <w:bCs/>
          <w:sz w:val="21"/>
          <w:szCs w:val="21"/>
          <w:highlight w:val="none"/>
        </w:rPr>
        <w:t xml:space="preserve">乙方工作人员应遵守甲方的工作规范和安全要求</w:t>
      </w:r>
      <w:bookmarkEnd w:id="130"/>
      <w:r/>
      <w:bookmarkEnd w:id="131"/>
      <w:r>
        <w:rPr>
          <w:rFonts w:hint="eastAsia" w:asciiTheme="minorEastAsia" w:hAnsiTheme="minorEastAsia" w:eastAsiaTheme="minorEastAsia" w:cstheme="minorEastAsia"/>
          <w:bCs/>
          <w:sz w:val="21"/>
          <w:szCs w:val="21"/>
          <w:highlight w:val="none"/>
        </w:rPr>
        <w:t xml:space="preserve">，乙方工作人员在服务过程中发生的意外事故、重大疾病、猝死等均由乙方承担责任，与甲方无关。</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三）乙方应按照采购文件中的要求履行维保服务，乙方未按约定履行维保服务的，甲方有权聘请第三方进行维修，由此产生的一切风险和费用由乙方承担，甲方有权自应付未付乙方的款项中直接扣除上述费用，扣除后若仍有不足，有权向乙方追偿。甲方聘请第三方前，应将乙方违约情况及拟采取的措施书面通知乙方。</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四）乙方必须严格遵守并满足采购文件中与本合同履行相关的全部要求（包括但不限于服务标准、资质要求、履约期限等）。若乙方未满足上述要求，视为乙方违约，甲方有权根据违约情节轻重，要求乙方承担整改、支付违约金、减少服务费用、解除合同等违约责任，因此给甲方造成损失的，乙方应全额赔偿。</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七、应急响应服务：</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乙方须负责提供7*24小时应急响应服务，乙方在接到交通设施故障内容通知后须</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bCs/>
          <w:sz w:val="21"/>
          <w:szCs w:val="21"/>
          <w:highlight w:val="none"/>
        </w:rPr>
        <w:t xml:space="preserve">小时内响应，</w:t>
      </w:r>
      <w:r>
        <w:rPr>
          <w:rFonts w:hint="eastAsia" w:asciiTheme="minorEastAsia" w:hAnsiTheme="minorEastAsia" w:eastAsiaTheme="minorEastAsia" w:cstheme="minorEastAsia"/>
          <w:sz w:val="21"/>
          <w:szCs w:val="21"/>
          <w:highlight w:val="none"/>
        </w:rPr>
        <w:t xml:space="preserve">【 】</w:t>
      </w:r>
      <w:r>
        <w:rPr>
          <w:rFonts w:hint="eastAsia" w:asciiTheme="minorEastAsia" w:hAnsiTheme="minorEastAsia" w:eastAsiaTheme="minorEastAsia" w:cstheme="minorEastAsia"/>
          <w:bCs/>
          <w:sz w:val="21"/>
          <w:szCs w:val="21"/>
          <w:highlight w:val="none"/>
        </w:rPr>
        <w:t xml:space="preserve">小时内到达现场处理问题，现场解决不了的重大故障，供应商需及时提供使用相同品牌、规格、型号或更高等级的部件替换。整个服务期内，因乙方无法在甲方要求时间内解决问题的，甲方有权立即终止服务合同，所产生的全部经济与法律损失由乙方承担。</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八、安全生产</w:t>
      </w:r>
      <w:r/>
    </w:p>
    <w:p>
      <w:pPr>
        <w:ind w:left="0" w:firstLine="420"/>
        <w:jc w:val="left"/>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（一）在项目实施及质保期间，乙方应当配备必要的安全生产管理人员，负责强化项目实施人员安全教育和安全管理，如实施过程中存在人身安全风险的，乙方应当为实施人员购买必要的人身安全保险。</w:t>
      </w:r>
      <w:r>
        <w:rPr>
          <w:rFonts w:hint="eastAsia" w:asciiTheme="minorEastAsia" w:hAnsiTheme="minorEastAsia" w:eastAsiaTheme="minorEastAsia" w:cstheme="minorEastAsia"/>
          <w:sz w:val="21"/>
          <w:szCs w:val="21"/>
          <w:highlight w:val="none"/>
        </w:rPr>
        <w:br/>
      </w:r>
      <w:r>
        <w:rPr>
          <w:rFonts w:hint="eastAsia" w:asciiTheme="minorEastAsia" w:hAnsiTheme="minorEastAsia" w:eastAsiaTheme="minorEastAsia" w:cstheme="minorEastAsia"/>
          <w:sz w:val="21"/>
          <w:szCs w:val="21"/>
          <w:highlight w:val="none"/>
        </w:rPr>
        <w:t xml:space="preserve">    （二）所有作业人员均需按照国家法律法规之规定，取得对应上岗资格证书、作业许可证书、特种作业证书等相关资格证书，方可上岗作业。</w:t>
      </w:r>
      <w:r>
        <w:rPr>
          <w:rFonts w:hint="eastAsia" w:asciiTheme="minorEastAsia" w:hAnsiTheme="minorEastAsia" w:eastAsiaTheme="minorEastAsia" w:cstheme="minorEastAsia"/>
          <w:sz w:val="21"/>
          <w:szCs w:val="21"/>
          <w:highlight w:val="none"/>
        </w:rPr>
        <w:br/>
      </w:r>
      <w:r>
        <w:rPr>
          <w:rFonts w:hint="eastAsia" w:asciiTheme="minorEastAsia" w:hAnsiTheme="minorEastAsia" w:eastAsiaTheme="minorEastAsia" w:cstheme="minorEastAsia"/>
          <w:sz w:val="21"/>
          <w:szCs w:val="21"/>
          <w:highlight w:val="none"/>
        </w:rPr>
        <w:t xml:space="preserve">    （三）乙方应按照法律法规制定安全作业规范，在项目实施过程中，乙方一方发生的一切安全事故或给第三方造成的损害，由乙方自行承担责任，甲方不对乙方项目实施人员负任何安全责任；若给甲方采购方造成损失和伤害的，乙方应承担相应责任，赔偿一切直接、间接损失。</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九、保密条款：</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（二）本合同履行终止后，乙方应当归还由甲方向其披露的一切保密信息的原始资料及其相关副本或复制品（包括书面的或电子的），乙方返还保密信息资料后，应继续承担并履行其在本合同项下的其他义务。</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三）乙方应对项目实施的服务人员定岗定责。乙方服务人员、合作单位等凡是有机会接触到保密信息的主体，均负有前述保密义务，乙方应当采取充足措施保障前述主体履行保密义务，否则视为乙方违反保密义务。</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四）乙方对保密信息未经甲方许可进行披露（包括且不限于故意，过失或疏忽）或有其他违反保密义务的行为，甲方有权解除本合同，且乙方应当按本合同总金额20%的标准向甲方支付泄密违约金，并向甲方及其关联主体赔偿因此受到的全部直接和间接损失。此外，甲方还有权寻求停止侵害的禁令或其他类似的法律救济。</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（五）无论本合同是否变更、解除或终止，合同的保密条款不受其限制而继续有效，乙方都应继续承担保密条款约定的保密义务。保密义务的期限为永久。</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六）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bCs/>
          <w:sz w:val="21"/>
          <w:szCs w:val="21"/>
          <w:highlight w:val="none"/>
        </w:rPr>
        <w:t xml:space="preserve">十、服务工作管理、检查考核</w:t>
      </w:r>
      <w:r>
        <w:rPr>
          <w:rFonts w:hint="eastAsia" w:asciiTheme="minorEastAsia" w:hAnsiTheme="minorEastAsia" w:eastAsiaTheme="minorEastAsia" w:cstheme="minorEastAsia"/>
          <w:b/>
          <w:sz w:val="21"/>
          <w:szCs w:val="21"/>
          <w:highlight w:val="none"/>
        </w:rPr>
        <w:t xml:space="preserve">：</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（一）按服务内容、服务标准及其他的约定进行验收。。</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（二）验收时间：</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（1）阶段性验收：每季度组织对维护质量进行考核、验收，由甲方组织乙方及第三方巡检参与验收。</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（2）整体性验收：最后一个季度服务期满后，由甲方组织乙方及第三方巡检对项目整体验收，验收合格并对验收结果签字确认。</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（3）第一年度服务结束后由甲方开展年度考核，考核通过后方可继续开展第二年度服务合同。如第一年考核不合格，甲方有权终止合同。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（三）验收范围包括但不限于：维护档案、维护巡查记录、安全学习记录、维护设施符合技术要求等相关内容。</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（四）验收合格的确认：经甲方及第三方巡检确认通过验收，视为验收合格。</w:t>
      </w:r>
      <w:r/>
    </w:p>
    <w:p>
      <w:pPr>
        <w:ind w:left="0" w:firstLine="422"/>
        <w:spacing w:line="360" w:lineRule="auto"/>
        <w:widowControl w:val="off"/>
        <w:rPr>
          <w:rFonts w:hint="eastAsia" w:asciiTheme="minorEastAsia" w:hAnsiTheme="minorEastAsia" w:eastAsiaTheme="minorEastAsia" w:cstheme="minorEastAsia"/>
          <w:b/>
          <w:sz w:val="21"/>
          <w:szCs w:val="21"/>
          <w:highlight w:val="none"/>
        </w:rPr>
      </w:pPr>
      <w:r>
        <w:rPr>
          <w:rFonts w:hint="eastAsia" w:asciiTheme="minorEastAsia" w:hAnsiTheme="minorEastAsia" w:eastAsiaTheme="minorEastAsia" w:cstheme="minorEastAsia"/>
          <w:b/>
          <w:sz w:val="21"/>
          <w:szCs w:val="21"/>
          <w:highlight w:val="none"/>
        </w:rPr>
        <w:t xml:space="preserve">十一、不可抗力：</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（一）因不可抗力（或甲、乙双方不能控制的原因）不能履行合同的，根据不可抗力的影响，部分或者全部免除责任。但合同一方迟延履行后发生不可抗力的，不能免除责任。</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（二）合同一方因不可抗力不能履行合同的，应当在不可抗力发生后10日内书面通知对方，以减轻可能给对方造成的损失，并应当在发出不可抗力通知后10日内提供书面证明材料。</w:t>
      </w:r>
      <w:r/>
    </w:p>
    <w:p>
      <w:pPr>
        <w:ind w:left="0" w:firstLine="480"/>
        <w:spacing w:line="360" w:lineRule="auto"/>
        <w:widowControl w:val="off"/>
        <w:rPr>
          <w:rFonts w:hint="eastAsia" w:asciiTheme="minorEastAsia" w:hAnsiTheme="minorEastAsia" w:eastAsiaTheme="minorEastAsia" w:cstheme="minorEastAsia"/>
          <w:b/>
          <w:bCs/>
          <w:sz w:val="21"/>
          <w:szCs w:val="21"/>
          <w:highlight w:val="none"/>
        </w:rPr>
        <w:outlineLvl w:val="0"/>
      </w:pPr>
      <w:r/>
      <w:bookmarkStart w:id="132" w:name="_Toc6965"/>
      <w:r/>
      <w:bookmarkStart w:id="133" w:name="_Toc28042"/>
      <w:r>
        <w:rPr>
          <w:rFonts w:hint="eastAsia" w:asciiTheme="minorEastAsia" w:hAnsiTheme="minorEastAsia" w:eastAsiaTheme="minorEastAsia" w:cstheme="minorEastAsia"/>
          <w:b/>
          <w:bCs/>
          <w:sz w:val="21"/>
          <w:szCs w:val="21"/>
          <w:highlight w:val="none"/>
        </w:rPr>
        <w:t xml:space="preserve">十二、分包与转包</w:t>
      </w:r>
      <w:bookmarkEnd w:id="132"/>
      <w:r/>
      <w:bookmarkEnd w:id="133"/>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34" w:name="_Toc5573"/>
      <w:r/>
      <w:bookmarkStart w:id="135" w:name="_Toc21187"/>
      <w:r>
        <w:rPr>
          <w:rFonts w:hint="eastAsia" w:asciiTheme="minorEastAsia" w:hAnsiTheme="minorEastAsia" w:eastAsiaTheme="minorEastAsia" w:cstheme="minorEastAsia"/>
          <w:sz w:val="21"/>
          <w:szCs w:val="21"/>
          <w:highlight w:val="none"/>
        </w:rPr>
        <w:t xml:space="preserve">（一）本合同项目不得转包与分包。</w:t>
      </w:r>
      <w:bookmarkEnd w:id="134"/>
      <w:r/>
      <w:bookmarkEnd w:id="135"/>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36" w:name="_Toc25681"/>
      <w:r/>
      <w:bookmarkStart w:id="137" w:name="_Toc2635"/>
      <w:r>
        <w:rPr>
          <w:rFonts w:hint="eastAsia" w:asciiTheme="minorEastAsia" w:hAnsiTheme="minorEastAsia" w:eastAsiaTheme="minorEastAsia" w:cstheme="minorEastAsia"/>
          <w:sz w:val="21"/>
          <w:szCs w:val="21"/>
          <w:highlight w:val="none"/>
        </w:rPr>
        <w:t xml:space="preserve">（二）如乙方存在分包或转包行为，甲方有权解除合同，乙方须返还全部已支付价款，并向甲方支付合同总金额20%的违约金。</w:t>
      </w:r>
      <w:bookmarkEnd w:id="136"/>
      <w:r/>
      <w:bookmarkEnd w:id="137"/>
      <w:r/>
      <w:r/>
    </w:p>
    <w:p>
      <w:pPr>
        <w:ind w:left="0" w:firstLine="420"/>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sz w:val="21"/>
          <w:szCs w:val="21"/>
          <w:highlight w:val="none"/>
        </w:rPr>
        <w:t xml:space="preserve">（三）因分包或转包导致甲方遭受损失的，乙方应赔偿甲方一切直接和间接损失。</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十三、违约责任：</w:t>
      </w:r>
      <w:r/>
    </w:p>
    <w:p>
      <w:pPr>
        <w:ind w:left="0" w:firstLine="420"/>
        <w:spacing w:line="360" w:lineRule="auto"/>
        <w:widowControl w:val="off"/>
        <w:rPr>
          <w:rFonts w:hint="eastAsia" w:asciiTheme="minorEastAsia" w:hAnsiTheme="minorEastAsia" w:eastAsiaTheme="minorEastAsia" w:cstheme="minorEastAsia"/>
          <w:sz w:val="21"/>
          <w:szCs w:val="21"/>
          <w:highlight w:val="none"/>
        </w:rPr>
      </w:pPr>
      <w:r>
        <w:rPr>
          <w:rFonts w:hint="eastAsia" w:asciiTheme="minorEastAsia" w:hAnsiTheme="minorEastAsia" w:eastAsiaTheme="minorEastAsia" w:cstheme="minorEastAsia"/>
          <w:sz w:val="21"/>
          <w:szCs w:val="21"/>
          <w:highlight w:val="none"/>
        </w:rPr>
        <w:t xml:space="preserve">合同一方不履行合同义务或者履行合同义务不符合约定的，应当承担继续履行、采取补救措施或赔偿损失等违约责任。</w:t>
      </w:r>
      <w:r/>
    </w:p>
    <w:p>
      <w:pPr>
        <w:ind w:left="0"/>
        <w:spacing w:line="360" w:lineRule="auto"/>
        <w:widowControl w:val="off"/>
        <w:rPr>
          <w:rFonts w:hint="eastAsia" w:asciiTheme="minorEastAsia" w:hAnsiTheme="minorEastAsia" w:eastAsiaTheme="minorEastAsia" w:cstheme="minorEastAsia"/>
          <w:sz w:val="21"/>
          <w:szCs w:val="21"/>
          <w:highlight w:val="none"/>
        </w:rPr>
        <w:outlineLvl w:val="0"/>
      </w:pPr>
      <w:r>
        <w:rPr>
          <w:rFonts w:hint="eastAsia" w:asciiTheme="minorEastAsia" w:hAnsiTheme="minorEastAsia" w:eastAsiaTheme="minorEastAsia" w:cstheme="minorEastAsia"/>
          <w:sz w:val="21"/>
          <w:szCs w:val="21"/>
          <w:highlight w:val="none"/>
        </w:rPr>
        <w:t xml:space="preserve">    </w:t>
      </w:r>
      <w:bookmarkStart w:id="138" w:name="_Toc1569"/>
      <w:r/>
      <w:bookmarkStart w:id="139" w:name="_Toc12426"/>
      <w:r>
        <w:rPr>
          <w:rFonts w:hint="eastAsia" w:asciiTheme="minorEastAsia" w:hAnsiTheme="minorEastAsia" w:eastAsiaTheme="minorEastAsia" w:cstheme="minorEastAsia"/>
          <w:sz w:val="21"/>
          <w:szCs w:val="21"/>
          <w:highlight w:val="none"/>
        </w:rPr>
        <w:t xml:space="preserve">（一）乙方违约责任</w:t>
      </w:r>
      <w:bookmarkEnd w:id="138"/>
      <w:r/>
      <w:bookmarkEnd w:id="139"/>
      <w:r/>
      <w:r/>
    </w:p>
    <w:p>
      <w:pPr>
        <w:ind w:left="0"/>
        <w:spacing w:line="360" w:lineRule="auto"/>
        <w:widowControl w:val="off"/>
        <w:rPr>
          <w:rFonts w:hint="eastAsia" w:asciiTheme="minorEastAsia" w:hAnsiTheme="minorEastAsia" w:eastAsiaTheme="minorEastAsia" w:cstheme="minorEastAsia"/>
          <w:sz w:val="21"/>
          <w:szCs w:val="21"/>
          <w:highlight w:val="none"/>
        </w:rPr>
        <w:outlineLvl w:val="0"/>
      </w:pPr>
      <w:r/>
      <w:bookmarkStart w:id="140" w:name="_Toc3785"/>
      <w:r/>
      <w:bookmarkStart w:id="141" w:name="_Toc24826"/>
      <w:r>
        <w:rPr>
          <w:rFonts w:hint="eastAsia" w:asciiTheme="minorEastAsia" w:hAnsiTheme="minorEastAsia" w:eastAsiaTheme="minorEastAsia" w:cstheme="minorEastAsia"/>
          <w:sz w:val="21"/>
          <w:szCs w:val="21"/>
          <w:highlight w:val="none"/>
        </w:rPr>
        <w:t xml:space="preserve">1、若乙方违反本合同约定，包括但不限于擅自更换服务人员、安排的服务人员无法胜任工作、无法按时响应甲方应急服务、服务人员违反保密义务等，经甲方催告后【7】日内仍未改正的或该违约情形无法改正的，甲方有权要求乙方立即向甲方支付本合同总金额【20】%的违约金，且甲方有权解除本合同，要求乙方立即退回本合同项下已收取的全部款项。</w:t>
      </w:r>
      <w:bookmarkEnd w:id="140"/>
      <w:r/>
      <w:bookmarkEnd w:id="141"/>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42" w:name="_Toc2325"/>
      <w:r/>
      <w:bookmarkStart w:id="143" w:name="_Toc10043"/>
      <w:r>
        <w:rPr>
          <w:rFonts w:hint="eastAsia" w:asciiTheme="minorEastAsia" w:hAnsiTheme="minorEastAsia" w:eastAsiaTheme="minorEastAsia" w:cstheme="minorEastAsia"/>
          <w:sz w:val="21"/>
          <w:szCs w:val="21"/>
          <w:highlight w:val="none"/>
        </w:rPr>
        <w:t xml:space="preserve">2、因乙方违约导致甲方解除合同的，甲方有权另行采购本合同约定的服务，乙方应当支付甲方因此额外支付的费用和受到的损失。</w:t>
      </w:r>
      <w:bookmarkEnd w:id="142"/>
      <w:r/>
      <w:bookmarkEnd w:id="143"/>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44" w:name="_Toc4246"/>
      <w:r/>
      <w:bookmarkStart w:id="145" w:name="_Toc15281"/>
      <w:r>
        <w:rPr>
          <w:rFonts w:hint="eastAsia" w:asciiTheme="minorEastAsia" w:hAnsiTheme="minorEastAsia" w:eastAsiaTheme="minorEastAsia" w:cstheme="minorEastAsia"/>
          <w:sz w:val="21"/>
          <w:szCs w:val="21"/>
          <w:highlight w:val="none"/>
        </w:rPr>
        <w:t xml:space="preserve">3、乙方因履行本合同而需向甲方支付款项的（包括但不限于违约赔偿、退款等），甲方有权直接自未付款项中予以抵扣，不足部分甲方有权要求乙方补足。</w:t>
      </w:r>
      <w:bookmarkEnd w:id="144"/>
      <w:r/>
      <w:bookmarkEnd w:id="145"/>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46" w:name="_Toc23946"/>
      <w:r/>
      <w:bookmarkStart w:id="147" w:name="_Toc7837"/>
      <w:r>
        <w:rPr>
          <w:rFonts w:hint="eastAsia" w:asciiTheme="minorEastAsia" w:hAnsiTheme="minorEastAsia" w:eastAsiaTheme="minorEastAsia" w:cstheme="minorEastAsia"/>
          <w:sz w:val="21"/>
          <w:szCs w:val="21"/>
          <w:highlight w:val="none"/>
        </w:rPr>
        <w:t xml:space="preserve">4、乙方逾期支付本合同约定的任何款项（包括但不限于违约赔偿、退款等）的，每逾期一日，乙方应当甲方支付逾期金额万分之四的违约金。</w:t>
      </w:r>
      <w:bookmarkEnd w:id="146"/>
      <w:r/>
      <w:bookmarkEnd w:id="147"/>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48" w:name="_Toc12210"/>
      <w:r/>
      <w:bookmarkStart w:id="149" w:name="_Toc23465"/>
      <w:r>
        <w:rPr>
          <w:rFonts w:hint="eastAsia" w:asciiTheme="minorEastAsia" w:hAnsiTheme="minorEastAsia" w:eastAsiaTheme="minorEastAsia" w:cstheme="minorEastAsia"/>
          <w:sz w:val="21"/>
          <w:szCs w:val="21"/>
          <w:highlight w:val="none"/>
        </w:rPr>
        <w:t xml:space="preserve">5、本合同约定的乙方应付违约金不足以弥补甲方一切直接或间接损失的，乙方应当足额赔偿。</w:t>
      </w:r>
      <w:bookmarkEnd w:id="148"/>
      <w:r/>
      <w:bookmarkEnd w:id="149"/>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50" w:name="_Toc16038"/>
      <w:r/>
      <w:bookmarkStart w:id="151" w:name="_Toc17466"/>
      <w:r>
        <w:rPr>
          <w:rFonts w:hint="eastAsia" w:asciiTheme="minorEastAsia" w:hAnsiTheme="minorEastAsia" w:eastAsiaTheme="minorEastAsia" w:cstheme="minorEastAsia"/>
          <w:sz w:val="21"/>
          <w:szCs w:val="21"/>
          <w:highlight w:val="none"/>
        </w:rPr>
        <w:t xml:space="preserve">6、乙方对招投标文件中承诺函所承诺的内容未按约定提供，甲方有权终止合同，且乙方需向甲方支付本合同总金额【20】%的违约金。</w:t>
      </w:r>
      <w:bookmarkEnd w:id="150"/>
      <w:r/>
      <w:bookmarkEnd w:id="151"/>
      <w:r/>
      <w:r/>
    </w:p>
    <w:p>
      <w:pPr>
        <w:ind w:left="0" w:firstLine="480"/>
        <w:spacing w:line="360" w:lineRule="auto"/>
        <w:widowControl w:val="off"/>
        <w:rPr>
          <w:rFonts w:hint="eastAsia" w:asciiTheme="minorEastAsia" w:hAnsiTheme="minorEastAsia" w:eastAsiaTheme="minorEastAsia" w:cstheme="minorEastAsia"/>
          <w:sz w:val="21"/>
          <w:szCs w:val="21"/>
          <w:highlight w:val="none"/>
        </w:rPr>
        <w:outlineLvl w:val="0"/>
      </w:pPr>
      <w:r/>
      <w:bookmarkStart w:id="152" w:name="_Toc12318"/>
      <w:r/>
      <w:bookmarkStart w:id="153" w:name="_Toc30695"/>
      <w:r>
        <w:rPr>
          <w:rFonts w:hint="eastAsia" w:asciiTheme="minorEastAsia" w:hAnsiTheme="minorEastAsia" w:eastAsiaTheme="minorEastAsia" w:cstheme="minorEastAsia"/>
          <w:sz w:val="21"/>
          <w:szCs w:val="21"/>
          <w:highlight w:val="none"/>
        </w:rPr>
        <w:t xml:space="preserve">7、乙方违反本合同第十一条约定之情形的，除按相应条款承担违约责任外，甲方还有权依据本合同第十二条追究其违约责任。</w:t>
      </w:r>
      <w:bookmarkEnd w:id="152"/>
      <w:r/>
      <w:bookmarkEnd w:id="153"/>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十四、合同生效及其它：</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sz w:val="21"/>
          <w:szCs w:val="21"/>
          <w:highlight w:val="none"/>
        </w:rPr>
        <w:t xml:space="preserve">本合同经甲乙双方法定代表人或授权代表人签字加盖公章后即生效，生效后须进行网上备案。</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十五、合同的解除和转让：</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（一）除《政府采购法》第49条、第50条规定的情形及本合同约定的情形外，本合同签订后，甲乙双方不得擅自变更、中止或终止本合同。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（二）有下列情形之一，合同一方可以解除合同：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1、因不可抗力致使不能实现合同目的，未受不可抗力影响的一方有权解除合同；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2、</w:t>
      </w:r>
      <w:r>
        <w:rPr>
          <w:rFonts w:hint="eastAsia" w:asciiTheme="minorEastAsia" w:hAnsiTheme="minorEastAsia" w:eastAsiaTheme="minorEastAsia" w:cstheme="minorEastAsia"/>
          <w:sz w:val="21"/>
          <w:szCs w:val="21"/>
          <w:highlight w:val="none"/>
        </w:rPr>
        <w:t xml:space="preserve">乙方存在违反本合同第十一条之情形的，甲方有权解除合同。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3、因合同一方违约导致合同不能履行，另一方有权解除合同。</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（三）有权解除合同的一方，应当在违约事实或不可抗力发生之后一年内书面通知对方提出解除合同，合同在书面通知到达对方时解除。</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（四）合同的部分和全部都不得转让。</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十六、其它：</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（一）乙方除应做好服务人员的安全教育外，还应为服务人员提供必要的劳动保护条件，一切安全责任事故均由乙方负责；</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（二）本合同未尽之处双方协商解决；如协商不成，双方同意由一方向甲方所在地人民法院提起诉讼。</w:t>
      </w:r>
      <w:bookmarkStart w:id="154" w:name="OLE_LINK263"/>
      <w:r/>
      <w:bookmarkStart w:id="155" w:name="OLE_LINK73"/>
      <w:r/>
      <w:bookmarkStart w:id="156" w:name="OLE_LINK264"/>
      <w:r/>
      <w:bookmarkStart w:id="157" w:name="OLE_LINK170"/>
      <w:r>
        <w:rPr>
          <w:rFonts w:hint="eastAsia" w:asciiTheme="minorEastAsia" w:hAnsiTheme="minorEastAsia" w:eastAsiaTheme="minorEastAsia" w:cstheme="minorEastAsia"/>
          <w:bCs/>
          <w:sz w:val="21"/>
          <w:szCs w:val="21"/>
          <w:highlight w:val="none"/>
        </w:rPr>
        <w:t xml:space="preserve">若</w:t>
      </w:r>
      <w:bookmarkStart w:id="158" w:name="OLE_LINK102"/>
      <w:r/>
      <w:bookmarkStart w:id="159" w:name="OLE_LINK103"/>
      <w:r>
        <w:rPr>
          <w:rFonts w:hint="eastAsia" w:asciiTheme="minorEastAsia" w:hAnsiTheme="minorEastAsia" w:eastAsiaTheme="minorEastAsia" w:cstheme="minorEastAsia"/>
          <w:bCs/>
          <w:sz w:val="21"/>
          <w:szCs w:val="21"/>
          <w:highlight w:val="none"/>
        </w:rPr>
        <w:t xml:space="preserve">由于乙方违约或乙方追究甲方违约不成立的而产生纠纷的，甲方为处理纠纷产生的费用由乙方承担，该费用包括但不限于保全费、诉讼费、鉴定费、律师费、差旅费等</w:t>
      </w:r>
      <w:bookmarkEnd w:id="154"/>
      <w:r/>
      <w:bookmarkEnd w:id="155"/>
      <w:r/>
      <w:bookmarkEnd w:id="156"/>
      <w:r/>
      <w:bookmarkEnd w:id="157"/>
      <w:r/>
      <w:bookmarkEnd w:id="158"/>
      <w:r/>
      <w:bookmarkEnd w:id="159"/>
      <w:r>
        <w:rPr>
          <w:rFonts w:hint="eastAsia" w:asciiTheme="minorEastAsia" w:hAnsiTheme="minorEastAsia" w:eastAsiaTheme="minorEastAsia" w:cstheme="minorEastAsia"/>
          <w:bCs/>
          <w:sz w:val="21"/>
          <w:szCs w:val="21"/>
          <w:highlight w:val="none"/>
        </w:rPr>
        <w:t xml:space="preserve">。</w:t>
      </w:r>
      <w:r/>
    </w:p>
    <w:p>
      <w:pPr>
        <w:ind w:left="0" w:firstLine="422"/>
        <w:spacing w:line="360" w:lineRule="auto"/>
        <w:widowControl w:val="off"/>
        <w:rPr>
          <w:rFonts w:hint="eastAsia" w:asciiTheme="minorEastAsia" w:hAnsiTheme="minorEastAsia" w:eastAsiaTheme="minorEastAsia" w:cstheme="minorEastAsia"/>
          <w:b/>
          <w:bCs/>
          <w:sz w:val="21"/>
          <w:szCs w:val="21"/>
          <w:highlight w:val="none"/>
        </w:rPr>
      </w:pPr>
      <w:r>
        <w:rPr>
          <w:rFonts w:hint="eastAsia" w:asciiTheme="minorEastAsia" w:hAnsiTheme="minorEastAsia" w:eastAsiaTheme="minorEastAsia" w:cstheme="minorEastAsia"/>
          <w:b/>
          <w:bCs/>
          <w:sz w:val="21"/>
          <w:szCs w:val="21"/>
          <w:highlight w:val="none"/>
        </w:rPr>
        <w:t xml:space="preserve">十七、附则：</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（一）合同份数：本合同一式【陆】份，甲方【肆】份，乙方【贰】份，各份均具有同等法律效力。</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（二）未尽事宜：本合同未尽事宜应按《中华人民共和国民法典》《中华人民共和国政府采购法》以及其他相关法律、法规之规定解释。</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三）在本合同履行过程中，双方一切联系均以书面通知为准。合同首部所载明的双方地址为甲乙双方所认可的相关文件、法律文书送达地址，任何一方如更换通信地址应提前【3】日书面通知另一方，未通知的自行承担送达不能的不利后果。</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（以下无正文）</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甲方：                           乙方：</w:t>
      </w:r>
      <w:r/>
    </w:p>
    <w:p>
      <w:pPr>
        <w:ind w:left="0" w:firstLine="420"/>
        <w:spacing w:line="360" w:lineRule="auto"/>
        <w:widowControl w:val="off"/>
        <w:rPr>
          <w:rFonts w:hint="eastAsia" w:asciiTheme="minorEastAsia" w:hAnsiTheme="minorEastAsia" w:eastAsiaTheme="minorEastAsia" w:cstheme="minorEastAsia"/>
          <w:bCs/>
          <w:sz w:val="21"/>
          <w:szCs w:val="21"/>
          <w:highlight w:val="none"/>
        </w:rPr>
      </w:pPr>
      <w:r>
        <w:rPr>
          <w:rFonts w:hint="eastAsia" w:asciiTheme="minorEastAsia" w:hAnsiTheme="minorEastAsia" w:eastAsiaTheme="minorEastAsia" w:cstheme="minorEastAsia"/>
          <w:bCs/>
          <w:sz w:val="21"/>
          <w:szCs w:val="21"/>
          <w:highlight w:val="none"/>
        </w:rPr>
        <w:t xml:space="preserve">法定（授权）代表人：             法定（授权）代表人：</w:t>
      </w:r>
      <w:r/>
    </w:p>
    <w:p>
      <w:pPr>
        <w:pStyle w:val="900"/>
        <w:ind w:left="400" w:firstLine="480"/>
        <w:rPr>
          <w:rFonts w:ascii="宋体" w:hAnsi="宋体"/>
          <w:b/>
          <w:sz w:val="44"/>
          <w:szCs w:val="22"/>
          <w:highlight w:val="none"/>
        </w:rPr>
      </w:pPr>
      <w:r>
        <w:rPr>
          <w:rFonts w:hint="eastAsia" w:asciiTheme="minorEastAsia" w:hAnsiTheme="minorEastAsia" w:eastAsiaTheme="minorEastAsia" w:cstheme="minorEastAsia"/>
          <w:bCs/>
          <w:sz w:val="21"/>
          <w:szCs w:val="21"/>
          <w:highlight w:val="none"/>
        </w:rPr>
        <w:t xml:space="preserve">    日期：                           日期：</w:t>
      </w:r>
      <w:r>
        <w:rPr>
          <w:rFonts w:hint="eastAsia" w:ascii="宋体" w:hAnsi="宋体"/>
          <w:b/>
          <w:sz w:val="44"/>
          <w:szCs w:val="22"/>
          <w:highlight w:val="none"/>
        </w:rPr>
        <w:br w:type="page" w:clear="all"/>
      </w:r>
      <w:r/>
    </w:p>
    <w:p>
      <w:pPr>
        <w:pStyle w:val="842"/>
        <w:ind w:left="0" w:firstLine="0"/>
        <w:jc w:val="center"/>
        <w:rPr>
          <w:rFonts w:ascii="宋体" w:hAnsi="宋体"/>
          <w:b/>
          <w:sz w:val="44"/>
          <w:szCs w:val="22"/>
          <w:highlight w:val="none"/>
        </w:rPr>
      </w:pPr>
      <w:r/>
      <w:bookmarkStart w:id="160" w:name="_Toc4590"/>
      <w:r>
        <w:rPr>
          <w:rFonts w:hint="eastAsia" w:ascii="宋体" w:hAnsi="宋体"/>
          <w:b/>
          <w:sz w:val="44"/>
          <w:szCs w:val="22"/>
          <w:highlight w:val="none"/>
        </w:rPr>
        <w:t xml:space="preserve">第六章  </w:t>
      </w:r>
      <w:bookmarkStart w:id="161" w:name="评分要点"/>
      <w:r/>
      <w:bookmarkEnd w:id="161"/>
      <w:r>
        <w:rPr>
          <w:rFonts w:hint="eastAsia" w:ascii="宋体" w:hAnsi="宋体"/>
          <w:b/>
          <w:sz w:val="44"/>
          <w:szCs w:val="22"/>
          <w:highlight w:val="none"/>
        </w:rPr>
        <w:t xml:space="preserve">评标办法和评分标准</w:t>
      </w:r>
      <w:bookmarkEnd w:id="122"/>
      <w:r/>
      <w:bookmarkEnd w:id="123"/>
      <w:r/>
      <w:bookmarkEnd w:id="124"/>
      <w:r/>
      <w:bookmarkEnd w:id="160"/>
      <w:r/>
      <w:r/>
    </w:p>
    <w:p>
      <w:pPr>
        <w:ind w:left="0" w:firstLine="422"/>
        <w:spacing w:line="360" w:lineRule="auto"/>
        <w:rPr>
          <w:rFonts w:ascii="宋体" w:hAnsi="宋体"/>
          <w:b/>
          <w:sz w:val="21"/>
          <w:szCs w:val="21"/>
          <w:highlight w:val="none"/>
        </w:rPr>
      </w:pPr>
      <w:r/>
      <w:bookmarkStart w:id="162" w:name="_Toc16264"/>
      <w:r/>
      <w:bookmarkStart w:id="163" w:name="_Toc698"/>
      <w:r/>
      <w:bookmarkStart w:id="164" w:name="_Toc17476"/>
      <w:r>
        <w:rPr>
          <w:rFonts w:hint="eastAsia" w:ascii="宋体" w:hAnsi="宋体"/>
          <w:b/>
          <w:sz w:val="21"/>
          <w:szCs w:val="21"/>
          <w:highlight w:val="none"/>
        </w:rPr>
        <w:t xml:space="preserve">一、评标办法：</w:t>
      </w:r>
      <w:bookmarkEnd w:id="162"/>
      <w:r/>
      <w:bookmarkEnd w:id="163"/>
      <w:r/>
      <w:bookmarkEnd w:id="164"/>
      <w:r/>
      <w:r/>
    </w:p>
    <w:p>
      <w:pPr>
        <w:ind w:left="0" w:firstLine="420"/>
        <w:spacing w:line="360" w:lineRule="auto"/>
        <w:rPr>
          <w:rFonts w:ascii="宋体" w:hAnsi="宋体"/>
          <w:sz w:val="21"/>
          <w:highlight w:val="none"/>
        </w:rPr>
      </w:pPr>
      <w:r>
        <w:rPr>
          <w:rFonts w:hint="eastAsia" w:ascii="宋体" w:hAnsi="宋体"/>
          <w:sz w:val="21"/>
          <w:highlight w:val="none"/>
        </w:rPr>
        <w:t xml:space="preserve">1.评标办法采用</w:t>
      </w:r>
      <w:r>
        <w:rPr>
          <w:rFonts w:hint="eastAsia" w:ascii="宋体" w:hAnsi="宋体"/>
          <w:b/>
          <w:sz w:val="21"/>
          <w:highlight w:val="none"/>
        </w:rPr>
        <w:t xml:space="preserve">综合评分法</w:t>
      </w:r>
      <w:r>
        <w:rPr>
          <w:rFonts w:hint="eastAsia" w:ascii="宋体" w:hAnsi="宋体"/>
          <w:sz w:val="21"/>
          <w:highlight w:val="none"/>
        </w:rPr>
        <w:t xml:space="preserve">。评标结果按评审后得分由高到低顺序排列。得分相同的，按投标报价由低到高顺序排列。得分且投标报价相同的并列，</w:t>
      </w:r>
      <w:r>
        <w:rPr>
          <w:rFonts w:hint="eastAsia" w:ascii="宋体" w:hAnsi="宋体"/>
          <w:sz w:val="21"/>
          <w:szCs w:val="21"/>
          <w:highlight w:val="none"/>
        </w:rPr>
        <w:t xml:space="preserve">则由</w:t>
      </w:r>
      <w:r>
        <w:rPr>
          <w:rFonts w:hint="eastAsia" w:ascii="宋体" w:hAnsi="宋体"/>
          <w:sz w:val="21"/>
          <w:highlight w:val="none"/>
        </w:rPr>
        <w:t xml:space="preserve">评标委员会</w:t>
      </w:r>
      <w:r>
        <w:rPr>
          <w:rFonts w:hint="eastAsia" w:ascii="宋体" w:hAnsi="宋体"/>
          <w:sz w:val="21"/>
          <w:szCs w:val="21"/>
          <w:highlight w:val="none"/>
        </w:rPr>
        <w:t xml:space="preserve">组织抽签确定中标人。</w:t>
      </w:r>
      <w:r>
        <w:rPr>
          <w:rFonts w:hint="eastAsia" w:ascii="宋体" w:hAnsi="宋体"/>
          <w:sz w:val="21"/>
          <w:highlight w:val="none"/>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highlight w:val="none"/>
        </w:rPr>
      </w:pPr>
      <w:r>
        <w:rPr>
          <w:rFonts w:hint="eastAsia" w:ascii="宋体" w:hAnsi="宋体"/>
          <w:sz w:val="21"/>
          <w:highlight w:val="none"/>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4.针对中小型企业、残疾人福利企业和监狱企业的评审：</w:t>
      </w:r>
      <w:r/>
    </w:p>
    <w:p>
      <w:pPr>
        <w:ind w:left="0" w:firstLine="420"/>
        <w:spacing w:line="360" w:lineRule="auto"/>
        <w:rPr>
          <w:rFonts w:ascii="宋体" w:hAnsi="宋体"/>
          <w:sz w:val="21"/>
          <w:highlight w:val="none"/>
        </w:rPr>
      </w:pPr>
      <w:r>
        <w:rPr>
          <w:rFonts w:hint="eastAsia" w:ascii="宋体" w:hAnsi="宋体"/>
          <w:sz w:val="21"/>
          <w:highlight w:val="none"/>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highlight w:val="none"/>
        </w:rPr>
        <w:t xml:space="preserve">&gt;</w:t>
      </w:r>
      <w:r>
        <w:rPr>
          <w:rFonts w:hint="eastAsia" w:ascii="宋体" w:hAnsi="宋体"/>
          <w:sz w:val="21"/>
          <w:highlight w:val="none"/>
        </w:rPr>
        <w:t xml:space="preserve">的通知》（苏财购〔202</w:t>
      </w:r>
      <w:r>
        <w:rPr>
          <w:rFonts w:ascii="宋体" w:hAnsi="宋体"/>
          <w:sz w:val="21"/>
          <w:highlight w:val="none"/>
        </w:rPr>
        <w:t xml:space="preserve">2</w:t>
      </w:r>
      <w:r>
        <w:rPr>
          <w:rFonts w:hint="eastAsia" w:ascii="宋体" w:hAnsi="宋体"/>
          <w:sz w:val="21"/>
          <w:highlight w:val="none"/>
        </w:rPr>
        <w:t xml:space="preserve">〕</w:t>
      </w:r>
      <w:r>
        <w:rPr>
          <w:rFonts w:ascii="宋体" w:hAnsi="宋体"/>
          <w:sz w:val="21"/>
          <w:highlight w:val="none"/>
        </w:rPr>
        <w:t xml:space="preserve">16</w:t>
      </w:r>
      <w:r>
        <w:rPr>
          <w:rFonts w:hint="eastAsia" w:ascii="宋体" w:hAnsi="宋体"/>
          <w:sz w:val="21"/>
          <w:highlight w:val="none"/>
        </w:rPr>
        <w:t xml:space="preserve">号）的有关规定，</w:t>
      </w:r>
      <w:r>
        <w:rPr>
          <w:rFonts w:hint="eastAsia" w:ascii="宋体" w:hAnsi="宋体"/>
          <w:b/>
          <w:bCs/>
          <w:sz w:val="21"/>
          <w:highlight w:val="none"/>
        </w:rPr>
        <w:t xml:space="preserve">本项目为专门面向中小企业采购的项目，不再执行价格评审优惠的扶持政策。</w:t>
      </w:r>
      <w:r/>
    </w:p>
    <w:p>
      <w:pPr>
        <w:ind w:left="0" w:firstLine="420"/>
        <w:spacing w:line="360" w:lineRule="auto"/>
        <w:rPr>
          <w:rFonts w:ascii="宋体" w:hAnsi="宋体"/>
          <w:sz w:val="21"/>
          <w:highlight w:val="none"/>
        </w:rPr>
      </w:pPr>
      <w:r>
        <w:rPr>
          <w:rFonts w:hint="eastAsia" w:ascii="宋体" w:hAnsi="宋体"/>
          <w:sz w:val="21"/>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highlight w:val="none"/>
        </w:rPr>
        <w:t xml:space="preserve">服务类项目中供应商若使用退休人员，将不享受中小企业扶持政策。</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注：</w:t>
      </w:r>
      <w:r/>
    </w:p>
    <w:p>
      <w:pPr>
        <w:ind w:left="0" w:firstLine="420"/>
        <w:spacing w:line="360" w:lineRule="auto"/>
        <w:rPr>
          <w:rFonts w:ascii="宋体" w:hAnsi="宋体"/>
          <w:b/>
          <w:sz w:val="21"/>
          <w:szCs w:val="21"/>
          <w:highlight w:val="none"/>
        </w:rPr>
      </w:pPr>
      <w:r>
        <w:rPr>
          <w:rFonts w:hint="eastAsia" w:ascii="宋体" w:hAnsi="宋体"/>
          <w:sz w:val="21"/>
          <w:highlight w:val="none"/>
        </w:rPr>
        <w:t xml:space="preserve">①填报“中小企业声明函”需严格按“工信部联企业〔2011〕300号通知中的《中小企业划型标准规定》进行。</w:t>
      </w:r>
      <w:r/>
    </w:p>
    <w:p>
      <w:pPr>
        <w:ind w:left="0" w:firstLine="420"/>
        <w:spacing w:line="360" w:lineRule="auto"/>
        <w:rPr>
          <w:rFonts w:ascii="宋体" w:hAnsi="宋体"/>
          <w:sz w:val="21"/>
          <w:highlight w:val="none"/>
        </w:rPr>
      </w:pPr>
      <w:r>
        <w:rPr>
          <w:rFonts w:hint="eastAsia" w:ascii="宋体" w:hAnsi="宋体"/>
          <w:sz w:val="21"/>
          <w:highlight w:val="none"/>
        </w:rPr>
        <w:t xml:space="preserve">②若供应商提供的声明函或认定证明为虚假材料，按“政府采购法”相关规定处理并报请政府监管部门给予行政处罚。</w:t>
      </w:r>
      <w:r/>
    </w:p>
    <w:p>
      <w:pPr>
        <w:pStyle w:val="853"/>
        <w:rPr>
          <w:highlight w:val="none"/>
        </w:rPr>
      </w:pPr>
      <w:r>
        <w:rPr>
          <w:highlight w:val="none"/>
        </w:rPr>
      </w:r>
      <w:r/>
    </w:p>
    <w:p>
      <w:pPr>
        <w:pStyle w:val="859"/>
        <w:rPr>
          <w:rFonts w:ascii="宋体" w:hAnsi="宋体" w:cs="Times New Roman"/>
          <w:highlight w:val="none"/>
        </w:rPr>
      </w:pPr>
      <w:r>
        <w:rPr>
          <w:rFonts w:ascii="宋体" w:hAnsi="宋体" w:cs="Times New Roman"/>
          <w:highlight w:val="none"/>
        </w:rPr>
      </w:r>
      <w:r/>
    </w:p>
    <w:p>
      <w:pPr>
        <w:ind w:left="0" w:firstLine="422"/>
        <w:spacing w:line="360" w:lineRule="auto"/>
        <w:rPr>
          <w:rFonts w:hint="eastAsia" w:ascii="宋体" w:hAnsi="宋体" w:cs="Times New Roman"/>
          <w:b/>
          <w:sz w:val="21"/>
          <w:szCs w:val="21"/>
          <w:highlight w:val="none"/>
        </w:rPr>
      </w:pPr>
      <w:r>
        <w:rPr>
          <w:rFonts w:hint="eastAsia" w:ascii="宋体" w:hAnsi="宋体" w:cs="Times New Roman"/>
          <w:b/>
          <w:sz w:val="21"/>
          <w:szCs w:val="21"/>
          <w:highlight w:val="none"/>
        </w:rPr>
      </w:r>
      <w:r/>
    </w:p>
    <w:p>
      <w:pPr>
        <w:ind w:left="0" w:firstLine="422"/>
        <w:spacing w:line="360" w:lineRule="auto"/>
        <w:rPr>
          <w:rFonts w:ascii="宋体" w:hAnsi="宋体"/>
          <w:b/>
          <w:sz w:val="21"/>
          <w:szCs w:val="21"/>
          <w:highlight w:val="none"/>
        </w:rPr>
      </w:pPr>
      <w:r>
        <w:rPr>
          <w:rFonts w:hint="eastAsia" w:ascii="宋体" w:hAnsi="宋体" w:cs="Times New Roman"/>
          <w:b/>
          <w:sz w:val="21"/>
          <w:szCs w:val="21"/>
          <w:highlight w:val="none"/>
        </w:rPr>
        <w:t xml:space="preserve">二、评分标准：</w:t>
      </w:r>
      <w:r/>
    </w:p>
    <w:tbl>
      <w:tblPr>
        <w:tblStyle w:val="852"/>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价格部分</w:t>
            </w:r>
            <w:r/>
          </w:p>
          <w:p>
            <w:pPr>
              <w:ind w:left="0"/>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30</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highlight w:val="none"/>
              </w:rPr>
            </w:pPr>
            <w:r>
              <w:rPr>
                <w:rFonts w:hint="eastAsia" w:ascii="宋体" w:hAnsi="宋体" w:cs="Tahoma"/>
                <w:bCs/>
                <w:color w:val="000000"/>
                <w:sz w:val="21"/>
                <w:szCs w:val="21"/>
                <w:highlight w:val="none"/>
              </w:rPr>
              <w:t xml:space="preserve">投标报价</w:t>
            </w:r>
            <w:r/>
          </w:p>
        </w:tc>
        <w:tc>
          <w:tcPr>
            <w:tcW w:w="4678" w:type="dxa"/>
            <w:vAlign w:val="center"/>
            <w:textDirection w:val="lrTb"/>
            <w:noWrap w:val="false"/>
          </w:tcPr>
          <w:p>
            <w:pPr>
              <w:ind w:left="0"/>
              <w:widowControl w:val="off"/>
              <w:rPr>
                <w:rFonts w:ascii="宋体" w:hAnsi="宋体"/>
                <w:sz w:val="21"/>
                <w:highlight w:val="none"/>
              </w:rPr>
            </w:pPr>
            <w:r>
              <w:rPr>
                <w:rFonts w:hint="eastAsia" w:ascii="宋体" w:hAnsi="宋体"/>
                <w:sz w:val="21"/>
                <w:highlight w:val="none"/>
              </w:rPr>
              <w:t xml:space="preserve">1、</w:t>
            </w:r>
            <w:r>
              <w:rPr>
                <w:rFonts w:hint="eastAsia" w:ascii="宋体" w:hAnsi="宋体" w:cs="Times New Roman"/>
                <w:sz w:val="21"/>
                <w:szCs w:val="21"/>
                <w:highlight w:val="none"/>
                <w:lang w:eastAsia="zh-CN"/>
              </w:rPr>
              <w:t xml:space="preserve">本次报价报的是优惠率，不报总价，优惠率是指</w:t>
            </w:r>
            <w:r>
              <w:rPr>
                <w:rFonts w:hint="eastAsia" w:ascii="宋体" w:hAnsi="宋体" w:cs="Times New Roman"/>
                <w:sz w:val="21"/>
                <w:szCs w:val="21"/>
                <w:highlight w:val="none"/>
                <w:lang w:val="en-US" w:eastAsia="zh-CN"/>
              </w:rPr>
              <w:t xml:space="preserve">供应商对</w:t>
            </w:r>
            <w:r>
              <w:rPr>
                <w:rFonts w:hint="eastAsia" w:ascii="宋体" w:hAnsi="宋体"/>
                <w:sz w:val="21"/>
                <w:szCs w:val="21"/>
                <w:highlight w:val="none"/>
                <w:lang w:val="en-US" w:eastAsia="zh-CN"/>
              </w:rPr>
              <w:t xml:space="preserve">附件</w:t>
            </w:r>
            <w:r>
              <w:rPr>
                <w:rFonts w:hint="eastAsia" w:ascii="宋体" w:hAnsi="宋体"/>
                <w:sz w:val="21"/>
                <w:szCs w:val="21"/>
                <w:highlight w:val="none"/>
                <w:lang w:val="zh-CN"/>
              </w:rPr>
              <w:t xml:space="preserve">的清单中单价（限价）进行整体的优惠率报价</w:t>
            </w:r>
            <w:r>
              <w:rPr>
                <w:rFonts w:hint="eastAsia" w:ascii="宋体" w:hAnsi="宋体" w:cs="Times New Roman"/>
                <w:sz w:val="21"/>
                <w:szCs w:val="21"/>
                <w:highlight w:val="none"/>
                <w:lang w:eastAsia="zh-CN"/>
              </w:rPr>
              <w:t xml:space="preserve">，</w:t>
            </w:r>
            <w:r>
              <w:rPr>
                <w:rFonts w:hint="eastAsia" w:ascii="宋体" w:hAnsi="宋体"/>
                <w:sz w:val="21"/>
                <w:szCs w:val="21"/>
                <w:highlight w:val="none"/>
                <w:lang w:val="zh-CN"/>
              </w:rPr>
              <w:t xml:space="preserve">整体的优惠率即为各项产品单价（限价）的优惠率</w:t>
            </w:r>
            <w:r>
              <w:rPr>
                <w:rFonts w:hint="eastAsia" w:ascii="宋体" w:hAnsi="宋体" w:cs="Times New Roman"/>
                <w:sz w:val="21"/>
                <w:szCs w:val="21"/>
                <w:highlight w:val="none"/>
                <w:lang w:eastAsia="zh-CN"/>
              </w:rPr>
              <w:t xml:space="preserve">，本项目最高优惠率为99%，所报优惠率不能高于99%，投标优惠率≥0，步长为1%。（优惠率释义：例如单价（限价）为100元，投标人如以98元的价格提供服务，则优惠率为2％；步长为1%释义：例如所投优惠率为1%、2%、3%……19%、20%等整数的优惠率，不能为1.1%、2.54%等带小数的优惠率）</w:t>
            </w:r>
            <w:r>
              <w:rPr>
                <w:rFonts w:hint="eastAsia" w:ascii="宋体" w:hAnsi="宋体"/>
                <w:sz w:val="21"/>
                <w:highlight w:val="none"/>
              </w:rPr>
              <w:t xml:space="preserve">；</w:t>
            </w:r>
            <w:r/>
          </w:p>
          <w:p>
            <w:pPr>
              <w:ind w:left="0"/>
              <w:widowControl w:val="off"/>
              <w:rPr>
                <w:rFonts w:ascii="宋体" w:hAnsi="宋体"/>
                <w:sz w:val="21"/>
                <w:highlight w:val="none"/>
              </w:rPr>
            </w:pPr>
            <w:r>
              <w:rPr>
                <w:rFonts w:hint="eastAsia" w:ascii="宋体" w:hAnsi="宋体"/>
                <w:sz w:val="21"/>
                <w:highlight w:val="none"/>
              </w:rPr>
              <w:t xml:space="preserve">2、价格分采用低价优先法计算，根据各投标人通过符合性审查的有效投标优惠率中的最高优惠率作为最高优惠率评审价，其价格分为满分40分。例如各投标人的投标优惠率分别为40%、30%、20%、10%，以上数字中，40%为最高优惠率评审价，报价分为满分。</w:t>
            </w:r>
            <w:r/>
          </w:p>
          <w:p>
            <w:pPr>
              <w:ind w:left="0"/>
              <w:widowControl w:val="off"/>
              <w:rPr>
                <w:rFonts w:ascii="宋体" w:hAnsi="宋体"/>
                <w:sz w:val="21"/>
                <w:highlight w:val="none"/>
              </w:rPr>
            </w:pPr>
            <w:r>
              <w:rPr>
                <w:rFonts w:hint="eastAsia" w:ascii="宋体" w:hAnsi="宋体"/>
                <w:sz w:val="21"/>
                <w:highlight w:val="none"/>
              </w:rPr>
              <w:t xml:space="preserve">价格分计算公式：价格得分=（1-最高优惠率评审价）/（1-优惠率评审价）×30；</w:t>
            </w:r>
            <w:r/>
          </w:p>
          <w:p>
            <w:pPr>
              <w:ind w:left="0"/>
              <w:widowControl w:val="off"/>
              <w:rPr>
                <w:rFonts w:ascii="宋体" w:hAnsi="宋体"/>
                <w:sz w:val="21"/>
                <w:highlight w:val="none"/>
              </w:rPr>
            </w:pPr>
            <w:r>
              <w:rPr>
                <w:rFonts w:hint="eastAsia" w:ascii="宋体" w:hAnsi="宋体"/>
                <w:b/>
                <w:bCs/>
                <w:sz w:val="21"/>
                <w:highlight w:val="none"/>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color w:val="000000"/>
                <w:sz w:val="21"/>
                <w:szCs w:val="21"/>
                <w:highlight w:val="none"/>
              </w:rPr>
            </w:pPr>
            <w:r>
              <w:rPr>
                <w:rFonts w:hint="eastAsia" w:ascii="宋体" w:hAnsi="宋体"/>
                <w:color w:val="000000"/>
                <w:sz w:val="21"/>
                <w:szCs w:val="21"/>
                <w:highlight w:val="none"/>
                <w:lang w:bidi="ar"/>
              </w:rPr>
              <w:t xml:space="preserve">30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highlight w:val="none"/>
              </w:rPr>
            </w:pPr>
            <w:r>
              <w:rPr>
                <w:rFonts w:hint="eastAsia" w:ascii="宋体" w:hAnsi="宋体" w:cs="Tahoma"/>
                <w:b/>
                <w:color w:val="000000"/>
                <w:sz w:val="21"/>
                <w:szCs w:val="21"/>
                <w:highlight w:val="none"/>
              </w:rPr>
              <w:t xml:space="preserve">技术及商务部分</w:t>
            </w:r>
            <w:r/>
          </w:p>
          <w:p>
            <w:pPr>
              <w:ind w:left="0"/>
              <w:spacing w:line="360" w:lineRule="auto"/>
              <w:widowControl w:val="off"/>
              <w:rPr>
                <w:rFonts w:ascii="宋体" w:hAnsi="宋体" w:cs="Tahoma"/>
                <w:b/>
                <w:bCs/>
                <w:color w:val="000000"/>
                <w:sz w:val="21"/>
                <w:szCs w:val="21"/>
                <w:highlight w:val="none"/>
              </w:rPr>
            </w:pPr>
            <w:r>
              <w:rPr>
                <w:rFonts w:hint="eastAsia" w:ascii="宋体" w:hAnsi="宋体" w:cs="Tahoma"/>
                <w:b/>
                <w:color w:val="000000"/>
                <w:sz w:val="21"/>
                <w:szCs w:val="21"/>
                <w:highlight w:val="none"/>
              </w:rPr>
              <w:t xml:space="preserve">（</w:t>
            </w:r>
            <w:r>
              <w:rPr>
                <w:rFonts w:ascii="宋体" w:hAnsi="宋体" w:cs="Tahoma"/>
                <w:b/>
                <w:color w:val="000000"/>
                <w:sz w:val="21"/>
                <w:szCs w:val="21"/>
                <w:highlight w:val="none"/>
              </w:rPr>
              <w:t xml:space="preserve">70</w:t>
            </w:r>
            <w:r>
              <w:rPr>
                <w:rFonts w:hint="eastAsia" w:ascii="宋体" w:hAnsi="宋体" w:cs="Tahoma"/>
                <w:b/>
                <w:color w:val="000000"/>
                <w:sz w:val="21"/>
                <w:szCs w:val="21"/>
                <w:highlight w:val="none"/>
              </w:rPr>
              <w:t xml:space="preserve">分）</w:t>
            </w:r>
            <w:r/>
          </w:p>
        </w:tc>
        <w:tc>
          <w:tcPr>
            <w:tcW w:w="1417" w:type="dxa"/>
            <w:vAlign w:val="center"/>
            <w:textDirection w:val="lrTb"/>
            <w:noWrap w:val="false"/>
          </w:tcPr>
          <w:p>
            <w:pPr>
              <w:ind w:left="0"/>
              <w:jc w:val="center"/>
              <w:rPr>
                <w:rFonts w:ascii="宋体" w:hAnsi="宋体" w:cs="Tahoma"/>
                <w:color w:val="000000"/>
                <w:sz w:val="21"/>
                <w:szCs w:val="21"/>
                <w:highlight w:val="none"/>
              </w:rPr>
            </w:pPr>
            <w:r>
              <w:rPr>
                <w:rFonts w:hint="eastAsia" w:ascii="宋体" w:hAnsi="宋体" w:cs="Tahoma"/>
                <w:color w:val="000000"/>
                <w:sz w:val="21"/>
                <w:szCs w:val="21"/>
                <w:highlight w:val="none"/>
              </w:rPr>
              <w:t xml:space="preserve">维护方案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主要是指为交通运行服务提供相关的维护保养方案，包括</w:t>
            </w:r>
            <w:r/>
          </w:p>
          <w:p>
            <w:pPr>
              <w:numPr>
                <w:ilvl w:val="0"/>
                <w:numId w:val="2"/>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日常维护；</w:t>
            </w:r>
            <w:r/>
          </w:p>
          <w:p>
            <w:pPr>
              <w:numPr>
                <w:ilvl w:val="0"/>
                <w:numId w:val="2"/>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应急抢修；</w:t>
            </w:r>
            <w:r/>
          </w:p>
          <w:p>
            <w:pPr>
              <w:numPr>
                <w:ilvl w:val="0"/>
                <w:numId w:val="2"/>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应急任务临时措施；</w:t>
            </w:r>
            <w:r/>
          </w:p>
          <w:p>
            <w:pPr>
              <w:numPr>
                <w:ilvl w:val="0"/>
                <w:numId w:val="2"/>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日常巡检；</w:t>
            </w:r>
            <w:r/>
          </w:p>
          <w:p>
            <w:pPr>
              <w:numPr>
                <w:ilvl w:val="0"/>
                <w:numId w:val="2"/>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人员及车辆配置情况；</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（6）对接保障制度等内容。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1分；方案合理性较弱、可行性有所欠缺、操作性欠缺、与项目实际贴合度不高的得0.5分；每项叙述内容完全脱离采购需求或未作完整叙述的不得分。</w:t>
            </w:r>
            <w:r/>
          </w:p>
        </w:tc>
        <w:tc>
          <w:tcPr>
            <w:tcW w:w="2410" w:type="dxa"/>
            <w:vAlign w:val="center"/>
            <w:textDirection w:val="lrTb"/>
            <w:noWrap w:val="false"/>
          </w:tcPr>
          <w:p>
            <w:pPr>
              <w:ind w:left="0"/>
              <w:jc w:val="center"/>
              <w:rPr>
                <w:rFonts w:ascii="宋体" w:hAnsi="宋体"/>
                <w:sz w:val="21"/>
                <w:szCs w:val="21"/>
                <w:highlight w:val="none"/>
              </w:rPr>
            </w:pPr>
            <w:r>
              <w:rPr>
                <w:rFonts w:ascii="宋体" w:hAnsi="宋体"/>
                <w:sz w:val="21"/>
                <w:szCs w:val="21"/>
                <w:highlight w:val="none"/>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事故处理抢修方案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主要是指交通事故应急抢修处理方案，包括接到（1）通知后的响应时间；</w:t>
            </w:r>
            <w:r/>
          </w:p>
          <w:p>
            <w:pPr>
              <w:numPr>
                <w:ilvl w:val="0"/>
                <w:numId w:val="3"/>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处理流程；</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（3）人员安排等内容。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安全管理方案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主要是指安全管理措施及应急预案，包括</w:t>
            </w:r>
            <w:r/>
          </w:p>
          <w:p>
            <w:pPr>
              <w:numPr>
                <w:ilvl w:val="0"/>
                <w:numId w:val="4"/>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维护作业安全责任体系方案；</w:t>
            </w:r>
            <w:r/>
          </w:p>
          <w:p>
            <w:pPr>
              <w:numPr>
                <w:ilvl w:val="0"/>
                <w:numId w:val="4"/>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日常维护作业安全防护措施及秩序管理方案；</w:t>
            </w:r>
            <w:r/>
          </w:p>
          <w:p>
            <w:pPr>
              <w:numPr>
                <w:ilvl w:val="0"/>
                <w:numId w:val="4"/>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恶劣天气等应急预案；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（4）事故现场交通组织方案等内容。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维护期间的设备使用计划</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主要是指设备全流程使用计划，包括</w:t>
            </w:r>
            <w:r/>
          </w:p>
          <w:p>
            <w:pPr>
              <w:numPr>
                <w:ilvl w:val="0"/>
                <w:numId w:val="5"/>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设备配置与调度计划；</w:t>
            </w:r>
            <w:r/>
          </w:p>
          <w:p>
            <w:pPr>
              <w:numPr>
                <w:ilvl w:val="0"/>
                <w:numId w:val="5"/>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设备保养及故障处置方案；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（3）设备操作与安全管理方案等内容。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color w:val="000000"/>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维护期间的重点难点分析</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主要是针对维护工作重点难点制定科学应对措施，包括：</w:t>
            </w:r>
            <w:r/>
          </w:p>
          <w:p>
            <w:pPr>
              <w:numPr>
                <w:ilvl w:val="0"/>
                <w:numId w:val="6"/>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高峰期施工时间与进度管控；</w:t>
            </w:r>
            <w:r/>
          </w:p>
          <w:p>
            <w:pPr>
              <w:numPr>
                <w:ilvl w:val="0"/>
                <w:numId w:val="6"/>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多点位分散作业人员与设备统筹调度；</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（3）高强度施工作业安全管控等内容。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维护期间与其他单位、部门的综合协调方案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主要是与指采购人及属地管理部门联动协调机制，包括</w:t>
            </w:r>
            <w:r/>
          </w:p>
          <w:p>
            <w:pPr>
              <w:numPr>
                <w:ilvl w:val="0"/>
                <w:numId w:val="7"/>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与采购人制定事前沟通与告知机制；</w:t>
            </w:r>
            <w:r/>
          </w:p>
          <w:p>
            <w:pPr>
              <w:numPr>
                <w:ilvl w:val="0"/>
                <w:numId w:val="7"/>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现场防护协同配合机制；</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（3）突发情况跨单位应急联动处置机制等内容。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cs="Times New Roman"/>
                <w:color w:val="000000"/>
                <w:sz w:val="21"/>
                <w:szCs w:val="21"/>
                <w:highlight w:val="none"/>
              </w:rPr>
              <w:t xml:space="preserve">安全文明作业措施方案</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主要是指落实安全文明作业的具体举措，包括</w:t>
            </w:r>
            <w:r/>
          </w:p>
          <w:p>
            <w:pPr>
              <w:numPr>
                <w:ilvl w:val="0"/>
                <w:numId w:val="8"/>
              </w:num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管理人员和现场维护人员的行为安全管理及职业健康管理方案；</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(2)设施及车辆安全管理制度，包含维护车辆、临时安全设施、个人防护用品等使用和管理方案；（3）安全文明施工教育及培训方案等内容。</w:t>
            </w:r>
            <w:r/>
          </w:p>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上述每项应逐条叙述，方案全面合理、可行性充分、操作性充分、贴合项目实际的得2分；方案合理性较弱、可行性有所欠缺、操作性欠缺、与项目实际贴合度不高的得1分；每项叙述内容完全脱离采购需求或未作完整叙述的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s="Times New Roman"/>
                <w:color w:val="000000"/>
                <w:sz w:val="21"/>
                <w:szCs w:val="21"/>
                <w:highlight w:val="none"/>
              </w:rPr>
            </w:pPr>
            <w:r>
              <w:rPr>
                <w:rFonts w:hint="eastAsia" w:ascii="宋体" w:hAnsi="宋体"/>
                <w:b/>
                <w:bCs/>
                <w:sz w:val="21"/>
                <w:highlight w:val="none"/>
              </w:rPr>
              <w:t xml:space="preserve">▲</w:t>
            </w:r>
            <w:r>
              <w:rPr>
                <w:rFonts w:hint="eastAsia" w:ascii="宋体" w:hAnsi="宋体" w:cs="Times New Roman"/>
                <w:color w:val="000000"/>
                <w:sz w:val="21"/>
                <w:szCs w:val="21"/>
                <w:highlight w:val="none"/>
              </w:rPr>
              <w:t xml:space="preserve">项目经理</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具有与本项目工作内容相关专业的初级工程师职称的1分；具有与本项目工作内容相关专业的中级及以上工程师职称得2分。</w:t>
            </w:r>
            <w:r>
              <w:rPr>
                <w:rStyle w:val="907"/>
                <w:rFonts w:hint="eastAsia"/>
                <w:sz w:val="21"/>
                <w:szCs w:val="21"/>
                <w:highlight w:val="none"/>
              </w:rPr>
              <w:t xml:space="preserve">本项最高2分。</w:t>
            </w:r>
            <w:r/>
          </w:p>
          <w:p>
            <w:pPr>
              <w:ind w:left="0"/>
              <w:widowControl w:val="off"/>
              <w:rPr>
                <w:rFonts w:ascii="宋体" w:hAnsi="宋体"/>
                <w:color w:val="000000"/>
                <w:sz w:val="21"/>
                <w:szCs w:val="21"/>
                <w:highlight w:val="none"/>
                <w:lang w:bidi="ar"/>
              </w:rPr>
            </w:pPr>
            <w:r>
              <w:rPr>
                <w:rFonts w:hint="eastAsia" w:ascii="宋体" w:hAnsi="宋体"/>
                <w:b/>
                <w:color w:val="000000"/>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rPr>
                <w:rFonts w:ascii="宋体" w:hAnsi="宋体"/>
                <w:color w:val="000000"/>
                <w:sz w:val="21"/>
                <w:szCs w:val="21"/>
                <w:highlight w:val="none"/>
              </w:rPr>
            </w:pPr>
            <w:r>
              <w:rPr>
                <w:rFonts w:hint="eastAsia" w:ascii="宋体" w:hAnsi="宋体"/>
                <w:b/>
                <w:bCs/>
                <w:sz w:val="21"/>
                <w:highlight w:val="none"/>
              </w:rPr>
              <w:t xml:space="preserve">▲</w:t>
            </w:r>
            <w:r>
              <w:rPr>
                <w:rFonts w:hint="eastAsia" w:ascii="宋体" w:hAnsi="宋体"/>
                <w:color w:val="000000"/>
                <w:sz w:val="21"/>
                <w:szCs w:val="21"/>
                <w:highlight w:val="none"/>
              </w:rPr>
              <w:t xml:space="preserve">项目组成员（不含项目经理）</w:t>
            </w:r>
            <w:r/>
          </w:p>
        </w:tc>
        <w:tc>
          <w:tcPr>
            <w:tcW w:w="4678" w:type="dxa"/>
            <w:vAlign w:val="center"/>
            <w:textDirection w:val="lrTb"/>
            <w:noWrap w:val="false"/>
          </w:tcPr>
          <w:p>
            <w:pPr>
              <w:ind w:left="0"/>
              <w:widowControl w:val="off"/>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具有与本项目工作内容相关专业的初级工程师职称的，每有一人得1分；具有与本项目工作内容相关专业的中级及以上工程师职称的，每有一人得</w:t>
            </w:r>
            <w:r>
              <w:rPr>
                <w:rFonts w:hint="eastAsia"/>
                <w:highlight w:val="none"/>
              </w:rPr>
              <w:t xml:space="preserve">2</w:t>
            </w:r>
            <w:r>
              <w:rPr>
                <w:rFonts w:hint="eastAsia" w:ascii="宋体" w:hAnsi="宋体"/>
                <w:color w:val="000000"/>
                <w:sz w:val="21"/>
                <w:szCs w:val="21"/>
                <w:highlight w:val="none"/>
                <w:lang w:bidi="ar"/>
              </w:rPr>
              <w:t xml:space="preserve">分。本项最高得8分。</w:t>
            </w:r>
            <w:r/>
          </w:p>
          <w:p>
            <w:pPr>
              <w:ind w:left="0"/>
              <w:widowControl w:val="off"/>
              <w:rPr>
                <w:rFonts w:ascii="宋体" w:hAnsi="宋体"/>
                <w:color w:val="000000"/>
                <w:sz w:val="21"/>
                <w:szCs w:val="21"/>
                <w:highlight w:val="none"/>
                <w:lang w:bidi="ar"/>
              </w:rPr>
            </w:pPr>
            <w:r>
              <w:rPr>
                <w:rFonts w:hint="eastAsia" w:ascii="宋体" w:hAnsi="宋体"/>
                <w:b/>
                <w:color w:val="000000"/>
                <w:sz w:val="21"/>
                <w:szCs w:val="21"/>
                <w:highlight w:val="none"/>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lang w:bidi="ar"/>
              </w:rPr>
            </w:pPr>
            <w:r>
              <w:rPr>
                <w:rFonts w:hint="eastAsia" w:ascii="宋体" w:hAnsi="宋体"/>
                <w:b/>
                <w:bCs/>
                <w:sz w:val="21"/>
                <w:highlight w:val="none"/>
              </w:rPr>
              <w:t xml:space="preserve">▲</w:t>
            </w:r>
            <w:r>
              <w:rPr>
                <w:rFonts w:hint="eastAsia" w:ascii="宋体" w:hAnsi="宋体"/>
                <w:color w:val="000000"/>
                <w:sz w:val="21"/>
                <w:szCs w:val="21"/>
                <w:highlight w:val="none"/>
                <w:lang w:bidi="ar"/>
              </w:rPr>
              <w:t xml:space="preserve">维护响应时间能力</w:t>
            </w:r>
            <w:r/>
          </w:p>
        </w:tc>
        <w:tc>
          <w:tcPr>
            <w:tcW w:w="4678" w:type="dxa"/>
            <w:vAlign w:val="center"/>
            <w:textDirection w:val="lrTb"/>
            <w:noWrap w:val="false"/>
          </w:tcPr>
          <w:p>
            <w:pPr>
              <w:ind w:left="0"/>
              <w:widowControl w:val="off"/>
              <w:rPr>
                <w:rStyle w:val="907"/>
                <w:rFonts w:asciiTheme="minorEastAsia" w:hAnsiTheme="minorEastAsia" w:eastAsiaTheme="minorEastAsia" w:cstheme="minorEastAsia"/>
                <w:sz w:val="21"/>
                <w:szCs w:val="21"/>
                <w:highlight w:val="none"/>
              </w:rPr>
            </w:pPr>
            <w:r>
              <w:rPr>
                <w:rFonts w:hint="eastAsia" w:ascii="宋体" w:hAnsi="宋体"/>
                <w:bCs/>
                <w:color w:val="000000"/>
                <w:sz w:val="21"/>
                <w:szCs w:val="21"/>
                <w:highlight w:val="none"/>
                <w:lang w:bidi="ar"/>
              </w:rPr>
              <w:t xml:space="preserve">投标单位承诺自采购人报障后，30分钟内响应，1小时内到达现场，得2分；投标单位承诺自采购人报障后，15分钟内响应，30分钟内到达现场，得3分。</w:t>
            </w:r>
            <w:r>
              <w:rPr>
                <w:rStyle w:val="907"/>
                <w:rFonts w:hint="eastAsia" w:asciiTheme="minorEastAsia" w:hAnsiTheme="minorEastAsia" w:eastAsiaTheme="minorEastAsia" w:cstheme="minorEastAsia"/>
                <w:sz w:val="21"/>
                <w:szCs w:val="21"/>
                <w:highlight w:val="none"/>
              </w:rPr>
              <w:t xml:space="preserve">本项最高3分。</w:t>
            </w:r>
            <w:r/>
          </w:p>
          <w:p>
            <w:pPr>
              <w:ind w:left="0"/>
              <w:widowControl w:val="off"/>
              <w:rPr>
                <w:rFonts w:ascii="宋体" w:hAnsi="宋体"/>
                <w:b/>
                <w:color w:val="000000"/>
                <w:sz w:val="21"/>
                <w:szCs w:val="21"/>
                <w:highlight w:val="none"/>
                <w:lang w:bidi="ar"/>
              </w:rPr>
            </w:pPr>
            <w:r>
              <w:rPr>
                <w:rFonts w:hint="eastAsia" w:ascii="宋体" w:hAnsi="宋体"/>
                <w:b/>
                <w:color w:val="000000"/>
                <w:sz w:val="21"/>
                <w:szCs w:val="21"/>
                <w:highlight w:val="none"/>
                <w:lang w:bidi="ar"/>
              </w:rPr>
              <w:t xml:space="preserve">须提供承诺函并加盖投标单位公章，未提供不得分。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b/>
                <w:bCs/>
                <w:sz w:val="21"/>
                <w:highlight w:val="none"/>
              </w:rPr>
              <w:t xml:space="preserve">▲</w:t>
            </w:r>
            <w:r>
              <w:rPr>
                <w:rFonts w:hint="eastAsia" w:ascii="宋体" w:hAnsi="宋体"/>
                <w:color w:val="000000"/>
                <w:sz w:val="21"/>
                <w:szCs w:val="21"/>
                <w:highlight w:val="none"/>
              </w:rPr>
              <w:t xml:space="preserve">备品备件服务能力</w:t>
            </w:r>
            <w:r/>
          </w:p>
        </w:tc>
        <w:tc>
          <w:tcPr>
            <w:tcW w:w="4678" w:type="dxa"/>
            <w:vAlign w:val="center"/>
            <w:textDirection w:val="lrTb"/>
            <w:noWrap w:val="false"/>
          </w:tcPr>
          <w:p>
            <w:pPr>
              <w:ind w:left="0"/>
              <w:widowControl w:val="off"/>
              <w:rPr>
                <w:rStyle w:val="907"/>
                <w:rFonts w:asciiTheme="minorEastAsia" w:hAnsiTheme="minorEastAsia" w:eastAsiaTheme="minorEastAsia" w:cstheme="minorEastAsia"/>
                <w:sz w:val="21"/>
                <w:szCs w:val="21"/>
                <w:highlight w:val="none"/>
              </w:rPr>
            </w:pPr>
            <w:r>
              <w:rPr>
                <w:rFonts w:hint="eastAsia" w:ascii="宋体" w:hAnsi="宋体" w:cs="Times New Roman"/>
                <w:sz w:val="21"/>
                <w:szCs w:val="21"/>
                <w:highlight w:val="none"/>
              </w:rPr>
              <w:t xml:space="preserve">投标单位能自响应时间起6小时内完成相应的备品备件更换服务的，得2分；备品备件服务能力：投标单位能自响应时间起4小时内完成相应的备品备件更换服务的，得4分；</w:t>
            </w:r>
            <w:r>
              <w:rPr>
                <w:rStyle w:val="907"/>
                <w:rFonts w:hint="eastAsia" w:asciiTheme="minorEastAsia" w:hAnsiTheme="minorEastAsia" w:eastAsiaTheme="minorEastAsia" w:cstheme="minorEastAsia"/>
                <w:sz w:val="21"/>
                <w:szCs w:val="21"/>
                <w:highlight w:val="none"/>
              </w:rPr>
              <w:t xml:space="preserve">本项最高4分。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lang w:bidi="ar"/>
              </w:rPr>
              <w:t xml:space="preserve">须提供承诺函并加盖投标单位公章，未提供不得分。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b/>
                <w:bCs/>
                <w:sz w:val="21"/>
                <w:highlight w:val="none"/>
              </w:rPr>
              <w:t xml:space="preserve">▲</w:t>
            </w:r>
            <w:r>
              <w:rPr>
                <w:rFonts w:hint="eastAsia" w:ascii="宋体" w:hAnsi="宋体"/>
                <w:color w:val="000000"/>
                <w:sz w:val="21"/>
                <w:szCs w:val="21"/>
                <w:highlight w:val="none"/>
              </w:rPr>
              <w:t xml:space="preserve">企业综合实力</w:t>
            </w:r>
            <w:r/>
          </w:p>
        </w:tc>
        <w:tc>
          <w:tcPr>
            <w:tcW w:w="4678" w:type="dxa"/>
            <w:vAlign w:val="center"/>
            <w:textDirection w:val="lrTb"/>
            <w:noWrap w:val="false"/>
          </w:tcPr>
          <w:p>
            <w:pPr>
              <w:ind w:left="0"/>
              <w:widowControl w:val="off"/>
              <w:rPr>
                <w:rFonts w:ascii="宋体" w:hAnsi="宋体" w:cs="Times New Roman"/>
                <w:sz w:val="21"/>
                <w:szCs w:val="21"/>
                <w:highlight w:val="none"/>
              </w:rPr>
            </w:pPr>
            <w:r>
              <w:rPr>
                <w:rFonts w:hint="eastAsia" w:ascii="宋体" w:hAnsi="宋体" w:cs="Times New Roman"/>
                <w:sz w:val="21"/>
                <w:szCs w:val="21"/>
                <w:highlight w:val="none"/>
              </w:rPr>
              <w:t xml:space="preserve">投标单位具备有效期内的质量管理体系认证证书、环境管理体系认证证书、职业健康安全管理体系认证证书，每提供一个得1分，最高得3分。</w:t>
            </w:r>
            <w:r/>
          </w:p>
          <w:p>
            <w:pPr>
              <w:ind w:left="0"/>
              <w:widowControl w:val="off"/>
              <w:rPr>
                <w:rFonts w:ascii="宋体" w:hAnsi="宋体" w:cs="Times New Roman"/>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投标文件内须提供有效证书扫描件及国家认证认可监督管理委员会官方网站上的查询截图</w:t>
            </w:r>
            <w:r>
              <w:rPr>
                <w:rFonts w:hint="eastAsia" w:ascii="宋体" w:hAnsi="宋体"/>
                <w:b/>
                <w:color w:val="000000"/>
                <w:sz w:val="21"/>
                <w:szCs w:val="21"/>
                <w:highlight w:val="none"/>
              </w:rPr>
              <w:t xml:space="preserve">并加盖投标人公章</w:t>
            </w:r>
            <w:r>
              <w:rPr>
                <w:rFonts w:hint="eastAsia" w:ascii="宋体" w:hAnsi="宋体" w:cs="Times New Roman"/>
                <w:b/>
                <w:sz w:val="21"/>
                <w:szCs w:val="21"/>
                <w:highlight w:val="none"/>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highlight w:val="none"/>
              </w:rPr>
            </w:pPr>
            <w:r>
              <w:rPr>
                <w:rFonts w:ascii="宋体" w:hAnsi="宋体" w:cs="Tahoma"/>
                <w:b/>
                <w:bCs/>
                <w:color w:val="000000"/>
                <w:sz w:val="21"/>
                <w:szCs w:val="21"/>
                <w:highlight w:val="none"/>
              </w:rPr>
            </w:r>
            <w:r/>
          </w:p>
        </w:tc>
        <w:tc>
          <w:tcPr>
            <w:tcW w:w="1417" w:type="dxa"/>
            <w:vAlign w:val="center"/>
            <w:textDirection w:val="lrTb"/>
            <w:noWrap w:val="false"/>
          </w:tcPr>
          <w:p>
            <w:pPr>
              <w:ind w:left="0"/>
              <w:jc w:val="center"/>
              <w:widowControl w:val="off"/>
              <w:rPr>
                <w:rFonts w:ascii="宋体" w:hAnsi="宋体" w:cs="Times New Roman"/>
                <w:sz w:val="21"/>
                <w:szCs w:val="21"/>
                <w:highlight w:val="none"/>
              </w:rPr>
            </w:pPr>
            <w:r>
              <w:rPr>
                <w:rFonts w:hint="eastAsia" w:ascii="宋体" w:hAnsi="宋体"/>
                <w:b/>
                <w:bCs/>
                <w:sz w:val="21"/>
                <w:highlight w:val="none"/>
              </w:rPr>
              <w:t xml:space="preserve">▲</w:t>
            </w:r>
            <w:r>
              <w:rPr>
                <w:rFonts w:hint="eastAsia" w:ascii="宋体" w:hAnsi="宋体" w:cs="Times New Roman"/>
                <w:sz w:val="21"/>
                <w:szCs w:val="21"/>
                <w:highlight w:val="none"/>
              </w:rPr>
              <w:t xml:space="preserve">类似项目业绩</w:t>
            </w:r>
            <w:r/>
          </w:p>
        </w:tc>
        <w:tc>
          <w:tcPr>
            <w:tcW w:w="4678" w:type="dxa"/>
            <w:vAlign w:val="center"/>
            <w:textDirection w:val="lrTb"/>
            <w:noWrap w:val="false"/>
          </w:tcPr>
          <w:p>
            <w:pPr>
              <w:ind w:left="0"/>
              <w:widowControl w:val="off"/>
              <w:rPr>
                <w:rFonts w:ascii="宋体" w:hAnsi="宋体"/>
                <w:color w:val="000000"/>
                <w:sz w:val="21"/>
                <w:szCs w:val="21"/>
                <w:highlight w:val="none"/>
              </w:rPr>
            </w:pPr>
            <w:r>
              <w:rPr>
                <w:rFonts w:hint="eastAsia" w:ascii="宋体" w:hAnsi="宋体"/>
                <w:color w:val="000000"/>
                <w:sz w:val="21"/>
                <w:szCs w:val="21"/>
                <w:highlight w:val="none"/>
              </w:rPr>
              <w:t xml:space="preserve">投标单位2023年1月1日至今（以合同签订之日为准）具有类似项目业绩的，每提供一份得2分，最高6分。</w:t>
            </w:r>
            <w:r/>
          </w:p>
          <w:p>
            <w:pPr>
              <w:ind w:left="0"/>
              <w:widowControl w:val="off"/>
              <w:rPr>
                <w:rFonts w:ascii="宋体" w:hAnsi="宋体"/>
                <w:color w:val="000000"/>
                <w:sz w:val="21"/>
                <w:szCs w:val="21"/>
                <w:highlight w:val="none"/>
              </w:rPr>
            </w:pPr>
            <w:r>
              <w:rPr>
                <w:rFonts w:hint="eastAsia" w:ascii="宋体" w:hAnsi="宋体"/>
                <w:b/>
                <w:color w:val="000000"/>
                <w:sz w:val="21"/>
                <w:szCs w:val="21"/>
                <w:highlight w:val="none"/>
              </w:rPr>
              <w:t xml:space="preserve">注：</w:t>
            </w:r>
            <w:r>
              <w:rPr>
                <w:rFonts w:hint="eastAsia" w:ascii="宋体" w:hAnsi="宋体" w:cs="Times New Roman"/>
                <w:b/>
                <w:sz w:val="21"/>
                <w:szCs w:val="21"/>
                <w:highlight w:val="none"/>
              </w:rPr>
              <w:t xml:space="preserve">投标文件内须</w:t>
            </w:r>
            <w:r>
              <w:rPr>
                <w:rFonts w:hint="eastAsia" w:ascii="宋体" w:hAnsi="宋体"/>
                <w:b/>
                <w:bCs/>
                <w:sz w:val="21"/>
                <w:szCs w:val="21"/>
                <w:highlight w:val="none"/>
              </w:rPr>
              <w:t xml:space="preserve">提供有效合同</w:t>
            </w:r>
            <w:r>
              <w:rPr>
                <w:rFonts w:hint="eastAsia" w:ascii="宋体" w:hAnsi="宋体" w:cs="Times New Roman"/>
                <w:b/>
                <w:color w:val="000000"/>
                <w:sz w:val="21"/>
                <w:szCs w:val="21"/>
                <w:highlight w:val="none"/>
              </w:rPr>
              <w:t xml:space="preserve">扫描件和任意一期发票</w:t>
            </w:r>
            <w:r>
              <w:rPr>
                <w:rFonts w:hint="eastAsia" w:ascii="宋体" w:hAnsi="宋体"/>
                <w:b/>
                <w:color w:val="000000"/>
                <w:sz w:val="21"/>
                <w:szCs w:val="21"/>
                <w:highlight w:val="none"/>
              </w:rPr>
              <w:t xml:space="preserve">并加盖投标人公章</w:t>
            </w:r>
            <w:r>
              <w:rPr>
                <w:rFonts w:hint="eastAsia" w:ascii="宋体" w:hAnsi="宋体" w:cs="Times New Roman"/>
                <w:b/>
                <w:color w:val="000000"/>
                <w:sz w:val="21"/>
                <w:szCs w:val="21"/>
                <w:highlight w:val="none"/>
              </w:rPr>
              <w:t xml:space="preserve">，未提供不得分</w:t>
            </w:r>
            <w:r>
              <w:rPr>
                <w:rFonts w:hint="eastAsia" w:ascii="宋体" w:hAnsi="宋体"/>
                <w:b/>
                <w:bCs/>
                <w:sz w:val="21"/>
                <w:szCs w:val="21"/>
                <w:highlight w:val="none"/>
              </w:rPr>
              <w:t xml:space="preserve">。</w:t>
            </w:r>
            <w:r/>
          </w:p>
        </w:tc>
        <w:tc>
          <w:tcPr>
            <w:tcW w:w="2410" w:type="dxa"/>
            <w:vAlign w:val="center"/>
            <w:textDirection w:val="lrTb"/>
            <w:noWrap w:val="false"/>
          </w:tcPr>
          <w:p>
            <w:pPr>
              <w:ind w:left="0"/>
              <w:jc w:val="center"/>
              <w:widowControl w:val="off"/>
              <w:rPr>
                <w:rFonts w:ascii="宋体" w:hAnsi="宋体"/>
                <w:color w:val="000000"/>
                <w:sz w:val="21"/>
                <w:szCs w:val="21"/>
                <w:highlight w:val="none"/>
              </w:rPr>
            </w:pPr>
            <w:r>
              <w:rPr>
                <w:rFonts w:hint="eastAsia" w:ascii="宋体" w:hAnsi="宋体"/>
                <w:color w:val="000000"/>
                <w:sz w:val="21"/>
                <w:szCs w:val="21"/>
                <w:highlight w:val="none"/>
              </w:rPr>
              <w:t xml:space="preserve">6</w:t>
            </w:r>
            <w:r/>
          </w:p>
        </w:tc>
      </w:tr>
    </w:tbl>
    <w:p>
      <w:pPr>
        <w:ind w:left="0" w:firstLine="420"/>
        <w:spacing w:line="360" w:lineRule="auto"/>
        <w:widowControl w:val="off"/>
        <w:rPr>
          <w:rFonts w:ascii="宋体" w:hAnsi="宋体"/>
          <w:b/>
          <w:bCs/>
          <w:sz w:val="21"/>
          <w:szCs w:val="22"/>
          <w:highlight w:val="none"/>
        </w:rPr>
      </w:pPr>
      <w:r>
        <w:rPr>
          <w:rFonts w:hint="eastAsia" w:ascii="宋体" w:hAnsi="宋体"/>
          <w:sz w:val="21"/>
          <w:highlight w:val="none"/>
        </w:rPr>
        <w:t xml:space="preserve">备注：</w:t>
      </w:r>
      <w:r>
        <w:rPr>
          <w:rFonts w:hint="eastAsia" w:ascii="宋体" w:hAnsi="宋体"/>
          <w:b/>
          <w:bCs/>
          <w:sz w:val="21"/>
          <w:highlight w:val="none"/>
        </w:rPr>
        <w:t xml:space="preserve">表格中标▲项为客观分</w:t>
      </w:r>
      <w:r/>
    </w:p>
    <w:p>
      <w:pPr>
        <w:ind w:left="0" w:firstLine="420"/>
        <w:spacing w:line="360" w:lineRule="auto"/>
        <w:rPr>
          <w:rFonts w:ascii="宋体" w:hAnsi="宋体"/>
          <w:sz w:val="21"/>
          <w:highlight w:val="none"/>
        </w:rPr>
      </w:pPr>
      <w:r>
        <w:rPr>
          <w:rFonts w:ascii="宋体" w:hAnsi="宋体"/>
          <w:sz w:val="21"/>
          <w:highlight w:val="none"/>
        </w:rPr>
      </w:r>
      <w:r/>
    </w:p>
    <w:p>
      <w:pPr>
        <w:ind w:left="0" w:firstLine="420"/>
        <w:spacing w:line="360" w:lineRule="auto"/>
        <w:rPr>
          <w:rFonts w:ascii="宋体" w:hAnsi="宋体"/>
          <w:sz w:val="21"/>
          <w:highlight w:val="none"/>
        </w:rPr>
      </w:pPr>
      <w:r>
        <w:rPr>
          <w:rFonts w:hint="eastAsia" w:ascii="宋体" w:hAnsi="宋体"/>
          <w:sz w:val="21"/>
          <w:highlight w:val="none"/>
        </w:rPr>
        <w:t xml:space="preserve">备注：</w:t>
      </w:r>
      <w:r/>
    </w:p>
    <w:p>
      <w:pPr>
        <w:ind w:left="0" w:firstLine="420"/>
        <w:spacing w:line="360" w:lineRule="auto"/>
        <w:rPr>
          <w:rFonts w:ascii="宋体" w:hAnsi="宋体"/>
          <w:sz w:val="21"/>
          <w:highlight w:val="none"/>
        </w:rPr>
      </w:pPr>
      <w:r>
        <w:rPr>
          <w:rFonts w:hint="eastAsia" w:ascii="宋体" w:hAnsi="宋体"/>
          <w:sz w:val="21"/>
          <w:highlight w:val="none"/>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highlight w:val="none"/>
        </w:rPr>
      </w:pPr>
      <w:r>
        <w:rPr>
          <w:rFonts w:hint="eastAsia" w:ascii="宋体" w:hAnsi="宋体"/>
          <w:sz w:val="21"/>
          <w:highlight w:val="none"/>
        </w:rPr>
        <w:t xml:space="preserve">2.投标文件中如出现前后不一致时，评委有权请投标人澄清说明，澄清说明事项涉及评分时，评委有权酌情扣分。</w:t>
      </w:r>
      <w:r/>
    </w:p>
    <w:p>
      <w:pPr>
        <w:ind w:left="0" w:firstLine="420"/>
        <w:spacing w:line="360" w:lineRule="auto"/>
        <w:rPr>
          <w:highlight w:val="none"/>
        </w:rPr>
      </w:pPr>
      <w:r>
        <w:rPr>
          <w:rFonts w:hint="eastAsia" w:ascii="宋体" w:hAnsi="宋体"/>
          <w:sz w:val="21"/>
          <w:highlight w:val="none"/>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highlight w:val="none"/>
        </w:rPr>
        <w:t xml:space="preserve"> </w:t>
      </w:r>
      <w:r/>
    </w:p>
    <w:p>
      <w:pPr>
        <w:ind w:left="0"/>
        <w:jc w:val="center"/>
        <w:spacing w:line="579" w:lineRule="auto"/>
        <w:rPr>
          <w:highlight w:val="none"/>
        </w:rPr>
      </w:pPr>
      <w:r>
        <w:rPr>
          <w:highlight w:val="none"/>
        </w:rPr>
      </w:r>
      <w:r/>
    </w:p>
    <w:p>
      <w:pPr>
        <w:rPr>
          <w:rFonts w:ascii="宋体" w:hAnsi="宋体"/>
          <w:b/>
          <w:sz w:val="44"/>
          <w:szCs w:val="22"/>
          <w:highlight w:val="none"/>
        </w:rPr>
      </w:pPr>
      <w:r>
        <w:rPr>
          <w:rFonts w:hint="eastAsia" w:ascii="宋体" w:hAnsi="宋体"/>
          <w:b/>
          <w:sz w:val="44"/>
          <w:szCs w:val="22"/>
          <w:highlight w:val="none"/>
        </w:rPr>
        <w:br w:type="page" w:clear="all"/>
      </w:r>
      <w:r/>
    </w:p>
    <w:p>
      <w:pPr>
        <w:pStyle w:val="842"/>
        <w:ind w:left="0" w:firstLine="0"/>
        <w:jc w:val="center"/>
        <w:rPr>
          <w:highlight w:val="none"/>
        </w:rPr>
      </w:pPr>
      <w:r/>
      <w:bookmarkStart w:id="165" w:name="_Toc22085"/>
      <w:r>
        <w:rPr>
          <w:rFonts w:hint="eastAsia" w:ascii="宋体" w:hAnsi="宋体"/>
          <w:b/>
          <w:sz w:val="44"/>
          <w:szCs w:val="22"/>
          <w:highlight w:val="none"/>
        </w:rPr>
        <w:t xml:space="preserve">第七章  考核标准</w:t>
      </w:r>
      <w:bookmarkEnd w:id="165"/>
      <w:r/>
      <w:r/>
    </w:p>
    <w:tbl>
      <w:tblPr>
        <w:tblStyle w:val="852"/>
        <w:tblW w:w="10046" w:type="dxa"/>
        <w:tblInd w:w="0" w:type="dxa"/>
        <w:tblLayout w:type="fixed"/>
        <w:tblCellMar>
          <w:left w:w="108" w:type="dxa"/>
          <w:top w:w="0" w:type="dxa"/>
          <w:right w:w="108" w:type="dxa"/>
          <w:bottom w:w="0" w:type="dxa"/>
        </w:tblCellMar>
        <w:tblLook w:val="04A0" w:firstRow="1" w:lastRow="0" w:firstColumn="1" w:lastColumn="0" w:noHBand="0" w:noVBand="1"/>
      </w:tblPr>
      <w:tblGrid>
        <w:gridCol w:w="1676"/>
        <w:gridCol w:w="920"/>
        <w:gridCol w:w="2665"/>
        <w:gridCol w:w="4099"/>
        <w:gridCol w:w="686"/>
      </w:tblGrid>
      <w:tr>
        <w:trPr>
          <w:trHeight w:val="645"/>
        </w:trPr>
        <w:tc>
          <w:tcPr>
            <w:gridSpan w:val="5"/>
            <w:shd w:val="clear" w:color="auto" w:fill="auto"/>
            <w:tcBorders>
              <w:top w:val="single" w:color="auto" w:sz="4" w:space="0"/>
              <w:left w:val="single" w:color="auto" w:sz="4" w:space="0"/>
              <w:bottom w:val="single" w:color="auto" w:sz="4" w:space="0"/>
              <w:right w:val="single" w:color="auto" w:sz="4" w:space="0"/>
            </w:tcBorders>
            <w:tcW w:w="10046" w:type="dxa"/>
            <w:vAlign w:val="center"/>
            <w:textDirection w:val="lrTb"/>
            <w:noWrap/>
          </w:tcPr>
          <w:p>
            <w:pPr>
              <w:pStyle w:val="853"/>
              <w:ind w:left="0" w:firstLine="0"/>
              <w:jc w:val="center"/>
              <w:rPr>
                <w:sz w:val="21"/>
                <w:szCs w:val="21"/>
                <w:highlight w:val="none"/>
              </w:rPr>
            </w:pPr>
            <w:r>
              <w:rPr>
                <w:rFonts w:hint="eastAsia"/>
                <w:sz w:val="21"/>
                <w:szCs w:val="21"/>
                <w:highlight w:val="none"/>
              </w:rPr>
              <w:t xml:space="preserve">苏 州 市 公 安 局 交 通 管 理 支 队</w:t>
            </w:r>
            <w:r/>
          </w:p>
        </w:tc>
      </w:tr>
      <w:tr>
        <w:trPr>
          <w:trHeight w:val="540"/>
        </w:trPr>
        <w:tc>
          <w:tcPr>
            <w:gridSpan w:val="5"/>
            <w:shd w:val="clear" w:color="auto" w:fill="auto"/>
            <w:tcBorders>
              <w:top w:val="single" w:color="auto" w:sz="4" w:space="0"/>
              <w:left w:val="single" w:color="auto" w:sz="4" w:space="0"/>
              <w:bottom w:val="single" w:color="auto" w:sz="4" w:space="0"/>
              <w:right w:val="single" w:color="auto" w:sz="4" w:space="0"/>
            </w:tcBorders>
            <w:tcW w:w="10046" w:type="dxa"/>
            <w:vAlign w:val="center"/>
            <w:textDirection w:val="lrTb"/>
            <w:noWrap/>
          </w:tcPr>
          <w:p>
            <w:pPr>
              <w:pStyle w:val="853"/>
              <w:ind w:left="0" w:firstLine="0"/>
              <w:rPr>
                <w:sz w:val="21"/>
                <w:szCs w:val="21"/>
                <w:highlight w:val="none"/>
              </w:rPr>
            </w:pPr>
            <w:r>
              <w:rPr>
                <w:rFonts w:hint="eastAsia"/>
                <w:sz w:val="21"/>
                <w:szCs w:val="21"/>
                <w:highlight w:val="none"/>
              </w:rPr>
              <w:t xml:space="preserve">年  月  日-  年  月  日姑苏区及城市快速路道路交通设施维护服务考核表（     标段）</w:t>
            </w:r>
            <w:r/>
          </w:p>
        </w:tc>
      </w:tr>
      <w:tr>
        <w:trPr>
          <w:trHeight w:val="615"/>
        </w:trPr>
        <w:tc>
          <w:tcPr>
            <w:shd w:val="clear" w:color="auto" w:fill="auto"/>
            <w:tcBorders>
              <w:top w:val="single" w:color="auto" w:sz="4" w:space="0"/>
              <w:left w:val="single" w:color="000000" w:sz="4" w:space="0"/>
              <w:bottom w:val="single" w:color="000000" w:sz="4" w:space="0"/>
              <w:right w:val="single" w:color="000000" w:sz="4" w:space="0"/>
            </w:tcBorders>
            <w:tcW w:w="1676" w:type="dxa"/>
            <w:textDirection w:val="lrTb"/>
            <w:noWrap/>
          </w:tcPr>
          <w:p>
            <w:pPr>
              <w:pStyle w:val="853"/>
              <w:ind w:left="0" w:firstLine="0"/>
              <w:jc w:val="center"/>
              <w:rPr>
                <w:sz w:val="21"/>
                <w:szCs w:val="21"/>
                <w:highlight w:val="none"/>
              </w:rPr>
            </w:pPr>
            <w:r>
              <w:rPr>
                <w:rFonts w:hint="eastAsia"/>
                <w:sz w:val="21"/>
                <w:szCs w:val="21"/>
                <w:highlight w:val="none"/>
              </w:rPr>
              <w:t xml:space="preserve">项目</w:t>
            </w:r>
            <w:r/>
          </w:p>
        </w:tc>
        <w:tc>
          <w:tcPr>
            <w:gridSpan w:val="2"/>
            <w:shd w:val="clear" w:color="auto" w:fill="auto"/>
            <w:tcBorders>
              <w:top w:val="single" w:color="auto" w:sz="4" w:space="0"/>
              <w:left w:val="single" w:color="000000" w:sz="4" w:space="0"/>
              <w:bottom w:val="single" w:color="000000" w:sz="4" w:space="0"/>
              <w:right w:val="single" w:color="000000" w:sz="4" w:space="0"/>
            </w:tcBorders>
            <w:tcW w:w="3585" w:type="dxa"/>
            <w:textDirection w:val="lrTb"/>
            <w:noWrap/>
          </w:tcPr>
          <w:p>
            <w:pPr>
              <w:pStyle w:val="853"/>
              <w:ind w:left="0" w:firstLine="0"/>
              <w:jc w:val="center"/>
              <w:rPr>
                <w:sz w:val="21"/>
                <w:szCs w:val="21"/>
                <w:highlight w:val="none"/>
              </w:rPr>
            </w:pPr>
            <w:r>
              <w:rPr>
                <w:rFonts w:hint="eastAsia"/>
                <w:sz w:val="21"/>
                <w:szCs w:val="21"/>
                <w:highlight w:val="none"/>
              </w:rPr>
              <w:t xml:space="preserve">考评内容</w:t>
            </w:r>
            <w:r/>
          </w:p>
        </w:tc>
        <w:tc>
          <w:tcPr>
            <w:shd w:val="clear" w:color="auto" w:fill="auto"/>
            <w:tcBorders>
              <w:top w:val="single" w:color="auto" w:sz="4" w:space="0"/>
              <w:left w:val="single" w:color="000000" w:sz="4" w:space="0"/>
              <w:bottom w:val="single" w:color="000000" w:sz="4" w:space="0"/>
              <w:right w:val="single" w:color="000000" w:sz="4" w:space="0"/>
            </w:tcBorders>
            <w:tcW w:w="4099" w:type="dxa"/>
            <w:textDirection w:val="lrTb"/>
            <w:noWrap/>
          </w:tcPr>
          <w:p>
            <w:pPr>
              <w:pStyle w:val="853"/>
              <w:ind w:left="0" w:firstLine="0"/>
              <w:jc w:val="center"/>
              <w:rPr>
                <w:sz w:val="21"/>
                <w:szCs w:val="21"/>
                <w:highlight w:val="none"/>
              </w:rPr>
            </w:pPr>
            <w:r>
              <w:rPr>
                <w:rFonts w:hint="eastAsia"/>
                <w:sz w:val="21"/>
                <w:szCs w:val="21"/>
                <w:highlight w:val="none"/>
              </w:rPr>
              <w:t xml:space="preserve">评分标准</w:t>
            </w:r>
            <w:r/>
          </w:p>
        </w:tc>
        <w:tc>
          <w:tcPr>
            <w:shd w:val="clear" w:color="auto" w:fill="auto"/>
            <w:tcBorders>
              <w:top w:val="single" w:color="auto" w:sz="4" w:space="0"/>
              <w:left w:val="single" w:color="000000" w:sz="4" w:space="0"/>
              <w:bottom w:val="single" w:color="000000" w:sz="4" w:space="0"/>
              <w:right w:val="single" w:color="000000" w:sz="4" w:space="0"/>
            </w:tcBorders>
            <w:tcW w:w="686" w:type="dxa"/>
            <w:textDirection w:val="lrTb"/>
            <w:noWrap/>
          </w:tcPr>
          <w:p>
            <w:pPr>
              <w:pStyle w:val="853"/>
              <w:ind w:left="0" w:firstLine="0"/>
              <w:jc w:val="center"/>
              <w:rPr>
                <w:sz w:val="21"/>
                <w:szCs w:val="21"/>
                <w:highlight w:val="none"/>
              </w:rPr>
            </w:pPr>
            <w:r>
              <w:rPr>
                <w:rFonts w:hint="eastAsia"/>
                <w:sz w:val="21"/>
                <w:szCs w:val="21"/>
                <w:highlight w:val="none"/>
              </w:rPr>
              <w:t xml:space="preserve">备注</w:t>
            </w:r>
            <w:r/>
          </w:p>
        </w:tc>
      </w:tr>
      <w:tr>
        <w:trPr>
          <w:trHeight w:val="1180"/>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restart"/>
            <w:textDirection w:val="lrTb"/>
            <w:noWrap/>
          </w:tcPr>
          <w:p>
            <w:pPr>
              <w:pStyle w:val="853"/>
              <w:ind w:left="0" w:firstLine="0"/>
              <w:jc w:val="center"/>
              <w:rPr>
                <w:sz w:val="21"/>
                <w:szCs w:val="21"/>
                <w:highlight w:val="none"/>
              </w:rPr>
            </w:pPr>
            <w:r>
              <w:rPr>
                <w:rFonts w:hint="eastAsia"/>
                <w:sz w:val="21"/>
                <w:szCs w:val="21"/>
                <w:highlight w:val="none"/>
              </w:rPr>
              <w:t xml:space="preserve">标  志  牌</w:t>
            </w:r>
            <w:r/>
          </w:p>
          <w:p>
            <w:pPr>
              <w:pStyle w:val="853"/>
              <w:ind w:left="0" w:firstLine="0"/>
              <w:jc w:val="center"/>
              <w:rPr>
                <w:sz w:val="21"/>
                <w:szCs w:val="21"/>
                <w:highlight w:val="none"/>
              </w:rPr>
            </w:pPr>
            <w:r>
              <w:rPr>
                <w:rFonts w:hint="eastAsia"/>
                <w:sz w:val="21"/>
                <w:szCs w:val="21"/>
                <w:highlight w:val="none"/>
              </w:rPr>
              <w:t xml:space="preserve">（25分）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1.标志牌安装位置、规格或内容有错误。（4分）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每发现一处问题扣0.3分（安装位置错误扣0.3分，标志牌规格错误扣0.3分，标志内容错误扣0.3分）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130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2.标志牌和立杆破损、变形、倾斜。（5分）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每发现一处问题扣0.05分（标志牌和立杆破损扣0.05分，标志牌和立杆变形扣0.05分，标志牌和立杆倾斜扣0.05分）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79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3.标志牌反光系数不达标。（3分）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每发现一块标志牌反光系数不达标扣0.2分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4.发光标志牌不发光或发光强度不够，发光标志牌故障或损坏后15天内未修复安装到位的，且修复期间未采取临时措施。（5分）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5.标志牌缺失。（5分）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每发现一块标志牌缺失扣0.3分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6.标志牌牌面污损，牌面杆身有广告。（3分）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每发现一块标志牌牌面污损牌面杆身有广告扣0.05分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restart"/>
            <w:textDirection w:val="lrTb"/>
            <w:noWrap/>
          </w:tcPr>
          <w:p>
            <w:pPr>
              <w:pStyle w:val="853"/>
              <w:ind w:left="0" w:firstLine="0"/>
              <w:jc w:val="center"/>
              <w:rPr>
                <w:sz w:val="21"/>
                <w:szCs w:val="21"/>
                <w:highlight w:val="none"/>
              </w:rPr>
            </w:pPr>
            <w:r>
              <w:rPr>
                <w:rFonts w:hint="eastAsia"/>
                <w:sz w:val="21"/>
                <w:szCs w:val="21"/>
                <w:highlight w:val="none"/>
              </w:rPr>
              <w:t xml:space="preserve">护  栏</w:t>
            </w:r>
            <w:r/>
          </w:p>
          <w:p>
            <w:pPr>
              <w:pStyle w:val="853"/>
              <w:ind w:left="0" w:firstLine="0"/>
              <w:jc w:val="center"/>
              <w:rPr>
                <w:sz w:val="21"/>
                <w:szCs w:val="21"/>
                <w:highlight w:val="none"/>
              </w:rPr>
            </w:pPr>
            <w:r>
              <w:rPr>
                <w:rFonts w:hint="eastAsia"/>
                <w:sz w:val="21"/>
                <w:szCs w:val="21"/>
                <w:highlight w:val="none"/>
              </w:rPr>
              <w:t xml:space="preserve">（25分）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1.同一路段，护栏型号、高架水马型号及单片长度不统一。（4分）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2.护栏固定设施不规范。（4分）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3.护栏立柱头、紧固件、护栏底座缺失。（6分）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4.护栏倾斜、倾倒及破损。（6分）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5.护栏、端头警示桩反光膜破损或缺失。（5分）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restart"/>
            <w:textDirection w:val="lrTb"/>
            <w:noWrap/>
          </w:tcPr>
          <w:p>
            <w:pPr>
              <w:pStyle w:val="853"/>
              <w:ind w:left="0" w:firstLine="0"/>
              <w:jc w:val="center"/>
              <w:rPr>
                <w:sz w:val="21"/>
                <w:szCs w:val="21"/>
                <w:highlight w:val="none"/>
              </w:rPr>
            </w:pPr>
            <w:r>
              <w:rPr>
                <w:rFonts w:hint="eastAsia"/>
                <w:sz w:val="21"/>
                <w:szCs w:val="21"/>
                <w:highlight w:val="none"/>
              </w:rPr>
              <w:t xml:space="preserve">标  线</w:t>
            </w:r>
            <w:r/>
          </w:p>
          <w:p>
            <w:pPr>
              <w:pStyle w:val="853"/>
              <w:ind w:left="0" w:firstLine="0"/>
              <w:jc w:val="center"/>
              <w:rPr>
                <w:sz w:val="21"/>
                <w:szCs w:val="21"/>
                <w:highlight w:val="none"/>
              </w:rPr>
            </w:pPr>
            <w:r>
              <w:rPr>
                <w:rFonts w:hint="eastAsia"/>
                <w:sz w:val="21"/>
                <w:szCs w:val="21"/>
                <w:highlight w:val="none"/>
              </w:rPr>
              <w:t xml:space="preserve">（15分)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1.施划标线未使用符合国标的标线涂料，漆划热熔线未按国标添加玻璃微珠。（4分）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每发现一处问题扣0.5分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2.标线未按国标施工或施划错误。（4分）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3.标线复线、震荡线有漏划。（2分）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4.标线补线有缺失且不及时修复（一周内修复不到位）。（5分）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restart"/>
            <w:textDirection w:val="lrTb"/>
            <w:noWrap/>
          </w:tcPr>
          <w:p>
            <w:pPr>
              <w:pStyle w:val="853"/>
              <w:ind w:left="0" w:firstLine="0"/>
              <w:jc w:val="center"/>
              <w:rPr>
                <w:sz w:val="21"/>
                <w:szCs w:val="21"/>
                <w:highlight w:val="none"/>
              </w:rPr>
            </w:pPr>
            <w:r>
              <w:rPr>
                <w:rFonts w:hint="eastAsia"/>
                <w:sz w:val="21"/>
                <w:szCs w:val="21"/>
                <w:highlight w:val="none"/>
              </w:rPr>
              <w:t xml:space="preserve">其他设施</w:t>
            </w:r>
            <w:r/>
          </w:p>
          <w:p>
            <w:pPr>
              <w:pStyle w:val="853"/>
              <w:ind w:left="0" w:firstLine="0"/>
              <w:jc w:val="center"/>
              <w:rPr>
                <w:sz w:val="21"/>
                <w:szCs w:val="21"/>
                <w:highlight w:val="none"/>
              </w:rPr>
            </w:pPr>
            <w:r>
              <w:rPr>
                <w:rFonts w:hint="eastAsia"/>
                <w:sz w:val="21"/>
                <w:szCs w:val="21"/>
                <w:highlight w:val="none"/>
              </w:rPr>
              <w:t xml:space="preserve">（15分）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1.防撞垫摆放位置错误。（2分）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2.警示桩固定设施不规范，倾倒及破损的。（3分）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3.爆闪灯支架破损、不发光或发光强度不够。（3分）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每发现一处问题扣0.05分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4.报警编号牌破损、号牌不清晰、信息不准确。（3分）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70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continue"/>
            <w:textDirection w:val="lrTb"/>
            <w:noWrap/>
          </w:tcPr>
          <w:p>
            <w:pPr>
              <w:pStyle w:val="853"/>
              <w:ind w:left="0" w:firstLine="0"/>
              <w:jc w:val="center"/>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5.轮廓标安装不规范、缺失或反光强度不够。（4分）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Merge w:val="restart"/>
            <w:textDirection w:val="lrTb"/>
            <w:noWrap/>
          </w:tcPr>
          <w:p>
            <w:pPr>
              <w:pStyle w:val="853"/>
              <w:ind w:left="0" w:firstLine="0"/>
              <w:jc w:val="center"/>
              <w:rPr>
                <w:sz w:val="21"/>
                <w:szCs w:val="21"/>
                <w:highlight w:val="none"/>
              </w:rPr>
            </w:pPr>
            <w:r>
              <w:rPr>
                <w:rFonts w:hint="eastAsia"/>
                <w:sz w:val="21"/>
                <w:szCs w:val="21"/>
                <w:highlight w:val="none"/>
              </w:rPr>
              <w:t xml:space="preserve">综 合</w:t>
            </w:r>
            <w:r/>
          </w:p>
          <w:p>
            <w:pPr>
              <w:pStyle w:val="853"/>
              <w:ind w:left="0" w:firstLine="0"/>
              <w:jc w:val="center"/>
              <w:rPr>
                <w:sz w:val="21"/>
                <w:szCs w:val="21"/>
                <w:highlight w:val="none"/>
              </w:rPr>
            </w:pPr>
            <w:r>
              <w:rPr>
                <w:rFonts w:hint="eastAsia"/>
                <w:sz w:val="21"/>
                <w:szCs w:val="21"/>
                <w:highlight w:val="none"/>
              </w:rPr>
              <w:t xml:space="preserve">（20分）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1.养护单位未按规定提供维护路段的每日巡检台账。（4分）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tcPr>
          <w:p>
            <w:pPr>
              <w:pStyle w:val="853"/>
              <w:ind w:left="0" w:firstLine="0"/>
              <w:rPr>
                <w:sz w:val="21"/>
                <w:szCs w:val="21"/>
                <w:highlight w:val="none"/>
              </w:rPr>
            </w:pPr>
            <w:r>
              <w:rPr>
                <w:rFonts w:hint="eastAsia"/>
                <w:sz w:val="21"/>
                <w:szCs w:val="21"/>
                <w:highlight w:val="none"/>
              </w:rPr>
              <w:t xml:space="preserve">每缺一日台账扣0.1分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vMerge w:val="continue"/>
            <w:textDirection w:val="tbRlV"/>
            <w:noWrap/>
          </w:tcPr>
          <w:p>
            <w:pPr>
              <w:pStyle w:val="853"/>
              <w:ind w:left="0" w:firstLine="0"/>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2.养护人员未服从管理部门管理的，施工防范措施不规范不到位的。（4分）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tcPr>
          <w:p>
            <w:pPr>
              <w:pStyle w:val="853"/>
              <w:ind w:left="0" w:firstLine="0"/>
              <w:rPr>
                <w:sz w:val="21"/>
                <w:szCs w:val="21"/>
                <w:highlight w:val="none"/>
              </w:rPr>
            </w:pPr>
            <w:r>
              <w:rPr>
                <w:rFonts w:hint="eastAsia"/>
                <w:sz w:val="21"/>
                <w:szCs w:val="21"/>
                <w:highlight w:val="none"/>
              </w:rPr>
              <w:t xml:space="preserve">每发现一处问题扣0.1分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vMerge w:val="continue"/>
            <w:textDirection w:val="tbRlV"/>
            <w:noWrap/>
          </w:tcPr>
          <w:p>
            <w:pPr>
              <w:pStyle w:val="853"/>
              <w:ind w:left="0" w:firstLine="0"/>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3.因养护不到位，被数字城管等相关单位及媒体投诉并确认的，未及时回复及整改。（6分）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val="false"/>
          </w:tcPr>
          <w:p>
            <w:pPr>
              <w:pStyle w:val="853"/>
              <w:ind w:left="0" w:firstLine="0"/>
              <w:rPr>
                <w:sz w:val="21"/>
                <w:szCs w:val="21"/>
                <w:highlight w:val="none"/>
              </w:rPr>
            </w:pPr>
            <w:r>
              <w:rPr>
                <w:rFonts w:hint="eastAsia"/>
                <w:sz w:val="21"/>
                <w:szCs w:val="21"/>
                <w:highlight w:val="none"/>
              </w:rPr>
              <w:t xml:space="preserve">各类问题规定时间内未整改到位，每次扣1分；未及时回复，每次扣0.5分；回复不实，每次扣1分 </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vMerge w:val="continue"/>
            <w:textDirection w:val="tbRlV"/>
            <w:noWrap/>
          </w:tcPr>
          <w:p>
            <w:pPr>
              <w:pStyle w:val="853"/>
              <w:ind w:left="0" w:firstLine="0"/>
              <w:rPr>
                <w:sz w:val="21"/>
                <w:szCs w:val="21"/>
                <w:highlight w:val="none"/>
              </w:rPr>
            </w:pPr>
            <w:r>
              <w:rPr>
                <w:sz w:val="21"/>
                <w:szCs w:val="21"/>
                <w:highlight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585" w:type="dxa"/>
            <w:vAlign w:val="center"/>
            <w:textDirection w:val="lrTb"/>
            <w:noWrap w:val="false"/>
          </w:tcPr>
          <w:p>
            <w:pPr>
              <w:pStyle w:val="853"/>
              <w:ind w:left="0" w:firstLine="0"/>
              <w:rPr>
                <w:sz w:val="21"/>
                <w:szCs w:val="21"/>
                <w:highlight w:val="none"/>
              </w:rPr>
            </w:pPr>
            <w:r>
              <w:rPr>
                <w:rFonts w:hint="eastAsia"/>
                <w:sz w:val="21"/>
                <w:szCs w:val="21"/>
                <w:highlight w:val="none"/>
              </w:rPr>
              <w:t xml:space="preserve">4.未经管理部门审批，随意增加、改动标志牌面内容、位置等。（6分）</w:t>
            </w:r>
            <w:r/>
          </w:p>
        </w:tc>
        <w:tc>
          <w:tcPr>
            <w:shd w:val="clear" w:color="auto" w:fill="auto"/>
            <w:tcBorders>
              <w:top w:val="single" w:color="000000" w:sz="4" w:space="0"/>
              <w:left w:val="single" w:color="000000" w:sz="4" w:space="0"/>
              <w:bottom w:val="single" w:color="000000" w:sz="4" w:space="0"/>
              <w:right w:val="single" w:color="000000" w:sz="4" w:space="0"/>
            </w:tcBorders>
            <w:tcW w:w="4099" w:type="dxa"/>
            <w:textDirection w:val="lrTb"/>
            <w:noWrap/>
          </w:tcPr>
          <w:p>
            <w:pPr>
              <w:pStyle w:val="853"/>
              <w:ind w:left="0" w:firstLine="0"/>
              <w:rPr>
                <w:sz w:val="21"/>
                <w:szCs w:val="21"/>
                <w:highlight w:val="none"/>
              </w:rPr>
            </w:pPr>
            <w:r>
              <w:rPr>
                <w:rFonts w:hint="eastAsia"/>
                <w:sz w:val="21"/>
                <w:szCs w:val="21"/>
                <w:highlight w:val="none"/>
              </w:rPr>
              <w:t xml:space="preserve">每发现一处问题扣1分</w:t>
            </w:r>
            <w:r/>
          </w:p>
        </w:tc>
        <w:tc>
          <w:tcPr>
            <w:shd w:val="clear" w:color="auto" w:fill="auto"/>
            <w:tcBorders>
              <w:top w:val="single" w:color="000000" w:sz="4" w:space="0"/>
              <w:left w:val="single" w:color="000000" w:sz="4" w:space="0"/>
              <w:bottom w:val="single" w:color="000000" w:sz="4" w:space="0"/>
              <w:right w:val="single" w:color="000000" w:sz="4" w:space="0"/>
            </w:tcBorders>
            <w:tcW w:w="686" w:type="dxa"/>
            <w:textDirection w:val="lrTb"/>
            <w:noWrap w:val="false"/>
          </w:tcPr>
          <w:p>
            <w:pPr>
              <w:pStyle w:val="853"/>
              <w:ind w:left="0" w:firstLine="0"/>
              <w:rPr>
                <w:sz w:val="21"/>
                <w:szCs w:val="21"/>
                <w:highlight w:val="none"/>
              </w:rPr>
            </w:pPr>
            <w:r>
              <w:rPr>
                <w:sz w:val="21"/>
                <w:szCs w:val="21"/>
                <w:highlight w:val="none"/>
              </w:rPr>
            </w:r>
            <w:r/>
          </w:p>
        </w:tc>
      </w:tr>
      <w:tr>
        <w:trPr>
          <w:trHeight w:val="600"/>
        </w:trPr>
        <w:tc>
          <w:tcPr>
            <w:shd w:val="clear" w:color="auto" w:fill="auto"/>
            <w:tcBorders>
              <w:top w:val="single" w:color="000000" w:sz="4" w:space="0"/>
              <w:left w:val="single" w:color="000000" w:sz="4" w:space="0"/>
              <w:bottom w:val="single" w:color="000000" w:sz="4" w:space="0"/>
              <w:right w:val="single" w:color="000000" w:sz="4" w:space="0"/>
            </w:tcBorders>
            <w:tcW w:w="1676" w:type="dxa"/>
            <w:vAlign w:val="center"/>
            <w:textDirection w:val="lrTb"/>
            <w:noWrap/>
          </w:tcPr>
          <w:p>
            <w:pPr>
              <w:pStyle w:val="853"/>
              <w:ind w:left="0" w:firstLine="0"/>
              <w:rPr>
                <w:sz w:val="21"/>
                <w:szCs w:val="21"/>
                <w:highlight w:val="none"/>
              </w:rPr>
            </w:pPr>
            <w:r>
              <w:rPr>
                <w:rFonts w:hint="eastAsia"/>
                <w:sz w:val="21"/>
                <w:szCs w:val="21"/>
                <w:highlight w:val="none"/>
              </w:rPr>
              <w:t xml:space="preserve">总分/得分</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8370" w:type="dxa"/>
            <w:vAlign w:val="center"/>
            <w:textDirection w:val="lrTb"/>
            <w:noWrap/>
          </w:tcPr>
          <w:p>
            <w:pPr>
              <w:pStyle w:val="853"/>
              <w:ind w:left="0" w:firstLine="0"/>
              <w:rPr>
                <w:sz w:val="21"/>
                <w:szCs w:val="21"/>
                <w:highlight w:val="none"/>
              </w:rPr>
            </w:pPr>
            <w:r>
              <w:rPr>
                <w:sz w:val="21"/>
                <w:szCs w:val="21"/>
                <w:highlight w:val="none"/>
              </w:rPr>
            </w:r>
            <w:r/>
          </w:p>
        </w:tc>
      </w:tr>
      <w:tr>
        <w:trPr>
          <w:trHeight w:val="495"/>
        </w:trPr>
        <w:tc>
          <w:tcPr>
            <w:gridSpan w:val="5"/>
            <w:shd w:val="clear" w:color="auto" w:fill="auto"/>
            <w:tcBorders>
              <w:top w:val="single" w:color="000000" w:sz="4" w:space="0"/>
              <w:left w:val="none" w:color="000000" w:sz="4" w:space="0"/>
              <w:bottom w:val="none" w:color="000000" w:sz="4" w:space="0"/>
              <w:right w:val="none" w:color="000000" w:sz="4" w:space="0"/>
            </w:tcBorders>
            <w:tcW w:w="10046" w:type="dxa"/>
            <w:vMerge w:val="restart"/>
            <w:textDirection w:val="lrTb"/>
            <w:noWrap w:val="false"/>
          </w:tcPr>
          <w:p>
            <w:pPr>
              <w:pStyle w:val="853"/>
              <w:ind w:left="0" w:firstLine="0"/>
              <w:rPr>
                <w:sz w:val="21"/>
                <w:szCs w:val="21"/>
                <w:highlight w:val="none"/>
              </w:rPr>
            </w:pPr>
            <w:r>
              <w:rPr>
                <w:rFonts w:hint="eastAsia"/>
                <w:sz w:val="21"/>
                <w:szCs w:val="21"/>
                <w:highlight w:val="none"/>
              </w:rPr>
              <w:t xml:space="preserve">注：接到信息通知在一周内未修复，将在下周扣分。（标志牌48小时内修复,护栏48小时内修复,标线1周内修复,发光标志15天内修复，因不可抗力（台风、暴雪天气等）、偷盗等导致标志牌及护栏损坏、倾倒、缺失的，修复时间可再延长48小时；标志牌被绿化等其他因素非养护单位可控因素遮挡、影响，不在48小时修复范围时间内。）</w:t>
            </w:r>
            <w:r/>
          </w:p>
        </w:tc>
      </w:tr>
      <w:tr>
        <w:trPr>
          <w:trHeight w:val="465"/>
        </w:trPr>
        <w:tc>
          <w:tcPr>
            <w:gridSpan w:val="2"/>
            <w:shd w:val="clear" w:color="auto" w:fill="auto"/>
            <w:tcBorders>
              <w:top w:val="none" w:color="000000" w:sz="4" w:space="0"/>
              <w:left w:val="none" w:color="000000" w:sz="4" w:space="0"/>
              <w:bottom w:val="none" w:color="000000" w:sz="4" w:space="0"/>
              <w:right w:val="none" w:color="000000" w:sz="4" w:space="0"/>
            </w:tcBorders>
            <w:tcW w:w="2596" w:type="dxa"/>
            <w:vAlign w:val="center"/>
            <w:textDirection w:val="lrTb"/>
            <w:noWrap/>
          </w:tcPr>
          <w:p>
            <w:pPr>
              <w:pStyle w:val="853"/>
              <w:ind w:left="0" w:firstLine="0"/>
              <w:rPr>
                <w:sz w:val="21"/>
                <w:szCs w:val="21"/>
                <w:highlight w:val="none"/>
              </w:rPr>
            </w:pPr>
            <w:r>
              <w:rPr>
                <w:sz w:val="21"/>
                <w:szCs w:val="21"/>
                <w:highlight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7450" w:type="dxa"/>
            <w:vAlign w:val="center"/>
            <w:textDirection w:val="lrTb"/>
            <w:noWrap/>
          </w:tcPr>
          <w:p>
            <w:pPr>
              <w:pStyle w:val="853"/>
              <w:ind w:left="0" w:firstLine="0"/>
              <w:rPr>
                <w:sz w:val="21"/>
                <w:szCs w:val="21"/>
                <w:highlight w:val="none"/>
              </w:rPr>
            </w:pPr>
            <w:r>
              <w:rPr>
                <w:rFonts w:hint="eastAsia"/>
                <w:sz w:val="21"/>
                <w:szCs w:val="21"/>
                <w:highlight w:val="none"/>
              </w:rPr>
              <w:t xml:space="preserve">苏州市公安局交通管理支队</w:t>
            </w:r>
            <w:r/>
          </w:p>
        </w:tc>
      </w:tr>
      <w:tr>
        <w:trPr>
          <w:trHeight w:val="465"/>
        </w:trPr>
        <w:tc>
          <w:tcPr>
            <w:gridSpan w:val="2"/>
            <w:shd w:val="clear" w:color="auto" w:fill="auto"/>
            <w:tcBorders>
              <w:top w:val="none" w:color="000000" w:sz="4" w:space="0"/>
              <w:left w:val="none" w:color="000000" w:sz="4" w:space="0"/>
              <w:bottom w:val="none" w:color="000000" w:sz="4" w:space="0"/>
              <w:right w:val="none" w:color="000000" w:sz="4" w:space="0"/>
            </w:tcBorders>
            <w:tcW w:w="2596" w:type="dxa"/>
            <w:vAlign w:val="center"/>
            <w:textDirection w:val="lrTb"/>
            <w:noWrap/>
          </w:tcPr>
          <w:p>
            <w:pPr>
              <w:pStyle w:val="853"/>
              <w:ind w:left="0" w:firstLine="0"/>
              <w:rPr>
                <w:sz w:val="21"/>
                <w:szCs w:val="21"/>
                <w:highlight w:val="none"/>
              </w:rPr>
            </w:pPr>
            <w:r>
              <w:rPr>
                <w:sz w:val="21"/>
                <w:szCs w:val="21"/>
                <w:highlight w:val="none"/>
              </w:rPr>
            </w:r>
            <w:r/>
          </w:p>
        </w:tc>
        <w:tc>
          <w:tcPr>
            <w:gridSpan w:val="3"/>
            <w:shd w:val="clear" w:color="auto" w:fill="auto"/>
            <w:tcBorders>
              <w:top w:val="none" w:color="000000" w:sz="4" w:space="0"/>
              <w:left w:val="none" w:color="000000" w:sz="4" w:space="0"/>
              <w:bottom w:val="none" w:color="000000" w:sz="4" w:space="0"/>
              <w:right w:val="none" w:color="000000" w:sz="4" w:space="0"/>
            </w:tcBorders>
            <w:tcW w:w="7450" w:type="dxa"/>
            <w:vAlign w:val="center"/>
            <w:textDirection w:val="lrTb"/>
            <w:noWrap/>
          </w:tcPr>
          <w:p>
            <w:pPr>
              <w:pStyle w:val="853"/>
              <w:ind w:left="0" w:firstLine="0"/>
              <w:rPr>
                <w:sz w:val="21"/>
                <w:szCs w:val="21"/>
                <w:highlight w:val="none"/>
              </w:rPr>
            </w:pPr>
            <w:r>
              <w:rPr>
                <w:rFonts w:hint="eastAsia"/>
                <w:sz w:val="21"/>
                <w:szCs w:val="21"/>
                <w:highlight w:val="none"/>
              </w:rPr>
              <w:t xml:space="preserve">考核日期：     年    月    日</w:t>
            </w:r>
            <w:r/>
          </w:p>
        </w:tc>
      </w:tr>
    </w:tbl>
    <w:p>
      <w:pPr>
        <w:ind w:left="0"/>
        <w:rPr>
          <w:rFonts w:ascii="宋体" w:hAnsi="宋体"/>
          <w:b/>
          <w:sz w:val="44"/>
          <w:szCs w:val="22"/>
          <w:highlight w:val="none"/>
        </w:rPr>
      </w:pPr>
      <w:r>
        <w:rPr>
          <w:rFonts w:hint="eastAsia" w:ascii="宋体" w:hAnsi="宋体"/>
          <w:b/>
          <w:sz w:val="44"/>
          <w:szCs w:val="22"/>
          <w:highlight w:val="none"/>
        </w:rPr>
        <w:br w:type="page" w:clear="all"/>
      </w:r>
      <w:r/>
    </w:p>
    <w:p>
      <w:pPr>
        <w:pStyle w:val="842"/>
        <w:numPr>
          <w:ilvl w:val="0"/>
          <w:numId w:val="9"/>
        </w:numPr>
        <w:ind w:left="0" w:firstLine="0"/>
        <w:jc w:val="center"/>
        <w:rPr>
          <w:rFonts w:ascii="宋体" w:hAnsi="宋体"/>
          <w:b/>
          <w:sz w:val="44"/>
          <w:szCs w:val="22"/>
          <w:highlight w:val="none"/>
        </w:rPr>
      </w:pPr>
      <w:r>
        <w:rPr>
          <w:rFonts w:hint="eastAsia" w:ascii="宋体" w:hAnsi="宋体"/>
          <w:b/>
          <w:sz w:val="44"/>
          <w:szCs w:val="22"/>
          <w:highlight w:val="none"/>
        </w:rPr>
        <w:t xml:space="preserve"> </w:t>
      </w:r>
      <w:bookmarkStart w:id="166" w:name="_Toc26268"/>
      <w:r>
        <w:rPr>
          <w:rFonts w:hint="eastAsia" w:ascii="宋体" w:hAnsi="宋体"/>
          <w:b/>
          <w:sz w:val="44"/>
          <w:szCs w:val="22"/>
          <w:highlight w:val="none"/>
        </w:rPr>
        <w:t xml:space="preserve">附件</w:t>
      </w:r>
      <w:bookmarkEnd w:id="166"/>
      <w:r/>
      <w:r/>
    </w:p>
    <w:p>
      <w:pPr>
        <w:ind w:left="0"/>
        <w:rPr>
          <w:highlight w:val="none"/>
        </w:rPr>
      </w:pPr>
      <w:r>
        <w:rPr>
          <w:highlight w:val="none"/>
        </w:rPr>
      </w:r>
      <w:r/>
    </w:p>
    <w:p>
      <w:pPr>
        <w:ind w:left="0"/>
        <w:rPr>
          <w:sz w:val="13"/>
          <w:szCs w:val="13"/>
          <w:highlight w:val="none"/>
        </w:rPr>
      </w:pPr>
      <w:r>
        <w:rPr>
          <w:rFonts w:hint="eastAsia" w:ascii="宋体" w:hAnsi="宋体"/>
          <w:b/>
          <w:sz w:val="28"/>
          <w:szCs w:val="16"/>
          <w:highlight w:val="none"/>
        </w:rPr>
        <w:t xml:space="preserve">附件</w:t>
      </w:r>
      <w:r>
        <w:rPr>
          <w:rFonts w:hint="eastAsia" w:ascii="宋体" w:hAnsi="宋体"/>
          <w:b/>
          <w:sz w:val="28"/>
          <w:szCs w:val="16"/>
          <w:highlight w:val="none"/>
          <w:lang w:val="en-US" w:eastAsia="zh-CN"/>
        </w:rPr>
        <w:t xml:space="preserve">一</w:t>
      </w:r>
      <w:r>
        <w:rPr>
          <w:rFonts w:hint="eastAsia" w:ascii="宋体" w:hAnsi="宋体"/>
          <w:b/>
          <w:sz w:val="28"/>
          <w:szCs w:val="16"/>
          <w:highlight w:val="none"/>
        </w:rPr>
        <w:t xml:space="preserve">：</w:t>
      </w:r>
      <w:r/>
    </w:p>
    <w:tbl>
      <w:tblPr>
        <w:tblStyle w:val="90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1586"/>
        <w:gridCol w:w="600"/>
        <w:gridCol w:w="1035"/>
        <w:gridCol w:w="1305"/>
        <w:gridCol w:w="1350"/>
        <w:gridCol w:w="1425"/>
        <w:gridCol w:w="910"/>
      </w:tblGrid>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序号</w:t>
            </w:r>
            <w:r/>
          </w:p>
        </w:tc>
        <w:tc>
          <w:tcPr>
            <w:tcW w:w="1586"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项目名称</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单位</w:t>
            </w:r>
            <w:r/>
          </w:p>
        </w:tc>
        <w:tc>
          <w:tcPr>
            <w:tcW w:w="103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数量</w:t>
            </w:r>
            <w:r/>
          </w:p>
        </w:tc>
        <w:tc>
          <w:tcPr>
            <w:tcW w:w="130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两年养护单价（元）</w:t>
            </w:r>
            <w:r/>
          </w:p>
        </w:tc>
        <w:tc>
          <w:tcPr>
            <w:tcW w:w="135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日养护单价</w:t>
            </w:r>
            <w:r>
              <w:rPr>
                <w:rFonts w:ascii="宋体" w:hAnsi="宋体" w:cs="Times New Roman"/>
                <w:sz w:val="21"/>
                <w:szCs w:val="21"/>
                <w:highlight w:val="none"/>
                <w:lang w:eastAsia="en-US"/>
              </w:rPr>
              <w:br/>
            </w:r>
            <w:r>
              <w:rPr>
                <w:rFonts w:ascii="宋体" w:hAnsi="宋体" w:cs="Times New Roman"/>
                <w:sz w:val="21"/>
                <w:szCs w:val="21"/>
                <w:highlight w:val="none"/>
                <w:lang w:eastAsia="en-US"/>
              </w:rPr>
              <w:t xml:space="preserve">（元）</w:t>
            </w:r>
            <w:r/>
          </w:p>
        </w:tc>
        <w:tc>
          <w:tcPr>
            <w:tcW w:w="142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价格</w:t>
            </w:r>
            <w:r>
              <w:rPr>
                <w:rFonts w:ascii="宋体" w:hAnsi="宋体" w:cs="Times New Roman"/>
                <w:sz w:val="21"/>
                <w:szCs w:val="21"/>
                <w:highlight w:val="none"/>
                <w:lang w:eastAsia="en-US"/>
              </w:rPr>
              <w:br/>
            </w:r>
            <w:r>
              <w:rPr>
                <w:rFonts w:ascii="宋体" w:hAnsi="宋体" w:cs="Times New Roman"/>
                <w:sz w:val="21"/>
                <w:szCs w:val="21"/>
                <w:highlight w:val="none"/>
                <w:lang w:eastAsia="en-US"/>
              </w:rPr>
              <w:t xml:space="preserve">（元）</w:t>
            </w:r>
            <w:r/>
          </w:p>
        </w:tc>
        <w:tc>
          <w:tcPr>
            <w:tcW w:w="91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养护时间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门架式标志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482.00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7112.00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9.73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3427984.00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门架式标志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7112.00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9.73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119279.23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门架式发光标志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43.00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14244.50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19.49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612513.50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门架式发光标志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14244.50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19.49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191121.83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单悬臂标志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2961.00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734328.00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单悬臂标志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17.00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2961.00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42211.47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单悬臂发光标志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7240.50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9.90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173772.00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单悬臂发光标志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7240.50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9.90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151792.97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双悬臂标志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5250.00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7.18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1076250.00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双悬臂标志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5250.00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7.18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39622.78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双悬臂发光标志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10005.00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13.69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350175.00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双悬臂发光标志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10005.00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13.69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50339.79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单柱式标志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1439.00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116.08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0.16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167039.12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单柱式标志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116.08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0.16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876.08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单柱式发光标志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450.00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0.62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15300.00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单柱式发光标志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41.00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450.00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0.62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15471.75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附着式标志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1060.00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41340.00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附着式标志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719.50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19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附着式标志（增加）</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180.00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7020.00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附着式发光标志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162.00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0.33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38880.00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附着式发光标志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31.00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0.33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6239.02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太阳能导向标</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168.00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0.23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3024.00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网片隔离</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2490.00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37350.00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交通隔离护栏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1875.00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168750.00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防撞伸缩护栏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418.00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0.16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48070.00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防撞伸缩护栏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0.16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5786.18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波形护栏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40903.00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1431605.00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波形护栏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958.00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28117.50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29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新泽西护栏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10700.00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58.00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0.08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620600.00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新泽西护栏</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806.00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58.00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0.08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39201.81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新泽西护栏（增加）</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614.00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58.00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0.08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35612.00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三组合防撞桶</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181.00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0.21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28055.00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三组合防护桶</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0.21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1949.69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防撞垫</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291000.00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防撞垫</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8805.06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防撞垫（增加）</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防撞桶（圆形）</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82.00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26.25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0.04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2152.50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反光道钉</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1293.00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32325.00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39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隔离栅</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m</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1790.00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44750.00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反光漆</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9706.00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0.17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1213250.00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橡胶阻车器</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235.00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12.75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2996.25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百米标</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1100.00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16500.00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爆闪灯</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200.00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138.53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27706.00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爆闪灯</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138.53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0.19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580.84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水马</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3588.00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0.05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143520.00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警示桩</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根</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11733.00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175995.00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警示桩</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根</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2850.00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35849.18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彩色标线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39456.10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22.32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880660.15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49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彩色标线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1500.00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22.32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28075.57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热熔标线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329309.62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1975857.72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热熔标线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25632.45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128968.74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震荡标线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155510.11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12.75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1982753.90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震荡标线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4830.00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12.75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51641.69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54</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防眩板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22562.00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4.10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92504.20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55</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防眩板</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5584.00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4.10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0.01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19198.72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56</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双悬臂发光标志</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10005.00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13.69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40020.00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57</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rPr>
            </w:pPr>
            <w:r>
              <w:rPr>
                <w:rFonts w:hint="eastAsia" w:ascii="宋体" w:hAnsi="宋体"/>
                <w:color w:val="000000"/>
                <w:sz w:val="21"/>
                <w:szCs w:val="21"/>
                <w:highlight w:val="none"/>
                <w:lang w:bidi="ar"/>
              </w:rPr>
              <w:t xml:space="preserve">单柱式发光标志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（交替通行）</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450.00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0.62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4500.00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58</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rPr>
            </w:pPr>
            <w:r>
              <w:rPr>
                <w:rFonts w:hint="eastAsia" w:ascii="宋体" w:hAnsi="宋体"/>
                <w:color w:val="000000"/>
                <w:sz w:val="21"/>
                <w:szCs w:val="21"/>
                <w:highlight w:val="none"/>
                <w:lang w:bidi="ar"/>
              </w:rPr>
              <w:t xml:space="preserve">附着式发光标志</w:t>
            </w:r>
            <w:r>
              <w:rPr>
                <w:rFonts w:hint="eastAsia" w:ascii="宋体" w:hAnsi="宋体"/>
                <w:color w:val="000000"/>
                <w:sz w:val="21"/>
                <w:szCs w:val="21"/>
                <w:highlight w:val="none"/>
                <w:lang w:bidi="ar"/>
              </w:rPr>
              <w:br/>
            </w:r>
            <w:r>
              <w:rPr>
                <w:rFonts w:hint="eastAsia" w:ascii="宋体" w:hAnsi="宋体"/>
                <w:color w:val="000000"/>
                <w:sz w:val="21"/>
                <w:szCs w:val="21"/>
                <w:highlight w:val="none"/>
                <w:lang w:bidi="ar"/>
              </w:rPr>
              <w:t xml:space="preserve">（交替通行）</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块</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240.00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0.33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6720.00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59</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轮廓标</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4788.00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107730.00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60</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轮廓标</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714.00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22.50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13471.74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61</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报警编号牌</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8876.00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32.00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0.04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284032.00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2年</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62</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报警编号牌</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1166.00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32.00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0.04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31289.00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63</w:t>
            </w:r>
            <w:r/>
          </w:p>
        </w:tc>
        <w:tc>
          <w:tcPr>
            <w:tcW w:w="1586"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道钉</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个</w:t>
            </w:r>
            <w:r/>
          </w:p>
        </w:tc>
        <w:tc>
          <w:tcPr>
            <w:tcW w:w="103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500.00 </w:t>
            </w:r>
            <w:r/>
          </w:p>
        </w:tc>
        <w:tc>
          <w:tcPr>
            <w:tcW w:w="130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25.00 </w:t>
            </w:r>
            <w:r/>
          </w:p>
        </w:tc>
        <w:tc>
          <w:tcPr>
            <w:tcW w:w="1350"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0.03 </w:t>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color w:val="000000"/>
                <w:sz w:val="21"/>
                <w:szCs w:val="21"/>
                <w:highlight w:val="none"/>
                <w:lang w:bidi="ar"/>
              </w:rPr>
              <w:t xml:space="preserve">10482.22 </w:t>
            </w:r>
            <w:r/>
          </w:p>
        </w:tc>
        <w:tc>
          <w:tcPr>
            <w:tcW w:w="910" w:type="dxa"/>
            <w:textDirection w:val="lrTb"/>
            <w:noWrap w:val="false"/>
          </w:tcPr>
          <w:p>
            <w:pPr>
              <w:ind w:left="0"/>
              <w:jc w:val="center"/>
              <w:spacing w:after="200" w:line="276" w:lineRule="auto"/>
              <w:widowControl/>
              <w:rPr>
                <w:rFonts w:ascii="宋体" w:hAnsi="宋体"/>
                <w:color w:val="000000"/>
                <w:sz w:val="21"/>
                <w:szCs w:val="21"/>
                <w:highlight w:val="none"/>
                <w:lang w:bidi="ar"/>
              </w:rPr>
            </w:pPr>
            <w:r>
              <w:rPr>
                <w:rFonts w:hint="eastAsia" w:ascii="宋体" w:hAnsi="宋体"/>
                <w:color w:val="000000"/>
                <w:sz w:val="21"/>
                <w:szCs w:val="21"/>
                <w:highlight w:val="none"/>
                <w:lang w:bidi="ar"/>
              </w:rPr>
              <w:t xml:space="preserve">613天</w:t>
            </w:r>
            <w:r/>
          </w:p>
        </w:tc>
      </w:tr>
      <w:tr>
        <w:trPr/>
        <w:tc>
          <w:tcPr>
            <w:tcW w:w="64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64</w:t>
            </w:r>
            <w:r/>
          </w:p>
        </w:tc>
        <w:tc>
          <w:tcPr>
            <w:tcW w:w="1586"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t xml:space="preserve">合计</w:t>
            </w:r>
            <w:r/>
          </w:p>
        </w:tc>
        <w:tc>
          <w:tcPr>
            <w:tcW w:w="60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r>
            <w:r/>
          </w:p>
        </w:tc>
        <w:tc>
          <w:tcPr>
            <w:tcW w:w="103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r>
            <w:r/>
          </w:p>
        </w:tc>
        <w:tc>
          <w:tcPr>
            <w:tcW w:w="1305"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r>
            <w:r/>
          </w:p>
        </w:tc>
        <w:tc>
          <w:tcPr>
            <w:tcW w:w="135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r>
            <w:r/>
          </w:p>
        </w:tc>
        <w:tc>
          <w:tcPr>
            <w:tcW w:w="1425" w:type="dxa"/>
            <w:vAlign w:val="center"/>
            <w:textDirection w:val="lrTb"/>
            <w:noWrap w:val="false"/>
          </w:tcPr>
          <w:p>
            <w:pPr>
              <w:ind w:left="0"/>
              <w:jc w:val="center"/>
              <w:spacing w:after="200" w:line="276" w:lineRule="auto"/>
              <w:widowControl/>
              <w:rPr>
                <w:rFonts w:ascii="宋体" w:hAnsi="宋体" w:cs="Times New Roman"/>
                <w:sz w:val="21"/>
                <w:szCs w:val="21"/>
                <w:highlight w:val="none"/>
                <w:lang w:eastAsia="en-US"/>
              </w:rPr>
            </w:pPr>
            <w:r>
              <w:rPr>
                <w:rFonts w:hint="eastAsia" w:ascii="宋体" w:hAnsi="宋体"/>
                <w:b/>
                <w:bCs/>
                <w:color w:val="000000"/>
                <w:sz w:val="21"/>
                <w:szCs w:val="21"/>
                <w:highlight w:val="none"/>
                <w:lang w:bidi="ar"/>
              </w:rPr>
              <w:t xml:space="preserve">17378732.70 </w:t>
            </w:r>
            <w:r/>
          </w:p>
        </w:tc>
        <w:tc>
          <w:tcPr>
            <w:tcW w:w="910" w:type="dxa"/>
            <w:textDirection w:val="lrTb"/>
            <w:noWrap w:val="false"/>
          </w:tcPr>
          <w:p>
            <w:pPr>
              <w:ind w:left="0"/>
              <w:jc w:val="center"/>
              <w:widowControl w:val="off"/>
              <w:rPr>
                <w:rFonts w:ascii="宋体" w:hAnsi="宋体" w:cs="Times New Roman"/>
                <w:sz w:val="21"/>
                <w:szCs w:val="21"/>
                <w:highlight w:val="none"/>
                <w:lang w:eastAsia="en-US"/>
              </w:rPr>
            </w:pPr>
            <w:r>
              <w:rPr>
                <w:rFonts w:ascii="宋体" w:hAnsi="宋体" w:cs="Times New Roman"/>
                <w:sz w:val="21"/>
                <w:szCs w:val="21"/>
                <w:highlight w:val="none"/>
                <w:lang w:eastAsia="en-US"/>
              </w:rPr>
            </w:r>
            <w:r/>
          </w:p>
        </w:tc>
      </w:tr>
    </w:tbl>
    <w:p>
      <w:pPr>
        <w:pStyle w:val="853"/>
        <w:ind w:left="0" w:firstLine="0"/>
        <w:rPr>
          <w:sz w:val="21"/>
          <w:szCs w:val="21"/>
          <w:highlight w:val="none"/>
        </w:rPr>
      </w:pPr>
      <w:r>
        <w:rPr>
          <w:sz w:val="21"/>
          <w:szCs w:val="21"/>
          <w:highlight w:val="none"/>
        </w:r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仿宋">
    <w:panose1 w:val="02010609060101010101"/>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0"/>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0"/>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90"/>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90"/>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90"/>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0"/>
  </w:num>
  <w:num w:numId="4">
    <w:abstractNumId w:val="1"/>
  </w:num>
  <w:num w:numId="5">
    <w:abstractNumId w:val="2"/>
  </w:num>
  <w:num w:numId="6">
    <w:abstractNumId w:val="3"/>
  </w:num>
  <w:num w:numId="7">
    <w:abstractNumId w:val="8"/>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87"/>
    <w:uiPriority w:val="11"/>
    <w:rPr>
      <w:sz w:val="24"/>
      <w:szCs w:val="24"/>
    </w:rPr>
  </w:style>
  <w:style w:type="character" w:styleId="38">
    <w:name w:val="Quote Char"/>
    <w:link w:val="1092"/>
    <w:uiPriority w:val="29"/>
    <w:rPr>
      <w:i/>
    </w:rPr>
  </w:style>
  <w:style w:type="character" w:styleId="40">
    <w:name w:val="Intense Quote Char"/>
    <w:link w:val="1218"/>
    <w:uiPriority w:val="30"/>
    <w:rPr>
      <w:i/>
    </w:rPr>
  </w:style>
  <w:style w:type="character" w:styleId="42">
    <w:name w:val="Header Char"/>
    <w:basedOn w:val="851"/>
    <w:link w:val="885"/>
    <w:uiPriority w:val="99"/>
  </w:style>
  <w:style w:type="character" w:styleId="44">
    <w:name w:val="Footer Char"/>
    <w:basedOn w:val="851"/>
    <w:link w:val="883"/>
    <w:uiPriority w:val="99"/>
  </w:style>
  <w:style w:type="character" w:styleId="46">
    <w:name w:val="Caption Char"/>
    <w:basedOn w:val="860"/>
    <w:link w:val="883"/>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80"/>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3"/>
    <w:uiPriority w:val="0"/>
    <w:qFormat/>
    <w:pPr>
      <w:ind w:left="1024"/>
      <w:jc w:val="both"/>
    </w:pPr>
    <w:rPr>
      <w:rFonts w:ascii="Calibri" w:hAnsi="Calibri" w:eastAsia="宋体" w:cs="宋体"/>
      <w:lang w:val="en-US" w:eastAsia="zh-CN" w:bidi="ar-SA"/>
    </w:rPr>
  </w:style>
  <w:style w:type="paragraph" w:styleId="842">
    <w:name w:val="Heading 1"/>
    <w:basedOn w:val="841"/>
    <w:next w:val="841"/>
    <w:uiPriority w:val="0"/>
    <w:qFormat/>
    <w:pPr>
      <w:ind w:left="432" w:firstLine="18"/>
      <w:spacing w:before="340" w:after="330" w:line="578" w:lineRule="auto"/>
      <w:outlineLvl w:val="0"/>
    </w:pPr>
  </w:style>
  <w:style w:type="paragraph" w:styleId="843">
    <w:name w:val="Heading 2"/>
    <w:basedOn w:val="841"/>
    <w:next w:val="841"/>
    <w:uiPriority w:val="0"/>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4"/>
    <w:uiPriority w:val="0"/>
    <w:qFormat/>
    <w:pPr>
      <w:ind w:left="720"/>
      <w:spacing w:before="260" w:after="260" w:line="416" w:lineRule="auto"/>
      <w:outlineLvl w:val="2"/>
    </w:pPr>
    <w:rPr>
      <w:rFonts w:ascii="Times New Roman" w:hAnsi="Times New Roman" w:cs="Times New Roman"/>
    </w:rPr>
  </w:style>
  <w:style w:type="paragraph" w:styleId="845">
    <w:name w:val="Heading 4"/>
    <w:basedOn w:val="842"/>
    <w:next w:val="841"/>
    <w:uiPriority w:val="0"/>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uiPriority w:val="0"/>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uiPriority w:val="0"/>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uiPriority w:val="0"/>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uiPriority w:val="0"/>
    <w:qFormat/>
    <w:pPr>
      <w:ind w:left="1440"/>
      <w:spacing w:before="240" w:after="64" w:line="320" w:lineRule="auto"/>
      <w:outlineLvl w:val="7"/>
    </w:pPr>
    <w:rPr>
      <w:rFonts w:ascii="Times New Roman" w:hAnsi="Times New Roman" w:cs="Times New Roman"/>
    </w:rPr>
  </w:style>
  <w:style w:type="paragraph" w:styleId="850">
    <w:name w:val="Heading 9"/>
    <w:basedOn w:val="842"/>
    <w:next w:val="841"/>
    <w:uiPriority w:val="0"/>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qFormat/>
  </w:style>
  <w:style w:type="table" w:styleId="852" w:default="1">
    <w:name w:val="Normal Table"/>
    <w:uiPriority w:val="99"/>
    <w:semiHidden/>
    <w:unhideWhenUsed/>
    <w:qFormat/>
    <w:tblPr>
      <w:tblCellMar>
        <w:left w:w="108" w:type="dxa"/>
        <w:top w:w="0" w:type="dxa"/>
        <w:right w:w="108" w:type="dxa"/>
        <w:bottom w:w="0" w:type="dxa"/>
      </w:tblCellMar>
    </w:tblPr>
  </w:style>
  <w:style w:type="paragraph" w:styleId="853">
    <w:name w:val="Body Text Indent"/>
    <w:basedOn w:val="841"/>
    <w:next w:val="841"/>
    <w:uiPriority w:val="0"/>
    <w:qFormat/>
    <w:pPr>
      <w:ind w:left="420" w:firstLine="1188"/>
      <w:spacing w:line="360" w:lineRule="exact"/>
    </w:pPr>
    <w:rPr>
      <w:rFonts w:ascii="Times New Roman" w:hAnsi="Times New Roman" w:cs="Times New Roman"/>
    </w:rPr>
  </w:style>
  <w:style w:type="paragraph" w:styleId="854" w:customStyle="1">
    <w:name w:val="正文2"/>
    <w:basedOn w:val="841"/>
    <w:next w:val="841"/>
    <w:uiPriority w:val="0"/>
    <w:qFormat/>
    <w:pPr>
      <w:ind w:left="0" w:hanging="2155"/>
      <w:spacing w:line="360" w:lineRule="auto"/>
      <w:shd w:val="clear" w:color="auto" w:fill="ffffff"/>
    </w:pPr>
    <w:rPr>
      <w:rFonts w:ascii="宋体" w:hAnsi="宋体"/>
    </w:rPr>
  </w:style>
  <w:style w:type="paragraph" w:styleId="855">
    <w:name w:val="toc 7"/>
    <w:basedOn w:val="842"/>
    <w:next w:val="841"/>
    <w:uiPriority w:val="0"/>
    <w:qFormat/>
    <w:pPr>
      <w:ind w:left="1640" w:firstLine="3784"/>
      <w:spacing w:before="0" w:after="0" w:line="360" w:lineRule="auto"/>
    </w:pPr>
    <w:rPr>
      <w:rFonts w:ascii="Times New Roman" w:hAnsi="Times New Roman" w:cs="Times New Roman"/>
    </w:rPr>
  </w:style>
  <w:style w:type="paragraph" w:styleId="856">
    <w:name w:val="List Bullet 4"/>
    <w:basedOn w:val="842"/>
    <w:next w:val="857"/>
    <w:uiPriority w:val="0"/>
    <w:qFormat/>
    <w:pPr>
      <w:ind w:left="1620" w:firstLine="2652"/>
      <w:spacing w:before="0" w:after="0" w:line="360" w:lineRule="auto"/>
    </w:pPr>
    <w:rPr>
      <w:rFonts w:ascii="Times New Roman" w:hAnsi="Times New Roman" w:cs="Times New Roman"/>
    </w:rPr>
  </w:style>
  <w:style w:type="paragraph" w:styleId="857">
    <w:name w:val="List Bullet 2"/>
    <w:basedOn w:val="842"/>
    <w:next w:val="841"/>
    <w:uiPriority w:val="0"/>
    <w:qFormat/>
    <w:pPr>
      <w:ind w:left="900" w:firstLine="2652"/>
      <w:spacing w:before="0" w:after="0" w:line="360" w:lineRule="auto"/>
    </w:pPr>
    <w:rPr>
      <w:rFonts w:ascii="Times New Roman" w:hAnsi="Times New Roman" w:cs="Times New Roman"/>
    </w:rPr>
  </w:style>
  <w:style w:type="paragraph" w:styleId="858">
    <w:name w:val="List Number"/>
    <w:basedOn w:val="842"/>
    <w:next w:val="841"/>
    <w:uiPriority w:val="0"/>
    <w:qFormat/>
    <w:pPr>
      <w:ind w:left="454" w:firstLine="2788"/>
      <w:spacing w:before="0" w:after="0" w:line="240" w:lineRule="auto"/>
    </w:pPr>
    <w:rPr>
      <w:rFonts w:ascii="Times New Roman" w:hAnsi="Times New Roman" w:cs="Times New Roman"/>
    </w:rPr>
  </w:style>
  <w:style w:type="paragraph" w:styleId="859">
    <w:name w:val="Normal Indent"/>
    <w:basedOn w:val="841"/>
    <w:next w:val="841"/>
    <w:link w:val="909"/>
    <w:uiPriority w:val="0"/>
    <w:qFormat/>
    <w:pPr>
      <w:ind w:left="420" w:firstLine="4772"/>
    </w:pPr>
  </w:style>
  <w:style w:type="paragraph" w:styleId="860">
    <w:name w:val="Caption"/>
    <w:basedOn w:val="842"/>
    <w:next w:val="841"/>
    <w:uiPriority w:val="0"/>
    <w:qFormat/>
    <w:pPr>
      <w:ind w:left="200" w:firstLine="2248"/>
      <w:jc w:val="center"/>
      <w:spacing w:before="0" w:after="0" w:line="240" w:lineRule="auto"/>
    </w:pPr>
    <w:rPr>
      <w:rFonts w:ascii="Times New Roman" w:hAnsi="Times New Roman" w:cs="Times New Roman"/>
    </w:rPr>
  </w:style>
  <w:style w:type="paragraph" w:styleId="861">
    <w:name w:val="List Bullet"/>
    <w:basedOn w:val="842"/>
    <w:next w:val="841"/>
    <w:uiPriority w:val="0"/>
    <w:qFormat/>
    <w:pPr>
      <w:ind w:left="900" w:firstLine="2652"/>
      <w:spacing w:before="0" w:after="0" w:line="360" w:lineRule="auto"/>
    </w:pPr>
    <w:rPr>
      <w:rFonts w:ascii="Times New Roman" w:hAnsi="Times New Roman" w:cs="Times New Roman"/>
    </w:rPr>
  </w:style>
  <w:style w:type="paragraph" w:styleId="862">
    <w:name w:val="Document Map"/>
    <w:basedOn w:val="842"/>
    <w:next w:val="863"/>
    <w:uiPriority w:val="0"/>
    <w:qFormat/>
    <w:pPr>
      <w:ind w:left="0" w:firstLine="4"/>
      <w:spacing w:before="0" w:after="0" w:line="240" w:lineRule="auto"/>
      <w:shd w:val="clear" w:color="000000" w:fill="000080"/>
    </w:pPr>
    <w:rPr>
      <w:rFonts w:ascii="Times New Roman" w:hAnsi="Times New Roman" w:cs="Times New Roman"/>
    </w:rPr>
  </w:style>
  <w:style w:type="paragraph" w:styleId="863">
    <w:name w:val="annotation subject"/>
    <w:next w:val="841"/>
    <w:uiPriority w:val="0"/>
    <w:qFormat/>
    <w:pPr>
      <w:ind w:firstLine="4608"/>
      <w:spacing w:line="360" w:lineRule="auto"/>
    </w:pPr>
    <w:rPr>
      <w:rFonts w:ascii="Calibri" w:hAnsi="Calibri" w:eastAsia="宋体" w:cs="宋体"/>
      <w:lang w:val="en-US" w:eastAsia="zh-CN" w:bidi="ar-SA"/>
    </w:rPr>
  </w:style>
  <w:style w:type="paragraph" w:styleId="864">
    <w:name w:val="annotation text"/>
    <w:basedOn w:val="842"/>
    <w:next w:val="841"/>
    <w:uiPriority w:val="0"/>
    <w:qFormat/>
    <w:pPr>
      <w:ind w:left="0" w:firstLine="3584"/>
      <w:spacing w:before="0" w:after="0" w:line="360" w:lineRule="auto"/>
    </w:pPr>
    <w:rPr>
      <w:rFonts w:ascii="Times New Roman" w:hAnsi="Times New Roman" w:cs="Times New Roman"/>
    </w:rPr>
  </w:style>
  <w:style w:type="paragraph" w:styleId="865">
    <w:name w:val="Body Text 3"/>
    <w:basedOn w:val="842"/>
    <w:next w:val="841"/>
    <w:uiPriority w:val="0"/>
    <w:qFormat/>
    <w:pPr>
      <w:ind w:left="0" w:firstLine="2048"/>
      <w:spacing w:before="0" w:after="0" w:line="500" w:lineRule="exact"/>
    </w:pPr>
    <w:rPr>
      <w:rFonts w:ascii="Times New Roman" w:hAnsi="Times New Roman" w:cs="Times New Roman"/>
    </w:rPr>
  </w:style>
  <w:style w:type="paragraph" w:styleId="866">
    <w:name w:val="List Bullet 3"/>
    <w:basedOn w:val="842"/>
    <w:next w:val="841"/>
    <w:uiPriority w:val="0"/>
    <w:qFormat/>
    <w:pPr>
      <w:ind w:left="900" w:firstLine="2652"/>
      <w:spacing w:before="0" w:after="0" w:line="360" w:lineRule="auto"/>
    </w:pPr>
    <w:rPr>
      <w:rFonts w:ascii="Times New Roman" w:hAnsi="Times New Roman" w:cs="Times New Roman"/>
    </w:rPr>
  </w:style>
  <w:style w:type="paragraph" w:styleId="867">
    <w:name w:val="Body Text"/>
    <w:basedOn w:val="841"/>
    <w:next w:val="841"/>
    <w:uiPriority w:val="0"/>
    <w:qFormat/>
    <w:pPr>
      <w:ind w:left="0" w:firstLine="2560"/>
    </w:pPr>
    <w:rPr>
      <w:rFonts w:ascii="Times New Roman" w:hAnsi="Times New Roman" w:cs="Times New Roman"/>
    </w:rPr>
  </w:style>
  <w:style w:type="paragraph" w:styleId="868">
    <w:name w:val="List Number 3"/>
    <w:basedOn w:val="842"/>
    <w:next w:val="841"/>
    <w:uiPriority w:val="0"/>
    <w:qFormat/>
    <w:pPr>
      <w:ind w:left="420" w:firstLine="3584"/>
      <w:spacing w:before="0" w:after="0" w:line="240" w:lineRule="auto"/>
    </w:pPr>
    <w:rPr>
      <w:rFonts w:ascii="Times New Roman" w:hAnsi="Times New Roman" w:cs="Times New Roman"/>
    </w:rPr>
  </w:style>
  <w:style w:type="paragraph" w:styleId="869">
    <w:name w:val="List 2"/>
    <w:basedOn w:val="842"/>
    <w:next w:val="855"/>
    <w:uiPriority w:val="0"/>
    <w:qFormat/>
    <w:pPr>
      <w:ind w:left="100" w:firstLine="3640"/>
      <w:spacing w:before="0" w:after="0" w:line="240" w:lineRule="auto"/>
    </w:pPr>
    <w:rPr>
      <w:rFonts w:ascii="Times New Roman" w:hAnsi="Times New Roman" w:cs="Times New Roman"/>
    </w:rPr>
  </w:style>
  <w:style w:type="paragraph" w:styleId="870">
    <w:name w:val="Block Text"/>
    <w:basedOn w:val="842"/>
    <w:next w:val="841"/>
    <w:uiPriority w:val="0"/>
    <w:qFormat/>
    <w:pPr>
      <w:ind w:left="420" w:right="33" w:firstLine="2560"/>
      <w:spacing w:before="0" w:after="0" w:line="240" w:lineRule="auto"/>
    </w:pPr>
    <w:rPr>
      <w:rFonts w:ascii="Times New Roman" w:hAnsi="Times New Roman" w:cs="Times New Roman"/>
    </w:rPr>
  </w:style>
  <w:style w:type="paragraph" w:styleId="871">
    <w:name w:val="toc 5"/>
    <w:basedOn w:val="842"/>
    <w:next w:val="841"/>
    <w:uiPriority w:val="0"/>
    <w:qFormat/>
    <w:pPr>
      <w:ind w:left="1160" w:firstLine="3784"/>
      <w:spacing w:before="0" w:after="0" w:line="360" w:lineRule="auto"/>
    </w:pPr>
    <w:rPr>
      <w:rFonts w:ascii="Times New Roman" w:hAnsi="Times New Roman" w:cs="Times New Roman"/>
    </w:rPr>
  </w:style>
  <w:style w:type="paragraph" w:styleId="872">
    <w:name w:val="toc 3"/>
    <w:basedOn w:val="842"/>
    <w:next w:val="841"/>
    <w:uiPriority w:val="0"/>
    <w:qFormat/>
    <w:pPr>
      <w:ind w:left="0" w:firstLine="1024"/>
      <w:spacing w:before="0" w:after="0" w:line="360" w:lineRule="auto"/>
    </w:pPr>
    <w:rPr>
      <w:rFonts w:ascii="Times New Roman" w:hAnsi="Times New Roman" w:cs="Times New Roman"/>
    </w:rPr>
  </w:style>
  <w:style w:type="paragraph" w:styleId="873">
    <w:name w:val="Plain Text"/>
    <w:basedOn w:val="842"/>
    <w:next w:val="874"/>
    <w:uiPriority w:val="0"/>
    <w:qFormat/>
    <w:pPr>
      <w:ind w:left="0" w:firstLine="2048"/>
      <w:spacing w:before="0" w:after="0" w:line="240" w:lineRule="auto"/>
    </w:pPr>
    <w:rPr>
      <w:rFonts w:ascii="Times New Roman" w:hAnsi="Times New Roman" w:cs="Times New Roman"/>
    </w:rPr>
  </w:style>
  <w:style w:type="paragraph" w:styleId="874">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5">
    <w:name w:val="List Bullet 5"/>
    <w:basedOn w:val="842"/>
    <w:next w:val="876"/>
    <w:uiPriority w:val="0"/>
    <w:qFormat/>
    <w:pPr>
      <w:ind w:left="2040" w:firstLine="2560"/>
      <w:spacing w:before="0" w:after="0" w:line="360" w:lineRule="auto"/>
    </w:pPr>
    <w:rPr>
      <w:rFonts w:ascii="Times New Roman" w:hAnsi="Times New Roman" w:cs="Times New Roman"/>
    </w:rPr>
  </w:style>
  <w:style w:type="paragraph" w:styleId="876" w:customStyle="1">
    <w:name w:val="正文首行缩进1"/>
    <w:next w:val="868"/>
    <w:uiPriority w:val="0"/>
    <w:qFormat/>
    <w:pPr>
      <w:ind w:left="420" w:firstLine="2724"/>
      <w:spacing w:after="120" w:line="360" w:lineRule="auto"/>
    </w:pPr>
    <w:rPr>
      <w:rFonts w:ascii="Calibri" w:hAnsi="Calibri" w:eastAsia="宋体" w:cs="宋体"/>
      <w:lang w:val="en-US" w:eastAsia="zh-CN" w:bidi="ar-SA"/>
    </w:rPr>
  </w:style>
  <w:style w:type="paragraph" w:styleId="877">
    <w:name w:val="toc 8"/>
    <w:basedOn w:val="842"/>
    <w:next w:val="841"/>
    <w:uiPriority w:val="0"/>
    <w:qFormat/>
    <w:pPr>
      <w:ind w:left="1880" w:firstLine="3784"/>
      <w:spacing w:before="0" w:after="0" w:line="360" w:lineRule="auto"/>
    </w:pPr>
    <w:rPr>
      <w:rFonts w:ascii="Times New Roman" w:hAnsi="Times New Roman" w:cs="Times New Roman"/>
    </w:rPr>
  </w:style>
  <w:style w:type="paragraph" w:styleId="878">
    <w:name w:val="Date"/>
    <w:basedOn w:val="842"/>
    <w:next w:val="841"/>
    <w:uiPriority w:val="0"/>
    <w:qFormat/>
    <w:pPr>
      <w:ind w:left="0" w:firstLine="2560"/>
      <w:spacing w:before="0" w:after="0" w:line="240" w:lineRule="auto"/>
    </w:pPr>
    <w:rPr>
      <w:rFonts w:ascii="Times New Roman" w:hAnsi="Times New Roman" w:cs="Times New Roman"/>
    </w:rPr>
  </w:style>
  <w:style w:type="paragraph" w:styleId="879">
    <w:name w:val="Body Text Indent 2"/>
    <w:basedOn w:val="842"/>
    <w:next w:val="853"/>
    <w:uiPriority w:val="0"/>
    <w:qFormat/>
    <w:pPr>
      <w:ind w:left="481" w:firstLine="2784"/>
      <w:spacing w:before="0" w:after="0" w:line="400" w:lineRule="exact"/>
    </w:pPr>
    <w:rPr>
      <w:rFonts w:ascii="Times New Roman" w:hAnsi="Times New Roman" w:cs="Times New Roman"/>
    </w:rPr>
  </w:style>
  <w:style w:type="paragraph" w:styleId="880">
    <w:name w:val="endnote text"/>
    <w:basedOn w:val="842"/>
    <w:next w:val="881"/>
    <w:uiPriority w:val="0"/>
    <w:qFormat/>
    <w:pPr>
      <w:ind w:left="0" w:firstLine="2560"/>
      <w:spacing w:before="0" w:after="0" w:line="360" w:lineRule="auto"/>
    </w:pPr>
    <w:rPr>
      <w:rFonts w:ascii="Times New Roman" w:hAnsi="Times New Roman" w:cs="Times New Roman"/>
    </w:rPr>
  </w:style>
  <w:style w:type="paragraph" w:styleId="881" w:customStyle="1">
    <w:name w:val="Char11"/>
    <w:basedOn w:val="842"/>
    <w:next w:val="841"/>
    <w:uiPriority w:val="0"/>
    <w:qFormat/>
    <w:pPr>
      <w:ind w:left="0" w:firstLine="3584"/>
      <w:spacing w:before="0" w:after="0" w:line="240" w:lineRule="auto"/>
    </w:pPr>
    <w:rPr>
      <w:rFonts w:ascii="Times New Roman" w:hAnsi="Times New Roman" w:cs="Times New Roman"/>
    </w:rPr>
  </w:style>
  <w:style w:type="paragraph" w:styleId="882">
    <w:name w:val="Balloon Text"/>
    <w:basedOn w:val="842"/>
    <w:next w:val="858"/>
    <w:uiPriority w:val="0"/>
    <w:qFormat/>
    <w:pPr>
      <w:ind w:left="0" w:firstLine="2048"/>
      <w:spacing w:before="0" w:after="0" w:line="240" w:lineRule="auto"/>
    </w:pPr>
    <w:rPr>
      <w:rFonts w:ascii="Times New Roman" w:hAnsi="Times New Roman" w:cs="Times New Roman"/>
    </w:rPr>
  </w:style>
  <w:style w:type="paragraph" w:styleId="883">
    <w:name w:val="Footer"/>
    <w:basedOn w:val="841"/>
    <w:next w:val="884"/>
    <w:link w:val="910"/>
    <w:uiPriority w:val="0"/>
    <w:qFormat/>
    <w:pPr>
      <w:ind w:left="0" w:firstLine="3584"/>
    </w:pPr>
  </w:style>
  <w:style w:type="paragraph" w:styleId="884" w:customStyle="1">
    <w:name w:val="Char Char Char Char Char Char Char Char Char Char Char Char Char"/>
    <w:basedOn w:val="842"/>
    <w:next w:val="841"/>
    <w:uiPriority w:val="0"/>
    <w:qFormat/>
    <w:pPr>
      <w:ind w:left="0" w:firstLine="3584"/>
      <w:spacing w:before="0" w:after="160" w:line="240" w:lineRule="exact"/>
    </w:pPr>
    <w:rPr>
      <w:rFonts w:ascii="Times New Roman" w:hAnsi="Times New Roman" w:cs="Times New Roman"/>
    </w:rPr>
  </w:style>
  <w:style w:type="paragraph" w:styleId="885">
    <w:name w:val="Header"/>
    <w:basedOn w:val="842"/>
    <w:next w:val="878"/>
    <w:link w:val="911"/>
    <w:uiPriority w:val="0"/>
    <w:qFormat/>
    <w:pPr>
      <w:ind w:left="0" w:firstLine="3584"/>
      <w:jc w:val="center"/>
      <w:spacing w:before="0" w:after="0" w:line="240" w:lineRule="auto"/>
    </w:pPr>
  </w:style>
  <w:style w:type="paragraph" w:styleId="886">
    <w:name w:val="toc 4"/>
    <w:basedOn w:val="842"/>
    <w:next w:val="841"/>
    <w:uiPriority w:val="0"/>
    <w:qFormat/>
    <w:pPr>
      <w:ind w:left="1260" w:firstLine="1024"/>
      <w:spacing w:before="0" w:after="0" w:line="240" w:lineRule="auto"/>
    </w:pPr>
    <w:rPr>
      <w:rFonts w:ascii="Times New Roman" w:hAnsi="Times New Roman" w:cs="Times New Roman"/>
    </w:rPr>
  </w:style>
  <w:style w:type="paragraph" w:styleId="887">
    <w:name w:val="Subtitle"/>
    <w:next w:val="841"/>
    <w:uiPriority w:val="0"/>
    <w:qFormat/>
    <w:pPr>
      <w:ind w:left="1024"/>
      <w:jc w:val="center"/>
      <w:spacing w:after="60"/>
    </w:pPr>
    <w:rPr>
      <w:rFonts w:ascii="Calibri" w:hAnsi="Calibri" w:eastAsia="宋体" w:cs="宋体"/>
      <w:lang w:val="en-US" w:eastAsia="zh-CN" w:bidi="ar-SA"/>
    </w:rPr>
  </w:style>
  <w:style w:type="paragraph" w:styleId="888">
    <w:name w:val="List"/>
    <w:basedOn w:val="842"/>
    <w:next w:val="889"/>
    <w:uiPriority w:val="0"/>
    <w:qFormat/>
    <w:pPr>
      <w:ind w:left="200" w:firstLine="3640"/>
      <w:spacing w:before="0" w:after="0" w:line="240" w:lineRule="auto"/>
    </w:pPr>
    <w:rPr>
      <w:rFonts w:ascii="Times New Roman" w:hAnsi="Times New Roman" w:cs="Times New Roman"/>
    </w:rPr>
  </w:style>
  <w:style w:type="paragraph" w:styleId="889">
    <w:name w:val="Body Text First Indent"/>
    <w:next w:val="841"/>
    <w:uiPriority w:val="0"/>
    <w:qFormat/>
    <w:pPr>
      <w:ind w:left="420" w:firstLine="3748"/>
      <w:spacing w:after="120"/>
    </w:pPr>
    <w:rPr>
      <w:rFonts w:ascii="Calibri" w:hAnsi="Calibri" w:eastAsia="宋体" w:cs="宋体"/>
      <w:lang w:val="en-US" w:eastAsia="zh-CN" w:bidi="ar-SA"/>
    </w:rPr>
  </w:style>
  <w:style w:type="paragraph" w:styleId="890">
    <w:name w:val="footnote text"/>
    <w:basedOn w:val="842"/>
    <w:next w:val="870"/>
    <w:link w:val="1259"/>
    <w:uiPriority w:val="0"/>
    <w:qFormat/>
    <w:pPr>
      <w:ind w:left="0" w:firstLine="3584"/>
      <w:spacing w:before="0" w:after="0" w:line="360" w:lineRule="auto"/>
    </w:pPr>
    <w:rPr>
      <w:rFonts w:ascii="Times New Roman" w:hAnsi="Times New Roman" w:cs="Times New Roman"/>
    </w:rPr>
  </w:style>
  <w:style w:type="paragraph" w:styleId="891">
    <w:name w:val="toc 6"/>
    <w:basedOn w:val="842"/>
    <w:next w:val="841"/>
    <w:uiPriority w:val="0"/>
    <w:qFormat/>
    <w:pPr>
      <w:ind w:left="1400" w:firstLine="3784"/>
      <w:spacing w:before="0" w:after="0" w:line="360" w:lineRule="auto"/>
    </w:pPr>
    <w:rPr>
      <w:rFonts w:ascii="Times New Roman" w:hAnsi="Times New Roman" w:cs="Times New Roman"/>
    </w:rPr>
  </w:style>
  <w:style w:type="paragraph" w:styleId="892">
    <w:name w:val="List 5"/>
    <w:basedOn w:val="842"/>
    <w:next w:val="867"/>
    <w:uiPriority w:val="0"/>
    <w:qFormat/>
    <w:pPr>
      <w:ind w:left="2100" w:firstLine="3676"/>
      <w:spacing w:before="0" w:after="0" w:line="240" w:lineRule="auto"/>
    </w:pPr>
    <w:rPr>
      <w:rFonts w:ascii="Times New Roman" w:hAnsi="Times New Roman" w:cs="Times New Roman"/>
    </w:rPr>
  </w:style>
  <w:style w:type="paragraph" w:styleId="893">
    <w:name w:val="Body Text Indent 3"/>
    <w:basedOn w:val="842"/>
    <w:next w:val="891"/>
    <w:uiPriority w:val="0"/>
    <w:qFormat/>
    <w:pPr>
      <w:ind w:left="480" w:firstLine="2784"/>
      <w:spacing w:before="0" w:after="0" w:line="400" w:lineRule="exact"/>
    </w:pPr>
    <w:rPr>
      <w:rFonts w:ascii="Times New Roman" w:hAnsi="Times New Roman" w:cs="Times New Roman"/>
    </w:rPr>
  </w:style>
  <w:style w:type="paragraph" w:styleId="894">
    <w:name w:val="toc 2"/>
    <w:basedOn w:val="842"/>
    <w:next w:val="841"/>
    <w:uiPriority w:val="0"/>
    <w:qFormat/>
    <w:pPr>
      <w:ind w:left="0" w:firstLine="1024"/>
      <w:spacing w:before="0" w:after="0" w:line="360" w:lineRule="auto"/>
    </w:pPr>
    <w:rPr>
      <w:rFonts w:ascii="Times New Roman" w:hAnsi="Times New Roman" w:cs="Times New Roman"/>
    </w:rPr>
  </w:style>
  <w:style w:type="paragraph" w:styleId="895">
    <w:name w:val="toc 9"/>
    <w:basedOn w:val="842"/>
    <w:next w:val="841"/>
    <w:uiPriority w:val="0"/>
    <w:qFormat/>
    <w:pPr>
      <w:ind w:left="2120" w:firstLine="3784"/>
      <w:spacing w:before="0" w:after="0" w:line="360" w:lineRule="auto"/>
    </w:pPr>
    <w:rPr>
      <w:rFonts w:ascii="Times New Roman" w:hAnsi="Times New Roman" w:cs="Times New Roman"/>
    </w:rPr>
  </w:style>
  <w:style w:type="paragraph" w:styleId="896">
    <w:name w:val="Body Text 2"/>
    <w:basedOn w:val="842"/>
    <w:next w:val="861"/>
    <w:uiPriority w:val="0"/>
    <w:qFormat/>
    <w:pPr>
      <w:ind w:left="0" w:firstLine="1024"/>
      <w:spacing w:before="0" w:after="120" w:line="480" w:lineRule="auto"/>
    </w:pPr>
    <w:rPr>
      <w:rFonts w:ascii="Times New Roman" w:hAnsi="Times New Roman" w:cs="Times New Roman"/>
    </w:rPr>
  </w:style>
  <w:style w:type="paragraph" w:styleId="897">
    <w:name w:val="HTML Preformatted"/>
    <w:basedOn w:val="842"/>
    <w:next w:val="860"/>
    <w:uiPriority w:val="0"/>
    <w:qFormat/>
    <w:pPr>
      <w:ind w:left="0" w:firstLine="2048"/>
      <w:spacing w:before="0" w:after="0" w:line="253" w:lineRule="atLeast"/>
    </w:pPr>
    <w:rPr>
      <w:rFonts w:ascii="Times New Roman" w:hAnsi="Times New Roman" w:cs="Times New Roman"/>
    </w:rPr>
  </w:style>
  <w:style w:type="paragraph" w:styleId="898">
    <w:name w:val="Normal (Web)"/>
    <w:basedOn w:val="841"/>
    <w:next w:val="869"/>
    <w:uiPriority w:val="0"/>
    <w:qFormat/>
    <w:pPr>
      <w:ind w:left="15" w:right="15" w:firstLine="4608"/>
      <w:spacing w:before="60" w:after="60" w:line="312" w:lineRule="auto"/>
    </w:pPr>
    <w:rPr>
      <w:rFonts w:ascii="Times New Roman" w:hAnsi="Times New Roman" w:cs="Times New Roman"/>
    </w:rPr>
  </w:style>
  <w:style w:type="paragraph" w:styleId="899">
    <w:name w:val="index 1"/>
    <w:basedOn w:val="842"/>
    <w:next w:val="841"/>
    <w:uiPriority w:val="0"/>
    <w:qFormat/>
    <w:pPr>
      <w:ind w:left="0" w:firstLine="3584"/>
      <w:spacing w:before="0" w:after="0" w:line="240" w:lineRule="auto"/>
    </w:pPr>
    <w:rPr>
      <w:rFonts w:ascii="Times New Roman" w:hAnsi="Times New Roman" w:cs="Times New Roman"/>
    </w:rPr>
  </w:style>
  <w:style w:type="paragraph" w:styleId="900">
    <w:name w:val="Body Text First Indent 2"/>
    <w:basedOn w:val="853"/>
    <w:uiPriority w:val="0"/>
    <w:unhideWhenUsed/>
    <w:qFormat/>
    <w:pPr>
      <w:ind w:firstLine="420"/>
    </w:pPr>
  </w:style>
  <w:style w:type="table" w:styleId="901">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02">
    <w:name w:val="Strong"/>
    <w:uiPriority w:val="0"/>
    <w:qFormat/>
    <w:rPr>
      <w:rFonts w:ascii="Times New Roman" w:hAnsi="Times New Roman" w:eastAsia="宋体" w:cs="Times New Roman"/>
      <w:b/>
      <w:sz w:val="20"/>
    </w:rPr>
  </w:style>
  <w:style w:type="character" w:styleId="903">
    <w:name w:val="page number"/>
    <w:uiPriority w:val="0"/>
    <w:qFormat/>
    <w:rPr>
      <w:rFonts w:ascii="Times New Roman" w:hAnsi="Times New Roman" w:eastAsia="宋体" w:cs="Times New Roman"/>
      <w:sz w:val="20"/>
    </w:rPr>
  </w:style>
  <w:style w:type="character" w:styleId="904">
    <w:name w:val="FollowedHyperlink"/>
    <w:uiPriority w:val="0"/>
    <w:qFormat/>
    <w:rPr>
      <w:rFonts w:ascii="Times New Roman" w:hAnsi="Times New Roman" w:eastAsia="宋体" w:cs="Times New Roman"/>
      <w:color w:val="800080"/>
      <w:sz w:val="20"/>
      <w:u w:val="single"/>
    </w:rPr>
  </w:style>
  <w:style w:type="character" w:styleId="905">
    <w:name w:val="Emphasis"/>
    <w:uiPriority w:val="0"/>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uiPriority w:val="0"/>
    <w:qFormat/>
    <w:rPr>
      <w:rFonts w:ascii="Times New Roman" w:hAnsi="Times New Roman" w:eastAsia="宋体" w:cs="Times New Roman"/>
      <w:sz w:val="20"/>
    </w:rPr>
  </w:style>
  <w:style w:type="character" w:styleId="908">
    <w:name w:val="footnote reference"/>
    <w:uiPriority w:val="0"/>
    <w:qFormat/>
    <w:rPr>
      <w:rFonts w:ascii="Times New Roman" w:hAnsi="Times New Roman" w:eastAsia="宋体" w:cs="Times New Roman"/>
      <w:vertAlign w:val="superscript"/>
    </w:rPr>
  </w:style>
  <w:style w:type="character" w:styleId="909" w:customStyle="1">
    <w:name w:val="正文缩进 字符"/>
    <w:link w:val="859"/>
    <w:uiPriority w:val="0"/>
    <w:qFormat/>
    <w:rPr>
      <w:rFonts w:ascii="Calibri" w:hAnsi="Calibri" w:eastAsia="宋体" w:cs="Times New Roman"/>
    </w:rPr>
  </w:style>
  <w:style w:type="character" w:styleId="910" w:customStyle="1">
    <w:name w:val="页脚 字符"/>
    <w:link w:val="883"/>
    <w:uiPriority w:val="0"/>
    <w:qFormat/>
    <w:rPr>
      <w:rFonts w:ascii="Calibri" w:hAnsi="Calibri" w:eastAsia="宋体" w:cs="Times New Roman"/>
    </w:rPr>
  </w:style>
  <w:style w:type="character" w:styleId="911" w:customStyle="1">
    <w:name w:val="页眉 字符"/>
    <w:link w:val="885"/>
    <w:uiPriority w:val="0"/>
    <w:qFormat/>
    <w:rPr>
      <w:rFonts w:ascii="Calibri" w:hAnsi="Calibri" w:eastAsia="宋体" w:cs="Times New Roman"/>
    </w:rPr>
  </w:style>
  <w:style w:type="character" w:styleId="912" w:customStyle="1">
    <w:name w:val="日期 Char"/>
    <w:uiPriority w:val="0"/>
    <w:qFormat/>
    <w:rPr>
      <w:rFonts w:ascii="Times New Roman" w:hAnsi="Times New Roman" w:eastAsia="宋体" w:cs="Times New Roman"/>
      <w:sz w:val="20"/>
    </w:rPr>
  </w:style>
  <w:style w:type="character" w:styleId="913" w:customStyle="1">
    <w:name w:val="批注引用1"/>
    <w:uiPriority w:val="0"/>
    <w:qFormat/>
    <w:rPr>
      <w:rFonts w:ascii="Times New Roman" w:hAnsi="Times New Roman" w:eastAsia="宋体" w:cs="Times New Roman"/>
      <w:sz w:val="20"/>
    </w:rPr>
  </w:style>
  <w:style w:type="character" w:styleId="914" w:customStyle="1">
    <w:name w:val="应答文本 Char Char"/>
    <w:uiPriority w:val="0"/>
    <w:qFormat/>
    <w:rPr>
      <w:rFonts w:ascii="Times New Roman" w:hAnsi="Times New Roman" w:eastAsia="宋体" w:cs="Times New Roman"/>
      <w:sz w:val="20"/>
    </w:rPr>
  </w:style>
  <w:style w:type="character" w:styleId="915" w:customStyle="1">
    <w:name w:val="图片0 Char Char"/>
    <w:uiPriority w:val="0"/>
    <w:qFormat/>
    <w:rPr>
      <w:rFonts w:ascii="Times New Roman" w:hAnsi="Times New Roman" w:eastAsia="宋体" w:cs="Times New Roman"/>
      <w:sz w:val="20"/>
    </w:rPr>
  </w:style>
  <w:style w:type="character" w:styleId="916" w:customStyle="1">
    <w:name w:val="尾注文本 Char"/>
    <w:uiPriority w:val="0"/>
    <w:qFormat/>
    <w:rPr>
      <w:rFonts w:ascii="Times New Roman" w:hAnsi="Times New Roman" w:eastAsia="宋体" w:cs="Times New Roman"/>
      <w:sz w:val="20"/>
    </w:rPr>
  </w:style>
  <w:style w:type="character" w:styleId="917" w:customStyle="1">
    <w:name w:val="文档结构图 字符"/>
    <w:uiPriority w:val="0"/>
    <w:qFormat/>
    <w:rPr>
      <w:rFonts w:ascii="Microsoft YaHei UI" w:hAnsi="Times New Roman" w:eastAsia="Microsoft YaHei UI" w:cs="Times New Roman"/>
      <w:sz w:val="18"/>
      <w:szCs w:val="18"/>
    </w:rPr>
  </w:style>
  <w:style w:type="character" w:styleId="918" w:customStyle="1">
    <w:name w:val="_Style 337"/>
    <w:uiPriority w:val="0"/>
    <w:qFormat/>
    <w:rPr>
      <w:rFonts w:ascii="Times New Roman" w:hAnsi="Times New Roman" w:eastAsia="宋体" w:cs="Times New Roman"/>
      <w:color w:val="auto"/>
      <w:sz w:val="21"/>
    </w:rPr>
  </w:style>
  <w:style w:type="character" w:styleId="919" w:customStyle="1">
    <w:name w:val="正文文本 字符"/>
    <w:uiPriority w:val="0"/>
    <w:qFormat/>
    <w:rPr>
      <w:rFonts w:ascii="Times New Roman" w:hAnsi="Times New Roman" w:eastAsia="宋体" w:cs="Times New Roman"/>
      <w:sz w:val="21"/>
    </w:rPr>
  </w:style>
  <w:style w:type="character" w:styleId="920" w:customStyle="1">
    <w:name w:val="批注文字 字符"/>
    <w:uiPriority w:val="0"/>
    <w:qFormat/>
    <w:rPr>
      <w:rFonts w:ascii="Times New Roman" w:hAnsi="Times New Roman" w:eastAsia="宋体" w:cs="Times New Roman"/>
      <w:sz w:val="20"/>
    </w:rPr>
  </w:style>
  <w:style w:type="character" w:styleId="921" w:customStyle="1">
    <w:name w:val="批注文字 Char1"/>
    <w:uiPriority w:val="0"/>
    <w:qFormat/>
    <w:rPr>
      <w:rFonts w:ascii="Times New Roman" w:hAnsi="Times New Roman" w:eastAsia="宋体" w:cs="Times New Roman"/>
      <w:sz w:val="20"/>
    </w:rPr>
  </w:style>
  <w:style w:type="character" w:styleId="922" w:customStyle="1">
    <w:name w:val="txt"/>
    <w:uiPriority w:val="0"/>
    <w:qFormat/>
    <w:rPr>
      <w:rFonts w:ascii="Times New Roman" w:hAnsi="Times New Roman" w:eastAsia="宋体" w:cs="Times New Roman"/>
      <w:sz w:val="20"/>
    </w:rPr>
  </w:style>
  <w:style w:type="character" w:styleId="923" w:customStyle="1">
    <w:name w:val="标书正文 Char"/>
    <w:uiPriority w:val="0"/>
    <w:qFormat/>
    <w:rPr>
      <w:rFonts w:ascii="Times New Roman" w:hAnsi="Times New Roman" w:eastAsia="宋体" w:cs="Times New Roman"/>
      <w:sz w:val="20"/>
    </w:rPr>
  </w:style>
  <w:style w:type="character" w:styleId="924" w:customStyle="1">
    <w:name w:val="font21"/>
    <w:uiPriority w:val="0"/>
    <w:qFormat/>
    <w:rPr>
      <w:rFonts w:hint="eastAsia" w:ascii="宋体" w:hAnsi="宋体" w:eastAsia="宋体" w:cs="宋体"/>
      <w:color w:val="ff0000"/>
      <w:sz w:val="24"/>
      <w:szCs w:val="24"/>
      <w:u w:val="none"/>
    </w:rPr>
  </w:style>
  <w:style w:type="character" w:styleId="925" w:customStyle="1">
    <w:name w:val="apple-converted-space"/>
    <w:uiPriority w:val="0"/>
    <w:qFormat/>
    <w:rPr>
      <w:rFonts w:ascii="Times New Roman" w:hAnsi="Times New Roman" w:eastAsia="宋体" w:cs="Times New Roman"/>
      <w:sz w:val="20"/>
    </w:rPr>
  </w:style>
  <w:style w:type="character" w:styleId="926" w:customStyle="1">
    <w:name w:val="纯文本 Char1"/>
    <w:uiPriority w:val="0"/>
    <w:qFormat/>
    <w:rPr>
      <w:rFonts w:ascii="Times New Roman" w:hAnsi="Times New Roman" w:eastAsia="宋体" w:cs="Times New Roman"/>
      <w:sz w:val="20"/>
    </w:rPr>
  </w:style>
  <w:style w:type="character" w:styleId="927" w:customStyle="1">
    <w:name w:val="para1"/>
    <w:uiPriority w:val="0"/>
    <w:qFormat/>
    <w:rPr>
      <w:rFonts w:ascii="Times New Roman" w:hAnsi="Times New Roman" w:eastAsia="宋体" w:cs="Times New Roman"/>
      <w:sz w:val="20"/>
    </w:rPr>
  </w:style>
  <w:style w:type="character" w:styleId="928" w:customStyle="1">
    <w:name w:val="HTML 预设格式 Char1"/>
    <w:uiPriority w:val="0"/>
    <w:qFormat/>
    <w:rPr>
      <w:rFonts w:ascii="Times New Roman" w:hAnsi="Times New Roman" w:eastAsia="宋体" w:cs="Times New Roman"/>
      <w:sz w:val="20"/>
    </w:rPr>
  </w:style>
  <w:style w:type="character" w:styleId="929" w:customStyle="1">
    <w:name w:val="批注文字 Char"/>
    <w:uiPriority w:val="0"/>
    <w:qFormat/>
    <w:rPr>
      <w:rFonts w:ascii="Times New Roman" w:hAnsi="Times New Roman" w:eastAsia="宋体" w:cs="Times New Roman"/>
      <w:sz w:val="20"/>
    </w:rPr>
  </w:style>
  <w:style w:type="character" w:styleId="930" w:customStyle="1">
    <w:name w:val="文档结构图 Char"/>
    <w:uiPriority w:val="0"/>
    <w:qFormat/>
    <w:rPr>
      <w:rFonts w:ascii="Times New Roman" w:hAnsi="Times New Roman" w:eastAsia="宋体" w:cs="Times New Roman"/>
      <w:sz w:val="20"/>
    </w:rPr>
  </w:style>
  <w:style w:type="character" w:styleId="931" w:customStyle="1">
    <w:name w:val="超级链接"/>
    <w:uiPriority w:val="0"/>
    <w:qFormat/>
    <w:rPr>
      <w:rFonts w:ascii="Times New Roman" w:hAnsi="Times New Roman" w:eastAsia="宋体" w:cs="Times New Roman"/>
      <w:color w:val="0000ff"/>
      <w:sz w:val="20"/>
      <w:u w:val="single"/>
    </w:rPr>
  </w:style>
  <w:style w:type="character" w:styleId="932" w:customStyle="1">
    <w:name w:val="p141"/>
    <w:uiPriority w:val="0"/>
    <w:qFormat/>
    <w:rPr>
      <w:rFonts w:ascii="Times New Roman" w:hAnsi="Times New Roman" w:eastAsia="宋体" w:cs="Times New Roman"/>
      <w:color w:val="000000"/>
      <w:sz w:val="20"/>
      <w:u w:val="none"/>
    </w:rPr>
  </w:style>
  <w:style w:type="character" w:styleId="933" w:customStyle="1">
    <w:name w:val="宏文本 Char"/>
    <w:uiPriority w:val="0"/>
    <w:qFormat/>
    <w:rPr>
      <w:rFonts w:ascii="Times New Roman" w:hAnsi="Times New Roman" w:eastAsia="宋体" w:cs="Times New Roman"/>
      <w:sz w:val="20"/>
    </w:rPr>
  </w:style>
  <w:style w:type="character" w:styleId="934" w:customStyle="1">
    <w:name w:val="_Style 313"/>
    <w:uiPriority w:val="0"/>
    <w:qFormat/>
    <w:rPr>
      <w:rFonts w:ascii="Times New Roman" w:hAnsi="Times New Roman" w:eastAsia="宋体" w:cs="Times New Roman"/>
      <w:b/>
      <w:i/>
      <w:sz w:val="21"/>
    </w:rPr>
  </w:style>
  <w:style w:type="character" w:styleId="935" w:customStyle="1">
    <w:name w:val="页脚 Char1"/>
    <w:uiPriority w:val="0"/>
    <w:qFormat/>
    <w:rPr>
      <w:rFonts w:ascii="Times New Roman" w:hAnsi="Times New Roman" w:eastAsia="宋体" w:cs="Times New Roman"/>
      <w:sz w:val="20"/>
    </w:rPr>
  </w:style>
  <w:style w:type="character" w:styleId="936" w:customStyle="1">
    <w:name w:val="页眉 Char"/>
    <w:uiPriority w:val="0"/>
    <w:qFormat/>
    <w:rPr>
      <w:rFonts w:ascii="Times New Roman" w:hAnsi="Times New Roman" w:eastAsia="宋体" w:cs="Times New Roman"/>
      <w:sz w:val="20"/>
    </w:rPr>
  </w:style>
  <w:style w:type="character" w:styleId="937" w:customStyle="1">
    <w:name w:val="标题 7 Char"/>
    <w:uiPriority w:val="0"/>
    <w:qFormat/>
    <w:rPr>
      <w:rFonts w:ascii="Times New Roman" w:hAnsi="Times New Roman" w:eastAsia="宋体" w:cs="Times New Roman"/>
      <w:b/>
      <w:sz w:val="20"/>
    </w:rPr>
  </w:style>
  <w:style w:type="character" w:styleId="938" w:customStyle="1">
    <w:name w:val="Char Char12"/>
    <w:uiPriority w:val="0"/>
    <w:qFormat/>
    <w:rPr>
      <w:rFonts w:ascii="Times New Roman" w:hAnsi="Times New Roman" w:eastAsia="宋体" w:cs="Times New Roman"/>
      <w:sz w:val="20"/>
    </w:rPr>
  </w:style>
  <w:style w:type="character" w:styleId="939" w:customStyle="1">
    <w:name w:val="标题 3 Char"/>
    <w:uiPriority w:val="0"/>
    <w:qFormat/>
    <w:rPr>
      <w:rFonts w:ascii="Times New Roman" w:hAnsi="Times New Roman" w:eastAsia="宋体" w:cs="Times New Roman"/>
      <w:b/>
      <w:sz w:val="20"/>
    </w:rPr>
  </w:style>
  <w:style w:type="character" w:styleId="940" w:customStyle="1">
    <w:name w:val="正文（首行缩进 2 字符） Char Char"/>
    <w:uiPriority w:val="0"/>
    <w:qFormat/>
    <w:rPr>
      <w:rFonts w:ascii="Times New Roman" w:hAnsi="Times New Roman" w:eastAsia="宋体" w:cs="Times New Roman"/>
      <w:sz w:val="20"/>
    </w:rPr>
  </w:style>
  <w:style w:type="character" w:styleId="941" w:customStyle="1">
    <w:name w:val="表格用 Char Char"/>
    <w:uiPriority w:val="0"/>
    <w:qFormat/>
    <w:rPr>
      <w:rFonts w:ascii="Times New Roman" w:hAnsi="Times New Roman" w:eastAsia="宋体" w:cs="Times New Roman"/>
      <w:sz w:val="20"/>
    </w:rPr>
  </w:style>
  <w:style w:type="character" w:styleId="942" w:customStyle="1">
    <w:name w:val="正文文本缩进 3 Char1"/>
    <w:uiPriority w:val="0"/>
    <w:qFormat/>
    <w:rPr>
      <w:rFonts w:ascii="Times New Roman" w:hAnsi="Times New Roman" w:eastAsia="宋体" w:cs="Times New Roman"/>
      <w:sz w:val="20"/>
    </w:rPr>
  </w:style>
  <w:style w:type="character" w:styleId="943" w:customStyle="1">
    <w:name w:val="正文缩进 Char"/>
    <w:uiPriority w:val="0"/>
    <w:qFormat/>
    <w:rPr>
      <w:rFonts w:ascii="Times New Roman" w:hAnsi="Times New Roman" w:eastAsia="宋体" w:cs="Times New Roman"/>
      <w:sz w:val="20"/>
    </w:rPr>
  </w:style>
  <w:style w:type="character" w:styleId="944" w:customStyle="1">
    <w:name w:val="批注框文本 Char1"/>
    <w:uiPriority w:val="0"/>
    <w:qFormat/>
    <w:rPr>
      <w:rFonts w:ascii="Times New Roman" w:hAnsi="Times New Roman" w:eastAsia="宋体" w:cs="Times New Roman"/>
      <w:sz w:val="20"/>
    </w:rPr>
  </w:style>
  <w:style w:type="character" w:styleId="945" w:customStyle="1">
    <w:name w:val="Char Char13"/>
    <w:uiPriority w:val="0"/>
    <w:qFormat/>
    <w:rPr>
      <w:rFonts w:ascii="Times New Roman" w:hAnsi="Times New Roman" w:eastAsia="宋体" w:cs="Times New Roman"/>
      <w:sz w:val="20"/>
    </w:rPr>
  </w:style>
  <w:style w:type="character" w:styleId="946" w:customStyle="1">
    <w:name w:val="样式2 Char"/>
    <w:uiPriority w:val="0"/>
    <w:qFormat/>
    <w:rPr>
      <w:rFonts w:ascii="Times New Roman" w:hAnsi="Times New Roman" w:eastAsia="宋体" w:cs="Times New Roman"/>
      <w:b/>
      <w:sz w:val="20"/>
    </w:rPr>
  </w:style>
  <w:style w:type="character" w:styleId="947" w:customStyle="1">
    <w:name w:val="页脚 Char"/>
    <w:uiPriority w:val="0"/>
    <w:qFormat/>
    <w:rPr>
      <w:rFonts w:ascii="Times New Roman" w:hAnsi="Times New Roman" w:eastAsia="宋体" w:cs="Times New Roman"/>
      <w:sz w:val="20"/>
    </w:rPr>
  </w:style>
  <w:style w:type="character" w:styleId="948" w:customStyle="1">
    <w:name w:val="标准文本 Char"/>
    <w:uiPriority w:val="0"/>
    <w:qFormat/>
    <w:rPr>
      <w:rFonts w:ascii="Times New Roman" w:hAnsi="Times New Roman" w:eastAsia="宋体" w:cs="Times New Roman"/>
      <w:sz w:val="20"/>
    </w:rPr>
  </w:style>
  <w:style w:type="character" w:styleId="949" w:customStyle="1">
    <w:name w:val="font01"/>
    <w:uiPriority w:val="0"/>
    <w:qFormat/>
    <w:rPr>
      <w:rFonts w:hint="eastAsia" w:ascii="宋体" w:hAnsi="宋体" w:eastAsia="宋体" w:cs="宋体"/>
      <w:color w:val="000000"/>
      <w:sz w:val="24"/>
      <w:szCs w:val="24"/>
      <w:u w:val="none"/>
    </w:rPr>
  </w:style>
  <w:style w:type="character" w:styleId="950" w:customStyle="1">
    <w:name w:val="标题 3 Char1"/>
    <w:uiPriority w:val="0"/>
    <w:qFormat/>
    <w:rPr>
      <w:rFonts w:ascii="Times New Roman" w:hAnsi="Times New Roman" w:eastAsia="宋体" w:cs="Times New Roman"/>
      <w:b/>
      <w:sz w:val="20"/>
      <w:u w:val="single"/>
    </w:rPr>
  </w:style>
  <w:style w:type="character" w:styleId="951" w:customStyle="1">
    <w:name w:val="表格 Char Char"/>
    <w:uiPriority w:val="0"/>
    <w:qFormat/>
    <w:rPr>
      <w:rFonts w:ascii="Times New Roman" w:hAnsi="Times New Roman" w:eastAsia="宋体" w:cs="Times New Roman"/>
      <w:sz w:val="20"/>
    </w:rPr>
  </w:style>
  <w:style w:type="character" w:styleId="952" w:customStyle="1">
    <w:name w:val="正文首行缩进 Char"/>
    <w:uiPriority w:val="0"/>
    <w:qFormat/>
    <w:rPr>
      <w:rFonts w:ascii="Times New Roman" w:hAnsi="Times New Roman" w:eastAsia="宋体" w:cs="Times New Roman"/>
      <w:sz w:val="20"/>
    </w:rPr>
  </w:style>
  <w:style w:type="character" w:styleId="953" w:customStyle="1">
    <w:name w:val="标题 9 Char"/>
    <w:uiPriority w:val="0"/>
    <w:qFormat/>
    <w:rPr>
      <w:rFonts w:ascii="Times New Roman" w:hAnsi="Times New Roman" w:eastAsia="宋体" w:cs="Times New Roman"/>
      <w:sz w:val="20"/>
    </w:rPr>
  </w:style>
  <w:style w:type="character" w:styleId="954" w:customStyle="1">
    <w:name w:val="lh151"/>
    <w:uiPriority w:val="0"/>
    <w:qFormat/>
    <w:rPr>
      <w:rFonts w:ascii="Times New Roman" w:hAnsi="Times New Roman" w:eastAsia="宋体" w:cs="Times New Roman"/>
      <w:color w:val="666666"/>
      <w:sz w:val="20"/>
    </w:rPr>
  </w:style>
  <w:style w:type="character" w:styleId="955" w:customStyle="1">
    <w:name w:val="日期 Char1"/>
    <w:uiPriority w:val="0"/>
    <w:qFormat/>
    <w:rPr>
      <w:rFonts w:ascii="Times New Roman" w:hAnsi="Times New Roman" w:eastAsia="宋体" w:cs="Times New Roman"/>
      <w:sz w:val="20"/>
    </w:rPr>
  </w:style>
  <w:style w:type="character" w:styleId="956" w:customStyle="1">
    <w:name w:val="图片 Char Char"/>
    <w:uiPriority w:val="0"/>
    <w:qFormat/>
    <w:rPr>
      <w:rFonts w:ascii="Times New Roman" w:hAnsi="Times New Roman" w:eastAsia="宋体" w:cs="Times New Roman"/>
      <w:sz w:val="20"/>
    </w:rPr>
  </w:style>
  <w:style w:type="character" w:styleId="957" w:customStyle="1">
    <w:name w:val="批注框文本 字符"/>
    <w:uiPriority w:val="0"/>
    <w:qFormat/>
    <w:rPr>
      <w:rFonts w:ascii="Times New Roman" w:hAnsi="Times New Roman" w:eastAsia="宋体" w:cs="Times New Roman"/>
      <w:sz w:val="20"/>
    </w:rPr>
  </w:style>
  <w:style w:type="character" w:styleId="958" w:customStyle="1">
    <w:name w:val="HTML 预设格式 Char"/>
    <w:uiPriority w:val="0"/>
    <w:qFormat/>
    <w:rPr>
      <w:rFonts w:ascii="Times New Roman" w:hAnsi="Times New Roman" w:eastAsia="宋体" w:cs="Times New Roman"/>
      <w:sz w:val="20"/>
    </w:rPr>
  </w:style>
  <w:style w:type="character" w:styleId="959" w:customStyle="1">
    <w:name w:val="列出段落 Char"/>
    <w:uiPriority w:val="0"/>
    <w:qFormat/>
    <w:rPr>
      <w:rFonts w:ascii="Times New Roman" w:hAnsi="Times New Roman" w:eastAsia="宋体" w:cs="Times New Roman"/>
      <w:sz w:val="20"/>
    </w:rPr>
  </w:style>
  <w:style w:type="character" w:styleId="960" w:customStyle="1">
    <w:name w:val="标题 5 Char"/>
    <w:uiPriority w:val="0"/>
    <w:qFormat/>
    <w:rPr>
      <w:rFonts w:ascii="Times New Roman" w:hAnsi="Times New Roman" w:eastAsia="宋体" w:cs="Times New Roman"/>
      <w:b/>
      <w:sz w:val="20"/>
    </w:rPr>
  </w:style>
  <w:style w:type="character" w:styleId="961" w:customStyle="1">
    <w:name w:val="链接"/>
    <w:uiPriority w:val="0"/>
    <w:qFormat/>
    <w:rPr>
      <w:rFonts w:ascii="Times New Roman" w:hAnsi="Times New Roman" w:eastAsia="宋体" w:cs="Times New Roman"/>
      <w:color w:val="0000ff"/>
      <w:sz w:val="20"/>
      <w:u w:val="single"/>
    </w:rPr>
  </w:style>
  <w:style w:type="character" w:styleId="962" w:customStyle="1">
    <w:name w:val="18h1"/>
    <w:uiPriority w:val="0"/>
    <w:qFormat/>
    <w:rPr>
      <w:rFonts w:ascii="Times New Roman" w:hAnsi="Times New Roman" w:eastAsia="宋体" w:cs="Times New Roman"/>
      <w:color w:val="3b3b3b"/>
      <w:sz w:val="20"/>
    </w:rPr>
  </w:style>
  <w:style w:type="character" w:styleId="963" w:customStyle="1">
    <w:name w:val="表格文字（两侧对齐） Char Char"/>
    <w:uiPriority w:val="0"/>
    <w:qFormat/>
    <w:rPr>
      <w:rFonts w:ascii="Times New Roman" w:hAnsi="Times New Roman" w:eastAsia="宋体" w:cs="Times New Roman"/>
      <w:sz w:val="20"/>
    </w:rPr>
  </w:style>
  <w:style w:type="character" w:styleId="964" w:customStyle="1">
    <w:name w:val="正文文本缩进 2 Char"/>
    <w:uiPriority w:val="0"/>
    <w:qFormat/>
    <w:rPr>
      <w:rFonts w:ascii="Times New Roman" w:hAnsi="Times New Roman" w:eastAsia="宋体" w:cs="Times New Roman"/>
      <w:sz w:val="20"/>
    </w:rPr>
  </w:style>
  <w:style w:type="character" w:styleId="965" w:customStyle="1">
    <w:name w:val="Char Char14"/>
    <w:uiPriority w:val="0"/>
    <w:qFormat/>
    <w:rPr>
      <w:rFonts w:ascii="Times New Roman" w:hAnsi="Times New Roman" w:eastAsia="宋体" w:cs="Times New Roman"/>
      <w:sz w:val="20"/>
    </w:rPr>
  </w:style>
  <w:style w:type="character" w:styleId="966" w:customStyle="1">
    <w:name w:val="标题 1 Char1"/>
    <w:uiPriority w:val="0"/>
    <w:qFormat/>
    <w:rPr>
      <w:rFonts w:ascii="Times New Roman" w:hAnsi="Times New Roman" w:eastAsia="宋体" w:cs="Times New Roman"/>
      <w:b/>
      <w:sz w:val="20"/>
    </w:rPr>
  </w:style>
  <w:style w:type="character" w:styleId="967" w:customStyle="1">
    <w:name w:val="批注框文本 Char"/>
    <w:uiPriority w:val="0"/>
    <w:qFormat/>
    <w:rPr>
      <w:rFonts w:ascii="Times New Roman" w:hAnsi="Times New Roman" w:eastAsia="宋体" w:cs="Times New Roman"/>
      <w:sz w:val="20"/>
    </w:rPr>
  </w:style>
  <w:style w:type="character" w:styleId="968" w:customStyle="1">
    <w:name w:val="apple-style-span"/>
    <w:uiPriority w:val="0"/>
    <w:qFormat/>
    <w:rPr>
      <w:rFonts w:ascii="Times New Roman" w:hAnsi="Times New Roman" w:eastAsia="宋体" w:cs="Times New Roman"/>
      <w:sz w:val="20"/>
    </w:rPr>
  </w:style>
  <w:style w:type="character" w:styleId="969" w:customStyle="1">
    <w:name w:val="插图 Char Char"/>
    <w:uiPriority w:val="0"/>
    <w:qFormat/>
    <w:rPr>
      <w:rFonts w:ascii="Times New Roman" w:hAnsi="Times New Roman" w:eastAsia="宋体" w:cs="Times New Roman"/>
      <w:sz w:val="20"/>
    </w:rPr>
  </w:style>
  <w:style w:type="character" w:styleId="970" w:customStyle="1">
    <w:name w:val="标题 2 Char1"/>
    <w:uiPriority w:val="0"/>
    <w:qFormat/>
    <w:rPr>
      <w:rFonts w:ascii="Times New Roman" w:hAnsi="Times New Roman" w:eastAsia="宋体" w:cs="Times New Roman"/>
      <w:b/>
      <w:sz w:val="20"/>
    </w:rPr>
  </w:style>
  <w:style w:type="character" w:styleId="971" w:customStyle="1">
    <w:name w:val="_Style 332"/>
    <w:uiPriority w:val="0"/>
    <w:qFormat/>
    <w:rPr>
      <w:rFonts w:ascii="Times New Roman" w:hAnsi="Times New Roman" w:eastAsia="宋体" w:cs="Times New Roman"/>
      <w:i/>
      <w:color w:val="auto"/>
      <w:sz w:val="21"/>
    </w:rPr>
  </w:style>
  <w:style w:type="character" w:styleId="972" w:customStyle="1">
    <w:name w:val="正文文本 3 Char1"/>
    <w:uiPriority w:val="0"/>
    <w:qFormat/>
    <w:rPr>
      <w:rFonts w:ascii="Times New Roman" w:hAnsi="Times New Roman" w:eastAsia="宋体" w:cs="Times New Roman"/>
      <w:sz w:val="20"/>
    </w:rPr>
  </w:style>
  <w:style w:type="character" w:styleId="973" w:customStyle="1">
    <w:name w:val="标题 5 Char1"/>
    <w:uiPriority w:val="0"/>
    <w:qFormat/>
    <w:rPr>
      <w:rFonts w:ascii="Times New Roman" w:hAnsi="Times New Roman" w:eastAsia="宋体" w:cs="Times New Roman"/>
      <w:b/>
      <w:sz w:val="20"/>
    </w:rPr>
  </w:style>
  <w:style w:type="character" w:styleId="974" w:customStyle="1">
    <w:name w:val="批注主题 Char"/>
    <w:uiPriority w:val="0"/>
    <w:qFormat/>
    <w:rPr>
      <w:rFonts w:ascii="Times New Roman" w:hAnsi="Times New Roman" w:eastAsia="宋体" w:cs="Times New Roman"/>
      <w:b/>
      <w:sz w:val="20"/>
    </w:rPr>
  </w:style>
  <w:style w:type="character" w:styleId="975" w:customStyle="1">
    <w:name w:val="标题 1 Char"/>
    <w:uiPriority w:val="0"/>
    <w:qFormat/>
    <w:rPr>
      <w:rFonts w:ascii="Times New Roman" w:hAnsi="Times New Roman" w:eastAsia="宋体" w:cs="Times New Roman"/>
      <w:b/>
      <w:sz w:val="20"/>
    </w:rPr>
  </w:style>
  <w:style w:type="character" w:styleId="976" w:customStyle="1">
    <w:name w:val="正文文本 2 Char1"/>
    <w:uiPriority w:val="0"/>
    <w:qFormat/>
    <w:rPr>
      <w:rFonts w:ascii="Times New Roman" w:hAnsi="Times New Roman" w:eastAsia="宋体" w:cs="Times New Roman"/>
      <w:sz w:val="20"/>
    </w:rPr>
  </w:style>
  <w:style w:type="character" w:styleId="977" w:customStyle="1">
    <w:name w:val="标题 4 Char1"/>
    <w:uiPriority w:val="0"/>
    <w:qFormat/>
    <w:rPr>
      <w:rFonts w:ascii="Times New Roman" w:hAnsi="Times New Roman" w:eastAsia="宋体" w:cs="Times New Roman"/>
      <w:b/>
      <w:sz w:val="20"/>
    </w:rPr>
  </w:style>
  <w:style w:type="character" w:styleId="978" w:customStyle="1">
    <w:name w:val="正文文本 2 Char"/>
    <w:uiPriority w:val="0"/>
    <w:qFormat/>
    <w:rPr>
      <w:rFonts w:ascii="Times New Roman" w:hAnsi="Times New Roman" w:eastAsia="宋体" w:cs="Times New Roman"/>
      <w:sz w:val="20"/>
    </w:rPr>
  </w:style>
  <w:style w:type="character" w:styleId="979" w:customStyle="1">
    <w:name w:val="_Style 376"/>
    <w:uiPriority w:val="0"/>
    <w:qFormat/>
    <w:rPr>
      <w:rFonts w:ascii="Times New Roman" w:hAnsi="Times New Roman" w:eastAsia="宋体" w:cs="Times New Roman"/>
      <w:b/>
      <w:color w:val="auto"/>
      <w:sz w:val="21"/>
    </w:rPr>
  </w:style>
  <w:style w:type="character" w:styleId="980" w:customStyle="1">
    <w:name w:val="062"/>
    <w:uiPriority w:val="0"/>
    <w:qFormat/>
    <w:rPr>
      <w:rFonts w:ascii="Times New Roman" w:hAnsi="Times New Roman" w:eastAsia="宋体" w:cs="Times New Roman"/>
      <w:b/>
      <w:sz w:val="20"/>
    </w:rPr>
  </w:style>
  <w:style w:type="character" w:styleId="981" w:customStyle="1">
    <w:name w:val="正文文本 Char1"/>
    <w:uiPriority w:val="0"/>
    <w:qFormat/>
    <w:rPr>
      <w:rFonts w:ascii="Times New Roman" w:hAnsi="Times New Roman" w:eastAsia="宋体" w:cs="Times New Roman"/>
      <w:sz w:val="20"/>
    </w:rPr>
  </w:style>
  <w:style w:type="character" w:styleId="982" w:customStyle="1">
    <w:name w:val="题注 Char"/>
    <w:uiPriority w:val="0"/>
    <w:qFormat/>
    <w:rPr>
      <w:rFonts w:ascii="Times New Roman" w:hAnsi="Times New Roman" w:eastAsia="宋体" w:cs="Times New Roman"/>
      <w:sz w:val="20"/>
    </w:rPr>
  </w:style>
  <w:style w:type="character" w:styleId="983" w:customStyle="1">
    <w:name w:val="脚注文本 Char"/>
    <w:uiPriority w:val="0"/>
    <w:qFormat/>
    <w:rPr>
      <w:rFonts w:ascii="Times New Roman" w:hAnsi="Times New Roman" w:eastAsia="宋体" w:cs="Times New Roman"/>
      <w:sz w:val="20"/>
    </w:rPr>
  </w:style>
  <w:style w:type="character" w:styleId="984" w:customStyle="1">
    <w:name w:val="_Style 336"/>
    <w:uiPriority w:val="0"/>
    <w:qFormat/>
    <w:rPr>
      <w:rFonts w:ascii="Times New Roman" w:hAnsi="Times New Roman" w:eastAsia="宋体" w:cs="Times New Roman"/>
      <w:i/>
      <w:color w:val="auto"/>
      <w:sz w:val="21"/>
    </w:rPr>
  </w:style>
  <w:style w:type="character" w:styleId="985" w:customStyle="1">
    <w:name w:val="表格 Char"/>
    <w:uiPriority w:val="0"/>
    <w:qFormat/>
    <w:rPr>
      <w:rFonts w:ascii="Times New Roman" w:hAnsi="Times New Roman" w:eastAsia="宋体" w:cs="Times New Roman"/>
      <w:color w:val="000000"/>
      <w:sz w:val="20"/>
    </w:rPr>
  </w:style>
  <w:style w:type="character" w:styleId="986" w:customStyle="1">
    <w:name w:val="批注主题 字符"/>
    <w:uiPriority w:val="0"/>
    <w:qFormat/>
    <w:rPr>
      <w:rFonts w:ascii="Times New Roman" w:hAnsi="Times New Roman" w:eastAsia="宋体" w:cs="Times New Roman"/>
      <w:b/>
      <w:sz w:val="20"/>
    </w:rPr>
  </w:style>
  <w:style w:type="character" w:styleId="987" w:customStyle="1">
    <w:name w:val="图注 Char Char"/>
    <w:uiPriority w:val="0"/>
    <w:qFormat/>
    <w:rPr>
      <w:rFonts w:ascii="Times New Roman" w:hAnsi="Times New Roman" w:eastAsia="宋体" w:cs="Times New Roman"/>
      <w:sz w:val="20"/>
    </w:rPr>
  </w:style>
  <w:style w:type="character" w:styleId="988" w:customStyle="1">
    <w:name w:val="页码1"/>
    <w:uiPriority w:val="0"/>
    <w:qFormat/>
    <w:rPr>
      <w:rFonts w:ascii="Times New Roman" w:hAnsi="Times New Roman" w:eastAsia="宋体" w:cs="Times New Roman"/>
      <w:sz w:val="20"/>
    </w:rPr>
  </w:style>
  <w:style w:type="character" w:styleId="989" w:customStyle="1">
    <w:name w:val="列表框1 Char Char"/>
    <w:uiPriority w:val="0"/>
    <w:qFormat/>
    <w:rPr>
      <w:rFonts w:ascii="Times New Roman" w:hAnsi="Times New Roman" w:eastAsia="宋体" w:cs="Times New Roman"/>
      <w:sz w:val="20"/>
    </w:rPr>
  </w:style>
  <w:style w:type="character" w:styleId="990" w:customStyle="1">
    <w:name w:val="1ji Char"/>
    <w:uiPriority w:val="0"/>
    <w:qFormat/>
    <w:rPr>
      <w:rFonts w:ascii="Times New Roman" w:hAnsi="Times New Roman" w:eastAsia="宋体" w:cs="Times New Roman"/>
      <w:b/>
      <w:sz w:val="20"/>
    </w:rPr>
  </w:style>
  <w:style w:type="character" w:styleId="991" w:customStyle="1">
    <w:name w:val="正文文本缩进 Char"/>
    <w:uiPriority w:val="0"/>
    <w:qFormat/>
    <w:rPr>
      <w:rFonts w:ascii="Times New Roman" w:hAnsi="Times New Roman" w:eastAsia="宋体" w:cs="Times New Roman"/>
      <w:sz w:val="20"/>
    </w:rPr>
  </w:style>
  <w:style w:type="character" w:styleId="992" w:customStyle="1">
    <w:name w:val="标准文本 Char Char"/>
    <w:uiPriority w:val="0"/>
    <w:qFormat/>
    <w:rPr>
      <w:rFonts w:ascii="Times New Roman" w:hAnsi="Times New Roman" w:eastAsia="宋体" w:cs="Times New Roman"/>
      <w:sz w:val="20"/>
    </w:rPr>
  </w:style>
  <w:style w:type="character" w:styleId="993" w:customStyle="1">
    <w:name w:val="表格用 Char"/>
    <w:uiPriority w:val="0"/>
    <w:qFormat/>
    <w:rPr>
      <w:rFonts w:ascii="Times New Roman" w:hAnsi="Times New Roman" w:eastAsia="宋体" w:cs="Times New Roman"/>
      <w:color w:val="000000"/>
      <w:sz w:val="20"/>
    </w:rPr>
  </w:style>
  <w:style w:type="character" w:styleId="994" w:customStyle="1">
    <w:name w:val="标题 7 Char1"/>
    <w:uiPriority w:val="0"/>
    <w:qFormat/>
    <w:rPr>
      <w:rFonts w:ascii="Times New Roman" w:hAnsi="Times New Roman" w:eastAsia="宋体" w:cs="Times New Roman"/>
      <w:b/>
      <w:sz w:val="20"/>
    </w:rPr>
  </w:style>
  <w:style w:type="character" w:styleId="995" w:customStyle="1">
    <w:name w:val="H 3 Char"/>
    <w:uiPriority w:val="0"/>
    <w:qFormat/>
    <w:rPr>
      <w:rFonts w:ascii="Times New Roman" w:hAnsi="Times New Roman" w:eastAsia="宋体" w:cs="Times New Roman"/>
      <w:b/>
      <w:sz w:val="20"/>
    </w:rPr>
  </w:style>
  <w:style w:type="character" w:styleId="996" w:customStyle="1">
    <w:name w:val="正文文本缩进 3 字符"/>
    <w:uiPriority w:val="0"/>
    <w:qFormat/>
    <w:rPr>
      <w:rFonts w:ascii="Times New Roman" w:hAnsi="Times New Roman" w:eastAsia="宋体" w:cs="Times New Roman"/>
      <w:sz w:val="16"/>
      <w:szCs w:val="16"/>
    </w:rPr>
  </w:style>
  <w:style w:type="character" w:styleId="997" w:customStyle="1">
    <w:name w:val="标题 Char"/>
    <w:uiPriority w:val="0"/>
    <w:qFormat/>
    <w:rPr>
      <w:rFonts w:ascii="Times New Roman" w:hAnsi="Times New Roman" w:eastAsia="宋体" w:cs="Times New Roman"/>
      <w:b/>
      <w:sz w:val="20"/>
    </w:rPr>
  </w:style>
  <w:style w:type="character" w:styleId="998" w:customStyle="1">
    <w:name w:val="H 4 Char"/>
    <w:uiPriority w:val="0"/>
    <w:qFormat/>
    <w:rPr>
      <w:rFonts w:ascii="Times New Roman" w:hAnsi="Times New Roman" w:eastAsia="宋体" w:cs="Times New Roman"/>
      <w:b/>
      <w:sz w:val="20"/>
    </w:rPr>
  </w:style>
  <w:style w:type="character" w:styleId="999" w:customStyle="1">
    <w:name w:val="批注主题 Char1"/>
    <w:uiPriority w:val="0"/>
    <w:qFormat/>
    <w:rPr>
      <w:rFonts w:ascii="Times New Roman" w:hAnsi="Times New Roman" w:eastAsia="宋体" w:cs="Times New Roman"/>
      <w:b/>
      <w:sz w:val="20"/>
    </w:rPr>
  </w:style>
  <w:style w:type="character" w:styleId="1000" w:customStyle="1">
    <w:name w:val="正文文本缩进 Char1"/>
    <w:uiPriority w:val="0"/>
    <w:qFormat/>
    <w:rPr>
      <w:rFonts w:ascii="Times New Roman" w:hAnsi="Times New Roman" w:eastAsia="宋体" w:cs="Times New Roman"/>
      <w:sz w:val="20"/>
    </w:rPr>
  </w:style>
  <w:style w:type="character" w:styleId="1001" w:customStyle="1">
    <w:name w:val="正文文本 3 Char"/>
    <w:uiPriority w:val="0"/>
    <w:qFormat/>
    <w:rPr>
      <w:rFonts w:ascii="Times New Roman" w:hAnsi="Times New Roman" w:eastAsia="宋体" w:cs="Times New Roman"/>
      <w:sz w:val="20"/>
    </w:rPr>
  </w:style>
  <w:style w:type="character" w:styleId="1002" w:customStyle="1">
    <w:name w:val="正文首行缩进 2 Char"/>
    <w:uiPriority w:val="0"/>
    <w:qFormat/>
    <w:rPr>
      <w:rFonts w:ascii="Times New Roman" w:hAnsi="Times New Roman" w:eastAsia="宋体" w:cs="Times New Roman"/>
      <w:sz w:val="20"/>
    </w:rPr>
  </w:style>
  <w:style w:type="character" w:styleId="1003" w:customStyle="1">
    <w:name w:val="页眉 Char1"/>
    <w:uiPriority w:val="0"/>
    <w:qFormat/>
    <w:rPr>
      <w:rFonts w:ascii="Times New Roman" w:hAnsi="Times New Roman" w:eastAsia="宋体" w:cs="Times New Roman"/>
      <w:sz w:val="20"/>
    </w:rPr>
  </w:style>
  <w:style w:type="character" w:styleId="1004" w:customStyle="1">
    <w:name w:val="Char Char2"/>
    <w:uiPriority w:val="0"/>
    <w:qFormat/>
    <w:rPr>
      <w:rFonts w:ascii="Times New Roman" w:hAnsi="Times New Roman" w:eastAsia="宋体" w:cs="Times New Roman"/>
      <w:sz w:val="20"/>
    </w:rPr>
  </w:style>
  <w:style w:type="character" w:styleId="1005" w:customStyle="1">
    <w:name w:val="样式 首行缩进:  2 字符 Char1"/>
    <w:uiPriority w:val="0"/>
    <w:qFormat/>
    <w:rPr>
      <w:rFonts w:ascii="Times New Roman" w:hAnsi="Times New Roman" w:eastAsia="宋体" w:cs="Times New Roman"/>
      <w:sz w:val="20"/>
    </w:rPr>
  </w:style>
  <w:style w:type="character" w:styleId="1006" w:customStyle="1">
    <w:name w:val="标题 2 Char"/>
    <w:uiPriority w:val="0"/>
    <w:qFormat/>
    <w:rPr>
      <w:rFonts w:ascii="Times New Roman" w:hAnsi="Times New Roman" w:eastAsia="宋体" w:cs="Times New Roman"/>
      <w:b/>
      <w:sz w:val="20"/>
    </w:rPr>
  </w:style>
  <w:style w:type="character" w:styleId="1007" w:customStyle="1">
    <w:name w:val="表格文字图表文字 Char Char"/>
    <w:uiPriority w:val="0"/>
    <w:qFormat/>
    <w:rPr>
      <w:rFonts w:ascii="Times New Roman" w:hAnsi="Times New Roman" w:eastAsia="宋体" w:cs="Times New Roman"/>
      <w:sz w:val="20"/>
    </w:rPr>
  </w:style>
  <w:style w:type="character" w:styleId="1008" w:customStyle="1">
    <w:name w:val="图片 Char"/>
    <w:uiPriority w:val="0"/>
    <w:qFormat/>
    <w:rPr>
      <w:rFonts w:ascii="Times New Roman" w:hAnsi="Times New Roman" w:eastAsia="宋体" w:cs="Times New Roman"/>
      <w:sz w:val="20"/>
    </w:rPr>
  </w:style>
  <w:style w:type="character" w:styleId="1009" w:customStyle="1">
    <w:name w:val="标题 6 Char"/>
    <w:uiPriority w:val="0"/>
    <w:qFormat/>
    <w:rPr>
      <w:rFonts w:ascii="Times New Roman" w:hAnsi="Times New Roman" w:eastAsia="宋体" w:cs="Times New Roman"/>
      <w:b/>
      <w:sz w:val="20"/>
    </w:rPr>
  </w:style>
  <w:style w:type="character" w:styleId="1010" w:customStyle="1">
    <w:name w:val="标题 4 Char"/>
    <w:uiPriority w:val="0"/>
    <w:qFormat/>
    <w:rPr>
      <w:rFonts w:ascii="Times New Roman" w:hAnsi="Times New Roman" w:eastAsia="宋体" w:cs="Times New Roman"/>
      <w:b/>
      <w:sz w:val="20"/>
    </w:rPr>
  </w:style>
  <w:style w:type="character" w:styleId="1011" w:customStyle="1">
    <w:name w:val="文档结构图 Char1"/>
    <w:uiPriority w:val="0"/>
    <w:qFormat/>
    <w:rPr>
      <w:rFonts w:ascii="Times New Roman" w:hAnsi="Times New Roman" w:eastAsia="宋体" w:cs="Times New Roman"/>
      <w:sz w:val="20"/>
    </w:rPr>
  </w:style>
  <w:style w:type="character" w:styleId="1012" w:customStyle="1">
    <w:name w:val="项目符0 Char"/>
    <w:uiPriority w:val="0"/>
    <w:qFormat/>
    <w:rPr>
      <w:rFonts w:ascii="Times New Roman" w:hAnsi="Times New Roman" w:eastAsia="宋体" w:cs="Times New Roman"/>
      <w:sz w:val="20"/>
    </w:rPr>
  </w:style>
  <w:style w:type="character" w:styleId="1013" w:customStyle="1">
    <w:name w:val="正文文本缩进 3 Char"/>
    <w:uiPriority w:val="0"/>
    <w:qFormat/>
    <w:rPr>
      <w:rFonts w:ascii="Times New Roman" w:hAnsi="Times New Roman" w:eastAsia="宋体" w:cs="Times New Roman"/>
      <w:sz w:val="20"/>
    </w:rPr>
  </w:style>
  <w:style w:type="character" w:styleId="1014" w:customStyle="1">
    <w:name w:val="Char Char3"/>
    <w:uiPriority w:val="0"/>
    <w:qFormat/>
    <w:rPr>
      <w:rFonts w:ascii="Times New Roman" w:hAnsi="Times New Roman" w:eastAsia="宋体" w:cs="Times New Roman"/>
      <w:sz w:val="20"/>
    </w:rPr>
  </w:style>
  <w:style w:type="character" w:styleId="1015" w:customStyle="1">
    <w:name w:val="纯文本 Char"/>
    <w:uiPriority w:val="0"/>
    <w:qFormat/>
    <w:rPr>
      <w:rFonts w:ascii="Times New Roman" w:hAnsi="Times New Roman" w:eastAsia="宋体" w:cs="Times New Roman"/>
      <w:sz w:val="20"/>
    </w:rPr>
  </w:style>
  <w:style w:type="character" w:styleId="1016" w:customStyle="1">
    <w:name w:val="正文文本缩进 2 Char1"/>
    <w:uiPriority w:val="0"/>
    <w:qFormat/>
    <w:rPr>
      <w:rFonts w:ascii="Times New Roman" w:hAnsi="Times New Roman" w:eastAsia="宋体" w:cs="Times New Roman"/>
      <w:sz w:val="20"/>
    </w:rPr>
  </w:style>
  <w:style w:type="character" w:styleId="1017" w:customStyle="1">
    <w:name w:val="标题 8 Char"/>
    <w:uiPriority w:val="0"/>
    <w:qFormat/>
    <w:rPr>
      <w:rFonts w:ascii="Times New Roman" w:hAnsi="Times New Roman" w:eastAsia="宋体" w:cs="Times New Roman"/>
      <w:sz w:val="20"/>
    </w:rPr>
  </w:style>
  <w:style w:type="character" w:styleId="1018" w:customStyle="1">
    <w:name w:val="标题 6 Char1"/>
    <w:uiPriority w:val="0"/>
    <w:qFormat/>
    <w:rPr>
      <w:rFonts w:ascii="Times New Roman" w:hAnsi="Times New Roman" w:eastAsia="宋体" w:cs="Times New Roman"/>
      <w:b/>
      <w:sz w:val="20"/>
    </w:rPr>
  </w:style>
  <w:style w:type="character" w:styleId="1019" w:customStyle="1">
    <w:name w:val="case31"/>
    <w:uiPriority w:val="0"/>
    <w:qFormat/>
    <w:rPr>
      <w:rFonts w:ascii="Times New Roman" w:hAnsi="Times New Roman" w:eastAsia="宋体" w:cs="Times New Roman"/>
      <w:sz w:val="20"/>
    </w:rPr>
  </w:style>
  <w:style w:type="character" w:styleId="1020" w:customStyle="1">
    <w:name w:val="正文文本 Char"/>
    <w:uiPriority w:val="0"/>
    <w:qFormat/>
    <w:rPr>
      <w:rFonts w:ascii="Times New Roman" w:hAnsi="Times New Roman" w:eastAsia="宋体" w:cs="Times New Roman"/>
      <w:sz w:val="20"/>
    </w:rPr>
  </w:style>
  <w:style w:type="paragraph" w:styleId="1021" w:customStyle="1">
    <w:name w:val="节标题"/>
    <w:basedOn w:val="842"/>
    <w:next w:val="1022"/>
    <w:uiPriority w:val="0"/>
    <w:qFormat/>
    <w:pPr>
      <w:ind w:left="0" w:firstLine="5120"/>
      <w:jc w:val="center"/>
      <w:spacing w:before="0" w:after="0" w:line="289" w:lineRule="atLeast"/>
    </w:pPr>
    <w:rPr>
      <w:rFonts w:ascii="Times New Roman" w:hAnsi="Times New Roman" w:cs="Times New Roman"/>
    </w:rPr>
  </w:style>
  <w:style w:type="paragraph" w:styleId="1022" w:customStyle="1">
    <w:name w:val="文档标题6"/>
    <w:basedOn w:val="848"/>
    <w:next w:val="841"/>
    <w:uiPriority w:val="0"/>
    <w:qFormat/>
    <w:pPr>
      <w:ind w:left="1134" w:firstLine="20"/>
      <w:spacing w:before="280" w:after="280" w:line="360" w:lineRule="auto"/>
      <w:outlineLvl w:val="5"/>
    </w:pPr>
  </w:style>
  <w:style w:type="paragraph" w:styleId="1023" w:customStyle="1">
    <w:name w:val="正文段"/>
    <w:basedOn w:val="842"/>
    <w:next w:val="1024"/>
    <w:uiPriority w:val="0"/>
    <w:qFormat/>
    <w:pPr>
      <w:ind w:left="454" w:firstLine="1222"/>
      <w:spacing w:before="0" w:after="240" w:line="240" w:lineRule="atLeast"/>
    </w:pPr>
    <w:rPr>
      <w:rFonts w:ascii="Times New Roman" w:hAnsi="Times New Roman" w:cs="Times New Roman"/>
    </w:rPr>
  </w:style>
  <w:style w:type="paragraph" w:styleId="1024" w:customStyle="1">
    <w:name w:val="批注主题1"/>
    <w:next w:val="841"/>
    <w:uiPriority w:val="0"/>
    <w:qFormat/>
    <w:pPr>
      <w:ind w:left="200" w:firstLine="4808"/>
      <w:spacing w:line="360" w:lineRule="auto"/>
    </w:pPr>
    <w:rPr>
      <w:rFonts w:ascii="Calibri" w:hAnsi="Calibri" w:eastAsia="宋体" w:cs="宋体"/>
      <w:lang w:val="en-US" w:eastAsia="zh-CN" w:bidi="ar-SA"/>
    </w:rPr>
  </w:style>
  <w:style w:type="paragraph" w:styleId="1025" w:customStyle="1">
    <w:name w:val="_Style 224"/>
    <w:next w:val="1026"/>
    <w:uiPriority w:val="0"/>
    <w:qFormat/>
    <w:pPr>
      <w:ind w:firstLine="3584"/>
    </w:pPr>
    <w:rPr>
      <w:rFonts w:ascii="Calibri" w:hAnsi="Calibri" w:eastAsia="宋体" w:cs="宋体"/>
      <w:lang w:val="en-US" w:eastAsia="zh-CN" w:bidi="ar-SA"/>
    </w:rPr>
  </w:style>
  <w:style w:type="paragraph" w:styleId="1026" w:customStyle="1">
    <w:name w:val="编号1"/>
    <w:basedOn w:val="842"/>
    <w:next w:val="1027"/>
    <w:uiPriority w:val="0"/>
    <w:qFormat/>
    <w:pPr>
      <w:ind w:left="360" w:right="210" w:firstLine="2200"/>
      <w:spacing w:before="0" w:after="0" w:line="240" w:lineRule="auto"/>
    </w:pPr>
    <w:rPr>
      <w:rFonts w:ascii="Times New Roman" w:hAnsi="Times New Roman" w:cs="Times New Roman"/>
    </w:rPr>
  </w:style>
  <w:style w:type="paragraph" w:styleId="1027" w:customStyle="1">
    <w:name w:val="图片"/>
    <w:basedOn w:val="842"/>
    <w:next w:val="1028"/>
    <w:uiPriority w:val="0"/>
    <w:qFormat/>
    <w:pPr>
      <w:ind w:left="-283" w:firstLine="2674"/>
      <w:jc w:val="center"/>
      <w:spacing w:before="0" w:after="0" w:line="360" w:lineRule="auto"/>
    </w:pPr>
    <w:rPr>
      <w:rFonts w:ascii="Times New Roman" w:hAnsi="Times New Roman" w:cs="Times New Roman"/>
    </w:rPr>
  </w:style>
  <w:style w:type="paragraph" w:styleId="1028" w:customStyle="1">
    <w:name w:val="样式 目录 3 + 左侧:  2 字符"/>
    <w:next w:val="893"/>
    <w:uiPriority w:val="0"/>
    <w:qFormat/>
    <w:pPr>
      <w:ind w:left="400" w:firstLine="5120"/>
      <w:spacing w:line="360" w:lineRule="auto"/>
      <w:widowControl w:val="off"/>
    </w:pPr>
    <w:rPr>
      <w:rFonts w:ascii="Calibri" w:hAnsi="Calibri" w:eastAsia="宋体" w:cs="宋体"/>
      <w:lang w:val="en-US" w:eastAsia="zh-CN" w:bidi="ar-SA"/>
    </w:rPr>
  </w:style>
  <w:style w:type="paragraph" w:styleId="1029" w:customStyle="1">
    <w:name w:val="图注"/>
    <w:next w:val="1030"/>
    <w:uiPriority w:val="0"/>
    <w:qFormat/>
    <w:pPr>
      <w:ind w:left="360" w:firstLine="2152"/>
      <w:jc w:val="center"/>
    </w:pPr>
    <w:rPr>
      <w:rFonts w:ascii="Calibri" w:hAnsi="Calibri" w:eastAsia="宋体" w:cs="宋体"/>
      <w:lang w:val="en-US" w:eastAsia="zh-CN" w:bidi="ar-SA"/>
    </w:rPr>
  </w:style>
  <w:style w:type="paragraph" w:styleId="1030" w:customStyle="1">
    <w:name w:val="列表编号 41"/>
    <w:basedOn w:val="842"/>
    <w:next w:val="1031"/>
    <w:uiPriority w:val="0"/>
    <w:qFormat/>
    <w:pPr>
      <w:ind w:left="1620" w:firstLine="2712"/>
      <w:spacing w:before="0" w:after="0" w:line="360" w:lineRule="auto"/>
    </w:pPr>
    <w:rPr>
      <w:rFonts w:ascii="Times New Roman" w:hAnsi="Times New Roman" w:cs="Times New Roman"/>
    </w:rPr>
  </w:style>
  <w:style w:type="paragraph" w:styleId="1031" w:customStyle="1">
    <w:name w:val="项目符0"/>
    <w:basedOn w:val="842"/>
    <w:next w:val="1032"/>
    <w:uiPriority w:val="0"/>
    <w:qFormat/>
    <w:pPr>
      <w:ind w:left="300" w:right="57" w:firstLine="2760"/>
      <w:spacing w:before="0" w:after="0" w:line="300" w:lineRule="auto"/>
    </w:pPr>
    <w:rPr>
      <w:rFonts w:ascii="Times New Roman" w:hAnsi="Times New Roman" w:cs="Times New Roman"/>
    </w:rPr>
  </w:style>
  <w:style w:type="paragraph" w:styleId="1032" w:customStyle="1">
    <w:name w:val="宏文本1"/>
    <w:next w:val="1033"/>
    <w:uiPriority w:val="0"/>
    <w:qFormat/>
    <w:pPr>
      <w:ind w:firstLine="5632"/>
      <w:widowControl w:val="off"/>
    </w:pPr>
    <w:rPr>
      <w:rFonts w:ascii="Calibri" w:hAnsi="Calibri" w:eastAsia="宋体" w:cs="宋体"/>
      <w:lang w:val="en-US" w:eastAsia="zh-CN" w:bidi="ar-SA"/>
    </w:rPr>
  </w:style>
  <w:style w:type="paragraph" w:styleId="1033" w:customStyle="1">
    <w:name w:val="Item Step in Table"/>
    <w:next w:val="1034"/>
    <w:uiPriority w:val="0"/>
    <w:qFormat/>
    <w:pPr>
      <w:ind w:left="397" w:firstLine="3699"/>
      <w:jc w:val="both"/>
      <w:spacing w:before="40" w:after="40"/>
    </w:pPr>
    <w:rPr>
      <w:rFonts w:ascii="Calibri" w:hAnsi="Calibri" w:eastAsia="宋体" w:cs="宋体"/>
      <w:lang w:val="en-US" w:eastAsia="zh-CN" w:bidi="ar-SA"/>
    </w:rPr>
  </w:style>
  <w:style w:type="paragraph" w:styleId="1034" w:customStyle="1">
    <w:name w:val="Char Char Char Char Char Char1 Char Char Char Char Char Char"/>
    <w:basedOn w:val="842"/>
    <w:next w:val="1035"/>
    <w:uiPriority w:val="0"/>
    <w:qFormat/>
    <w:pPr>
      <w:ind w:left="0" w:firstLine="2560"/>
      <w:spacing w:before="0" w:after="0" w:line="240" w:lineRule="auto"/>
    </w:pPr>
    <w:rPr>
      <w:rFonts w:ascii="Times New Roman" w:hAnsi="Times New Roman" w:cs="Times New Roman"/>
    </w:rPr>
  </w:style>
  <w:style w:type="paragraph" w:styleId="1035" w:customStyle="1">
    <w:name w:val="Char Char1"/>
    <w:basedOn w:val="842"/>
    <w:next w:val="1036"/>
    <w:uiPriority w:val="0"/>
    <w:qFormat/>
    <w:pPr>
      <w:ind w:left="0" w:firstLine="3584"/>
      <w:spacing w:before="0" w:after="160" w:line="240" w:lineRule="exact"/>
    </w:pPr>
    <w:rPr>
      <w:rFonts w:ascii="Times New Roman" w:hAnsi="Times New Roman" w:cs="Times New Roman"/>
    </w:rPr>
  </w:style>
  <w:style w:type="paragraph" w:styleId="1036" w:customStyle="1">
    <w:name w:val="样式 标题 3 + 行距: 1.5 倍行距"/>
    <w:basedOn w:val="845"/>
    <w:next w:val="899"/>
    <w:uiPriority w:val="0"/>
    <w:qFormat/>
    <w:pPr>
      <w:ind w:left="200" w:firstLine="18"/>
      <w:spacing w:before="0" w:after="0" w:line="360" w:lineRule="auto"/>
      <w:outlineLvl w:val="2"/>
    </w:pPr>
  </w:style>
  <w:style w:type="paragraph" w:styleId="1037" w:customStyle="1">
    <w:name w:val="xl76"/>
    <w:basedOn w:val="842"/>
    <w:next w:val="896"/>
    <w:uiPriority w:val="0"/>
    <w:qFormat/>
    <w:pPr>
      <w:ind w:left="0" w:firstLine="3584"/>
      <w:jc w:val="center"/>
      <w:spacing w:before="280" w:after="280" w:line="240" w:lineRule="auto"/>
    </w:pPr>
    <w:rPr>
      <w:rFonts w:ascii="Times New Roman" w:hAnsi="Times New Roman" w:cs="Times New Roman"/>
    </w:rPr>
  </w:style>
  <w:style w:type="paragraph" w:styleId="1038" w:customStyle="1">
    <w:name w:val="xl26"/>
    <w:basedOn w:val="842"/>
    <w:next w:val="1039"/>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39" w:customStyle="1">
    <w:name w:val="Char1 Char Char"/>
    <w:basedOn w:val="842"/>
    <w:next w:val="879"/>
    <w:uiPriority w:val="0"/>
    <w:qFormat/>
    <w:pPr>
      <w:ind w:left="0" w:firstLine="2560"/>
      <w:spacing w:before="0" w:after="0" w:line="240" w:lineRule="auto"/>
    </w:pPr>
    <w:rPr>
      <w:rFonts w:ascii="Times New Roman" w:hAnsi="Times New Roman" w:cs="Times New Roman"/>
    </w:rPr>
  </w:style>
  <w:style w:type="paragraph" w:styleId="1040" w:customStyle="1">
    <w:name w:val="纯文本2"/>
    <w:basedOn w:val="842"/>
    <w:next w:val="1041"/>
    <w:uiPriority w:val="0"/>
    <w:qFormat/>
    <w:pPr>
      <w:ind w:left="0" w:firstLine="3584"/>
      <w:spacing w:before="0" w:after="0" w:line="240" w:lineRule="auto"/>
    </w:pPr>
    <w:rPr>
      <w:rFonts w:ascii="Times New Roman" w:hAnsi="Times New Roman" w:cs="Times New Roman"/>
    </w:rPr>
  </w:style>
  <w:style w:type="paragraph" w:styleId="1041" w:customStyle="1">
    <w:name w:val="xl69"/>
    <w:basedOn w:val="842"/>
    <w:next w:val="1042"/>
    <w:uiPriority w:val="0"/>
    <w:qFormat/>
    <w:pPr>
      <w:ind w:left="0" w:firstLine="3584"/>
      <w:spacing w:before="280" w:after="280" w:line="240" w:lineRule="auto"/>
    </w:pPr>
    <w:rPr>
      <w:rFonts w:ascii="Times New Roman" w:hAnsi="Times New Roman" w:cs="Times New Roman"/>
    </w:rPr>
  </w:style>
  <w:style w:type="paragraph" w:styleId="1042" w:customStyle="1">
    <w:name w:val="Char Char Char"/>
    <w:basedOn w:val="842"/>
    <w:next w:val="1043"/>
    <w:uiPriority w:val="0"/>
    <w:qFormat/>
    <w:pPr>
      <w:ind w:left="0" w:firstLine="2560"/>
      <w:spacing w:before="0" w:after="0" w:line="240" w:lineRule="auto"/>
    </w:pPr>
    <w:rPr>
      <w:rFonts w:ascii="Times New Roman" w:hAnsi="Times New Roman" w:cs="Times New Roman"/>
    </w:rPr>
  </w:style>
  <w:style w:type="paragraph" w:styleId="1043" w:customStyle="1">
    <w:name w:val="表格"/>
    <w:basedOn w:val="842"/>
    <w:next w:val="1038"/>
    <w:uiPriority w:val="0"/>
    <w:qFormat/>
    <w:pPr>
      <w:ind w:left="0" w:firstLine="2560"/>
      <w:spacing w:before="0" w:after="0" w:line="360" w:lineRule="auto"/>
    </w:pPr>
    <w:rPr>
      <w:rFonts w:ascii="Times New Roman" w:hAnsi="Times New Roman" w:cs="Times New Roman"/>
    </w:rPr>
  </w:style>
  <w:style w:type="paragraph" w:styleId="1044" w:customStyle="1">
    <w:name w:val="xl68"/>
    <w:basedOn w:val="842"/>
    <w:next w:val="1045"/>
    <w:uiPriority w:val="0"/>
    <w:qFormat/>
    <w:pPr>
      <w:ind w:left="100" w:firstLine="5220"/>
      <w:spacing w:before="280" w:after="280" w:line="240" w:lineRule="auto"/>
    </w:pPr>
    <w:rPr>
      <w:rFonts w:ascii="Times New Roman" w:hAnsi="Times New Roman" w:cs="Times New Roman"/>
    </w:rPr>
  </w:style>
  <w:style w:type="paragraph" w:styleId="1045" w:customStyle="1">
    <w:name w:val="Char1"/>
    <w:basedOn w:val="842"/>
    <w:next w:val="1046"/>
    <w:uiPriority w:val="0"/>
    <w:qFormat/>
    <w:pPr>
      <w:ind w:left="0" w:firstLine="2560"/>
      <w:spacing w:before="0" w:after="0" w:line="240" w:lineRule="auto"/>
    </w:pPr>
    <w:rPr>
      <w:rFonts w:ascii="Times New Roman" w:hAnsi="Times New Roman" w:cs="Times New Roman"/>
    </w:rPr>
  </w:style>
  <w:style w:type="paragraph" w:styleId="1046" w:customStyle="1">
    <w:name w:val="需求文档正文样式"/>
    <w:basedOn w:val="842"/>
    <w:next w:val="1047"/>
    <w:uiPriority w:val="0"/>
    <w:qFormat/>
    <w:pPr>
      <w:ind w:left="437" w:firstLine="2741"/>
      <w:spacing w:before="0" w:after="0" w:line="360" w:lineRule="auto"/>
    </w:pPr>
    <w:rPr>
      <w:rFonts w:ascii="Times New Roman" w:hAnsi="Times New Roman" w:cs="Times New Roman"/>
    </w:rPr>
  </w:style>
  <w:style w:type="paragraph" w:styleId="1047" w:customStyle="1">
    <w:name w:val="xl74"/>
    <w:basedOn w:val="842"/>
    <w:next w:val="1048"/>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48" w:customStyle="1">
    <w:name w:val="xl88"/>
    <w:basedOn w:val="842"/>
    <w:next w:val="1049"/>
    <w:uiPriority w:val="0"/>
    <w:qFormat/>
    <w:pPr>
      <w:ind w:left="0" w:firstLine="5120"/>
      <w:spacing w:before="280" w:after="280" w:line="240" w:lineRule="auto"/>
    </w:pPr>
    <w:rPr>
      <w:rFonts w:ascii="Times New Roman" w:hAnsi="Times New Roman" w:cs="Times New Roman"/>
    </w:rPr>
  </w:style>
  <w:style w:type="paragraph" w:styleId="1049" w:customStyle="1">
    <w:name w:val="xl70"/>
    <w:basedOn w:val="842"/>
    <w:next w:val="895"/>
    <w:uiPriority w:val="0"/>
    <w:qFormat/>
    <w:pPr>
      <w:ind w:left="0" w:firstLine="1024"/>
      <w:spacing w:before="280" w:after="280" w:line="240" w:lineRule="auto"/>
    </w:pPr>
    <w:rPr>
      <w:rFonts w:ascii="Times New Roman" w:hAnsi="Times New Roman" w:cs="Times New Roman"/>
    </w:rPr>
  </w:style>
  <w:style w:type="paragraph" w:styleId="1050" w:customStyle="1">
    <w:name w:val="文档标题5"/>
    <w:basedOn w:val="847"/>
    <w:next w:val="841"/>
    <w:uiPriority w:val="0"/>
    <w:qFormat/>
    <w:pPr>
      <w:ind w:left="992" w:firstLine="18"/>
      <w:spacing w:before="280" w:after="280" w:line="360" w:lineRule="auto"/>
      <w:outlineLvl w:val="4"/>
    </w:pPr>
  </w:style>
  <w:style w:type="paragraph" w:styleId="1051" w:customStyle="1">
    <w:name w:val="样式 加粗 居中"/>
    <w:basedOn w:val="842"/>
    <w:next w:val="1052"/>
    <w:uiPriority w:val="0"/>
    <w:qFormat/>
    <w:pPr>
      <w:ind w:left="0" w:firstLine="2560"/>
      <w:jc w:val="center"/>
      <w:spacing w:before="0" w:after="0" w:line="360" w:lineRule="auto"/>
    </w:pPr>
    <w:rPr>
      <w:rFonts w:ascii="Times New Roman" w:hAnsi="Times New Roman" w:cs="Times New Roman"/>
    </w:rPr>
  </w:style>
  <w:style w:type="paragraph" w:styleId="1052" w:customStyle="1">
    <w:name w:val="_Style 12"/>
    <w:next w:val="1053"/>
    <w:uiPriority w:val="0"/>
    <w:qFormat/>
    <w:pPr>
      <w:ind w:firstLine="14"/>
      <w:spacing w:line="360" w:lineRule="auto"/>
      <w:shd w:val="clear" w:color="000000" w:fill="000080"/>
    </w:pPr>
    <w:rPr>
      <w:rFonts w:ascii="Calibri" w:hAnsi="Calibri" w:eastAsia="宋体" w:cs="宋体"/>
      <w:lang w:val="en-US" w:eastAsia="zh-CN" w:bidi="ar-SA"/>
    </w:rPr>
  </w:style>
  <w:style w:type="paragraph" w:styleId="1053" w:customStyle="1">
    <w:name w:val="正文文本缩进1"/>
    <w:basedOn w:val="842"/>
    <w:next w:val="1054"/>
    <w:uiPriority w:val="0"/>
    <w:qFormat/>
    <w:pPr>
      <w:ind w:left="420" w:firstLine="3584"/>
      <w:spacing w:before="0" w:after="120" w:line="240" w:lineRule="auto"/>
    </w:pPr>
    <w:rPr>
      <w:rFonts w:ascii="Times New Roman" w:hAnsi="Times New Roman" w:cs="Times New Roman"/>
    </w:rPr>
  </w:style>
  <w:style w:type="paragraph" w:styleId="1054" w:customStyle="1">
    <w:name w:val="列表编号 31"/>
    <w:basedOn w:val="842"/>
    <w:next w:val="897"/>
    <w:uiPriority w:val="0"/>
    <w:qFormat/>
    <w:pPr>
      <w:ind w:left="1200" w:firstLine="2712"/>
      <w:spacing w:before="0" w:after="0" w:line="360" w:lineRule="auto"/>
    </w:pPr>
    <w:rPr>
      <w:rFonts w:ascii="Times New Roman" w:hAnsi="Times New Roman" w:cs="Times New Roman"/>
    </w:rPr>
  </w:style>
  <w:style w:type="paragraph" w:styleId="1055" w:customStyle="1">
    <w:name w:val="三号 居中"/>
    <w:basedOn w:val="842"/>
    <w:next w:val="1056"/>
    <w:uiPriority w:val="0"/>
    <w:qFormat/>
    <w:pPr>
      <w:ind w:left="0" w:firstLine="6144"/>
      <w:jc w:val="center"/>
      <w:spacing w:before="0" w:after="0" w:line="360" w:lineRule="auto"/>
    </w:pPr>
    <w:rPr>
      <w:rFonts w:ascii="Times New Roman" w:hAnsi="Times New Roman" w:cs="Times New Roman"/>
    </w:rPr>
  </w:style>
  <w:style w:type="paragraph" w:styleId="1056" w:customStyle="1">
    <w:name w:val="列出段落1"/>
    <w:basedOn w:val="842"/>
    <w:next w:val="1057"/>
    <w:uiPriority w:val="0"/>
    <w:qFormat/>
    <w:pPr>
      <w:ind w:left="420" w:firstLine="3748"/>
      <w:spacing w:before="0" w:after="0" w:line="240" w:lineRule="auto"/>
    </w:pPr>
    <w:rPr>
      <w:rFonts w:ascii="Times New Roman" w:hAnsi="Times New Roman" w:cs="Times New Roman"/>
    </w:rPr>
  </w:style>
  <w:style w:type="paragraph" w:styleId="1057" w:customStyle="1">
    <w:name w:val="Char Char Char Char Char Char1 Char Char Char1 Char Char Char"/>
    <w:basedOn w:val="842"/>
    <w:next w:val="1058"/>
    <w:uiPriority w:val="0"/>
    <w:qFormat/>
    <w:pPr>
      <w:ind w:left="0" w:firstLine="2560"/>
      <w:spacing w:before="0" w:after="0" w:line="240" w:lineRule="auto"/>
    </w:pPr>
    <w:rPr>
      <w:rFonts w:ascii="Times New Roman" w:hAnsi="Times New Roman" w:cs="Times New Roman"/>
    </w:rPr>
  </w:style>
  <w:style w:type="paragraph" w:styleId="1058" w:customStyle="1">
    <w:name w:val="Char Char Char Char Char Char1 Char Char Char1 Char"/>
    <w:basedOn w:val="842"/>
    <w:next w:val="1059"/>
    <w:uiPriority w:val="0"/>
    <w:qFormat/>
    <w:pPr>
      <w:ind w:left="0" w:firstLine="2560"/>
      <w:spacing w:before="0" w:after="0" w:line="240" w:lineRule="auto"/>
    </w:pPr>
    <w:rPr>
      <w:rFonts w:ascii="Times New Roman" w:hAnsi="Times New Roman" w:cs="Times New Roman"/>
    </w:rPr>
  </w:style>
  <w:style w:type="paragraph" w:styleId="1059" w:customStyle="1">
    <w:name w:val="正文符号4"/>
    <w:basedOn w:val="842"/>
    <w:next w:val="1051"/>
    <w:uiPriority w:val="0"/>
    <w:qFormat/>
    <w:pPr>
      <w:ind w:left="0" w:firstLine="5632"/>
      <w:spacing w:before="0" w:after="0" w:line="240" w:lineRule="auto"/>
    </w:pPr>
    <w:rPr>
      <w:rFonts w:ascii="Times New Roman" w:hAnsi="Times New Roman" w:cs="Times New Roman"/>
    </w:rPr>
  </w:style>
  <w:style w:type="paragraph" w:styleId="1060" w:customStyle="1">
    <w:name w:val="加粗（居中）"/>
    <w:next w:val="1061"/>
    <w:uiPriority w:val="0"/>
    <w:qFormat/>
    <w:pPr>
      <w:ind w:firstLine="2560"/>
    </w:pPr>
    <w:rPr>
      <w:rFonts w:ascii="Calibri" w:hAnsi="Calibri" w:eastAsia="宋体" w:cs="宋体"/>
      <w:lang w:val="en-US" w:eastAsia="zh-CN" w:bidi="ar-SA"/>
    </w:rPr>
  </w:style>
  <w:style w:type="paragraph" w:styleId="1061" w:customStyle="1">
    <w:name w:val="xl65"/>
    <w:basedOn w:val="842"/>
    <w:next w:val="1021"/>
    <w:uiPriority w:val="0"/>
    <w:qFormat/>
    <w:pPr>
      <w:ind w:left="0" w:firstLine="5120"/>
      <w:spacing w:before="280" w:after="280" w:line="240" w:lineRule="auto"/>
    </w:pPr>
    <w:rPr>
      <w:rFonts w:ascii="Times New Roman" w:hAnsi="Times New Roman" w:cs="Times New Roman"/>
    </w:rPr>
  </w:style>
  <w:style w:type="paragraph" w:styleId="1062" w:customStyle="1">
    <w:name w:val="WPSOffice手动目录 3"/>
    <w:uiPriority w:val="0"/>
    <w:qFormat/>
    <w:pPr>
      <w:ind w:left="400"/>
    </w:pPr>
    <w:rPr>
      <w:rFonts w:ascii="宋体" w:hAnsi="宋体" w:eastAsia="宋体" w:cs="宋体"/>
      <w:lang w:val="en-US" w:eastAsia="zh-CN" w:bidi="ar-SA"/>
    </w:rPr>
  </w:style>
  <w:style w:type="paragraph" w:styleId="1063" w:customStyle="1">
    <w:name w:val="xl77"/>
    <w:basedOn w:val="842"/>
    <w:next w:val="1064"/>
    <w:uiPriority w:val="0"/>
    <w:qFormat/>
    <w:pPr>
      <w:ind w:left="0" w:firstLine="3584"/>
      <w:spacing w:before="280" w:after="280" w:line="240" w:lineRule="auto"/>
    </w:pPr>
    <w:rPr>
      <w:rFonts w:ascii="Times New Roman" w:hAnsi="Times New Roman" w:cs="Times New Roman"/>
    </w:rPr>
  </w:style>
  <w:style w:type="paragraph" w:styleId="1064" w:customStyle="1">
    <w:name w:val="Char Char Char1"/>
    <w:basedOn w:val="842"/>
    <w:next w:val="1065"/>
    <w:uiPriority w:val="0"/>
    <w:qFormat/>
    <w:pPr>
      <w:ind w:left="900" w:firstLine="2096"/>
      <w:spacing w:before="0" w:after="0" w:line="240" w:lineRule="auto"/>
    </w:pPr>
    <w:rPr>
      <w:rFonts w:ascii="Times New Roman" w:hAnsi="Times New Roman" w:cs="Times New Roman"/>
    </w:rPr>
  </w:style>
  <w:style w:type="paragraph" w:styleId="1065" w:customStyle="1">
    <w:name w:val="索引 21"/>
    <w:basedOn w:val="842"/>
    <w:next w:val="841"/>
    <w:uiPriority w:val="0"/>
    <w:qFormat/>
    <w:pPr>
      <w:ind w:left="200" w:firstLine="2560"/>
      <w:jc w:val="center"/>
      <w:spacing w:before="0" w:after="0" w:line="360" w:lineRule="auto"/>
    </w:pPr>
    <w:rPr>
      <w:rFonts w:ascii="Times New Roman" w:hAnsi="Times New Roman" w:cs="Times New Roman"/>
    </w:rPr>
  </w:style>
  <w:style w:type="paragraph" w:styleId="1066" w:customStyle="1">
    <w:name w:val="正文（首行缩进 2 字符）"/>
    <w:next w:val="1067"/>
    <w:uiPriority w:val="0"/>
    <w:qFormat/>
    <w:pPr>
      <w:ind w:left="480" w:firstLine="2784"/>
      <w:jc w:val="center"/>
      <w:spacing w:line="300" w:lineRule="auto"/>
    </w:pPr>
    <w:rPr>
      <w:rFonts w:ascii="Calibri" w:hAnsi="Calibri" w:eastAsia="宋体" w:cs="宋体"/>
      <w:lang w:val="en-US" w:eastAsia="zh-CN" w:bidi="ar-SA"/>
    </w:rPr>
  </w:style>
  <w:style w:type="paragraph" w:styleId="1067" w:customStyle="1">
    <w:name w:val="xl28"/>
    <w:basedOn w:val="842"/>
    <w:next w:val="1068"/>
    <w:uiPriority w:val="0"/>
    <w:qFormat/>
    <w:pPr>
      <w:ind w:left="0" w:firstLine="20"/>
      <w:spacing w:before="280" w:after="280" w:line="240" w:lineRule="auto"/>
      <w:shd w:val="clear" w:color="000000" w:fill="ffffff"/>
    </w:pPr>
    <w:rPr>
      <w:rFonts w:ascii="Times New Roman" w:hAnsi="Times New Roman" w:cs="Times New Roman"/>
    </w:rPr>
  </w:style>
  <w:style w:type="paragraph" w:styleId="1068" w:customStyle="1">
    <w:name w:val="HTML 预设格式1"/>
    <w:basedOn w:val="842"/>
    <w:next w:val="1069"/>
    <w:uiPriority w:val="0"/>
    <w:qFormat/>
    <w:pPr>
      <w:ind w:left="0" w:firstLine="3584"/>
      <w:spacing w:before="0" w:after="0" w:line="253" w:lineRule="atLeast"/>
    </w:pPr>
    <w:rPr>
      <w:rFonts w:ascii="Times New Roman" w:hAnsi="Times New Roman" w:cs="Times New Roman"/>
    </w:rPr>
  </w:style>
  <w:style w:type="paragraph" w:styleId="1069" w:customStyle="1">
    <w:name w:val="项目符号：一级"/>
    <w:basedOn w:val="842"/>
    <w:next w:val="841"/>
    <w:uiPriority w:val="0"/>
    <w:qFormat/>
    <w:pPr>
      <w:ind w:left="425" w:firstLine="1111"/>
      <w:spacing w:before="0" w:after="0" w:line="360" w:lineRule="auto"/>
    </w:pPr>
    <w:rPr>
      <w:rFonts w:ascii="Times New Roman" w:hAnsi="Times New Roman" w:cs="Times New Roman"/>
    </w:rPr>
  </w:style>
  <w:style w:type="paragraph" w:styleId="1070" w:customStyle="1">
    <w:name w:val="Default"/>
    <w:next w:val="875"/>
    <w:uiPriority w:val="0"/>
    <w:qFormat/>
    <w:pPr>
      <w:ind w:firstLine="5120"/>
      <w:widowControl w:val="off"/>
    </w:pPr>
    <w:rPr>
      <w:rFonts w:ascii="Calibri" w:hAnsi="Calibri" w:eastAsia="宋体" w:cs="宋体"/>
      <w:lang w:val="en-US" w:eastAsia="zh-CN" w:bidi="ar-SA"/>
    </w:rPr>
  </w:style>
  <w:style w:type="paragraph" w:styleId="1071" w:customStyle="1">
    <w:name w:val="xl84"/>
    <w:basedOn w:val="842"/>
    <w:next w:val="1072"/>
    <w:uiPriority w:val="0"/>
    <w:qFormat/>
    <w:pPr>
      <w:ind w:left="0" w:firstLine="2048"/>
      <w:jc w:val="center"/>
      <w:spacing w:before="280" w:after="280" w:line="240" w:lineRule="auto"/>
    </w:pPr>
    <w:rPr>
      <w:rFonts w:ascii="Times New Roman" w:hAnsi="Times New Roman" w:cs="Times New Roman"/>
    </w:rPr>
  </w:style>
  <w:style w:type="paragraph" w:styleId="1072" w:customStyle="1">
    <w:name w:val="2-2ji"/>
    <w:basedOn w:val="844"/>
    <w:next w:val="1073"/>
    <w:uiPriority w:val="0"/>
    <w:qFormat/>
    <w:pPr>
      <w:ind w:left="0" w:firstLine="24"/>
      <w:jc w:val="center"/>
      <w:spacing w:before="0" w:after="0" w:line="360" w:lineRule="auto"/>
      <w:outlineLvl w:val="1"/>
    </w:pPr>
  </w:style>
  <w:style w:type="paragraph" w:styleId="1073" w:customStyle="1">
    <w:name w:val="应答文本"/>
    <w:basedOn w:val="842"/>
    <w:next w:val="1074"/>
    <w:uiPriority w:val="0"/>
    <w:qFormat/>
    <w:pPr>
      <w:ind w:left="1296" w:firstLine="2112"/>
      <w:spacing w:before="0" w:after="0" w:line="460" w:lineRule="exact"/>
    </w:pPr>
    <w:rPr>
      <w:rFonts w:ascii="Times New Roman" w:hAnsi="Times New Roman" w:cs="Times New Roman"/>
    </w:rPr>
  </w:style>
  <w:style w:type="paragraph" w:styleId="1074" w:customStyle="1">
    <w:name w:val="引文目录1"/>
    <w:basedOn w:val="842"/>
    <w:next w:val="841"/>
    <w:uiPriority w:val="0"/>
    <w:qFormat/>
    <w:pPr>
      <w:ind w:left="420" w:firstLine="2560"/>
      <w:jc w:val="center"/>
      <w:spacing w:before="0" w:after="0" w:line="360" w:lineRule="auto"/>
    </w:pPr>
    <w:rPr>
      <w:rFonts w:ascii="Times New Roman" w:hAnsi="Times New Roman" w:cs="Times New Roman"/>
    </w:rPr>
  </w:style>
  <w:style w:type="paragraph" w:styleId="1075" w:customStyle="1">
    <w:name w:val="首行缩进"/>
    <w:basedOn w:val="841"/>
    <w:uiPriority w:val="0"/>
    <w:qFormat/>
    <w:pPr>
      <w:ind w:firstLine="480"/>
    </w:pPr>
    <w:rPr>
      <w:rFonts w:ascii="Times New Roman" w:hAnsi="Times New Roman" w:cs="Times New Roman"/>
      <w:lang w:val="zh-CN"/>
    </w:rPr>
  </w:style>
  <w:style w:type="paragraph" w:styleId="1076" w:customStyle="1">
    <w:name w:val="font9"/>
    <w:basedOn w:val="842"/>
    <w:next w:val="1077"/>
    <w:uiPriority w:val="0"/>
    <w:qFormat/>
    <w:pPr>
      <w:ind w:left="0" w:firstLine="7168"/>
      <w:spacing w:before="280" w:after="280" w:line="240" w:lineRule="auto"/>
    </w:pPr>
    <w:rPr>
      <w:rFonts w:ascii="Times New Roman" w:hAnsi="Times New Roman" w:cs="Times New Roman"/>
    </w:rPr>
  </w:style>
  <w:style w:type="paragraph" w:styleId="1077" w:customStyle="1">
    <w:name w:val="样式 标题 3 + (中文) 黑体 小四 非加粗 段前: 7.8 磅 段后: 0 磅 行距: 固定值 20 磅"/>
    <w:basedOn w:val="845"/>
    <w:next w:val="1078"/>
    <w:uiPriority w:val="0"/>
    <w:qFormat/>
    <w:pPr>
      <w:ind w:left="0"/>
      <w:spacing w:before="0" w:after="0" w:line="400" w:lineRule="exact"/>
      <w:outlineLvl w:val="2"/>
    </w:pPr>
  </w:style>
  <w:style w:type="paragraph" w:styleId="1078" w:customStyle="1">
    <w:name w:val="标书正文"/>
    <w:basedOn w:val="842"/>
    <w:next w:val="1079"/>
    <w:uiPriority w:val="0"/>
    <w:qFormat/>
    <w:pPr>
      <w:ind w:left="440" w:right="100" w:firstLine="2760"/>
      <w:spacing w:before="0" w:after="0" w:line="360" w:lineRule="auto"/>
    </w:pPr>
    <w:rPr>
      <w:rFonts w:ascii="Times New Roman" w:hAnsi="Times New Roman" w:cs="Times New Roman"/>
    </w:rPr>
  </w:style>
  <w:style w:type="paragraph" w:styleId="1079" w:customStyle="1">
    <w:name w:val="xl67"/>
    <w:basedOn w:val="842"/>
    <w:next w:val="1080"/>
    <w:uiPriority w:val="0"/>
    <w:qFormat/>
    <w:pPr>
      <w:ind w:left="0" w:firstLine="5120"/>
      <w:spacing w:before="280" w:after="280" w:line="240" w:lineRule="auto"/>
    </w:pPr>
    <w:rPr>
      <w:rFonts w:ascii="Times New Roman" w:hAnsi="Times New Roman" w:cs="Times New Roman"/>
    </w:rPr>
  </w:style>
  <w:style w:type="paragraph" w:styleId="1080" w:customStyle="1">
    <w:name w:val="索引 61"/>
    <w:basedOn w:val="842"/>
    <w:next w:val="841"/>
    <w:uiPriority w:val="0"/>
    <w:qFormat/>
    <w:pPr>
      <w:ind w:left="1000" w:firstLine="2560"/>
      <w:jc w:val="center"/>
      <w:spacing w:before="0" w:after="0" w:line="360" w:lineRule="auto"/>
    </w:pPr>
    <w:rPr>
      <w:rFonts w:ascii="Times New Roman" w:hAnsi="Times New Roman" w:cs="Times New Roman"/>
    </w:rPr>
  </w:style>
  <w:style w:type="paragraph" w:styleId="1081" w:customStyle="1">
    <w:name w:val="目录3"/>
    <w:basedOn w:val="842"/>
    <w:next w:val="841"/>
    <w:uiPriority w:val="0"/>
    <w:qFormat/>
    <w:pPr>
      <w:ind w:left="419" w:firstLine="5283"/>
      <w:spacing w:before="0" w:after="0" w:line="317" w:lineRule="atLeast"/>
    </w:pPr>
    <w:rPr>
      <w:rFonts w:ascii="Times New Roman" w:hAnsi="Times New Roman" w:cs="Times New Roman"/>
    </w:rPr>
  </w:style>
  <w:style w:type="paragraph" w:styleId="1082" w:customStyle="1">
    <w:name w:val="xl90"/>
    <w:basedOn w:val="842"/>
    <w:next w:val="1083"/>
    <w:uiPriority w:val="0"/>
    <w:qFormat/>
    <w:pPr>
      <w:ind w:left="0" w:firstLine="3584"/>
      <w:spacing w:before="280" w:after="280" w:line="240" w:lineRule="auto"/>
    </w:pPr>
    <w:rPr>
      <w:rFonts w:ascii="Times New Roman" w:hAnsi="Times New Roman" w:cs="Times New Roman"/>
    </w:rPr>
  </w:style>
  <w:style w:type="paragraph" w:styleId="1083" w:customStyle="1">
    <w:name w:val="列表框1"/>
    <w:next w:val="1074"/>
    <w:uiPriority w:val="0"/>
    <w:qFormat/>
    <w:pPr>
      <w:ind w:firstLine="2048"/>
      <w:spacing w:line="460" w:lineRule="exact"/>
    </w:pPr>
    <w:rPr>
      <w:rFonts w:ascii="Calibri" w:hAnsi="Calibri" w:eastAsia="宋体" w:cs="宋体"/>
      <w:lang w:val="en-US" w:eastAsia="zh-CN" w:bidi="ar-SA"/>
    </w:rPr>
  </w:style>
  <w:style w:type="paragraph" w:styleId="1084" w:customStyle="1">
    <w:name w:val="1ji"/>
    <w:basedOn w:val="843"/>
    <w:next w:val="1063"/>
    <w:uiPriority w:val="0"/>
    <w:qFormat/>
    <w:pPr>
      <w:ind w:left="0" w:firstLine="18"/>
      <w:jc w:val="center"/>
      <w:spacing w:before="0" w:after="0" w:line="240" w:lineRule="auto"/>
      <w:outlineLvl w:val="0"/>
    </w:pPr>
  </w:style>
  <w:style w:type="paragraph" w:styleId="1085" w:customStyle="1">
    <w:name w:val="索引 81"/>
    <w:basedOn w:val="842"/>
    <w:next w:val="841"/>
    <w:uiPriority w:val="0"/>
    <w:qFormat/>
    <w:pPr>
      <w:ind w:left="1400" w:firstLine="2560"/>
      <w:jc w:val="center"/>
      <w:spacing w:before="0" w:after="0" w:line="360" w:lineRule="auto"/>
    </w:pPr>
    <w:rPr>
      <w:rFonts w:ascii="Times New Roman" w:hAnsi="Times New Roman" w:cs="Times New Roman"/>
    </w:rPr>
  </w:style>
  <w:style w:type="paragraph" w:styleId="1086" w:customStyle="1">
    <w:name w:val="正文1"/>
    <w:basedOn w:val="841"/>
    <w:next w:val="841"/>
    <w:uiPriority w:val="0"/>
    <w:qFormat/>
    <w:pPr>
      <w:spacing w:line="312" w:lineRule="atLeast"/>
    </w:pPr>
    <w:rPr>
      <w:rFonts w:ascii="楷体_GB2312" w:hAnsi="Times New Roman" w:eastAsia="楷体_GB2312" w:cs="Times New Roman"/>
      <w:sz w:val="24"/>
    </w:rPr>
  </w:style>
  <w:style w:type="paragraph" w:styleId="1087" w:customStyle="1">
    <w:name w:val="Char Char Char Char Char Char1 Char Char Char1 Char Char Char Char Char Char Char Char Char Char Char Char Char Char Char Char Char Char"/>
    <w:basedOn w:val="842"/>
    <w:next w:val="1088"/>
    <w:uiPriority w:val="0"/>
    <w:qFormat/>
    <w:pPr>
      <w:ind w:left="0" w:firstLine="2560"/>
      <w:spacing w:before="0" w:after="0" w:line="240" w:lineRule="auto"/>
    </w:pPr>
    <w:rPr>
      <w:rFonts w:ascii="Times New Roman" w:hAnsi="Times New Roman" w:cs="Times New Roman"/>
    </w:rPr>
  </w:style>
  <w:style w:type="paragraph" w:styleId="1088" w:customStyle="1">
    <w:name w:val="样式 加粗 居中11"/>
    <w:basedOn w:val="842"/>
    <w:next w:val="1089"/>
    <w:uiPriority w:val="0"/>
    <w:qFormat/>
    <w:pPr>
      <w:ind w:left="0" w:firstLine="2560"/>
      <w:jc w:val="center"/>
      <w:spacing w:before="0" w:after="0" w:line="360" w:lineRule="auto"/>
    </w:pPr>
    <w:rPr>
      <w:rFonts w:ascii="Times New Roman" w:hAnsi="Times New Roman" w:cs="Times New Roman"/>
    </w:rPr>
  </w:style>
  <w:style w:type="paragraph" w:styleId="1089" w:customStyle="1">
    <w:name w:val="xl89"/>
    <w:basedOn w:val="842"/>
    <w:next w:val="1090"/>
    <w:uiPriority w:val="0"/>
    <w:qFormat/>
    <w:pPr>
      <w:ind w:left="0" w:firstLine="3584"/>
      <w:spacing w:before="280" w:after="280" w:line="240" w:lineRule="auto"/>
    </w:pPr>
    <w:rPr>
      <w:rFonts w:ascii="Times New Roman" w:hAnsi="Times New Roman" w:cs="Times New Roman"/>
    </w:rPr>
  </w:style>
  <w:style w:type="paragraph" w:styleId="1090" w:customStyle="1">
    <w:name w:val="Char Char Char Char Char Char1 Char Char Char Char Char Char1 Char Char Char Char Char Char Char Char Char"/>
    <w:basedOn w:val="842"/>
    <w:next w:val="1091"/>
    <w:uiPriority w:val="0"/>
    <w:qFormat/>
    <w:pPr>
      <w:ind w:left="0" w:firstLine="2560"/>
      <w:spacing w:before="0" w:after="0" w:line="240" w:lineRule="auto"/>
    </w:pPr>
    <w:rPr>
      <w:rFonts w:ascii="Times New Roman" w:hAnsi="Times New Roman" w:cs="Times New Roman"/>
    </w:rPr>
  </w:style>
  <w:style w:type="paragraph" w:styleId="1091" w:customStyle="1">
    <w:name w:val="文章附标题"/>
    <w:basedOn w:val="842"/>
    <w:next w:val="842"/>
    <w:uiPriority w:val="0"/>
    <w:qFormat/>
    <w:pPr>
      <w:ind w:left="0" w:firstLine="5120"/>
      <w:jc w:val="center"/>
      <w:spacing w:before="187" w:after="175" w:line="374" w:lineRule="atLeast"/>
    </w:pPr>
    <w:rPr>
      <w:rFonts w:ascii="Times New Roman" w:hAnsi="Times New Roman" w:cs="Times New Roman"/>
    </w:rPr>
  </w:style>
  <w:style w:type="paragraph" w:styleId="1092">
    <w:name w:val="Quote"/>
    <w:next w:val="841"/>
    <w:uiPriority w:val="0"/>
    <w:qFormat/>
    <w:pPr>
      <w:ind w:left="3680" w:right="864"/>
      <w:jc w:val="center"/>
      <w:spacing w:before="200" w:after="160"/>
    </w:pPr>
    <w:rPr>
      <w:rFonts w:ascii="Calibri" w:hAnsi="Calibri" w:eastAsia="宋体" w:cs="宋体"/>
      <w:i/>
      <w:lang w:val="en-US" w:eastAsia="zh-CN" w:bidi="ar-SA"/>
    </w:rPr>
  </w:style>
  <w:style w:type="paragraph" w:styleId="1093" w:customStyle="1">
    <w:name w:val="Default Paragraph Font Para Char Char Char Char Char Char"/>
    <w:basedOn w:val="842"/>
    <w:next w:val="1094"/>
    <w:uiPriority w:val="0"/>
    <w:qFormat/>
    <w:pPr>
      <w:ind w:left="0" w:firstLine="3584"/>
      <w:spacing w:before="0" w:after="160" w:line="240" w:lineRule="exact"/>
    </w:pPr>
    <w:rPr>
      <w:rFonts w:ascii="Times New Roman" w:hAnsi="Times New Roman" w:cs="Times New Roman"/>
    </w:rPr>
  </w:style>
  <w:style w:type="paragraph" w:styleId="1094" w:customStyle="1">
    <w:name w:val="xl23"/>
    <w:basedOn w:val="842"/>
    <w:next w:val="877"/>
    <w:uiPriority w:val="0"/>
    <w:qFormat/>
    <w:pPr>
      <w:ind w:left="0" w:firstLine="20"/>
      <w:spacing w:before="280" w:after="280" w:line="240" w:lineRule="auto"/>
      <w:shd w:val="clear" w:color="000000" w:fill="ffffff"/>
    </w:pPr>
    <w:rPr>
      <w:rFonts w:ascii="Times New Roman" w:hAnsi="Times New Roman" w:cs="Times New Roman"/>
    </w:rPr>
  </w:style>
  <w:style w:type="paragraph" w:styleId="1095" w:customStyle="1">
    <w:name w:val="列出段落11"/>
    <w:basedOn w:val="842"/>
    <w:next w:val="1096"/>
    <w:uiPriority w:val="0"/>
    <w:qFormat/>
    <w:pPr>
      <w:ind w:left="420" w:firstLine="3748"/>
      <w:spacing w:before="0" w:after="0" w:line="240" w:lineRule="auto"/>
    </w:pPr>
    <w:rPr>
      <w:rFonts w:ascii="Times New Roman" w:hAnsi="Times New Roman" w:cs="Times New Roman"/>
    </w:rPr>
  </w:style>
  <w:style w:type="paragraph" w:styleId="1096" w:customStyle="1">
    <w:name w:val="样式 标题 2 + (西文) 宋体 非加粗 居中"/>
    <w:basedOn w:val="844"/>
    <w:next w:val="1097"/>
    <w:uiPriority w:val="0"/>
    <w:qFormat/>
    <w:pPr>
      <w:ind w:left="0" w:firstLine="24"/>
      <w:jc w:val="center"/>
      <w:spacing w:line="412" w:lineRule="auto"/>
      <w:outlineLvl w:val="1"/>
    </w:pPr>
  </w:style>
  <w:style w:type="paragraph" w:styleId="1097" w:customStyle="1">
    <w:name w:val="页脚 Char Char"/>
    <w:basedOn w:val="842"/>
    <w:next w:val="1098"/>
    <w:uiPriority w:val="0"/>
    <w:qFormat/>
    <w:pPr>
      <w:ind w:left="0" w:firstLine="5120"/>
      <w:spacing w:before="0" w:after="0" w:line="240" w:lineRule="auto"/>
    </w:pPr>
    <w:rPr>
      <w:rFonts w:ascii="Times New Roman" w:hAnsi="Times New Roman" w:cs="Times New Roman"/>
    </w:rPr>
  </w:style>
  <w:style w:type="paragraph" w:styleId="1098" w:customStyle="1">
    <w:name w:val="样式 标题 1 + 段前: 16 磅 段后: 16 磅"/>
    <w:basedOn w:val="843"/>
    <w:next w:val="1099"/>
    <w:uiPriority w:val="0"/>
    <w:qFormat/>
    <w:pPr>
      <w:ind w:left="0" w:firstLine="18"/>
      <w:jc w:val="center"/>
      <w:spacing w:before="120" w:after="0" w:line="360" w:lineRule="auto"/>
      <w:outlineLvl w:val="0"/>
    </w:pPr>
  </w:style>
  <w:style w:type="paragraph" w:styleId="1099" w:customStyle="1">
    <w:name w:val="Char1 Char Char Char Char Char Char"/>
    <w:basedOn w:val="842"/>
    <w:next w:val="1100"/>
    <w:uiPriority w:val="0"/>
    <w:qFormat/>
    <w:pPr>
      <w:ind w:left="0" w:firstLine="2560"/>
      <w:spacing w:before="0" w:after="0" w:line="240" w:lineRule="auto"/>
    </w:pPr>
    <w:rPr>
      <w:rFonts w:ascii="Times New Roman" w:hAnsi="Times New Roman" w:cs="Times New Roman"/>
    </w:rPr>
  </w:style>
  <w:style w:type="paragraph" w:styleId="1100" w:customStyle="1">
    <w:name w:val="文档标题4"/>
    <w:basedOn w:val="846"/>
    <w:next w:val="841"/>
    <w:uiPriority w:val="0"/>
    <w:qFormat/>
    <w:pPr>
      <w:ind w:left="851" w:firstLine="30"/>
      <w:spacing w:after="280" w:line="360" w:lineRule="auto"/>
      <w:outlineLvl w:val="3"/>
    </w:pPr>
  </w:style>
  <w:style w:type="paragraph" w:styleId="1101" w:customStyle="1">
    <w:name w:val="font0"/>
    <w:basedOn w:val="842"/>
    <w:next w:val="1076"/>
    <w:uiPriority w:val="0"/>
    <w:qFormat/>
    <w:pPr>
      <w:ind w:left="0" w:firstLine="1024"/>
      <w:spacing w:before="280" w:after="280" w:line="240" w:lineRule="auto"/>
    </w:pPr>
    <w:rPr>
      <w:rFonts w:ascii="Times New Roman" w:hAnsi="Times New Roman" w:cs="Times New Roman"/>
    </w:rPr>
  </w:style>
  <w:style w:type="paragraph" w:styleId="1102" w:customStyle="1">
    <w:name w:val="CM5"/>
    <w:basedOn w:val="842"/>
    <w:next w:val="841"/>
    <w:uiPriority w:val="0"/>
    <w:qFormat/>
    <w:pPr>
      <w:ind w:left="200" w:firstLine="2760"/>
      <w:spacing w:before="0" w:after="0" w:line="400" w:lineRule="atLeast"/>
    </w:pPr>
    <w:rPr>
      <w:rFonts w:ascii="Times New Roman" w:hAnsi="Times New Roman" w:cs="Times New Roman"/>
    </w:rPr>
  </w:style>
  <w:style w:type="paragraph" w:styleId="1103" w:customStyle="1">
    <w:name w:val="Pa0"/>
    <w:basedOn w:val="842"/>
    <w:next w:val="841"/>
    <w:uiPriority w:val="0"/>
    <w:qFormat/>
    <w:pPr>
      <w:ind w:left="0" w:firstLine="4608"/>
      <w:spacing w:before="0" w:after="0" w:line="241" w:lineRule="atLeast"/>
    </w:pPr>
    <w:rPr>
      <w:rFonts w:ascii="Times New Roman" w:hAnsi="Times New Roman" w:cs="Times New Roman"/>
    </w:rPr>
  </w:style>
  <w:style w:type="paragraph" w:styleId="1104" w:customStyle="1">
    <w:name w:val="招标文件》"/>
    <w:basedOn w:val="842"/>
    <w:next w:val="1040"/>
    <w:uiPriority w:val="0"/>
    <w:qFormat/>
    <w:pPr>
      <w:ind w:left="420" w:firstLine="2140"/>
      <w:spacing w:before="120" w:after="120" w:line="300" w:lineRule="auto"/>
    </w:pPr>
    <w:rPr>
      <w:rFonts w:ascii="Times New Roman" w:hAnsi="Times New Roman" w:cs="Times New Roman"/>
    </w:rPr>
  </w:style>
  <w:style w:type="paragraph" w:styleId="1105" w:customStyle="1">
    <w:name w:val="段"/>
    <w:next w:val="841"/>
    <w:uiPriority w:val="0"/>
    <w:qFormat/>
    <w:pPr>
      <w:ind w:firstLine="200"/>
      <w:jc w:val="both"/>
      <w:spacing w:line="360" w:lineRule="auto"/>
    </w:pPr>
    <w:rPr>
      <w:rFonts w:ascii="宋体" w:hAnsi="宋体" w:eastAsia="宋体" w:cs="宋体"/>
      <w:sz w:val="24"/>
      <w:szCs w:val="22"/>
      <w:lang w:val="en-US" w:eastAsia="zh-CN" w:bidi="ar-SA"/>
    </w:rPr>
  </w:style>
  <w:style w:type="paragraph" w:styleId="1106" w:customStyle="1">
    <w:name w:val="标书_正文"/>
    <w:basedOn w:val="842"/>
    <w:next w:val="1107"/>
    <w:uiPriority w:val="0"/>
    <w:qFormat/>
    <w:pPr>
      <w:ind w:left="420" w:firstLine="1188"/>
      <w:spacing w:before="0" w:after="0" w:line="360" w:lineRule="auto"/>
    </w:pPr>
    <w:rPr>
      <w:rFonts w:ascii="Times New Roman" w:hAnsi="Times New Roman" w:cs="Times New Roman"/>
    </w:rPr>
  </w:style>
  <w:style w:type="paragraph" w:styleId="1107" w:customStyle="1">
    <w:name w:val="样式 标题 2 + Times New Roman 四号 非加粗 段前: 5 磅 段后: 0 磅 行距: 固定值 20..."/>
    <w:basedOn w:val="844"/>
    <w:next w:val="1055"/>
    <w:uiPriority w:val="0"/>
    <w:qFormat/>
    <w:pPr>
      <w:ind w:left="0" w:firstLine="24"/>
      <w:spacing w:before="100" w:after="0" w:line="400" w:lineRule="exact"/>
      <w:outlineLvl w:val="1"/>
    </w:pPr>
  </w:style>
  <w:style w:type="paragraph" w:styleId="1108" w:customStyle="1">
    <w:name w:val="图片0"/>
    <w:basedOn w:val="842"/>
    <w:next w:val="888"/>
    <w:uiPriority w:val="0"/>
    <w:qFormat/>
    <w:pPr>
      <w:ind w:left="-161" w:firstLine="1187"/>
      <w:spacing w:before="0" w:after="0" w:line="276" w:lineRule="auto"/>
    </w:pPr>
    <w:rPr>
      <w:rFonts w:ascii="Times New Roman" w:hAnsi="Times New Roman" w:cs="Times New Roman"/>
    </w:rPr>
  </w:style>
  <w:style w:type="paragraph" w:styleId="1109" w:customStyle="1">
    <w:name w:val="Char Char Char2 Char Char Char2 Char"/>
    <w:basedOn w:val="842"/>
    <w:next w:val="1081"/>
    <w:uiPriority w:val="0"/>
    <w:qFormat/>
    <w:pPr>
      <w:ind w:left="560" w:firstLine="3632"/>
      <w:spacing w:before="0" w:after="160" w:line="240" w:lineRule="exact"/>
    </w:pPr>
    <w:rPr>
      <w:rFonts w:ascii="Times New Roman" w:hAnsi="Times New Roman" w:cs="Times New Roman"/>
    </w:rPr>
  </w:style>
  <w:style w:type="paragraph" w:styleId="1110" w:customStyle="1">
    <w:name w:val="Char Char Char Char"/>
    <w:next w:val="1111"/>
    <w:uiPriority w:val="0"/>
    <w:qFormat/>
    <w:pPr>
      <w:ind w:firstLine="10"/>
      <w:spacing w:line="360" w:lineRule="auto"/>
      <w:shd w:val="clear" w:color="000000" w:fill="000080"/>
    </w:pPr>
    <w:rPr>
      <w:rFonts w:ascii="Calibri" w:hAnsi="Calibri" w:eastAsia="宋体" w:cs="宋体"/>
      <w:lang w:val="en-US" w:eastAsia="zh-CN" w:bidi="ar-SA"/>
    </w:rPr>
  </w:style>
  <w:style w:type="paragraph" w:styleId="1111" w:customStyle="1">
    <w:name w:val="杨昂超式样黑体主"/>
    <w:basedOn w:val="842"/>
    <w:next w:val="1112"/>
    <w:uiPriority w:val="0"/>
    <w:qFormat/>
    <w:pPr>
      <w:ind w:left="0" w:firstLine="4608"/>
      <w:spacing w:before="0" w:after="0" w:line="240" w:lineRule="auto"/>
    </w:pPr>
    <w:rPr>
      <w:rFonts w:ascii="Times New Roman" w:hAnsi="Times New Roman" w:cs="Times New Roman"/>
    </w:rPr>
  </w:style>
  <w:style w:type="paragraph" w:styleId="1112" w:customStyle="1">
    <w:name w:val="Char Char Char Char Char Char1 Char Char Char Char Char Char Char Char Char Char"/>
    <w:basedOn w:val="842"/>
    <w:next w:val="1113"/>
    <w:uiPriority w:val="0"/>
    <w:qFormat/>
    <w:pPr>
      <w:ind w:left="0" w:firstLine="2560"/>
      <w:spacing w:before="0" w:after="0" w:line="240" w:lineRule="auto"/>
    </w:pPr>
    <w:rPr>
      <w:rFonts w:ascii="Times New Roman" w:hAnsi="Times New Roman" w:cs="Times New Roman"/>
    </w:rPr>
  </w:style>
  <w:style w:type="paragraph" w:styleId="1113" w:customStyle="1">
    <w:name w:val="目录1"/>
    <w:basedOn w:val="842"/>
    <w:next w:val="841"/>
    <w:uiPriority w:val="0"/>
    <w:qFormat/>
    <w:pPr>
      <w:ind w:left="0" w:firstLine="7168"/>
      <w:spacing w:before="0" w:after="136" w:line="289" w:lineRule="atLeast"/>
    </w:pPr>
    <w:rPr>
      <w:rFonts w:ascii="Times New Roman" w:hAnsi="Times New Roman" w:cs="Times New Roman"/>
    </w:rPr>
  </w:style>
  <w:style w:type="paragraph" w:styleId="1114" w:customStyle="1">
    <w:name w:val="文档结构图1"/>
    <w:basedOn w:val="842"/>
    <w:next w:val="1115"/>
    <w:uiPriority w:val="0"/>
    <w:qFormat/>
    <w:pPr>
      <w:ind w:left="200" w:firstLine="2248"/>
      <w:spacing w:before="0" w:after="0" w:line="360" w:lineRule="auto"/>
    </w:pPr>
    <w:rPr>
      <w:rFonts w:ascii="Times New Roman" w:hAnsi="Times New Roman" w:cs="Times New Roman"/>
    </w:rPr>
  </w:style>
  <w:style w:type="paragraph" w:styleId="1115" w:customStyle="1">
    <w:name w:val="2ji"/>
    <w:basedOn w:val="844"/>
    <w:next w:val="883"/>
    <w:uiPriority w:val="0"/>
    <w:qFormat/>
    <w:pPr>
      <w:ind w:left="0" w:firstLine="24"/>
      <w:spacing w:before="0" w:after="0" w:line="360" w:lineRule="auto"/>
      <w:outlineLvl w:val="1"/>
    </w:pPr>
  </w:style>
  <w:style w:type="paragraph" w:styleId="1116" w:customStyle="1">
    <w:name w:val="xl91"/>
    <w:basedOn w:val="842"/>
    <w:next w:val="1037"/>
    <w:uiPriority w:val="0"/>
    <w:qFormat/>
    <w:pPr>
      <w:ind w:left="0" w:firstLine="3584"/>
      <w:spacing w:before="280" w:after="280" w:line="240" w:lineRule="auto"/>
    </w:pPr>
    <w:rPr>
      <w:rFonts w:ascii="Times New Roman" w:hAnsi="Times New Roman" w:cs="Times New Roman"/>
    </w:rPr>
  </w:style>
  <w:style w:type="paragraph" w:styleId="1117" w:customStyle="1">
    <w:name w:val="Text Body"/>
    <w:basedOn w:val="842"/>
    <w:next w:val="1118"/>
    <w:uiPriority w:val="0"/>
    <w:qFormat/>
    <w:pPr>
      <w:ind w:left="0" w:firstLine="4096"/>
      <w:spacing w:before="0" w:after="120" w:line="240" w:lineRule="auto"/>
    </w:pPr>
    <w:rPr>
      <w:rFonts w:ascii="Times New Roman" w:hAnsi="Times New Roman" w:cs="Times New Roman"/>
    </w:rPr>
  </w:style>
  <w:style w:type="paragraph" w:styleId="1118" w:customStyle="1">
    <w:name w:val="项目符1"/>
    <w:basedOn w:val="842"/>
    <w:next w:val="1119"/>
    <w:uiPriority w:val="0"/>
    <w:qFormat/>
    <w:pPr>
      <w:ind w:left="1365" w:right="100" w:firstLine="2728"/>
      <w:spacing w:before="78" w:after="78" w:line="300" w:lineRule="auto"/>
    </w:pPr>
    <w:rPr>
      <w:rFonts w:ascii="Times New Roman" w:hAnsi="Times New Roman" w:cs="Times New Roman"/>
    </w:rPr>
  </w:style>
  <w:style w:type="paragraph" w:styleId="1119" w:customStyle="1">
    <w:name w:val="引文目录标题1"/>
    <w:basedOn w:val="842"/>
    <w:next w:val="841"/>
    <w:uiPriority w:val="0"/>
    <w:qFormat/>
    <w:pPr>
      <w:ind w:left="0" w:firstLine="4608"/>
      <w:jc w:val="center"/>
      <w:spacing w:before="120" w:after="0" w:line="360" w:lineRule="auto"/>
    </w:pPr>
    <w:rPr>
      <w:rFonts w:ascii="Times New Roman" w:hAnsi="Times New Roman" w:cs="Times New Roman"/>
    </w:rPr>
  </w:style>
  <w:style w:type="paragraph" w:styleId="1120" w:customStyle="1">
    <w:name w:val="样式 标题 3 + (西文) 黑体 (中文) 黑体 (符号) 宋体 小四 段前: 5 磅 段后: 5 磅 行距: 1..."/>
    <w:basedOn w:val="845"/>
    <w:next w:val="1121"/>
    <w:uiPriority w:val="0"/>
    <w:qFormat/>
    <w:pPr>
      <w:ind w:left="1429" w:firstLine="18"/>
      <w:spacing w:before="100" w:after="100" w:line="360" w:lineRule="auto"/>
      <w:outlineLvl w:val="2"/>
    </w:pPr>
  </w:style>
  <w:style w:type="paragraph" w:styleId="1121" w:customStyle="1">
    <w:name w:val="xl22"/>
    <w:basedOn w:val="842"/>
    <w:next w:val="1122"/>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22" w:customStyle="1">
    <w:name w:val="自定义一"/>
    <w:basedOn w:val="842"/>
    <w:next w:val="841"/>
    <w:uiPriority w:val="0"/>
    <w:qFormat/>
    <w:pPr>
      <w:ind w:left="0"/>
      <w:spacing w:before="0" w:after="0" w:line="360" w:lineRule="auto"/>
    </w:pPr>
    <w:rPr>
      <w:rFonts w:ascii="Times New Roman" w:hAnsi="Times New Roman" w:cs="Times New Roman"/>
    </w:rPr>
  </w:style>
  <w:style w:type="paragraph" w:styleId="1123" w:customStyle="1">
    <w:name w:val="xl78"/>
    <w:basedOn w:val="842"/>
    <w:next w:val="1124"/>
    <w:uiPriority w:val="0"/>
    <w:qFormat/>
    <w:pPr>
      <w:ind w:left="0" w:firstLine="3584"/>
      <w:jc w:val="center"/>
      <w:spacing w:before="280" w:after="280" w:line="240" w:lineRule="auto"/>
    </w:pPr>
    <w:rPr>
      <w:rFonts w:ascii="Times New Roman" w:hAnsi="Times New Roman" w:cs="Times New Roman"/>
    </w:rPr>
  </w:style>
  <w:style w:type="paragraph" w:styleId="1124" w:customStyle="1">
    <w:name w:val="段落正文"/>
    <w:next w:val="1066"/>
    <w:uiPriority w:val="0"/>
    <w:qFormat/>
    <w:pPr>
      <w:ind w:firstLine="4608"/>
      <w:jc w:val="center"/>
      <w:spacing w:line="360" w:lineRule="auto"/>
    </w:pPr>
    <w:rPr>
      <w:rFonts w:ascii="Calibri" w:hAnsi="Calibri" w:eastAsia="宋体" w:cs="宋体"/>
      <w:lang w:val="en-US" w:eastAsia="zh-CN" w:bidi="ar-SA"/>
    </w:rPr>
  </w:style>
  <w:style w:type="paragraph" w:styleId="1125" w:customStyle="1">
    <w:name w:val="_Style 169"/>
    <w:next w:val="841"/>
    <w:uiPriority w:val="0"/>
    <w:qFormat/>
    <w:pPr>
      <w:ind w:left="2560"/>
    </w:pPr>
    <w:rPr>
      <w:rFonts w:ascii="Calibri" w:hAnsi="Calibri" w:eastAsia="宋体" w:cs="宋体"/>
      <w:lang w:val="en-US" w:eastAsia="zh-CN" w:bidi="ar-SA"/>
    </w:rPr>
  </w:style>
  <w:style w:type="paragraph" w:styleId="1126" w:customStyle="1">
    <w:name w:val="样式 小四 行距: 1.5 倍行距 首行缩进:  2 字符"/>
    <w:basedOn w:val="842"/>
    <w:next w:val="1071"/>
    <w:uiPriority w:val="0"/>
    <w:qFormat/>
    <w:pPr>
      <w:ind w:left="480" w:firstLine="2784"/>
      <w:spacing w:before="0" w:after="0" w:line="360" w:lineRule="auto"/>
    </w:pPr>
    <w:rPr>
      <w:rFonts w:ascii="Times New Roman" w:hAnsi="Times New Roman" w:cs="Times New Roman"/>
    </w:rPr>
  </w:style>
  <w:style w:type="paragraph" w:styleId="1127" w:customStyle="1">
    <w:name w:val="小节标题"/>
    <w:basedOn w:val="842"/>
    <w:next w:val="841"/>
    <w:uiPriority w:val="0"/>
    <w:qFormat/>
    <w:pPr>
      <w:ind w:left="0" w:firstLine="7168"/>
      <w:spacing w:before="175" w:after="102" w:line="351" w:lineRule="atLeast"/>
    </w:pPr>
    <w:rPr>
      <w:rFonts w:ascii="Times New Roman" w:hAnsi="Times New Roman" w:cs="Times New Roman"/>
    </w:rPr>
  </w:style>
  <w:style w:type="paragraph" w:styleId="1128" w:customStyle="1">
    <w:name w:val="TOC 标题2"/>
    <w:basedOn w:val="842"/>
    <w:next w:val="84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9" w:customStyle="1">
    <w:name w:val="表格文字（两侧对齐）"/>
    <w:basedOn w:val="842"/>
    <w:next w:val="1130"/>
    <w:uiPriority w:val="0"/>
    <w:qFormat/>
    <w:pPr>
      <w:ind w:left="0" w:firstLine="3584"/>
      <w:spacing w:before="0" w:after="0" w:line="240" w:lineRule="auto"/>
    </w:pPr>
    <w:rPr>
      <w:rFonts w:ascii="Times New Roman" w:hAnsi="Times New Roman" w:cs="Times New Roman"/>
    </w:rPr>
  </w:style>
  <w:style w:type="paragraph" w:styleId="1130" w:customStyle="1">
    <w:name w:val="Char"/>
    <w:basedOn w:val="842"/>
    <w:next w:val="1109"/>
    <w:uiPriority w:val="0"/>
    <w:qFormat/>
    <w:pPr>
      <w:ind w:left="900" w:firstLine="2608"/>
      <w:spacing w:before="0" w:after="0" w:line="240" w:lineRule="auto"/>
    </w:pPr>
    <w:rPr>
      <w:rFonts w:ascii="Times New Roman" w:hAnsi="Times New Roman" w:cs="Times New Roman"/>
    </w:rPr>
  </w:style>
  <w:style w:type="paragraph" w:styleId="1131" w:customStyle="1">
    <w:name w:val="xl86"/>
    <w:basedOn w:val="842"/>
    <w:next w:val="1132"/>
    <w:uiPriority w:val="0"/>
    <w:qFormat/>
    <w:pPr>
      <w:ind w:left="0" w:firstLine="5120"/>
      <w:spacing w:before="280" w:after="280" w:line="240" w:lineRule="auto"/>
    </w:pPr>
    <w:rPr>
      <w:rFonts w:ascii="Times New Roman" w:hAnsi="Times New Roman" w:cs="Times New Roman"/>
    </w:rPr>
  </w:style>
  <w:style w:type="paragraph" w:styleId="1132" w:customStyle="1">
    <w:name w:val="索引 71"/>
    <w:basedOn w:val="842"/>
    <w:next w:val="841"/>
    <w:uiPriority w:val="0"/>
    <w:qFormat/>
    <w:pPr>
      <w:ind w:left="1200" w:firstLine="2560"/>
      <w:jc w:val="center"/>
      <w:spacing w:before="0" w:after="0" w:line="360" w:lineRule="auto"/>
    </w:pPr>
    <w:rPr>
      <w:rFonts w:ascii="Times New Roman" w:hAnsi="Times New Roman" w:cs="Times New Roman"/>
    </w:rPr>
  </w:style>
  <w:style w:type="paragraph" w:styleId="1133" w:customStyle="1">
    <w:name w:val="111"/>
    <w:next w:val="1134"/>
    <w:uiPriority w:val="0"/>
    <w:qFormat/>
    <w:pPr>
      <w:ind w:left="480" w:firstLine="4320"/>
      <w:spacing w:line="440" w:lineRule="exact"/>
    </w:pPr>
    <w:rPr>
      <w:rFonts w:ascii="Calibri" w:hAnsi="Calibri" w:eastAsia="宋体" w:cs="宋体"/>
      <w:lang w:val="en-US" w:eastAsia="zh-CN" w:bidi="ar-SA"/>
    </w:rPr>
  </w:style>
  <w:style w:type="paragraph" w:styleId="1134" w:customStyle="1">
    <w:name w:val="4"/>
    <w:basedOn w:val="842"/>
    <w:next w:val="853"/>
    <w:uiPriority w:val="0"/>
    <w:qFormat/>
    <w:pPr>
      <w:ind w:left="409" w:firstLine="3737"/>
      <w:spacing w:before="0" w:after="0" w:line="420" w:lineRule="exact"/>
    </w:pPr>
    <w:rPr>
      <w:rFonts w:ascii="Times New Roman" w:hAnsi="Times New Roman" w:cs="Times New Roman"/>
    </w:rPr>
  </w:style>
  <w:style w:type="paragraph" w:styleId="1135" w:customStyle="1">
    <w:name w:val="Char Char Char Char Char Char1 Char Char Char1 Char Char Char Char Char Char"/>
    <w:basedOn w:val="842"/>
    <w:next w:val="1120"/>
    <w:uiPriority w:val="0"/>
    <w:qFormat/>
    <w:pPr>
      <w:ind w:left="0" w:firstLine="2560"/>
      <w:spacing w:before="0" w:after="0" w:line="240" w:lineRule="auto"/>
    </w:pPr>
    <w:rPr>
      <w:rFonts w:ascii="Times New Roman" w:hAnsi="Times New Roman" w:cs="Times New Roman"/>
    </w:rPr>
  </w:style>
  <w:style w:type="paragraph" w:styleId="1136" w:customStyle="1">
    <w:name w:val="Char Char Char Char Char Char1 Char Char Char Char Char Char1 Char Char Char"/>
    <w:basedOn w:val="842"/>
    <w:next w:val="1137"/>
    <w:uiPriority w:val="0"/>
    <w:qFormat/>
    <w:pPr>
      <w:ind w:left="0" w:firstLine="2560"/>
      <w:spacing w:before="0" w:after="0" w:line="240" w:lineRule="auto"/>
    </w:pPr>
    <w:rPr>
      <w:rFonts w:ascii="Times New Roman" w:hAnsi="Times New Roman" w:cs="Times New Roman"/>
    </w:rPr>
  </w:style>
  <w:style w:type="paragraph" w:styleId="1137" w:customStyle="1">
    <w:name w:val="正文符号1"/>
    <w:basedOn w:val="842"/>
    <w:next w:val="1138"/>
    <w:uiPriority w:val="0"/>
    <w:qFormat/>
    <w:pPr>
      <w:ind w:left="987" w:firstLine="5724"/>
      <w:spacing w:before="0" w:after="0" w:line="240" w:lineRule="auto"/>
    </w:pPr>
    <w:rPr>
      <w:rFonts w:ascii="Times New Roman" w:hAnsi="Times New Roman" w:cs="Times New Roman"/>
    </w:rPr>
  </w:style>
  <w:style w:type="paragraph" w:styleId="1138" w:customStyle="1">
    <w:name w:val="索引 31"/>
    <w:basedOn w:val="842"/>
    <w:next w:val="841"/>
    <w:uiPriority w:val="0"/>
    <w:qFormat/>
    <w:pPr>
      <w:ind w:left="400" w:firstLine="2560"/>
      <w:jc w:val="center"/>
      <w:spacing w:before="0" w:after="0" w:line="360" w:lineRule="auto"/>
    </w:pPr>
    <w:rPr>
      <w:rFonts w:ascii="Times New Roman" w:hAnsi="Times New Roman" w:cs="Times New Roman"/>
    </w:rPr>
  </w:style>
  <w:style w:type="paragraph" w:styleId="1139" w:customStyle="1">
    <w:name w:val="目录4"/>
    <w:basedOn w:val="842"/>
    <w:next w:val="841"/>
    <w:uiPriority w:val="0"/>
    <w:qFormat/>
    <w:pPr>
      <w:ind w:left="629" w:firstLine="5237"/>
      <w:spacing w:before="0" w:after="0" w:line="317" w:lineRule="atLeast"/>
    </w:pPr>
    <w:rPr>
      <w:rFonts w:ascii="Times New Roman" w:hAnsi="Times New Roman" w:cs="Times New Roman"/>
    </w:rPr>
  </w:style>
  <w:style w:type="paragraph" w:styleId="1140" w:customStyle="1">
    <w:name w:val="p15"/>
    <w:basedOn w:val="841"/>
    <w:uiPriority w:val="0"/>
    <w:qFormat/>
    <w:pPr>
      <w:ind w:left="0"/>
    </w:pPr>
    <w:rPr>
      <w:rFonts w:ascii="宋体" w:hAnsi="宋体"/>
      <w:sz w:val="28"/>
      <w:szCs w:val="28"/>
    </w:rPr>
  </w:style>
  <w:style w:type="paragraph" w:styleId="1141" w:customStyle="1">
    <w:name w:val="四号 居中"/>
    <w:basedOn w:val="842"/>
    <w:next w:val="1135"/>
    <w:uiPriority w:val="0"/>
    <w:qFormat/>
    <w:pPr>
      <w:ind w:left="0" w:firstLine="6144"/>
      <w:jc w:val="center"/>
      <w:spacing w:before="0" w:after="0" w:line="360" w:lineRule="auto"/>
    </w:pPr>
    <w:rPr>
      <w:rFonts w:ascii="Times New Roman" w:hAnsi="Times New Roman" w:cs="Times New Roman"/>
    </w:rPr>
  </w:style>
  <w:style w:type="paragraph" w:styleId="1142" w:customStyle="1">
    <w:name w:val="p0"/>
    <w:next w:val="841"/>
    <w:uiPriority w:val="0"/>
    <w:qFormat/>
    <w:pPr>
      <w:ind w:firstLine="2048"/>
      <w:spacing w:line="360" w:lineRule="auto"/>
    </w:pPr>
    <w:rPr>
      <w:rFonts w:ascii="Calibri" w:hAnsi="Calibri" w:eastAsia="宋体" w:cs="宋体"/>
      <w:lang w:val="en-US" w:eastAsia="zh-CN" w:bidi="ar-SA"/>
    </w:rPr>
  </w:style>
  <w:style w:type="paragraph" w:styleId="1143" w:customStyle="1">
    <w:name w:val="列表编号 21"/>
    <w:basedOn w:val="842"/>
    <w:next w:val="1144"/>
    <w:uiPriority w:val="0"/>
    <w:qFormat/>
    <w:pPr>
      <w:ind w:left="0" w:firstLine="2560"/>
      <w:spacing w:before="0" w:after="0" w:line="360" w:lineRule="auto"/>
    </w:pPr>
    <w:rPr>
      <w:rFonts w:ascii="Times New Roman" w:hAnsi="Times New Roman" w:cs="Times New Roman"/>
    </w:rPr>
  </w:style>
  <w:style w:type="paragraph" w:styleId="1144" w:customStyle="1">
    <w:name w:val="正文文本 21"/>
    <w:basedOn w:val="842"/>
    <w:next w:val="1025"/>
    <w:uiPriority w:val="0"/>
    <w:qFormat/>
    <w:pPr>
      <w:ind w:left="0" w:firstLine="2560"/>
      <w:jc w:val="center"/>
      <w:spacing w:before="0" w:after="120" w:line="480" w:lineRule="auto"/>
    </w:pPr>
    <w:rPr>
      <w:rFonts w:ascii="Times New Roman" w:hAnsi="Times New Roman" w:cs="Times New Roman"/>
    </w:rPr>
  </w:style>
  <w:style w:type="paragraph" w:styleId="1145" w:customStyle="1">
    <w:name w:val="a2"/>
    <w:basedOn w:val="842"/>
    <w:next w:val="880"/>
    <w:uiPriority w:val="0"/>
    <w:qFormat/>
    <w:pPr>
      <w:ind w:left="0" w:firstLine="1024"/>
      <w:spacing w:before="280" w:after="280" w:line="240" w:lineRule="auto"/>
    </w:pPr>
    <w:rPr>
      <w:rFonts w:ascii="Times New Roman" w:hAnsi="Times New Roman" w:cs="Times New Roman"/>
    </w:rPr>
  </w:style>
  <w:style w:type="paragraph" w:styleId="1146" w:customStyle="1">
    <w:name w:val="font8"/>
    <w:basedOn w:val="842"/>
    <w:next w:val="1070"/>
    <w:uiPriority w:val="0"/>
    <w:qFormat/>
    <w:pPr>
      <w:ind w:left="0" w:firstLine="2048"/>
      <w:spacing w:before="280" w:after="280" w:line="240" w:lineRule="auto"/>
    </w:pPr>
    <w:rPr>
      <w:rFonts w:ascii="Times New Roman" w:hAnsi="Times New Roman" w:cs="Times New Roman"/>
    </w:rPr>
  </w:style>
  <w:style w:type="paragraph" w:styleId="1147" w:customStyle="1">
    <w:name w:val="Char Char Char Char Char Char1 Char Char Char Char Char Char1 Char Char Char Char Char Char Char"/>
    <w:basedOn w:val="842"/>
    <w:next w:val="1148"/>
    <w:uiPriority w:val="0"/>
    <w:qFormat/>
    <w:pPr>
      <w:ind w:left="0" w:firstLine="2560"/>
      <w:spacing w:before="0" w:after="0" w:line="240" w:lineRule="auto"/>
    </w:pPr>
    <w:rPr>
      <w:rFonts w:ascii="Times New Roman" w:hAnsi="Times New Roman" w:cs="Times New Roman"/>
    </w:rPr>
  </w:style>
  <w:style w:type="paragraph" w:styleId="1148" w:customStyle="1">
    <w:name w:val="xl87"/>
    <w:basedOn w:val="842"/>
    <w:next w:val="1104"/>
    <w:uiPriority w:val="0"/>
    <w:qFormat/>
    <w:pPr>
      <w:ind w:left="0" w:firstLine="5120"/>
      <w:spacing w:before="280" w:after="280" w:line="240" w:lineRule="auto"/>
    </w:pPr>
    <w:rPr>
      <w:rFonts w:ascii="Times New Roman" w:hAnsi="Times New Roman" w:cs="Times New Roman"/>
    </w:rPr>
  </w:style>
  <w:style w:type="paragraph" w:styleId="1149" w:customStyle="1">
    <w:name w:val="444"/>
    <w:basedOn w:val="842"/>
    <w:next w:val="862"/>
    <w:uiPriority w:val="0"/>
    <w:qFormat/>
    <w:pPr>
      <w:ind w:left="0" w:firstLine="4608"/>
      <w:jc w:val="center"/>
      <w:spacing w:before="0" w:after="0" w:line="312" w:lineRule="atLeast"/>
    </w:pPr>
    <w:rPr>
      <w:rFonts w:ascii="Times New Roman" w:hAnsi="Times New Roman" w:cs="Times New Roman"/>
    </w:rPr>
  </w:style>
  <w:style w:type="paragraph" w:styleId="1150" w:customStyle="1">
    <w:name w:val="表格文字图表文字"/>
    <w:basedOn w:val="842"/>
    <w:next w:val="1151"/>
    <w:uiPriority w:val="0"/>
    <w:qFormat/>
    <w:pPr>
      <w:ind w:left="0" w:firstLine="3584"/>
      <w:jc w:val="center"/>
      <w:spacing w:before="0" w:after="0" w:line="240" w:lineRule="auto"/>
    </w:pPr>
    <w:rPr>
      <w:rFonts w:ascii="Times New Roman" w:hAnsi="Times New Roman" w:cs="Times New Roman"/>
    </w:rPr>
  </w:style>
  <w:style w:type="paragraph" w:styleId="1151" w:customStyle="1">
    <w:name w:val="样式 目录 3 + 左侧:  2 字符1"/>
    <w:next w:val="1152"/>
    <w:uiPriority w:val="0"/>
    <w:qFormat/>
    <w:pPr>
      <w:ind w:left="960" w:firstLine="5120"/>
      <w:spacing w:line="360" w:lineRule="auto"/>
      <w:widowControl w:val="off"/>
    </w:pPr>
    <w:rPr>
      <w:rFonts w:ascii="Calibri" w:hAnsi="Calibri" w:eastAsia="宋体" w:cs="宋体"/>
      <w:lang w:val="en-US" w:eastAsia="zh-CN" w:bidi="ar-SA"/>
    </w:rPr>
  </w:style>
  <w:style w:type="paragraph" w:styleId="1152" w:customStyle="1">
    <w:name w:val="文档正文"/>
    <w:basedOn w:val="842"/>
    <w:next w:val="1153"/>
    <w:uiPriority w:val="0"/>
    <w:qFormat/>
    <w:pPr>
      <w:ind w:left="567" w:firstLine="3639"/>
      <w:spacing w:before="0" w:after="0" w:line="480" w:lineRule="atLeast"/>
    </w:pPr>
    <w:rPr>
      <w:rFonts w:ascii="Times New Roman" w:hAnsi="Times New Roman" w:cs="Times New Roman"/>
    </w:rPr>
  </w:style>
  <w:style w:type="paragraph" w:styleId="1153" w:customStyle="1">
    <w:name w:val="列表框2"/>
    <w:next w:val="1154"/>
    <w:uiPriority w:val="0"/>
    <w:qFormat/>
    <w:pPr>
      <w:ind w:firstLine="2048"/>
      <w:spacing w:line="460" w:lineRule="exact"/>
    </w:pPr>
    <w:rPr>
      <w:rFonts w:ascii="Calibri" w:hAnsi="Calibri" w:eastAsia="宋体" w:cs="宋体"/>
      <w:lang w:val="en-US" w:eastAsia="zh-CN" w:bidi="ar-SA"/>
    </w:rPr>
  </w:style>
  <w:style w:type="paragraph" w:styleId="1154" w:customStyle="1">
    <w:name w:val="font10"/>
    <w:basedOn w:val="842"/>
    <w:next w:val="873"/>
    <w:uiPriority w:val="0"/>
    <w:qFormat/>
    <w:pPr>
      <w:ind w:left="0" w:firstLine="3584"/>
      <w:spacing w:before="280" w:after="280" w:line="240" w:lineRule="auto"/>
    </w:pPr>
    <w:rPr>
      <w:rFonts w:ascii="Times New Roman" w:hAnsi="Times New Roman" w:cs="Times New Roman"/>
    </w:rPr>
  </w:style>
  <w:style w:type="paragraph" w:styleId="1155" w:customStyle="1">
    <w:name w:val="纯文本1"/>
    <w:basedOn w:val="842"/>
    <w:next w:val="885"/>
    <w:uiPriority w:val="0"/>
    <w:qFormat/>
    <w:pPr>
      <w:ind w:left="0" w:firstLine="3584"/>
      <w:spacing w:before="0" w:after="0" w:line="240" w:lineRule="auto"/>
    </w:pPr>
    <w:rPr>
      <w:rFonts w:ascii="Times New Roman" w:hAnsi="Times New Roman" w:cs="Times New Roman"/>
    </w:rPr>
  </w:style>
  <w:style w:type="paragraph" w:styleId="1156" w:customStyle="1">
    <w:name w:val="索引 91"/>
    <w:basedOn w:val="842"/>
    <w:next w:val="841"/>
    <w:uiPriority w:val="0"/>
    <w:qFormat/>
    <w:pPr>
      <w:ind w:left="1600" w:firstLine="2560"/>
      <w:jc w:val="center"/>
      <w:spacing w:before="0" w:after="0" w:line="360" w:lineRule="auto"/>
    </w:pPr>
    <w:rPr>
      <w:rFonts w:ascii="Times New Roman" w:hAnsi="Times New Roman" w:cs="Times New Roman"/>
    </w:rPr>
  </w:style>
  <w:style w:type="paragraph" w:styleId="1157" w:customStyle="1">
    <w:name w:val="xl79"/>
    <w:basedOn w:val="842"/>
    <w:next w:val="1133"/>
    <w:uiPriority w:val="0"/>
    <w:qFormat/>
    <w:pPr>
      <w:ind w:left="0" w:firstLine="3584"/>
      <w:jc w:val="center"/>
      <w:spacing w:before="280" w:after="280" w:line="240" w:lineRule="auto"/>
    </w:pPr>
    <w:rPr>
      <w:rFonts w:ascii="Times New Roman" w:hAnsi="Times New Roman" w:cs="Times New Roman"/>
    </w:rPr>
  </w:style>
  <w:style w:type="paragraph" w:styleId="1158" w:customStyle="1">
    <w:name w:val="表格文字（4号居中）"/>
    <w:next w:val="1159"/>
    <w:uiPriority w:val="0"/>
    <w:qFormat/>
    <w:pPr>
      <w:ind w:firstLine="2560"/>
      <w:jc w:val="center"/>
    </w:pPr>
    <w:rPr>
      <w:rFonts w:ascii="Calibri" w:hAnsi="Calibri" w:eastAsia="宋体" w:cs="宋体"/>
      <w:lang w:val="en-US" w:eastAsia="zh-CN" w:bidi="ar-SA"/>
    </w:rPr>
  </w:style>
  <w:style w:type="paragraph" w:styleId="1159" w:customStyle="1">
    <w:name w:val="!方块加粗"/>
    <w:basedOn w:val="842"/>
    <w:next w:val="1126"/>
    <w:uiPriority w:val="0"/>
    <w:qFormat/>
    <w:pPr>
      <w:ind w:left="600" w:firstLine="5212"/>
      <w:spacing w:before="0" w:after="0" w:line="360" w:lineRule="auto"/>
    </w:pPr>
    <w:rPr>
      <w:rFonts w:ascii="Times New Roman" w:hAnsi="Times New Roman" w:cs="Times New Roman"/>
    </w:rPr>
  </w:style>
  <w:style w:type="paragraph" w:styleId="1160" w:customStyle="1">
    <w:name w:val="xl75"/>
    <w:basedOn w:val="842"/>
    <w:next w:val="886"/>
    <w:uiPriority w:val="0"/>
    <w:qFormat/>
    <w:pPr>
      <w:ind w:left="0" w:firstLine="3584"/>
      <w:jc w:val="center"/>
      <w:spacing w:before="280" w:after="280" w:line="240" w:lineRule="auto"/>
    </w:pPr>
    <w:rPr>
      <w:rFonts w:ascii="Times New Roman" w:hAnsi="Times New Roman" w:cs="Times New Roman"/>
    </w:rPr>
  </w:style>
  <w:style w:type="paragraph" w:styleId="1161" w:customStyle="1">
    <w:name w:val="xl81"/>
    <w:basedOn w:val="842"/>
    <w:next w:val="1162"/>
    <w:uiPriority w:val="0"/>
    <w:qFormat/>
    <w:pPr>
      <w:ind w:left="0" w:firstLine="5120"/>
      <w:spacing w:before="280" w:after="280" w:line="240" w:lineRule="auto"/>
    </w:pPr>
    <w:rPr>
      <w:rFonts w:ascii="Times New Roman" w:hAnsi="Times New Roman" w:cs="Times New Roman"/>
    </w:rPr>
  </w:style>
  <w:style w:type="paragraph" w:styleId="1162" w:customStyle="1">
    <w:name w:val="xl25"/>
    <w:basedOn w:val="842"/>
    <w:next w:val="1163"/>
    <w:uiPriority w:val="0"/>
    <w:qFormat/>
    <w:pPr>
      <w:ind w:left="0" w:firstLine="14"/>
      <w:spacing w:before="280" w:after="280" w:line="240" w:lineRule="auto"/>
      <w:shd w:val="clear" w:color="000000" w:fill="ffffff"/>
    </w:pPr>
    <w:rPr>
      <w:rFonts w:ascii="Times New Roman" w:hAnsi="Times New Roman" w:cs="Times New Roman"/>
    </w:rPr>
  </w:style>
  <w:style w:type="paragraph" w:styleId="1163" w:customStyle="1">
    <w:name w:val="普通(网站)1"/>
    <w:basedOn w:val="842"/>
    <w:next w:val="1164"/>
    <w:uiPriority w:val="0"/>
    <w:qFormat/>
    <w:pPr>
      <w:ind w:left="200" w:firstLine="1224"/>
      <w:spacing w:before="280" w:after="280" w:line="240" w:lineRule="auto"/>
    </w:pPr>
    <w:rPr>
      <w:rFonts w:ascii="Times New Roman" w:hAnsi="Times New Roman" w:cs="Times New Roman"/>
    </w:rPr>
  </w:style>
  <w:style w:type="paragraph" w:styleId="1164" w:customStyle="1">
    <w:name w:val="xl27"/>
    <w:basedOn w:val="842"/>
    <w:next w:val="1150"/>
    <w:uiPriority w:val="0"/>
    <w:qFormat/>
    <w:pPr>
      <w:ind w:left="0" w:firstLine="20"/>
      <w:spacing w:before="280" w:after="280" w:line="240" w:lineRule="auto"/>
      <w:shd w:val="clear" w:color="000000" w:fill="ffffff"/>
    </w:pPr>
    <w:rPr>
      <w:rFonts w:ascii="Times New Roman" w:hAnsi="Times New Roman" w:cs="Times New Roman"/>
    </w:rPr>
  </w:style>
  <w:style w:type="paragraph" w:styleId="1165" w:customStyle="1">
    <w:name w:val="H 4"/>
    <w:basedOn w:val="846"/>
    <w:next w:val="1166"/>
    <w:uiPriority w:val="0"/>
    <w:qFormat/>
    <w:pPr>
      <w:ind w:left="426" w:firstLine="24"/>
      <w:spacing w:before="0" w:after="0" w:line="360" w:lineRule="auto"/>
      <w:outlineLvl w:val="3"/>
    </w:pPr>
  </w:style>
  <w:style w:type="paragraph" w:styleId="1166" w:customStyle="1">
    <w:name w:val="xl82"/>
    <w:basedOn w:val="842"/>
    <w:next w:val="1161"/>
    <w:uiPriority w:val="0"/>
    <w:qFormat/>
    <w:pPr>
      <w:ind w:left="0" w:firstLine="5120"/>
      <w:spacing w:before="280" w:after="280" w:line="240" w:lineRule="auto"/>
    </w:pPr>
    <w:rPr>
      <w:rFonts w:ascii="Times New Roman" w:hAnsi="Times New Roman" w:cs="Times New Roman"/>
    </w:rPr>
  </w:style>
  <w:style w:type="paragraph" w:styleId="1167" w:customStyle="1">
    <w:name w:val="Char Char Char Char Char Char Char Char"/>
    <w:next w:val="1168"/>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68" w:customStyle="1">
    <w:name w:val="Char Char Char Char Char Char1 Char Char Char1 Char Char Char Char Char Char Char Char Char Char Char Char Char Char Char"/>
    <w:basedOn w:val="842"/>
    <w:next w:val="1169"/>
    <w:uiPriority w:val="0"/>
    <w:qFormat/>
    <w:pPr>
      <w:ind w:left="0" w:firstLine="2560"/>
      <w:spacing w:before="0" w:after="0" w:line="240" w:lineRule="auto"/>
    </w:pPr>
    <w:rPr>
      <w:rFonts w:ascii="Times New Roman" w:hAnsi="Times New Roman" w:cs="Times New Roman"/>
    </w:rPr>
  </w:style>
  <w:style w:type="paragraph" w:styleId="1169" w:customStyle="1">
    <w:name w:val="样式1"/>
    <w:basedOn w:val="842"/>
    <w:next w:val="1170"/>
    <w:uiPriority w:val="0"/>
    <w:qFormat/>
    <w:pPr>
      <w:ind w:left="0" w:firstLine="1536"/>
      <w:spacing w:before="120" w:after="120" w:line="300" w:lineRule="auto"/>
    </w:pPr>
    <w:rPr>
      <w:rFonts w:ascii="Times New Roman" w:hAnsi="Times New Roman" w:cs="Times New Roman"/>
    </w:rPr>
  </w:style>
  <w:style w:type="paragraph" w:styleId="1170" w:customStyle="1">
    <w:name w:val="索引 41"/>
    <w:basedOn w:val="842"/>
    <w:next w:val="841"/>
    <w:uiPriority w:val="0"/>
    <w:qFormat/>
    <w:pPr>
      <w:ind w:left="600" w:firstLine="2560"/>
      <w:jc w:val="center"/>
      <w:spacing w:before="0" w:after="0" w:line="360" w:lineRule="auto"/>
    </w:pPr>
    <w:rPr>
      <w:rFonts w:ascii="Times New Roman" w:hAnsi="Times New Roman" w:cs="Times New Roman"/>
    </w:rPr>
  </w:style>
  <w:style w:type="paragraph" w:styleId="1171" w:customStyle="1">
    <w:name w:val="自定义二"/>
    <w:basedOn w:val="842"/>
    <w:next w:val="841"/>
    <w:uiPriority w:val="0"/>
    <w:qFormat/>
    <w:pPr>
      <w:ind w:left="0" w:firstLine="14"/>
      <w:spacing w:before="0" w:after="0" w:line="360" w:lineRule="auto"/>
      <w:outlineLvl w:val="1"/>
    </w:pPr>
    <w:rPr>
      <w:rFonts w:ascii="Times New Roman" w:hAnsi="Times New Roman" w:cs="Times New Roman"/>
    </w:rPr>
  </w:style>
  <w:style w:type="paragraph" w:styleId="1172" w:customStyle="1">
    <w:name w:val="Bullet"/>
    <w:next w:val="1110"/>
    <w:uiPriority w:val="0"/>
    <w:qFormat/>
    <w:pPr>
      <w:ind w:left="567" w:right="2835" w:firstLine="3584"/>
      <w:spacing w:after="60"/>
    </w:pPr>
    <w:rPr>
      <w:rFonts w:ascii="Calibri" w:hAnsi="Calibri" w:eastAsia="宋体" w:cs="宋体"/>
      <w:lang w:val="en-US" w:eastAsia="zh-CN" w:bidi="ar-SA"/>
    </w:rPr>
  </w:style>
  <w:style w:type="paragraph" w:styleId="1173" w:customStyle="1">
    <w:name w:val="Char Char Char Char Char Char1"/>
    <w:basedOn w:val="842"/>
    <w:next w:val="1174"/>
    <w:uiPriority w:val="0"/>
    <w:qFormat/>
    <w:pPr>
      <w:ind w:left="0" w:firstLine="2560"/>
      <w:spacing w:before="0" w:after="0" w:line="240" w:lineRule="auto"/>
    </w:pPr>
    <w:rPr>
      <w:rFonts w:ascii="Times New Roman" w:hAnsi="Times New Roman" w:cs="Times New Roman"/>
    </w:rPr>
  </w:style>
  <w:style w:type="paragraph" w:styleId="1174" w:customStyle="1">
    <w:name w:val="正文缩进2"/>
    <w:basedOn w:val="842"/>
    <w:next w:val="1175"/>
    <w:uiPriority w:val="0"/>
    <w:qFormat/>
    <w:pPr>
      <w:ind w:left="420" w:firstLine="1188"/>
      <w:spacing w:before="0" w:after="0" w:line="240" w:lineRule="auto"/>
    </w:pPr>
    <w:rPr>
      <w:rFonts w:ascii="Times New Roman" w:hAnsi="Times New Roman" w:cs="Times New Roman"/>
    </w:rPr>
  </w:style>
  <w:style w:type="paragraph" w:styleId="1175" w:customStyle="1">
    <w:name w:val="列出段落2"/>
    <w:basedOn w:val="842"/>
    <w:next w:val="1176"/>
    <w:uiPriority w:val="0"/>
    <w:qFormat/>
    <w:pPr>
      <w:ind w:left="420" w:firstLine="3748"/>
      <w:spacing w:before="0" w:after="0" w:line="240" w:lineRule="auto"/>
    </w:pPr>
    <w:rPr>
      <w:rFonts w:ascii="Times New Roman" w:hAnsi="Times New Roman" w:cs="Times New Roman"/>
    </w:rPr>
  </w:style>
  <w:style w:type="paragraph" w:styleId="1176" w:customStyle="1">
    <w:name w:val="正文文本缩进 31"/>
    <w:basedOn w:val="842"/>
    <w:next w:val="1177"/>
    <w:uiPriority w:val="0"/>
    <w:qFormat/>
    <w:pPr>
      <w:ind w:left="1200" w:firstLine="1248"/>
      <w:spacing w:before="120" w:after="0" w:line="22" w:lineRule="atLeast"/>
    </w:pPr>
    <w:rPr>
      <w:rFonts w:ascii="Times New Roman" w:hAnsi="Times New Roman" w:cs="Times New Roman"/>
    </w:rPr>
  </w:style>
  <w:style w:type="paragraph" w:styleId="1177" w:customStyle="1">
    <w:name w:val="样式 正文首行缩进 + 首行缩进:  2 字符5"/>
    <w:next w:val="1178"/>
    <w:uiPriority w:val="0"/>
    <w:qFormat/>
    <w:pPr>
      <w:ind w:left="200" w:firstLine="3784"/>
      <w:spacing w:line="300" w:lineRule="auto"/>
    </w:pPr>
    <w:rPr>
      <w:rFonts w:ascii="Calibri" w:hAnsi="Calibri" w:eastAsia="宋体" w:cs="宋体"/>
      <w:lang w:val="en-US" w:eastAsia="zh-CN" w:bidi="ar-SA"/>
    </w:rPr>
  </w:style>
  <w:style w:type="paragraph" w:styleId="1178" w:customStyle="1">
    <w:name w:val="Char2"/>
    <w:basedOn w:val="842"/>
    <w:next w:val="1172"/>
    <w:uiPriority w:val="0"/>
    <w:qFormat/>
    <w:pPr>
      <w:ind w:left="0" w:firstLine="3584"/>
      <w:spacing w:before="0" w:after="160" w:line="240" w:lineRule="exact"/>
    </w:pPr>
    <w:rPr>
      <w:rFonts w:ascii="Times New Roman" w:hAnsi="Times New Roman" w:cs="Times New Roman"/>
    </w:rPr>
  </w:style>
  <w:style w:type="paragraph" w:styleId="1179" w:customStyle="1">
    <w:name w:val="WPSOffice手动目录 1"/>
    <w:uiPriority w:val="0"/>
    <w:qFormat/>
    <w:rPr>
      <w:rFonts w:ascii="宋体" w:hAnsi="宋体" w:eastAsia="宋体" w:cs="宋体"/>
      <w:lang w:val="en-US" w:eastAsia="zh-CN" w:bidi="ar-SA"/>
    </w:rPr>
  </w:style>
  <w:style w:type="paragraph" w:styleId="1180" w:customStyle="1">
    <w:name w:val="纯文本4"/>
    <w:basedOn w:val="841"/>
    <w:uiPriority w:val="0"/>
    <w:qFormat/>
    <w:pPr>
      <w:ind w:left="0"/>
      <w:widowControl w:val="off"/>
    </w:pPr>
    <w:rPr>
      <w:rFonts w:ascii="宋体" w:hAnsi="Courier New" w:eastAsia="楷体_GB2312" w:cs="Times New Roman"/>
      <w:sz w:val="26"/>
    </w:rPr>
  </w:style>
  <w:style w:type="paragraph" w:styleId="1181" w:customStyle="1">
    <w:name w:val="Char Char Char Char Char Char Char Char Char Char Char Char Char Char Char Char"/>
    <w:basedOn w:val="842"/>
    <w:next w:val="1182"/>
    <w:uiPriority w:val="0"/>
    <w:qFormat/>
    <w:pPr>
      <w:ind w:left="682" w:firstLine="1224"/>
      <w:spacing w:before="0" w:after="0" w:line="360" w:lineRule="auto"/>
    </w:pPr>
    <w:rPr>
      <w:rFonts w:ascii="Times New Roman" w:hAnsi="Times New Roman" w:cs="Times New Roman"/>
    </w:rPr>
  </w:style>
  <w:style w:type="paragraph" w:styleId="1182" w:customStyle="1">
    <w:name w:val="列表编号 51"/>
    <w:basedOn w:val="842"/>
    <w:next w:val="1183"/>
    <w:uiPriority w:val="0"/>
    <w:qFormat/>
    <w:pPr>
      <w:ind w:left="900" w:firstLine="2652"/>
      <w:spacing w:before="0" w:after="0" w:line="360" w:lineRule="auto"/>
    </w:pPr>
    <w:rPr>
      <w:rFonts w:ascii="Times New Roman" w:hAnsi="Times New Roman" w:cs="Times New Roman"/>
    </w:rPr>
  </w:style>
  <w:style w:type="paragraph" w:styleId="1183" w:customStyle="1">
    <w:name w:val="样式 标题 1 + 黑体 (符号) 宋体 三号 段前: 7.8 磅 段后: 7.8 磅 行距: 1.5 倍行距"/>
    <w:basedOn w:val="843"/>
    <w:next w:val="1184"/>
    <w:uiPriority w:val="0"/>
    <w:qFormat/>
    <w:pPr>
      <w:ind w:left="432" w:firstLine="18"/>
      <w:spacing w:before="40" w:after="40" w:line="360" w:lineRule="auto"/>
      <w:outlineLvl w:val="0"/>
    </w:pPr>
  </w:style>
  <w:style w:type="paragraph" w:styleId="1184" w:customStyle="1">
    <w:name w:val="表格用"/>
    <w:basedOn w:val="842"/>
    <w:next w:val="1141"/>
    <w:uiPriority w:val="0"/>
    <w:qFormat/>
    <w:pPr>
      <w:ind w:left="0" w:firstLine="1024"/>
      <w:spacing w:before="0" w:after="0" w:line="360" w:lineRule="auto"/>
    </w:pPr>
    <w:rPr>
      <w:rFonts w:ascii="Times New Roman" w:hAnsi="Times New Roman" w:cs="Times New Roman"/>
    </w:rPr>
  </w:style>
  <w:style w:type="paragraph" w:styleId="1185" w:customStyle="1">
    <w:name w:val="xl71"/>
    <w:basedOn w:val="842"/>
    <w:next w:val="1186"/>
    <w:uiPriority w:val="0"/>
    <w:qFormat/>
    <w:pPr>
      <w:ind w:left="0" w:firstLine="1536"/>
      <w:spacing w:before="280" w:after="280" w:line="240" w:lineRule="auto"/>
    </w:pPr>
    <w:rPr>
      <w:rFonts w:ascii="Times New Roman" w:hAnsi="Times New Roman" w:cs="Times New Roman"/>
    </w:rPr>
  </w:style>
  <w:style w:type="paragraph" w:styleId="1186" w:customStyle="1">
    <w:name w:val="正文文本 31"/>
    <w:basedOn w:val="842"/>
    <w:next w:val="1187"/>
    <w:uiPriority w:val="0"/>
    <w:qFormat/>
    <w:pPr>
      <w:ind w:left="0" w:firstLine="3584"/>
      <w:jc w:val="center"/>
      <w:spacing w:before="0" w:after="120" w:line="360" w:lineRule="auto"/>
    </w:pPr>
    <w:rPr>
      <w:rFonts w:ascii="Times New Roman" w:hAnsi="Times New Roman" w:cs="Times New Roman"/>
    </w:rPr>
  </w:style>
  <w:style w:type="paragraph" w:styleId="1187" w:customStyle="1">
    <w:name w:val="列出段落111"/>
    <w:basedOn w:val="842"/>
    <w:next w:val="1123"/>
    <w:uiPriority w:val="0"/>
    <w:qFormat/>
    <w:pPr>
      <w:ind w:left="420" w:firstLine="3748"/>
      <w:spacing w:before="0" w:after="0" w:line="240" w:lineRule="auto"/>
    </w:pPr>
    <w:rPr>
      <w:rFonts w:ascii="Times New Roman" w:hAnsi="Times New Roman" w:cs="Times New Roman"/>
    </w:rPr>
  </w:style>
  <w:style w:type="paragraph" w:styleId="1188" w:customStyle="1">
    <w:name w:val="修订1"/>
    <w:uiPriority w:val="0"/>
    <w:qFormat/>
    <w:rPr>
      <w:rFonts w:ascii="Calibri" w:hAnsi="Calibri" w:eastAsia="宋体" w:cs="宋体"/>
      <w:lang w:val="en-US" w:eastAsia="zh-CN" w:bidi="ar-SA"/>
    </w:rPr>
  </w:style>
  <w:style w:type="paragraph" w:styleId="1189" w:customStyle="1">
    <w:name w:val="正文文本缩进 21"/>
    <w:basedOn w:val="842"/>
    <w:next w:val="1129"/>
    <w:uiPriority w:val="0"/>
    <w:qFormat/>
    <w:pPr>
      <w:ind w:left="480" w:firstLine="4832"/>
      <w:spacing w:before="0" w:after="0" w:line="240" w:lineRule="auto"/>
    </w:pPr>
    <w:rPr>
      <w:rFonts w:ascii="Times New Roman" w:hAnsi="Times New Roman" w:cs="Times New Roman"/>
    </w:rPr>
  </w:style>
  <w:style w:type="paragraph" w:styleId="1190" w:customStyle="1">
    <w:name w:val="Char Char4 Char Char"/>
    <w:basedOn w:val="842"/>
    <w:next w:val="1139"/>
    <w:uiPriority w:val="0"/>
    <w:qFormat/>
    <w:pPr>
      <w:ind w:left="0" w:firstLine="2560"/>
      <w:spacing w:before="0" w:after="0" w:line="240" w:lineRule="auto"/>
    </w:pPr>
    <w:rPr>
      <w:rFonts w:ascii="Times New Roman" w:hAnsi="Times New Roman" w:cs="Times New Roman"/>
    </w:rPr>
  </w:style>
  <w:style w:type="paragraph" w:styleId="1191" w:customStyle="1">
    <w:name w:val="样式"/>
    <w:next w:val="841"/>
    <w:uiPriority w:val="0"/>
    <w:qFormat/>
    <w:pPr>
      <w:ind w:firstLine="3584"/>
      <w:widowControl w:val="off"/>
    </w:pPr>
    <w:rPr>
      <w:rFonts w:ascii="Calibri" w:hAnsi="Calibri" w:eastAsia="宋体" w:cs="宋体"/>
      <w:lang w:val="en-US" w:eastAsia="zh-CN" w:bidi="ar-SA"/>
    </w:rPr>
  </w:style>
  <w:style w:type="paragraph" w:styleId="1192" w:customStyle="1">
    <w:name w:val="TOC 标题1"/>
    <w:basedOn w:val="843"/>
    <w:next w:val="841"/>
    <w:uiPriority w:val="0"/>
    <w:qFormat/>
    <w:pPr>
      <w:ind w:left="0" w:firstLine="6144"/>
      <w:spacing w:before="480" w:after="0" w:line="276" w:lineRule="auto"/>
    </w:pPr>
    <w:rPr>
      <w:b/>
      <w:sz w:val="30"/>
    </w:rPr>
  </w:style>
  <w:style w:type="paragraph" w:styleId="1193" w:customStyle="1">
    <w:name w:val="纯文本3"/>
    <w:basedOn w:val="841"/>
    <w:uiPriority w:val="0"/>
    <w:qFormat/>
    <w:rPr>
      <w:rFonts w:ascii="宋体" w:hAnsi="Courier New" w:cs="Times New Roman"/>
    </w:rPr>
  </w:style>
  <w:style w:type="paragraph" w:styleId="1194" w:customStyle="1">
    <w:name w:val="afont"/>
    <w:basedOn w:val="842"/>
    <w:next w:val="866"/>
    <w:uiPriority w:val="0"/>
    <w:qFormat/>
    <w:pPr>
      <w:ind w:left="0" w:firstLine="2048"/>
      <w:spacing w:before="100" w:after="100" w:line="285" w:lineRule="atLeast"/>
    </w:pPr>
    <w:rPr>
      <w:rFonts w:ascii="Times New Roman" w:hAnsi="Times New Roman" w:cs="Times New Roman"/>
    </w:rPr>
  </w:style>
  <w:style w:type="paragraph" w:styleId="1195" w:customStyle="1">
    <w:name w:val="xl85"/>
    <w:basedOn w:val="842"/>
    <w:next w:val="1196"/>
    <w:uiPriority w:val="0"/>
    <w:qFormat/>
    <w:pPr>
      <w:ind w:left="0" w:firstLine="2048"/>
      <w:jc w:val="center"/>
      <w:spacing w:before="280" w:after="280" w:line="240" w:lineRule="auto"/>
    </w:pPr>
    <w:rPr>
      <w:rFonts w:ascii="Times New Roman" w:hAnsi="Times New Roman" w:cs="Times New Roman"/>
    </w:rPr>
  </w:style>
  <w:style w:type="paragraph" w:styleId="1196" w:customStyle="1">
    <w:name w:val="文章总标题"/>
    <w:basedOn w:val="842"/>
    <w:next w:val="1197"/>
    <w:uiPriority w:val="0"/>
    <w:qFormat/>
    <w:pPr>
      <w:ind w:left="0" w:firstLine="7168"/>
      <w:jc w:val="center"/>
      <w:spacing w:before="566" w:after="544" w:line="566" w:lineRule="atLeast"/>
    </w:pPr>
    <w:rPr>
      <w:rFonts w:ascii="Times New Roman" w:hAnsi="Times New Roman" w:cs="Times New Roman"/>
    </w:rPr>
  </w:style>
  <w:style w:type="paragraph" w:styleId="1197" w:customStyle="1">
    <w:name w:val="样式 首行缩进:  2 字符"/>
    <w:basedOn w:val="842"/>
    <w:next w:val="1160"/>
    <w:uiPriority w:val="0"/>
    <w:qFormat/>
    <w:pPr>
      <w:ind w:left="200" w:firstLine="1224"/>
      <w:spacing w:before="0" w:after="0" w:line="400" w:lineRule="exact"/>
    </w:pPr>
    <w:rPr>
      <w:rFonts w:ascii="Times New Roman" w:hAnsi="Times New Roman" w:cs="Times New Roman"/>
    </w:rPr>
  </w:style>
  <w:style w:type="paragraph" w:styleId="1198" w:customStyle="1">
    <w:name w:val="二级条标题"/>
    <w:basedOn w:val="842"/>
    <w:next w:val="841"/>
    <w:uiPriority w:val="0"/>
    <w:qFormat/>
    <w:pPr>
      <w:ind w:left="0" w:firstLine="8"/>
      <w:spacing w:before="0" w:after="0" w:line="240" w:lineRule="auto"/>
      <w:outlineLvl w:val="3"/>
    </w:pPr>
    <w:rPr>
      <w:rFonts w:ascii="Times New Roman" w:hAnsi="Times New Roman" w:cs="Times New Roman"/>
    </w:rPr>
  </w:style>
  <w:style w:type="paragraph" w:styleId="1199" w:customStyle="1">
    <w:name w:val="Plain Text*"/>
    <w:basedOn w:val="841"/>
    <w:uiPriority w:val="0"/>
    <w:qFormat/>
    <w:pPr>
      <w:ind w:left="0"/>
      <w:jc w:val="left"/>
    </w:pPr>
    <w:rPr>
      <w:rFonts w:ascii="宋体" w:hAnsi="宋体" w:eastAsia="楷体_GB2312" w:cs="Courier New"/>
      <w:sz w:val="26"/>
      <w:lang w:val="zh-CN"/>
    </w:rPr>
  </w:style>
  <w:style w:type="paragraph" w:styleId="1200" w:customStyle="1">
    <w:name w:val="样式 加粗 居中2"/>
    <w:basedOn w:val="842"/>
    <w:next w:val="1052"/>
    <w:uiPriority w:val="0"/>
    <w:qFormat/>
    <w:pPr>
      <w:ind w:left="0" w:firstLine="2560"/>
      <w:jc w:val="center"/>
      <w:spacing w:before="0" w:after="0" w:line="360" w:lineRule="auto"/>
    </w:pPr>
    <w:rPr>
      <w:rFonts w:ascii="Times New Roman" w:hAnsi="Times New Roman" w:cs="Times New Roman"/>
    </w:rPr>
  </w:style>
  <w:style w:type="paragraph" w:styleId="1201" w:customStyle="1">
    <w:name w:val="标准文本"/>
    <w:basedOn w:val="842"/>
    <w:next w:val="1155"/>
    <w:uiPriority w:val="0"/>
    <w:qFormat/>
    <w:pPr>
      <w:ind w:left="480" w:firstLine="2784"/>
      <w:spacing w:before="0" w:after="0" w:line="360" w:lineRule="auto"/>
    </w:pPr>
    <w:rPr>
      <w:rFonts w:ascii="Times New Roman" w:hAnsi="Times New Roman" w:cs="Times New Roman"/>
    </w:rPr>
  </w:style>
  <w:style w:type="paragraph" w:styleId="1202" w:customStyle="1">
    <w:name w:val="font5"/>
    <w:basedOn w:val="842"/>
    <w:next w:val="1203"/>
    <w:uiPriority w:val="0"/>
    <w:qFormat/>
    <w:pPr>
      <w:ind w:left="0" w:firstLine="5120"/>
      <w:spacing w:before="280" w:after="280" w:line="240" w:lineRule="auto"/>
    </w:pPr>
    <w:rPr>
      <w:rFonts w:ascii="Times New Roman" w:hAnsi="Times New Roman" w:cs="Times New Roman"/>
    </w:rPr>
  </w:style>
  <w:style w:type="paragraph" w:styleId="1203" w:customStyle="1">
    <w:name w:val="索引标题1"/>
    <w:basedOn w:val="842"/>
    <w:next w:val="1082"/>
    <w:uiPriority w:val="0"/>
    <w:qFormat/>
    <w:pPr>
      <w:ind w:left="0" w:firstLine="4608"/>
      <w:jc w:val="center"/>
      <w:spacing w:before="0" w:after="0" w:line="360" w:lineRule="auto"/>
    </w:pPr>
    <w:rPr>
      <w:rFonts w:ascii="Times New Roman" w:hAnsi="Times New Roman" w:cs="Times New Roman"/>
    </w:rPr>
  </w:style>
  <w:style w:type="paragraph" w:styleId="1204" w:customStyle="1">
    <w:name w:val="Char Char Char Char Char Char1 Char Char Char1 Char Char Char Char Char Char Char Char Char Char Char Char Char Char Char Char"/>
    <w:basedOn w:val="842"/>
    <w:next w:val="1205"/>
    <w:uiPriority w:val="0"/>
    <w:qFormat/>
    <w:pPr>
      <w:ind w:left="0" w:firstLine="2560"/>
      <w:spacing w:before="0" w:after="0" w:line="240" w:lineRule="auto"/>
    </w:pPr>
    <w:rPr>
      <w:rFonts w:ascii="Times New Roman" w:hAnsi="Times New Roman" w:cs="Times New Roman"/>
    </w:rPr>
  </w:style>
  <w:style w:type="paragraph" w:styleId="1205" w:customStyle="1">
    <w:name w:val="1正文"/>
    <w:basedOn w:val="842"/>
    <w:next w:val="1206"/>
    <w:uiPriority w:val="0"/>
    <w:qFormat/>
    <w:pPr>
      <w:ind w:left="480" w:firstLine="2784"/>
      <w:spacing w:before="0" w:after="0" w:line="300" w:lineRule="auto"/>
    </w:pPr>
    <w:rPr>
      <w:rFonts w:ascii="Times New Roman" w:hAnsi="Times New Roman" w:cs="Times New Roman"/>
    </w:rPr>
  </w:style>
  <w:style w:type="paragraph" w:styleId="1206" w:customStyle="1">
    <w:name w:val="目录2"/>
    <w:basedOn w:val="842"/>
    <w:next w:val="841"/>
    <w:uiPriority w:val="0"/>
    <w:qFormat/>
    <w:pPr>
      <w:ind w:left="209" w:firstLine="5329"/>
      <w:spacing w:before="0" w:after="0" w:line="317" w:lineRule="atLeast"/>
    </w:pPr>
    <w:rPr>
      <w:rFonts w:ascii="Times New Roman" w:hAnsi="Times New Roman" w:cs="Times New Roman"/>
    </w:rPr>
  </w:style>
  <w:style w:type="paragraph" w:styleId="1207" w:customStyle="1">
    <w:name w:val="图表目录1"/>
    <w:basedOn w:val="842"/>
    <w:next w:val="841"/>
    <w:uiPriority w:val="0"/>
    <w:qFormat/>
    <w:pPr>
      <w:ind w:left="200" w:firstLine="2616"/>
      <w:jc w:val="center"/>
      <w:spacing w:before="0" w:after="0" w:line="360" w:lineRule="auto"/>
    </w:pPr>
    <w:rPr>
      <w:rFonts w:ascii="Times New Roman" w:hAnsi="Times New Roman" w:cs="Times New Roman"/>
    </w:rPr>
  </w:style>
  <w:style w:type="paragraph" w:styleId="1208" w:customStyle="1">
    <w:name w:val="xl63"/>
    <w:basedOn w:val="842"/>
    <w:next w:val="1158"/>
    <w:uiPriority w:val="0"/>
    <w:qFormat/>
    <w:pPr>
      <w:ind w:left="0" w:firstLine="5120"/>
      <w:spacing w:before="280" w:after="280" w:line="240" w:lineRule="auto"/>
    </w:pPr>
    <w:rPr>
      <w:rFonts w:ascii="Times New Roman" w:hAnsi="Times New Roman" w:cs="Times New Roman"/>
    </w:rPr>
  </w:style>
  <w:style w:type="paragraph" w:styleId="1209">
    <w:name w:val="List Paragraph"/>
    <w:basedOn w:val="841"/>
    <w:next w:val="1116"/>
    <w:uiPriority w:val="0"/>
    <w:qFormat/>
    <w:pPr>
      <w:ind w:left="420" w:firstLine="3748"/>
    </w:pPr>
    <w:rPr>
      <w:rFonts w:ascii="Times New Roman" w:hAnsi="Times New Roman" w:cs="Times New Roman"/>
    </w:rPr>
  </w:style>
  <w:style w:type="paragraph" w:styleId="1210" w:customStyle="1">
    <w:name w:val="xl73"/>
    <w:basedOn w:val="842"/>
    <w:next w:val="1211"/>
    <w:uiPriority w:val="0"/>
    <w:qFormat/>
    <w:pPr>
      <w:ind w:left="0" w:firstLine="3584"/>
      <w:spacing w:before="280" w:after="280" w:line="240" w:lineRule="auto"/>
    </w:pPr>
    <w:rPr>
      <w:rFonts w:ascii="Times New Roman" w:hAnsi="Times New Roman" w:cs="Times New Roman"/>
    </w:rPr>
  </w:style>
  <w:style w:type="paragraph" w:styleId="1211" w:customStyle="1">
    <w:name w:val="xl80"/>
    <w:basedOn w:val="842"/>
    <w:next w:val="1212"/>
    <w:uiPriority w:val="0"/>
    <w:qFormat/>
    <w:pPr>
      <w:ind w:left="0" w:firstLine="3584"/>
      <w:jc w:val="center"/>
      <w:spacing w:before="280" w:after="280" w:line="240" w:lineRule="auto"/>
    </w:pPr>
    <w:rPr>
      <w:rFonts w:ascii="Times New Roman" w:hAnsi="Times New Roman" w:cs="Times New Roman"/>
    </w:rPr>
  </w:style>
  <w:style w:type="paragraph" w:styleId="1212" w:customStyle="1">
    <w:name w:val="样式2"/>
    <w:basedOn w:val="847"/>
    <w:next w:val="1213"/>
    <w:uiPriority w:val="0"/>
    <w:qFormat/>
    <w:pPr>
      <w:ind w:left="1134" w:firstLine="18"/>
      <w:spacing w:before="0" w:after="0" w:line="360" w:lineRule="auto"/>
      <w:outlineLvl w:val="4"/>
    </w:pPr>
  </w:style>
  <w:style w:type="paragraph" w:styleId="1213" w:customStyle="1">
    <w:name w:val="日期1"/>
    <w:basedOn w:val="842"/>
    <w:next w:val="841"/>
    <w:uiPriority w:val="0"/>
    <w:qFormat/>
    <w:pPr>
      <w:ind w:left="100" w:firstLine="6144"/>
      <w:spacing w:before="0" w:after="0" w:line="240" w:lineRule="auto"/>
    </w:pPr>
    <w:rPr>
      <w:rFonts w:ascii="Times New Roman" w:hAnsi="Times New Roman" w:cs="Times New Roman"/>
    </w:rPr>
  </w:style>
  <w:style w:type="paragraph" w:styleId="1214" w:customStyle="1">
    <w:name w:val="图1"/>
    <w:basedOn w:val="842"/>
    <w:next w:val="841"/>
    <w:uiPriority w:val="0"/>
    <w:qFormat/>
    <w:pPr>
      <w:ind w:left="1105" w:firstLine="2580"/>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w:basedOn w:val="842"/>
    <w:next w:val="1195"/>
    <w:uiPriority w:val="0"/>
    <w:qFormat/>
    <w:pPr>
      <w:ind w:left="0" w:firstLine="2560"/>
      <w:spacing w:before="0" w:after="0" w:line="240" w:lineRule="auto"/>
    </w:pPr>
    <w:rPr>
      <w:rFonts w:ascii="Times New Roman" w:hAnsi="Times New Roman" w:cs="Times New Roman"/>
    </w:rPr>
  </w:style>
  <w:style w:type="paragraph" w:styleId="1216" w:customStyle="1">
    <w:name w:val="Char Char Char Char Char Char Char"/>
    <w:basedOn w:val="842"/>
    <w:next w:val="1101"/>
    <w:uiPriority w:val="0"/>
    <w:qFormat/>
    <w:pPr>
      <w:ind w:left="200" w:firstLine="4808"/>
      <w:spacing w:before="0" w:after="0" w:line="360" w:lineRule="auto"/>
    </w:pPr>
    <w:rPr>
      <w:rFonts w:ascii="Times New Roman" w:hAnsi="Times New Roman" w:cs="Times New Roman"/>
    </w:rPr>
  </w:style>
  <w:style w:type="paragraph" w:styleId="1217" w:customStyle="1">
    <w:name w:val="Char Char Char Char Char Char Char Char Char Char Char Char Char Char Char"/>
    <w:basedOn w:val="842"/>
    <w:next w:val="1192"/>
    <w:uiPriority w:val="0"/>
    <w:qFormat/>
    <w:pPr>
      <w:ind w:left="0" w:firstLine="3584"/>
      <w:jc w:val="center"/>
      <w:spacing w:before="0" w:after="0" w:line="400" w:lineRule="exact"/>
    </w:pPr>
    <w:rPr>
      <w:rFonts w:ascii="Times New Roman" w:hAnsi="Times New Roman" w:cs="Times New Roman"/>
    </w:rPr>
  </w:style>
  <w:style w:type="paragraph" w:styleId="1218">
    <w:name w:val="Intense Quote"/>
    <w:next w:val="841"/>
    <w:uiPriority w:val="0"/>
    <w:qFormat/>
    <w:pPr>
      <w:ind w:left="3766" w:right="950"/>
      <w:jc w:val="center"/>
      <w:spacing w:before="360" w:after="360"/>
    </w:pPr>
    <w:rPr>
      <w:rFonts w:ascii="Calibri" w:hAnsi="Calibri" w:eastAsia="宋体" w:cs="宋体"/>
      <w:i/>
      <w:lang w:val="en-US" w:eastAsia="zh-CN" w:bidi="ar-SA"/>
    </w:rPr>
  </w:style>
  <w:style w:type="paragraph" w:styleId="1219" w:customStyle="1">
    <w:name w:val="索引 51"/>
    <w:basedOn w:val="842"/>
    <w:next w:val="841"/>
    <w:uiPriority w:val="0"/>
    <w:qFormat/>
    <w:pPr>
      <w:ind w:left="800" w:firstLine="2560"/>
      <w:jc w:val="center"/>
      <w:spacing w:before="0" w:after="0" w:line="360" w:lineRule="auto"/>
    </w:pPr>
    <w:rPr>
      <w:rFonts w:ascii="Times New Roman" w:hAnsi="Times New Roman" w:cs="Times New Roman"/>
    </w:rPr>
  </w:style>
  <w:style w:type="paragraph" w:styleId="1220" w:customStyle="1">
    <w:name w:val="图表"/>
    <w:basedOn w:val="842"/>
    <w:next w:val="1221"/>
    <w:uiPriority w:val="0"/>
    <w:qFormat/>
    <w:pPr>
      <w:ind w:left="0" w:firstLine="2048"/>
      <w:jc w:val="center"/>
      <w:spacing w:before="0" w:after="0" w:line="240" w:lineRule="auto"/>
    </w:pPr>
    <w:rPr>
      <w:rFonts w:ascii="Times New Roman" w:hAnsi="Times New Roman" w:cs="Times New Roman"/>
    </w:rPr>
  </w:style>
  <w:style w:type="paragraph" w:styleId="1221" w:customStyle="1">
    <w:name w:val="reader-word-layer"/>
    <w:basedOn w:val="842"/>
    <w:next w:val="1222"/>
    <w:uiPriority w:val="0"/>
    <w:qFormat/>
    <w:pPr>
      <w:ind w:left="0" w:firstLine="1024"/>
      <w:spacing w:before="280" w:after="280" w:line="240" w:lineRule="auto"/>
    </w:pPr>
    <w:rPr>
      <w:rFonts w:ascii="Times New Roman" w:hAnsi="Times New Roman" w:cs="Times New Roman"/>
    </w:rPr>
  </w:style>
  <w:style w:type="paragraph" w:styleId="1222" w:customStyle="1">
    <w:name w:val="样式 加粗 居中1"/>
    <w:next w:val="1061"/>
    <w:uiPriority w:val="0"/>
    <w:qFormat/>
    <w:pPr>
      <w:ind w:firstLine="2560"/>
      <w:jc w:val="center"/>
    </w:pPr>
    <w:rPr>
      <w:rFonts w:ascii="Calibri" w:hAnsi="Calibri" w:eastAsia="宋体" w:cs="宋体"/>
      <w:lang w:val="en-US" w:eastAsia="zh-CN" w:bidi="ar-SA"/>
    </w:rPr>
  </w:style>
  <w:style w:type="paragraph" w:styleId="1223" w:customStyle="1">
    <w:name w:val="修订2"/>
    <w:uiPriority w:val="0"/>
    <w:qFormat/>
    <w:rPr>
      <w:rFonts w:ascii="Calibri" w:hAnsi="Calibri" w:eastAsia="宋体" w:cs="宋体"/>
      <w:lang w:val="en-US" w:eastAsia="zh-CN" w:bidi="ar-SA"/>
    </w:rPr>
  </w:style>
  <w:style w:type="paragraph" w:styleId="1224" w:customStyle="1">
    <w:name w:val="Body"/>
    <w:next w:val="1156"/>
    <w:uiPriority w:val="0"/>
    <w:qFormat/>
    <w:pPr>
      <w:ind w:left="567" w:right="2835" w:firstLine="3584"/>
      <w:spacing w:after="60"/>
    </w:pPr>
    <w:rPr>
      <w:rFonts w:ascii="Calibri" w:hAnsi="Calibri" w:eastAsia="宋体" w:cs="宋体"/>
      <w:lang w:val="en-US" w:eastAsia="zh-CN" w:bidi="ar-SA"/>
    </w:rPr>
  </w:style>
  <w:style w:type="paragraph" w:styleId="1225" w:customStyle="1">
    <w:name w:val="font6"/>
    <w:basedOn w:val="842"/>
    <w:next w:val="1226"/>
    <w:uiPriority w:val="0"/>
    <w:qFormat/>
    <w:pPr>
      <w:ind w:left="0" w:firstLine="5120"/>
      <w:spacing w:before="280" w:after="280" w:line="240" w:lineRule="auto"/>
    </w:pPr>
    <w:rPr>
      <w:rFonts w:ascii="Times New Roman" w:hAnsi="Times New Roman" w:cs="Times New Roman"/>
    </w:rPr>
  </w:style>
  <w:style w:type="paragraph" w:styleId="1226" w:customStyle="1">
    <w:name w:val="正文首行缩进 21"/>
    <w:basedOn w:val="853"/>
    <w:next w:val="1224"/>
    <w:uiPriority w:val="0"/>
    <w:qFormat/>
    <w:pPr>
      <w:ind w:left="200" w:firstLine="3784"/>
      <w:jc w:val="center"/>
      <w:spacing w:after="120" w:line="360" w:lineRule="auto"/>
    </w:pPr>
    <w:rPr>
      <w:rFonts w:ascii="Calibri" w:hAnsi="Calibri"/>
    </w:rPr>
  </w:style>
  <w:style w:type="paragraph" w:styleId="1227" w:customStyle="1">
    <w:name w:val="Char Char"/>
    <w:next w:val="1220"/>
    <w:uiPriority w:val="0"/>
    <w:qFormat/>
    <w:pPr>
      <w:ind w:firstLine="14"/>
      <w:spacing w:line="360" w:lineRule="auto"/>
      <w:shd w:val="clear" w:color="000000" w:fill="000080"/>
    </w:pPr>
    <w:rPr>
      <w:rFonts w:ascii="Calibri" w:hAnsi="Calibri" w:eastAsia="宋体" w:cs="宋体"/>
      <w:lang w:val="en-US" w:eastAsia="zh-CN" w:bidi="ar-SA"/>
    </w:rPr>
  </w:style>
  <w:style w:type="paragraph" w:styleId="1228" w:customStyle="1">
    <w:name w:val="正文_0_0"/>
    <w:next w:val="1060"/>
    <w:uiPriority w:val="0"/>
    <w:qFormat/>
    <w:pPr>
      <w:ind w:firstLine="3584"/>
      <w:jc w:val="both"/>
      <w:widowControl w:val="off"/>
    </w:pPr>
    <w:rPr>
      <w:rFonts w:ascii="Calibri" w:hAnsi="Calibri" w:eastAsia="宋体" w:cs="宋体"/>
      <w:lang w:val="en-US" w:eastAsia="zh-CN" w:bidi="ar-SA"/>
    </w:rPr>
  </w:style>
  <w:style w:type="paragraph" w:styleId="1229" w:customStyle="1">
    <w:name w:val="font7"/>
    <w:basedOn w:val="842"/>
    <w:next w:val="1230"/>
    <w:uiPriority w:val="0"/>
    <w:qFormat/>
    <w:pPr>
      <w:ind w:left="0" w:firstLine="3584"/>
      <w:spacing w:before="280" w:after="280" w:line="240" w:lineRule="auto"/>
    </w:pPr>
    <w:rPr>
      <w:rFonts w:ascii="Times New Roman" w:hAnsi="Times New Roman" w:cs="Times New Roman"/>
    </w:rPr>
  </w:style>
  <w:style w:type="paragraph" w:styleId="1230" w:customStyle="1">
    <w:name w:val="Char Char Char Char Char Char1 Char Char Char Char Char Char1 Char Char Char1"/>
    <w:basedOn w:val="842"/>
    <w:next w:val="1231"/>
    <w:uiPriority w:val="0"/>
    <w:qFormat/>
    <w:pPr>
      <w:ind w:left="0" w:firstLine="2560"/>
      <w:spacing w:before="0" w:after="0" w:line="240" w:lineRule="auto"/>
    </w:pPr>
    <w:rPr>
      <w:rFonts w:ascii="Times New Roman" w:hAnsi="Times New Roman" w:cs="Times New Roman"/>
    </w:rPr>
  </w:style>
  <w:style w:type="paragraph" w:styleId="1231" w:customStyle="1">
    <w:name w:val="xl64"/>
    <w:basedOn w:val="842"/>
    <w:next w:val="1198"/>
    <w:uiPriority w:val="0"/>
    <w:qFormat/>
    <w:pPr>
      <w:ind w:left="0" w:firstLine="3584"/>
      <w:spacing w:before="280" w:after="280" w:line="240" w:lineRule="auto"/>
    </w:pPr>
    <w:rPr>
      <w:rFonts w:ascii="Times New Roman" w:hAnsi="Times New Roman" w:cs="Times New Roman"/>
    </w:rPr>
  </w:style>
  <w:style w:type="paragraph" w:styleId="1232" w:customStyle="1">
    <w:name w:val="style16"/>
    <w:basedOn w:val="842"/>
    <w:next w:val="1225"/>
    <w:uiPriority w:val="0"/>
    <w:qFormat/>
    <w:pPr>
      <w:ind w:left="0" w:firstLine="2048"/>
      <w:spacing w:before="280" w:after="280" w:line="240" w:lineRule="auto"/>
    </w:pPr>
    <w:rPr>
      <w:rFonts w:ascii="Times New Roman" w:hAnsi="Times New Roman" w:cs="Times New Roman"/>
    </w:rPr>
  </w:style>
  <w:style w:type="paragraph" w:styleId="1233" w:customStyle="1">
    <w:name w:val="索引 11"/>
    <w:basedOn w:val="842"/>
    <w:next w:val="841"/>
    <w:uiPriority w:val="0"/>
    <w:qFormat/>
    <w:pPr>
      <w:ind w:left="0" w:firstLine="3584"/>
      <w:spacing w:before="0" w:after="0" w:line="240" w:lineRule="auto"/>
    </w:pPr>
    <w:rPr>
      <w:rFonts w:ascii="Times New Roman" w:hAnsi="Times New Roman" w:cs="Times New Roman"/>
    </w:rPr>
  </w:style>
  <w:style w:type="paragraph" w:styleId="1234" w:customStyle="1">
    <w:name w:val="H 3"/>
    <w:basedOn w:val="845"/>
    <w:next w:val="1235"/>
    <w:uiPriority w:val="0"/>
    <w:qFormat/>
    <w:pPr>
      <w:ind w:left="1429" w:firstLine="18"/>
      <w:spacing w:before="0" w:after="0" w:line="360" w:lineRule="auto"/>
      <w:outlineLvl w:val="2"/>
    </w:pPr>
  </w:style>
  <w:style w:type="paragraph" w:styleId="1235" w:customStyle="1">
    <w:name w:val="xl83"/>
    <w:basedOn w:val="842"/>
    <w:next w:val="1216"/>
    <w:uiPriority w:val="0"/>
    <w:qFormat/>
    <w:pPr>
      <w:ind w:left="0" w:firstLine="5120"/>
      <w:spacing w:before="280" w:after="280" w:line="240" w:lineRule="auto"/>
    </w:pPr>
    <w:rPr>
      <w:rFonts w:ascii="Times New Roman" w:hAnsi="Times New Roman" w:cs="Times New Roman"/>
    </w:rPr>
  </w:style>
  <w:style w:type="paragraph" w:styleId="1236" w:customStyle="1">
    <w:name w:val="表格文字（居中）"/>
    <w:basedOn w:val="842"/>
    <w:next w:val="1232"/>
    <w:uiPriority w:val="0"/>
    <w:qFormat/>
    <w:pPr>
      <w:ind w:left="0" w:firstLine="2560"/>
      <w:jc w:val="center"/>
      <w:spacing w:before="0" w:after="0" w:line="360" w:lineRule="auto"/>
    </w:pPr>
    <w:rPr>
      <w:rFonts w:ascii="Times New Roman" w:hAnsi="Times New Roman" w:cs="Times New Roman"/>
    </w:rPr>
  </w:style>
  <w:style w:type="paragraph" w:styleId="1237" w:customStyle="1">
    <w:name w:val="正文首行缩进两字符"/>
    <w:basedOn w:val="842"/>
    <w:next w:val="1219"/>
    <w:uiPriority w:val="0"/>
    <w:qFormat/>
    <w:pPr>
      <w:ind w:left="200" w:firstLine="3784"/>
      <w:spacing w:before="0" w:after="0" w:line="360" w:lineRule="auto"/>
    </w:pPr>
    <w:rPr>
      <w:rFonts w:ascii="Times New Roman" w:hAnsi="Times New Roman" w:cs="Times New Roman"/>
    </w:rPr>
  </w:style>
  <w:style w:type="paragraph" w:styleId="1238" w:customStyle="1">
    <w:name w:val="1"/>
    <w:basedOn w:val="842"/>
    <w:next w:val="874"/>
    <w:uiPriority w:val="0"/>
    <w:qFormat/>
    <w:pPr>
      <w:ind w:left="0" w:firstLine="2048"/>
      <w:spacing w:before="0" w:after="0" w:line="240" w:lineRule="auto"/>
    </w:pPr>
    <w:rPr>
      <w:rFonts w:ascii="Times New Roman" w:hAnsi="Times New Roman" w:cs="Times New Roman"/>
    </w:rPr>
  </w:style>
  <w:style w:type="paragraph" w:styleId="1239" w:customStyle="1">
    <w:name w:val="_Style 398"/>
    <w:basedOn w:val="842"/>
    <w:next w:val="841"/>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0" w:customStyle="1">
    <w:name w:val="Table Paragraph"/>
    <w:basedOn w:val="841"/>
    <w:uiPriority w:val="1"/>
    <w:qFormat/>
    <w:rPr>
      <w:rFonts w:ascii="宋体" w:hAnsi="宋体"/>
      <w:lang w:val="zh-CN" w:bidi="zh-CN"/>
    </w:rPr>
  </w:style>
  <w:style w:type="paragraph" w:styleId="1241" w:customStyle="1">
    <w:name w:val="_Style 400"/>
    <w:uiPriority w:val="0"/>
    <w:qFormat/>
    <w:rPr>
      <w:rFonts w:ascii="Calibri" w:hAnsi="Calibri" w:eastAsia="宋体" w:cs="宋体"/>
      <w:lang w:val="en-US" w:eastAsia="zh-CN" w:bidi="ar-SA"/>
    </w:rPr>
  </w:style>
  <w:style w:type="paragraph" w:styleId="1242" w:customStyle="1">
    <w:name w:val="Style1"/>
    <w:basedOn w:val="841"/>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43" w:customStyle="1">
    <w:name w:val="msolistparagraph"/>
    <w:basedOn w:val="842"/>
    <w:next w:val="1108"/>
    <w:uiPriority w:val="0"/>
    <w:qFormat/>
    <w:pPr>
      <w:ind w:left="420" w:firstLine="3748"/>
      <w:spacing w:before="0" w:after="0" w:line="240" w:lineRule="auto"/>
    </w:pPr>
    <w:rPr>
      <w:rFonts w:ascii="Times New Roman" w:hAnsi="Times New Roman" w:cs="Times New Roman"/>
    </w:rPr>
  </w:style>
  <w:style w:type="paragraph" w:styleId="1244" w:customStyle="1">
    <w:name w:val="Char1 Char Char Char"/>
    <w:basedOn w:val="842"/>
    <w:next w:val="1245"/>
    <w:uiPriority w:val="0"/>
    <w:qFormat/>
    <w:pPr>
      <w:ind w:left="0" w:firstLine="2560"/>
      <w:spacing w:before="0" w:after="0" w:line="240" w:lineRule="auto"/>
    </w:pPr>
    <w:rPr>
      <w:rFonts w:ascii="Times New Roman" w:hAnsi="Times New Roman" w:cs="Times New Roman"/>
    </w:rPr>
  </w:style>
  <w:style w:type="paragraph" w:styleId="1245" w:customStyle="1">
    <w:name w:val="xl24"/>
    <w:basedOn w:val="842"/>
    <w:next w:val="1190"/>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46" w:customStyle="1">
    <w:name w:val="表格文字"/>
    <w:next w:val="1204"/>
    <w:uiPriority w:val="0"/>
    <w:qFormat/>
    <w:pPr>
      <w:ind w:firstLine="3584"/>
    </w:pPr>
    <w:rPr>
      <w:rFonts w:ascii="Calibri" w:hAnsi="Calibri" w:eastAsia="宋体" w:cs="宋体"/>
      <w:lang w:val="en-US" w:eastAsia="zh-CN" w:bidi="ar-SA"/>
    </w:rPr>
  </w:style>
  <w:style w:type="paragraph" w:styleId="1247" w:customStyle="1">
    <w:name w:val="xl72"/>
    <w:basedOn w:val="842"/>
    <w:next w:val="1103"/>
    <w:uiPriority w:val="0"/>
    <w:qFormat/>
    <w:pPr>
      <w:ind w:left="0" w:firstLine="3584"/>
      <w:spacing w:before="280" w:after="280" w:line="240" w:lineRule="auto"/>
    </w:pPr>
    <w:rPr>
      <w:rFonts w:ascii="Times New Roman" w:hAnsi="Times New Roman" w:cs="Times New Roman"/>
    </w:rPr>
  </w:style>
  <w:style w:type="paragraph" w:styleId="1248" w:customStyle="1">
    <w:name w:val="插图"/>
    <w:next w:val="841"/>
    <w:uiPriority w:val="0"/>
    <w:qFormat/>
    <w:pPr>
      <w:ind w:firstLine="4608"/>
      <w:jc w:val="center"/>
    </w:pPr>
    <w:rPr>
      <w:rFonts w:ascii="Calibri" w:hAnsi="Calibri" w:eastAsia="宋体" w:cs="宋体"/>
      <w:lang w:val="en-US" w:eastAsia="zh-CN" w:bidi="ar-SA"/>
    </w:rPr>
  </w:style>
  <w:style w:type="paragraph" w:styleId="1249" w:customStyle="1">
    <w:name w:val="列出段落3"/>
    <w:basedOn w:val="842"/>
    <w:next w:val="1143"/>
    <w:uiPriority w:val="0"/>
    <w:qFormat/>
    <w:pPr>
      <w:ind w:left="420" w:firstLine="3748"/>
      <w:spacing w:before="0" w:after="0" w:line="240" w:lineRule="auto"/>
    </w:pPr>
    <w:rPr>
      <w:rFonts w:ascii="Times New Roman" w:hAnsi="Times New Roman" w:cs="Times New Roman"/>
    </w:rPr>
  </w:style>
  <w:style w:type="paragraph" w:styleId="1250" w:customStyle="1">
    <w:name w:val="目录标题"/>
    <w:basedOn w:val="842"/>
    <w:next w:val="841"/>
    <w:uiPriority w:val="0"/>
    <w:qFormat/>
    <w:pPr>
      <w:ind w:left="419" w:firstLine="7331"/>
      <w:jc w:val="center"/>
      <w:spacing w:before="566" w:after="544" w:line="566" w:lineRule="atLeast"/>
    </w:pPr>
    <w:rPr>
      <w:rFonts w:ascii="Times New Roman" w:hAnsi="Times New Roman" w:cs="Times New Roman"/>
    </w:rPr>
  </w:style>
  <w:style w:type="paragraph" w:styleId="1251" w:customStyle="1">
    <w:name w:val="默认段落字体 Para Char Char Char Char Char Char Char Char Char1 Char Char Char Char"/>
    <w:basedOn w:val="842"/>
    <w:next w:val="1146"/>
    <w:uiPriority w:val="0"/>
    <w:qFormat/>
    <w:pPr>
      <w:ind w:left="0" w:firstLine="2560"/>
      <w:spacing w:before="0" w:after="0" w:line="240" w:lineRule="auto"/>
    </w:pPr>
    <w:rPr>
      <w:rFonts w:ascii="Times New Roman" w:hAnsi="Times New Roman" w:cs="Times New Roman"/>
    </w:rPr>
  </w:style>
  <w:style w:type="paragraph" w:styleId="1252" w:customStyle="1">
    <w:name w:val="WPSOffice手动目录 2"/>
    <w:uiPriority w:val="0"/>
    <w:qFormat/>
    <w:pPr>
      <w:ind w:left="200"/>
    </w:pPr>
    <w:rPr>
      <w:rFonts w:ascii="宋体" w:hAnsi="宋体" w:eastAsia="宋体" w:cs="宋体"/>
      <w:lang w:val="en-US" w:eastAsia="zh-CN" w:bidi="ar-SA"/>
    </w:rPr>
  </w:style>
  <w:style w:type="paragraph" w:styleId="1253" w:customStyle="1">
    <w:name w:val="表内文字"/>
    <w:basedOn w:val="842"/>
    <w:next w:val="882"/>
    <w:uiPriority w:val="0"/>
    <w:qFormat/>
    <w:pPr>
      <w:ind w:left="0" w:firstLine="7680"/>
      <w:jc w:val="center"/>
      <w:spacing w:before="50" w:after="50" w:line="240" w:lineRule="auto"/>
    </w:pPr>
    <w:rPr>
      <w:rFonts w:ascii="Times New Roman" w:hAnsi="Times New Roman" w:cs="Times New Roman"/>
    </w:rPr>
  </w:style>
  <w:style w:type="paragraph" w:styleId="1254" w:customStyle="1">
    <w:name w:val="xl66"/>
    <w:basedOn w:val="842"/>
    <w:next w:val="1236"/>
    <w:uiPriority w:val="0"/>
    <w:qFormat/>
    <w:pPr>
      <w:ind w:left="0" w:firstLine="3584"/>
      <w:spacing w:before="280" w:after="280" w:line="240" w:lineRule="auto"/>
    </w:pPr>
    <w:rPr>
      <w:rFonts w:ascii="Times New Roman" w:hAnsi="Times New Roman" w:cs="Times New Roman"/>
    </w:rPr>
  </w:style>
  <w:style w:type="paragraph" w:styleId="1255" w:customStyle="1">
    <w:name w:val="*正文"/>
    <w:basedOn w:val="841"/>
    <w:uiPriority w:val="0"/>
    <w:qFormat/>
    <w:pPr>
      <w:ind w:left="0" w:firstLine="200"/>
      <w:spacing w:line="360" w:lineRule="auto"/>
    </w:pPr>
    <w:rPr>
      <w:rFonts w:ascii="仿宋_GB2312" w:hAnsi="Times New Roman" w:eastAsia="仿宋_GB2312" w:cs="Times New Roman"/>
      <w:sz w:val="24"/>
      <w:szCs w:val="28"/>
    </w:rPr>
  </w:style>
  <w:style w:type="paragraph" w:styleId="1256" w:customStyle="1">
    <w:name w:val="0"/>
    <w:basedOn w:val="842"/>
    <w:next w:val="1149"/>
    <w:uiPriority w:val="0"/>
    <w:qFormat/>
    <w:pPr>
      <w:ind w:left="0" w:firstLine="2815"/>
      <w:spacing w:before="0" w:after="0" w:line="360" w:lineRule="auto"/>
    </w:pPr>
    <w:rPr>
      <w:rFonts w:ascii="Times New Roman" w:hAnsi="Times New Roman" w:cs="Times New Roman"/>
    </w:rPr>
  </w:style>
  <w:style w:type="table" w:styleId="1257" w:customStyle="1">
    <w:name w:val="网格型1"/>
    <w:basedOn w:val="8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8" w:customStyle="1">
    <w:name w:val="font61"/>
    <w:uiPriority w:val="0"/>
    <w:qFormat/>
    <w:rPr>
      <w:rFonts w:hint="default" w:ascii="Times New Roman" w:hAnsi="Times New Roman" w:cs="Times New Roman"/>
      <w:b/>
      <w:bCs/>
      <w:color w:val="000000"/>
      <w:sz w:val="24"/>
      <w:szCs w:val="24"/>
      <w:u w:val="none"/>
    </w:rPr>
  </w:style>
  <w:style w:type="character" w:styleId="1259" w:customStyle="1">
    <w:name w:val="脚注文本 字符"/>
    <w:basedOn w:val="851"/>
    <w:link w:val="890"/>
    <w:uiPriority w:val="0"/>
    <w:qFormat/>
    <w:rPr>
      <w:rFonts w:ascii="Times New Roman" w:hAnsi="Times New Roman" w:cs="Times New Roman"/>
    </w:rPr>
  </w:style>
  <w:style w:type="paragraph" w:styleId="1260" w:customStyle="1">
    <w:name w:val="表格字体"/>
    <w:basedOn w:val="841"/>
    <w:uiPriority w:val="0"/>
    <w:qFormat/>
    <w:pPr>
      <w:spacing w:line="400" w:lineRule="exact"/>
    </w:pPr>
    <w:rPr>
      <w:rFonts w:hint="eastAsia"/>
      <w:bCs/>
      <w:color w:val="000000"/>
      <w:sz w:val="24"/>
      <w:szCs w:val="18"/>
    </w:rPr>
  </w:style>
  <w:style w:type="character" w:styleId="1261" w:customStyle="1">
    <w:name w:val="font51"/>
    <w:basedOn w:val="851"/>
    <w:uiPriority w:val="0"/>
    <w:qFormat/>
    <w:rPr>
      <w:rFonts w:hint="eastAsia" w:ascii="仿宋" w:hAnsi="仿宋" w:eastAsia="仿宋" w:cs="仿宋"/>
      <w:color w:val="000000"/>
      <w:sz w:val="22"/>
      <w:szCs w:val="22"/>
      <w:u w:val="none"/>
    </w:rPr>
  </w:style>
  <w:style w:type="character" w:styleId="1262" w:customStyle="1">
    <w:name w:val="font81"/>
    <w:basedOn w:val="851"/>
    <w:uiPriority w:val="0"/>
    <w:qFormat/>
    <w:rPr>
      <w:rFonts w:hint="eastAsia" w:ascii="仿宋" w:hAnsi="仿宋" w:eastAsia="仿宋" w:cs="仿宋"/>
      <w:color w:val="000000"/>
      <w:sz w:val="24"/>
      <w:szCs w:val="24"/>
      <w:u w:val="none"/>
    </w:rPr>
  </w:style>
  <w:style w:type="character" w:styleId="1263" w:customStyle="1">
    <w:name w:val="font31"/>
    <w:basedOn w:val="851"/>
    <w:uiPriority w:val="0"/>
    <w:qFormat/>
    <w:rPr>
      <w:rFonts w:hint="eastAsia" w:ascii="仿宋" w:hAnsi="仿宋" w:eastAsia="仿宋" w:cs="仿宋"/>
      <w:b/>
      <w:bCs/>
      <w:color w:val="000000"/>
      <w:sz w:val="22"/>
      <w:szCs w:val="22"/>
      <w:u w:val="none"/>
    </w:rPr>
  </w:style>
  <w:style w:type="numbering" w:styleId="167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4887324D-934C-4321-BC92-253D30AFCF0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15</cp:revision>
  <dcterms:created xsi:type="dcterms:W3CDTF">2023-12-20T13:18:00Z</dcterms:created>
  <dcterms:modified xsi:type="dcterms:W3CDTF">2026-04-09T05:23:06Z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E0F4D9AD9C3242819B76828939F489A1_13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