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pStyle w:val="681"/>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681"/>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681"/>
        <w:spacing w:line="240" w:lineRule="auto"/>
        <w:rPr>
          <w:b/>
          <w:bCs/>
          <w:sz w:val="32"/>
          <w:highlight w:val="none"/>
        </w:rPr>
      </w:pPr>
      <w:r>
        <w:rPr>
          <w:rFonts w:hint="eastAsia"/>
          <w:b/>
          <w:bCs/>
          <w:sz w:val="32"/>
          <w:highlight w:val="none"/>
        </w:rPr>
        <w:t xml:space="preserve">项目名称：如皋市城北街道市政道路养护维修工程(2026年度）</w:t>
      </w:r>
      <w:r/>
    </w:p>
    <w:p>
      <w:pPr>
        <w:pStyle w:val="681"/>
        <w:ind w:firstLine="1372"/>
        <w:spacing w:line="240" w:lineRule="auto"/>
        <w:rPr>
          <w:b/>
          <w:bCs/>
          <w:sz w:val="32"/>
          <w:highlight w:val="none"/>
        </w:rPr>
      </w:pPr>
      <w:r>
        <w:rPr>
          <w:rFonts w:hint="eastAsia"/>
          <w:b/>
          <w:bCs/>
          <w:sz w:val="32"/>
          <w:highlight w:val="none"/>
        </w:rPr>
        <w:t xml:space="preserve">项目编号：</w:t>
      </w:r>
      <w:r>
        <w:rPr>
          <w:rFonts w:hint="eastAsia" w:eastAsia="宋体" w:cs="Times New Roman"/>
          <w:b/>
          <w:bCs/>
          <w:sz w:val="32"/>
          <w:highlight w:val="none"/>
        </w:rPr>
        <w:t xml:space="preserve">JSZC-320682-NTGC-G2026-0006</w:t>
      </w:r>
      <w:r/>
    </w:p>
    <w:p>
      <w:pPr>
        <w:pStyle w:val="681"/>
        <w:ind w:firstLine="0"/>
        <w:jc w:val="center"/>
        <w:spacing w:line="240" w:lineRule="auto"/>
        <w:rPr>
          <w:b/>
          <w:bCs/>
          <w:sz w:val="32"/>
          <w:highlight w:val="none"/>
        </w:rPr>
      </w:pPr>
      <w:r>
        <w:rPr>
          <w:b/>
          <w:bCs/>
          <w:sz w:val="32"/>
          <w:highlight w:val="none"/>
        </w:rPr>
      </w:r>
      <w:r/>
    </w:p>
    <w:p>
      <w:pPr>
        <w:pStyle w:val="681"/>
        <w:ind w:firstLine="0"/>
        <w:jc w:val="center"/>
        <w:spacing w:line="240" w:lineRule="auto"/>
        <w:rPr>
          <w:b/>
          <w:bCs/>
          <w:sz w:val="32"/>
          <w:highlight w:val="none"/>
        </w:rPr>
      </w:pPr>
      <w:r>
        <w:rPr>
          <w:b/>
          <w:bCs/>
          <w:sz w:val="32"/>
          <w:highlight w:val="none"/>
        </w:rPr>
      </w:r>
      <w:r/>
    </w:p>
    <w:p>
      <w:pPr>
        <w:pStyle w:val="681"/>
        <w:ind w:firstLine="0"/>
        <w:jc w:val="center"/>
        <w:spacing w:line="240" w:lineRule="auto"/>
        <w:rPr>
          <w:b/>
          <w:bCs/>
          <w:sz w:val="32"/>
          <w:highlight w:val="none"/>
        </w:rPr>
      </w:pPr>
      <w:r>
        <w:rPr>
          <w:b/>
          <w:bCs/>
          <w:sz w:val="32"/>
          <w:highlight w:val="none"/>
        </w:rPr>
      </w:r>
      <w:r/>
    </w:p>
    <w:p>
      <w:pPr>
        <w:pStyle w:val="681"/>
        <w:ind w:firstLine="0"/>
        <w:jc w:val="center"/>
        <w:spacing w:line="240" w:lineRule="auto"/>
        <w:rPr>
          <w:b/>
          <w:bCs/>
          <w:sz w:val="32"/>
          <w:highlight w:val="none"/>
        </w:rPr>
      </w:pPr>
      <w:r>
        <w:rPr>
          <w:b/>
          <w:bCs/>
          <w:sz w:val="32"/>
          <w:highlight w:val="none"/>
        </w:rPr>
      </w:r>
      <w:r/>
    </w:p>
    <w:p>
      <w:pPr>
        <w:pStyle w:val="681"/>
        <w:ind w:firstLine="0"/>
        <w:jc w:val="center"/>
        <w:spacing w:line="240" w:lineRule="auto"/>
        <w:rPr>
          <w:b/>
          <w:bCs/>
          <w:sz w:val="32"/>
          <w:highlight w:val="none"/>
        </w:rPr>
      </w:pPr>
      <w:r>
        <w:rPr>
          <w:b/>
          <w:bCs/>
          <w:sz w:val="32"/>
          <w:highlight w:val="none"/>
        </w:rPr>
      </w:r>
      <w:r/>
    </w:p>
    <w:p>
      <w:pPr>
        <w:pStyle w:val="681"/>
        <w:ind w:firstLine="0"/>
        <w:jc w:val="center"/>
        <w:spacing w:line="240" w:lineRule="auto"/>
        <w:rPr>
          <w:b/>
          <w:bCs/>
          <w:sz w:val="32"/>
          <w:highlight w:val="none"/>
        </w:rPr>
      </w:pPr>
      <w:r>
        <w:rPr>
          <w:b/>
          <w:bCs/>
          <w:sz w:val="32"/>
          <w:highlight w:val="none"/>
        </w:rPr>
      </w:r>
      <w:r/>
    </w:p>
    <w:p>
      <w:pPr>
        <w:pStyle w:val="681"/>
        <w:ind w:firstLine="993"/>
        <w:spacing w:line="240" w:lineRule="auto"/>
        <w:rPr>
          <w:rFonts w:hint="eastAsia" w:ascii="Arial" w:hAnsi="Arial" w:eastAsia="宋体" w:cs="Times New Roman"/>
          <w:b/>
          <w:bCs/>
          <w:sz w:val="32"/>
          <w:highlight w:val="none"/>
          <w:lang w:val="en-US" w:eastAsia="zh-CN"/>
        </w:rPr>
      </w:pPr>
      <w:r>
        <w:rPr>
          <w:rFonts w:hint="eastAsia"/>
          <w:b/>
          <w:bCs/>
          <w:sz w:val="32"/>
          <w:highlight w:val="none"/>
        </w:rPr>
        <w:t xml:space="preserve">采购人名称：</w:t>
      </w:r>
      <w:r>
        <w:rPr>
          <w:rFonts w:hint="eastAsia" w:ascii="Arial" w:hAnsi="Arial" w:eastAsia="宋体" w:cs="Times New Roman"/>
          <w:b/>
          <w:bCs/>
          <w:sz w:val="32"/>
          <w:highlight w:val="none"/>
          <w:lang w:val="en-US" w:eastAsia="zh-CN"/>
        </w:rPr>
        <w:t xml:space="preserve">如皋经济技术开发区管理委员会</w:t>
      </w:r>
      <w:r/>
    </w:p>
    <w:p>
      <w:pPr>
        <w:ind w:firstLine="2599"/>
        <w:jc w:val="left"/>
        <w:spacing w:before="120" w:after="120" w:line="240" w:lineRule="auto"/>
        <w:widowControl w:val="off"/>
        <w:rPr>
          <w:b/>
          <w:bCs/>
          <w:sz w:val="32"/>
          <w:highlight w:val="none"/>
          <w:u w:val="single"/>
        </w:rPr>
      </w:pPr>
      <w:r>
        <w:rPr>
          <w:rFonts w:hint="eastAsia" w:ascii="Arial" w:hAnsi="Arial" w:eastAsia="宋体" w:cs="Times New Roman"/>
          <w:b/>
          <w:bCs/>
          <w:sz w:val="32"/>
          <w:szCs w:val="24"/>
          <w:highlight w:val="none"/>
          <w:lang w:val="en-US" w:eastAsia="zh-CN" w:bidi="ar-SA"/>
        </w:rPr>
        <w:t xml:space="preserve">（如皋市人民政府城北街道办事处）</w:t>
      </w:r>
      <w:r/>
    </w:p>
    <w:p>
      <w:pPr>
        <w:pStyle w:val="681"/>
        <w:ind w:firstLine="993"/>
        <w:spacing w:line="240" w:lineRule="auto"/>
        <w:rPr>
          <w:b/>
          <w:bCs/>
          <w:sz w:val="32"/>
          <w:highlight w:val="none"/>
        </w:rPr>
      </w:pPr>
      <w:r>
        <w:rPr>
          <w:rFonts w:hint="eastAsia"/>
          <w:b/>
          <w:bCs/>
          <w:sz w:val="32"/>
          <w:highlight w:val="none"/>
        </w:rPr>
        <w:t xml:space="preserve">采购代理机构名称：江苏皋诚工程项目管理有限公司</w:t>
      </w:r>
      <w:r/>
    </w:p>
    <w:p>
      <w:pPr>
        <w:pStyle w:val="681"/>
        <w:ind w:firstLine="0"/>
        <w:jc w:val="center"/>
        <w:spacing w:line="240" w:lineRule="auto"/>
        <w:rPr>
          <w:b/>
          <w:bCs/>
          <w:sz w:val="32"/>
          <w:highlight w:val="none"/>
        </w:rPr>
      </w:pPr>
      <w:r>
        <w:rPr>
          <w:rFonts w:hint="eastAsia"/>
          <w:b/>
          <w:bCs/>
          <w:sz w:val="32"/>
          <w:highlight w:val="none"/>
        </w:rPr>
        <w:t xml:space="preserve">2026年</w:t>
      </w:r>
      <w:r>
        <w:rPr>
          <w:rFonts w:hint="eastAsia"/>
          <w:b/>
          <w:bCs/>
          <w:sz w:val="32"/>
          <w:highlight w:val="none"/>
          <w:lang w:val="en-US" w:eastAsia="zh-CN"/>
        </w:rPr>
        <w:t xml:space="preserve">3</w:t>
      </w:r>
      <w:r>
        <w:rPr>
          <w:rFonts w:hint="eastAsia"/>
          <w:b/>
          <w:bCs/>
          <w:sz w:val="32"/>
          <w:highlight w:val="none"/>
        </w:rPr>
        <w:t xml:space="preserve">月</w:t>
      </w:r>
      <w:r/>
    </w:p>
    <w:p>
      <w:pPr>
        <w:pStyle w:val="681"/>
        <w:ind w:firstLine="0"/>
        <w:jc w:val="center"/>
        <w:spacing w:line="240" w:lineRule="auto"/>
        <w:rPr>
          <w:rFonts w:ascii="方正小标宋简体" w:eastAsia="方正小标宋简体"/>
          <w:bCs/>
          <w:sz w:val="32"/>
          <w:szCs w:val="32"/>
          <w:highlight w:val="none"/>
        </w:rPr>
      </w:pPr>
      <w:r>
        <w:rPr>
          <w:b/>
          <w:bCs/>
          <w:sz w:val="32"/>
          <w:highlight w:val="none"/>
        </w:rPr>
        <w:br w:type="page" w:clear="all"/>
      </w:r>
      <w:r>
        <w:rPr>
          <w:rFonts w:hint="eastAsia" w:ascii="方正小标宋简体" w:eastAsia="方正小标宋简体"/>
          <w:bCs/>
          <w:sz w:val="32"/>
          <w:szCs w:val="32"/>
          <w:highlight w:val="none"/>
        </w:rPr>
        <w:t xml:space="preserve">第1章 公开招标公告</w:t>
      </w:r>
      <w:r/>
    </w:p>
    <w:p>
      <w:pPr>
        <w:pStyle w:val="657"/>
        <w:ind w:firstLine="560"/>
        <w:spacing w:after="0" w:line="500" w:lineRule="exact"/>
        <w:rPr>
          <w:rFonts w:ascii="黑体" w:hAnsi="黑体" w:eastAsia="黑体"/>
          <w:sz w:val="28"/>
          <w:szCs w:val="28"/>
          <w:highlight w:val="none"/>
        </w:rPr>
      </w:pPr>
      <w:r/>
      <w:bookmarkStart w:id="0" w:name="_Toc35393629"/>
      <w:r/>
      <w:bookmarkStart w:id="1" w:name="_Toc28359089"/>
      <w:r/>
      <w:bookmarkStart w:id="2" w:name="_Toc35393798"/>
      <w:r/>
      <w:bookmarkStart w:id="3" w:name="_Toc28359012"/>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项目名称：如皋市城北街道市政道路养护维修工程(2026年度）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 项目编</w:t>
      </w:r>
      <w:r>
        <w:rPr>
          <w:rFonts w:hint="eastAsia" w:ascii="仿宋" w:hAnsi="仿宋" w:eastAsia="仿宋"/>
          <w:sz w:val="28"/>
          <w:szCs w:val="28"/>
          <w:highlight w:val="none"/>
          <w:lang w:val="en-US" w:eastAsia="zh-CN"/>
        </w:rPr>
        <w:t xml:space="preserve">号：JSZC-320682-NTGC-G2026-0006</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 预算金额：380万元</w:t>
      </w:r>
      <w:r>
        <w:rPr>
          <w:rFonts w:hint="eastAsia" w:ascii="仿宋" w:hAnsi="仿宋" w:eastAsia="仿宋"/>
          <w:sz w:val="28"/>
          <w:szCs w:val="28"/>
          <w:highlight w:val="none"/>
          <w:lang w:val="en-US" w:eastAsia="zh-CN"/>
        </w:rPr>
        <w:t xml:space="preserve">/年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rPr>
        <w:t xml:space="preserve">本项目按优惠率报价，最低优惠率为12%，计价依据为定额计价。（低于12%优惠率的为废标）</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采购需求：本项目为如皋市城北街道市政道路养护维修工程(2026年度），主要包含城北街道(含城区及何庄、袁桥、戴庄、柴湾等老镇区)市政道路、桥梁需进行零星维修养护，详见第3章。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rPr>
        <w:t xml:space="preserve">两年（一年一签），具体以业主通知时间为准。一年合同期满或维修金额达到380万元，满足任一条件，合同自动终止。考核合格且有财政预算前提下，经双方协商一致，可续签一次合同。</w:t>
      </w:r>
      <w:r/>
    </w:p>
    <w:p>
      <w:pPr>
        <w:ind w:firstLine="560"/>
        <w:spacing w:line="500" w:lineRule="exact"/>
        <w:rPr>
          <w:rFonts w:hint="eastAsia" w:ascii="仿宋" w:hAnsi="仿宋" w:eastAsia="仿宋"/>
          <w:sz w:val="28"/>
          <w:szCs w:val="28"/>
          <w:highlight w:val="none"/>
          <w:lang w:eastAsia="zh-CN"/>
        </w:rPr>
      </w:pPr>
      <w:r/>
      <w:bookmarkStart w:id="5" w:name="_Toc35393799"/>
      <w:r/>
      <w:bookmarkStart w:id="6" w:name="_Toc35393630"/>
      <w:r/>
      <w:bookmarkStart w:id="7" w:name="_Toc28359013"/>
      <w:r/>
      <w:bookmarkStart w:id="8" w:name="_Toc28359090"/>
      <w:r>
        <w:rPr>
          <w:rFonts w:hint="eastAsia" w:ascii="仿宋" w:hAnsi="仿宋" w:eastAsia="仿宋"/>
          <w:sz w:val="28"/>
          <w:szCs w:val="28"/>
          <w:highlight w:val="none"/>
        </w:rPr>
        <w:t xml:space="preserve">7.本项目是否接受联合体：</w:t>
      </w:r>
      <w:r>
        <w:rPr>
          <w:rFonts w:hint="eastAsia" w:ascii="仿宋" w:hAnsi="仿宋" w:eastAsia="仿宋"/>
          <w:sz w:val="28"/>
          <w:szCs w:val="28"/>
          <w:highlight w:val="none"/>
          <w:lang w:val="en-US" w:eastAsia="zh-CN"/>
        </w:rPr>
        <w:t xml:space="preserve">否</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8.本项目是否专门面向中小企业采购：</w:t>
      </w:r>
      <w:r>
        <w:rPr>
          <w:rFonts w:hint="eastAsia" w:ascii="仿宋" w:hAnsi="仿宋" w:eastAsia="仿宋"/>
          <w:sz w:val="28"/>
          <w:szCs w:val="28"/>
          <w:highlight w:val="none"/>
          <w:lang w:val="en-US" w:eastAsia="zh-CN"/>
        </w:rPr>
        <w:t xml:space="preserve">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10.项目所属行业：其</w:t>
      </w:r>
      <w:r>
        <w:rPr>
          <w:rFonts w:ascii="仿宋" w:hAnsi="仿宋" w:eastAsia="仿宋"/>
          <w:sz w:val="28"/>
          <w:szCs w:val="28"/>
          <w:highlight w:val="none"/>
        </w:rPr>
        <w:t xml:space="preserve">他未列明行业</w:t>
      </w:r>
      <w:r/>
    </w:p>
    <w:p>
      <w:pPr>
        <w:pStyle w:val="657"/>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664"/>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664"/>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664"/>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664"/>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pStyle w:val="664"/>
        <w:ind w:firstLine="567"/>
        <w:spacing w:before="0" w:beforeAutospacing="0" w:after="0" w:afterAutospacing="0" w:line="500" w:lineRule="exact"/>
        <w:shd w:val="clear" w:color="auto" w:fill="ffffff"/>
        <w:rPr>
          <w:rFonts w:ascii="仿宋" w:hAnsi="仿宋" w:eastAsia="仿宋"/>
          <w:sz w:val="28"/>
          <w:szCs w:val="28"/>
          <w:highlight w:val="none"/>
        </w:rPr>
      </w:pPr>
      <w:r>
        <w:rPr>
          <w:rFonts w:hint="eastAsia" w:ascii="仿宋" w:hAnsi="仿宋" w:eastAsia="仿宋"/>
          <w:sz w:val="28"/>
          <w:szCs w:val="28"/>
          <w:highlight w:val="none"/>
        </w:rPr>
        <w:t xml:space="preserve">（一）响应供应商须具备</w:t>
      </w:r>
      <w:r>
        <w:rPr>
          <w:rFonts w:hint="eastAsia" w:ascii="仿宋" w:hAnsi="仿宋" w:eastAsia="仿宋"/>
          <w:b/>
          <w:bCs/>
          <w:sz w:val="28"/>
          <w:szCs w:val="28"/>
          <w:highlight w:val="none"/>
        </w:rPr>
        <w:t xml:space="preserve">市政公用工程</w:t>
      </w:r>
      <w:r>
        <w:rPr>
          <w:rFonts w:hint="eastAsia" w:ascii="仿宋" w:hAnsi="仿宋" w:eastAsia="仿宋"/>
          <w:sz w:val="28"/>
          <w:szCs w:val="28"/>
          <w:highlight w:val="none"/>
        </w:rPr>
        <w:t xml:space="preserve">施工总承包</w:t>
      </w:r>
      <w:r>
        <w:rPr>
          <w:rFonts w:hint="eastAsia" w:ascii="仿宋" w:hAnsi="仿宋" w:eastAsia="仿宋"/>
          <w:b/>
          <w:bCs/>
          <w:sz w:val="28"/>
          <w:szCs w:val="28"/>
          <w:highlight w:val="none"/>
        </w:rPr>
        <w:t xml:space="preserve">叁级及以上</w:t>
      </w:r>
      <w:r>
        <w:rPr>
          <w:rFonts w:hint="eastAsia" w:ascii="仿宋" w:hAnsi="仿宋" w:eastAsia="仿宋"/>
          <w:sz w:val="28"/>
          <w:szCs w:val="28"/>
          <w:highlight w:val="none"/>
        </w:rPr>
        <w:t xml:space="preserve">资质；具备有效的安全生产许可证。</w:t>
      </w:r>
      <w:r/>
    </w:p>
    <w:p>
      <w:pPr>
        <w:pStyle w:val="664"/>
        <w:ind w:firstLine="567"/>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iCs/>
          <w:sz w:val="28"/>
          <w:szCs w:val="28"/>
          <w:highlight w:val="none"/>
        </w:rPr>
        <w:t xml:space="preserve">（二）响应供应商拟派项目负责人须具有建设工程类（道路或桥梁）专业</w:t>
      </w:r>
      <w:r>
        <w:rPr>
          <w:rFonts w:hint="eastAsia" w:ascii="仿宋" w:hAnsi="仿宋" w:eastAsia="仿宋"/>
          <w:b/>
          <w:bCs/>
          <w:iCs/>
          <w:sz w:val="28"/>
          <w:szCs w:val="28"/>
          <w:highlight w:val="none"/>
        </w:rPr>
        <w:t xml:space="preserve">中级及以上职称</w:t>
      </w:r>
      <w:r>
        <w:rPr>
          <w:rFonts w:hint="eastAsia" w:ascii="仿宋" w:hAnsi="仿宋" w:eastAsia="仿宋"/>
          <w:iCs/>
          <w:sz w:val="28"/>
          <w:szCs w:val="28"/>
          <w:highlight w:val="none"/>
        </w:rPr>
        <w:t xml:space="preserve">、</w:t>
      </w:r>
      <w:r>
        <w:rPr>
          <w:rFonts w:hint="eastAsia" w:ascii="仿宋" w:hAnsi="仿宋" w:eastAsia="仿宋"/>
          <w:b/>
          <w:bCs/>
          <w:iCs/>
          <w:sz w:val="28"/>
          <w:szCs w:val="28"/>
          <w:highlight w:val="none"/>
        </w:rPr>
        <w:t xml:space="preserve">市政公用工程专业二级及以上注册建造师证书</w:t>
      </w:r>
      <w:r>
        <w:rPr>
          <w:rFonts w:hint="eastAsia" w:ascii="仿宋" w:hAnsi="仿宋" w:eastAsia="仿宋"/>
          <w:iCs/>
          <w:sz w:val="28"/>
          <w:szCs w:val="28"/>
          <w:highlight w:val="none"/>
        </w:rPr>
        <w:t xml:space="preserve">和有效的</w:t>
      </w:r>
      <w:r>
        <w:rPr>
          <w:rFonts w:hint="eastAsia" w:ascii="仿宋" w:hAnsi="仿宋" w:eastAsia="仿宋"/>
          <w:b/>
          <w:bCs/>
          <w:iCs/>
          <w:sz w:val="28"/>
          <w:szCs w:val="28"/>
          <w:highlight w:val="none"/>
        </w:rPr>
        <w:t xml:space="preserve">安全生产考核合格证（B证）</w:t>
      </w:r>
      <w:r>
        <w:rPr>
          <w:rFonts w:hint="eastAsia" w:ascii="仿宋" w:hAnsi="仿宋" w:eastAsia="仿宋"/>
          <w:iCs/>
          <w:sz w:val="28"/>
          <w:szCs w:val="28"/>
          <w:highlight w:val="none"/>
        </w:rPr>
        <w:t xml:space="preserve">。</w:t>
      </w:r>
      <w:r/>
    </w:p>
    <w:p>
      <w:pPr>
        <w:pStyle w:val="664"/>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7"/>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宋体"/>
          <w:color w:val="000000"/>
          <w:sz w:val="28"/>
          <w:szCs w:val="28"/>
          <w:highlight w:val="none"/>
        </w:rPr>
        <w:t xml:space="preserve">本公告发布之日起20日内。</w:t>
      </w:r>
      <w:r/>
    </w:p>
    <w:p>
      <w:pPr>
        <w:ind w:firstLine="600"/>
        <w:spacing w:line="360"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spacing w:line="360" w:lineRule="atLeast"/>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657"/>
        <w:ind w:firstLine="560"/>
        <w:spacing w:after="0" w:line="500" w:lineRule="exact"/>
        <w:rPr>
          <w:rFonts w:ascii="黑体" w:hAnsi="黑体" w:eastAsia="黑体"/>
          <w:sz w:val="28"/>
          <w:szCs w:val="28"/>
          <w:highlight w:val="none"/>
        </w:rPr>
      </w:pPr>
      <w:r/>
      <w:bookmarkStart w:id="13" w:name="_Toc28359092"/>
      <w:r/>
      <w:bookmarkStart w:id="14" w:name="_Toc35393801"/>
      <w:r/>
      <w:bookmarkStart w:id="15" w:name="_Toc35393632"/>
      <w:r/>
      <w:bookmarkStart w:id="16" w:name="_Toc28359015"/>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3</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30</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w:t>
      </w:r>
      <w:r>
        <w:rPr>
          <w:rFonts w:hint="eastAsia" w:ascii="仿宋" w:hAnsi="仿宋" w:eastAsia="仿宋"/>
          <w:bCs/>
          <w:sz w:val="28"/>
          <w:szCs w:val="28"/>
          <w:highlight w:val="none"/>
        </w:rPr>
        <w:t xml:space="preserve">《江苏省政府采购管理交易系统（苏采云）供应商操作指南》</w:t>
      </w:r>
      <w:r>
        <w:rPr>
          <w:rFonts w:hint="eastAsia"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3</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30</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657"/>
        <w:ind w:firstLine="560"/>
        <w:spacing w:after="0" w:line="500" w:lineRule="exact"/>
        <w:rPr>
          <w:rFonts w:ascii="黑体" w:hAnsi="黑体" w:eastAsia="黑体"/>
          <w:sz w:val="28"/>
          <w:szCs w:val="28"/>
          <w:highlight w:val="none"/>
        </w:rPr>
      </w:pPr>
      <w:r/>
      <w:bookmarkStart w:id="17" w:name="_Toc28359094"/>
      <w:r/>
      <w:bookmarkStart w:id="18" w:name="_Toc35393803"/>
      <w:r/>
      <w:bookmarkStart w:id="19" w:name="_Toc35393634"/>
      <w:r/>
      <w:bookmarkStart w:id="20" w:name="_Toc28359017"/>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657"/>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667"/>
          <w:rFonts w:ascii="仿宋" w:hAnsi="仿宋" w:eastAsia="仿宋" w:cs="宋体"/>
          <w:bCs/>
          <w:sz w:val="28"/>
          <w:szCs w:val="28"/>
          <w:highlight w:val="none"/>
        </w:rPr>
        <w:t xml:space="preserve">http://jsxcmm.com/help/gys.html</w:t>
      </w:r>
      <w:r>
        <w:rPr>
          <w:rStyle w:val="667"/>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2.（1）</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lang w:eastAsia="zh-CN"/>
        </w:rPr>
        <w:t xml:space="preserve">：</w:t>
      </w:r>
      <w:r>
        <w:rPr>
          <w:rFonts w:ascii="仿宋" w:hAnsi="仿宋" w:eastAsia="仿宋" w:cs="宋体"/>
          <w:sz w:val="28"/>
          <w:szCs w:val="28"/>
          <w:highlight w:val="none"/>
        </w:rPr>
        <w:t xml:space="preserve">免收</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w:t>
      </w:r>
      <w:r>
        <w:rPr>
          <w:rFonts w:hint="eastAsia" w:ascii="仿宋" w:hAnsi="仿宋" w:eastAsia="仿宋" w:cs="宋体"/>
          <w:sz w:val="28"/>
          <w:szCs w:val="28"/>
          <w:highlight w:val="none"/>
        </w:rPr>
        <w:t xml:space="preserve">履约保证金：中标人按照成交金额10%向采购单位缴纳履约保证金。</w:t>
      </w:r>
      <w:r/>
    </w:p>
    <w:p>
      <w:pPr>
        <w:pStyle w:val="657"/>
        <w:ind w:firstLine="560"/>
        <w:spacing w:after="0" w:line="500" w:lineRule="exact"/>
        <w:rPr>
          <w:rFonts w:ascii="黑体" w:hAnsi="黑体" w:cs="宋体"/>
          <w:b/>
          <w:sz w:val="28"/>
          <w:szCs w:val="28"/>
          <w:highlight w:val="none"/>
        </w:rPr>
      </w:pPr>
      <w:r/>
      <w:bookmarkStart w:id="23" w:name="_Toc35393636"/>
      <w:r/>
      <w:bookmarkStart w:id="24" w:name="_Toc35393805"/>
      <w:r/>
      <w:bookmarkStart w:id="25" w:name="_Toc28359018"/>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28359096"/>
      <w:r/>
      <w:bookmarkStart w:id="28" w:name="_Toc35393806"/>
      <w:r/>
      <w:bookmarkStart w:id="29" w:name="_Toc28359019"/>
      <w:r/>
      <w:bookmarkStart w:id="30" w:name="_Toc35393637"/>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cs="Times New Roman"/>
          <w:sz w:val="28"/>
          <w:szCs w:val="28"/>
          <w:highlight w:val="none"/>
          <w:lang w:val="en-US" w:eastAsia="zh-CN"/>
        </w:rPr>
      </w:pPr>
      <w:r/>
      <w:bookmarkStart w:id="31" w:name="_Toc28359020"/>
      <w:r/>
      <w:bookmarkStart w:id="32" w:name="_Toc35393807"/>
      <w:r/>
      <w:bookmarkStart w:id="33" w:name="_Toc35393638"/>
      <w:r/>
      <w:bookmarkStart w:id="34" w:name="_Toc28359097"/>
      <w:r>
        <w:rPr>
          <w:rFonts w:hint="eastAsia" w:ascii="仿宋" w:hAnsi="仿宋" w:eastAsia="仿宋" w:cs="Times New Roman"/>
          <w:sz w:val="28"/>
          <w:szCs w:val="28"/>
          <w:highlight w:val="none"/>
        </w:rPr>
        <w:t xml:space="preserve">名    称：</w:t>
      </w:r>
      <w:r>
        <w:rPr>
          <w:rFonts w:hint="eastAsia" w:ascii="仿宋" w:hAnsi="仿宋" w:eastAsia="仿宋" w:cs="Times New Roman"/>
          <w:sz w:val="28"/>
          <w:szCs w:val="28"/>
          <w:highlight w:val="none"/>
          <w:lang w:val="en-US" w:eastAsia="zh-CN"/>
        </w:rPr>
        <w:t xml:space="preserve">如皋经济技术开发区管理委员会</w:t>
      </w:r>
      <w:r/>
    </w:p>
    <w:p>
      <w:pPr>
        <w:ind w:left="1338" w:firstLine="77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（如皋市人民政府城北街道办事处）</w:t>
      </w:r>
      <w:r/>
    </w:p>
    <w:p>
      <w:pPr>
        <w:ind w:left="1129" w:hanging="35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    址：如皋经济技术开发区时代大厦</w:t>
      </w:r>
      <w:r/>
    </w:p>
    <w:p>
      <w:pPr>
        <w:ind w:left="1129" w:hanging="35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项目经办人姓名：王先生</w:t>
      </w:r>
      <w:r/>
    </w:p>
    <w:p>
      <w:pPr>
        <w:ind w:left="1129" w:hanging="35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项目经办人联系方式：0513—68778414</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left="1129" w:hanging="35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名    称：江苏皋诚工程项目管理有限公司</w:t>
      </w:r>
      <w:r/>
    </w:p>
    <w:p>
      <w:pPr>
        <w:ind w:left="1129" w:hanging="35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　　址：如皋市如城街道东皋新村818号</w:t>
      </w:r>
      <w:r>
        <w:rPr>
          <w:rFonts w:hint="eastAsia" w:ascii="仿宋" w:hAnsi="仿宋" w:eastAsia="仿宋" w:cs="仿宋"/>
          <w:sz w:val="28"/>
          <w:szCs w:val="28"/>
          <w:highlight w:val="none"/>
          <w:lang w:val="en-US" w:eastAsia="zh-CN"/>
        </w:rPr>
        <w:t xml:space="preserve">楼</w:t>
      </w:r>
      <w:r>
        <w:rPr>
          <w:rFonts w:hint="eastAsia" w:ascii="仿宋" w:hAnsi="仿宋" w:eastAsia="仿宋" w:cs="仿宋"/>
          <w:sz w:val="28"/>
          <w:szCs w:val="28"/>
          <w:highlight w:val="none"/>
        </w:rPr>
        <w:t xml:space="preserve">4楼</w:t>
      </w:r>
      <w:r/>
    </w:p>
    <w:p>
      <w:pPr>
        <w:ind w:left="1129" w:hanging="35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项目经办人姓名：张培</w:t>
      </w:r>
      <w:r/>
    </w:p>
    <w:p>
      <w:pPr>
        <w:ind w:firstLine="840"/>
        <w:spacing w:line="5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项目经办人联系方式：0513-87711157；18795768017</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1.南通市政府采购线上合同信用融资政策告知函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第2章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5" w:name="_Hlt26668969"/>
      <w:r/>
      <w:bookmarkEnd w:id="35"/>
      <w:r/>
      <w:bookmarkStart w:id="36" w:name="_Hlt26670348"/>
      <w:r/>
      <w:bookmarkEnd w:id="36"/>
      <w:r/>
      <w:bookmarkStart w:id="37" w:name="_Hlt26670345"/>
      <w:r/>
      <w:bookmarkEnd w:id="37"/>
      <w:r/>
      <w:bookmarkStart w:id="38" w:name="_Hlt26670354"/>
      <w:r/>
      <w:bookmarkEnd w:id="38"/>
      <w:r/>
      <w:bookmarkStart w:id="39" w:name="_Hlt26954832"/>
      <w:r/>
      <w:bookmarkEnd w:id="39"/>
      <w:r/>
      <w:bookmarkStart w:id="40" w:name="_Hlt26954830"/>
      <w:r/>
      <w:bookmarkEnd w:id="40"/>
      <w:r/>
      <w:bookmarkStart w:id="41" w:name="_Hlt26954828"/>
      <w:r/>
      <w:bookmarkEnd w:id="41"/>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具体按照“第6章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供应商可在投标文件提交截止时间前，撤回其电子投标文件，具体操作方法见《江苏省政府采购管理交易系统（苏采云）供应商操作指南》。供应商撤回电子投标文件的，则认为其不再参与本项目招标活动。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5.14出现下列情形之一的，评标委员会应当启动异常低价投标审查程序： </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5.14.1.投标报价低于全部通过符合性审查供应商投标报价平均值50%的，即投标报价&lt;全部通过符合性审查供应商投标报价平均值×50%；</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5.14.2.投标报价低于通过符合性审查的次低报价供应商投标报价50%的，即投标报价&lt;通过符合性审查的次低报价供应商投标报价×50%；</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5.14.3.投标报价低于采购项目最高限价45%的，即投标报价&lt;采购项目最高限价×45%；</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委员会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highlight w:val="none"/>
        </w:rPr>
      </w:pPr>
      <w:r>
        <w:rPr>
          <w:rFonts w:hint="eastAsia" w:ascii="仿宋" w:hAnsi="仿宋" w:eastAsia="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bookmarkEnd w:id="4"/>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11. 采购代理服务费</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11.1 采购代理服务费收取标准：</w:t>
      </w:r>
      <w:r>
        <w:rPr>
          <w:rFonts w:hint="eastAsia" w:ascii="仿宋" w:hAnsi="仿宋" w:eastAsia="仿宋" w:cs="仿宋"/>
          <w:sz w:val="28"/>
          <w:szCs w:val="28"/>
          <w:highlight w:val="none"/>
        </w:rPr>
        <w:t xml:space="preserve">本项目采购代理服务费以预算价*2为基数，采用差额定率累进法（50万元(含)以下部分，费率1.6%；50万元~400万元（含）部分，费率为1.5%；400万元~1000万元（含）部分，费率1.1%；1000万元~5000万元（含）部分，费率为0.8%）分段计算后汇总，不足伍仟元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11.3 </w:t>
      </w:r>
      <w:r>
        <w:rPr>
          <w:rFonts w:hint="eastAsia" w:ascii="仿宋" w:hAnsi="仿宋" w:eastAsia="仿宋" w:cs="仿宋"/>
          <w:sz w:val="28"/>
          <w:szCs w:val="28"/>
          <w:highlight w:val="none"/>
        </w:rPr>
        <w:t xml:space="preserve">采购代理机构账户信息：</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1）缴纳户名：江苏皋诚工程项目管理有限公司</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2）开户行：中国工商银行如皋北大街分理处</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3）账号：1111273009100237090</w:t>
      </w:r>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第3章 采购需求</w:t>
      </w:r>
      <w:r/>
    </w:p>
    <w:p>
      <w:pPr>
        <w:ind w:firstLine="562"/>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如皋市城北街道市政道路养护维修工程(2026年度)项目，城北街道(含城区、及何庄、袁桥、戴庄、柴湾等老镇区)市政道路、桥梁需进行零星维修养护。</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城北街道(含城区、及何庄、袁桥、戴庄、柴湾等老镇区)市政道路、桥梁需进行零星维修养护，现对50万元</w:t>
      </w:r>
      <w:r>
        <w:rPr>
          <w:rFonts w:hint="eastAsia" w:ascii="仿宋" w:hAnsi="仿宋" w:eastAsia="仿宋"/>
          <w:sz w:val="28"/>
          <w:szCs w:val="28"/>
          <w:highlight w:val="none"/>
          <w:lang w:val="en-US" w:eastAsia="zh-CN"/>
        </w:rPr>
        <w:t xml:space="preserve">以下</w:t>
      </w:r>
      <w:r>
        <w:rPr>
          <w:rFonts w:hint="eastAsia" w:ascii="仿宋" w:hAnsi="仿宋" w:eastAsia="仿宋"/>
          <w:sz w:val="28"/>
          <w:szCs w:val="28"/>
          <w:highlight w:val="none"/>
        </w:rPr>
        <w:t xml:space="preserve">的零星工程采用下浮率进行集中采购。承包人根据发包人的维修通知单进行实施，维修及养护内容包含：道路（含地下管道等)各种病害处理、交通设施、应急抢险、道路病害普查、桥梁巡查，应急抢险等突发事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三、服务要求</w:t>
      </w:r>
      <w:r/>
    </w:p>
    <w:p>
      <w:pPr>
        <w:ind w:firstLine="482"/>
        <w:spacing w:line="500" w:lineRule="exact"/>
        <w:tabs>
          <w:tab w:val="left" w:pos="0" w:leader="none"/>
        </w:tabs>
        <w:rPr>
          <w:rFonts w:ascii="仿宋" w:hAnsi="仿宋" w:eastAsia="仿宋" w:cs="仿宋"/>
          <w:sz w:val="28"/>
          <w:szCs w:val="28"/>
          <w:highlight w:val="none"/>
        </w:rPr>
      </w:pPr>
      <w:r>
        <w:rPr>
          <w:rFonts w:hint="eastAsia" w:ascii="仿宋" w:hAnsi="仿宋" w:eastAsia="仿宋" w:cs="仿宋"/>
          <w:b/>
          <w:bCs/>
          <w:sz w:val="28"/>
          <w:szCs w:val="28"/>
          <w:highlight w:val="none"/>
        </w:rPr>
        <w:t xml:space="preserve">（一）场所及基本要求</w:t>
      </w:r>
      <w:r/>
    </w:p>
    <w:p>
      <w:pPr>
        <w:ind w:firstLine="480"/>
        <w:spacing w:line="500" w:lineRule="exact"/>
        <w:tabs>
          <w:tab w:val="left" w:pos="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在养护范围内或周边3公里范围内有固定的办公场所、仓库和堆场场地，配备足够的交通标牌和临时围挡设施。面积不少于400平方米。</w:t>
      </w:r>
      <w:r>
        <w:rPr>
          <w:rFonts w:hint="eastAsia" w:ascii="仿宋" w:hAnsi="仿宋" w:eastAsia="仿宋" w:cs="仿宋"/>
          <w:b/>
          <w:bCs/>
          <w:sz w:val="28"/>
          <w:szCs w:val="28"/>
          <w:highlight w:val="none"/>
        </w:rPr>
        <w:t xml:space="preserve">须提供承诺书，格式自拟。</w:t>
      </w:r>
      <w:r/>
    </w:p>
    <w:p>
      <w:pPr>
        <w:ind w:firstLine="482"/>
        <w:spacing w:line="500" w:lineRule="exact"/>
        <w:tabs>
          <w:tab w:val="left" w:pos="0" w:leader="none"/>
        </w:tabs>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（二）基本人员配备要求</w:t>
      </w:r>
      <w:r/>
    </w:p>
    <w:tbl>
      <w:tblPr>
        <w:tblStyle w:val="689"/>
        <w:tblW w:w="9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2135"/>
        <w:gridCol w:w="1526"/>
        <w:gridCol w:w="4813"/>
      </w:tblGrid>
      <w:tr>
        <w:trPr>
          <w:jc w:val="center"/>
          <w:trHeight w:val="409"/>
        </w:trPr>
        <w:tc>
          <w:tcPr>
            <w:tcW w:w="700" w:type="dxa"/>
            <w:vAlign w:val="center"/>
            <w:textDirection w:val="lrTb"/>
            <w:noWrap/>
          </w:tcPr>
          <w:p>
            <w:pPr>
              <w:ind w:left="116"/>
              <w:spacing w:before="120" w:line="500" w:lineRule="exact"/>
              <w:rPr>
                <w:rFonts w:ascii="仿宋" w:hAnsi="仿宋" w:eastAsia="仿宋" w:cs="仿宋"/>
                <w:b/>
                <w:bCs/>
                <w:sz w:val="28"/>
                <w:szCs w:val="28"/>
                <w:highlight w:val="none"/>
              </w:rPr>
              <w:outlineLvl w:val="1"/>
            </w:pPr>
            <w:r>
              <w:rPr>
                <w:rFonts w:hint="eastAsia" w:ascii="仿宋" w:hAnsi="仿宋" w:eastAsia="仿宋" w:cs="仿宋"/>
                <w:b/>
                <w:bCs/>
                <w:spacing w:val="-5"/>
                <w:sz w:val="28"/>
                <w:szCs w:val="28"/>
                <w:highlight w:val="none"/>
              </w:rPr>
              <w:t xml:space="preserve">序号</w:t>
            </w:r>
            <w:r/>
          </w:p>
        </w:tc>
        <w:tc>
          <w:tcPr>
            <w:tcW w:w="2135" w:type="dxa"/>
            <w:vAlign w:val="center"/>
            <w:textDirection w:val="lrTb"/>
            <w:noWrap/>
          </w:tcPr>
          <w:p>
            <w:pPr>
              <w:ind w:left="836"/>
              <w:spacing w:before="120" w:line="500" w:lineRule="exact"/>
              <w:rPr>
                <w:rFonts w:ascii="仿宋" w:hAnsi="仿宋" w:eastAsia="仿宋" w:cs="仿宋"/>
                <w:b/>
                <w:bCs/>
                <w:sz w:val="28"/>
                <w:szCs w:val="28"/>
                <w:highlight w:val="none"/>
              </w:rPr>
              <w:outlineLvl w:val="1"/>
            </w:pPr>
            <w:r>
              <w:rPr>
                <w:rFonts w:hint="eastAsia" w:ascii="仿宋" w:hAnsi="仿宋" w:eastAsia="仿宋" w:cs="仿宋"/>
                <w:b/>
                <w:bCs/>
                <w:spacing w:val="-7"/>
                <w:sz w:val="28"/>
                <w:szCs w:val="28"/>
                <w:highlight w:val="none"/>
              </w:rPr>
              <w:t xml:space="preserve">名称</w:t>
            </w:r>
            <w:r/>
          </w:p>
        </w:tc>
        <w:tc>
          <w:tcPr>
            <w:tcW w:w="1526" w:type="dxa"/>
            <w:vAlign w:val="center"/>
            <w:textDirection w:val="lrTb"/>
            <w:noWrap/>
          </w:tcPr>
          <w:p>
            <w:pPr>
              <w:ind w:left="207"/>
              <w:spacing w:before="120" w:line="500" w:lineRule="exact"/>
              <w:rPr>
                <w:rFonts w:ascii="仿宋" w:hAnsi="仿宋" w:eastAsia="仿宋" w:cs="仿宋"/>
                <w:b/>
                <w:bCs/>
                <w:sz w:val="28"/>
                <w:szCs w:val="28"/>
                <w:highlight w:val="none"/>
              </w:rPr>
              <w:outlineLvl w:val="1"/>
            </w:pPr>
            <w:r>
              <w:rPr>
                <w:rFonts w:hint="eastAsia" w:ascii="仿宋" w:hAnsi="仿宋" w:eastAsia="仿宋" w:cs="仿宋"/>
                <w:b/>
                <w:bCs/>
                <w:spacing w:val="-6"/>
                <w:sz w:val="28"/>
                <w:szCs w:val="28"/>
                <w:highlight w:val="none"/>
              </w:rPr>
              <w:t xml:space="preserve">人数</w:t>
            </w:r>
            <w:r/>
          </w:p>
        </w:tc>
        <w:tc>
          <w:tcPr>
            <w:tcW w:w="4813" w:type="dxa"/>
            <w:vAlign w:val="center"/>
            <w:textDirection w:val="lrTb"/>
            <w:noWrap/>
          </w:tcPr>
          <w:p>
            <w:pPr>
              <w:ind w:left="2496"/>
              <w:spacing w:before="120" w:line="500" w:lineRule="exact"/>
              <w:rPr>
                <w:rFonts w:ascii="仿宋" w:hAnsi="仿宋" w:eastAsia="仿宋" w:cs="仿宋"/>
                <w:b/>
                <w:bCs/>
                <w:sz w:val="28"/>
                <w:szCs w:val="28"/>
                <w:highlight w:val="none"/>
              </w:rPr>
              <w:outlineLvl w:val="1"/>
            </w:pPr>
            <w:r>
              <w:rPr>
                <w:rFonts w:hint="eastAsia" w:ascii="仿宋" w:hAnsi="仿宋" w:eastAsia="仿宋" w:cs="仿宋"/>
                <w:b/>
                <w:bCs/>
                <w:spacing w:val="-6"/>
                <w:sz w:val="28"/>
                <w:szCs w:val="28"/>
                <w:highlight w:val="none"/>
              </w:rPr>
              <w:t xml:space="preserve">要求</w:t>
            </w:r>
            <w:r/>
          </w:p>
        </w:tc>
      </w:tr>
      <w:tr>
        <w:trPr>
          <w:jc w:val="center"/>
          <w:trHeight w:val="1204"/>
        </w:trPr>
        <w:tc>
          <w:tcPr>
            <w:tcW w:w="700" w:type="dxa"/>
            <w:vAlign w:val="center"/>
            <w:textDirection w:val="lrTb"/>
            <w:noWrap/>
          </w:tcPr>
          <w:p>
            <w:pPr>
              <w:ind w:left="314"/>
              <w:spacing w:before="78"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2135" w:type="dxa"/>
            <w:vAlign w:val="center"/>
            <w:textDirection w:val="lrTb"/>
            <w:noWrap/>
          </w:tcPr>
          <w:p>
            <w:pPr>
              <w:ind w:left="477"/>
              <w:spacing w:before="78" w:line="500" w:lineRule="exact"/>
              <w:rPr>
                <w:rFonts w:ascii="仿宋" w:hAnsi="仿宋" w:eastAsia="仿宋" w:cs="仿宋"/>
                <w:sz w:val="28"/>
                <w:szCs w:val="28"/>
                <w:highlight w:val="none"/>
              </w:rPr>
              <w:outlineLvl w:val="1"/>
            </w:pPr>
            <w:r>
              <w:rPr>
                <w:rFonts w:hint="eastAsia" w:ascii="仿宋" w:hAnsi="仿宋" w:eastAsia="仿宋" w:cs="仿宋"/>
                <w:spacing w:val="-3"/>
                <w:sz w:val="28"/>
                <w:szCs w:val="28"/>
                <w:highlight w:val="none"/>
              </w:rPr>
              <w:t xml:space="preserve">项目负责人</w:t>
            </w:r>
            <w:r/>
          </w:p>
        </w:tc>
        <w:tc>
          <w:tcPr>
            <w:tcW w:w="1526" w:type="dxa"/>
            <w:vAlign w:val="center"/>
            <w:textDirection w:val="lrTb"/>
            <w:noWrap/>
          </w:tcPr>
          <w:p>
            <w:pPr>
              <w:ind w:left="251"/>
              <w:spacing w:before="78" w:line="500" w:lineRule="exact"/>
              <w:rPr>
                <w:rFonts w:ascii="仿宋" w:hAnsi="仿宋" w:eastAsia="仿宋" w:cs="仿宋"/>
                <w:sz w:val="28"/>
                <w:szCs w:val="28"/>
                <w:highlight w:val="none"/>
              </w:rPr>
              <w:outlineLvl w:val="1"/>
            </w:pPr>
            <w:r>
              <w:rPr>
                <w:rFonts w:hint="eastAsia" w:ascii="仿宋" w:hAnsi="仿宋" w:eastAsia="仿宋" w:cs="仿宋"/>
                <w:spacing w:val="-14"/>
                <w:sz w:val="28"/>
                <w:szCs w:val="28"/>
                <w:highlight w:val="none"/>
              </w:rPr>
              <w:t xml:space="preserve">1人</w:t>
            </w:r>
            <w:r/>
          </w:p>
        </w:tc>
        <w:tc>
          <w:tcPr>
            <w:tcW w:w="4813" w:type="dxa"/>
            <w:vAlign w:val="center"/>
            <w:textDirection w:val="lrTb"/>
            <w:noWrap/>
          </w:tcPr>
          <w:p>
            <w:pPr>
              <w:ind w:right="106"/>
              <w:jc w:val="center"/>
              <w:spacing w:before="113" w:line="500" w:lineRule="exact"/>
              <w:rPr>
                <w:rFonts w:ascii="仿宋" w:hAnsi="仿宋" w:eastAsia="仿宋" w:cs="仿宋"/>
                <w:sz w:val="28"/>
                <w:szCs w:val="28"/>
                <w:highlight w:val="none"/>
              </w:rPr>
            </w:pPr>
            <w:r>
              <w:rPr>
                <w:rFonts w:hint="eastAsia" w:ascii="仿宋" w:hAnsi="仿宋" w:eastAsia="仿宋" w:cs="仿宋"/>
                <w:spacing w:val="-3"/>
                <w:sz w:val="28"/>
                <w:szCs w:val="28"/>
                <w:highlight w:val="none"/>
              </w:rPr>
              <w:t xml:space="preserve">须具有建设工程类</w:t>
            </w:r>
            <w:r>
              <w:rPr>
                <w:rFonts w:hint="eastAsia" w:ascii="仿宋" w:hAnsi="仿宋" w:eastAsia="仿宋" w:cs="仿宋"/>
                <w:sz w:val="28"/>
                <w:szCs w:val="28"/>
                <w:highlight w:val="none"/>
              </w:rPr>
              <w:t xml:space="preserve">（道路或桥梁）专业中级</w:t>
            </w:r>
            <w:r>
              <w:rPr>
                <w:rFonts w:hint="eastAsia" w:ascii="仿宋" w:hAnsi="仿宋" w:eastAsia="仿宋" w:cs="仿宋"/>
                <w:spacing w:val="-3"/>
                <w:sz w:val="28"/>
                <w:szCs w:val="28"/>
                <w:highlight w:val="none"/>
              </w:rPr>
              <w:t xml:space="preserve">及以上职称、市政公用工程专业二级及</w:t>
            </w:r>
            <w:r>
              <w:rPr>
                <w:rFonts w:hint="eastAsia" w:ascii="仿宋" w:hAnsi="仿宋" w:eastAsia="仿宋" w:cs="仿宋"/>
                <w:spacing w:val="9"/>
                <w:sz w:val="28"/>
                <w:szCs w:val="28"/>
                <w:highlight w:val="none"/>
              </w:rPr>
              <w:t xml:space="preserve">以上注册建造师证书和有效的安全生产考核合格</w:t>
            </w:r>
            <w:r>
              <w:rPr>
                <w:rFonts w:hint="eastAsia" w:ascii="仿宋" w:hAnsi="仿宋" w:eastAsia="仿宋" w:cs="仿宋"/>
                <w:spacing w:val="-4"/>
                <w:sz w:val="28"/>
                <w:szCs w:val="28"/>
                <w:highlight w:val="none"/>
              </w:rPr>
              <w:t xml:space="preserve">证（B证）</w:t>
            </w:r>
            <w:r/>
          </w:p>
        </w:tc>
      </w:tr>
      <w:tr>
        <w:trPr>
          <w:jc w:val="center"/>
          <w:trHeight w:val="599"/>
        </w:trPr>
        <w:tc>
          <w:tcPr>
            <w:tcW w:w="700" w:type="dxa"/>
            <w:vAlign w:val="center"/>
            <w:textDirection w:val="lrTb"/>
            <w:noWrap/>
          </w:tcPr>
          <w:p>
            <w:pPr>
              <w:ind w:left="300"/>
              <w:spacing w:before="78"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2135" w:type="dxa"/>
            <w:vAlign w:val="center"/>
            <w:textDirection w:val="lrTb"/>
            <w:noWrap/>
          </w:tcPr>
          <w:p>
            <w:pPr>
              <w:jc w:val="center"/>
              <w:spacing w:before="317" w:line="500" w:lineRule="exact"/>
              <w:rPr>
                <w:rFonts w:ascii="仿宋" w:hAnsi="仿宋" w:eastAsia="仿宋" w:cs="仿宋"/>
                <w:sz w:val="28"/>
                <w:szCs w:val="28"/>
                <w:highlight w:val="none"/>
              </w:rPr>
              <w:outlineLvl w:val="1"/>
            </w:pPr>
            <w:r>
              <w:rPr>
                <w:rFonts w:hint="eastAsia" w:ascii="仿宋" w:hAnsi="仿宋" w:eastAsia="仿宋" w:cs="仿宋"/>
                <w:spacing w:val="-3"/>
                <w:sz w:val="28"/>
                <w:szCs w:val="28"/>
                <w:highlight w:val="none"/>
              </w:rPr>
              <w:t xml:space="preserve">技术负责人</w:t>
            </w:r>
            <w:r/>
          </w:p>
        </w:tc>
        <w:tc>
          <w:tcPr>
            <w:tcW w:w="1526" w:type="dxa"/>
            <w:vAlign w:val="center"/>
            <w:textDirection w:val="lrTb"/>
            <w:noWrap/>
          </w:tcPr>
          <w:p>
            <w:pPr>
              <w:ind w:left="237"/>
              <w:spacing w:before="316" w:line="500" w:lineRule="exact"/>
              <w:rPr>
                <w:rFonts w:ascii="仿宋" w:hAnsi="仿宋" w:eastAsia="仿宋" w:cs="仿宋"/>
                <w:sz w:val="28"/>
                <w:szCs w:val="28"/>
                <w:highlight w:val="none"/>
              </w:rPr>
              <w:outlineLvl w:val="1"/>
            </w:pPr>
            <w:r>
              <w:rPr>
                <w:rFonts w:hint="eastAsia" w:ascii="仿宋" w:hAnsi="仿宋" w:eastAsia="仿宋" w:cs="仿宋"/>
                <w:spacing w:val="-7"/>
                <w:sz w:val="28"/>
                <w:szCs w:val="28"/>
                <w:highlight w:val="none"/>
              </w:rPr>
              <w:t xml:space="preserve">1人</w:t>
            </w:r>
            <w:r/>
          </w:p>
        </w:tc>
        <w:tc>
          <w:tcPr>
            <w:tcW w:w="4813" w:type="dxa"/>
            <w:vAlign w:val="center"/>
            <w:textDirection w:val="lrTb"/>
            <w:noWrap/>
          </w:tcPr>
          <w:p>
            <w:pPr>
              <w:jc w:val="center"/>
              <w:spacing w:before="117" w:line="500" w:lineRule="exact"/>
              <w:rPr>
                <w:rFonts w:ascii="仿宋" w:hAnsi="仿宋" w:eastAsia="仿宋" w:cs="仿宋"/>
                <w:sz w:val="28"/>
                <w:szCs w:val="28"/>
                <w:highlight w:val="none"/>
              </w:rPr>
              <w:outlineLvl w:val="1"/>
            </w:pPr>
            <w:r>
              <w:rPr>
                <w:rFonts w:hint="eastAsia" w:ascii="仿宋" w:hAnsi="仿宋" w:eastAsia="仿宋" w:cs="仿宋"/>
                <w:spacing w:val="-4"/>
                <w:sz w:val="28"/>
                <w:szCs w:val="28"/>
                <w:highlight w:val="none"/>
              </w:rPr>
              <w:t xml:space="preserve">须具有</w:t>
            </w:r>
            <w:r>
              <w:rPr>
                <w:rFonts w:hint="eastAsia" w:ascii="仿宋" w:hAnsi="仿宋" w:eastAsia="仿宋" w:cs="仿宋"/>
                <w:spacing w:val="-3"/>
                <w:sz w:val="28"/>
                <w:szCs w:val="28"/>
                <w:highlight w:val="none"/>
              </w:rPr>
              <w:t xml:space="preserve">建设工程类</w:t>
            </w:r>
            <w:r>
              <w:rPr>
                <w:rFonts w:hint="eastAsia" w:ascii="仿宋" w:hAnsi="仿宋" w:eastAsia="仿宋" w:cs="仿宋"/>
                <w:sz w:val="28"/>
                <w:szCs w:val="28"/>
                <w:highlight w:val="none"/>
              </w:rPr>
              <w:t xml:space="preserve">（道路或桥梁）</w:t>
            </w:r>
            <w:r>
              <w:rPr>
                <w:rFonts w:hint="eastAsia" w:ascii="仿宋" w:hAnsi="仿宋" w:eastAsia="仿宋" w:cs="仿宋"/>
                <w:spacing w:val="-4"/>
                <w:sz w:val="28"/>
                <w:szCs w:val="28"/>
                <w:highlight w:val="none"/>
              </w:rPr>
              <w:t xml:space="preserve">高级职称</w:t>
            </w:r>
            <w:r/>
          </w:p>
        </w:tc>
      </w:tr>
      <w:tr>
        <w:trPr>
          <w:jc w:val="center"/>
          <w:trHeight w:val="804"/>
        </w:trPr>
        <w:tc>
          <w:tcPr>
            <w:tcW w:w="700" w:type="dxa"/>
            <w:vAlign w:val="center"/>
            <w:textDirection w:val="lrTb"/>
            <w:noWrap/>
          </w:tcPr>
          <w:p>
            <w:pPr>
              <w:ind w:left="301"/>
              <w:spacing w:before="78"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2135" w:type="dxa"/>
            <w:vAlign w:val="center"/>
            <w:textDirection w:val="lrTb"/>
            <w:noWrap/>
          </w:tcPr>
          <w:p>
            <w:pPr>
              <w:ind w:left="354"/>
              <w:spacing w:before="316" w:line="500" w:lineRule="exact"/>
              <w:rPr>
                <w:rFonts w:ascii="仿宋" w:hAnsi="仿宋" w:eastAsia="仿宋" w:cs="仿宋"/>
                <w:sz w:val="28"/>
                <w:szCs w:val="28"/>
                <w:highlight w:val="none"/>
              </w:rPr>
              <w:outlineLvl w:val="1"/>
            </w:pPr>
            <w:r>
              <w:rPr>
                <w:rFonts w:hint="eastAsia" w:ascii="仿宋" w:hAnsi="仿宋" w:eastAsia="仿宋" w:cs="仿宋"/>
                <w:spacing w:val="-2"/>
                <w:sz w:val="28"/>
                <w:szCs w:val="28"/>
                <w:highlight w:val="none"/>
              </w:rPr>
              <w:t xml:space="preserve">其他管理人员</w:t>
            </w:r>
            <w:r/>
          </w:p>
        </w:tc>
        <w:tc>
          <w:tcPr>
            <w:tcW w:w="1526" w:type="dxa"/>
            <w:vAlign w:val="center"/>
            <w:textDirection w:val="lrTb"/>
            <w:noWrap/>
          </w:tcPr>
          <w:p>
            <w:pPr>
              <w:ind w:left="238"/>
              <w:spacing w:before="316" w:line="500" w:lineRule="exact"/>
              <w:rPr>
                <w:rFonts w:ascii="仿宋" w:hAnsi="仿宋" w:eastAsia="仿宋" w:cs="仿宋"/>
                <w:sz w:val="28"/>
                <w:szCs w:val="28"/>
                <w:highlight w:val="none"/>
              </w:rPr>
              <w:outlineLvl w:val="1"/>
            </w:pPr>
            <w:r>
              <w:rPr>
                <w:rFonts w:hint="eastAsia" w:ascii="仿宋" w:hAnsi="仿宋" w:eastAsia="仿宋" w:cs="仿宋"/>
                <w:spacing w:val="-8"/>
                <w:sz w:val="28"/>
                <w:szCs w:val="28"/>
                <w:highlight w:val="none"/>
              </w:rPr>
              <w:t xml:space="preserve">2人</w:t>
            </w:r>
            <w:r/>
          </w:p>
        </w:tc>
        <w:tc>
          <w:tcPr>
            <w:tcW w:w="4813" w:type="dxa"/>
            <w:vAlign w:val="center"/>
            <w:textDirection w:val="lrTb"/>
            <w:noWrap/>
          </w:tcPr>
          <w:p>
            <w:pPr>
              <w:ind w:left="114"/>
              <w:jc w:val="center"/>
              <w:spacing w:before="117" w:line="500" w:lineRule="exact"/>
              <w:rPr>
                <w:rFonts w:ascii="仿宋" w:hAnsi="仿宋" w:eastAsia="仿宋" w:cs="仿宋"/>
                <w:sz w:val="28"/>
                <w:szCs w:val="28"/>
                <w:highlight w:val="none"/>
              </w:rPr>
              <w:outlineLvl w:val="1"/>
            </w:pPr>
            <w:r>
              <w:rPr>
                <w:rFonts w:hint="eastAsia" w:ascii="仿宋" w:hAnsi="仿宋" w:eastAsia="仿宋" w:cs="仿宋"/>
                <w:spacing w:val="-4"/>
                <w:sz w:val="28"/>
                <w:szCs w:val="28"/>
                <w:highlight w:val="none"/>
              </w:rPr>
              <w:t xml:space="preserve">包括安全员、施工员各1人，其中安全员</w:t>
            </w:r>
            <w:r>
              <w:rPr>
                <w:rFonts w:hint="eastAsia" w:ascii="仿宋" w:hAnsi="仿宋" w:eastAsia="仿宋" w:cs="仿宋"/>
                <w:spacing w:val="-1"/>
                <w:sz w:val="28"/>
                <w:szCs w:val="28"/>
                <w:highlight w:val="none"/>
              </w:rPr>
              <w:t xml:space="preserve">须具有有效的安全生产考核合格证书</w:t>
            </w:r>
            <w:r/>
          </w:p>
        </w:tc>
      </w:tr>
      <w:tr>
        <w:trPr>
          <w:jc w:val="center"/>
          <w:trHeight w:val="804"/>
        </w:trPr>
        <w:tc>
          <w:tcPr>
            <w:tcW w:w="700" w:type="dxa"/>
            <w:vAlign w:val="center"/>
            <w:textDirection w:val="lrTb"/>
            <w:noWrap/>
          </w:tcPr>
          <w:p>
            <w:pPr>
              <w:ind w:left="301"/>
              <w:spacing w:before="78"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2135" w:type="dxa"/>
            <w:vAlign w:val="center"/>
            <w:textDirection w:val="lrTb"/>
            <w:noWrap/>
          </w:tcPr>
          <w:p>
            <w:pPr>
              <w:ind w:left="112"/>
              <w:jc w:val="center"/>
              <w:spacing w:before="318" w:line="500" w:lineRule="exact"/>
              <w:rPr>
                <w:rFonts w:ascii="仿宋" w:hAnsi="仿宋" w:eastAsia="仿宋" w:cs="仿宋"/>
                <w:spacing w:val="-2"/>
                <w:sz w:val="28"/>
                <w:szCs w:val="28"/>
                <w:highlight w:val="none"/>
              </w:rPr>
              <w:outlineLvl w:val="1"/>
            </w:pPr>
            <w:r>
              <w:rPr>
                <w:rFonts w:hint="eastAsia" w:ascii="仿宋" w:hAnsi="仿宋" w:eastAsia="仿宋" w:cs="仿宋"/>
                <w:spacing w:val="-2"/>
                <w:sz w:val="28"/>
                <w:szCs w:val="28"/>
                <w:highlight w:val="none"/>
              </w:rPr>
              <w:t xml:space="preserve">维修班组长</w:t>
            </w:r>
            <w:r/>
          </w:p>
        </w:tc>
        <w:tc>
          <w:tcPr>
            <w:tcW w:w="1526" w:type="dxa"/>
            <w:vAlign w:val="center"/>
            <w:textDirection w:val="lrTb"/>
            <w:noWrap/>
          </w:tcPr>
          <w:p>
            <w:pPr>
              <w:ind w:left="235"/>
              <w:spacing w:before="318" w:line="500" w:lineRule="exact"/>
              <w:rPr>
                <w:rFonts w:ascii="仿宋" w:hAnsi="仿宋" w:eastAsia="仿宋" w:cs="仿宋"/>
                <w:spacing w:val="-6"/>
                <w:sz w:val="28"/>
                <w:szCs w:val="28"/>
                <w:highlight w:val="none"/>
              </w:rPr>
              <w:outlineLvl w:val="1"/>
            </w:pPr>
            <w:r>
              <w:rPr>
                <w:rFonts w:hint="eastAsia" w:ascii="仿宋" w:hAnsi="仿宋" w:eastAsia="仿宋" w:cs="仿宋"/>
                <w:spacing w:val="-6"/>
                <w:sz w:val="28"/>
                <w:szCs w:val="28"/>
                <w:highlight w:val="none"/>
              </w:rPr>
              <w:t xml:space="preserve">1人</w:t>
            </w:r>
            <w:r/>
          </w:p>
        </w:tc>
        <w:tc>
          <w:tcPr>
            <w:tcW w:w="4813" w:type="dxa"/>
            <w:vAlign w:val="center"/>
            <w:textDirection w:val="lrTb"/>
            <w:noWrap/>
          </w:tcPr>
          <w:p>
            <w:pPr>
              <w:ind w:left="137"/>
              <w:jc w:val="center"/>
              <w:spacing w:before="120" w:line="500" w:lineRule="exact"/>
              <w:rPr>
                <w:rFonts w:ascii="仿宋" w:hAnsi="仿宋" w:eastAsia="仿宋" w:cs="仿宋"/>
                <w:spacing w:val="-4"/>
                <w:sz w:val="28"/>
                <w:szCs w:val="28"/>
                <w:highlight w:val="none"/>
              </w:rPr>
              <w:outlineLvl w:val="1"/>
            </w:pPr>
            <w:r>
              <w:rPr>
                <w:rFonts w:hint="eastAsia" w:ascii="仿宋" w:hAnsi="仿宋" w:eastAsia="仿宋" w:cs="仿宋"/>
                <w:spacing w:val="-4"/>
                <w:sz w:val="28"/>
                <w:szCs w:val="28"/>
                <w:highlight w:val="none"/>
              </w:rPr>
              <w:t xml:space="preserve">道路桥梁养护施工队长1人</w:t>
            </w:r>
            <w:r/>
          </w:p>
        </w:tc>
      </w:tr>
      <w:tr>
        <w:trPr>
          <w:jc w:val="center"/>
          <w:trHeight w:val="804"/>
        </w:trPr>
        <w:tc>
          <w:tcPr>
            <w:shd w:val="clear" w:color="auto" w:fill="auto"/>
            <w:tcW w:w="700" w:type="dxa"/>
            <w:vAlign w:val="center"/>
            <w:textDirection w:val="lrTb"/>
            <w:noWrap/>
          </w:tcPr>
          <w:p>
            <w:pPr>
              <w:ind w:left="301"/>
              <w:spacing w:before="78"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shd w:val="clear" w:color="auto" w:fill="auto"/>
            <w:tcW w:w="2135" w:type="dxa"/>
            <w:vAlign w:val="center"/>
            <w:textDirection w:val="lrTb"/>
            <w:noWrap/>
          </w:tcPr>
          <w:p>
            <w:pPr>
              <w:ind w:left="112"/>
              <w:spacing w:before="318" w:line="500" w:lineRule="exact"/>
              <w:rPr>
                <w:rFonts w:ascii="仿宋" w:hAnsi="仿宋" w:eastAsia="仿宋" w:cs="仿宋"/>
                <w:sz w:val="28"/>
                <w:szCs w:val="28"/>
                <w:highlight w:val="none"/>
              </w:rPr>
              <w:outlineLvl w:val="1"/>
            </w:pPr>
            <w:r>
              <w:rPr>
                <w:rFonts w:hint="eastAsia" w:ascii="仿宋" w:hAnsi="仿宋" w:eastAsia="仿宋" w:cs="仿宋"/>
                <w:spacing w:val="-2"/>
                <w:sz w:val="28"/>
                <w:szCs w:val="28"/>
                <w:highlight w:val="none"/>
              </w:rPr>
              <w:t xml:space="preserve">道路日常巡检人员</w:t>
            </w:r>
            <w:r/>
          </w:p>
        </w:tc>
        <w:tc>
          <w:tcPr>
            <w:shd w:val="clear" w:color="auto" w:fill="auto"/>
            <w:tcW w:w="1526" w:type="dxa"/>
            <w:vAlign w:val="center"/>
            <w:textDirection w:val="lrTb"/>
            <w:noWrap/>
          </w:tcPr>
          <w:p>
            <w:pPr>
              <w:ind w:left="235"/>
              <w:spacing w:before="318" w:line="500" w:lineRule="exact"/>
              <w:rPr>
                <w:rFonts w:ascii="仿宋" w:hAnsi="仿宋" w:eastAsia="仿宋" w:cs="仿宋"/>
                <w:sz w:val="28"/>
                <w:szCs w:val="28"/>
                <w:highlight w:val="none"/>
              </w:rPr>
              <w:outlineLvl w:val="1"/>
            </w:pPr>
            <w:r>
              <w:rPr>
                <w:rFonts w:hint="eastAsia" w:ascii="仿宋" w:hAnsi="仿宋" w:eastAsia="仿宋" w:cs="仿宋"/>
                <w:spacing w:val="-6"/>
                <w:sz w:val="28"/>
                <w:szCs w:val="28"/>
                <w:highlight w:val="none"/>
              </w:rPr>
              <w:t xml:space="preserve">5人</w:t>
            </w:r>
            <w:r/>
          </w:p>
        </w:tc>
        <w:tc>
          <w:tcPr>
            <w:shd w:val="clear" w:color="auto" w:fill="auto"/>
            <w:tcW w:w="4813" w:type="dxa"/>
            <w:vAlign w:val="center"/>
            <w:textDirection w:val="lrTb"/>
            <w:noWrap/>
          </w:tcPr>
          <w:p>
            <w:pPr>
              <w:ind w:left="137"/>
              <w:jc w:val="center"/>
              <w:spacing w:before="120" w:line="500" w:lineRule="exact"/>
              <w:rPr>
                <w:rFonts w:ascii="仿宋" w:hAnsi="仿宋" w:eastAsia="仿宋" w:cs="仿宋"/>
                <w:sz w:val="28"/>
                <w:szCs w:val="28"/>
                <w:highlight w:val="none"/>
              </w:rPr>
              <w:outlineLvl w:val="1"/>
            </w:pPr>
            <w:r>
              <w:rPr>
                <w:rFonts w:hint="eastAsia" w:ascii="仿宋" w:hAnsi="仿宋" w:eastAsia="仿宋" w:cs="仿宋"/>
                <w:spacing w:val="-4"/>
                <w:sz w:val="28"/>
                <w:szCs w:val="28"/>
                <w:highlight w:val="none"/>
              </w:rPr>
              <w:t xml:space="preserve">中标后一个月内配备齐全并缴纳社保</w:t>
            </w:r>
            <w:r>
              <w:rPr>
                <w:rFonts w:hint="eastAsia" w:ascii="仿宋" w:hAnsi="仿宋" w:eastAsia="仿宋" w:cs="仿宋"/>
                <w:b/>
                <w:bCs/>
                <w:spacing w:val="-4"/>
                <w:sz w:val="28"/>
                <w:szCs w:val="28"/>
                <w:highlight w:val="none"/>
              </w:rPr>
              <w:t xml:space="preserve">（须提供承诺书，格式自拟）</w:t>
            </w:r>
            <w:r/>
          </w:p>
        </w:tc>
      </w:tr>
      <w:tr>
        <w:trPr>
          <w:jc w:val="center"/>
          <w:trHeight w:val="804"/>
        </w:trPr>
        <w:tc>
          <w:tcPr>
            <w:shd w:val="clear" w:color="auto" w:fill="auto"/>
            <w:tcW w:w="700" w:type="dxa"/>
            <w:vAlign w:val="center"/>
            <w:textDirection w:val="lrTb"/>
            <w:noWrap/>
          </w:tcPr>
          <w:p>
            <w:pPr>
              <w:ind w:left="301"/>
              <w:spacing w:before="78"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w:t>
            </w:r>
            <w:r/>
          </w:p>
        </w:tc>
        <w:tc>
          <w:tcPr>
            <w:shd w:val="clear" w:color="auto" w:fill="auto"/>
            <w:tcW w:w="2135" w:type="dxa"/>
            <w:vAlign w:val="center"/>
            <w:textDirection w:val="lrTb"/>
            <w:noWrap/>
          </w:tcPr>
          <w:p>
            <w:pPr>
              <w:ind w:left="112"/>
              <w:spacing w:before="318" w:line="500" w:lineRule="exact"/>
              <w:rPr>
                <w:rFonts w:hint="eastAsia" w:ascii="仿宋" w:hAnsi="仿宋" w:eastAsia="仿宋" w:cs="仿宋"/>
                <w:spacing w:val="-2"/>
                <w:sz w:val="28"/>
                <w:szCs w:val="28"/>
                <w:highlight w:val="none"/>
              </w:rPr>
              <w:outlineLvl w:val="1"/>
            </w:pPr>
            <w:r>
              <w:rPr>
                <w:rFonts w:hint="eastAsia" w:ascii="仿宋" w:hAnsi="仿宋" w:eastAsia="仿宋" w:cs="仿宋"/>
                <w:sz w:val="28"/>
                <w:szCs w:val="28"/>
                <w:highlight w:val="none"/>
              </w:rPr>
              <w:t xml:space="preserve">道路桥梁养护维修人员</w:t>
            </w:r>
            <w:r/>
          </w:p>
        </w:tc>
        <w:tc>
          <w:tcPr>
            <w:shd w:val="clear" w:color="auto" w:fill="auto"/>
            <w:tcW w:w="1526" w:type="dxa"/>
            <w:vAlign w:val="center"/>
            <w:textDirection w:val="lrTb"/>
            <w:noWrap/>
          </w:tcPr>
          <w:p>
            <w:pPr>
              <w:ind w:left="235"/>
              <w:spacing w:before="318" w:line="500" w:lineRule="exact"/>
              <w:rPr>
                <w:rFonts w:hint="eastAsia" w:ascii="仿宋" w:hAnsi="仿宋" w:eastAsia="仿宋" w:cs="仿宋"/>
                <w:spacing w:val="-6"/>
                <w:sz w:val="28"/>
                <w:szCs w:val="28"/>
                <w:highlight w:val="none"/>
                <w:lang w:val="en-US" w:eastAsia="zh-CN"/>
              </w:rPr>
              <w:outlineLvl w:val="1"/>
            </w:pPr>
            <w:r>
              <w:rPr>
                <w:rFonts w:hint="eastAsia" w:ascii="仿宋" w:hAnsi="仿宋" w:eastAsia="仿宋" w:cs="仿宋"/>
                <w:spacing w:val="-6"/>
                <w:sz w:val="28"/>
                <w:szCs w:val="28"/>
                <w:highlight w:val="none"/>
                <w:lang w:val="en-US" w:eastAsia="zh-CN"/>
              </w:rPr>
              <w:t xml:space="preserve">不少于</w:t>
            </w:r>
            <w:r>
              <w:rPr>
                <w:rFonts w:hint="eastAsia" w:ascii="仿宋" w:hAnsi="仿宋" w:eastAsia="仿宋" w:cs="仿宋"/>
                <w:sz w:val="28"/>
                <w:szCs w:val="28"/>
                <w:highlight w:val="none"/>
              </w:rPr>
              <w:t xml:space="preserve">20</w:t>
            </w:r>
            <w:r>
              <w:rPr>
                <w:rFonts w:hint="eastAsia" w:ascii="仿宋" w:hAnsi="仿宋" w:eastAsia="仿宋" w:cs="仿宋"/>
                <w:sz w:val="28"/>
                <w:szCs w:val="28"/>
                <w:highlight w:val="none"/>
                <w:lang w:val="en-US" w:eastAsia="zh-CN"/>
              </w:rPr>
              <w:t xml:space="preserve">人</w:t>
            </w:r>
            <w:r/>
          </w:p>
        </w:tc>
        <w:tc>
          <w:tcPr>
            <w:shd w:val="clear" w:color="auto" w:fill="auto"/>
            <w:tcW w:w="4813" w:type="dxa"/>
            <w:vAlign w:val="center"/>
            <w:textDirection w:val="lrTb"/>
            <w:noWrap/>
          </w:tcPr>
          <w:p>
            <w:pPr>
              <w:ind w:left="137"/>
              <w:jc w:val="center"/>
              <w:spacing w:before="120" w:line="500" w:lineRule="exact"/>
              <w:rPr>
                <w:rFonts w:hint="eastAsia" w:ascii="仿宋" w:hAnsi="仿宋" w:eastAsia="仿宋" w:cs="仿宋"/>
                <w:spacing w:val="-4"/>
                <w:sz w:val="28"/>
                <w:szCs w:val="28"/>
                <w:highlight w:val="none"/>
                <w:lang w:val="en-US" w:eastAsia="zh-CN"/>
              </w:rPr>
              <w:outlineLvl w:val="1"/>
            </w:pPr>
            <w:r>
              <w:rPr>
                <w:rFonts w:hint="eastAsia" w:ascii="仿宋" w:hAnsi="仿宋" w:eastAsia="仿宋" w:cs="仿宋"/>
                <w:spacing w:val="-4"/>
                <w:sz w:val="28"/>
                <w:szCs w:val="28"/>
                <w:highlight w:val="none"/>
                <w:lang w:val="en-US" w:eastAsia="zh-CN"/>
              </w:rPr>
              <w:t xml:space="preserve">/</w:t>
            </w:r>
            <w:r/>
          </w:p>
        </w:tc>
      </w:tr>
      <w:tr>
        <w:trPr>
          <w:jc w:val="center"/>
          <w:trHeight w:val="804"/>
        </w:trPr>
        <w:tc>
          <w:tcPr>
            <w:shd w:val="clear" w:color="auto" w:fill="auto"/>
            <w:tcW w:w="700" w:type="dxa"/>
            <w:vAlign w:val="center"/>
            <w:textDirection w:val="lrTb"/>
            <w:noWrap/>
          </w:tcPr>
          <w:p>
            <w:pPr>
              <w:ind w:left="301"/>
              <w:spacing w:before="78"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7</w:t>
            </w:r>
            <w:r/>
          </w:p>
        </w:tc>
        <w:tc>
          <w:tcPr>
            <w:shd w:val="clear" w:color="auto" w:fill="auto"/>
            <w:tcW w:w="2135" w:type="dxa"/>
            <w:vAlign w:val="center"/>
            <w:textDirection w:val="lrTb"/>
            <w:noWrap/>
          </w:tcPr>
          <w:p>
            <w:pPr>
              <w:ind w:left="112"/>
              <w:jc w:val="center"/>
              <w:spacing w:before="318" w:line="500" w:lineRule="exact"/>
              <w:rPr>
                <w:rFonts w:ascii="仿宋" w:hAnsi="仿宋" w:eastAsia="仿宋" w:cs="仿宋"/>
                <w:spacing w:val="-2"/>
                <w:sz w:val="28"/>
                <w:szCs w:val="28"/>
                <w:highlight w:val="none"/>
              </w:rPr>
              <w:outlineLvl w:val="1"/>
            </w:pPr>
            <w:r>
              <w:rPr>
                <w:rFonts w:hint="eastAsia" w:ascii="仿宋" w:hAnsi="仿宋" w:eastAsia="仿宋" w:cs="仿宋"/>
                <w:spacing w:val="-2"/>
                <w:sz w:val="28"/>
                <w:szCs w:val="28"/>
                <w:highlight w:val="none"/>
              </w:rPr>
              <w:t xml:space="preserve">合计</w:t>
            </w:r>
            <w:r/>
          </w:p>
        </w:tc>
        <w:tc>
          <w:tcPr>
            <w:gridSpan w:val="2"/>
            <w:shd w:val="clear" w:color="auto" w:fill="auto"/>
            <w:tcW w:w="6339" w:type="dxa"/>
            <w:vAlign w:val="center"/>
            <w:textDirection w:val="lrTb"/>
            <w:noWrap/>
          </w:tcPr>
          <w:p>
            <w:pPr>
              <w:ind w:left="235"/>
              <w:spacing w:before="318" w:line="500" w:lineRule="exact"/>
              <w:rPr>
                <w:rFonts w:hint="eastAsia" w:ascii="仿宋" w:hAnsi="仿宋" w:eastAsia="仿宋" w:cs="仿宋"/>
                <w:spacing w:val="-4"/>
                <w:sz w:val="28"/>
                <w:szCs w:val="28"/>
                <w:highlight w:val="none"/>
                <w:lang w:val="en-US" w:eastAsia="zh-CN"/>
              </w:rPr>
              <w:outlineLvl w:val="1"/>
            </w:pPr>
            <w:r>
              <w:rPr>
                <w:rFonts w:hint="eastAsia" w:ascii="仿宋" w:hAnsi="仿宋" w:eastAsia="仿宋" w:cs="仿宋"/>
                <w:spacing w:val="-6"/>
                <w:sz w:val="28"/>
                <w:szCs w:val="28"/>
                <w:highlight w:val="none"/>
                <w:lang w:val="en-US" w:eastAsia="zh-CN"/>
              </w:rPr>
              <w:t xml:space="preserve">不少于30</w:t>
            </w:r>
            <w:r>
              <w:rPr>
                <w:rFonts w:hint="eastAsia" w:ascii="仿宋" w:hAnsi="仿宋" w:eastAsia="仿宋" w:cs="仿宋"/>
                <w:spacing w:val="-6"/>
                <w:sz w:val="28"/>
                <w:szCs w:val="28"/>
                <w:highlight w:val="none"/>
              </w:rPr>
              <w:t xml:space="preserve">人</w:t>
            </w:r>
            <w:r/>
          </w:p>
        </w:tc>
      </w:tr>
    </w:tbl>
    <w:p>
      <w:pPr>
        <w:spacing w:line="500" w:lineRule="exact"/>
        <w:tabs>
          <w:tab w:val="left" w:pos="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ind w:firstLine="48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1、上述人员不得兼任，除道路日常巡检人员</w:t>
      </w:r>
      <w:r>
        <w:rPr>
          <w:rFonts w:hint="eastAsia" w:ascii="仿宋" w:hAnsi="仿宋" w:eastAsia="仿宋" w:cs="仿宋"/>
          <w:b/>
          <w:bCs/>
          <w:sz w:val="28"/>
          <w:szCs w:val="28"/>
          <w:highlight w:val="none"/>
          <w:lang w:val="en-US" w:eastAsia="zh-CN"/>
        </w:rPr>
        <w:t xml:space="preserve">和</w:t>
      </w:r>
      <w:r>
        <w:rPr>
          <w:rFonts w:hint="eastAsia" w:ascii="仿宋" w:hAnsi="仿宋" w:eastAsia="仿宋" w:cs="仿宋"/>
          <w:b/>
          <w:bCs/>
          <w:sz w:val="28"/>
          <w:szCs w:val="28"/>
          <w:highlight w:val="none"/>
        </w:rPr>
        <w:t xml:space="preserve">道路桥梁养护维修人员外须提供响应文件提交截止日前最近1个月响应供应商为其缴纳社保的证明；新成立企业距响应文件提交截止日期不足30日的，可不提供缴纳社保的证明（以新办企业营业执照发放日期为准）。</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2、项目经理必须专职专用，具备一定的统筹调度的能力，保证上传下达的政令畅通，具体负责市政设施养护维修项目部的日常工作。</w:t>
      </w:r>
      <w:r>
        <w:rPr>
          <w:rFonts w:hint="eastAsia" w:ascii="仿宋" w:hAnsi="仿宋" w:eastAsia="仿宋" w:cs="仿宋"/>
          <w:b/>
          <w:bCs/>
          <w:sz w:val="28"/>
          <w:szCs w:val="28"/>
          <w:highlight w:val="none"/>
        </w:rPr>
        <w:t xml:space="preserve">禁止巡查人员作为维修人员使用。</w:t>
      </w:r>
      <w:r>
        <w:rPr>
          <w:rFonts w:hint="eastAsia" w:ascii="仿宋" w:hAnsi="仿宋" w:eastAsia="仿宋" w:cs="仿宋"/>
          <w:sz w:val="28"/>
          <w:szCs w:val="28"/>
          <w:highlight w:val="none"/>
        </w:rPr>
        <w:t xml:space="preserve">上述施工队长及维修人员具备较强的业务水平和一定的从业经验，所有巡查人员必须签订劳动合同并缴纳五险，保证24小时手机联系畅通。同时根据道路养护工作的实际情况，养护单位必须随时按照要求增加维修人员。</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服务期开始前，相关人员名单须报招标单位处备案。投标人为本项目配备的所有人员在服务期内须专门服务于本项目。项目团队人员在整个项目服务期间不得随意更换，如需更换，必须先报招标单位批准同意。</w:t>
      </w:r>
      <w:r/>
    </w:p>
    <w:p>
      <w:pPr>
        <w:ind w:firstLine="482"/>
        <w:spacing w:line="500" w:lineRule="exact"/>
        <w:tabs>
          <w:tab w:val="left" w:pos="0" w:leader="none"/>
        </w:tabs>
        <w:rPr>
          <w:rFonts w:ascii="仿宋" w:hAnsi="仿宋" w:eastAsia="仿宋" w:cs="仿宋"/>
          <w:sz w:val="28"/>
          <w:szCs w:val="28"/>
          <w:highlight w:val="none"/>
        </w:rPr>
      </w:pPr>
      <w:r>
        <w:rPr>
          <w:rFonts w:hint="eastAsia" w:ascii="仿宋" w:hAnsi="仿宋" w:eastAsia="仿宋" w:cs="仿宋"/>
          <w:b/>
          <w:bCs/>
          <w:sz w:val="28"/>
          <w:szCs w:val="28"/>
          <w:highlight w:val="none"/>
        </w:rPr>
        <w:t xml:space="preserve">（三）基本设备配备要求</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道路路面维修包括：自有沥青拌合楼（城北街道办事处40公里以内）或与具备上述条件的企业签订沥青、水稳供货合同（合同需明文表示，接到供货通知后确保所需材料3小时内到达施工现场，满足摊铺要求）、沥青摊铺机、铣刨机、胶轮压路机、双钢轮压路机、挖掘机等；</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2、项目部使用及道路巡查车辆包括：专业工程车、巡查应急抢险专用车不少于3辆，均为皮卡，非机动车若干。</w:t>
      </w:r>
      <w:r/>
    </w:p>
    <w:p>
      <w:pPr>
        <w:ind w:firstLine="482"/>
        <w:spacing w:line="500" w:lineRule="exact"/>
        <w:tabs>
          <w:tab w:val="left" w:pos="0" w:leader="none"/>
        </w:tabs>
        <w:rPr>
          <w:rFonts w:ascii="仿宋" w:hAnsi="仿宋" w:eastAsia="仿宋" w:cs="仿宋"/>
          <w:sz w:val="28"/>
          <w:szCs w:val="28"/>
          <w:highlight w:val="none"/>
        </w:rPr>
      </w:pPr>
      <w:r>
        <w:rPr>
          <w:rFonts w:hint="eastAsia" w:ascii="仿宋" w:hAnsi="仿宋" w:eastAsia="仿宋" w:cs="仿宋"/>
          <w:b/>
          <w:bCs/>
          <w:sz w:val="28"/>
          <w:szCs w:val="28"/>
          <w:highlight w:val="none"/>
        </w:rPr>
        <w:t xml:space="preserve">（四）其他工作要求</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所有人员保证24小时手机联系畅通，根据业主指令单的要求，确保30分钟内能赶到现场，及时有效的组织市政设施养护维修施工。遇防洪抗灾、应急抢险等重大、紧急任务时，服从甲方安排，配备与抢险任务相适应的人员及设施设备，确保抢险任务的顺利完成。</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按市政道路、桥梁养护规范，养护单位要建立一路一档、一桥一档台账。桥梁巡查由桥梁工程师制定日常巡查计划并牵头组织实施。巡查人员作为城区应急处置的第一梯队必须在接到通知后30分钟内赶到指定的点位参加应急工作。</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3、为加强桥梁巡查工作，每月至少对养护范围内所有桥梁进行一次专项巡查，专项巡查须由桥梁工程师本人到场带队巡查，并做好巡查记录，形成工作台账。</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中标单位须对承担养护的所有城市道路及设施配备专职巡检员和巡检交通工具，对巡检员进行基础知识教育，做好巡检记录，明确责任到人。设施的巡检频率应满足《城镇道路养护技术规范》（CJJ36-2016）的要求，道路设施的巡检周期为：Ⅰ等养护道路（主干道、商业繁华街道等）每日一巡；Ⅱ等养护道路（除Ⅰ等以外的次干道、支路中的商业街道等）每二日一巡；Ⅲ等养护道路（除Ⅰ、Ⅱ等养护以外的支路）每三日一巡。</w:t>
      </w:r>
      <w:r/>
    </w:p>
    <w:p>
      <w:pPr>
        <w:ind w:firstLine="560"/>
        <w:spacing w:line="500" w:lineRule="exact"/>
        <w:rPr>
          <w:rFonts w:ascii="宋体" w:hAnsi="宋体" w:cs="宋体"/>
          <w:szCs w:val="21"/>
          <w:highlight w:val="none"/>
        </w:rPr>
      </w:pPr>
      <w:r>
        <w:rPr>
          <w:rFonts w:hint="eastAsia" w:ascii="黑体" w:hAnsi="黑体" w:eastAsia="黑体"/>
          <w:sz w:val="28"/>
          <w:szCs w:val="28"/>
          <w:highlight w:val="none"/>
        </w:rPr>
        <w:t xml:space="preserve">四、服务标准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（一）巡查内容及要求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养护单位必须按照合同约定建立专职巡查队伍。工作任务为城区市政设施巡查及应急抢险。巡查人员不得作为维修人员使用。招标单位针对养护单位巡查情况实施考核，考核方式为月度考核与日常不定期考核相结合，如出现问题，相关罚款从巡查费用中扣除。</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（二）维修考核及巡查考核：</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 养护单位在巡查过程中有下列行为之一的，视情节罚款500-2500元，并由养护单位承担相应责任：</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（1）未能及时发现道路损坏、井盖损坏缺失的或发现后不能及时修复的；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（2）未能及时发现、消除安全隐患的；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（3）未能及时发现并制止擅自挖掘和占用城市道路的，尤其是开道口、顶管（牵引管）、乱接私接管道等；</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（4）未能及时发现和制止《城市道路管理条例》第二十七条中列出的在城市道路范围内被禁止行为的；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养护单位修复质量不合格的，每出现一次罚款1000-10000元，同时对维修不合格的部分必须无条件返工。养护单位对建设单位下达的指令、交办的任务不能按时完成的，超期部分罚款500元/天。</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养护单位履责不到位，出现下列情况的，每出现一次罚款1000-2500元：</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（1）被媒体曝光、群众举报或人民来信反映的；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（2）在上级组织的明查暗访中被督查通报的；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（3）造成较大社会负面影响的；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（4）应急抢险未在规定时间内到场处置的； </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养护单位安全文明生产落实不到位，出现下列情况的，每出现一次罚款1000-5000元：</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（1）作业现场安全防护（含人员防护、现场防护、人员着装等）、文明标语、扬尘管控落实不到位的；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（2）有限空间作业、深基坑作业、高空作业等危险性较大工程未规范作业、未履行报批手续的；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（3）养护施工台账、安全管理台账缺失的；</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养护单位出现不服从管理或应急抢险时不能及时到位的情况，建设单位有权中止合同并追究养护单位相应经济责任。</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因养护单位履责不到位导致出现事故的，由养护单位承担全部责任（包括安全事故、交通事故、意外伤害事故等）。维修考核罚款从当期结算款中扣除，巡查考核罚款从巡查款中扣除。</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服务期限：两年（一年一签），具体以业主通知时间为准。一年合同期满或维修金额达到380万元，满足任一条件，合同自动终止。考核合格且有财政预算前提下，经双方协商一致，可续签一次合同。</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地点：如皋市城北街道</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履约验收参照《江苏省政府采购履约验收管理办法》（苏财规〔2024〕7号）执行。中标单位需按照养护任务通知书、现场实际情况及技术要求完成本合同约定全部施工内容。工程具备验收条件时，在接到中标单位以书面形式提出验收申请或招标人发出验收通知后，招标人在5个工作日内开展履约验收工作，及时组织相关专业技术人员，必要时将邀请相关行业专家参与验收，并出具相应验收报告，作为支付货款、结算报审的依据。</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七、付款方式</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项目竣工验收合格并经审计后付至审计价的40%，满一年后付至项目审计价的80%；缺陷责任期（两年）满按审计价结清全部工程款。每次支付前，承包人均应出具符合发包人财务规定以及开票报税要求的相应金额的正式发票。履约保证金待工程竣工（履约）验收合格安全无事故按施工合同约定退还。</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八、履约保证金</w:t>
      </w:r>
      <w:r/>
    </w:p>
    <w:p>
      <w:pPr>
        <w:ind w:firstLine="560"/>
        <w:spacing w:line="500" w:lineRule="exact"/>
        <w:rPr>
          <w:rFonts w:ascii="仿宋" w:hAnsi="仿宋" w:eastAsia="仿宋"/>
          <w:sz w:val="28"/>
          <w:szCs w:val="28"/>
          <w:highlight w:val="none"/>
        </w:rPr>
        <w:outlineLvl w:val="1"/>
      </w:pPr>
      <w:r>
        <w:rPr>
          <w:rFonts w:ascii="仿宋" w:hAnsi="仿宋" w:eastAsia="仿宋"/>
          <w:sz w:val="28"/>
          <w:szCs w:val="28"/>
          <w:highlight w:val="none"/>
        </w:rPr>
        <w:t xml:space="preserve">（一）中标（成交）通知书发出后30日内，</w:t>
      </w:r>
      <w:r>
        <w:rPr>
          <w:rFonts w:hint="eastAsia" w:ascii="仿宋" w:hAnsi="仿宋" w:eastAsia="仿宋"/>
          <w:sz w:val="28"/>
          <w:szCs w:val="28"/>
          <w:highlight w:val="none"/>
        </w:rPr>
        <w:t xml:space="preserve">中标</w:t>
      </w:r>
      <w:r>
        <w:rPr>
          <w:rFonts w:ascii="仿宋" w:hAnsi="仿宋" w:eastAsia="仿宋"/>
          <w:sz w:val="28"/>
          <w:szCs w:val="28"/>
          <w:highlight w:val="none"/>
        </w:rPr>
        <w:t xml:space="preserve">单位按照</w:t>
      </w:r>
      <w:r>
        <w:rPr>
          <w:rFonts w:hint="eastAsia" w:ascii="仿宋" w:hAnsi="仿宋" w:eastAsia="仿宋"/>
          <w:sz w:val="28"/>
          <w:szCs w:val="28"/>
          <w:highlight w:val="none"/>
        </w:rPr>
        <w:t xml:space="preserve">中标</w:t>
      </w:r>
      <w:r>
        <w:rPr>
          <w:rFonts w:ascii="仿宋" w:hAnsi="仿宋" w:eastAsia="仿宋"/>
          <w:sz w:val="28"/>
          <w:szCs w:val="28"/>
          <w:highlight w:val="none"/>
        </w:rPr>
        <w:t xml:space="preserve">金额10%向</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单位缴纳履约保证金并签订合同。履约验收完毕后，</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人在（</w:t>
      </w:r>
      <w:r>
        <w:rPr>
          <w:rFonts w:hint="eastAsia" w:ascii="仿宋" w:hAnsi="仿宋" w:eastAsia="仿宋"/>
          <w:sz w:val="28"/>
          <w:szCs w:val="28"/>
          <w:highlight w:val="none"/>
        </w:rPr>
        <w:t xml:space="preserve">中标</w:t>
      </w:r>
      <w:r>
        <w:rPr>
          <w:rFonts w:ascii="仿宋" w:hAnsi="仿宋" w:eastAsia="仿宋"/>
          <w:sz w:val="28"/>
          <w:szCs w:val="28"/>
          <w:highlight w:val="none"/>
        </w:rPr>
        <w:t xml:space="preserve">单位申请后）30日内退还履约保证金，</w:t>
      </w:r>
      <w:r>
        <w:rPr>
          <w:rFonts w:hint="eastAsia" w:ascii="仿宋" w:hAnsi="仿宋" w:eastAsia="仿宋"/>
          <w:sz w:val="28"/>
          <w:szCs w:val="28"/>
          <w:highlight w:val="none"/>
        </w:rPr>
        <w:t xml:space="preserve">招标人</w:t>
      </w:r>
      <w:r>
        <w:rPr>
          <w:rFonts w:ascii="仿宋" w:hAnsi="仿宋" w:eastAsia="仿宋"/>
          <w:sz w:val="28"/>
          <w:szCs w:val="28"/>
          <w:highlight w:val="none"/>
        </w:rPr>
        <w:t xml:space="preserve">逾期退还履约保证金的，除应当退还履约保证金本金外，还应当按商业银行同期贷款利率支付资金占用费。</w:t>
      </w:r>
      <w:r/>
    </w:p>
    <w:p>
      <w:pPr>
        <w:ind w:firstLine="560"/>
        <w:spacing w:line="500" w:lineRule="exact"/>
        <w:rPr>
          <w:rFonts w:ascii="仿宋" w:hAnsi="仿宋" w:eastAsia="仿宋"/>
          <w:sz w:val="28"/>
          <w:szCs w:val="28"/>
          <w:highlight w:val="none"/>
        </w:rPr>
        <w:outlineLvl w:val="1"/>
      </w:pPr>
      <w:r>
        <w:rPr>
          <w:rFonts w:ascii="仿宋" w:hAnsi="仿宋" w:eastAsia="仿宋"/>
          <w:sz w:val="28"/>
          <w:szCs w:val="28"/>
          <w:highlight w:val="none"/>
        </w:rPr>
        <w:t xml:space="preserve">（二）履约保证金由</w:t>
      </w:r>
      <w:r>
        <w:rPr>
          <w:rFonts w:hint="eastAsia" w:ascii="仿宋" w:hAnsi="仿宋" w:eastAsia="仿宋"/>
          <w:sz w:val="28"/>
          <w:szCs w:val="28"/>
          <w:highlight w:val="none"/>
        </w:rPr>
        <w:t xml:space="preserve">中标</w:t>
      </w:r>
      <w:r>
        <w:rPr>
          <w:rFonts w:ascii="仿宋" w:hAnsi="仿宋" w:eastAsia="仿宋"/>
          <w:sz w:val="28"/>
          <w:szCs w:val="28"/>
          <w:highlight w:val="none"/>
        </w:rPr>
        <w:t xml:space="preserve">供应商与</w:t>
      </w:r>
      <w:r>
        <w:rPr>
          <w:rFonts w:hint="eastAsia" w:ascii="仿宋" w:hAnsi="仿宋" w:eastAsia="仿宋"/>
          <w:sz w:val="28"/>
          <w:szCs w:val="28"/>
          <w:highlight w:val="none"/>
        </w:rPr>
        <w:t xml:space="preserve">招标人</w:t>
      </w:r>
      <w:r>
        <w:rPr>
          <w:rFonts w:ascii="仿宋" w:hAnsi="仿宋" w:eastAsia="仿宋"/>
          <w:sz w:val="28"/>
          <w:szCs w:val="28"/>
          <w:highlight w:val="none"/>
        </w:rPr>
        <w:t xml:space="preserve">协商，自主选择</w:t>
      </w:r>
      <w:r>
        <w:rPr>
          <w:rFonts w:hint="eastAsia" w:ascii="仿宋" w:hAnsi="仿宋" w:eastAsia="仿宋"/>
          <w:sz w:val="28"/>
          <w:szCs w:val="28"/>
          <w:highlight w:val="none"/>
        </w:rPr>
        <w:t xml:space="preserve">银行转账、电汇、网银、银行见索即付不可撤销的履约保函（纸质和电子形式均可）</w:t>
      </w:r>
      <w:r/>
    </w:p>
    <w:p>
      <w:pPr>
        <w:ind w:firstLine="560"/>
        <w:spacing w:line="500" w:lineRule="exact"/>
        <w:rPr>
          <w:rFonts w:ascii="仿宋" w:hAnsi="仿宋" w:eastAsia="仿宋"/>
          <w:sz w:val="28"/>
          <w:szCs w:val="28"/>
          <w:highlight w:val="none"/>
        </w:rPr>
        <w:outlineLvl w:val="1"/>
      </w:pPr>
      <w:r>
        <w:rPr>
          <w:rFonts w:hint="eastAsia" w:ascii="仿宋" w:hAnsi="仿宋" w:eastAsia="仿宋"/>
          <w:sz w:val="28"/>
          <w:szCs w:val="28"/>
          <w:highlight w:val="none"/>
        </w:rPr>
        <w:t xml:space="preserve">（三）若采取银行保函形式提交的，应由中标企业基本账户开户行出具，且保函期限需比计划工期延长6个月；如采取其他保函形式的，履约保函必须按照中华人民共和国住房和城乡建设部（关于印发工程保函示范文本的通知）建市〔2021〕11 号附件7格式开具，不得进行更改。</w:t>
      </w:r>
      <w:r/>
    </w:p>
    <w:p>
      <w:pPr>
        <w:ind w:firstLine="560"/>
        <w:spacing w:line="500" w:lineRule="exact"/>
        <w:rPr>
          <w:rFonts w:ascii="仿宋" w:hAnsi="仿宋" w:eastAsia="仿宋"/>
          <w:sz w:val="28"/>
          <w:szCs w:val="28"/>
          <w:highlight w:val="none"/>
        </w:rPr>
        <w:outlineLvl w:val="1"/>
      </w:pPr>
      <w:r>
        <w:rPr>
          <w:rFonts w:hint="eastAsia" w:ascii="仿宋" w:hAnsi="仿宋" w:eastAsia="仿宋"/>
          <w:sz w:val="28"/>
          <w:szCs w:val="28"/>
          <w:highlight w:val="none"/>
        </w:rPr>
        <w:t xml:space="preserve">（四）采用银行转账形式缴纳的，履约保证金原则上应在项目验收合格后30天内退还。 </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九、安全文明施工</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1、施工期间承包施工方必须严格按安全文明施工规范组织施工，建立健全安全生产组织网络、安全责任体系、制度，同时认真记好安全台帐。如发生安全事故一律由承包人负全责。</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2、中标单位必须依法为施工现场从事管理和作业的员工办理团体人身意外伤害保险。</w:t>
      </w:r>
      <w:r/>
    </w:p>
    <w:p>
      <w:pPr>
        <w:ind w:firstLine="560"/>
        <w:spacing w:line="500" w:lineRule="exact"/>
        <w:rPr>
          <w:rFonts w:ascii="黑体" w:hAnsi="黑体" w:eastAsia="黑体"/>
          <w:sz w:val="28"/>
          <w:szCs w:val="28"/>
          <w:highlight w:val="none"/>
        </w:rPr>
        <w:outlineLvl w:val="0"/>
      </w:pPr>
      <w:r>
        <w:rPr>
          <w:rFonts w:hint="eastAsia" w:ascii="仿宋" w:hAnsi="仿宋" w:eastAsia="仿宋"/>
          <w:sz w:val="28"/>
          <w:szCs w:val="28"/>
          <w:highlight w:val="none"/>
        </w:rPr>
        <w:t xml:space="preserve">3、施工现场必须按要求布设通告、警示标志、施工护栏及警示红灯，并明确专职安全员日夜巡查。</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4、在施工过程中，须加强绿色建造与环境管理，做好扬尘防治工作，减少噪音污染等工作。</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5、承包人应严格按照《建设工程安全生产管理条例》等法律、工程建设安全生产地有关管理规定，采取安全措施组织施工，并对本合同范围内所有施工范围和施工人员负全部安全生产责任。若发生安全事故，一切责任由承包人承担，发生一般或以上等级安全事故（按照国务院第493号令的等级标准），承包人在承担相应赔偿责任的同时，向发包人承担违约金。中标单位再次发生一般或以上等级安全事故的，或在建设单位规定的整改期限内达不到整改要求或明显无法按期完工的，建设单位有权要求中标单位退场，并按应计量工程量的70%款项结算。</w:t>
      </w:r>
      <w:r/>
    </w:p>
    <w:p>
      <w:pPr>
        <w:ind w:firstLine="560"/>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十、其他要求</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1、本项目结算方式为固定费率，本项目费率为1-优惠率**%，费率中包含所有风险、责任等所有各项因素。工程结算金额最终以审计确认为准。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（1）综合单价由承包人根据《建设工程工程量清单计价规范》（GB50500-2013）、《江苏省建设工程费用定</w:t>
      </w:r>
      <w:r>
        <w:rPr>
          <w:rFonts w:hint="eastAsia" w:ascii="仿宋" w:hAnsi="仿宋" w:eastAsia="仿宋"/>
          <w:sz w:val="28"/>
          <w:szCs w:val="28"/>
          <w:highlight w:val="none"/>
        </w:rPr>
        <w:t xml:space="preserve">额》（2014版）、《江苏省市政设施养护维修定额》（2013年修订），《江苏省市政工程计价表》（2014版）以及相应补充规定和南通市补充定额有关规定,无市政定额的,可参照公路养护定额,无定额参照的由双方认质认价，材料价格执行施工同期《如皋市工程造价信息》指导价（无指导价的由双方共同认质认价），认质认价部分不参与下浮，计算工程造价；本工程取费类别按规定计取。费率按取费标准计取，取费标准实行浮动费率的取中间值。承包人费率报价中包含所有风险、责任等所有费用。本项目安全文明施工费费率核定按照如皋市相关部门认定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本工程计税方式为一般计税方法。相关文件详见“关于全面推开营业税改征增值税试点的通知”财税【2016】36号文、“关于做好建筑业营改增建设工程计价依据调整准备工作的通知”建办标【2016】4号文、“省住房建设厅关于建筑业实施营改增后江苏省建设工程计价依据调整的通知”苏建价【2016】154号及附件、通建价【2016】11号“关于建筑业实施营改增后我市建设工程材料指导价格信息发布工作调整的通知”、苏建函价【2019】178号等。</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（3）本项目机械进退场费只计取一次。在日常各点位修复过程中，产生的机械短驳运输费用不予计取，各投标人在投标报价时一并综合考虑。</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工程量的确认：招标人拟订工作任务书，明确维修任务的项目、时间要求及质量要求。任务书经招标人负责人批准后下派给承包方，实际工程量经业主代表、总监理工程师、第三方审计单位确认后现场审核签证计量。</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3、工程结算时，承包方需上报经审批的工作任务书及相对应的工程决算等资料。</w:t>
      </w:r>
      <w:r/>
    </w:p>
    <w:p>
      <w:pPr>
        <w:ind w:firstLine="560"/>
        <w:spacing w:line="500" w:lineRule="exact"/>
        <w:rPr>
          <w:rFonts w:ascii="仿宋" w:hAnsi="仿宋" w:eastAsia="仿宋"/>
          <w:b/>
          <w:bCs/>
          <w:sz w:val="28"/>
          <w:szCs w:val="28"/>
          <w:highlight w:val="none"/>
        </w:rPr>
        <w:outlineLvl w:val="0"/>
      </w:pPr>
      <w:r>
        <w:rPr>
          <w:rFonts w:hint="eastAsia" w:ascii="仿宋" w:hAnsi="仿宋" w:eastAsia="仿宋"/>
          <w:sz w:val="28"/>
          <w:szCs w:val="28"/>
          <w:highlight w:val="none"/>
        </w:rPr>
        <w:t xml:space="preserve">4、中标单位应独立、有效的做好该工程周边的有关群众工作,并充分考虑工程实施范围内外的单位、个人和其他可能出现阻挠施工的情况,若因此发生的机械台班（包含降水）停置费、二次机械进退场费、人员窝工、处理周边群</w:t>
      </w:r>
      <w:r>
        <w:rPr>
          <w:rFonts w:hint="eastAsia" w:ascii="仿宋" w:hAnsi="仿宋" w:eastAsia="仿宋"/>
          <w:sz w:val="28"/>
          <w:szCs w:val="28"/>
          <w:highlight w:val="none"/>
        </w:rPr>
        <w:t xml:space="preserve">众纠纷等费用和损失等,由投标人自行考虑,并列入投标报价,工程结算时不作调整,一旦中标不得对现场条件提出任何额外要求及任何费用。包含但不限于电力线路高架防护;原有路底各类线管(雨污水管道、供水管道、路灯及其它管线、军用光缆等)的保护措施、相关评审、群众工作等引起误工、安全围栏等,以上内容均由施工方负责,甲方不予签证,中标单位在投标前请务必认真踏勘现场,投标报价时综合考虑,费用均包含在总价之中。当招标人不统一组织现场踏勘时,请投标人务必自行认真踏勘现场条件并综合考虑到报价中,一旦中标不得对现场条件提出额外要求。</w:t>
      </w:r>
      <w:r>
        <w:rPr>
          <w:rFonts w:hint="eastAsia" w:ascii="仿宋" w:hAnsi="仿宋" w:eastAsia="仿宋"/>
          <w:b/>
          <w:bCs/>
          <w:sz w:val="28"/>
          <w:szCs w:val="28"/>
          <w:highlight w:val="none"/>
        </w:rPr>
        <w:t xml:space="preserve">报价包含完成本项目的一切费用。</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5、施工现场应该做好裸露土方及材料的覆盖,做好抑尘控尘的工作,施工现场必须符合如皋市建设工地扬尘管控规定。如因扬尘防控不到位,被相关主管部门列入黑名单或通报,每次罚款1万元。</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6、中标单位应当为本项目养护设施缴纳公众责任保险，保障范围应当覆盖管养范围内的所有设施，保险时间应当覆盖合同履约时间，如因乙方未投保而造成的损失赔偿，由中标供应商承担相应的赔偿责任。</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7、养护周期内，养护单位出现不服从管理或应急抢险时不能及时到位的情况，建设单位有权中止合同并追究养护单位相应经济责任。因养护单位履职不到位导致出现事故的，由养护单位承担全部责任（包括安全事故、交通事故、意外伤害事故等）。</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8、养护期内，因相关市政设施破损、老化等原因需维修更换的，废弃物由中标单位移交招标单位，按招标单位要求送至指定仓库，人工、机械、运费等均不计，投标报价时一并考虑。</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spacing w:line="500" w:lineRule="exact"/>
        <w:rPr>
          <w:rFonts w:ascii="仿宋" w:hAnsi="仿宋" w:eastAsia="仿宋"/>
          <w:sz w:val="28"/>
          <w:szCs w:val="28"/>
          <w:highlight w:val="none"/>
        </w:rPr>
        <w:outlineLvl w:val="0"/>
      </w:pPr>
      <w:r>
        <w:rPr>
          <w:rFonts w:ascii="仿宋" w:hAnsi="仿宋" w:eastAsia="仿宋"/>
          <w:sz w:val="28"/>
          <w:szCs w:val="28"/>
          <w:highlight w:val="none"/>
        </w:rPr>
      </w:r>
      <w:r/>
    </w:p>
    <w:p>
      <w:pPr>
        <w:pStyle w:val="681"/>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第4章 合同文本</w:t>
      </w:r>
      <w:r/>
    </w:p>
    <w:p>
      <w:pPr>
        <w:jc w:val="center"/>
        <w:spacing w:before="19"/>
        <w:widowControl/>
        <w:rPr>
          <w:rFonts w:ascii="仿宋" w:hAnsi="仿宋" w:eastAsia="仿宋"/>
          <w:sz w:val="32"/>
          <w:szCs w:val="32"/>
          <w:highlight w:val="none"/>
        </w:rPr>
      </w:pPr>
      <w:r>
        <w:rPr>
          <w:rFonts w:hint="eastAsia" w:ascii="仿宋" w:hAnsi="仿宋" w:eastAsia="仿宋"/>
          <w:sz w:val="32"/>
          <w:szCs w:val="32"/>
          <w:highlight w:val="none"/>
        </w:rPr>
        <w:t xml:space="preserve">如皋市政府采购合同</w:t>
      </w:r>
      <w:r/>
    </w:p>
    <w:p>
      <w:pPr>
        <w:ind w:firstLine="640"/>
        <w:rPr>
          <w:rFonts w:hint="eastAsia" w:ascii="仿宋" w:hAnsi="仿宋" w:eastAsia="仿宋" w:cs="Times New Roman"/>
          <w:sz w:val="32"/>
          <w:szCs w:val="32"/>
          <w:highlight w:val="none"/>
        </w:rPr>
      </w:pPr>
      <w:r>
        <w:rPr>
          <w:rFonts w:hint="eastAsia" w:ascii="仿宋" w:hAnsi="仿宋" w:eastAsia="仿宋"/>
          <w:sz w:val="32"/>
          <w:szCs w:val="32"/>
          <w:highlight w:val="none"/>
        </w:rPr>
        <w:t xml:space="preserve">项目名称：</w:t>
      </w:r>
      <w:r>
        <w:rPr>
          <w:rFonts w:hint="eastAsia" w:ascii="仿宋" w:hAnsi="仿宋" w:eastAsia="仿宋" w:cs="Times New Roman"/>
          <w:sz w:val="32"/>
          <w:szCs w:val="32"/>
          <w:highlight w:val="none"/>
        </w:rPr>
        <w:t xml:space="preserve">如皋市城北街道市政道路养护维修工程(2026年度）</w:t>
      </w:r>
      <w:r/>
    </w:p>
    <w:p>
      <w:pPr>
        <w:ind w:firstLine="64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 xml:space="preserve">项目编号：JSZC-320682-NTGC-G2026-0006</w:t>
      </w:r>
      <w:r/>
    </w:p>
    <w:p>
      <w:pPr>
        <w:ind w:firstLine="640"/>
        <w:rPr>
          <w:rFonts w:hint="eastAsia" w:ascii="仿宋" w:hAnsi="仿宋" w:eastAsia="仿宋" w:cs="Times New Roman"/>
          <w:sz w:val="32"/>
          <w:szCs w:val="32"/>
          <w:highlight w:val="none"/>
          <w:lang w:val="en-US" w:eastAsia="zh-CN"/>
        </w:rPr>
      </w:pPr>
      <w:r>
        <w:rPr>
          <w:rFonts w:hint="eastAsia" w:ascii="仿宋" w:hAnsi="仿宋" w:eastAsia="仿宋" w:cs="Times New Roman"/>
          <w:sz w:val="32"/>
          <w:szCs w:val="32"/>
          <w:highlight w:val="none"/>
        </w:rPr>
        <w:t xml:space="preserve">甲方：</w:t>
      </w:r>
      <w:r>
        <w:rPr>
          <w:rFonts w:hint="eastAsia" w:ascii="仿宋" w:hAnsi="仿宋" w:eastAsia="仿宋" w:cs="Times New Roman"/>
          <w:sz w:val="32"/>
          <w:szCs w:val="32"/>
          <w:highlight w:val="none"/>
          <w:lang w:val="en-US" w:eastAsia="zh-CN"/>
        </w:rPr>
        <w:t xml:space="preserve">如皋经济技术开发区管理委员会</w:t>
      </w:r>
      <w:r/>
    </w:p>
    <w:p>
      <w:pPr>
        <w:ind w:firstLine="208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lang w:val="en-US" w:eastAsia="zh-CN"/>
        </w:rPr>
        <w:t xml:space="preserve">（如皋市人民政府城北街道办事处）</w:t>
      </w:r>
      <w:r/>
    </w:p>
    <w:p>
      <w:pPr>
        <w:ind w:firstLine="96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 xml:space="preserve">乙方：</w:t>
      </w:r>
      <w:r/>
    </w:p>
    <w:p>
      <w:pPr>
        <w:rPr>
          <w:rFonts w:ascii="仿宋" w:hAnsi="仿宋" w:eastAsia="仿宋"/>
          <w:sz w:val="32"/>
          <w:szCs w:val="32"/>
          <w:highlight w:val="none"/>
        </w:rPr>
      </w:pPr>
      <w:r>
        <w:rPr>
          <w:rFonts w:ascii="仿宋" w:hAnsi="仿宋" w:eastAsia="仿宋"/>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签订时间：2026年    月    日</w:t>
      </w:r>
      <w:r/>
    </w:p>
    <w:p>
      <w:pPr>
        <w:ind w:firstLine="480"/>
        <w:rPr>
          <w:rFonts w:ascii="仿宋" w:hAnsi="仿宋" w:eastAsia="仿宋"/>
          <w:sz w:val="24"/>
          <w:highlight w:val="none"/>
        </w:rPr>
      </w:pPr>
      <w:r>
        <w:rPr>
          <w:rFonts w:hint="eastAsia" w:ascii="仿宋" w:hAnsi="仿宋" w:eastAsia="仿宋" w:cs="Times New Roman"/>
          <w:sz w:val="24"/>
          <w:highlight w:val="none"/>
        </w:rPr>
        <w:t xml:space="preserve">（如皋经济技术开发区管理委员会</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如皋市人民政府城北街道办事处</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val="en-US" w:eastAsia="zh-CN"/>
        </w:rPr>
        <w:t xml:space="preserve">的</w:t>
      </w:r>
      <w:r>
        <w:rPr>
          <w:rFonts w:hint="eastAsia" w:ascii="仿宋" w:hAnsi="仿宋" w:eastAsia="仿宋" w:cs="Times New Roman"/>
          <w:sz w:val="24"/>
          <w:highlight w:val="none"/>
        </w:rPr>
        <w:t xml:space="preserve">（如皋市城北街道市政道路养护维修工程(2026年度））委托（江苏皋诚工程项目管理有限公司）进行了政府采购。按照评委会评审推荐、</w:t>
      </w:r>
      <w:r>
        <w:rPr>
          <w:rFonts w:hint="eastAsia" w:ascii="仿宋" w:hAnsi="仿宋" w:eastAsia="仿宋"/>
          <w:sz w:val="24"/>
          <w:highlight w:val="none"/>
        </w:rPr>
        <w:t xml:space="preserve">甲方确定乙方为中标单位。现甲乙双方协商同意签订本合同。</w:t>
      </w:r>
      <w:r/>
    </w:p>
    <w:p>
      <w:pPr>
        <w:numPr>
          <w:ilvl w:val="0"/>
          <w:numId w:val="1"/>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1.（JSZC-320682-NTGC-G2026-0006）采购文件；</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2.投标文件；</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3.乙方在参加采购活动时的书面承诺；</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4.（JSZC-320682-NTGC-G2026-0006）中标（中标）通知书；</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5.合同补充条款或说明；</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6.保密协议或条款；</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0"/>
        <w:rPr>
          <w:rFonts w:ascii="仿宋" w:hAnsi="仿宋" w:eastAsia="仿宋"/>
          <w:sz w:val="24"/>
          <w:highlight w:val="none"/>
        </w:rPr>
      </w:pPr>
      <w:r>
        <w:rPr>
          <w:rFonts w:hint="eastAsia" w:ascii="仿宋" w:hAnsi="仿宋" w:eastAsia="仿宋"/>
          <w:sz w:val="24"/>
          <w:highlight w:val="none"/>
        </w:rPr>
        <w:t xml:space="preserve">服务名称：城北街道(含城区、及何庄、袁桥、戴庄、柴湾等老镇区)市政道路、桥梁需进行零星维修养护，现对50万元</w:t>
      </w:r>
      <w:r>
        <w:rPr>
          <w:rFonts w:hint="eastAsia" w:ascii="仿宋" w:hAnsi="仿宋" w:eastAsia="仿宋"/>
          <w:sz w:val="24"/>
          <w:highlight w:val="none"/>
          <w:lang w:val="en-US" w:eastAsia="zh-CN"/>
        </w:rPr>
        <w:t xml:space="preserve">以下</w:t>
      </w:r>
      <w:r>
        <w:rPr>
          <w:rFonts w:hint="eastAsia" w:ascii="仿宋" w:hAnsi="仿宋" w:eastAsia="仿宋"/>
          <w:sz w:val="24"/>
          <w:highlight w:val="none"/>
        </w:rPr>
        <w:t xml:space="preserve">的零星工程采用下浮率进行集中采购。</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根据</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的维修通知单进行实施，维修及养护内容包含：道路（含地下管道等)各种病害处理、交通设施、应急抢险、道路病害普查、桥梁巡查，应急抢险等突发事项。</w:t>
      </w:r>
      <w:r/>
    </w:p>
    <w:p>
      <w:pPr>
        <w:ind w:firstLine="480"/>
        <w:rPr>
          <w:rFonts w:ascii="仿宋" w:hAnsi="仿宋" w:eastAsia="仿宋"/>
          <w:sz w:val="24"/>
          <w:highlight w:val="none"/>
        </w:rPr>
      </w:pPr>
      <w:r>
        <w:rPr>
          <w:rFonts w:hint="eastAsia" w:ascii="仿宋" w:hAnsi="仿宋" w:eastAsia="仿宋"/>
          <w:sz w:val="24"/>
          <w:highlight w:val="none"/>
        </w:rPr>
        <w:t xml:space="preserve">（一）场所及基本要求</w:t>
      </w:r>
      <w:r/>
    </w:p>
    <w:p>
      <w:pPr>
        <w:ind w:firstLine="480"/>
        <w:rPr>
          <w:rFonts w:ascii="仿宋" w:hAnsi="仿宋" w:eastAsia="仿宋"/>
          <w:sz w:val="24"/>
          <w:highlight w:val="none"/>
        </w:rPr>
      </w:pPr>
      <w:r>
        <w:rPr>
          <w:rFonts w:hint="eastAsia" w:ascii="仿宋" w:hAnsi="仿宋" w:eastAsia="仿宋"/>
          <w:sz w:val="24"/>
          <w:highlight w:val="none"/>
        </w:rPr>
        <w:t xml:space="preserve">在养护范围内或周边3公里范围内有固定的办公场所、仓库和堆场场地，配备足够的交通标牌和临时围挡设施。面积不少于400平方米。</w:t>
      </w:r>
      <w:r/>
    </w:p>
    <w:p>
      <w:pPr>
        <w:ind w:firstLine="480"/>
        <w:rPr>
          <w:rFonts w:ascii="仿宋" w:hAnsi="仿宋" w:eastAsia="仿宋"/>
          <w:sz w:val="24"/>
          <w:highlight w:val="none"/>
        </w:rPr>
      </w:pPr>
      <w:r>
        <w:rPr>
          <w:rFonts w:hint="eastAsia" w:ascii="仿宋" w:hAnsi="仿宋" w:eastAsia="仿宋"/>
          <w:sz w:val="24"/>
          <w:highlight w:val="none"/>
        </w:rPr>
        <w:t xml:space="preserve">（二）基本人员配备要求</w:t>
      </w:r>
      <w:r/>
    </w:p>
    <w:tbl>
      <w:tblPr>
        <w:tblStyle w:val="689"/>
        <w:tblW w:w="9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2135"/>
        <w:gridCol w:w="878"/>
        <w:gridCol w:w="5461"/>
      </w:tblGrid>
      <w:tr>
        <w:trPr>
          <w:jc w:val="center"/>
          <w:trHeight w:val="409"/>
        </w:trPr>
        <w:tc>
          <w:tcPr>
            <w:tcW w:w="70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2135" w:type="dxa"/>
            <w:vAlign w:val="center"/>
            <w:textDirection w:val="lrTb"/>
            <w:noWrap/>
          </w:tcPr>
          <w:p>
            <w:pPr>
              <w:ind w:firstLine="480"/>
              <w:jc w:val="center"/>
              <w:rPr>
                <w:rFonts w:ascii="仿宋" w:hAnsi="仿宋" w:eastAsia="仿宋"/>
                <w:sz w:val="24"/>
                <w:highlight w:val="none"/>
              </w:rPr>
            </w:pPr>
            <w:r>
              <w:rPr>
                <w:rFonts w:hint="eastAsia" w:ascii="仿宋" w:hAnsi="仿宋" w:eastAsia="仿宋"/>
                <w:sz w:val="24"/>
                <w:highlight w:val="none"/>
              </w:rPr>
              <w:t xml:space="preserve">名称</w:t>
            </w:r>
            <w:r/>
          </w:p>
        </w:tc>
        <w:tc>
          <w:tcPr>
            <w:tcW w:w="87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人数</w:t>
            </w:r>
            <w:r/>
          </w:p>
        </w:tc>
        <w:tc>
          <w:tcPr>
            <w:tcW w:w="5461" w:type="dxa"/>
            <w:vAlign w:val="center"/>
            <w:textDirection w:val="lrTb"/>
            <w:noWrap/>
          </w:tcPr>
          <w:p>
            <w:pPr>
              <w:ind w:firstLine="480"/>
              <w:rPr>
                <w:rFonts w:ascii="仿宋" w:hAnsi="仿宋" w:eastAsia="仿宋"/>
                <w:sz w:val="24"/>
                <w:highlight w:val="none"/>
              </w:rPr>
            </w:pPr>
            <w:r>
              <w:rPr>
                <w:rFonts w:hint="eastAsia" w:ascii="仿宋" w:hAnsi="仿宋" w:eastAsia="仿宋"/>
                <w:sz w:val="24"/>
                <w:highlight w:val="none"/>
              </w:rPr>
              <w:t xml:space="preserve">要求</w:t>
            </w:r>
            <w:r/>
          </w:p>
        </w:tc>
      </w:tr>
      <w:tr>
        <w:trPr>
          <w:jc w:val="center"/>
          <w:trHeight w:val="1204"/>
        </w:trPr>
        <w:tc>
          <w:tcPr>
            <w:tcW w:w="70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213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项目负责人</w:t>
            </w:r>
            <w:r/>
          </w:p>
        </w:tc>
        <w:tc>
          <w:tcPr>
            <w:tcW w:w="87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1人</w:t>
            </w:r>
            <w:r/>
          </w:p>
        </w:tc>
        <w:tc>
          <w:tcPr>
            <w:tcW w:w="5461" w:type="dxa"/>
            <w:vAlign w:val="center"/>
            <w:textDirection w:val="lrTb"/>
            <w:noWrap/>
          </w:tcPr>
          <w:p>
            <w:pPr>
              <w:ind w:firstLine="480"/>
              <w:rPr>
                <w:rFonts w:ascii="仿宋" w:hAnsi="仿宋" w:eastAsia="仿宋"/>
                <w:sz w:val="24"/>
                <w:highlight w:val="none"/>
              </w:rPr>
            </w:pPr>
            <w:r>
              <w:rPr>
                <w:rFonts w:hint="eastAsia" w:ascii="仿宋" w:hAnsi="仿宋" w:eastAsia="仿宋"/>
                <w:sz w:val="24"/>
                <w:highlight w:val="none"/>
              </w:rPr>
              <w:t xml:space="preserve">须具有建设工程类（道路或桥梁）专业中级及以上职称、市政公用工程专业二级及以上注册建造师证书和有效的安全生产考核合格证（B证）</w:t>
            </w:r>
            <w:r/>
          </w:p>
        </w:tc>
      </w:tr>
      <w:tr>
        <w:trPr>
          <w:jc w:val="center"/>
          <w:trHeight w:val="599"/>
        </w:trPr>
        <w:tc>
          <w:tcPr>
            <w:tcW w:w="70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213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技术负责人</w:t>
            </w:r>
            <w:r/>
          </w:p>
        </w:tc>
        <w:tc>
          <w:tcPr>
            <w:tcW w:w="87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1人</w:t>
            </w:r>
            <w:r/>
          </w:p>
        </w:tc>
        <w:tc>
          <w:tcPr>
            <w:tcW w:w="5461" w:type="dxa"/>
            <w:vAlign w:val="center"/>
            <w:textDirection w:val="lrTb"/>
            <w:noWrap/>
          </w:tcPr>
          <w:p>
            <w:pPr>
              <w:ind w:firstLine="480"/>
              <w:rPr>
                <w:rFonts w:ascii="仿宋" w:hAnsi="仿宋" w:eastAsia="仿宋"/>
                <w:sz w:val="24"/>
                <w:highlight w:val="none"/>
              </w:rPr>
            </w:pPr>
            <w:r>
              <w:rPr>
                <w:rFonts w:hint="eastAsia" w:ascii="仿宋" w:hAnsi="仿宋" w:eastAsia="仿宋"/>
                <w:sz w:val="24"/>
                <w:highlight w:val="none"/>
              </w:rPr>
              <w:t xml:space="preserve">须具有建设工程类（道路或桥梁）高级职称</w:t>
            </w:r>
            <w:r/>
          </w:p>
        </w:tc>
      </w:tr>
      <w:tr>
        <w:trPr>
          <w:jc w:val="center"/>
          <w:trHeight w:val="804"/>
        </w:trPr>
        <w:tc>
          <w:tcPr>
            <w:tcW w:w="70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213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其他管理人员</w:t>
            </w:r>
            <w:r/>
          </w:p>
        </w:tc>
        <w:tc>
          <w:tcPr>
            <w:tcW w:w="87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2人</w:t>
            </w:r>
            <w:r/>
          </w:p>
        </w:tc>
        <w:tc>
          <w:tcPr>
            <w:tcW w:w="5461" w:type="dxa"/>
            <w:vAlign w:val="center"/>
            <w:textDirection w:val="lrTb"/>
            <w:noWrap/>
          </w:tcPr>
          <w:p>
            <w:pPr>
              <w:ind w:firstLine="480"/>
              <w:rPr>
                <w:rFonts w:ascii="仿宋" w:hAnsi="仿宋" w:eastAsia="仿宋"/>
                <w:sz w:val="24"/>
                <w:highlight w:val="none"/>
              </w:rPr>
            </w:pPr>
            <w:r>
              <w:rPr>
                <w:rFonts w:hint="eastAsia" w:ascii="仿宋" w:hAnsi="仿宋" w:eastAsia="仿宋"/>
                <w:sz w:val="24"/>
                <w:highlight w:val="none"/>
              </w:rPr>
              <w:t xml:space="preserve">包括安全员、施工员各1人，其中安全员须具有有效的安全生产考核合格证书</w:t>
            </w:r>
            <w:r/>
          </w:p>
        </w:tc>
      </w:tr>
      <w:tr>
        <w:trPr>
          <w:jc w:val="center"/>
          <w:trHeight w:val="804"/>
        </w:trPr>
        <w:tc>
          <w:tcPr>
            <w:tcW w:w="70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W w:w="213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维修班组长</w:t>
            </w:r>
            <w:r/>
          </w:p>
        </w:tc>
        <w:tc>
          <w:tcPr>
            <w:tcW w:w="87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1人</w:t>
            </w:r>
            <w:r/>
          </w:p>
        </w:tc>
        <w:tc>
          <w:tcPr>
            <w:tcW w:w="5461" w:type="dxa"/>
            <w:vAlign w:val="center"/>
            <w:textDirection w:val="lrTb"/>
            <w:noWrap/>
          </w:tcPr>
          <w:p>
            <w:pPr>
              <w:ind w:firstLine="480"/>
              <w:rPr>
                <w:rFonts w:ascii="仿宋" w:hAnsi="仿宋" w:eastAsia="仿宋"/>
                <w:sz w:val="24"/>
                <w:highlight w:val="none"/>
              </w:rPr>
            </w:pPr>
            <w:r>
              <w:rPr>
                <w:rFonts w:hint="eastAsia" w:ascii="仿宋" w:hAnsi="仿宋" w:eastAsia="仿宋"/>
                <w:sz w:val="24"/>
                <w:highlight w:val="none"/>
              </w:rPr>
              <w:t xml:space="preserve">道路桥梁养护施工队长1人</w:t>
            </w:r>
            <w:r/>
          </w:p>
        </w:tc>
      </w:tr>
      <w:tr>
        <w:trPr>
          <w:jc w:val="center"/>
          <w:trHeight w:val="804"/>
        </w:trPr>
        <w:tc>
          <w:tcPr>
            <w:shd w:val="clear" w:color="auto" w:fill="auto"/>
            <w:tcW w:w="700"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rPr>
              <w:t xml:space="preserve">5</w:t>
            </w:r>
            <w:r/>
          </w:p>
        </w:tc>
        <w:tc>
          <w:tcPr>
            <w:shd w:val="clear" w:color="auto" w:fill="auto"/>
            <w:tcW w:w="2135"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rPr>
              <w:t xml:space="preserve">道路日常巡检人员</w:t>
            </w:r>
            <w:r/>
          </w:p>
        </w:tc>
        <w:tc>
          <w:tcPr>
            <w:shd w:val="clear" w:color="auto" w:fill="auto"/>
            <w:tcW w:w="878"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rPr>
              <w:t xml:space="preserve">5人</w:t>
            </w:r>
            <w:r/>
          </w:p>
        </w:tc>
        <w:tc>
          <w:tcPr>
            <w:shd w:val="clear" w:color="auto" w:fill="auto"/>
            <w:tcW w:w="5461"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rPr>
              <w:t xml:space="preserve">中标后一个月内配备齐全并缴纳社保</w:t>
            </w:r>
            <w:r/>
          </w:p>
        </w:tc>
      </w:tr>
      <w:tr>
        <w:trPr>
          <w:jc w:val="center"/>
          <w:trHeight w:val="804"/>
        </w:trPr>
        <w:tc>
          <w:tcPr>
            <w:shd w:val="clear" w:color="auto" w:fill="auto"/>
            <w:tcW w:w="700"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6</w:t>
            </w:r>
            <w:r/>
          </w:p>
        </w:tc>
        <w:tc>
          <w:tcPr>
            <w:shd w:val="clear" w:color="auto" w:fill="auto"/>
            <w:tcW w:w="2135"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rPr>
              <w:t xml:space="preserve">道路桥梁养护维修人员</w:t>
            </w:r>
            <w:r/>
          </w:p>
        </w:tc>
        <w:tc>
          <w:tcPr>
            <w:shd w:val="clear" w:color="auto" w:fill="auto"/>
            <w:tcW w:w="878"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不少于</w:t>
            </w:r>
            <w:r>
              <w:rPr>
                <w:rFonts w:hint="eastAsia" w:ascii="仿宋" w:hAnsi="仿宋" w:eastAsia="仿宋"/>
                <w:sz w:val="24"/>
                <w:highlight w:val="none"/>
              </w:rPr>
              <w:t xml:space="preserve">20</w:t>
            </w:r>
            <w:r>
              <w:rPr>
                <w:rFonts w:hint="eastAsia" w:ascii="仿宋" w:hAnsi="仿宋" w:eastAsia="仿宋"/>
                <w:sz w:val="24"/>
                <w:highlight w:val="none"/>
                <w:lang w:val="en-US" w:eastAsia="zh-CN"/>
              </w:rPr>
              <w:t xml:space="preserve">人</w:t>
            </w:r>
            <w:r/>
          </w:p>
        </w:tc>
        <w:tc>
          <w:tcPr>
            <w:tcW w:w="5461"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w:t>
            </w:r>
            <w:r/>
          </w:p>
        </w:tc>
      </w:tr>
      <w:tr>
        <w:trPr>
          <w:jc w:val="center"/>
          <w:trHeight w:val="804"/>
        </w:trPr>
        <w:tc>
          <w:tcPr>
            <w:shd w:val="clear" w:color="auto" w:fill="auto"/>
            <w:tcW w:w="700"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7</w:t>
            </w:r>
            <w:r/>
          </w:p>
        </w:tc>
        <w:tc>
          <w:tcPr>
            <w:shd w:val="clear" w:color="auto" w:fill="auto"/>
            <w:tcW w:w="2135"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rPr>
              <w:t xml:space="preserve">合计</w:t>
            </w:r>
            <w:r/>
          </w:p>
        </w:tc>
        <w:tc>
          <w:tcPr>
            <w:gridSpan w:val="2"/>
            <w:shd w:val="clear" w:color="auto" w:fill="auto"/>
            <w:tcW w:w="6339" w:type="dxa"/>
            <w:vAlign w:val="center"/>
            <w:textDirection w:val="lrTb"/>
            <w:noWrap/>
          </w:tcPr>
          <w:p>
            <w:pPr>
              <w:jc w:val="center"/>
              <w:rPr>
                <w:rFonts w:hint="eastAsia" w:ascii="仿宋" w:hAnsi="仿宋" w:eastAsia="仿宋"/>
                <w:sz w:val="24"/>
                <w:highlight w:val="none"/>
              </w:rPr>
            </w:pPr>
            <w:r>
              <w:rPr>
                <w:rFonts w:hint="eastAsia" w:ascii="仿宋" w:hAnsi="仿宋" w:eastAsia="仿宋"/>
                <w:sz w:val="24"/>
                <w:highlight w:val="none"/>
                <w:lang w:val="en-US" w:eastAsia="zh-CN"/>
              </w:rPr>
              <w:t xml:space="preserve">不少于30</w:t>
            </w:r>
            <w:r>
              <w:rPr>
                <w:rFonts w:hint="eastAsia" w:ascii="仿宋" w:hAnsi="仿宋" w:eastAsia="仿宋"/>
                <w:sz w:val="24"/>
                <w:highlight w:val="none"/>
              </w:rPr>
              <w:t xml:space="preserve">人</w:t>
            </w:r>
            <w:r/>
          </w:p>
        </w:tc>
      </w:tr>
    </w:tbl>
    <w:p>
      <w:pPr>
        <w:ind w:firstLine="480"/>
        <w:rPr>
          <w:rFonts w:ascii="仿宋" w:hAnsi="仿宋" w:eastAsia="仿宋"/>
          <w:sz w:val="24"/>
          <w:highlight w:val="none"/>
        </w:rPr>
      </w:pPr>
      <w:r>
        <w:rPr>
          <w:rFonts w:hint="eastAsia" w:ascii="仿宋" w:hAnsi="仿宋" w:eastAsia="仿宋"/>
          <w:sz w:val="24"/>
          <w:highlight w:val="none"/>
        </w:rPr>
        <w:t xml:space="preserve">1、、项目经理必须专职专用，具备一定的统筹调度的能力，保证上传下达的政令畅通，具体负责市政设施养护维修项目部的日常工作。禁止巡查人员作为维修人员使用。上述施工队长及维修人员具备较强的业务水平和一定的从业经验，所有巡查人员必须签订劳动合同并缴纳五险，保证24小时手机联系畅通。同时根据道路养护工作的实际情况，乙方必须随时按照要求增加维修人员。</w:t>
      </w:r>
      <w:r/>
    </w:p>
    <w:p>
      <w:pPr>
        <w:ind w:firstLine="480"/>
        <w:rPr>
          <w:rFonts w:ascii="仿宋" w:hAnsi="仿宋" w:eastAsia="仿宋"/>
          <w:sz w:val="24"/>
          <w:highlight w:val="none"/>
        </w:rPr>
      </w:pPr>
      <w:r>
        <w:rPr>
          <w:rFonts w:hint="eastAsia" w:ascii="仿宋" w:hAnsi="仿宋" w:eastAsia="仿宋"/>
          <w:sz w:val="24"/>
          <w:highlight w:val="none"/>
        </w:rPr>
        <w:t xml:space="preserve">2、服务期开始前，</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相关人员名单须报甲方备案。乙方为本项目配备的所有人员在服务期内须专门服务于本项目。</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项目团队人员在整个项目服务期间不得随意更换，如需更换，必须先报甲方批准同意。</w:t>
      </w:r>
      <w:r/>
    </w:p>
    <w:p>
      <w:pPr>
        <w:ind w:firstLine="480"/>
        <w:rPr>
          <w:rFonts w:ascii="仿宋" w:hAnsi="仿宋" w:eastAsia="仿宋"/>
          <w:sz w:val="24"/>
          <w:highlight w:val="none"/>
        </w:rPr>
      </w:pPr>
      <w:r>
        <w:rPr>
          <w:rFonts w:hint="eastAsia" w:ascii="仿宋" w:hAnsi="仿宋" w:eastAsia="仿宋"/>
          <w:sz w:val="24"/>
          <w:highlight w:val="none"/>
        </w:rPr>
        <w:t xml:space="preserve">（三）基本设备配备要求</w:t>
      </w:r>
      <w:r/>
    </w:p>
    <w:p>
      <w:pPr>
        <w:ind w:firstLine="480"/>
        <w:rPr>
          <w:rFonts w:ascii="仿宋" w:hAnsi="仿宋" w:eastAsia="仿宋"/>
          <w:sz w:val="24"/>
          <w:highlight w:val="none"/>
        </w:rPr>
      </w:pPr>
      <w:r>
        <w:rPr>
          <w:rFonts w:hint="eastAsia" w:ascii="仿宋" w:hAnsi="仿宋" w:eastAsia="仿宋"/>
          <w:sz w:val="24"/>
          <w:highlight w:val="none"/>
        </w:rPr>
        <w:t xml:space="preserve">1、道路路面维修包括：自有沥青拌合楼（城北街道办事处40公里以内）或与具备上述条件的企业签订沥青、水稳供货合同（接到供货通知后确保所需材料3小时内到达施工现场，满足摊铺要求）、沥青摊铺机、铣刨机、胶轮压路机、双钢轮压路机、挖掘机等；</w:t>
      </w:r>
      <w:r/>
    </w:p>
    <w:p>
      <w:pPr>
        <w:ind w:firstLine="480"/>
        <w:rPr>
          <w:rFonts w:ascii="仿宋" w:hAnsi="仿宋" w:eastAsia="仿宋"/>
          <w:sz w:val="24"/>
          <w:highlight w:val="none"/>
        </w:rPr>
      </w:pPr>
      <w:r>
        <w:rPr>
          <w:rFonts w:hint="eastAsia" w:ascii="仿宋" w:hAnsi="仿宋" w:eastAsia="仿宋"/>
          <w:sz w:val="24"/>
          <w:highlight w:val="none"/>
        </w:rPr>
        <w:t xml:space="preserve">2、项目部使用及道路巡查车辆包括：专业工程车、巡查应急抢险专用车不少于3辆，均为皮卡，非机动车若干。</w:t>
      </w:r>
      <w:r/>
    </w:p>
    <w:p>
      <w:pPr>
        <w:ind w:firstLine="480"/>
        <w:rPr>
          <w:rFonts w:ascii="仿宋" w:hAnsi="仿宋" w:eastAsia="仿宋"/>
          <w:sz w:val="24"/>
          <w:highlight w:val="none"/>
        </w:rPr>
      </w:pPr>
      <w:r>
        <w:rPr>
          <w:rFonts w:hint="eastAsia" w:ascii="仿宋" w:hAnsi="仿宋" w:eastAsia="仿宋"/>
          <w:sz w:val="24"/>
          <w:highlight w:val="none"/>
        </w:rPr>
        <w:t xml:space="preserve">（四）其他工作要求</w:t>
      </w:r>
      <w:r/>
    </w:p>
    <w:p>
      <w:pPr>
        <w:ind w:firstLine="480"/>
        <w:rPr>
          <w:rFonts w:ascii="仿宋" w:hAnsi="仿宋" w:eastAsia="仿宋"/>
          <w:sz w:val="24"/>
          <w:highlight w:val="none"/>
        </w:rPr>
      </w:pPr>
      <w:r>
        <w:rPr>
          <w:rFonts w:hint="eastAsia" w:ascii="仿宋" w:hAnsi="仿宋" w:eastAsia="仿宋"/>
          <w:sz w:val="24"/>
          <w:highlight w:val="none"/>
        </w:rPr>
        <w:t xml:space="preserve">1、所有人员保证24小时手机联系畅通，根据甲方指令单的要求，确保30分钟内能赶到现场，及时有效的组织市政设施养护维修施工。遇防洪抗灾、应急抢险等重大、紧急任务时，服从甲方安排，配备与抢险任务相适应的人员及设施设备，确保抢险任务的顺利完成。</w:t>
      </w:r>
      <w:r/>
    </w:p>
    <w:p>
      <w:pPr>
        <w:ind w:firstLine="480"/>
        <w:rPr>
          <w:rFonts w:ascii="仿宋" w:hAnsi="仿宋" w:eastAsia="仿宋"/>
          <w:sz w:val="24"/>
          <w:highlight w:val="none"/>
        </w:rPr>
      </w:pPr>
      <w:r>
        <w:rPr>
          <w:rFonts w:hint="eastAsia" w:ascii="仿宋" w:hAnsi="仿宋" w:eastAsia="仿宋"/>
          <w:sz w:val="24"/>
          <w:highlight w:val="none"/>
        </w:rPr>
        <w:t xml:space="preserve">2、按市政道路、桥梁养护规范，乙方要建立一路一档、一桥一档台账。桥梁巡查由桥梁工程师制定日常巡查计划并牵头组织实施。巡查人员作为城区应急处置的第一梯队必须在接到通知后30分钟内赶到指定的点位参加应急工作。</w:t>
      </w:r>
      <w:r/>
    </w:p>
    <w:p>
      <w:pPr>
        <w:ind w:firstLine="480"/>
        <w:rPr>
          <w:rFonts w:ascii="仿宋" w:hAnsi="仿宋" w:eastAsia="仿宋"/>
          <w:sz w:val="24"/>
          <w:highlight w:val="none"/>
        </w:rPr>
      </w:pPr>
      <w:r>
        <w:rPr>
          <w:rFonts w:hint="eastAsia" w:ascii="仿宋" w:hAnsi="仿宋" w:eastAsia="仿宋"/>
          <w:sz w:val="24"/>
          <w:highlight w:val="none"/>
        </w:rPr>
        <w:t xml:space="preserve">3、为加强桥梁巡查工作，每月至少对养护范围内所有桥梁进行一次专项巡查，专项巡查须由桥梁工程师本人到场带队巡查，并做好巡查记录，形成工作台账。</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须对承担养护的所有城市道路及设施配备专职巡检员和巡检交通工具，对巡检员进行基础知识教育，做好巡检记录，明确责任到人。设施的巡检频率应满足《城镇道路养护技术规范》（CJJ36-2016）的要求，道路设施的巡检周期为：Ⅰ等养护道路（主干道、商业繁华街道等）每日一巡；Ⅱ等养护道路（除Ⅰ等以外的次干道、支路中的商业街道等）每二日一巡；Ⅲ等养护道路（除Ⅰ、Ⅱ等养护以外的支路）每三日一巡。</w:t>
      </w:r>
      <w:r/>
    </w:p>
    <w:p>
      <w:pPr>
        <w:ind w:firstLine="480"/>
        <w:rPr>
          <w:rFonts w:ascii="仿宋" w:hAnsi="仿宋" w:eastAsia="仿宋"/>
          <w:sz w:val="24"/>
          <w:highlight w:val="none"/>
        </w:rPr>
      </w:pPr>
      <w:r>
        <w:rPr>
          <w:rFonts w:hint="eastAsia" w:ascii="仿宋" w:hAnsi="仿宋" w:eastAsia="仿宋"/>
          <w:sz w:val="24"/>
          <w:highlight w:val="none"/>
        </w:rPr>
        <w:t xml:space="preserve">（五）巡查内容及要求</w:t>
      </w:r>
      <w:r/>
    </w:p>
    <w:p>
      <w:pPr>
        <w:ind w:firstLine="480"/>
        <w:rPr>
          <w:rFonts w:ascii="仿宋" w:hAnsi="仿宋" w:eastAsia="仿宋"/>
          <w:sz w:val="24"/>
          <w:highlight w:val="none"/>
        </w:rPr>
      </w:pPr>
      <w:r>
        <w:rPr>
          <w:rFonts w:hint="eastAsia" w:ascii="仿宋" w:hAnsi="仿宋" w:eastAsia="仿宋"/>
          <w:sz w:val="24"/>
          <w:highlight w:val="none"/>
        </w:rPr>
        <w:t xml:space="preserve">乙方必须按照合同约定建立专职巡查队伍。工作任务为城区市政设施巡查及应急抢险。巡查人员不得作为维修人员使用。甲方针对乙方巡查情况实施考核，考核方式为月度考核与日常不定期考核相结合，如出现问题，相关罚款从巡查费用中扣除。</w:t>
      </w:r>
      <w:r/>
    </w:p>
    <w:p>
      <w:pPr>
        <w:ind w:firstLine="480"/>
        <w:rPr>
          <w:rFonts w:ascii="仿宋" w:hAnsi="仿宋" w:eastAsia="仿宋"/>
          <w:sz w:val="24"/>
          <w:highlight w:val="none"/>
        </w:rPr>
      </w:pPr>
      <w:r>
        <w:rPr>
          <w:rFonts w:hint="eastAsia" w:ascii="仿宋" w:hAnsi="仿宋" w:eastAsia="仿宋"/>
          <w:sz w:val="24"/>
          <w:highlight w:val="none"/>
        </w:rPr>
        <w:t xml:space="preserve">（六）维修考核及巡查考核：</w:t>
      </w:r>
      <w:r/>
    </w:p>
    <w:p>
      <w:pPr>
        <w:ind w:firstLine="480"/>
        <w:rPr>
          <w:rFonts w:ascii="仿宋" w:hAnsi="仿宋" w:eastAsia="仿宋"/>
          <w:sz w:val="24"/>
          <w:highlight w:val="none"/>
        </w:rPr>
      </w:pPr>
      <w:r>
        <w:rPr>
          <w:rFonts w:hint="eastAsia" w:ascii="仿宋" w:hAnsi="仿宋" w:eastAsia="仿宋"/>
          <w:sz w:val="24"/>
          <w:highlight w:val="none"/>
        </w:rPr>
        <w:t xml:space="preserve">乙方在巡查过程中有下列行为之一的，视情节罚款500-2500元，并由乙方承担相应责任：</w:t>
      </w:r>
      <w:r/>
    </w:p>
    <w:p>
      <w:pPr>
        <w:ind w:firstLine="480"/>
        <w:rPr>
          <w:rFonts w:ascii="仿宋" w:hAnsi="仿宋" w:eastAsia="仿宋"/>
          <w:sz w:val="24"/>
          <w:highlight w:val="none"/>
        </w:rPr>
      </w:pPr>
      <w:r>
        <w:rPr>
          <w:rFonts w:hint="eastAsia" w:ascii="仿宋" w:hAnsi="仿宋" w:eastAsia="仿宋"/>
          <w:sz w:val="24"/>
          <w:highlight w:val="none"/>
        </w:rPr>
        <w:t xml:space="preserve">（1）未能及时发现道路损坏、井盖损坏缺失的或发现后不能及时修复的；</w:t>
      </w:r>
      <w:r/>
    </w:p>
    <w:p>
      <w:pPr>
        <w:ind w:firstLine="480"/>
        <w:rPr>
          <w:rFonts w:ascii="仿宋" w:hAnsi="仿宋" w:eastAsia="仿宋"/>
          <w:sz w:val="24"/>
          <w:highlight w:val="none"/>
        </w:rPr>
      </w:pPr>
      <w:r>
        <w:rPr>
          <w:rFonts w:hint="eastAsia" w:ascii="仿宋" w:hAnsi="仿宋" w:eastAsia="仿宋"/>
          <w:sz w:val="24"/>
          <w:highlight w:val="none"/>
        </w:rPr>
        <w:t xml:space="preserve">（2）未能及时发现、消除安全隐患的；</w:t>
      </w:r>
      <w:r/>
    </w:p>
    <w:p>
      <w:pPr>
        <w:ind w:firstLine="480"/>
        <w:rPr>
          <w:rFonts w:ascii="仿宋" w:hAnsi="仿宋" w:eastAsia="仿宋"/>
          <w:sz w:val="24"/>
          <w:highlight w:val="none"/>
        </w:rPr>
      </w:pPr>
      <w:r>
        <w:rPr>
          <w:rFonts w:hint="eastAsia" w:ascii="仿宋" w:hAnsi="仿宋" w:eastAsia="仿宋"/>
          <w:sz w:val="24"/>
          <w:highlight w:val="none"/>
        </w:rPr>
        <w:t xml:space="preserve">（3）未能及时发现并制止擅自挖掘和占用城市道路的，尤其是开道口、顶管（牵引管）、乱接私接管道等；</w:t>
      </w:r>
      <w:r/>
    </w:p>
    <w:p>
      <w:pPr>
        <w:ind w:firstLine="480"/>
        <w:rPr>
          <w:rFonts w:ascii="仿宋" w:hAnsi="仿宋" w:eastAsia="仿宋"/>
          <w:sz w:val="24"/>
          <w:highlight w:val="none"/>
        </w:rPr>
      </w:pPr>
      <w:r>
        <w:rPr>
          <w:rFonts w:hint="eastAsia" w:ascii="仿宋" w:hAnsi="仿宋" w:eastAsia="仿宋"/>
          <w:sz w:val="24"/>
          <w:highlight w:val="none"/>
        </w:rPr>
        <w:t xml:space="preserve">（4）未能及时发现和制止《城市道路管理条例》第二十七条中列出的在城市道路范围内被禁止行为的；</w:t>
      </w:r>
      <w:r/>
    </w:p>
    <w:p>
      <w:pPr>
        <w:ind w:firstLine="480"/>
        <w:rPr>
          <w:rFonts w:ascii="仿宋" w:hAnsi="仿宋" w:eastAsia="仿宋"/>
          <w:sz w:val="24"/>
          <w:highlight w:val="none"/>
        </w:rPr>
      </w:pPr>
      <w:r>
        <w:rPr>
          <w:rFonts w:hint="eastAsia" w:ascii="仿宋" w:hAnsi="仿宋" w:eastAsia="仿宋"/>
          <w:sz w:val="24"/>
          <w:highlight w:val="none"/>
        </w:rPr>
        <w:t xml:space="preserve">乙方修复质量不合格的，每出现一次罚款1000-10000元，同时对维修不合格的部分必须无条件返工。乙方对甲方下达的指令、交办的任务不能按时完成的，超期部分罚款500元/天。</w:t>
      </w:r>
      <w:r/>
    </w:p>
    <w:p>
      <w:pPr>
        <w:ind w:firstLine="480"/>
        <w:rPr>
          <w:rFonts w:ascii="仿宋" w:hAnsi="仿宋" w:eastAsia="仿宋"/>
          <w:sz w:val="24"/>
          <w:highlight w:val="none"/>
        </w:rPr>
      </w:pPr>
      <w:r>
        <w:rPr>
          <w:rFonts w:hint="eastAsia" w:ascii="仿宋" w:hAnsi="仿宋" w:eastAsia="仿宋"/>
          <w:sz w:val="24"/>
          <w:highlight w:val="none"/>
        </w:rPr>
        <w:t xml:space="preserve">乙方履责不到位，出现下列情况的，每出现一次罚款1000-2500元：</w:t>
      </w:r>
      <w:r/>
    </w:p>
    <w:p>
      <w:pPr>
        <w:ind w:firstLine="480"/>
        <w:rPr>
          <w:rFonts w:ascii="仿宋" w:hAnsi="仿宋" w:eastAsia="仿宋"/>
          <w:sz w:val="24"/>
          <w:highlight w:val="none"/>
        </w:rPr>
      </w:pPr>
      <w:r>
        <w:rPr>
          <w:rFonts w:hint="eastAsia" w:ascii="仿宋" w:hAnsi="仿宋" w:eastAsia="仿宋"/>
          <w:sz w:val="24"/>
          <w:highlight w:val="none"/>
        </w:rPr>
        <w:t xml:space="preserve">（1）被媒体曝光、群众举报或人民来信反映的；</w:t>
      </w:r>
      <w:r/>
    </w:p>
    <w:p>
      <w:pPr>
        <w:ind w:firstLine="480"/>
        <w:rPr>
          <w:rFonts w:ascii="仿宋" w:hAnsi="仿宋" w:eastAsia="仿宋"/>
          <w:sz w:val="24"/>
          <w:highlight w:val="none"/>
        </w:rPr>
      </w:pPr>
      <w:r>
        <w:rPr>
          <w:rFonts w:hint="eastAsia" w:ascii="仿宋" w:hAnsi="仿宋" w:eastAsia="仿宋"/>
          <w:sz w:val="24"/>
          <w:highlight w:val="none"/>
        </w:rPr>
        <w:t xml:space="preserve">（2）在上级组织的明查暗访中被督查通报的；</w:t>
      </w:r>
      <w:r/>
    </w:p>
    <w:p>
      <w:pPr>
        <w:ind w:firstLine="480"/>
        <w:rPr>
          <w:rFonts w:ascii="仿宋" w:hAnsi="仿宋" w:eastAsia="仿宋"/>
          <w:sz w:val="24"/>
          <w:highlight w:val="none"/>
        </w:rPr>
      </w:pPr>
      <w:r>
        <w:rPr>
          <w:rFonts w:hint="eastAsia" w:ascii="仿宋" w:hAnsi="仿宋" w:eastAsia="仿宋"/>
          <w:sz w:val="24"/>
          <w:highlight w:val="none"/>
        </w:rPr>
        <w:t xml:space="preserve">（3）造成较大社会负面影响的；</w:t>
      </w:r>
      <w:r/>
    </w:p>
    <w:p>
      <w:pPr>
        <w:ind w:firstLine="480"/>
        <w:rPr>
          <w:rFonts w:ascii="仿宋" w:hAnsi="仿宋" w:eastAsia="仿宋"/>
          <w:sz w:val="24"/>
          <w:highlight w:val="none"/>
        </w:rPr>
      </w:pPr>
      <w:r>
        <w:rPr>
          <w:rFonts w:hint="eastAsia" w:ascii="仿宋" w:hAnsi="仿宋" w:eastAsia="仿宋"/>
          <w:sz w:val="24"/>
          <w:highlight w:val="none"/>
        </w:rPr>
        <w:t xml:space="preserve">（4）应急抢险未在规定时间内到场处置的； </w:t>
      </w:r>
      <w:r/>
    </w:p>
    <w:p>
      <w:pPr>
        <w:ind w:firstLine="480"/>
        <w:rPr>
          <w:rFonts w:ascii="仿宋" w:hAnsi="仿宋" w:eastAsia="仿宋"/>
          <w:sz w:val="24"/>
          <w:highlight w:val="none"/>
        </w:rPr>
      </w:pPr>
      <w:r>
        <w:rPr>
          <w:rFonts w:hint="eastAsia" w:ascii="仿宋" w:hAnsi="仿宋" w:eastAsia="仿宋"/>
          <w:sz w:val="24"/>
          <w:highlight w:val="none"/>
        </w:rPr>
        <w:t xml:space="preserve">乙方安全文明生产落实不到位，出现下列情况的，每出现一次罚款1000-5000元：</w:t>
      </w:r>
      <w:r/>
    </w:p>
    <w:p>
      <w:pPr>
        <w:ind w:firstLine="480"/>
        <w:rPr>
          <w:rFonts w:ascii="仿宋" w:hAnsi="仿宋" w:eastAsia="仿宋"/>
          <w:sz w:val="24"/>
          <w:highlight w:val="none"/>
        </w:rPr>
      </w:pPr>
      <w:r>
        <w:rPr>
          <w:rFonts w:hint="eastAsia" w:ascii="仿宋" w:hAnsi="仿宋" w:eastAsia="仿宋"/>
          <w:sz w:val="24"/>
          <w:highlight w:val="none"/>
        </w:rPr>
        <w:t xml:space="preserve">（1）作业现场安全防护（含人员防护、现场防护、人员着装等）、文明标语、扬尘管控落实不到位的；</w:t>
      </w:r>
      <w:r/>
    </w:p>
    <w:p>
      <w:pPr>
        <w:ind w:firstLine="480"/>
        <w:rPr>
          <w:rFonts w:ascii="仿宋" w:hAnsi="仿宋" w:eastAsia="仿宋"/>
          <w:sz w:val="24"/>
          <w:highlight w:val="none"/>
        </w:rPr>
      </w:pPr>
      <w:r>
        <w:rPr>
          <w:rFonts w:hint="eastAsia" w:ascii="仿宋" w:hAnsi="仿宋" w:eastAsia="仿宋"/>
          <w:sz w:val="24"/>
          <w:highlight w:val="none"/>
        </w:rPr>
        <w:t xml:space="preserve">（2）有限空间作业、深基坑作业、高空作业等危险性较大工程未规范作业、未履行报批手续的；</w:t>
      </w:r>
      <w:r/>
    </w:p>
    <w:p>
      <w:pPr>
        <w:ind w:firstLine="480"/>
        <w:rPr>
          <w:rFonts w:ascii="仿宋" w:hAnsi="仿宋" w:eastAsia="仿宋"/>
          <w:sz w:val="24"/>
          <w:highlight w:val="none"/>
        </w:rPr>
      </w:pPr>
      <w:r>
        <w:rPr>
          <w:rFonts w:hint="eastAsia" w:ascii="仿宋" w:hAnsi="仿宋" w:eastAsia="仿宋"/>
          <w:sz w:val="24"/>
          <w:highlight w:val="none"/>
        </w:rPr>
        <w:t xml:space="preserve">（3）养护施工台账、安全管理台账缺失的；</w:t>
      </w:r>
      <w:r/>
    </w:p>
    <w:p>
      <w:pPr>
        <w:ind w:firstLine="480"/>
        <w:rPr>
          <w:rFonts w:ascii="仿宋" w:hAnsi="仿宋" w:eastAsia="仿宋"/>
          <w:sz w:val="24"/>
          <w:highlight w:val="none"/>
        </w:rPr>
      </w:pPr>
      <w:r>
        <w:rPr>
          <w:rFonts w:hint="eastAsia" w:ascii="仿宋" w:hAnsi="仿宋" w:eastAsia="仿宋"/>
          <w:sz w:val="24"/>
          <w:highlight w:val="none"/>
        </w:rPr>
        <w:t xml:space="preserve">乙方出现不服从管理或应急抢险时不能及时到位的情况，甲方有权中止合同并追究乙方相应经济责任。</w:t>
      </w:r>
      <w:r/>
    </w:p>
    <w:p>
      <w:pPr>
        <w:ind w:firstLine="480"/>
        <w:rPr>
          <w:rFonts w:ascii="仿宋" w:hAnsi="仿宋" w:eastAsia="仿宋"/>
          <w:sz w:val="24"/>
          <w:highlight w:val="none"/>
        </w:rPr>
      </w:pPr>
      <w:r>
        <w:rPr>
          <w:rFonts w:hint="eastAsia" w:ascii="仿宋" w:hAnsi="仿宋" w:eastAsia="仿宋"/>
          <w:sz w:val="24"/>
          <w:highlight w:val="none"/>
        </w:rPr>
        <w:t xml:space="preserve">因乙方履责不到位导致出现事故的，由乙方承担全部责任（包括安全事故、交通事故、意外伤害事故等）。维修考核罚款从当期结算款中扣除，巡查考核罚款从巡查款中扣除。</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履约保证金</w:t>
      </w:r>
      <w:r/>
    </w:p>
    <w:p>
      <w:pPr>
        <w:ind w:firstLine="480"/>
        <w:rPr>
          <w:rFonts w:ascii="仿宋" w:hAnsi="仿宋" w:eastAsia="仿宋"/>
          <w:sz w:val="24"/>
          <w:highlight w:val="none"/>
        </w:rPr>
      </w:pPr>
      <w:r>
        <w:rPr>
          <w:rFonts w:ascii="仿宋" w:hAnsi="仿宋" w:eastAsia="仿宋"/>
          <w:sz w:val="24"/>
          <w:highlight w:val="none"/>
        </w:rPr>
        <w:t xml:space="preserve">（一）中标（成交）通知书发出后30日内，</w:t>
      </w:r>
      <w:r>
        <w:rPr>
          <w:rFonts w:hint="eastAsia" w:ascii="仿宋" w:hAnsi="仿宋" w:eastAsia="仿宋"/>
          <w:sz w:val="24"/>
          <w:highlight w:val="none"/>
        </w:rPr>
        <w:t xml:space="preserve">乙方</w:t>
      </w:r>
      <w:r>
        <w:rPr>
          <w:rFonts w:ascii="仿宋" w:hAnsi="仿宋" w:eastAsia="仿宋"/>
          <w:sz w:val="24"/>
          <w:highlight w:val="none"/>
        </w:rPr>
        <w:t xml:space="preserve">按照</w:t>
      </w:r>
      <w:r>
        <w:rPr>
          <w:rFonts w:hint="eastAsia" w:ascii="仿宋" w:hAnsi="仿宋" w:eastAsia="仿宋"/>
          <w:sz w:val="24"/>
          <w:highlight w:val="none"/>
        </w:rPr>
        <w:t xml:space="preserve">中标</w:t>
      </w:r>
      <w:r>
        <w:rPr>
          <w:rFonts w:ascii="仿宋" w:hAnsi="仿宋" w:eastAsia="仿宋"/>
          <w:sz w:val="24"/>
          <w:highlight w:val="none"/>
        </w:rPr>
        <w:t xml:space="preserve">金额10%向</w:t>
      </w:r>
      <w:r>
        <w:rPr>
          <w:rFonts w:hint="eastAsia" w:ascii="仿宋" w:hAnsi="仿宋" w:eastAsia="仿宋"/>
          <w:sz w:val="24"/>
          <w:highlight w:val="none"/>
        </w:rPr>
        <w:t xml:space="preserve">甲方</w:t>
      </w:r>
      <w:r>
        <w:rPr>
          <w:rFonts w:ascii="仿宋" w:hAnsi="仿宋" w:eastAsia="仿宋"/>
          <w:sz w:val="24"/>
          <w:highlight w:val="none"/>
        </w:rPr>
        <w:t xml:space="preserve">缴纳履约保证金并签订合同。履约验收完毕后，</w:t>
      </w:r>
      <w:r>
        <w:rPr>
          <w:rFonts w:hint="eastAsia" w:ascii="仿宋" w:hAnsi="仿宋" w:eastAsia="仿宋"/>
          <w:sz w:val="24"/>
          <w:highlight w:val="none"/>
        </w:rPr>
        <w:t xml:space="preserve">甲方</w:t>
      </w:r>
      <w:r>
        <w:rPr>
          <w:rFonts w:ascii="仿宋" w:hAnsi="仿宋" w:eastAsia="仿宋"/>
          <w:sz w:val="24"/>
          <w:highlight w:val="none"/>
        </w:rPr>
        <w:t xml:space="preserve">在（</w:t>
      </w:r>
      <w:r>
        <w:rPr>
          <w:rFonts w:hint="eastAsia" w:ascii="仿宋" w:hAnsi="仿宋" w:eastAsia="仿宋"/>
          <w:sz w:val="24"/>
          <w:highlight w:val="none"/>
        </w:rPr>
        <w:t xml:space="preserve">乙方</w:t>
      </w:r>
      <w:r>
        <w:rPr>
          <w:rFonts w:ascii="仿宋" w:hAnsi="仿宋" w:eastAsia="仿宋"/>
          <w:sz w:val="24"/>
          <w:highlight w:val="none"/>
        </w:rPr>
        <w:t xml:space="preserve">申请后）30日内退还履约保证金，</w:t>
      </w:r>
      <w:r>
        <w:rPr>
          <w:rFonts w:hint="eastAsia" w:ascii="仿宋" w:hAnsi="仿宋" w:eastAsia="仿宋"/>
          <w:sz w:val="24"/>
          <w:highlight w:val="none"/>
        </w:rPr>
        <w:t xml:space="preserve">甲方</w:t>
      </w:r>
      <w:r>
        <w:rPr>
          <w:rFonts w:ascii="仿宋" w:hAnsi="仿宋" w:eastAsia="仿宋"/>
          <w:sz w:val="24"/>
          <w:highlight w:val="none"/>
        </w:rPr>
        <w:t xml:space="preserve">逾期退还履约保证金的，除应当退还履约保证金本金外，还应当按商业银行同期贷款利率支付资金占用费。</w:t>
      </w:r>
      <w:r/>
    </w:p>
    <w:p>
      <w:pPr>
        <w:ind w:firstLine="480"/>
        <w:rPr>
          <w:rFonts w:ascii="仿宋" w:hAnsi="仿宋" w:eastAsia="仿宋"/>
          <w:sz w:val="24"/>
          <w:highlight w:val="none"/>
        </w:rPr>
      </w:pPr>
      <w:r>
        <w:rPr>
          <w:rFonts w:ascii="仿宋" w:hAnsi="仿宋" w:eastAsia="仿宋"/>
          <w:sz w:val="24"/>
          <w:highlight w:val="none"/>
        </w:rPr>
        <w:t xml:space="preserve">（二）履约保证金由</w:t>
      </w:r>
      <w:r>
        <w:rPr>
          <w:rFonts w:hint="eastAsia" w:ascii="仿宋" w:hAnsi="仿宋" w:eastAsia="仿宋"/>
          <w:sz w:val="24"/>
          <w:highlight w:val="none"/>
        </w:rPr>
        <w:t xml:space="preserve">甲方</w:t>
      </w:r>
      <w:r>
        <w:rPr>
          <w:rFonts w:ascii="仿宋" w:hAnsi="仿宋" w:eastAsia="仿宋"/>
          <w:sz w:val="24"/>
          <w:highlight w:val="none"/>
        </w:rPr>
        <w:t xml:space="preserve">与</w:t>
      </w:r>
      <w:r>
        <w:rPr>
          <w:rFonts w:hint="eastAsia" w:ascii="仿宋" w:hAnsi="仿宋" w:eastAsia="仿宋"/>
          <w:sz w:val="24"/>
          <w:highlight w:val="none"/>
        </w:rPr>
        <w:t xml:space="preserve">乙方</w:t>
      </w:r>
      <w:r>
        <w:rPr>
          <w:rFonts w:ascii="仿宋" w:hAnsi="仿宋" w:eastAsia="仿宋"/>
          <w:sz w:val="24"/>
          <w:highlight w:val="none"/>
        </w:rPr>
        <w:t xml:space="preserve">协商，自主选择</w:t>
      </w:r>
      <w:r>
        <w:rPr>
          <w:rFonts w:hint="eastAsia" w:ascii="仿宋" w:hAnsi="仿宋" w:eastAsia="仿宋"/>
          <w:sz w:val="24"/>
          <w:highlight w:val="none"/>
        </w:rPr>
        <w:t xml:space="preserve">银行转账、电汇、网银、银行见索即付不可撤销的履约保函（纸质和电子形式均可）</w:t>
      </w:r>
      <w:r/>
    </w:p>
    <w:p>
      <w:pPr>
        <w:ind w:firstLine="480"/>
        <w:rPr>
          <w:rFonts w:ascii="仿宋" w:hAnsi="仿宋" w:eastAsia="仿宋"/>
          <w:sz w:val="24"/>
          <w:highlight w:val="none"/>
        </w:rPr>
      </w:pPr>
      <w:r>
        <w:rPr>
          <w:rFonts w:hint="eastAsia" w:ascii="仿宋" w:hAnsi="仿宋" w:eastAsia="仿宋"/>
          <w:sz w:val="24"/>
          <w:highlight w:val="none"/>
        </w:rPr>
        <w:t xml:space="preserve">（三）若采取银行保函形式提交的，应由乙方基本账户开户行出具，且保函期限需比计划工期延长6个月；如采取其他保函形式的，履约保函必须按照中华人民共和国住房和城乡建设部（关于印发工程保函示范文本的通知）建市〔2021〕11 号附件7格式开具，不得进行更改。</w:t>
      </w:r>
      <w:r/>
    </w:p>
    <w:p>
      <w:pPr>
        <w:ind w:firstLine="480"/>
        <w:rPr>
          <w:rFonts w:ascii="仿宋" w:hAnsi="仿宋" w:eastAsia="仿宋"/>
          <w:sz w:val="24"/>
          <w:highlight w:val="none"/>
        </w:rPr>
      </w:pPr>
      <w:r>
        <w:rPr>
          <w:rFonts w:hint="eastAsia" w:ascii="仿宋" w:hAnsi="仿宋" w:eastAsia="仿宋"/>
          <w:sz w:val="24"/>
          <w:highlight w:val="none"/>
        </w:rPr>
        <w:t xml:space="preserve">（四）采用银行转账形式缴纳的，履约保证金原则上应在项目验收合格后30天内退还。</w:t>
      </w:r>
      <w:r/>
    </w:p>
    <w:p>
      <w:pPr>
        <w:ind w:left="482"/>
        <w:rPr>
          <w:rFonts w:ascii="仿宋" w:hAnsi="仿宋" w:eastAsia="仿宋"/>
          <w:b/>
          <w:sz w:val="24"/>
          <w:highlight w:val="none"/>
        </w:rPr>
      </w:pPr>
      <w:r>
        <w:rPr>
          <w:rFonts w:hint="eastAsia" w:ascii="仿宋" w:hAnsi="仿宋" w:eastAsia="仿宋"/>
          <w:b/>
          <w:sz w:val="24"/>
          <w:highlight w:val="none"/>
        </w:rPr>
        <w:t xml:space="preserve">第五条  权利义务和质量保证</w:t>
      </w:r>
      <w:r/>
    </w:p>
    <w:p>
      <w:pPr>
        <w:pStyle w:val="657"/>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57"/>
        <w:ind w:firstLine="480"/>
        <w:spacing w:line="240" w:lineRule="auto"/>
        <w:rPr>
          <w:rFonts w:ascii="仿宋" w:hAnsi="仿宋" w:eastAsia="仿宋"/>
          <w:sz w:val="24"/>
          <w:szCs w:val="24"/>
          <w:highlight w:val="none"/>
        </w:rPr>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pPr>
      <w:r>
        <w:rPr>
          <w:rFonts w:hint="eastAsia" w:ascii="仿宋" w:hAnsi="仿宋" w:eastAsia="仿宋"/>
          <w:b/>
          <w:sz w:val="24"/>
          <w:highlight w:val="none"/>
        </w:rPr>
        <w:t xml:space="preserve">第六条  付款方式</w:t>
      </w:r>
      <w:r/>
    </w:p>
    <w:p>
      <w:pPr>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pPr>
      <w:r>
        <w:rPr>
          <w:rFonts w:hint="eastAsia" w:ascii="仿宋" w:hAnsi="仿宋" w:eastAsia="仿宋"/>
          <w:sz w:val="24"/>
          <w:highlight w:val="none"/>
        </w:rPr>
        <w:t xml:space="preserve">（3）其他材料。</w:t>
      </w:r>
      <w:r/>
    </w:p>
    <w:p>
      <w:pPr>
        <w:ind w:firstLine="480"/>
        <w:rPr>
          <w:rFonts w:ascii="仿宋" w:hAnsi="仿宋" w:eastAsia="仿宋"/>
          <w:sz w:val="24"/>
          <w:highlight w:val="none"/>
        </w:rPr>
      </w:pPr>
      <w:r>
        <w:rPr>
          <w:rFonts w:hint="eastAsia" w:ascii="仿宋" w:hAnsi="仿宋" w:eastAsia="仿宋"/>
          <w:sz w:val="24"/>
          <w:highlight w:val="none"/>
        </w:rPr>
        <w:t xml:space="preserve">3.项目竣工验收合格并经审计后付至审计价的40%，满一年后付至项目审计价的80%；缺陷责任期（两年）满按审计价结清全部工程款。每次支付前，</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均应出具符合发包人财务规定以及开票报税要求的相应金额的正式发票。</w:t>
      </w:r>
      <w:r/>
    </w:p>
    <w:p>
      <w:pPr>
        <w:ind w:left="482"/>
        <w:rPr>
          <w:rFonts w:ascii="仿宋" w:hAnsi="仿宋" w:eastAsia="仿宋"/>
          <w:b/>
          <w:sz w:val="24"/>
          <w:highlight w:val="none"/>
        </w:rPr>
      </w:pPr>
      <w:r>
        <w:rPr>
          <w:rFonts w:hint="eastAsia" w:ascii="仿宋" w:hAnsi="仿宋" w:eastAsia="仿宋"/>
          <w:b/>
          <w:sz w:val="24"/>
          <w:highlight w:val="none"/>
        </w:rPr>
        <w:t xml:space="preserve">第七条  验收</w:t>
      </w:r>
      <w:r/>
    </w:p>
    <w:p>
      <w:pPr>
        <w:ind w:firstLine="480"/>
        <w:rPr>
          <w:rFonts w:ascii="仿宋" w:hAnsi="仿宋" w:eastAsia="仿宋"/>
          <w:sz w:val="24"/>
          <w:highlight w:val="none"/>
        </w:rPr>
      </w:pPr>
      <w:r>
        <w:rPr>
          <w:rFonts w:hint="eastAsia" w:ascii="仿宋" w:hAnsi="仿宋" w:eastAsia="仿宋"/>
          <w:sz w:val="24"/>
          <w:highlight w:val="none"/>
        </w:rPr>
        <w:t xml:space="preserve">1.服务期限：  至 。</w:t>
      </w:r>
      <w:r/>
    </w:p>
    <w:p>
      <w:pPr>
        <w:ind w:firstLine="720"/>
        <w:rPr>
          <w:rFonts w:ascii="仿宋" w:hAnsi="仿宋" w:eastAsia="仿宋"/>
          <w:sz w:val="24"/>
          <w:highlight w:val="none"/>
        </w:rPr>
      </w:pPr>
      <w:r>
        <w:rPr>
          <w:rFonts w:hint="eastAsia" w:ascii="仿宋" w:hAnsi="仿宋" w:eastAsia="仿宋"/>
          <w:sz w:val="24"/>
          <w:highlight w:val="none"/>
        </w:rPr>
        <w:t xml:space="preserve">服务地点：甲方指定地点。</w:t>
      </w:r>
      <w:r/>
    </w:p>
    <w:p>
      <w:pPr>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p>
    <w:p>
      <w:pPr>
        <w:ind w:firstLine="720"/>
        <w:rPr>
          <w:rFonts w:ascii="仿宋" w:hAnsi="仿宋" w:eastAsia="仿宋"/>
          <w:sz w:val="24"/>
          <w:highlight w:val="none"/>
        </w:rPr>
      </w:pPr>
      <w:r>
        <w:rPr>
          <w:rFonts w:hint="eastAsia" w:ascii="仿宋" w:hAnsi="仿宋" w:eastAsia="仿宋"/>
          <w:sz w:val="24"/>
          <w:highlight w:val="none"/>
        </w:rPr>
        <w:t xml:space="preserve">验收地点： 。</w:t>
      </w:r>
      <w:r/>
    </w:p>
    <w:p>
      <w:pPr>
        <w:pStyle w:val="657"/>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pPr>
      <w:r>
        <w:rPr>
          <w:rFonts w:hint="eastAsia" w:ascii="仿宋" w:hAnsi="仿宋" w:eastAsia="仿宋"/>
          <w:b/>
          <w:sz w:val="24"/>
          <w:highlight w:val="none"/>
        </w:rPr>
        <w:t xml:space="preserve">第八条  安全文明施工</w:t>
      </w:r>
      <w:r/>
    </w:p>
    <w:p>
      <w:pPr>
        <w:ind w:firstLine="482"/>
        <w:rPr>
          <w:rFonts w:ascii="仿宋" w:hAnsi="仿宋" w:eastAsia="仿宋"/>
          <w:sz w:val="24"/>
          <w:highlight w:val="none"/>
        </w:rPr>
      </w:pPr>
      <w:r>
        <w:rPr>
          <w:rFonts w:hint="eastAsia" w:ascii="仿宋" w:hAnsi="仿宋" w:eastAsia="仿宋"/>
          <w:sz w:val="24"/>
          <w:highlight w:val="none"/>
        </w:rPr>
        <w:t xml:space="preserve">1、施工期间乙方必须严格按安全文明施工规范组织施工，建立健全安全生产组织网络、安全责任体系、制度，同时认真记好安全台帐。如发生安全事故一律由甲方负全责。</w:t>
      </w:r>
      <w:r/>
    </w:p>
    <w:p>
      <w:pPr>
        <w:ind w:firstLine="482"/>
        <w:rPr>
          <w:rFonts w:ascii="仿宋" w:hAnsi="仿宋" w:eastAsia="仿宋"/>
          <w:sz w:val="24"/>
          <w:highlight w:val="none"/>
        </w:rPr>
      </w:pPr>
      <w:r>
        <w:rPr>
          <w:rFonts w:hint="eastAsia" w:ascii="仿宋" w:hAnsi="仿宋" w:eastAsia="仿宋"/>
          <w:sz w:val="24"/>
          <w:highlight w:val="none"/>
        </w:rPr>
        <w:t xml:space="preserve">2、乙方必须依法为施工现场从事管理和作业的员工办理团体人身意外伤害保险。</w:t>
      </w:r>
      <w:r/>
    </w:p>
    <w:p>
      <w:pPr>
        <w:ind w:firstLine="482"/>
        <w:rPr>
          <w:rFonts w:ascii="仿宋" w:hAnsi="仿宋" w:eastAsia="仿宋"/>
          <w:sz w:val="24"/>
          <w:highlight w:val="none"/>
        </w:rPr>
      </w:pPr>
      <w:r>
        <w:rPr>
          <w:rFonts w:hint="eastAsia" w:ascii="仿宋" w:hAnsi="仿宋" w:eastAsia="仿宋"/>
          <w:sz w:val="24"/>
          <w:highlight w:val="none"/>
        </w:rPr>
        <w:t xml:space="preserve">3、施工现场必须按要求布设通告、警示标志、施工护栏及警示红灯，并明确专职安全员日夜巡查。</w:t>
      </w:r>
      <w:r/>
    </w:p>
    <w:p>
      <w:pPr>
        <w:ind w:firstLine="482"/>
        <w:rPr>
          <w:rFonts w:ascii="仿宋" w:hAnsi="仿宋" w:eastAsia="仿宋"/>
          <w:sz w:val="24"/>
          <w:highlight w:val="none"/>
        </w:rPr>
      </w:pPr>
      <w:r>
        <w:rPr>
          <w:rFonts w:hint="eastAsia" w:ascii="仿宋" w:hAnsi="仿宋" w:eastAsia="仿宋"/>
          <w:sz w:val="24"/>
          <w:highlight w:val="none"/>
        </w:rPr>
        <w:t xml:space="preserve">4、在施工过程中，须加强绿色建造与环境管理，做好扬尘防治工作，减少噪音污染等工作。</w:t>
      </w:r>
      <w:r/>
    </w:p>
    <w:p>
      <w:pPr>
        <w:ind w:firstLine="482"/>
        <w:rPr>
          <w:rFonts w:ascii="仿宋" w:hAnsi="仿宋" w:eastAsia="仿宋"/>
          <w:sz w:val="24"/>
          <w:highlight w:val="none"/>
        </w:rPr>
      </w:pPr>
      <w:r>
        <w:rPr>
          <w:rFonts w:hint="eastAsia" w:ascii="仿宋" w:hAnsi="仿宋" w:eastAsia="仿宋"/>
          <w:sz w:val="24"/>
          <w:highlight w:val="none"/>
        </w:rPr>
        <w:t xml:space="preserve">5、甲方应严格按照《建设工程安全生产管理条例》等法律、工程建设安全生产地有关管理规定，采取安全措施组织施工，并对本合同范围内所有施工范围和施工人员负全部安全生产责任。若发生安全事故，一切责任由乙方承担，发生一般或以上等级安全事故（按照国务院第493号令的等级标准），乙方在承担相应赔偿责任的同时，向发包人承担违约金。中标单位再次发生一般或以上等级安全事故的，或在甲方规定的整改期限内达不到整改要求或明显无法按期完工的，甲方有权要求乙方退场，并按应计量工程量的70%款项结算。</w:t>
      </w:r>
      <w:r/>
    </w:p>
    <w:p>
      <w:pPr>
        <w:ind w:left="482"/>
        <w:rPr>
          <w:rFonts w:ascii="仿宋" w:hAnsi="仿宋" w:eastAsia="仿宋"/>
          <w:b/>
          <w:sz w:val="24"/>
          <w:highlight w:val="none"/>
        </w:rPr>
      </w:pPr>
      <w:r>
        <w:rPr>
          <w:rFonts w:hint="eastAsia" w:ascii="仿宋" w:hAnsi="仿宋" w:eastAsia="仿宋"/>
          <w:b/>
          <w:sz w:val="24"/>
          <w:highlight w:val="none"/>
        </w:rPr>
        <w:t xml:space="preserve">第九条  项目管理服务</w:t>
      </w:r>
      <w:r/>
    </w:p>
    <w:p>
      <w:pPr>
        <w:ind w:firstLine="482"/>
        <w:rPr>
          <w:rFonts w:ascii="仿宋" w:hAnsi="仿宋" w:eastAsia="仿宋"/>
          <w:sz w:val="24"/>
          <w:highlight w:val="none"/>
        </w:rPr>
      </w:pPr>
      <w:r>
        <w:rPr>
          <w:rFonts w:hint="eastAsia" w:ascii="仿宋" w:hAnsi="仿宋" w:eastAsia="仿宋"/>
          <w:sz w:val="24"/>
          <w:highlight w:val="none"/>
        </w:rPr>
        <w:t xml:space="preserve">1. 甲方项目负责人姓名：        ； 联系电话：                。</w:t>
      </w:r>
      <w:r/>
    </w:p>
    <w:p>
      <w:pPr>
        <w:ind w:firstLine="482"/>
        <w:rPr>
          <w:rFonts w:ascii="仿宋" w:hAnsi="仿宋" w:eastAsia="仿宋"/>
          <w:sz w:val="24"/>
          <w:highlight w:val="none"/>
        </w:rPr>
      </w:pPr>
      <w:r>
        <w:rPr>
          <w:rFonts w:hint="eastAsia" w:ascii="仿宋" w:hAnsi="仿宋" w:eastAsia="仿宋"/>
          <w:sz w:val="24"/>
          <w:highlight w:val="none"/>
        </w:rPr>
        <w:t xml:space="preserve">2. 乙方项目负责人姓名：        ； 联系电话：                。</w:t>
      </w:r>
      <w:r/>
    </w:p>
    <w:p>
      <w:pPr>
        <w:ind w:left="482"/>
        <w:rPr>
          <w:rFonts w:ascii="仿宋" w:hAnsi="仿宋" w:eastAsia="仿宋"/>
          <w:b/>
          <w:sz w:val="24"/>
          <w:highlight w:val="none"/>
        </w:rPr>
      </w:pPr>
      <w:r>
        <w:rPr>
          <w:rFonts w:hint="eastAsia" w:ascii="仿宋" w:hAnsi="仿宋" w:eastAsia="仿宋"/>
          <w:b/>
          <w:sz w:val="24"/>
          <w:highlight w:val="none"/>
        </w:rPr>
        <w:t xml:space="preserve">第十条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第十一条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pPr>
      <w:r>
        <w:rPr>
          <w:rFonts w:hint="eastAsia" w:ascii="仿宋" w:hAnsi="仿宋" w:eastAsia="仿宋"/>
          <w:b/>
          <w:sz w:val="24"/>
          <w:highlight w:val="none"/>
        </w:rPr>
        <w:t xml:space="preserve">第十二条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第十三条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pPr>
      <w:r>
        <w:rPr>
          <w:rFonts w:hint="eastAsia" w:ascii="仿宋" w:hAnsi="仿宋" w:eastAsia="仿宋"/>
          <w:sz w:val="24"/>
          <w:highlight w:val="none"/>
        </w:rPr>
        <w:t xml:space="preserve">3.经协商不能解决的争议，双方可选择以下</w:t>
      </w:r>
      <w:r>
        <w:rPr>
          <w:rFonts w:hint="eastAsia" w:ascii="仿宋" w:hAnsi="仿宋" w:eastAsia="仿宋" w:cs="仿宋"/>
          <w:sz w:val="24"/>
          <w:highlight w:val="none"/>
        </w:rPr>
        <w:t xml:space="preserve">第①种</w:t>
      </w:r>
      <w:r>
        <w:rPr>
          <w:rFonts w:hint="eastAsia" w:ascii="仿宋" w:hAnsi="仿宋" w:eastAsia="仿宋"/>
          <w:sz w:val="24"/>
          <w:highlight w:val="none"/>
        </w:rPr>
        <w:t xml:space="preserve">方式解决：</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w:t>
      </w:r>
      <w:r>
        <w:rPr>
          <w:rFonts w:hint="eastAsia" w:ascii="仿宋" w:hAnsi="仿宋" w:eastAsia="仿宋" w:cs="仿宋"/>
          <w:sz w:val="24"/>
          <w:highlight w:val="none"/>
        </w:rPr>
        <w:t xml:space="preserve">如皋市</w:t>
      </w:r>
      <w:r>
        <w:rPr>
          <w:rFonts w:hint="eastAsia" w:ascii="仿宋" w:hAnsi="仿宋" w:eastAsia="仿宋"/>
          <w:sz w:val="24"/>
          <w:highlight w:val="none"/>
        </w:rPr>
        <w:t xml:space="preserve">有管辖权的法院提起诉讼；</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第十四条  其他</w:t>
      </w:r>
      <w:r/>
    </w:p>
    <w:p>
      <w:pPr>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spacing w:line="360" w:lineRule="auto"/>
        <w:rPr>
          <w:rFonts w:ascii="仿宋" w:hAnsi="仿宋" w:eastAsia="仿宋"/>
          <w:sz w:val="24"/>
          <w:highlight w:val="none"/>
        </w:rPr>
      </w:pPr>
      <w:r>
        <w:rPr>
          <w:rFonts w:hint="eastAsia" w:ascii="仿宋" w:hAnsi="仿宋" w:eastAsia="仿宋" w:cs="仿宋"/>
          <w:sz w:val="24"/>
          <w:highlight w:val="none"/>
        </w:rPr>
        <w:t xml:space="preserve">本合同一式</w:t>
      </w:r>
      <w:r>
        <w:rPr>
          <w:rFonts w:hint="eastAsia" w:ascii="仿宋" w:hAnsi="仿宋" w:eastAsia="仿宋" w:cs="仿宋"/>
          <w:sz w:val="24"/>
          <w:highlight w:val="none"/>
          <w:u w:val="single"/>
        </w:rPr>
        <w:t xml:space="preserve">捌</w:t>
      </w:r>
      <w:r>
        <w:rPr>
          <w:rFonts w:hint="eastAsia" w:ascii="仿宋" w:hAnsi="仿宋" w:eastAsia="仿宋" w:cs="仿宋"/>
          <w:sz w:val="24"/>
          <w:highlight w:val="none"/>
        </w:rPr>
        <w:t xml:space="preserve">份，甲、乙双方各执</w:t>
      </w:r>
      <w:r>
        <w:rPr>
          <w:rFonts w:hint="eastAsia" w:ascii="仿宋" w:hAnsi="仿宋" w:eastAsia="仿宋" w:cs="仿宋"/>
          <w:sz w:val="24"/>
          <w:highlight w:val="none"/>
          <w:u w:val="single"/>
        </w:rPr>
        <w:t xml:space="preserve">肆</w:t>
      </w:r>
      <w:r>
        <w:rPr>
          <w:rFonts w:hint="eastAsia" w:ascii="仿宋" w:hAnsi="仿宋" w:eastAsia="仿宋" w:cs="仿宋"/>
          <w:sz w:val="24"/>
          <w:highlight w:val="none"/>
        </w:rPr>
        <w:t xml:space="preserve">份。</w:t>
      </w:r>
      <w:r/>
    </w:p>
    <w:tbl>
      <w:tblPr>
        <w:tblStyle w:val="65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rPr>
          <w:rFonts w:ascii="仿宋" w:hAnsi="仿宋" w:eastAsia="仿宋"/>
          <w:sz w:val="24"/>
          <w:highlight w:val="none"/>
        </w:rPr>
      </w:pPr>
      <w:r>
        <w:rPr>
          <w:rFonts w:ascii="仿宋" w:hAnsi="仿宋" w:eastAsia="仿宋"/>
          <w:sz w:val="24"/>
          <w:highlight w:val="none"/>
        </w:rPr>
        <w:br w:type="page" w:clear="all"/>
      </w:r>
      <w:r/>
    </w:p>
    <w:p>
      <w:pPr>
        <w:pStyle w:val="681"/>
        <w:ind w:firstLine="0"/>
        <w:jc w:val="center"/>
        <w:spacing w:line="240" w:lineRule="auto"/>
        <w:rPr>
          <w:b/>
          <w:highlight w:val="none"/>
        </w:rPr>
      </w:pPr>
      <w:r>
        <w:rPr>
          <w:rFonts w:hint="eastAsia" w:ascii="方正小标宋简体" w:eastAsia="方正小标宋简体"/>
          <w:bCs/>
          <w:sz w:val="32"/>
          <w:szCs w:val="32"/>
          <w:highlight w:val="none"/>
        </w:rPr>
        <w:t xml:space="preserve">第5章 评标标准和方法</w:t>
      </w:r>
      <w:r/>
    </w:p>
    <w:p>
      <w:pPr>
        <w:ind w:firstLine="560"/>
        <w:jc w:val="cente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综合评分法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价格分应当采用低价优先法计算，即满足招标文件要求且</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1-投标报价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最低的投标报价为评标基准价，其价格分为满分。其他投标人的价格分统一按照下列公式计算：</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投标报价得分=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评标基准价/（1-</w:t>
      </w:r>
      <w:r>
        <w:rPr>
          <w:rFonts w:hint="eastAsia" w:ascii="仿宋" w:hAnsi="仿宋" w:eastAsia="仿宋"/>
          <w:sz w:val="28"/>
          <w:szCs w:val="28"/>
          <w:highlight w:val="none"/>
          <w:lang w:val="en-US" w:eastAsia="zh-CN"/>
        </w:rPr>
        <w:t xml:space="preserve">投标报价</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*30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5.评分表</w:t>
      </w:r>
      <w:r/>
    </w:p>
    <w:tbl>
      <w:tblPr>
        <w:tblStyle w:val="65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306"/>
        <w:gridCol w:w="792"/>
        <w:gridCol w:w="5056"/>
        <w:gridCol w:w="1725"/>
      </w:tblGrid>
      <w:tr>
        <w:trPr>
          <w:trHeight w:val="420"/>
        </w:trPr>
        <w:tc>
          <w:tcPr>
            <w:tcW w:w="61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16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70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450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W w:w="153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得分</w:t>
            </w:r>
            <w:r/>
          </w:p>
        </w:tc>
      </w:tr>
      <w:tr>
        <w:trPr>
          <w:trHeight w:val="409"/>
        </w:trPr>
        <w:tc>
          <w:tcPr>
            <w:tcW w:w="61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116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实施方案</w:t>
            </w:r>
            <w:r/>
          </w:p>
        </w:tc>
        <w:tc>
          <w:tcPr>
            <w:tcW w:w="70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20</w:t>
            </w:r>
            <w:r/>
          </w:p>
        </w:tc>
        <w:tc>
          <w:tcPr>
            <w:tcW w:w="4503" w:type="dxa"/>
            <w:vAlign w:val="center"/>
            <w:textDirection w:val="lrTb"/>
            <w:noWrap/>
          </w:tcPr>
          <w:p>
            <w:pPr>
              <w:ind w:firstLine="480"/>
              <w:jc w:val="left"/>
              <w:rPr>
                <w:rFonts w:ascii="仿宋" w:hAnsi="仿宋" w:eastAsia="仿宋"/>
                <w:sz w:val="24"/>
                <w:highlight w:val="none"/>
              </w:rPr>
            </w:pPr>
            <w:r>
              <w:rPr>
                <w:rFonts w:hint="eastAsia" w:ascii="仿宋" w:hAnsi="仿宋" w:eastAsia="仿宋"/>
                <w:sz w:val="24"/>
                <w:highlight w:val="none"/>
              </w:rPr>
              <w:t xml:space="preserve">1、制定维修、巡查组织施工方案及技术措施。</w:t>
            </w:r>
            <w:r/>
          </w:p>
          <w:p>
            <w:pPr>
              <w:ind w:firstLine="480"/>
              <w:jc w:val="left"/>
              <w:rPr>
                <w:rFonts w:ascii="仿宋" w:hAnsi="仿宋" w:eastAsia="仿宋"/>
                <w:sz w:val="24"/>
                <w:highlight w:val="none"/>
              </w:rPr>
            </w:pPr>
            <w:r>
              <w:rPr>
                <w:rFonts w:hint="eastAsia" w:ascii="仿宋" w:hAnsi="仿宋" w:eastAsia="仿宋"/>
                <w:sz w:val="24"/>
                <w:highlight w:val="none"/>
              </w:rPr>
              <w:t xml:space="preserve">2、制定应急抢险等突发自然灾害应急预案。</w:t>
            </w:r>
            <w:r/>
          </w:p>
          <w:p>
            <w:pPr>
              <w:ind w:firstLine="480"/>
              <w:jc w:val="left"/>
              <w:rPr>
                <w:rFonts w:ascii="仿宋" w:hAnsi="仿宋" w:eastAsia="仿宋"/>
                <w:sz w:val="24"/>
                <w:highlight w:val="none"/>
              </w:rPr>
            </w:pPr>
            <w:r>
              <w:rPr>
                <w:rFonts w:hint="eastAsia" w:ascii="仿宋" w:hAnsi="仿宋" w:eastAsia="仿宋"/>
                <w:sz w:val="24"/>
                <w:highlight w:val="none"/>
              </w:rPr>
              <w:t xml:space="preserve">3、制定迎接重大节日、活动检查评比保障措施。</w:t>
            </w:r>
            <w:r/>
          </w:p>
          <w:p>
            <w:pPr>
              <w:ind w:firstLine="480"/>
              <w:jc w:val="left"/>
              <w:rPr>
                <w:rFonts w:ascii="仿宋" w:hAnsi="仿宋" w:eastAsia="仿宋"/>
                <w:sz w:val="24"/>
                <w:highlight w:val="none"/>
              </w:rPr>
            </w:pPr>
            <w:r>
              <w:rPr>
                <w:rFonts w:hint="eastAsia" w:ascii="仿宋" w:hAnsi="仿宋" w:eastAsia="仿宋"/>
                <w:sz w:val="24"/>
                <w:highlight w:val="none"/>
              </w:rPr>
              <w:t xml:space="preserve">4、制定质量管理、安全文明、环保等施工方案。</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上述4个方面内容中每缺少一项内容扣5分，每有一处需求分析内容存在缺陷或不足的扣2分，扣完为止。(本项最多得20分)</w:t>
            </w:r>
            <w:r/>
          </w:p>
          <w:p>
            <w:pPr>
              <w:ind w:firstLine="482"/>
              <w:jc w:val="left"/>
              <w:rPr>
                <w:rFonts w:ascii="仿宋" w:hAnsi="仿宋" w:eastAsia="仿宋"/>
                <w:sz w:val="24"/>
                <w:highlight w:val="none"/>
              </w:rPr>
            </w:pPr>
            <w:r>
              <w:rPr>
                <w:rFonts w:hint="eastAsia" w:ascii="仿宋" w:hAnsi="仿宋" w:eastAsia="仿宋" w:cs="仿宋"/>
                <w:b/>
                <w:bCs/>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1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116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人员配备</w:t>
            </w:r>
            <w:r/>
          </w:p>
        </w:tc>
        <w:tc>
          <w:tcPr>
            <w:tcW w:w="70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14</w:t>
            </w:r>
            <w:r/>
          </w:p>
        </w:tc>
        <w:tc>
          <w:tcPr>
            <w:tcW w:w="4503" w:type="dxa"/>
            <w:vAlign w:val="center"/>
            <w:textDirection w:val="lrTb"/>
            <w:noWrap/>
          </w:tcPr>
          <w:p>
            <w:pPr>
              <w:ind w:firstLine="480"/>
              <w:jc w:val="left"/>
              <w:rPr>
                <w:rFonts w:ascii="仿宋" w:hAnsi="仿宋" w:eastAsia="仿宋"/>
                <w:sz w:val="24"/>
                <w:highlight w:val="none"/>
              </w:rPr>
            </w:pPr>
            <w:r>
              <w:rPr>
                <w:rFonts w:hint="eastAsia" w:ascii="仿宋" w:hAnsi="仿宋" w:eastAsia="仿宋"/>
                <w:sz w:val="24"/>
                <w:highlight w:val="none"/>
              </w:rPr>
              <w:t xml:space="preserve">1、项目负责人，具有建设工程类（道路或桥梁）高级职称证书、市政公用工程一级注册建造师证书，有一个得3分，本项最高得6分。</w:t>
            </w:r>
            <w:r/>
          </w:p>
          <w:p>
            <w:pPr>
              <w:ind w:firstLine="480"/>
              <w:jc w:val="left"/>
              <w:rPr>
                <w:rFonts w:ascii="仿宋" w:hAnsi="仿宋" w:eastAsia="仿宋"/>
                <w:sz w:val="24"/>
                <w:highlight w:val="none"/>
              </w:rPr>
            </w:pPr>
            <w:r>
              <w:rPr>
                <w:rFonts w:hint="eastAsia" w:ascii="仿宋" w:hAnsi="仿宋" w:eastAsia="仿宋"/>
                <w:sz w:val="24"/>
                <w:highlight w:val="none"/>
              </w:rPr>
              <w:t xml:space="preserve">2、每增加1名安全员（须具有有效的安全生产考核合格证书）得2分，最高得2分。</w:t>
            </w:r>
            <w:r/>
          </w:p>
          <w:p>
            <w:pPr>
              <w:ind w:firstLine="480"/>
              <w:jc w:val="left"/>
              <w:rPr>
                <w:rFonts w:ascii="仿宋" w:hAnsi="仿宋" w:eastAsia="仿宋"/>
                <w:sz w:val="24"/>
                <w:highlight w:val="none"/>
              </w:rPr>
            </w:pPr>
            <w:r>
              <w:rPr>
                <w:rFonts w:hint="eastAsia" w:ascii="仿宋" w:hAnsi="仿宋" w:eastAsia="仿宋"/>
                <w:sz w:val="24"/>
                <w:highlight w:val="none"/>
              </w:rPr>
              <w:t xml:space="preserve">3、其余人员中每增加1名建设工程类（道路或桥梁）相关专业中级及以上职称人员得2分，最高得6分。</w:t>
            </w:r>
            <w:r/>
          </w:p>
          <w:p>
            <w:pPr>
              <w:ind w:firstLine="482"/>
              <w:rPr>
                <w:rFonts w:ascii="仿宋" w:hAnsi="仿宋" w:eastAsia="仿宋"/>
                <w:sz w:val="24"/>
                <w:highlight w:val="none"/>
              </w:rPr>
            </w:pPr>
            <w:r>
              <w:rPr>
                <w:rFonts w:hint="eastAsia" w:ascii="仿宋" w:hAnsi="仿宋" w:eastAsia="仿宋" w:cs="仿宋"/>
                <w:b/>
                <w:bCs/>
                <w:sz w:val="24"/>
                <w:highlight w:val="none"/>
              </w:rPr>
              <w:t xml:space="preserve">注：上述人员须同时提供响应文件提交截止日前最近1个月响应供应商为其缴纳社保的证明；新成立企业距响应文件提交截止日期不足30日的，可不提供缴纳社保的证明（以新办企业营业执照发放日期为准）。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cs="仿宋"/>
                <w:b/>
                <w:bCs/>
                <w:sz w:val="24"/>
                <w:highlight w:val="none"/>
              </w:rPr>
              <w:t xml:space="preserve">未提供、提供不全或提供不清晰的不得分。</w:t>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1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116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主要养护机械设备</w:t>
            </w:r>
            <w:r/>
          </w:p>
        </w:tc>
        <w:tc>
          <w:tcPr>
            <w:tcW w:w="70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18</w:t>
            </w:r>
            <w:r/>
          </w:p>
        </w:tc>
        <w:tc>
          <w:tcPr>
            <w:tcW w:w="4503" w:type="dxa"/>
            <w:vAlign w:val="center"/>
            <w:textDirection w:val="lrTb"/>
            <w:noWrap/>
          </w:tcPr>
          <w:p>
            <w:pPr>
              <w:ind w:firstLine="480"/>
              <w:jc w:val="left"/>
              <w:rPr>
                <w:rFonts w:ascii="仿宋" w:hAnsi="仿宋" w:eastAsia="仿宋"/>
                <w:sz w:val="24"/>
                <w:highlight w:val="none"/>
              </w:rPr>
            </w:pPr>
            <w:r>
              <w:rPr>
                <w:rFonts w:hint="eastAsia" w:ascii="仿宋" w:hAnsi="仿宋" w:eastAsia="仿宋"/>
                <w:sz w:val="24"/>
                <w:highlight w:val="none"/>
              </w:rPr>
              <w:t xml:space="preserve">1、沥青拌合楼（城北街道办事处40公里以内），附发票，得3分。租赁、提供供料协议且满足接到供货通知后确保所需材料3小时内到达施工现场（承诺函）。</w:t>
            </w:r>
            <w:r/>
          </w:p>
          <w:p>
            <w:pPr>
              <w:ind w:firstLine="480"/>
              <w:jc w:val="left"/>
              <w:rPr>
                <w:rFonts w:ascii="仿宋" w:hAnsi="仿宋" w:eastAsia="仿宋"/>
                <w:sz w:val="24"/>
                <w:highlight w:val="none"/>
              </w:rPr>
            </w:pPr>
            <w:r>
              <w:rPr>
                <w:rFonts w:hint="eastAsia" w:ascii="仿宋" w:hAnsi="仿宋" w:eastAsia="仿宋"/>
                <w:sz w:val="24"/>
                <w:highlight w:val="none"/>
              </w:rPr>
              <w:t xml:space="preserve">2、沥青摊铺机，自有1辆，附发票。得3分。</w:t>
            </w:r>
            <w:r/>
          </w:p>
          <w:p>
            <w:pPr>
              <w:ind w:firstLine="480"/>
              <w:jc w:val="left"/>
              <w:rPr>
                <w:rFonts w:ascii="仿宋" w:hAnsi="仿宋" w:eastAsia="仿宋"/>
                <w:sz w:val="24"/>
                <w:highlight w:val="none"/>
              </w:rPr>
            </w:pPr>
            <w:r>
              <w:rPr>
                <w:rFonts w:hint="eastAsia" w:ascii="仿宋" w:hAnsi="仿宋" w:eastAsia="仿宋"/>
                <w:sz w:val="24"/>
                <w:highlight w:val="none"/>
              </w:rPr>
              <w:t xml:space="preserve">3、铣刨机1辆，附发票。得3分。</w:t>
            </w:r>
            <w:r/>
          </w:p>
          <w:p>
            <w:pPr>
              <w:ind w:firstLine="480"/>
              <w:jc w:val="left"/>
              <w:rPr>
                <w:rFonts w:ascii="仿宋" w:hAnsi="仿宋" w:eastAsia="仿宋"/>
                <w:sz w:val="24"/>
                <w:highlight w:val="none"/>
              </w:rPr>
            </w:pPr>
            <w:r>
              <w:rPr>
                <w:rFonts w:hint="eastAsia" w:ascii="仿宋" w:hAnsi="仿宋" w:eastAsia="仿宋"/>
                <w:sz w:val="24"/>
                <w:highlight w:val="none"/>
              </w:rPr>
              <w:t xml:space="preserve">4、胶轮压路机1辆，不小于20T，附发票。得3分。</w:t>
            </w:r>
            <w:r/>
          </w:p>
          <w:p>
            <w:pPr>
              <w:ind w:firstLine="480"/>
              <w:jc w:val="left"/>
              <w:rPr>
                <w:rFonts w:ascii="仿宋" w:hAnsi="仿宋" w:eastAsia="仿宋"/>
                <w:sz w:val="24"/>
                <w:highlight w:val="none"/>
              </w:rPr>
            </w:pPr>
            <w:r>
              <w:rPr>
                <w:rFonts w:hint="eastAsia" w:ascii="仿宋" w:hAnsi="仿宋" w:eastAsia="仿宋"/>
                <w:sz w:val="24"/>
                <w:highlight w:val="none"/>
              </w:rPr>
              <w:t xml:space="preserve">5、双钢轮压路机1辆，不小于10T，附发票。得3分。</w:t>
            </w:r>
            <w:r/>
          </w:p>
          <w:p>
            <w:pPr>
              <w:ind w:firstLine="480"/>
              <w:jc w:val="left"/>
              <w:rPr>
                <w:rFonts w:ascii="仿宋" w:hAnsi="仿宋" w:eastAsia="仿宋"/>
                <w:sz w:val="24"/>
                <w:highlight w:val="none"/>
              </w:rPr>
            </w:pPr>
            <w:r>
              <w:rPr>
                <w:rFonts w:hint="eastAsia" w:ascii="仿宋" w:hAnsi="仿宋" w:eastAsia="仿宋"/>
                <w:sz w:val="24"/>
                <w:highlight w:val="none"/>
              </w:rPr>
              <w:t xml:space="preserve">6、专业工程车、巡查专业车（皮卡）≥3辆，附行驶证及发票。得3分。</w:t>
            </w:r>
            <w:r/>
          </w:p>
          <w:p>
            <w:pPr>
              <w:ind w:firstLine="482"/>
              <w:jc w:val="left"/>
              <w:rPr>
                <w:rFonts w:ascii="仿宋" w:hAnsi="仿宋" w:eastAsia="仿宋"/>
                <w:sz w:val="24"/>
                <w:highlight w:val="none"/>
              </w:rPr>
            </w:pPr>
            <w:r>
              <w:rPr>
                <w:rFonts w:hint="eastAsia" w:ascii="仿宋" w:hAnsi="仿宋" w:eastAsia="仿宋"/>
                <w:b/>
                <w:bCs/>
                <w:sz w:val="24"/>
                <w:highlight w:val="none"/>
              </w:rPr>
              <w:t xml:space="preserve">注：以上自有机械设备，车辆须提供照片、购买发票、注册的车辆行驶证、参数证明材料扫描件；其它机械设备须提供设备照片、购买发票、参数证明材料扫描件。租赁设备，车辆须提供照片、租赁协议（租赁期必须包含本项目实施期）、租赁费发票、注册的车辆行驶证、参数证明材料扫描件；其它机械设备须提供设备照片、租赁协议（租赁期必须包含本项目实施期）、租赁费发票、参数证明材料扫描件。租赁的按最高得分的50%计算得分。</w:t>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16" w:type="dxa"/>
            <w:vAlign w:val="center"/>
            <w:textDirection w:val="lrTb"/>
            <w:noWrap/>
          </w:tcPr>
          <w:p>
            <w:pPr>
              <w:jc w:val="center"/>
              <w:spacing w:line="400" w:lineRule="exact"/>
              <w:rPr>
                <w:rFonts w:ascii="仿宋" w:hAnsi="仿宋" w:eastAsia="仿宋"/>
                <w:sz w:val="24"/>
                <w:highlight w:val="none"/>
              </w:rPr>
            </w:pPr>
            <w:r>
              <w:rPr>
                <w:rFonts w:hint="eastAsia" w:ascii="仿宋" w:hAnsi="仿宋" w:eastAsia="仿宋" w:cs="仿宋"/>
                <w:sz w:val="24"/>
                <w:highlight w:val="none"/>
              </w:rPr>
              <w:t xml:space="preserve">4</w:t>
            </w:r>
            <w:r/>
          </w:p>
        </w:tc>
        <w:tc>
          <w:tcPr>
            <w:tcW w:w="1163" w:type="dxa"/>
            <w:vAlign w:val="center"/>
            <w:textDirection w:val="lrTb"/>
            <w:noWrap/>
          </w:tcPr>
          <w:p>
            <w:pPr>
              <w:jc w:val="center"/>
              <w:spacing w:line="400" w:lineRule="exact"/>
              <w:rPr>
                <w:rFonts w:ascii="仿宋" w:hAnsi="仿宋" w:eastAsia="仿宋"/>
                <w:sz w:val="24"/>
                <w:highlight w:val="none"/>
              </w:rPr>
            </w:pPr>
            <w:r>
              <w:rPr>
                <w:rFonts w:hint="eastAsia" w:ascii="仿宋" w:hAnsi="仿宋" w:eastAsia="仿宋" w:cs="仿宋"/>
                <w:sz w:val="24"/>
                <w:highlight w:val="none"/>
                <w:lang w:val="zh-CN"/>
              </w:rPr>
              <w:t xml:space="preserve">管理体系认证</w:t>
            </w:r>
            <w:r/>
          </w:p>
        </w:tc>
        <w:tc>
          <w:tcPr>
            <w:tcW w:w="705" w:type="dxa"/>
            <w:vAlign w:val="center"/>
            <w:textDirection w:val="lrTb"/>
            <w:noWrap/>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6</w:t>
            </w:r>
            <w:r/>
          </w:p>
        </w:tc>
        <w:tc>
          <w:tcPr>
            <w:tcW w:w="4503" w:type="dxa"/>
            <w:vAlign w:val="center"/>
            <w:textDirection w:val="lrTb"/>
            <w:noWrap/>
          </w:tcPr>
          <w:p>
            <w:pPr>
              <w:ind w:firstLine="480"/>
              <w:rPr>
                <w:rFonts w:ascii="仿宋" w:hAnsi="仿宋" w:eastAsia="仿宋" w:cs="仿宋"/>
                <w:sz w:val="24"/>
                <w:highlight w:val="none"/>
              </w:rPr>
            </w:pPr>
            <w:r>
              <w:rPr>
                <w:rFonts w:hint="eastAsia" w:ascii="仿宋" w:hAnsi="仿宋" w:eastAsia="仿宋" w:cs="仿宋"/>
                <w:sz w:val="24"/>
                <w:highlight w:val="none"/>
              </w:rPr>
              <w:t xml:space="preserve">响应供应商具有有效期内的质量管理体系（ISO9001）认证、环境管理体系（ISO45001）认证、职业健康安全管理体系（ISO14001）认证证书，每有一个得2分。</w:t>
            </w:r>
            <w:r>
              <w:rPr>
                <w:rFonts w:hint="eastAsia" w:ascii="仿宋" w:hAnsi="仿宋" w:eastAsia="仿宋" w:cs="仿宋"/>
                <w:b/>
                <w:bCs/>
                <w:sz w:val="24"/>
                <w:highlight w:val="none"/>
              </w:rPr>
              <w:t xml:space="preserve">本项最高得6分。</w:t>
            </w:r>
            <w:r/>
          </w:p>
          <w:p>
            <w:pPr>
              <w:ind w:firstLine="482"/>
              <w:rPr>
                <w:rFonts w:ascii="仿宋" w:hAnsi="仿宋" w:eastAsia="仿宋"/>
                <w:sz w:val="24"/>
                <w:highlight w:val="none"/>
              </w:rPr>
            </w:pPr>
            <w:r>
              <w:rPr>
                <w:rFonts w:hint="eastAsia" w:ascii="仿宋" w:hAnsi="仿宋" w:eastAsia="仿宋" w:cs="仿宋"/>
                <w:b/>
                <w:bCs/>
                <w:sz w:val="24"/>
                <w:highlight w:val="none"/>
              </w:rPr>
              <w:t xml:space="preserve">注：须提供证书复印件及国家市场监督管理总局http://cx.cnca.cn/证书查询截图</w:t>
            </w:r>
            <w:r>
              <w:rPr>
                <w:rFonts w:hint="eastAsia" w:ascii="仿宋" w:hAnsi="仿宋" w:eastAsia="仿宋"/>
                <w:b/>
                <w:bCs/>
                <w:sz w:val="24"/>
                <w:highlight w:val="none"/>
              </w:rPr>
              <w:t xml:space="preserve">并加盖供应商公章，未按要求提供或不提供不得分</w:t>
            </w:r>
            <w:r>
              <w:rPr>
                <w:rFonts w:hint="eastAsia" w:ascii="仿宋" w:hAnsi="仿宋" w:eastAsia="仿宋" w:cs="仿宋"/>
                <w:b/>
                <w:bCs/>
                <w:sz w:val="24"/>
                <w:highlight w:val="none"/>
              </w:rPr>
              <w:t xml:space="preserve">。 </w:t>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1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W w:w="116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业绩</w:t>
            </w:r>
            <w:r/>
          </w:p>
        </w:tc>
        <w:tc>
          <w:tcPr>
            <w:tcW w:w="70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12</w:t>
            </w:r>
            <w:r/>
          </w:p>
        </w:tc>
        <w:tc>
          <w:tcPr>
            <w:tcW w:w="4503" w:type="dxa"/>
            <w:vAlign w:val="center"/>
            <w:textDirection w:val="lrTb"/>
            <w:noWrap/>
          </w:tcPr>
          <w:p>
            <w:pPr>
              <w:ind w:firstLine="480"/>
              <w:rPr>
                <w:rFonts w:ascii="仿宋" w:hAnsi="仿宋" w:eastAsia="仿宋"/>
                <w:b/>
                <w:bCs/>
                <w:sz w:val="24"/>
                <w:highlight w:val="none"/>
              </w:rPr>
            </w:pPr>
            <w:r>
              <w:rPr>
                <w:rFonts w:hint="eastAsia" w:ascii="仿宋" w:hAnsi="仿宋" w:eastAsia="仿宋" w:cs="仿宋"/>
                <w:sz w:val="24"/>
                <w:highlight w:val="none"/>
              </w:rPr>
              <w:t xml:space="preserve">响应供应商提供自2020年1月1日以来（以合同签订时间为准）承担过类似的</w:t>
            </w:r>
            <w:r>
              <w:rPr>
                <w:rFonts w:hint="eastAsia" w:ascii="仿宋" w:hAnsi="仿宋" w:eastAsia="仿宋"/>
                <w:sz w:val="24"/>
                <w:highlight w:val="none"/>
              </w:rPr>
              <w:t xml:space="preserve">市政养护或市政维修或市政应急抢险的业绩</w:t>
            </w:r>
            <w:r>
              <w:rPr>
                <w:rFonts w:hint="eastAsia" w:ascii="仿宋" w:hAnsi="仿宋" w:eastAsia="仿宋" w:cs="仿宋"/>
                <w:sz w:val="24"/>
                <w:highlight w:val="none"/>
              </w:rPr>
              <w:t xml:space="preserve">，每有一个得3分，最高得12分，没有不得分。</w:t>
            </w:r>
            <w:r/>
          </w:p>
          <w:p>
            <w:pPr>
              <w:ind w:firstLine="482"/>
              <w:jc w:val="left"/>
              <w:widowControl/>
              <w:rPr>
                <w:rFonts w:ascii="仿宋" w:hAnsi="仿宋" w:eastAsia="仿宋"/>
                <w:sz w:val="24"/>
                <w:highlight w:val="none"/>
              </w:rPr>
            </w:pPr>
            <w:r>
              <w:rPr>
                <w:rFonts w:hint="eastAsia" w:ascii="仿宋" w:hAnsi="仿宋" w:eastAsia="仿宋" w:cs="仿宋"/>
                <w:b/>
                <w:bCs/>
                <w:sz w:val="24"/>
                <w:highlight w:val="none"/>
              </w:rPr>
              <w:t xml:space="preserve">注：须提供中标通知书、合同、竣工验收证明三者缺一不可。未提供、提供不全或提供不清晰的不得分。类似业绩指中标通知书、施工合同或交竣工验收报告内容中至少包含市政养护内容。如以上材料不能体现市政养护内容，可提供业主证明材料并加盖业主单位公章，未按要求提供或不提供不得分。</w:t>
            </w:r>
            <w:bookmarkStart w:id="45" w:name="_GoBack"/>
            <w:r/>
            <w:bookmarkEnd w:id="45"/>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16"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W w:w="1163" w:type="dxa"/>
            <w:vAlign w:val="center"/>
            <w:textDirection w:val="lrTb"/>
            <w:noWrap/>
          </w:tcPr>
          <w:p>
            <w:pPr>
              <w:jc w:val="center"/>
              <w:spacing w:line="400" w:lineRule="exact"/>
              <w:rPr>
                <w:rFonts w:ascii="仿宋" w:hAnsi="仿宋" w:eastAsia="仿宋"/>
                <w:sz w:val="24"/>
                <w:highlight w:val="none"/>
              </w:rPr>
            </w:pPr>
            <w:r>
              <w:rPr>
                <w:rFonts w:hint="eastAsia" w:ascii="仿宋" w:hAnsi="仿宋" w:eastAsia="仿宋" w:cs="仿宋"/>
                <w:sz w:val="24"/>
                <w:highlight w:val="none"/>
              </w:rPr>
              <w:t xml:space="preserve">价格</w:t>
            </w:r>
            <w:r/>
          </w:p>
        </w:tc>
        <w:tc>
          <w:tcPr>
            <w:tcW w:w="705" w:type="dxa"/>
            <w:vAlign w:val="center"/>
            <w:textDirection w:val="lrTb"/>
            <w:noWrap/>
          </w:tcPr>
          <w:p>
            <w:pPr>
              <w:jc w:val="center"/>
              <w:spacing w:line="400" w:lineRule="exact"/>
              <w:rPr>
                <w:rFonts w:ascii="仿宋" w:hAnsi="仿宋" w:eastAsia="仿宋"/>
                <w:sz w:val="24"/>
                <w:highlight w:val="none"/>
              </w:rPr>
            </w:pPr>
            <w:r>
              <w:rPr>
                <w:rFonts w:hint="eastAsia" w:ascii="仿宋" w:hAnsi="仿宋" w:eastAsia="仿宋" w:cs="仿宋"/>
                <w:sz w:val="24"/>
                <w:highlight w:val="none"/>
              </w:rPr>
              <w:t xml:space="preserve">30</w:t>
            </w:r>
            <w:r/>
          </w:p>
        </w:tc>
        <w:tc>
          <w:tcPr>
            <w:tcW w:w="4503" w:type="dxa"/>
            <w:vAlign w:val="center"/>
            <w:textDirection w:val="lrTb"/>
            <w:noWrap/>
          </w:tcPr>
          <w:p>
            <w:pPr>
              <w:ind w:firstLine="480"/>
              <w:jc w:val="left"/>
              <w:widowControl/>
              <w:rPr>
                <w:rFonts w:ascii="仿宋" w:hAnsi="仿宋" w:eastAsia="仿宋"/>
                <w:sz w:val="24"/>
                <w:highlight w:val="none"/>
              </w:rPr>
            </w:pPr>
            <w:r>
              <w:rPr>
                <w:rFonts w:hint="eastAsia" w:ascii="仿宋" w:hAnsi="仿宋" w:eastAsia="仿宋" w:cs="仿宋"/>
                <w:sz w:val="24"/>
                <w:highlight w:val="none"/>
              </w:rPr>
              <w:t xml:space="preserve">价格分采用低价优先法计算，即满足招标文件要求且</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1-投标报价</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最低的供应商的价格为评标基准价，其价格分为满分。其他供应商的价格分统一按照下列公式计算：报价得分=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评标基准价/（1-</w:t>
            </w:r>
            <w:r>
              <w:rPr>
                <w:rFonts w:hint="eastAsia" w:ascii="仿宋" w:hAnsi="仿宋" w:eastAsia="仿宋" w:cs="仿宋"/>
                <w:sz w:val="24"/>
                <w:highlight w:val="none"/>
                <w:lang w:val="en-US" w:eastAsia="zh-CN"/>
              </w:rPr>
              <w:t xml:space="preserve">投标报价</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*30</w:t>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gridSpan w:val="2"/>
            <w:tcW w:w="1779"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合计</w:t>
            </w:r>
            <w:r/>
          </w:p>
        </w:tc>
        <w:tc>
          <w:tcPr>
            <w:tcW w:w="70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450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536"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r>
      <w:r/>
    </w:p>
    <w:p>
      <w:pPr>
        <w:pStyle w:val="68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第6章 投标文件组成</w:t>
      </w:r>
      <w:r/>
    </w:p>
    <w:p>
      <w:pPr>
        <w:pStyle w:val="68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57"/>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7"/>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开标一览表（服务类）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w:t>
      </w:r>
      <w:r/>
    </w:p>
    <w:tbl>
      <w:tblPr>
        <w:tblStyle w:val="653"/>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服务期限</w:t>
            </w:r>
            <w:r/>
          </w:p>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（年）</w:t>
            </w:r>
            <w:r/>
          </w:p>
        </w:tc>
        <w:tc>
          <w:tcPr>
            <w:gridSpan w:val="2"/>
            <w:tcW w:w="4058"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投标报价（优惠率）</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8" w:type="dxa"/>
            <w:vAlign w:val="center"/>
            <w:vMerge w:val="continue"/>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1" w:type="dxa"/>
            <w:vAlign w:val="center"/>
            <w:vMerge w:val="continue"/>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vMerge w:val="continue"/>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小写</w:t>
            </w:r>
            <w:r/>
          </w:p>
        </w:tc>
        <w:tc>
          <w:tcPr>
            <w:tcW w:w="292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大写</w:t>
            </w:r>
            <w:r/>
          </w:p>
        </w:tc>
      </w:tr>
      <w:tr>
        <w:trPr>
          <w:trHeight w:val="842"/>
        </w:trPr>
        <w:tc>
          <w:tcPr>
            <w:tcW w:w="148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8"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1"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w:t>
            </w:r>
            <w:r/>
          </w:p>
        </w:tc>
        <w:tc>
          <w:tcPr>
            <w:tcW w:w="292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w:t>
            </w:r>
            <w:r/>
          </w:p>
        </w:tc>
      </w:tr>
    </w:tbl>
    <w:p>
      <w:pPr>
        <w:ind w:left="1080" w:right="-867" w:hanging="540"/>
        <w:tabs>
          <w:tab w:val="left" w:pos="1800" w:leader="none"/>
          <w:tab w:val="left" w:pos="5580" w:leader="none"/>
        </w:tabs>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（三）参加本次政府采购活动前一年内至少一个月缴纳增值税或营业税或者企业所得税的凭据，以及缴纳社会保险的凭据（专用收据或者社会保险缴纳清单）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（六）项目实施所必须的许可资质证明材料</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（七）法定代表人身份证复印件</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w:t>
      </w:r>
      <w:r>
        <w:rPr>
          <w:rFonts w:hint="eastAsia" w:ascii="仿宋" w:hAnsi="仿宋" w:eastAsia="仿宋"/>
          <w:color w:val="000000" w:themeColor="text1"/>
          <w:sz w:val="28"/>
          <w:szCs w:val="28"/>
          <w:highlight w:val="none"/>
          <w14:textFill>
            <w14:solidFill>
              <w14:schemeClr w14:val="tx1"/>
            </w14:solidFill>
          </w14:textFill>
        </w:rPr>
        <w:t xml:space="preserve">托</w:t>
      </w:r>
      <w:r>
        <w:rPr>
          <w:rFonts w:ascii="仿宋" w:hAnsi="仿宋" w:eastAsia="仿宋"/>
          <w:color w:val="000000" w:themeColor="text1"/>
          <w:sz w:val="28"/>
          <w:szCs w:val="28"/>
          <w:highlight w:val="none"/>
          <w14:textFill>
            <w14:solidFill>
              <w14:schemeClr w14:val="tx1"/>
            </w14:solidFill>
          </w14:textFill>
        </w:rPr>
        <w:t xml:space="preserve">书</w:t>
      </w:r>
      <w:r>
        <w:rPr>
          <w:rFonts w:hint="eastAsia" w:ascii="仿宋" w:hAnsi="仿宋" w:eastAsia="仿宋"/>
          <w:color w:val="000000" w:themeColor="text1"/>
          <w:sz w:val="28"/>
          <w:szCs w:val="28"/>
          <w:highlight w:val="none"/>
          <w14:textFill>
            <w14:solidFill>
              <w14:schemeClr w14:val="tx1"/>
            </w14:solidFill>
          </w14:textFill>
        </w:rPr>
        <w:t xml:space="preserve">。（法定代表人参加招标活动的，无需提供）</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68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68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68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3"/>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68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683"/>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68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68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68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68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3"/>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683"/>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683"/>
        <w:ind w:firstLine="480"/>
        <w:spacing w:line="500" w:lineRule="exact"/>
        <w:rPr>
          <w:rFonts w:ascii="仿宋" w:hAnsi="仿宋" w:eastAsia="仿宋"/>
          <w:color w:val="auto"/>
          <w:sz w:val="28"/>
          <w:szCs w:val="28"/>
          <w:highlight w:val="none"/>
        </w:rPr>
      </w:pPr>
      <w:r/>
      <w:bookmarkStart w:id="42" w:name="_格式3__银行出具的资信证明"/>
      <w:r/>
      <w:bookmarkEnd w:id="42"/>
      <w:r/>
      <w:bookmarkStart w:id="43" w:name="_Hlt26671380"/>
      <w:r/>
      <w:bookmarkEnd w:id="43"/>
      <w:r/>
      <w:bookmarkStart w:id="44" w:name="_Hlt26955070"/>
      <w:r/>
      <w:bookmarkEnd w:id="44"/>
      <w:r/>
      <w:r/>
    </w:p>
    <w:p>
      <w:pPr>
        <w:pStyle w:val="654"/>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54"/>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68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项目名称</w:t>
      </w:r>
      <w:r>
        <w:rPr>
          <w:rFonts w:hint="eastAsia" w:ascii="仿宋" w:hAnsi="仿宋" w:eastAsia="仿宋"/>
          <w:color w:val="auto"/>
          <w:sz w:val="28"/>
          <w:szCs w:val="28"/>
          <w:highlight w:val="none"/>
        </w:rPr>
        <w:t xml:space="preserve">（项目编号：*****）招标文件，正式授权下述签字人_________ (姓名和职务)代表我方______________（供应商的名称），全权处理本次项目招标采购的有关事宜。</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68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68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68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68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68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68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sz w:val="28"/>
          <w:szCs w:val="28"/>
          <w:highlight w:val="none"/>
        </w:rPr>
        <w:t xml:space="preserve">其他资格证明材料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（一）评分索引表（用于综合评分）</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（线上评审项目无需提供）</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（二）符合技术要求或者服务要求的相关证明材料</w:t>
      </w:r>
      <w:r/>
    </w:p>
    <w:p>
      <w:pPr>
        <w:ind w:firstLine="482"/>
        <w:spacing w:line="500" w:lineRule="exact"/>
        <w:tabs>
          <w:tab w:val="left" w:pos="0" w:leader="none"/>
        </w:tabs>
        <w:rPr>
          <w:rFonts w:ascii="仿宋" w:hAnsi="仿宋" w:eastAsia="仿宋" w:cs="仿宋"/>
          <w:sz w:val="24"/>
          <w:highlight w:val="none"/>
        </w:rPr>
      </w:pPr>
      <w:r>
        <w:rPr>
          <w:rFonts w:hint="eastAsia" w:ascii="仿宋" w:hAnsi="仿宋" w:eastAsia="仿宋" w:cs="仿宋"/>
          <w:b/>
          <w:bCs/>
          <w:sz w:val="24"/>
          <w:highlight w:val="none"/>
        </w:rPr>
        <w:t xml:space="preserve">（一）场所及基本要求</w:t>
      </w:r>
      <w:r/>
    </w:p>
    <w:p>
      <w:pPr>
        <w:ind w:firstLine="480"/>
        <w:spacing w:line="500" w:lineRule="exact"/>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在养护范围内或周边3公里范围内有固定的办公场所、仓库和堆场场地，配备足够的交通标牌和临时围挡设施。面积不少于400平方米。</w:t>
      </w:r>
      <w:r>
        <w:rPr>
          <w:rFonts w:hint="eastAsia" w:ascii="仿宋" w:hAnsi="仿宋" w:eastAsia="仿宋" w:cs="仿宋"/>
          <w:b/>
          <w:bCs/>
          <w:sz w:val="24"/>
          <w:highlight w:val="none"/>
        </w:rPr>
        <w:t xml:space="preserve">须提供承诺书，格式自拟。</w:t>
      </w:r>
      <w:r/>
    </w:p>
    <w:p>
      <w:pPr>
        <w:ind w:firstLine="482"/>
        <w:spacing w:line="500" w:lineRule="exact"/>
        <w:tabs>
          <w:tab w:val="left" w:pos="0" w:leader="none"/>
        </w:tabs>
        <w:rPr>
          <w:rFonts w:ascii="仿宋" w:hAnsi="仿宋" w:eastAsia="仿宋" w:cs="仿宋"/>
          <w:b/>
          <w:bCs/>
          <w:sz w:val="24"/>
          <w:highlight w:val="none"/>
        </w:rPr>
      </w:pPr>
      <w:r>
        <w:rPr>
          <w:rFonts w:hint="eastAsia" w:ascii="仿宋" w:hAnsi="仿宋" w:eastAsia="仿宋" w:cs="仿宋"/>
          <w:b/>
          <w:bCs/>
          <w:sz w:val="24"/>
          <w:highlight w:val="none"/>
        </w:rPr>
        <w:t xml:space="preserve">（二）基本人员配备要求</w:t>
      </w:r>
      <w:r/>
    </w:p>
    <w:tbl>
      <w:tblPr>
        <w:tblStyle w:val="689"/>
        <w:tblW w:w="9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2135"/>
        <w:gridCol w:w="1526"/>
        <w:gridCol w:w="4813"/>
      </w:tblGrid>
      <w:tr>
        <w:trPr>
          <w:jc w:val="center"/>
          <w:trHeight w:val="409"/>
        </w:trPr>
        <w:tc>
          <w:tcPr>
            <w:tcW w:w="700" w:type="dxa"/>
            <w:vAlign w:val="center"/>
            <w:textDirection w:val="lrTb"/>
            <w:noWrap/>
          </w:tcPr>
          <w:p>
            <w:pPr>
              <w:ind w:left="116"/>
              <w:spacing w:before="120" w:line="500" w:lineRule="exact"/>
              <w:rPr>
                <w:rFonts w:ascii="仿宋" w:hAnsi="仿宋" w:eastAsia="仿宋" w:cs="仿宋"/>
                <w:b/>
                <w:bCs/>
                <w:sz w:val="24"/>
                <w:szCs w:val="24"/>
                <w:highlight w:val="none"/>
              </w:rPr>
              <w:outlineLvl w:val="1"/>
            </w:pPr>
            <w:r>
              <w:rPr>
                <w:rFonts w:hint="eastAsia" w:ascii="仿宋" w:hAnsi="仿宋" w:eastAsia="仿宋" w:cs="仿宋"/>
                <w:b/>
                <w:bCs/>
                <w:spacing w:val="-5"/>
                <w:sz w:val="24"/>
                <w:szCs w:val="24"/>
                <w:highlight w:val="none"/>
              </w:rPr>
              <w:t xml:space="preserve">序号</w:t>
            </w:r>
            <w:r/>
          </w:p>
        </w:tc>
        <w:tc>
          <w:tcPr>
            <w:tcW w:w="2135" w:type="dxa"/>
            <w:vAlign w:val="center"/>
            <w:textDirection w:val="lrTb"/>
            <w:noWrap/>
          </w:tcPr>
          <w:p>
            <w:pPr>
              <w:ind w:left="836"/>
              <w:spacing w:before="120" w:line="500" w:lineRule="exact"/>
              <w:rPr>
                <w:rFonts w:ascii="仿宋" w:hAnsi="仿宋" w:eastAsia="仿宋" w:cs="仿宋"/>
                <w:b/>
                <w:bCs/>
                <w:sz w:val="24"/>
                <w:szCs w:val="24"/>
                <w:highlight w:val="none"/>
              </w:rPr>
              <w:outlineLvl w:val="1"/>
            </w:pPr>
            <w:r>
              <w:rPr>
                <w:rFonts w:hint="eastAsia" w:ascii="仿宋" w:hAnsi="仿宋" w:eastAsia="仿宋" w:cs="仿宋"/>
                <w:b/>
                <w:bCs/>
                <w:spacing w:val="-7"/>
                <w:sz w:val="24"/>
                <w:szCs w:val="24"/>
                <w:highlight w:val="none"/>
              </w:rPr>
              <w:t xml:space="preserve">名称</w:t>
            </w:r>
            <w:r/>
          </w:p>
        </w:tc>
        <w:tc>
          <w:tcPr>
            <w:tcW w:w="1526" w:type="dxa"/>
            <w:vAlign w:val="center"/>
            <w:textDirection w:val="lrTb"/>
            <w:noWrap/>
          </w:tcPr>
          <w:p>
            <w:pPr>
              <w:ind w:left="207"/>
              <w:spacing w:before="120" w:line="500" w:lineRule="exact"/>
              <w:rPr>
                <w:rFonts w:ascii="仿宋" w:hAnsi="仿宋" w:eastAsia="仿宋" w:cs="仿宋"/>
                <w:b/>
                <w:bCs/>
                <w:sz w:val="24"/>
                <w:szCs w:val="24"/>
                <w:highlight w:val="none"/>
              </w:rPr>
              <w:outlineLvl w:val="1"/>
            </w:pPr>
            <w:r>
              <w:rPr>
                <w:rFonts w:hint="eastAsia" w:ascii="仿宋" w:hAnsi="仿宋" w:eastAsia="仿宋" w:cs="仿宋"/>
                <w:b/>
                <w:bCs/>
                <w:spacing w:val="-6"/>
                <w:sz w:val="24"/>
                <w:szCs w:val="24"/>
                <w:highlight w:val="none"/>
              </w:rPr>
              <w:t xml:space="preserve">人数</w:t>
            </w:r>
            <w:r/>
          </w:p>
        </w:tc>
        <w:tc>
          <w:tcPr>
            <w:tcW w:w="4813" w:type="dxa"/>
            <w:vAlign w:val="center"/>
            <w:textDirection w:val="lrTb"/>
            <w:noWrap/>
          </w:tcPr>
          <w:p>
            <w:pPr>
              <w:ind w:left="2496"/>
              <w:spacing w:before="120" w:line="500" w:lineRule="exact"/>
              <w:rPr>
                <w:rFonts w:ascii="仿宋" w:hAnsi="仿宋" w:eastAsia="仿宋" w:cs="仿宋"/>
                <w:b/>
                <w:bCs/>
                <w:sz w:val="24"/>
                <w:szCs w:val="24"/>
                <w:highlight w:val="none"/>
              </w:rPr>
              <w:outlineLvl w:val="1"/>
            </w:pPr>
            <w:r>
              <w:rPr>
                <w:rFonts w:hint="eastAsia" w:ascii="仿宋" w:hAnsi="仿宋" w:eastAsia="仿宋" w:cs="仿宋"/>
                <w:b/>
                <w:bCs/>
                <w:spacing w:val="-6"/>
                <w:sz w:val="24"/>
                <w:szCs w:val="24"/>
                <w:highlight w:val="none"/>
              </w:rPr>
              <w:t xml:space="preserve">要求</w:t>
            </w:r>
            <w:r/>
          </w:p>
        </w:tc>
      </w:tr>
      <w:tr>
        <w:trPr>
          <w:jc w:val="center"/>
          <w:trHeight w:val="1204"/>
        </w:trPr>
        <w:tc>
          <w:tcPr>
            <w:tcW w:w="700" w:type="dxa"/>
            <w:vAlign w:val="center"/>
            <w:textDirection w:val="lrTb"/>
            <w:noWrap/>
          </w:tcPr>
          <w:p>
            <w:pPr>
              <w:ind w:left="314"/>
              <w:spacing w:before="78"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135" w:type="dxa"/>
            <w:vAlign w:val="center"/>
            <w:textDirection w:val="lrTb"/>
            <w:noWrap/>
          </w:tcPr>
          <w:p>
            <w:pPr>
              <w:ind w:left="477"/>
              <w:spacing w:before="78" w:line="500" w:lineRule="exact"/>
              <w:rPr>
                <w:rFonts w:ascii="仿宋" w:hAnsi="仿宋" w:eastAsia="仿宋" w:cs="仿宋"/>
                <w:sz w:val="24"/>
                <w:szCs w:val="24"/>
                <w:highlight w:val="none"/>
              </w:rPr>
              <w:outlineLvl w:val="1"/>
            </w:pPr>
            <w:r>
              <w:rPr>
                <w:rFonts w:hint="eastAsia" w:ascii="仿宋" w:hAnsi="仿宋" w:eastAsia="仿宋" w:cs="仿宋"/>
                <w:spacing w:val="-3"/>
                <w:sz w:val="24"/>
                <w:szCs w:val="24"/>
                <w:highlight w:val="none"/>
              </w:rPr>
              <w:t xml:space="preserve">项目负责人</w:t>
            </w:r>
            <w:r/>
          </w:p>
        </w:tc>
        <w:tc>
          <w:tcPr>
            <w:tcW w:w="1526" w:type="dxa"/>
            <w:vAlign w:val="center"/>
            <w:textDirection w:val="lrTb"/>
            <w:noWrap/>
          </w:tcPr>
          <w:p>
            <w:pPr>
              <w:ind w:left="251"/>
              <w:spacing w:before="78" w:line="500" w:lineRule="exact"/>
              <w:rPr>
                <w:rFonts w:ascii="仿宋" w:hAnsi="仿宋" w:eastAsia="仿宋" w:cs="仿宋"/>
                <w:sz w:val="24"/>
                <w:szCs w:val="24"/>
                <w:highlight w:val="none"/>
              </w:rPr>
              <w:outlineLvl w:val="1"/>
            </w:pPr>
            <w:r>
              <w:rPr>
                <w:rFonts w:hint="eastAsia" w:ascii="仿宋" w:hAnsi="仿宋" w:eastAsia="仿宋" w:cs="仿宋"/>
                <w:spacing w:val="-14"/>
                <w:sz w:val="24"/>
                <w:szCs w:val="24"/>
                <w:highlight w:val="none"/>
              </w:rPr>
              <w:t xml:space="preserve">1人</w:t>
            </w:r>
            <w:r/>
          </w:p>
        </w:tc>
        <w:tc>
          <w:tcPr>
            <w:tcW w:w="4813" w:type="dxa"/>
            <w:vAlign w:val="center"/>
            <w:textDirection w:val="lrTb"/>
            <w:noWrap/>
          </w:tcPr>
          <w:p>
            <w:pPr>
              <w:ind w:right="106"/>
              <w:jc w:val="center"/>
              <w:spacing w:before="113" w:line="5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须具有建设工程类</w:t>
            </w:r>
            <w:r>
              <w:rPr>
                <w:rFonts w:hint="eastAsia" w:ascii="仿宋" w:hAnsi="仿宋" w:eastAsia="仿宋" w:cs="仿宋"/>
                <w:sz w:val="24"/>
                <w:szCs w:val="24"/>
                <w:highlight w:val="none"/>
              </w:rPr>
              <w:t xml:space="preserve">（道路或桥梁）专业中级</w:t>
            </w:r>
            <w:r>
              <w:rPr>
                <w:rFonts w:hint="eastAsia" w:ascii="仿宋" w:hAnsi="仿宋" w:eastAsia="仿宋" w:cs="仿宋"/>
                <w:spacing w:val="-3"/>
                <w:sz w:val="24"/>
                <w:szCs w:val="24"/>
                <w:highlight w:val="none"/>
              </w:rPr>
              <w:t xml:space="preserve">及以上职称、市政公用工程专业二级及</w:t>
            </w:r>
            <w:r>
              <w:rPr>
                <w:rFonts w:hint="eastAsia" w:ascii="仿宋" w:hAnsi="仿宋" w:eastAsia="仿宋" w:cs="仿宋"/>
                <w:spacing w:val="9"/>
                <w:sz w:val="24"/>
                <w:szCs w:val="24"/>
                <w:highlight w:val="none"/>
              </w:rPr>
              <w:t xml:space="preserve">以上注册建造师证书和有效的安全生产考核合格</w:t>
            </w:r>
            <w:r>
              <w:rPr>
                <w:rFonts w:hint="eastAsia" w:ascii="仿宋" w:hAnsi="仿宋" w:eastAsia="仿宋" w:cs="仿宋"/>
                <w:spacing w:val="-4"/>
                <w:sz w:val="24"/>
                <w:szCs w:val="24"/>
                <w:highlight w:val="none"/>
              </w:rPr>
              <w:t xml:space="preserve">证（B证）</w:t>
            </w:r>
            <w:r/>
          </w:p>
        </w:tc>
      </w:tr>
      <w:tr>
        <w:trPr>
          <w:jc w:val="center"/>
          <w:trHeight w:val="599"/>
        </w:trPr>
        <w:tc>
          <w:tcPr>
            <w:tcW w:w="700" w:type="dxa"/>
            <w:vAlign w:val="center"/>
            <w:textDirection w:val="lrTb"/>
            <w:noWrap/>
          </w:tcPr>
          <w:p>
            <w:pPr>
              <w:ind w:left="300"/>
              <w:spacing w:before="78"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2135" w:type="dxa"/>
            <w:vAlign w:val="center"/>
            <w:textDirection w:val="lrTb"/>
            <w:noWrap/>
          </w:tcPr>
          <w:p>
            <w:pPr>
              <w:jc w:val="center"/>
              <w:spacing w:before="317" w:line="500" w:lineRule="exact"/>
              <w:rPr>
                <w:rFonts w:ascii="仿宋" w:hAnsi="仿宋" w:eastAsia="仿宋" w:cs="仿宋"/>
                <w:sz w:val="24"/>
                <w:szCs w:val="24"/>
                <w:highlight w:val="none"/>
              </w:rPr>
              <w:outlineLvl w:val="1"/>
            </w:pPr>
            <w:r>
              <w:rPr>
                <w:rFonts w:hint="eastAsia" w:ascii="仿宋" w:hAnsi="仿宋" w:eastAsia="仿宋" w:cs="仿宋"/>
                <w:spacing w:val="-3"/>
                <w:sz w:val="24"/>
                <w:szCs w:val="24"/>
                <w:highlight w:val="none"/>
              </w:rPr>
              <w:t xml:space="preserve">技术负责人</w:t>
            </w:r>
            <w:r/>
          </w:p>
        </w:tc>
        <w:tc>
          <w:tcPr>
            <w:tcW w:w="1526" w:type="dxa"/>
            <w:vAlign w:val="center"/>
            <w:textDirection w:val="lrTb"/>
            <w:noWrap/>
          </w:tcPr>
          <w:p>
            <w:pPr>
              <w:ind w:left="237"/>
              <w:spacing w:before="316" w:line="500" w:lineRule="exact"/>
              <w:rPr>
                <w:rFonts w:ascii="仿宋" w:hAnsi="仿宋" w:eastAsia="仿宋" w:cs="仿宋"/>
                <w:sz w:val="24"/>
                <w:szCs w:val="24"/>
                <w:highlight w:val="none"/>
              </w:rPr>
              <w:outlineLvl w:val="1"/>
            </w:pPr>
            <w:r>
              <w:rPr>
                <w:rFonts w:hint="eastAsia" w:ascii="仿宋" w:hAnsi="仿宋" w:eastAsia="仿宋" w:cs="仿宋"/>
                <w:spacing w:val="-7"/>
                <w:sz w:val="24"/>
                <w:szCs w:val="24"/>
                <w:highlight w:val="none"/>
              </w:rPr>
              <w:t xml:space="preserve">1人</w:t>
            </w:r>
            <w:r/>
          </w:p>
        </w:tc>
        <w:tc>
          <w:tcPr>
            <w:tcW w:w="4813" w:type="dxa"/>
            <w:vAlign w:val="center"/>
            <w:textDirection w:val="lrTb"/>
            <w:noWrap/>
          </w:tcPr>
          <w:p>
            <w:pPr>
              <w:jc w:val="center"/>
              <w:spacing w:before="117" w:line="500" w:lineRule="exact"/>
              <w:rPr>
                <w:rFonts w:ascii="仿宋" w:hAnsi="仿宋" w:eastAsia="仿宋" w:cs="仿宋"/>
                <w:sz w:val="24"/>
                <w:szCs w:val="24"/>
                <w:highlight w:val="none"/>
              </w:rPr>
              <w:outlineLvl w:val="1"/>
            </w:pPr>
            <w:r>
              <w:rPr>
                <w:rFonts w:hint="eastAsia" w:ascii="仿宋" w:hAnsi="仿宋" w:eastAsia="仿宋" w:cs="仿宋"/>
                <w:spacing w:val="-4"/>
                <w:sz w:val="24"/>
                <w:szCs w:val="24"/>
                <w:highlight w:val="none"/>
              </w:rPr>
              <w:t xml:space="preserve">须具有</w:t>
            </w:r>
            <w:r>
              <w:rPr>
                <w:rFonts w:hint="eastAsia" w:ascii="仿宋" w:hAnsi="仿宋" w:eastAsia="仿宋" w:cs="仿宋"/>
                <w:spacing w:val="-3"/>
                <w:sz w:val="24"/>
                <w:szCs w:val="24"/>
                <w:highlight w:val="none"/>
              </w:rPr>
              <w:t xml:space="preserve">建设工程类</w:t>
            </w:r>
            <w:r>
              <w:rPr>
                <w:rFonts w:hint="eastAsia" w:ascii="仿宋" w:hAnsi="仿宋" w:eastAsia="仿宋" w:cs="仿宋"/>
                <w:sz w:val="24"/>
                <w:szCs w:val="24"/>
                <w:highlight w:val="none"/>
              </w:rPr>
              <w:t xml:space="preserve">（道路或桥梁）</w:t>
            </w:r>
            <w:r>
              <w:rPr>
                <w:rFonts w:hint="eastAsia" w:ascii="仿宋" w:hAnsi="仿宋" w:eastAsia="仿宋" w:cs="仿宋"/>
                <w:spacing w:val="-4"/>
                <w:sz w:val="24"/>
                <w:szCs w:val="24"/>
                <w:highlight w:val="none"/>
              </w:rPr>
              <w:t xml:space="preserve">高级职称</w:t>
            </w:r>
            <w:r/>
          </w:p>
        </w:tc>
      </w:tr>
      <w:tr>
        <w:trPr>
          <w:jc w:val="center"/>
          <w:trHeight w:val="804"/>
        </w:trPr>
        <w:tc>
          <w:tcPr>
            <w:tcW w:w="700" w:type="dxa"/>
            <w:vAlign w:val="center"/>
            <w:textDirection w:val="lrTb"/>
            <w:noWrap/>
          </w:tcPr>
          <w:p>
            <w:pPr>
              <w:ind w:left="301"/>
              <w:spacing w:before="78"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2135" w:type="dxa"/>
            <w:vAlign w:val="center"/>
            <w:textDirection w:val="lrTb"/>
            <w:noWrap/>
          </w:tcPr>
          <w:p>
            <w:pPr>
              <w:ind w:left="354"/>
              <w:spacing w:before="316" w:line="500" w:lineRule="exact"/>
              <w:rPr>
                <w:rFonts w:ascii="仿宋" w:hAnsi="仿宋" w:eastAsia="仿宋" w:cs="仿宋"/>
                <w:sz w:val="24"/>
                <w:szCs w:val="24"/>
                <w:highlight w:val="none"/>
              </w:rPr>
              <w:outlineLvl w:val="1"/>
            </w:pPr>
            <w:r>
              <w:rPr>
                <w:rFonts w:hint="eastAsia" w:ascii="仿宋" w:hAnsi="仿宋" w:eastAsia="仿宋" w:cs="仿宋"/>
                <w:spacing w:val="-2"/>
                <w:sz w:val="24"/>
                <w:szCs w:val="24"/>
                <w:highlight w:val="none"/>
              </w:rPr>
              <w:t xml:space="preserve">其他管理人员</w:t>
            </w:r>
            <w:r/>
          </w:p>
        </w:tc>
        <w:tc>
          <w:tcPr>
            <w:tcW w:w="1526" w:type="dxa"/>
            <w:vAlign w:val="center"/>
            <w:textDirection w:val="lrTb"/>
            <w:noWrap/>
          </w:tcPr>
          <w:p>
            <w:pPr>
              <w:ind w:left="238"/>
              <w:spacing w:before="316" w:line="500" w:lineRule="exact"/>
              <w:rPr>
                <w:rFonts w:ascii="仿宋" w:hAnsi="仿宋" w:eastAsia="仿宋" w:cs="仿宋"/>
                <w:sz w:val="24"/>
                <w:szCs w:val="24"/>
                <w:highlight w:val="none"/>
              </w:rPr>
              <w:outlineLvl w:val="1"/>
            </w:pPr>
            <w:r>
              <w:rPr>
                <w:rFonts w:hint="eastAsia" w:ascii="仿宋" w:hAnsi="仿宋" w:eastAsia="仿宋" w:cs="仿宋"/>
                <w:spacing w:val="-8"/>
                <w:sz w:val="24"/>
                <w:szCs w:val="24"/>
                <w:highlight w:val="none"/>
              </w:rPr>
              <w:t xml:space="preserve">2人</w:t>
            </w:r>
            <w:r/>
          </w:p>
        </w:tc>
        <w:tc>
          <w:tcPr>
            <w:tcW w:w="4813" w:type="dxa"/>
            <w:vAlign w:val="center"/>
            <w:textDirection w:val="lrTb"/>
            <w:noWrap/>
          </w:tcPr>
          <w:p>
            <w:pPr>
              <w:ind w:left="114"/>
              <w:jc w:val="center"/>
              <w:spacing w:before="117" w:line="500" w:lineRule="exact"/>
              <w:rPr>
                <w:rFonts w:ascii="仿宋" w:hAnsi="仿宋" w:eastAsia="仿宋" w:cs="仿宋"/>
                <w:sz w:val="24"/>
                <w:szCs w:val="24"/>
                <w:highlight w:val="none"/>
              </w:rPr>
              <w:outlineLvl w:val="1"/>
            </w:pPr>
            <w:r>
              <w:rPr>
                <w:rFonts w:hint="eastAsia" w:ascii="仿宋" w:hAnsi="仿宋" w:eastAsia="仿宋" w:cs="仿宋"/>
                <w:spacing w:val="-4"/>
                <w:sz w:val="24"/>
                <w:szCs w:val="24"/>
                <w:highlight w:val="none"/>
              </w:rPr>
              <w:t xml:space="preserve">包括安全员、施工员各1人，其中安全员</w:t>
            </w:r>
            <w:r>
              <w:rPr>
                <w:rFonts w:hint="eastAsia" w:ascii="仿宋" w:hAnsi="仿宋" w:eastAsia="仿宋" w:cs="仿宋"/>
                <w:spacing w:val="-1"/>
                <w:sz w:val="24"/>
                <w:szCs w:val="24"/>
                <w:highlight w:val="none"/>
              </w:rPr>
              <w:t xml:space="preserve">须具有有效的安全生产考核合格证书</w:t>
            </w:r>
            <w:r/>
          </w:p>
        </w:tc>
      </w:tr>
      <w:tr>
        <w:trPr>
          <w:jc w:val="center"/>
          <w:trHeight w:val="804"/>
        </w:trPr>
        <w:tc>
          <w:tcPr>
            <w:tcW w:w="700" w:type="dxa"/>
            <w:vAlign w:val="center"/>
            <w:textDirection w:val="lrTb"/>
            <w:noWrap/>
          </w:tcPr>
          <w:p>
            <w:pPr>
              <w:ind w:left="301"/>
              <w:spacing w:before="78"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2135" w:type="dxa"/>
            <w:vAlign w:val="center"/>
            <w:textDirection w:val="lrTb"/>
            <w:noWrap/>
          </w:tcPr>
          <w:p>
            <w:pPr>
              <w:ind w:left="112"/>
              <w:jc w:val="center"/>
              <w:spacing w:before="318" w:line="500" w:lineRule="exact"/>
              <w:rPr>
                <w:rFonts w:ascii="仿宋" w:hAnsi="仿宋" w:eastAsia="仿宋" w:cs="仿宋"/>
                <w:spacing w:val="-2"/>
                <w:sz w:val="24"/>
                <w:szCs w:val="24"/>
                <w:highlight w:val="none"/>
              </w:rPr>
              <w:outlineLvl w:val="1"/>
            </w:pPr>
            <w:r>
              <w:rPr>
                <w:rFonts w:hint="eastAsia" w:ascii="仿宋" w:hAnsi="仿宋" w:eastAsia="仿宋" w:cs="仿宋"/>
                <w:spacing w:val="-2"/>
                <w:sz w:val="24"/>
                <w:szCs w:val="24"/>
                <w:highlight w:val="none"/>
              </w:rPr>
              <w:t xml:space="preserve">维修班组长</w:t>
            </w:r>
            <w:r/>
          </w:p>
        </w:tc>
        <w:tc>
          <w:tcPr>
            <w:tcW w:w="1526" w:type="dxa"/>
            <w:vAlign w:val="center"/>
            <w:textDirection w:val="lrTb"/>
            <w:noWrap/>
          </w:tcPr>
          <w:p>
            <w:pPr>
              <w:ind w:left="235"/>
              <w:spacing w:before="318" w:line="500" w:lineRule="exact"/>
              <w:rPr>
                <w:rFonts w:ascii="仿宋" w:hAnsi="仿宋" w:eastAsia="仿宋" w:cs="仿宋"/>
                <w:spacing w:val="-6"/>
                <w:sz w:val="24"/>
                <w:szCs w:val="24"/>
                <w:highlight w:val="none"/>
              </w:rPr>
              <w:outlineLvl w:val="1"/>
            </w:pPr>
            <w:r>
              <w:rPr>
                <w:rFonts w:hint="eastAsia" w:ascii="仿宋" w:hAnsi="仿宋" w:eastAsia="仿宋" w:cs="仿宋"/>
                <w:spacing w:val="-6"/>
                <w:sz w:val="24"/>
                <w:szCs w:val="24"/>
                <w:highlight w:val="none"/>
              </w:rPr>
              <w:t xml:space="preserve">1人</w:t>
            </w:r>
            <w:r/>
          </w:p>
        </w:tc>
        <w:tc>
          <w:tcPr>
            <w:tcW w:w="4813" w:type="dxa"/>
            <w:vAlign w:val="center"/>
            <w:textDirection w:val="lrTb"/>
            <w:noWrap/>
          </w:tcPr>
          <w:p>
            <w:pPr>
              <w:ind w:left="137"/>
              <w:jc w:val="center"/>
              <w:spacing w:before="120" w:line="500" w:lineRule="exact"/>
              <w:rPr>
                <w:rFonts w:ascii="仿宋" w:hAnsi="仿宋" w:eastAsia="仿宋" w:cs="仿宋"/>
                <w:spacing w:val="-4"/>
                <w:sz w:val="24"/>
                <w:szCs w:val="24"/>
                <w:highlight w:val="none"/>
              </w:rPr>
              <w:outlineLvl w:val="1"/>
            </w:pPr>
            <w:r>
              <w:rPr>
                <w:rFonts w:hint="eastAsia" w:ascii="仿宋" w:hAnsi="仿宋" w:eastAsia="仿宋" w:cs="仿宋"/>
                <w:spacing w:val="-4"/>
                <w:sz w:val="24"/>
                <w:szCs w:val="24"/>
                <w:highlight w:val="none"/>
              </w:rPr>
              <w:t xml:space="preserve">道路桥梁养护施工队长1人</w:t>
            </w:r>
            <w:r/>
          </w:p>
        </w:tc>
      </w:tr>
      <w:tr>
        <w:trPr>
          <w:jc w:val="center"/>
          <w:trHeight w:val="804"/>
        </w:trPr>
        <w:tc>
          <w:tcPr>
            <w:shd w:val="clear" w:color="auto" w:fill="auto"/>
            <w:tcW w:w="700" w:type="dxa"/>
            <w:vAlign w:val="center"/>
            <w:textDirection w:val="lrTb"/>
            <w:noWrap/>
          </w:tcPr>
          <w:p>
            <w:pPr>
              <w:ind w:left="301"/>
              <w:spacing w:before="78"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shd w:val="clear" w:color="auto" w:fill="auto"/>
            <w:tcW w:w="2135" w:type="dxa"/>
            <w:vAlign w:val="center"/>
            <w:textDirection w:val="lrTb"/>
            <w:noWrap/>
          </w:tcPr>
          <w:p>
            <w:pPr>
              <w:ind w:left="112"/>
              <w:spacing w:before="318" w:line="500" w:lineRule="exact"/>
              <w:rPr>
                <w:rFonts w:ascii="仿宋" w:hAnsi="仿宋" w:eastAsia="仿宋" w:cs="仿宋"/>
                <w:sz w:val="24"/>
                <w:szCs w:val="24"/>
                <w:highlight w:val="none"/>
              </w:rPr>
              <w:outlineLvl w:val="1"/>
            </w:pPr>
            <w:r>
              <w:rPr>
                <w:rFonts w:hint="eastAsia" w:ascii="仿宋" w:hAnsi="仿宋" w:eastAsia="仿宋" w:cs="仿宋"/>
                <w:spacing w:val="-2"/>
                <w:sz w:val="24"/>
                <w:szCs w:val="24"/>
                <w:highlight w:val="none"/>
              </w:rPr>
              <w:t xml:space="preserve">道路日常巡检人员</w:t>
            </w:r>
            <w:r/>
          </w:p>
        </w:tc>
        <w:tc>
          <w:tcPr>
            <w:shd w:val="clear" w:color="auto" w:fill="auto"/>
            <w:tcW w:w="1526" w:type="dxa"/>
            <w:vAlign w:val="center"/>
            <w:textDirection w:val="lrTb"/>
            <w:noWrap/>
          </w:tcPr>
          <w:p>
            <w:pPr>
              <w:ind w:left="235"/>
              <w:spacing w:before="318" w:line="500" w:lineRule="exact"/>
              <w:rPr>
                <w:rFonts w:ascii="仿宋" w:hAnsi="仿宋" w:eastAsia="仿宋" w:cs="仿宋"/>
                <w:sz w:val="24"/>
                <w:szCs w:val="24"/>
                <w:highlight w:val="none"/>
              </w:rPr>
              <w:outlineLvl w:val="1"/>
            </w:pPr>
            <w:r>
              <w:rPr>
                <w:rFonts w:hint="eastAsia" w:ascii="仿宋" w:hAnsi="仿宋" w:eastAsia="仿宋" w:cs="仿宋"/>
                <w:spacing w:val="-6"/>
                <w:sz w:val="24"/>
                <w:szCs w:val="24"/>
                <w:highlight w:val="none"/>
              </w:rPr>
              <w:t xml:space="preserve">5人</w:t>
            </w:r>
            <w:r/>
          </w:p>
        </w:tc>
        <w:tc>
          <w:tcPr>
            <w:shd w:val="clear" w:color="auto" w:fill="auto"/>
            <w:tcW w:w="4813" w:type="dxa"/>
            <w:vAlign w:val="center"/>
            <w:textDirection w:val="lrTb"/>
            <w:noWrap/>
          </w:tcPr>
          <w:p>
            <w:pPr>
              <w:ind w:left="137"/>
              <w:jc w:val="center"/>
              <w:spacing w:before="120" w:line="500" w:lineRule="exact"/>
              <w:rPr>
                <w:rFonts w:ascii="仿宋" w:hAnsi="仿宋" w:eastAsia="仿宋" w:cs="仿宋"/>
                <w:sz w:val="24"/>
                <w:szCs w:val="24"/>
                <w:highlight w:val="none"/>
              </w:rPr>
              <w:outlineLvl w:val="1"/>
            </w:pPr>
            <w:r>
              <w:rPr>
                <w:rFonts w:hint="eastAsia" w:ascii="仿宋" w:hAnsi="仿宋" w:eastAsia="仿宋" w:cs="仿宋"/>
                <w:spacing w:val="-4"/>
                <w:sz w:val="24"/>
                <w:szCs w:val="24"/>
                <w:highlight w:val="none"/>
              </w:rPr>
              <w:t xml:space="preserve">中标后一个月内配备齐全并缴纳社保</w:t>
            </w:r>
            <w:r>
              <w:rPr>
                <w:rFonts w:hint="eastAsia" w:ascii="仿宋" w:hAnsi="仿宋" w:eastAsia="仿宋" w:cs="仿宋"/>
                <w:b/>
                <w:bCs/>
                <w:spacing w:val="-4"/>
                <w:sz w:val="24"/>
                <w:szCs w:val="24"/>
                <w:highlight w:val="none"/>
              </w:rPr>
              <w:t xml:space="preserve">（须提供承诺书，格式自拟）</w:t>
            </w:r>
            <w:r/>
          </w:p>
        </w:tc>
      </w:tr>
      <w:tr>
        <w:trPr>
          <w:jc w:val="center"/>
          <w:trHeight w:val="804"/>
        </w:trPr>
        <w:tc>
          <w:tcPr>
            <w:shd w:val="clear" w:color="auto" w:fill="auto"/>
            <w:tcW w:w="700" w:type="dxa"/>
            <w:vAlign w:val="center"/>
            <w:textDirection w:val="lrTb"/>
            <w:noWrap/>
          </w:tcPr>
          <w:p>
            <w:pPr>
              <w:ind w:left="301"/>
              <w:spacing w:before="78" w:line="5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shd w:val="clear" w:color="auto" w:fill="auto"/>
            <w:tcW w:w="2135" w:type="dxa"/>
            <w:vAlign w:val="center"/>
            <w:textDirection w:val="lrTb"/>
            <w:noWrap/>
          </w:tcPr>
          <w:p>
            <w:pPr>
              <w:ind w:left="112"/>
              <w:spacing w:before="318" w:line="500" w:lineRule="exact"/>
              <w:rPr>
                <w:rFonts w:hint="eastAsia" w:ascii="仿宋" w:hAnsi="仿宋" w:eastAsia="仿宋" w:cs="仿宋"/>
                <w:spacing w:val="-2"/>
                <w:sz w:val="24"/>
                <w:szCs w:val="24"/>
                <w:highlight w:val="none"/>
              </w:rPr>
              <w:outlineLvl w:val="1"/>
            </w:pPr>
            <w:r>
              <w:rPr>
                <w:rFonts w:hint="eastAsia" w:ascii="仿宋" w:hAnsi="仿宋" w:eastAsia="仿宋" w:cs="仿宋"/>
                <w:sz w:val="24"/>
                <w:szCs w:val="24"/>
                <w:highlight w:val="none"/>
              </w:rPr>
              <w:t xml:space="preserve">道路桥梁养护维修人员</w:t>
            </w:r>
            <w:r/>
          </w:p>
        </w:tc>
        <w:tc>
          <w:tcPr>
            <w:shd w:val="clear" w:color="auto" w:fill="auto"/>
            <w:tcW w:w="1526" w:type="dxa"/>
            <w:vAlign w:val="center"/>
            <w:textDirection w:val="lrTb"/>
            <w:noWrap/>
          </w:tcPr>
          <w:p>
            <w:pPr>
              <w:ind w:left="235"/>
              <w:spacing w:before="318" w:line="500" w:lineRule="exact"/>
              <w:rPr>
                <w:rFonts w:hint="eastAsia" w:ascii="仿宋" w:hAnsi="仿宋" w:eastAsia="仿宋" w:cs="仿宋"/>
                <w:spacing w:val="-6"/>
                <w:sz w:val="24"/>
                <w:szCs w:val="24"/>
                <w:highlight w:val="none"/>
                <w:lang w:val="en-US" w:eastAsia="zh-CN"/>
              </w:rPr>
              <w:outlineLvl w:val="1"/>
            </w:pPr>
            <w:r>
              <w:rPr>
                <w:rFonts w:hint="eastAsia" w:ascii="仿宋" w:hAnsi="仿宋" w:eastAsia="仿宋" w:cs="仿宋"/>
                <w:spacing w:val="-6"/>
                <w:sz w:val="24"/>
                <w:szCs w:val="24"/>
                <w:highlight w:val="none"/>
                <w:lang w:val="en-US" w:eastAsia="zh-CN"/>
              </w:rPr>
              <w:t xml:space="preserve">不少于</w:t>
            </w: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lang w:val="en-US" w:eastAsia="zh-CN"/>
              </w:rPr>
              <w:t xml:space="preserve">人</w:t>
            </w:r>
            <w:r/>
          </w:p>
        </w:tc>
        <w:tc>
          <w:tcPr>
            <w:shd w:val="clear" w:color="auto" w:fill="auto"/>
            <w:tcW w:w="4813" w:type="dxa"/>
            <w:vAlign w:val="center"/>
            <w:textDirection w:val="lrTb"/>
            <w:noWrap/>
          </w:tcPr>
          <w:p>
            <w:pPr>
              <w:ind w:left="137"/>
              <w:jc w:val="center"/>
              <w:spacing w:before="120" w:line="500" w:lineRule="exact"/>
              <w:rPr>
                <w:rFonts w:hint="eastAsia" w:ascii="仿宋" w:hAnsi="仿宋" w:eastAsia="仿宋" w:cs="仿宋"/>
                <w:spacing w:val="-4"/>
                <w:sz w:val="24"/>
                <w:szCs w:val="24"/>
                <w:highlight w:val="none"/>
                <w:lang w:val="en-US" w:eastAsia="zh-CN"/>
              </w:rPr>
              <w:outlineLvl w:val="1"/>
            </w:pPr>
            <w:r>
              <w:rPr>
                <w:rFonts w:hint="eastAsia" w:ascii="仿宋" w:hAnsi="仿宋" w:eastAsia="仿宋" w:cs="仿宋"/>
                <w:spacing w:val="-4"/>
                <w:sz w:val="24"/>
                <w:szCs w:val="24"/>
                <w:highlight w:val="none"/>
                <w:lang w:val="en-US" w:eastAsia="zh-CN"/>
              </w:rPr>
              <w:t xml:space="preserve">/</w:t>
            </w:r>
            <w:r/>
          </w:p>
        </w:tc>
      </w:tr>
      <w:tr>
        <w:trPr>
          <w:jc w:val="center"/>
          <w:trHeight w:val="804"/>
        </w:trPr>
        <w:tc>
          <w:tcPr>
            <w:shd w:val="clear" w:color="auto" w:fill="auto"/>
            <w:tcW w:w="700" w:type="dxa"/>
            <w:vAlign w:val="center"/>
            <w:textDirection w:val="lrTb"/>
            <w:noWrap/>
          </w:tcPr>
          <w:p>
            <w:pPr>
              <w:ind w:left="301"/>
              <w:spacing w:before="78" w:line="5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p>
        </w:tc>
        <w:tc>
          <w:tcPr>
            <w:shd w:val="clear" w:color="auto" w:fill="auto"/>
            <w:tcW w:w="2135" w:type="dxa"/>
            <w:vAlign w:val="center"/>
            <w:textDirection w:val="lrTb"/>
            <w:noWrap/>
          </w:tcPr>
          <w:p>
            <w:pPr>
              <w:ind w:left="112"/>
              <w:jc w:val="center"/>
              <w:spacing w:before="318" w:line="500" w:lineRule="exact"/>
              <w:rPr>
                <w:rFonts w:ascii="仿宋" w:hAnsi="仿宋" w:eastAsia="仿宋" w:cs="仿宋"/>
                <w:spacing w:val="-2"/>
                <w:sz w:val="24"/>
                <w:szCs w:val="24"/>
                <w:highlight w:val="none"/>
              </w:rPr>
              <w:outlineLvl w:val="1"/>
            </w:pPr>
            <w:r>
              <w:rPr>
                <w:rFonts w:hint="eastAsia" w:ascii="仿宋" w:hAnsi="仿宋" w:eastAsia="仿宋" w:cs="仿宋"/>
                <w:spacing w:val="-2"/>
                <w:sz w:val="24"/>
                <w:szCs w:val="24"/>
                <w:highlight w:val="none"/>
              </w:rPr>
              <w:t xml:space="preserve">合计</w:t>
            </w:r>
            <w:r/>
          </w:p>
        </w:tc>
        <w:tc>
          <w:tcPr>
            <w:gridSpan w:val="2"/>
            <w:shd w:val="clear" w:color="auto" w:fill="auto"/>
            <w:tcW w:w="6339" w:type="dxa"/>
            <w:vAlign w:val="center"/>
            <w:textDirection w:val="lrTb"/>
            <w:noWrap/>
          </w:tcPr>
          <w:p>
            <w:pPr>
              <w:ind w:left="235"/>
              <w:spacing w:before="318" w:line="500" w:lineRule="exact"/>
              <w:rPr>
                <w:rFonts w:hint="eastAsia" w:ascii="仿宋" w:hAnsi="仿宋" w:eastAsia="仿宋" w:cs="仿宋"/>
                <w:spacing w:val="-4"/>
                <w:sz w:val="24"/>
                <w:szCs w:val="24"/>
                <w:highlight w:val="none"/>
                <w:lang w:val="en-US" w:eastAsia="zh-CN"/>
              </w:rPr>
              <w:outlineLvl w:val="1"/>
            </w:pPr>
            <w:r>
              <w:rPr>
                <w:rFonts w:hint="eastAsia" w:ascii="仿宋" w:hAnsi="仿宋" w:eastAsia="仿宋" w:cs="仿宋"/>
                <w:spacing w:val="-6"/>
                <w:sz w:val="24"/>
                <w:szCs w:val="24"/>
                <w:highlight w:val="none"/>
                <w:lang w:val="en-US" w:eastAsia="zh-CN"/>
              </w:rPr>
              <w:t xml:space="preserve">不少于30</w:t>
            </w:r>
            <w:r>
              <w:rPr>
                <w:rFonts w:hint="eastAsia" w:ascii="仿宋" w:hAnsi="仿宋" w:eastAsia="仿宋" w:cs="仿宋"/>
                <w:spacing w:val="-6"/>
                <w:sz w:val="24"/>
                <w:szCs w:val="24"/>
                <w:highlight w:val="none"/>
              </w:rPr>
              <w:t xml:space="preserve">人</w:t>
            </w:r>
            <w:r/>
          </w:p>
        </w:tc>
      </w:tr>
    </w:tbl>
    <w:p>
      <w:pPr>
        <w:spacing w:line="500" w:lineRule="exact"/>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注：</w:t>
      </w:r>
      <w:r/>
    </w:p>
    <w:p>
      <w:pPr>
        <w:ind w:firstLine="48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1、上述人员不得兼任，除道路日常巡检人员</w:t>
      </w:r>
      <w:r>
        <w:rPr>
          <w:rFonts w:hint="eastAsia" w:ascii="仿宋" w:hAnsi="仿宋" w:eastAsia="仿宋" w:cs="仿宋"/>
          <w:b/>
          <w:bCs/>
          <w:sz w:val="28"/>
          <w:szCs w:val="28"/>
          <w:highlight w:val="none"/>
          <w:lang w:val="en-US" w:eastAsia="zh-CN"/>
        </w:rPr>
        <w:t xml:space="preserve">和</w:t>
      </w:r>
      <w:r>
        <w:rPr>
          <w:rFonts w:hint="eastAsia" w:ascii="仿宋" w:hAnsi="仿宋" w:eastAsia="仿宋" w:cs="仿宋"/>
          <w:b/>
          <w:bCs/>
          <w:sz w:val="28"/>
          <w:szCs w:val="28"/>
          <w:highlight w:val="none"/>
        </w:rPr>
        <w:t xml:space="preserve">道路桥梁养护维修人员外须提供响应文件提交截止日前最近1个月响应供应商为其缴纳社保的证明；新成立企业距响应文件提交截止日期不足30日的，可不提供缴纳社保的证明（以新办企业营业执照发放日期为准）。</w:t>
      </w:r>
      <w:r/>
    </w:p>
    <w:p>
      <w:pPr>
        <w:rPr>
          <w:rFonts w:ascii="仿宋" w:hAnsi="仿宋" w:eastAsia="仿宋"/>
          <w:bCs/>
          <w:sz w:val="28"/>
          <w:szCs w:val="28"/>
          <w:highlight w:val="none"/>
        </w:rPr>
      </w:pPr>
      <w:r>
        <w:rPr>
          <w:rFonts w:hint="eastAsia"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5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1"/>
        <w:gridCol w:w="4076"/>
        <w:gridCol w:w="1178"/>
        <w:gridCol w:w="1433"/>
        <w:gridCol w:w="1012"/>
      </w:tblGrid>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商务条款</w:t>
            </w:r>
            <w:r/>
          </w:p>
        </w:tc>
        <w:tc>
          <w:tcPr>
            <w:tcBorders>
              <w:top w:val="single" w:color="auto" w:sz="4" w:space="0"/>
              <w:left w:val="single" w:color="auto" w:sz="4" w:space="0"/>
              <w:bottom w:val="single" w:color="auto" w:sz="4" w:space="0"/>
              <w:right w:val="single" w:color="auto" w:sz="4" w:space="0"/>
            </w:tcBorders>
            <w:tcW w:w="363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招标文件要求</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投标响应具体情况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3630"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两年（一年一签），具体以业主通知时间为准。一年合同期满或维修金额达到380万元，满足任一条件，合同自动终止。考核合格且有财政预算前提下，经双方协商一致，可续签一次合同。</w:t>
            </w:r>
            <w:r/>
          </w:p>
        </w:tc>
        <w:tc>
          <w:tcPr>
            <w:tcBorders>
              <w:top w:val="single" w:color="auto" w:sz="4" w:space="0"/>
              <w:left w:val="single" w:color="auto" w:sz="4" w:space="0"/>
              <w:bottom w:val="single" w:color="auto" w:sz="4" w:space="0"/>
              <w:right w:val="single" w:color="auto" w:sz="4" w:space="0"/>
            </w:tcBorders>
            <w:tcW w:w="1049"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cs="Times New Roman"/>
                <w:sz w:val="24"/>
                <w:highlight w:val="none"/>
              </w:rPr>
            </w:pPr>
            <w:r>
              <w:rPr>
                <w:rFonts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cs="Times New Roman"/>
                <w:sz w:val="24"/>
                <w:highlight w:val="none"/>
              </w:rPr>
            </w:pPr>
            <w:r>
              <w:rPr>
                <w:rFonts w:ascii="仿宋" w:hAnsi="仿宋" w:eastAsia="仿宋" w:cs="Times New Roman"/>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3630"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如皋市城北街道</w:t>
            </w:r>
            <w:r/>
          </w:p>
        </w:tc>
        <w:tc>
          <w:tcPr>
            <w:tcBorders>
              <w:top w:val="single" w:color="auto" w:sz="4" w:space="0"/>
              <w:left w:val="single" w:color="auto" w:sz="4" w:space="0"/>
              <w:bottom w:val="single" w:color="auto" w:sz="4" w:space="0"/>
              <w:right w:val="single" w:color="auto" w:sz="4" w:space="0"/>
            </w:tcBorders>
            <w:tcW w:w="1049"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cs="Times New Roman"/>
                <w:sz w:val="24"/>
                <w:highlight w:val="none"/>
              </w:rPr>
            </w:pPr>
            <w:r>
              <w:rPr>
                <w:rFonts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cs="Times New Roman"/>
                <w:sz w:val="24"/>
                <w:highlight w:val="none"/>
              </w:rPr>
            </w:pPr>
            <w:r>
              <w:rPr>
                <w:rFonts w:ascii="仿宋" w:hAnsi="仿宋" w:eastAsia="仿宋" w:cs="Times New Roman"/>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3630"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项目竣工验收合格并经审计后付至审计价的40%，满一年后付至项目审计价的80%；缺陷责任期（两年）满按审计价结清全部工程款。每次支付前，承包人均应出具符合发包人财务规定以及开票报税要求的相应金额的正式发票。履约保证金待工程竣工（履约）验收合格安全无事故按施工合同约定退还。</w:t>
            </w:r>
            <w:r/>
          </w:p>
        </w:tc>
        <w:tc>
          <w:tcPr>
            <w:tcBorders>
              <w:top w:val="single" w:color="auto" w:sz="4" w:space="0"/>
              <w:left w:val="single" w:color="auto" w:sz="4" w:space="0"/>
              <w:bottom w:val="single" w:color="auto" w:sz="4" w:space="0"/>
              <w:right w:val="single" w:color="auto" w:sz="4" w:space="0"/>
            </w:tcBorders>
            <w:tcW w:w="1049"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cs="Times New Roman"/>
                <w:sz w:val="24"/>
                <w:highlight w:val="none"/>
              </w:rPr>
            </w:pPr>
            <w:r>
              <w:rPr>
                <w:rFonts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cs="Times New Roman"/>
                <w:sz w:val="24"/>
                <w:highlight w:val="none"/>
              </w:rPr>
            </w:pPr>
            <w:r>
              <w:rPr>
                <w:rFonts w:ascii="仿宋" w:hAnsi="仿宋" w:eastAsia="仿宋" w:cs="Times New Roman"/>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响应货币</w:t>
            </w:r>
            <w:r/>
          </w:p>
        </w:tc>
        <w:tc>
          <w:tcPr>
            <w:tcBorders>
              <w:top w:val="single" w:color="auto" w:sz="4" w:space="0"/>
              <w:left w:val="single" w:color="auto" w:sz="4" w:space="0"/>
              <w:bottom w:val="single" w:color="auto" w:sz="4" w:space="0"/>
              <w:right w:val="single" w:color="auto" w:sz="4" w:space="0"/>
            </w:tcBorders>
            <w:tcW w:w="363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049"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cs="Times New Roman"/>
                <w:sz w:val="24"/>
                <w:highlight w:val="none"/>
              </w:rPr>
            </w:pPr>
            <w:r>
              <w:rPr>
                <w:rFonts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cs="Times New Roman"/>
                <w:sz w:val="24"/>
                <w:highlight w:val="none"/>
              </w:rPr>
            </w:pPr>
            <w:r>
              <w:rPr>
                <w:rFonts w:ascii="仿宋" w:hAnsi="仿宋" w:eastAsia="仿宋" w:cs="Times New Roman"/>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363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049" w:type="dxa"/>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cs="Times New Roman"/>
                <w:sz w:val="24"/>
                <w:highlight w:val="none"/>
              </w:rPr>
            </w:pPr>
            <w:r>
              <w:rPr>
                <w:rFonts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cs="Times New Roman"/>
                <w:sz w:val="24"/>
                <w:highlight w:val="none"/>
              </w:rPr>
            </w:pPr>
            <w:r>
              <w:rPr>
                <w:rFonts w:ascii="仿宋" w:hAnsi="仿宋" w:eastAsia="仿宋" w:cs="Times New Roman"/>
                <w:sz w:val="24"/>
                <w:highlight w:val="none"/>
              </w:rPr>
            </w:r>
            <w:r/>
          </w:p>
        </w:tc>
      </w:tr>
    </w:tbl>
    <w:p>
      <w:pPr>
        <w:rPr>
          <w:rFonts w:hint="eastAsia" w:ascii="仿宋" w:hAnsi="仿宋" w:eastAsia="仿宋"/>
          <w:color w:val="000000"/>
          <w:szCs w:val="21"/>
          <w:highlight w:val="none"/>
        </w:rPr>
      </w:pPr>
      <w:r>
        <w:rPr>
          <w:rFonts w:hint="eastAsia" w:ascii="仿宋" w:hAnsi="仿宋" w:eastAsia="仿宋"/>
          <w:color w:val="000000"/>
          <w:szCs w:val="21"/>
          <w:highlight w:val="none"/>
        </w:rPr>
      </w:r>
      <w:r/>
    </w:p>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（四）招标文件规定提交的其他材料</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公开招标响应报价表</w:t>
      </w:r>
      <w:r/>
    </w:p>
    <w:tbl>
      <w:tblPr>
        <w:tblStyle w:val="65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spacing w:line="500" w:lineRule="exact"/>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（二）中小企业声明函</w:t>
      </w:r>
      <w:r/>
    </w:p>
    <w:p>
      <w:pPr>
        <w:jc w:val="center"/>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中小企业声明函（服务）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（单位名称）</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（项目名称）</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66"/>
      </w:rPr>
      <w:framePr w:wrap="around" w:vAnchor="text" w:hAnchor="margin" w:xAlign="center" w:y="1"/>
    </w:pPr>
    <w:r>
      <w:fldChar w:fldCharType="begin"/>
    </w:r>
    <w:r>
      <w:rPr>
        <w:rStyle w:val="666"/>
      </w:rPr>
      <w:instrText xml:space="preserve">PAGE  </w:instrText>
    </w:r>
    <w:r>
      <w:fldChar w:fldCharType="separate"/>
    </w:r>
    <w:r>
      <w:rPr>
        <w:rStyle w:val="666"/>
      </w:rPr>
      <w:t xml:space="preserve">33</w:t>
    </w:r>
    <w:r>
      <w:fldChar w:fldCharType="end"/>
    </w:r>
    <w:r/>
  </w:p>
  <w:p>
    <w:pPr>
      <w:pStyle w:val="6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66"/>
      </w:rPr>
      <w:framePr w:wrap="around" w:vAnchor="text" w:hAnchor="margin" w:xAlign="center" w:y="1"/>
    </w:pPr>
    <w:r>
      <w:fldChar w:fldCharType="begin"/>
    </w:r>
    <w:r>
      <w:rPr>
        <w:rStyle w:val="666"/>
      </w:rPr>
      <w:instrText xml:space="preserve">PAGE  </w:instrText>
    </w:r>
    <w:r>
      <w:fldChar w:fldCharType="end"/>
    </w:r>
    <w:r/>
  </w:p>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8"/>
    <w:uiPriority w:val="9"/>
    <w:rPr>
      <w:rFonts w:ascii="Arial" w:hAnsi="Arial" w:eastAsia="Arial" w:cs="Arial"/>
      <w:sz w:val="40"/>
      <w:szCs w:val="40"/>
    </w:rPr>
  </w:style>
  <w:style w:type="character" w:styleId="15">
    <w:name w:val="Heading 2 Char"/>
    <w:basedOn w:val="652"/>
    <w:link w:val="649"/>
    <w:uiPriority w:val="9"/>
    <w:rPr>
      <w:rFonts w:ascii="Arial" w:hAnsi="Arial" w:eastAsia="Arial" w:cs="Arial"/>
      <w:sz w:val="34"/>
    </w:rPr>
  </w:style>
  <w:style w:type="character" w:styleId="17">
    <w:name w:val="Heading 3 Char"/>
    <w:basedOn w:val="652"/>
    <w:link w:val="650"/>
    <w:uiPriority w:val="9"/>
    <w:rPr>
      <w:rFonts w:ascii="Arial" w:hAnsi="Arial" w:eastAsia="Arial" w:cs="Arial"/>
      <w:sz w:val="30"/>
      <w:szCs w:val="30"/>
    </w:rPr>
  </w:style>
  <w:style w:type="character" w:styleId="19">
    <w:name w:val="Heading 4 Char"/>
    <w:basedOn w:val="652"/>
    <w:link w:val="651"/>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2"/>
    <w:uiPriority w:val="99"/>
  </w:style>
  <w:style w:type="character" w:styleId="44">
    <w:name w:val="Footer Char"/>
    <w:basedOn w:val="652"/>
    <w:link w:val="661"/>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8">
    <w:name w:val="Heading 1"/>
    <w:basedOn w:val="647"/>
    <w:next w:val="647"/>
    <w:uiPriority w:val="0"/>
    <w:qFormat/>
    <w:pPr>
      <w:keepLines/>
      <w:keepNext/>
      <w:spacing w:before="340" w:after="330" w:line="578" w:lineRule="auto"/>
      <w:outlineLvl w:val="0"/>
    </w:pPr>
    <w:rPr>
      <w:b/>
      <w:bCs/>
      <w:sz w:val="44"/>
      <w:szCs w:val="44"/>
    </w:rPr>
  </w:style>
  <w:style w:type="paragraph" w:styleId="649">
    <w:name w:val="Heading 2"/>
    <w:basedOn w:val="647"/>
    <w:next w:val="647"/>
    <w:link w:val="687"/>
    <w:uiPriority w:val="0"/>
    <w:qFormat/>
    <w:pPr>
      <w:keepLines/>
      <w:keepNext/>
      <w:spacing w:before="260" w:after="260" w:line="416" w:lineRule="auto"/>
      <w:outlineLvl w:val="1"/>
    </w:pPr>
    <w:rPr>
      <w:rFonts w:ascii="Arial" w:hAnsi="Arial" w:eastAsia="黑体"/>
      <w:b/>
      <w:bCs/>
      <w:sz w:val="32"/>
      <w:szCs w:val="32"/>
    </w:rPr>
  </w:style>
  <w:style w:type="paragraph" w:styleId="650">
    <w:name w:val="Heading 3"/>
    <w:basedOn w:val="647"/>
    <w:next w:val="654"/>
    <w:link w:val="672"/>
    <w:uiPriority w:val="0"/>
    <w:qFormat/>
    <w:pPr>
      <w:keepLines/>
      <w:keepNext/>
      <w:spacing w:before="260" w:after="260" w:line="416" w:lineRule="auto"/>
      <w:outlineLvl w:val="2"/>
    </w:pPr>
    <w:rPr>
      <w:b/>
      <w:sz w:val="32"/>
      <w:szCs w:val="20"/>
    </w:rPr>
  </w:style>
  <w:style w:type="paragraph" w:styleId="651">
    <w:name w:val="Heading 4"/>
    <w:basedOn w:val="647"/>
    <w:next w:val="647"/>
    <w:link w:val="673"/>
    <w:uiPriority w:val="0"/>
    <w:qFormat/>
    <w:pPr>
      <w:keepLines/>
      <w:keepNext/>
      <w:spacing w:before="280" w:after="290" w:line="376" w:lineRule="auto"/>
      <w:outlineLvl w:val="3"/>
    </w:pPr>
    <w:rPr>
      <w:rFonts w:ascii="Arial" w:hAnsi="Arial" w:eastAsia="黑体"/>
      <w:b/>
      <w:bCs/>
      <w:sz w:val="28"/>
      <w:szCs w:val="28"/>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Normal Indent"/>
    <w:basedOn w:val="647"/>
    <w:link w:val="678"/>
    <w:uiPriority w:val="0"/>
    <w:qFormat/>
    <w:pPr>
      <w:ind w:firstLine="420"/>
    </w:pPr>
  </w:style>
  <w:style w:type="paragraph" w:styleId="655">
    <w:name w:val="Document Map"/>
    <w:basedOn w:val="647"/>
    <w:uiPriority w:val="0"/>
    <w:semiHidden/>
    <w:qFormat/>
    <w:pPr>
      <w:shd w:val="clear" w:color="auto" w:fill="000080"/>
    </w:pPr>
  </w:style>
  <w:style w:type="paragraph" w:styleId="656">
    <w:name w:val="Body Text Indent"/>
    <w:basedOn w:val="647"/>
    <w:uiPriority w:val="0"/>
    <w:qFormat/>
    <w:pPr>
      <w:ind w:left="420"/>
      <w:spacing w:after="120"/>
    </w:pPr>
  </w:style>
  <w:style w:type="paragraph" w:styleId="657">
    <w:name w:val="Plain Text"/>
    <w:basedOn w:val="647"/>
    <w:link w:val="677"/>
    <w:uiPriority w:val="99"/>
    <w:qFormat/>
    <w:pPr>
      <w:jc w:val="left"/>
      <w:spacing w:after="200" w:line="252" w:lineRule="auto"/>
      <w:widowControl/>
    </w:pPr>
    <w:rPr>
      <w:rFonts w:ascii="宋体" w:hAnsi="Courier New"/>
      <w:szCs w:val="20"/>
    </w:rPr>
  </w:style>
  <w:style w:type="paragraph" w:styleId="658">
    <w:name w:val="Date"/>
    <w:basedOn w:val="647"/>
    <w:next w:val="647"/>
    <w:link w:val="668"/>
    <w:uiPriority w:val="0"/>
    <w:qFormat/>
    <w:rPr>
      <w:sz w:val="24"/>
      <w:szCs w:val="20"/>
    </w:rPr>
  </w:style>
  <w:style w:type="paragraph" w:styleId="659">
    <w:name w:val="Body Text Indent 2"/>
    <w:basedOn w:val="647"/>
    <w:link w:val="688"/>
    <w:uiPriority w:val="0"/>
    <w:qFormat/>
    <w:pPr>
      <w:ind w:left="420"/>
      <w:spacing w:after="120" w:line="480" w:lineRule="auto"/>
    </w:pPr>
  </w:style>
  <w:style w:type="paragraph" w:styleId="660">
    <w:name w:val="Balloon Text"/>
    <w:basedOn w:val="647"/>
    <w:link w:val="670"/>
    <w:uiPriority w:val="0"/>
    <w:qFormat/>
    <w:rPr>
      <w:sz w:val="18"/>
      <w:szCs w:val="18"/>
    </w:rPr>
  </w:style>
  <w:style w:type="paragraph" w:styleId="661">
    <w:name w:val="Footer"/>
    <w:basedOn w:val="647"/>
    <w:uiPriority w:val="0"/>
    <w:qFormat/>
    <w:pPr>
      <w:jc w:val="left"/>
      <w:tabs>
        <w:tab w:val="center" w:pos="4153" w:leader="none"/>
        <w:tab w:val="right" w:pos="8306" w:leader="none"/>
      </w:tabs>
    </w:pPr>
    <w:rPr>
      <w:sz w:val="18"/>
      <w:szCs w:val="18"/>
    </w:rPr>
  </w:style>
  <w:style w:type="paragraph" w:styleId="662">
    <w:name w:val="Header"/>
    <w:basedOn w:val="647"/>
    <w:link w:val="679"/>
    <w:uiPriority w:val="99"/>
    <w:qFormat/>
    <w:pPr>
      <w:jc w:val="center"/>
      <w:tabs>
        <w:tab w:val="center" w:pos="4153" w:leader="none"/>
        <w:tab w:val="right" w:pos="8306" w:leader="none"/>
      </w:tabs>
      <w:pBdr>
        <w:bottom w:val="single" w:color="auto" w:sz="6" w:space="1"/>
      </w:pBdr>
    </w:pPr>
    <w:rPr>
      <w:sz w:val="18"/>
      <w:szCs w:val="18"/>
    </w:rPr>
  </w:style>
  <w:style w:type="paragraph" w:styleId="663">
    <w:name w:val="Body Text Indent 3"/>
    <w:basedOn w:val="647"/>
    <w:link w:val="669"/>
    <w:uiPriority w:val="0"/>
    <w:qFormat/>
    <w:pPr>
      <w:ind w:left="420"/>
      <w:spacing w:after="120"/>
    </w:pPr>
    <w:rPr>
      <w:sz w:val="16"/>
      <w:szCs w:val="16"/>
    </w:rPr>
  </w:style>
  <w:style w:type="paragraph" w:styleId="664">
    <w:name w:val="Normal (Web)"/>
    <w:basedOn w:val="647"/>
    <w:uiPriority w:val="99"/>
    <w:unhideWhenUsed/>
    <w:qFormat/>
    <w:pPr>
      <w:jc w:val="left"/>
      <w:spacing w:before="100" w:beforeAutospacing="1" w:after="100" w:afterAutospacing="1"/>
      <w:widowControl/>
    </w:pPr>
    <w:rPr>
      <w:rFonts w:ascii="宋体" w:hAnsi="宋体" w:cs="宋体"/>
      <w:sz w:val="24"/>
    </w:rPr>
  </w:style>
  <w:style w:type="table" w:styleId="665">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page number"/>
    <w:basedOn w:val="652"/>
    <w:uiPriority w:val="0"/>
    <w:qFormat/>
  </w:style>
  <w:style w:type="character" w:styleId="667">
    <w:name w:val="Hyperlink"/>
    <w:basedOn w:val="652"/>
    <w:uiPriority w:val="0"/>
    <w:qFormat/>
    <w:rPr>
      <w:color w:val="0000ff"/>
      <w:u w:val="single"/>
    </w:rPr>
  </w:style>
  <w:style w:type="character" w:styleId="668" w:customStyle="1">
    <w:name w:val="日期 Char"/>
    <w:basedOn w:val="652"/>
    <w:link w:val="658"/>
    <w:uiPriority w:val="0"/>
    <w:qFormat/>
    <w:rPr>
      <w:sz w:val="24"/>
    </w:rPr>
  </w:style>
  <w:style w:type="character" w:styleId="669" w:customStyle="1">
    <w:name w:val="正文文本缩进 3 Char"/>
    <w:basedOn w:val="652"/>
    <w:link w:val="663"/>
    <w:uiPriority w:val="0"/>
    <w:qFormat/>
    <w:rPr>
      <w:sz w:val="16"/>
      <w:szCs w:val="16"/>
    </w:rPr>
  </w:style>
  <w:style w:type="character" w:styleId="670" w:customStyle="1">
    <w:name w:val="批注框文本 Char"/>
    <w:basedOn w:val="652"/>
    <w:link w:val="660"/>
    <w:uiPriority w:val="0"/>
    <w:qFormat/>
    <w:rPr>
      <w:sz w:val="18"/>
      <w:szCs w:val="18"/>
    </w:rPr>
  </w:style>
  <w:style w:type="character" w:styleId="671" w:customStyle="1">
    <w:name w:val="纯文本 Char"/>
    <w:uiPriority w:val="99"/>
    <w:qFormat/>
    <w:rPr>
      <w:rFonts w:ascii="宋体" w:hAnsi="Courier New"/>
      <w:sz w:val="21"/>
    </w:rPr>
  </w:style>
  <w:style w:type="character" w:styleId="672" w:customStyle="1">
    <w:name w:val="标题 3 Char"/>
    <w:basedOn w:val="652"/>
    <w:link w:val="650"/>
    <w:uiPriority w:val="0"/>
    <w:qFormat/>
    <w:rPr>
      <w:b/>
      <w:sz w:val="32"/>
    </w:rPr>
  </w:style>
  <w:style w:type="character" w:styleId="673" w:customStyle="1">
    <w:name w:val="标题 4 Char"/>
    <w:basedOn w:val="652"/>
    <w:link w:val="651"/>
    <w:uiPriority w:val="0"/>
    <w:qFormat/>
    <w:rPr>
      <w:rFonts w:ascii="Arial" w:hAnsi="Arial" w:eastAsia="黑体"/>
      <w:b/>
      <w:bCs/>
      <w:sz w:val="28"/>
      <w:szCs w:val="28"/>
    </w:rPr>
  </w:style>
  <w:style w:type="character" w:styleId="674" w:customStyle="1">
    <w:name w:val="正文缩进2格 Char"/>
    <w:link w:val="675"/>
    <w:uiPriority w:val="0"/>
    <w:qFormat/>
    <w:rPr>
      <w:rFonts w:ascii="仿宋_GB2312" w:hAnsi="宋体" w:eastAsia="仿宋_GB2312"/>
      <w:sz w:val="31"/>
      <w:szCs w:val="28"/>
      <w:lang w:bidi="ar-SA"/>
    </w:rPr>
  </w:style>
  <w:style w:type="paragraph" w:styleId="675" w:customStyle="1">
    <w:name w:val="正文缩进2格"/>
    <w:basedOn w:val="647"/>
    <w:link w:val="674"/>
    <w:uiPriority w:val="0"/>
    <w:qFormat/>
    <w:pPr>
      <w:ind w:firstLine="639"/>
      <w:spacing w:line="600" w:lineRule="exact"/>
    </w:pPr>
    <w:rPr>
      <w:rFonts w:ascii="仿宋_GB2312" w:hAnsi="宋体" w:eastAsia="仿宋_GB2312"/>
      <w:sz w:val="31"/>
      <w:szCs w:val="28"/>
    </w:rPr>
  </w:style>
  <w:style w:type="character" w:styleId="676" w:customStyle="1">
    <w:name w:val="纯文本 Char2"/>
    <w:basedOn w:val="652"/>
    <w:uiPriority w:val="0"/>
    <w:qFormat/>
    <w:rPr>
      <w:rFonts w:ascii="宋体" w:hAnsi="Courier New" w:eastAsia="宋体"/>
      <w:sz w:val="24"/>
      <w:lang w:val="en-US" w:eastAsia="zh-CN" w:bidi="ar-SA"/>
    </w:rPr>
  </w:style>
  <w:style w:type="character" w:styleId="677" w:customStyle="1">
    <w:name w:val="纯文本 Char1"/>
    <w:basedOn w:val="652"/>
    <w:link w:val="657"/>
    <w:uiPriority w:val="0"/>
    <w:qFormat/>
    <w:rPr>
      <w:rFonts w:ascii="宋体" w:hAnsi="Courier New" w:cs="Courier New"/>
      <w:sz w:val="21"/>
      <w:szCs w:val="21"/>
    </w:rPr>
  </w:style>
  <w:style w:type="character" w:styleId="678" w:customStyle="1">
    <w:name w:val="正文缩进 Char"/>
    <w:link w:val="654"/>
    <w:uiPriority w:val="0"/>
    <w:qFormat/>
    <w:rPr>
      <w:rFonts w:eastAsia="宋体"/>
      <w:sz w:val="21"/>
      <w:szCs w:val="24"/>
      <w:lang w:val="en-US" w:eastAsia="zh-CN" w:bidi="ar-SA"/>
    </w:rPr>
  </w:style>
  <w:style w:type="character" w:styleId="679" w:customStyle="1">
    <w:name w:val="页眉 Char"/>
    <w:link w:val="662"/>
    <w:uiPriority w:val="99"/>
    <w:qFormat/>
    <w:rPr>
      <w:sz w:val="18"/>
      <w:szCs w:val="18"/>
    </w:rPr>
  </w:style>
  <w:style w:type="paragraph" w:styleId="680" w:customStyle="1">
    <w:name w:val="Char"/>
    <w:basedOn w:val="655"/>
    <w:uiPriority w:val="0"/>
    <w:qFormat/>
    <w:rPr>
      <w:rFonts w:ascii="Tahoma" w:hAnsi="Tahoma"/>
      <w:sz w:val="24"/>
    </w:rPr>
  </w:style>
  <w:style w:type="paragraph" w:styleId="681" w:customStyle="1">
    <w:name w:val="普通正文"/>
    <w:basedOn w:val="647"/>
    <w:uiPriority w:val="0"/>
    <w:qFormat/>
    <w:pPr>
      <w:ind w:firstLine="480"/>
      <w:jc w:val="left"/>
      <w:spacing w:before="120" w:after="120" w:line="360" w:lineRule="auto"/>
    </w:pPr>
    <w:rPr>
      <w:rFonts w:ascii="Arial" w:hAnsi="Arial"/>
      <w:sz w:val="24"/>
    </w:rPr>
  </w:style>
  <w:style w:type="paragraph" w:styleId="682" w:customStyle="1">
    <w:name w:val="msonormalcxspmiddle"/>
    <w:basedOn w:val="647"/>
    <w:uiPriority w:val="0"/>
    <w:qFormat/>
    <w:pPr>
      <w:jc w:val="left"/>
      <w:spacing w:before="100" w:beforeAutospacing="1" w:after="100" w:afterAutospacing="1"/>
      <w:widowControl/>
    </w:pPr>
    <w:rPr>
      <w:rFonts w:ascii="宋体" w:hAnsi="宋体" w:cs="宋体"/>
      <w:sz w:val="24"/>
    </w:rPr>
  </w:style>
  <w:style w:type="paragraph" w:styleId="683" w:customStyle="1">
    <w:name w:val="Char1"/>
    <w:basedOn w:val="647"/>
    <w:uiPriority w:val="0"/>
    <w:qFormat/>
    <w:pPr>
      <w:tabs>
        <w:tab w:val="left" w:pos="360" w:leader="none"/>
      </w:tabs>
    </w:pPr>
    <w:rPr>
      <w:color w:val="000000"/>
      <w:sz w:val="24"/>
    </w:rPr>
  </w:style>
  <w:style w:type="paragraph" w:styleId="684" w:customStyle="1">
    <w:name w:val="Char Char Char Char"/>
    <w:basedOn w:val="655"/>
    <w:uiPriority w:val="0"/>
    <w:qFormat/>
    <w:pPr>
      <w:spacing w:line="360" w:lineRule="auto"/>
    </w:pPr>
    <w:rPr>
      <w:szCs w:val="20"/>
    </w:rPr>
  </w:style>
  <w:style w:type="character" w:styleId="685" w:customStyle="1">
    <w:name w:val="p0 Char"/>
    <w:link w:val="686"/>
    <w:uiPriority w:val="0"/>
    <w:qFormat/>
    <w:rPr>
      <w:sz w:val="21"/>
      <w:szCs w:val="21"/>
    </w:rPr>
  </w:style>
  <w:style w:type="paragraph" w:styleId="686" w:customStyle="1">
    <w:name w:val="p0"/>
    <w:basedOn w:val="647"/>
    <w:link w:val="685"/>
    <w:uiPriority w:val="0"/>
    <w:qFormat/>
    <w:pPr>
      <w:widowControl/>
    </w:pPr>
    <w:rPr>
      <w:szCs w:val="21"/>
    </w:rPr>
  </w:style>
  <w:style w:type="character" w:styleId="687" w:customStyle="1">
    <w:name w:val="标题 2 Char"/>
    <w:link w:val="649"/>
    <w:uiPriority w:val="0"/>
    <w:qFormat/>
    <w:rPr>
      <w:rFonts w:ascii="Arial" w:hAnsi="Arial" w:eastAsia="黑体"/>
      <w:b/>
      <w:bCs/>
      <w:sz w:val="32"/>
      <w:szCs w:val="32"/>
    </w:rPr>
  </w:style>
  <w:style w:type="character" w:styleId="688" w:customStyle="1">
    <w:name w:val="正文文本缩进 2 Char"/>
    <w:basedOn w:val="652"/>
    <w:link w:val="659"/>
    <w:uiPriority w:val="0"/>
    <w:qFormat/>
    <w:rPr>
      <w:sz w:val="21"/>
      <w:szCs w:val="24"/>
    </w:rPr>
  </w:style>
  <w:style w:type="table" w:styleId="689" w:customStyle="1">
    <w:name w:val="Table Normal"/>
    <w:uiPriority w:val="0"/>
    <w:semiHidden/>
    <w:unhideWhenUsed/>
    <w:qFormat/>
    <w:tblPr>
      <w:tblCellMar>
        <w:left w:w="0" w:type="dxa"/>
        <w:top w:w="0" w:type="dxa"/>
        <w:right w:w="0" w:type="dxa"/>
        <w:bottom w:w="0" w:type="dxa"/>
      </w:tblCellMar>
    </w:tblPr>
  </w:style>
  <w:style w:type="numbering" w:styleId="7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江苏皋诚</cp:lastModifiedBy>
  <cp:revision>4</cp:revision>
  <dcterms:created xsi:type="dcterms:W3CDTF">2026-02-28T01:20:00Z</dcterms:created>
  <dcterms:modified xsi:type="dcterms:W3CDTF">2026-03-13T03:17:46Z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ACD99ECC500844CC8F1A8FFA8331A618_13</vt:lpwstr>
  </property>
  <property fmtid="{D5CDD505-2E9C-101B-9397-08002B2CF9AE}" pid="4" name="KSOTemplateDocerSaveRecord">
    <vt:lpwstr>eyJoZGlkIjoiZjk2ZjUwNGExZmM1ODMwM2ExODU2MzczZGI2OWRhN2YiLCJ1c2VySWQiOiIxMzIxODExMDE3In0=</vt:lpwstr>
  </property>
</Properties>
</file>