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DE286">
      <w:pPr>
        <w:widowControl w:val="0"/>
        <w:spacing w:before="120" w:after="120" w:line="360" w:lineRule="auto"/>
        <w:ind w:firstLine="0"/>
        <w:jc w:val="left"/>
        <w:rPr>
          <w:rFonts w:hint="eastAsia" w:ascii="Arial" w:hAnsi="Arial" w:eastAsia="黑体" w:cs="Times New Roman"/>
          <w:color w:val="auto"/>
          <w:sz w:val="84"/>
          <w:szCs w:val="24"/>
          <w:highlight w:val="none"/>
          <w:lang w:val="en-US" w:eastAsia="en-US" w:bidi="ar-SA"/>
        </w:rPr>
      </w:pPr>
    </w:p>
    <w:p w14:paraId="24C84072">
      <w:pPr>
        <w:widowControl w:val="0"/>
        <w:spacing w:before="120" w:after="120" w:line="360" w:lineRule="auto"/>
        <w:ind w:firstLine="0"/>
        <w:jc w:val="center"/>
        <w:rPr>
          <w:rFonts w:hint="eastAsia" w:ascii="Arial" w:hAnsi="Arial" w:eastAsia="黑体" w:cs="Times New Roman"/>
          <w:color w:val="auto"/>
          <w:sz w:val="84"/>
          <w:szCs w:val="24"/>
          <w:highlight w:val="none"/>
          <w:lang w:val="en-US" w:eastAsia="en-US" w:bidi="ar-SA"/>
        </w:rPr>
      </w:pPr>
      <w:r>
        <w:rPr>
          <w:rFonts w:hint="eastAsia" w:ascii="Arial" w:hAnsi="Arial" w:eastAsia="黑体" w:cs="Times New Roman"/>
          <w:color w:val="auto"/>
          <w:sz w:val="84"/>
          <w:szCs w:val="24"/>
          <w:highlight w:val="none"/>
          <w:lang w:val="en-US" w:eastAsia="en-US" w:bidi="ar-SA"/>
        </w:rPr>
        <w:t>封闭式框架协议采购</w:t>
      </w:r>
    </w:p>
    <w:p w14:paraId="475ADBC3">
      <w:pPr>
        <w:widowControl w:val="0"/>
        <w:spacing w:before="120" w:after="120" w:line="360" w:lineRule="auto"/>
        <w:ind w:firstLine="0"/>
        <w:jc w:val="center"/>
        <w:rPr>
          <w:rFonts w:hint="default" w:ascii="Arial" w:hAnsi="Arial" w:eastAsia="黑体" w:cs="Times New Roman"/>
          <w:color w:val="auto"/>
          <w:sz w:val="84"/>
          <w:szCs w:val="24"/>
          <w:highlight w:val="none"/>
          <w:lang w:val="en-US" w:eastAsia="en-US" w:bidi="ar-SA"/>
        </w:rPr>
      </w:pPr>
      <w:r>
        <w:rPr>
          <w:rFonts w:hint="eastAsia" w:ascii="Arial" w:hAnsi="Arial" w:eastAsia="黑体" w:cs="Times New Roman"/>
          <w:color w:val="auto"/>
          <w:sz w:val="84"/>
          <w:szCs w:val="24"/>
          <w:highlight w:val="none"/>
          <w:lang w:val="en-US" w:eastAsia="en-US" w:bidi="ar-SA"/>
        </w:rPr>
        <w:t>征集文件</w:t>
      </w:r>
    </w:p>
    <w:p w14:paraId="3D94375D">
      <w:pPr>
        <w:widowControl w:val="0"/>
        <w:spacing w:before="120" w:after="120" w:line="360" w:lineRule="auto"/>
        <w:ind w:firstLine="5871"/>
        <w:jc w:val="left"/>
        <w:rPr>
          <w:rFonts w:hint="eastAsia" w:ascii="Arial" w:hAnsi="Arial" w:eastAsia="黑体" w:cs="Times New Roman"/>
          <w:color w:val="auto"/>
          <w:sz w:val="84"/>
          <w:szCs w:val="24"/>
          <w:highlight w:val="none"/>
          <w:lang w:val="en-US" w:eastAsia="en-US" w:bidi="ar-SA"/>
        </w:rPr>
      </w:pPr>
    </w:p>
    <w:p w14:paraId="514AB17C">
      <w:pPr>
        <w:widowControl w:val="0"/>
        <w:spacing w:before="120" w:after="120" w:line="360" w:lineRule="auto"/>
        <w:ind w:firstLine="2236"/>
        <w:jc w:val="left"/>
        <w:rPr>
          <w:rFonts w:hint="eastAsia" w:ascii="Arial" w:hAnsi="Arial" w:eastAsia="宋体" w:cs="Times New Roman"/>
          <w:color w:val="auto"/>
          <w:sz w:val="32"/>
          <w:szCs w:val="24"/>
          <w:highlight w:val="none"/>
          <w:lang w:val="en-US" w:eastAsia="en-US" w:bidi="ar-SA"/>
        </w:rPr>
      </w:pPr>
    </w:p>
    <w:p w14:paraId="0BEA0D8C">
      <w:pPr>
        <w:widowControl w:val="0"/>
        <w:spacing w:before="120" w:after="120" w:line="360" w:lineRule="auto"/>
        <w:ind w:firstLine="0"/>
        <w:jc w:val="both"/>
        <w:rPr>
          <w:rFonts w:hint="eastAsia" w:ascii="Arial" w:hAnsi="Arial" w:eastAsia="宋体" w:cs="Times New Roman"/>
          <w:color w:val="auto"/>
          <w:sz w:val="32"/>
          <w:szCs w:val="24"/>
          <w:highlight w:val="none"/>
          <w:lang w:val="en-US" w:eastAsia="en-US" w:bidi="ar-SA"/>
        </w:rPr>
      </w:pPr>
      <w:r>
        <w:rPr>
          <w:rFonts w:hint="eastAsia" w:ascii="Arial" w:hAnsi="Arial" w:eastAsia="宋体" w:cs="Times New Roman"/>
          <w:color w:val="auto"/>
          <w:sz w:val="32"/>
          <w:szCs w:val="24"/>
          <w:highlight w:val="none"/>
          <w:lang w:val="en-US" w:eastAsia="en-US" w:bidi="ar-SA"/>
        </w:rPr>
        <w:t>项目名称：</w:t>
      </w:r>
      <w:r>
        <w:rPr>
          <w:rFonts w:hint="eastAsia" w:ascii="Arial" w:hAnsi="Arial" w:eastAsia="宋体" w:cs="Times New Roman"/>
          <w:color w:val="auto"/>
          <w:sz w:val="32"/>
          <w:szCs w:val="24"/>
          <w:highlight w:val="none"/>
          <w:lang w:val="en-US" w:eastAsia="zh-CN" w:bidi="ar-SA"/>
        </w:rPr>
        <w:t>2026年度南京市江宁区司法局律师法律服务框架协议采购</w:t>
      </w:r>
    </w:p>
    <w:p w14:paraId="5618710C">
      <w:pPr>
        <w:widowControl w:val="0"/>
        <w:spacing w:before="120" w:after="120" w:line="360" w:lineRule="auto"/>
        <w:ind w:firstLine="0"/>
        <w:jc w:val="both"/>
        <w:rPr>
          <w:rFonts w:hint="eastAsia" w:ascii="宋体" w:hAnsi="宋体" w:eastAsia="宋体" w:cs="宋体"/>
          <w:i w:val="0"/>
          <w:iCs w:val="0"/>
          <w:caps w:val="0"/>
          <w:color w:val="auto"/>
          <w:spacing w:val="0"/>
          <w:sz w:val="36"/>
          <w:szCs w:val="36"/>
          <w:highlight w:val="none"/>
          <w:shd w:val="clear" w:fill="FFFFFF"/>
          <w:lang w:val="en-US" w:eastAsia="zh-CN" w:bidi="ar-SA"/>
        </w:rPr>
      </w:pPr>
      <w:r>
        <w:rPr>
          <w:rFonts w:hint="eastAsia" w:ascii="Arial" w:hAnsi="Arial" w:eastAsia="宋体" w:cs="Times New Roman"/>
          <w:color w:val="auto"/>
          <w:sz w:val="32"/>
          <w:szCs w:val="24"/>
          <w:highlight w:val="none"/>
          <w:lang w:val="en-US" w:eastAsia="en-US" w:bidi="ar-SA"/>
        </w:rPr>
        <w:t>项目编号：JSZC-320115-YHZX-K2026-0001</w:t>
      </w:r>
    </w:p>
    <w:p w14:paraId="6C376B0D">
      <w:pPr>
        <w:widowControl w:val="0"/>
        <w:spacing w:before="120" w:after="120" w:line="360" w:lineRule="auto"/>
        <w:ind w:firstLine="0"/>
        <w:jc w:val="both"/>
        <w:rPr>
          <w:rFonts w:hint="eastAsia" w:ascii="宋体" w:hAnsi="宋体" w:eastAsia="宋体" w:cs="宋体"/>
          <w:i w:val="0"/>
          <w:iCs w:val="0"/>
          <w:caps w:val="0"/>
          <w:color w:val="auto"/>
          <w:spacing w:val="0"/>
          <w:sz w:val="36"/>
          <w:szCs w:val="36"/>
          <w:highlight w:val="none"/>
          <w:shd w:val="clear" w:fill="FFFFFF"/>
          <w:lang w:val="en-US" w:eastAsia="zh-CN" w:bidi="ar-SA"/>
        </w:rPr>
      </w:pPr>
    </w:p>
    <w:p w14:paraId="6BFEDC2B">
      <w:pPr>
        <w:widowControl w:val="0"/>
        <w:spacing w:before="0" w:after="0" w:line="360" w:lineRule="auto"/>
        <w:ind w:firstLine="0"/>
        <w:jc w:val="left"/>
        <w:rPr>
          <w:rFonts w:hint="eastAsia" w:ascii="宋体" w:hAnsi="宋体" w:eastAsia="宋体" w:cs="Times New Roman"/>
          <w:color w:val="auto"/>
          <w:sz w:val="24"/>
          <w:szCs w:val="24"/>
          <w:highlight w:val="none"/>
          <w:lang w:val="en-US" w:eastAsia="en-US" w:bidi="ar-SA"/>
        </w:rPr>
      </w:pPr>
    </w:p>
    <w:p w14:paraId="04D39944">
      <w:pPr>
        <w:widowControl w:val="0"/>
        <w:spacing w:before="0" w:after="0" w:line="360" w:lineRule="auto"/>
        <w:ind w:firstLine="0"/>
        <w:jc w:val="left"/>
        <w:rPr>
          <w:rFonts w:hint="eastAsia" w:ascii="宋体" w:hAnsi="宋体" w:eastAsia="宋体" w:cs="Times New Roman"/>
          <w:color w:val="auto"/>
          <w:sz w:val="24"/>
          <w:szCs w:val="24"/>
          <w:highlight w:val="none"/>
          <w:lang w:val="en-US" w:eastAsia="en-US" w:bidi="ar-SA"/>
        </w:rPr>
      </w:pPr>
    </w:p>
    <w:p w14:paraId="4E3E2FD1">
      <w:pPr>
        <w:widowControl w:val="0"/>
        <w:spacing w:before="0" w:after="0" w:line="360" w:lineRule="auto"/>
        <w:ind w:firstLine="0"/>
        <w:jc w:val="left"/>
        <w:rPr>
          <w:rFonts w:hint="eastAsia" w:ascii="宋体" w:hAnsi="宋体" w:eastAsia="宋体" w:cs="Times New Roman"/>
          <w:color w:val="auto"/>
          <w:sz w:val="24"/>
          <w:szCs w:val="24"/>
          <w:highlight w:val="none"/>
          <w:lang w:val="en-US" w:eastAsia="en-US" w:bidi="ar-SA"/>
        </w:rPr>
      </w:pPr>
    </w:p>
    <w:p w14:paraId="7A517540">
      <w:pPr>
        <w:widowControl w:val="0"/>
        <w:spacing w:before="0" w:after="0" w:line="360" w:lineRule="auto"/>
        <w:ind w:firstLine="0"/>
        <w:jc w:val="left"/>
        <w:rPr>
          <w:rFonts w:hint="eastAsia" w:ascii="宋体" w:hAnsi="宋体" w:eastAsia="宋体" w:cs="Times New Roman"/>
          <w:color w:val="auto"/>
          <w:sz w:val="24"/>
          <w:szCs w:val="24"/>
          <w:highlight w:val="none"/>
          <w:lang w:val="en-US" w:eastAsia="en-US" w:bidi="ar-SA"/>
        </w:rPr>
      </w:pPr>
    </w:p>
    <w:p w14:paraId="2D7EE899">
      <w:pPr>
        <w:widowControl w:val="0"/>
        <w:spacing w:before="120" w:after="120" w:line="360" w:lineRule="auto"/>
        <w:ind w:firstLine="0"/>
        <w:jc w:val="center"/>
        <w:rPr>
          <w:rFonts w:hint="eastAsia" w:ascii="Arial" w:hAnsi="Arial" w:eastAsia="宋体" w:cs="Times New Roman"/>
          <w:color w:val="auto"/>
          <w:sz w:val="32"/>
          <w:szCs w:val="24"/>
          <w:highlight w:val="none"/>
          <w:lang w:val="en-US" w:eastAsia="zh-CN" w:bidi="ar-SA"/>
        </w:rPr>
      </w:pPr>
      <w:r>
        <w:rPr>
          <w:rFonts w:hint="eastAsia" w:ascii="Arial" w:hAnsi="Arial" w:eastAsia="宋体" w:cs="Times New Roman"/>
          <w:color w:val="auto"/>
          <w:sz w:val="32"/>
          <w:szCs w:val="24"/>
          <w:highlight w:val="none"/>
          <w:lang w:val="en-US" w:eastAsia="zh-CN" w:bidi="ar-SA"/>
        </w:rPr>
        <w:t>江苏永瀚工程咨询有限公司</w:t>
      </w:r>
    </w:p>
    <w:p w14:paraId="707DB16F">
      <w:pPr>
        <w:widowControl w:val="0"/>
        <w:spacing w:before="120" w:after="120" w:line="360" w:lineRule="auto"/>
        <w:ind w:firstLine="0"/>
        <w:jc w:val="center"/>
        <w:rPr>
          <w:rFonts w:hint="eastAsia" w:ascii="Arial" w:hAnsi="Arial" w:eastAsia="宋体" w:cs="Times New Roman"/>
          <w:color w:val="auto"/>
          <w:sz w:val="32"/>
          <w:szCs w:val="24"/>
          <w:highlight w:val="none"/>
          <w:lang w:val="en-US" w:eastAsia="en-US" w:bidi="ar-SA"/>
        </w:rPr>
      </w:pPr>
      <w:r>
        <w:rPr>
          <w:rFonts w:hint="eastAsia" w:ascii="Arial" w:hAnsi="Arial" w:eastAsia="宋体" w:cs="Times New Roman"/>
          <w:color w:val="auto"/>
          <w:sz w:val="32"/>
          <w:szCs w:val="24"/>
          <w:highlight w:val="none"/>
          <w:lang w:val="en-US" w:eastAsia="zh-CN" w:bidi="ar-SA"/>
        </w:rPr>
        <w:t>2026</w:t>
      </w:r>
      <w:r>
        <w:rPr>
          <w:rFonts w:hint="eastAsia" w:ascii="Arial" w:hAnsi="Arial" w:eastAsia="宋体" w:cs="Times New Roman"/>
          <w:color w:val="auto"/>
          <w:sz w:val="32"/>
          <w:szCs w:val="24"/>
          <w:highlight w:val="none"/>
          <w:lang w:val="en-US" w:eastAsia="en-US" w:bidi="ar-SA"/>
        </w:rPr>
        <w:t>年</w:t>
      </w:r>
      <w:r>
        <w:rPr>
          <w:rFonts w:hint="eastAsia" w:ascii="Arial" w:hAnsi="Arial" w:eastAsia="宋体" w:cs="Times New Roman"/>
          <w:color w:val="auto"/>
          <w:sz w:val="32"/>
          <w:szCs w:val="24"/>
          <w:highlight w:val="none"/>
          <w:lang w:val="en-US" w:eastAsia="zh-CN" w:bidi="ar-SA"/>
        </w:rPr>
        <w:t>4</w:t>
      </w:r>
      <w:r>
        <w:rPr>
          <w:rFonts w:hint="eastAsia" w:ascii="Arial" w:hAnsi="Arial" w:eastAsia="宋体" w:cs="Times New Roman"/>
          <w:color w:val="auto"/>
          <w:sz w:val="32"/>
          <w:szCs w:val="24"/>
          <w:highlight w:val="none"/>
          <w:lang w:val="en-US" w:eastAsia="en-US" w:bidi="ar-SA"/>
        </w:rPr>
        <w:t>月</w:t>
      </w:r>
    </w:p>
    <w:p w14:paraId="2672792E">
      <w:pPr>
        <w:spacing w:line="480" w:lineRule="auto"/>
        <w:jc w:val="center"/>
        <w:outlineLvl w:val="0"/>
        <w:rPr>
          <w:rFonts w:hint="eastAsia" w:ascii="黑体" w:hAnsi="Arial" w:eastAsia="黑体"/>
          <w:color w:val="auto"/>
          <w:sz w:val="44"/>
          <w:highlight w:val="none"/>
        </w:rPr>
      </w:pPr>
      <w:r>
        <w:rPr>
          <w:color w:val="auto"/>
          <w:highlight w:val="none"/>
        </w:rPr>
        <w:br w:type="page" w:clear="all"/>
      </w:r>
      <w:bookmarkStart w:id="0" w:name="_Toc120614210"/>
      <w:bookmarkStart w:id="1" w:name="_Toc479757206"/>
      <w:bookmarkStart w:id="2" w:name="_Toc20823272"/>
      <w:bookmarkStart w:id="3" w:name="_Toc523127445"/>
      <w:bookmarkStart w:id="4" w:name="_Toc513029200"/>
      <w:bookmarkStart w:id="5" w:name="_Toc16938516"/>
      <w:r>
        <w:rPr>
          <w:rFonts w:hint="eastAsia" w:ascii="黑体" w:hAnsi="Arial" w:eastAsia="黑体"/>
          <w:color w:val="auto"/>
          <w:sz w:val="44"/>
          <w:highlight w:val="none"/>
        </w:rPr>
        <w:t>总  目  录</w:t>
      </w:r>
    </w:p>
    <w:p w14:paraId="020F4386">
      <w:pPr>
        <w:spacing w:line="480" w:lineRule="auto"/>
        <w:rPr>
          <w:rFonts w:hint="eastAsia" w:ascii="仿宋_GB2312" w:hAnsi="Arial" w:eastAsia="仿宋_GB2312"/>
          <w:color w:val="auto"/>
          <w:sz w:val="28"/>
          <w:highlight w:val="none"/>
        </w:rPr>
      </w:pPr>
    </w:p>
    <w:p w14:paraId="3B848646">
      <w:pPr>
        <w:numPr>
          <w:ilvl w:val="0"/>
          <w:numId w:val="1"/>
        </w:numPr>
        <w:spacing w:line="480" w:lineRule="auto"/>
        <w:ind w:left="1440" w:hanging="1440"/>
        <w:outlineLvl w:val="0"/>
        <w:rPr>
          <w:rFonts w:hint="eastAsia" w:ascii="黑体" w:hAnsi="Showcard Gothic" w:eastAsia="黑体"/>
          <w:color w:val="auto"/>
          <w:sz w:val="32"/>
          <w:highlight w:val="none"/>
        </w:rPr>
      </w:pPr>
      <w:r>
        <w:rPr>
          <w:rFonts w:hint="eastAsia" w:ascii="黑体" w:hAnsi="宋体" w:eastAsia="黑体"/>
          <w:color w:val="auto"/>
          <w:sz w:val="36"/>
          <w:highlight w:val="none"/>
        </w:rPr>
        <w:t>参加征集活动</w:t>
      </w:r>
      <w:r>
        <w:rPr>
          <w:rFonts w:ascii="黑体" w:hAnsi="宋体" w:eastAsia="黑体"/>
          <w:color w:val="auto"/>
          <w:sz w:val="36"/>
          <w:highlight w:val="none"/>
        </w:rPr>
        <w:t>的邀请</w:t>
      </w:r>
    </w:p>
    <w:p w14:paraId="7B2EB9ED">
      <w:pPr>
        <w:numPr>
          <w:ilvl w:val="0"/>
          <w:numId w:val="1"/>
        </w:numPr>
        <w:spacing w:line="480" w:lineRule="auto"/>
        <w:ind w:left="1440" w:hanging="1440"/>
        <w:outlineLvl w:val="0"/>
        <w:rPr>
          <w:rFonts w:hint="eastAsia" w:ascii="黑体" w:hAnsi="Showcard Gothic" w:eastAsia="黑体"/>
          <w:color w:val="auto"/>
          <w:sz w:val="36"/>
          <w:highlight w:val="none"/>
        </w:rPr>
      </w:pPr>
      <w:r>
        <w:rPr>
          <w:rFonts w:hint="eastAsia" w:ascii="黑体" w:hAnsi="宋体" w:eastAsia="黑体"/>
          <w:color w:val="auto"/>
          <w:sz w:val="36"/>
          <w:szCs w:val="36"/>
          <w:highlight w:val="none"/>
        </w:rPr>
        <w:t>供应商须知</w:t>
      </w:r>
    </w:p>
    <w:p w14:paraId="184600C8">
      <w:pPr>
        <w:numPr>
          <w:ilvl w:val="0"/>
          <w:numId w:val="1"/>
        </w:numPr>
        <w:spacing w:line="480" w:lineRule="auto"/>
        <w:ind w:left="1440" w:hanging="1440"/>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确定入围及成交供应商</w:t>
      </w:r>
    </w:p>
    <w:p w14:paraId="34110EDE">
      <w:pPr>
        <w:numPr>
          <w:ilvl w:val="0"/>
          <w:numId w:val="1"/>
        </w:numPr>
        <w:spacing w:line="480" w:lineRule="auto"/>
        <w:ind w:left="1440" w:hanging="1440"/>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采购需求</w:t>
      </w:r>
    </w:p>
    <w:p w14:paraId="3371FF0F">
      <w:pPr>
        <w:numPr>
          <w:ilvl w:val="0"/>
          <w:numId w:val="1"/>
        </w:numPr>
        <w:spacing w:line="480" w:lineRule="auto"/>
        <w:ind w:left="1440" w:hanging="1440"/>
        <w:outlineLvl w:val="0"/>
        <w:rPr>
          <w:rFonts w:hint="eastAsia" w:ascii="黑体" w:hAnsi="Showcard Gothic" w:eastAsia="黑体"/>
          <w:color w:val="auto"/>
          <w:sz w:val="36"/>
          <w:highlight w:val="none"/>
        </w:rPr>
      </w:pPr>
      <w:r>
        <w:rPr>
          <w:rFonts w:hint="eastAsia" w:ascii="黑体" w:hAnsi="宋体" w:eastAsia="黑体"/>
          <w:color w:val="auto"/>
          <w:sz w:val="36"/>
          <w:szCs w:val="36"/>
          <w:highlight w:val="none"/>
        </w:rPr>
        <w:t>协议书主要条款</w:t>
      </w:r>
    </w:p>
    <w:p w14:paraId="0CD2BA10">
      <w:pPr>
        <w:numPr>
          <w:ilvl w:val="0"/>
          <w:numId w:val="1"/>
        </w:numPr>
        <w:spacing w:line="480" w:lineRule="auto"/>
        <w:ind w:left="1440" w:hanging="1440"/>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响应文件格式</w:t>
      </w:r>
    </w:p>
    <w:p w14:paraId="769A2C76">
      <w:pPr>
        <w:rPr>
          <w:rFonts w:hint="eastAsia"/>
          <w:color w:val="auto"/>
          <w:highlight w:val="none"/>
        </w:rPr>
      </w:pPr>
    </w:p>
    <w:p w14:paraId="21AE8E60">
      <w:pPr>
        <w:rPr>
          <w:rFonts w:hint="eastAsia"/>
          <w:color w:val="auto"/>
          <w:highlight w:val="none"/>
        </w:rPr>
      </w:pPr>
    </w:p>
    <w:p w14:paraId="10C534D1">
      <w:pPr>
        <w:rPr>
          <w:rFonts w:hint="eastAsia"/>
          <w:color w:val="auto"/>
          <w:highlight w:val="none"/>
        </w:rPr>
      </w:pPr>
    </w:p>
    <w:p w14:paraId="131BD9FE">
      <w:pPr>
        <w:rPr>
          <w:rFonts w:hint="eastAsia"/>
          <w:color w:val="auto"/>
          <w:highlight w:val="none"/>
        </w:rPr>
      </w:pPr>
    </w:p>
    <w:p w14:paraId="515C704E">
      <w:pPr>
        <w:rPr>
          <w:rFonts w:hint="eastAsia"/>
          <w:color w:val="auto"/>
          <w:highlight w:val="none"/>
        </w:rPr>
      </w:pPr>
    </w:p>
    <w:p w14:paraId="17D32EC5">
      <w:pPr>
        <w:rPr>
          <w:rFonts w:hint="eastAsia"/>
          <w:color w:val="auto"/>
          <w:highlight w:val="none"/>
        </w:rPr>
      </w:pPr>
    </w:p>
    <w:p w14:paraId="1C4288C4">
      <w:pPr>
        <w:rPr>
          <w:rFonts w:hint="eastAsia"/>
          <w:color w:val="auto"/>
          <w:highlight w:val="none"/>
        </w:rPr>
      </w:pPr>
    </w:p>
    <w:p w14:paraId="2B7EE578">
      <w:pPr>
        <w:rPr>
          <w:rFonts w:hint="eastAsia"/>
          <w:color w:val="auto"/>
          <w:highlight w:val="none"/>
        </w:rPr>
      </w:pPr>
    </w:p>
    <w:p w14:paraId="1D860EF4">
      <w:pPr>
        <w:rPr>
          <w:rFonts w:hint="eastAsia"/>
          <w:color w:val="auto"/>
          <w:highlight w:val="none"/>
        </w:rPr>
      </w:pPr>
    </w:p>
    <w:p w14:paraId="2A998088">
      <w:pPr>
        <w:rPr>
          <w:rFonts w:hint="eastAsia"/>
          <w:color w:val="auto"/>
          <w:highlight w:val="none"/>
        </w:rPr>
      </w:pPr>
    </w:p>
    <w:p w14:paraId="65E7BA25">
      <w:pPr>
        <w:rPr>
          <w:rFonts w:hint="eastAsia"/>
          <w:color w:val="auto"/>
          <w:highlight w:val="none"/>
        </w:rPr>
      </w:pPr>
    </w:p>
    <w:p w14:paraId="5A43DC00">
      <w:pPr>
        <w:rPr>
          <w:rFonts w:hint="eastAsia"/>
          <w:color w:val="auto"/>
          <w:highlight w:val="none"/>
        </w:rPr>
      </w:pPr>
    </w:p>
    <w:p w14:paraId="709EC8A1">
      <w:pPr>
        <w:rPr>
          <w:rFonts w:hint="eastAsia"/>
          <w:color w:val="auto"/>
          <w:highlight w:val="none"/>
        </w:rPr>
      </w:pPr>
    </w:p>
    <w:p w14:paraId="1D363FDF">
      <w:pPr>
        <w:rPr>
          <w:rFonts w:hint="eastAsia"/>
          <w:color w:val="auto"/>
          <w:highlight w:val="none"/>
        </w:rPr>
      </w:pPr>
    </w:p>
    <w:p w14:paraId="7E4CAC79">
      <w:pPr>
        <w:rPr>
          <w:rFonts w:hint="eastAsia"/>
          <w:color w:val="auto"/>
          <w:highlight w:val="none"/>
        </w:rPr>
      </w:pPr>
    </w:p>
    <w:p w14:paraId="6956F067">
      <w:pPr>
        <w:rPr>
          <w:rFonts w:hint="eastAsia"/>
          <w:color w:val="auto"/>
          <w:highlight w:val="none"/>
        </w:rPr>
      </w:pPr>
    </w:p>
    <w:p w14:paraId="0D5F86CE">
      <w:pPr>
        <w:rPr>
          <w:rFonts w:hint="eastAsia"/>
          <w:color w:val="auto"/>
          <w:highlight w:val="none"/>
        </w:rPr>
      </w:pPr>
    </w:p>
    <w:p w14:paraId="1B5F871C">
      <w:pPr>
        <w:rPr>
          <w:rFonts w:hint="eastAsia"/>
          <w:color w:val="auto"/>
          <w:highlight w:val="none"/>
        </w:rPr>
      </w:pPr>
    </w:p>
    <w:p w14:paraId="3B14CCF3">
      <w:pPr>
        <w:rPr>
          <w:rFonts w:hint="eastAsia"/>
          <w:color w:val="auto"/>
          <w:highlight w:val="none"/>
        </w:rPr>
      </w:pPr>
    </w:p>
    <w:p w14:paraId="62AEBC5A">
      <w:pPr>
        <w:rPr>
          <w:rFonts w:hint="eastAsia"/>
          <w:color w:val="auto"/>
          <w:highlight w:val="none"/>
        </w:rPr>
      </w:pPr>
    </w:p>
    <w:p w14:paraId="1EE9BAA2">
      <w:pPr>
        <w:rPr>
          <w:rFonts w:hint="eastAsia"/>
          <w:color w:val="auto"/>
          <w:highlight w:val="none"/>
        </w:rPr>
      </w:pPr>
    </w:p>
    <w:p w14:paraId="1A3C45DE">
      <w:pPr>
        <w:rPr>
          <w:rFonts w:hint="eastAsia"/>
          <w:color w:val="auto"/>
          <w:highlight w:val="none"/>
        </w:rPr>
      </w:pPr>
    </w:p>
    <w:p w14:paraId="4E1427FE">
      <w:pPr>
        <w:rPr>
          <w:rFonts w:hint="eastAsia"/>
          <w:color w:val="auto"/>
          <w:highlight w:val="none"/>
        </w:rPr>
      </w:pPr>
    </w:p>
    <w:p w14:paraId="59A8814F">
      <w:pPr>
        <w:rPr>
          <w:rFonts w:hint="eastAsia"/>
          <w:color w:val="auto"/>
          <w:highlight w:val="none"/>
        </w:rPr>
      </w:pPr>
    </w:p>
    <w:p w14:paraId="3D057617">
      <w:pPr>
        <w:rPr>
          <w:rFonts w:hint="eastAsia"/>
          <w:color w:val="auto"/>
          <w:highlight w:val="none"/>
        </w:rPr>
      </w:pPr>
    </w:p>
    <w:p w14:paraId="672E5594">
      <w:pPr>
        <w:rPr>
          <w:rFonts w:hint="eastAsia"/>
          <w:color w:val="auto"/>
          <w:highlight w:val="none"/>
        </w:rPr>
      </w:pPr>
    </w:p>
    <w:p w14:paraId="14D6DBAA">
      <w:pPr>
        <w:rPr>
          <w:rFonts w:hint="eastAsia"/>
          <w:color w:val="auto"/>
          <w:highlight w:val="none"/>
        </w:rPr>
      </w:pPr>
    </w:p>
    <w:p w14:paraId="41051F3A">
      <w:pPr>
        <w:keepNext/>
        <w:widowControl w:val="0"/>
        <w:numPr>
          <w:ilvl w:val="0"/>
          <w:numId w:val="2"/>
        </w:numPr>
        <w:jc w:val="center"/>
        <w:outlineLvl w:val="0"/>
        <w:rPr>
          <w:rFonts w:hint="eastAsia" w:ascii="黑体" w:hAnsi="Times New Roman" w:eastAsia="黑体" w:cs="Times New Roman"/>
          <w:color w:val="auto"/>
          <w:sz w:val="44"/>
          <w:szCs w:val="44"/>
          <w:highlight w:val="none"/>
          <w:lang w:val="en-US" w:eastAsia="zh-CN" w:bidi="ar-SA"/>
        </w:rPr>
      </w:pPr>
      <w:r>
        <w:rPr>
          <w:rFonts w:hint="eastAsia" w:ascii="黑体" w:hAnsi="Times New Roman" w:eastAsia="黑体" w:cs="Times New Roman"/>
          <w:color w:val="auto"/>
          <w:sz w:val="44"/>
          <w:szCs w:val="44"/>
          <w:highlight w:val="none"/>
          <w:lang w:val="en-US" w:eastAsia="zh-CN" w:bidi="ar-SA"/>
        </w:rPr>
        <w:t xml:space="preserve"> </w:t>
      </w:r>
      <w:bookmarkEnd w:id="0"/>
      <w:r>
        <w:rPr>
          <w:rFonts w:hint="eastAsia" w:ascii="黑体" w:hAnsi="Times New Roman" w:eastAsia="黑体" w:cs="Times New Roman"/>
          <w:color w:val="auto"/>
          <w:sz w:val="44"/>
          <w:szCs w:val="44"/>
          <w:highlight w:val="none"/>
          <w:lang w:val="en-US" w:eastAsia="zh-CN" w:bidi="ar-SA"/>
        </w:rPr>
        <w:t>参加征集活动的邀请</w:t>
      </w:r>
    </w:p>
    <w:p w14:paraId="50EB18F3">
      <w:pPr>
        <w:rPr>
          <w:rFonts w:hint="eastAsia"/>
          <w:color w:val="auto"/>
          <w:highlight w:val="none"/>
        </w:rPr>
      </w:pPr>
    </w:p>
    <w:p w14:paraId="3457DBF9">
      <w:pPr>
        <w:keepNext/>
        <w:keepLines/>
        <w:widowControl w:val="0"/>
        <w:spacing w:before="145" w:after="145" w:line="360" w:lineRule="auto"/>
        <w:ind w:firstLine="496"/>
        <w:jc w:val="both"/>
        <w:outlineLvl w:val="2"/>
        <w:rPr>
          <w:rFonts w:hint="eastAsia" w:ascii="宋体" w:hAnsi="宋体" w:eastAsia="宋体" w:cs="Times New Roman"/>
          <w:b w:val="0"/>
          <w:bCs w:val="0"/>
          <w:color w:val="auto"/>
          <w:sz w:val="24"/>
          <w:szCs w:val="24"/>
          <w:highlight w:val="none"/>
          <w:lang w:val="en-US" w:eastAsia="zh-CN" w:bidi="ar-SA"/>
        </w:rPr>
      </w:pPr>
      <w:bookmarkStart w:id="6" w:name="_Toc28359079"/>
      <w:bookmarkStart w:id="7" w:name="_Toc35393790"/>
      <w:bookmarkStart w:id="8" w:name="_Toc38985263"/>
      <w:bookmarkStart w:id="9" w:name="_Toc28359002"/>
      <w:bookmarkStart w:id="10" w:name="_Toc35393621"/>
      <w:bookmarkStart w:id="11" w:name="_Hlk24379207"/>
      <w:r>
        <w:rPr>
          <w:rFonts w:hint="eastAsia" w:ascii="宋体" w:hAnsi="宋体" w:eastAsia="宋体" w:cs="Times New Roman"/>
          <w:b w:val="0"/>
          <w:bCs w:val="0"/>
          <w:color w:val="auto"/>
          <w:sz w:val="24"/>
          <w:szCs w:val="24"/>
          <w:highlight w:val="none"/>
          <w:lang w:val="en-US" w:eastAsia="zh-CN" w:bidi="ar-SA"/>
        </w:rPr>
        <w:t>2026年度南京市江宁区司法局律师法律服务框架协议采购的潜在投标人应在江苏政府采购网获取招标文件，并于2026年4月29日9点30分（北京时间）前提交投标文件。</w:t>
      </w:r>
    </w:p>
    <w:p w14:paraId="094363FB">
      <w:pPr>
        <w:keepNext/>
        <w:keepLines/>
        <w:widowControl w:val="0"/>
        <w:spacing w:before="145" w:after="145" w:line="360" w:lineRule="auto"/>
        <w:ind w:firstLine="496"/>
        <w:jc w:val="both"/>
        <w:outlineLvl w:val="2"/>
        <w:rPr>
          <w:rFonts w:hint="default"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一、项目基本情况</w:t>
      </w:r>
      <w:bookmarkEnd w:id="6"/>
      <w:bookmarkEnd w:id="7"/>
      <w:bookmarkEnd w:id="8"/>
      <w:bookmarkEnd w:id="9"/>
      <w:bookmarkEnd w:id="10"/>
    </w:p>
    <w:bookmarkEnd w:id="11"/>
    <w:p w14:paraId="12CAADF3">
      <w:pPr>
        <w:spacing w:line="360" w:lineRule="auto"/>
        <w:ind w:firstLine="480"/>
        <w:rPr>
          <w:rFonts w:ascii="宋体" w:hAnsi="宋体"/>
          <w:color w:val="auto"/>
          <w:sz w:val="24"/>
          <w:szCs w:val="24"/>
          <w:highlight w:val="none"/>
          <w:u w:val="single"/>
        </w:rPr>
      </w:pPr>
      <w:bookmarkStart w:id="12" w:name="_Toc28359080"/>
      <w:bookmarkStart w:id="13" w:name="_Toc28359003"/>
      <w:bookmarkStart w:id="14" w:name="_Toc35393791"/>
      <w:bookmarkStart w:id="15" w:name="_Toc38985264"/>
      <w:bookmarkStart w:id="16" w:name="_Toc35393622"/>
      <w:r>
        <w:rPr>
          <w:rFonts w:hint="eastAsia" w:ascii="宋体" w:hAnsi="宋体"/>
          <w:color w:val="auto"/>
          <w:sz w:val="24"/>
          <w:szCs w:val="24"/>
          <w:highlight w:val="none"/>
        </w:rPr>
        <w:t>1.项目编号：</w:t>
      </w:r>
      <w:r>
        <w:rPr>
          <w:rFonts w:hint="eastAsia" w:ascii="宋体" w:hAnsi="宋体"/>
          <w:color w:val="auto"/>
          <w:sz w:val="24"/>
          <w:szCs w:val="24"/>
          <w:highlight w:val="none"/>
          <w:u w:val="single"/>
          <w:lang w:eastAsia="zh-CN"/>
        </w:rPr>
        <w:t>JSZC-320115-YHZX-K2026-0001</w:t>
      </w:r>
      <w:r>
        <w:rPr>
          <w:rFonts w:hint="eastAsia" w:ascii="宋体" w:hAnsi="宋体"/>
          <w:color w:val="auto"/>
          <w:sz w:val="24"/>
          <w:szCs w:val="24"/>
          <w:highlight w:val="none"/>
          <w:u w:val="single"/>
        </w:rPr>
        <w:t xml:space="preserve">    </w:t>
      </w:r>
    </w:p>
    <w:p w14:paraId="315CB661">
      <w:pPr>
        <w:spacing w:line="360"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2.项目名称：</w:t>
      </w:r>
      <w:r>
        <w:rPr>
          <w:rFonts w:hint="eastAsia" w:ascii="宋体" w:hAnsi="宋体"/>
          <w:color w:val="auto"/>
          <w:sz w:val="24"/>
          <w:szCs w:val="24"/>
          <w:highlight w:val="none"/>
          <w:u w:val="single"/>
          <w:lang w:eastAsia="zh-CN"/>
        </w:rPr>
        <w:t>2026年度南京市江宁区司法局律师法律服务框架协议采购</w:t>
      </w:r>
      <w:r>
        <w:rPr>
          <w:rFonts w:hint="eastAsia" w:ascii="宋体" w:hAnsi="宋体"/>
          <w:color w:val="auto"/>
          <w:sz w:val="24"/>
          <w:szCs w:val="24"/>
          <w:highlight w:val="none"/>
          <w:u w:val="single"/>
        </w:rPr>
        <w:t xml:space="preserve"> </w:t>
      </w:r>
    </w:p>
    <w:p w14:paraId="7C9C778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w:t>
      </w:r>
      <w:r>
        <w:rPr>
          <w:rFonts w:hint="eastAsia" w:ascii="宋体" w:hAnsi="宋体" w:eastAsia="宋体"/>
          <w:color w:val="auto"/>
          <w:sz w:val="24"/>
          <w:szCs w:val="24"/>
          <w:highlight w:val="none"/>
        </w:rPr>
        <w:t>采购方式：本项目采用封闭式框架协议采购</w:t>
      </w:r>
    </w:p>
    <w:p w14:paraId="3B7F8DA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预算金额</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400</w:t>
      </w:r>
      <w:r>
        <w:rPr>
          <w:rFonts w:hint="eastAsia" w:ascii="宋体" w:hAnsi="宋体"/>
          <w:color w:val="auto"/>
          <w:sz w:val="24"/>
          <w:szCs w:val="24"/>
          <w:highlight w:val="none"/>
        </w:rPr>
        <w:t>万元</w:t>
      </w:r>
    </w:p>
    <w:p w14:paraId="0FE6DC1C">
      <w:pPr>
        <w:widowControl w:val="0"/>
        <w:spacing w:line="360" w:lineRule="auto"/>
        <w:ind w:left="120"/>
        <w:jc w:val="both"/>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4"/>
          <w:szCs w:val="24"/>
          <w:highlight w:val="none"/>
          <w:lang w:val="en-US" w:eastAsia="zh-CN" w:bidi="zh-CN"/>
        </w:rPr>
        <w:t xml:space="preserve">   5.采购需求：为更好地满足人民群众日益增长的法律服务需求。拟对2026年法律服务工作以框架协议的方式进行采购。框架协议主要包括以下内容：1、法律咨询；2、代拟法律文书；3、办理法律援助(帮助)案件；4、接听12348法律服务热线电话；5、零工市场法律援助工作站综合工作；6、区劳动人事争议法律援助工作站综合工作；7、行政复议应诉工作；8、法律、法规、规章规定的其他事项。</w:t>
      </w:r>
    </w:p>
    <w:p w14:paraId="6A4D023D">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.入围供应商数量：符合资格条件、实质性要求的供应商</w:t>
      </w:r>
      <w:r>
        <w:rPr>
          <w:rFonts w:hint="eastAsia" w:ascii="宋体" w:hAnsi="宋体"/>
          <w:color w:val="auto"/>
          <w:sz w:val="24"/>
          <w:szCs w:val="24"/>
          <w:highlight w:val="none"/>
          <w:lang w:val="en-US" w:eastAsia="zh-CN"/>
        </w:rPr>
        <w:t>入围80%，入围家数按照去点取整（无论是入围4.1家还是4.9家，均为入围4家）具体规则详见第三章确定入围及成交供应商；</w:t>
      </w:r>
    </w:p>
    <w:p w14:paraId="01D3DEFD">
      <w:p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7.适用框架协议的采购人：南京市江宁区司法局</w:t>
      </w:r>
    </w:p>
    <w:p w14:paraId="0B97F9A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框架协议的期限：本次框架协议期限从本框架协议签署之日起服务期一年。</w:t>
      </w:r>
    </w:p>
    <w:p w14:paraId="61D17B2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.本项目不接受联合体投标。</w:t>
      </w:r>
    </w:p>
    <w:p w14:paraId="389FA355">
      <w:pPr>
        <w:keepNext/>
        <w:keepLines/>
        <w:widowControl w:val="0"/>
        <w:spacing w:before="145" w:after="145" w:line="360" w:lineRule="auto"/>
        <w:ind w:firstLine="496"/>
        <w:jc w:val="both"/>
        <w:outlineLvl w:val="2"/>
        <w:rPr>
          <w:rFonts w:hint="default"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二、供应商的资格要求</w:t>
      </w:r>
      <w:bookmarkEnd w:id="12"/>
      <w:bookmarkEnd w:id="13"/>
      <w:bookmarkEnd w:id="14"/>
      <w:bookmarkEnd w:id="15"/>
      <w:bookmarkEnd w:id="16"/>
    </w:p>
    <w:p w14:paraId="617544C2">
      <w:pPr>
        <w:spacing w:line="360" w:lineRule="auto"/>
        <w:ind w:firstLine="480"/>
        <w:rPr>
          <w:rFonts w:hint="eastAsia" w:ascii="宋体" w:hAnsi="宋体"/>
          <w:color w:val="auto"/>
          <w:sz w:val="24"/>
          <w:szCs w:val="24"/>
          <w:highlight w:val="none"/>
        </w:rPr>
      </w:pPr>
      <w:bookmarkStart w:id="17" w:name="_Toc35393623"/>
      <w:bookmarkStart w:id="18" w:name="_Toc28359081"/>
      <w:bookmarkStart w:id="19" w:name="_Toc38985265"/>
      <w:bookmarkStart w:id="20" w:name="_Toc35393792"/>
      <w:bookmarkStart w:id="21"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2BBDA5D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45078EDC">
      <w:pPr>
        <w:spacing w:line="360" w:lineRule="auto"/>
        <w:ind w:firstLine="480"/>
        <w:rPr>
          <w:rFonts w:ascii="宋体" w:hAnsi="宋体"/>
          <w:color w:val="auto"/>
          <w:sz w:val="24"/>
          <w:szCs w:val="24"/>
          <w:highlight w:val="none"/>
        </w:rPr>
      </w:pPr>
      <w:bookmarkStart w:id="22" w:name="OLE_LINK4"/>
      <w:r>
        <w:rPr>
          <w:rFonts w:hint="eastAsia" w:ascii="宋体" w:hAnsi="宋体"/>
          <w:color w:val="auto"/>
          <w:sz w:val="24"/>
          <w:szCs w:val="24"/>
          <w:highlight w:val="none"/>
        </w:rPr>
        <w:t>（1）具有独立承担民事责任的能力（提供法人或者其他组织的营业执照，自然人的身份证明复印件）；</w:t>
      </w:r>
    </w:p>
    <w:p w14:paraId="0A6CDF8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（2）具有良好的商业信誉和健全的财务会计制度（提供南京市政府采购供应商信用记录表暨信用承诺书）；</w:t>
      </w:r>
    </w:p>
    <w:p w14:paraId="306BD2C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（3）具有履行合同所必需的设备或专业技术能力（提供南京市政府采购供应商信用记录表暨信用承诺书）；</w:t>
      </w:r>
    </w:p>
    <w:p w14:paraId="60B4BB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（4）有依法缴纳税收和社会保障资金的良好记录（提供南京市政府采购供应商信用记录表暨信用承诺书）；</w:t>
      </w:r>
    </w:p>
    <w:p w14:paraId="1C020B9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（5）参加采购活动前三年内，在经营活动中没有重大违法记录（提供南京市政府采购供应商信用记录表暨信用承诺书）；</w:t>
      </w:r>
    </w:p>
    <w:p w14:paraId="2249CB26">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（6）提供南京市政府采购供应商信用记录表暨信用承诺书</w:t>
      </w:r>
      <w:r>
        <w:rPr>
          <w:rFonts w:hint="eastAsia" w:ascii="宋体" w:hAnsi="宋体"/>
          <w:color w:val="auto"/>
          <w:sz w:val="24"/>
          <w:szCs w:val="24"/>
          <w:highlight w:val="none"/>
          <w:lang w:eastAsia="zh-CN"/>
        </w:rPr>
        <w:t>；</w:t>
      </w:r>
      <w:bookmarkEnd w:id="22"/>
    </w:p>
    <w:p w14:paraId="1D6C82AE">
      <w:pPr>
        <w:numPr>
          <w:ilvl w:val="0"/>
          <w:numId w:val="0"/>
        </w:numPr>
        <w:spacing w:line="360" w:lineRule="auto"/>
        <w:ind w:firstLine="480" w:firstLineChars="200"/>
        <w:rPr>
          <w:rFonts w:hint="eastAsia"/>
          <w:color w:val="auto"/>
          <w:highlight w:val="none"/>
          <w:lang w:val="en-US" w:eastAsia="zh-CN"/>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落实政府采购政策需满足的资格要求：</w:t>
      </w:r>
      <w:r>
        <w:rPr>
          <w:rFonts w:hint="eastAsia" w:ascii="宋体" w:hAnsi="宋体"/>
          <w:color w:val="auto"/>
          <w:sz w:val="24"/>
          <w:szCs w:val="24"/>
          <w:highlight w:val="none"/>
          <w:lang w:val="en-US" w:eastAsia="zh-CN"/>
        </w:rPr>
        <w:t>无</w:t>
      </w:r>
    </w:p>
    <w:p w14:paraId="5F50EF35">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（二）本项目的特定资格要求</w:t>
      </w:r>
      <w:r>
        <w:rPr>
          <w:rFonts w:hint="eastAsia" w:ascii="宋体" w:hAnsi="宋体"/>
          <w:color w:val="auto"/>
          <w:sz w:val="24"/>
          <w:szCs w:val="24"/>
          <w:highlight w:val="none"/>
          <w:lang w:eastAsia="zh-CN"/>
        </w:rPr>
        <w:t>：依法设立，具有有效期内的律师事务所执业许可证且年度检查考核结果为“合格”或者具有有效期内基层法律服务所执业许可证且年度检查考核结果为“合格”</w:t>
      </w:r>
      <w:r>
        <w:rPr>
          <w:rFonts w:hint="eastAsia" w:ascii="宋体" w:hAnsi="宋体"/>
          <w:b/>
          <w:bCs/>
          <w:color w:val="FF0000"/>
          <w:sz w:val="24"/>
          <w:szCs w:val="24"/>
          <w:highlight w:val="none"/>
          <w:lang w:eastAsia="zh-CN"/>
        </w:rPr>
        <w:t>（提供证书复印件并加盖供应商单位公章）</w:t>
      </w:r>
      <w:r>
        <w:rPr>
          <w:rFonts w:hint="eastAsia" w:ascii="宋体" w:hAnsi="宋体"/>
          <w:color w:val="auto"/>
          <w:sz w:val="24"/>
          <w:szCs w:val="24"/>
          <w:highlight w:val="none"/>
          <w:lang w:eastAsia="zh-CN"/>
        </w:rPr>
        <w:t>。</w:t>
      </w:r>
    </w:p>
    <w:p w14:paraId="2C3F8B4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（三）拒绝下述供应商参加本次采购活动：</w:t>
      </w:r>
    </w:p>
    <w:p w14:paraId="10995564">
      <w:pPr>
        <w:spacing w:line="360" w:lineRule="auto"/>
        <w:ind w:firstLine="600"/>
        <w:rPr>
          <w:rFonts w:hint="eastAsia" w:ascii="宋体" w:hAnsi="宋体" w:eastAsia="宋体"/>
          <w:b/>
          <w:bCs/>
          <w:color w:val="FF0000"/>
          <w:sz w:val="24"/>
          <w:szCs w:val="24"/>
          <w:highlight w:val="none"/>
          <w:lang w:eastAsia="zh-CN"/>
        </w:rPr>
      </w:pPr>
      <w:r>
        <w:rPr>
          <w:rFonts w:hint="eastAsia" w:ascii="宋体" w:hAnsi="宋体"/>
          <w:color w:val="auto"/>
          <w:sz w:val="24"/>
          <w:szCs w:val="24"/>
          <w:highlight w:val="none"/>
        </w:rPr>
        <w:t>1.单位负责人为同一人或者存在直接控股、管理关系的不同供应商，不得参加同一合同项下的政府采购活动；</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提供承诺书并加盖</w:t>
      </w:r>
      <w:r>
        <w:rPr>
          <w:rFonts w:hint="eastAsia" w:ascii="宋体" w:hAnsi="宋体"/>
          <w:b/>
          <w:bCs/>
          <w:color w:val="FF0000"/>
          <w:sz w:val="24"/>
          <w:szCs w:val="24"/>
          <w:highlight w:val="none"/>
          <w:lang w:eastAsia="zh-CN"/>
        </w:rPr>
        <w:t>供应商单位公章）</w:t>
      </w:r>
    </w:p>
    <w:p w14:paraId="3FBCEF77">
      <w:pPr>
        <w:spacing w:line="360" w:lineRule="auto"/>
        <w:ind w:firstLine="600"/>
        <w:rPr>
          <w:rFonts w:hint="eastAsia" w:ascii="宋体" w:hAnsi="宋体"/>
          <w:color w:val="auto"/>
          <w:sz w:val="24"/>
          <w:szCs w:val="24"/>
          <w:highlight w:val="none"/>
        </w:rPr>
      </w:pPr>
      <w:r>
        <w:rPr>
          <w:rFonts w:hint="eastAsia" w:ascii="宋体" w:hAnsi="宋体"/>
          <w:color w:val="auto"/>
          <w:sz w:val="24"/>
          <w:szCs w:val="24"/>
          <w:highlight w:val="none"/>
        </w:rPr>
        <w:t>2.为采购项目提供整体设计、规范编制或者项目管理、监理、检测等服务的供应商，不得参加本项目的采购活动；</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提供承诺书并加盖</w:t>
      </w:r>
      <w:r>
        <w:rPr>
          <w:rFonts w:hint="eastAsia" w:ascii="宋体" w:hAnsi="宋体"/>
          <w:b/>
          <w:bCs/>
          <w:color w:val="FF0000"/>
          <w:sz w:val="24"/>
          <w:szCs w:val="24"/>
          <w:highlight w:val="none"/>
          <w:lang w:eastAsia="zh-CN"/>
        </w:rPr>
        <w:t>供应商单位公章）</w:t>
      </w:r>
    </w:p>
    <w:p w14:paraId="6D2DDB02">
      <w:pPr>
        <w:spacing w:line="360" w:lineRule="auto"/>
        <w:ind w:firstLine="6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3.供应商被“信用中国”网站（www.creditchina.gov.cn）、“中国政府采购网”(www.ccgp.gov.cn)列入失信被执行人、重大税收违法案件当事人名单、政府采购严重违法失信行为记录名单；</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w:t>
      </w:r>
      <w:r>
        <w:rPr>
          <w:rFonts w:hint="eastAsia" w:ascii="宋体" w:hAnsi="宋体"/>
          <w:b/>
          <w:bCs/>
          <w:color w:val="FF0000"/>
          <w:sz w:val="24"/>
          <w:szCs w:val="24"/>
          <w:highlight w:val="none"/>
        </w:rPr>
        <w:t>“信用中国”网站</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rPr>
        <w:t>“中国政府采购网”</w:t>
      </w:r>
      <w:r>
        <w:rPr>
          <w:rFonts w:hint="eastAsia" w:ascii="宋体" w:hAnsi="宋体"/>
          <w:b/>
          <w:bCs/>
          <w:color w:val="FF0000"/>
          <w:sz w:val="24"/>
          <w:szCs w:val="24"/>
          <w:highlight w:val="none"/>
          <w:lang w:val="en-US" w:eastAsia="zh-CN"/>
        </w:rPr>
        <w:t>截图加盖</w:t>
      </w:r>
      <w:r>
        <w:rPr>
          <w:rFonts w:hint="eastAsia" w:ascii="宋体" w:hAnsi="宋体"/>
          <w:b/>
          <w:bCs/>
          <w:color w:val="FF0000"/>
          <w:sz w:val="24"/>
          <w:szCs w:val="24"/>
          <w:highlight w:val="none"/>
          <w:lang w:eastAsia="zh-CN"/>
        </w:rPr>
        <w:t>供应商单位公章）</w:t>
      </w:r>
    </w:p>
    <w:p w14:paraId="63CF281F">
      <w:pPr>
        <w:keepNext/>
        <w:keepLines/>
        <w:widowControl w:val="0"/>
        <w:spacing w:before="145" w:after="145" w:line="360" w:lineRule="auto"/>
        <w:ind w:firstLine="496"/>
        <w:jc w:val="both"/>
        <w:outlineLvl w:val="2"/>
        <w:rPr>
          <w:rFonts w:hint="default"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三、</w:t>
      </w:r>
      <w:bookmarkEnd w:id="17"/>
      <w:bookmarkEnd w:id="18"/>
      <w:bookmarkEnd w:id="19"/>
      <w:bookmarkEnd w:id="20"/>
      <w:bookmarkEnd w:id="21"/>
      <w:r>
        <w:rPr>
          <w:rFonts w:hint="eastAsia" w:ascii="Times New Roman" w:hAnsi="Times New Roman" w:eastAsia="宋体" w:cs="Times New Roman"/>
          <w:b w:val="0"/>
          <w:bCs w:val="0"/>
          <w:color w:val="auto"/>
          <w:sz w:val="32"/>
          <w:szCs w:val="32"/>
          <w:highlight w:val="none"/>
          <w:lang w:val="en-US" w:eastAsia="zh-CN" w:bidi="ar-SA"/>
        </w:rPr>
        <w:t>获取征集文件</w:t>
      </w:r>
    </w:p>
    <w:p w14:paraId="61F5C5B4">
      <w:pPr>
        <w:spacing w:line="360" w:lineRule="auto"/>
        <w:ind w:firstLine="600"/>
        <w:rPr>
          <w:rFonts w:ascii="宋体" w:hAnsi="宋体"/>
          <w:color w:val="auto"/>
          <w:sz w:val="24"/>
          <w:szCs w:val="24"/>
          <w:highlight w:val="none"/>
        </w:rPr>
      </w:pPr>
      <w:bookmarkStart w:id="23" w:name="_Toc35393793"/>
      <w:bookmarkStart w:id="24" w:name="_Toc28359082"/>
      <w:bookmarkStart w:id="25" w:name="_Toc35393624"/>
      <w:bookmarkStart w:id="26" w:name="_Toc38985266"/>
      <w:bookmarkStart w:id="27" w:name="_Toc28359005"/>
      <w:r>
        <w:rPr>
          <w:rFonts w:hint="eastAsia" w:ascii="宋体" w:hAnsi="宋体"/>
          <w:color w:val="auto"/>
          <w:sz w:val="24"/>
          <w:szCs w:val="24"/>
          <w:highlight w:val="none"/>
        </w:rPr>
        <w:t>1.时间：自招标公告发布之日起5个工作日。</w:t>
      </w:r>
    </w:p>
    <w:p w14:paraId="11BC191C">
      <w:pPr>
        <w:spacing w:line="360" w:lineRule="auto"/>
        <w:ind w:firstLine="600"/>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地点：“江苏政府采购网”自行免费下载</w:t>
      </w:r>
    </w:p>
    <w:p w14:paraId="2C2E26F6">
      <w:pPr>
        <w:spacing w:line="360" w:lineRule="auto"/>
        <w:ind w:firstLine="600"/>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F011E7B">
      <w:pPr>
        <w:spacing w:line="360" w:lineRule="auto"/>
        <w:ind w:firstLine="60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标书售价：0.00元。</w:t>
      </w:r>
    </w:p>
    <w:p w14:paraId="30CC2192">
      <w:pPr>
        <w:spacing w:line="360" w:lineRule="auto"/>
        <w:ind w:firstLine="600"/>
        <w:rPr>
          <w:rFonts w:hint="eastAsia"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四、</w:t>
      </w:r>
      <w:bookmarkEnd w:id="23"/>
      <w:bookmarkEnd w:id="24"/>
      <w:bookmarkEnd w:id="25"/>
      <w:bookmarkEnd w:id="26"/>
      <w:bookmarkEnd w:id="27"/>
      <w:r>
        <w:rPr>
          <w:rFonts w:hint="eastAsia" w:ascii="Times New Roman" w:hAnsi="Times New Roman" w:eastAsia="宋体" w:cs="Times New Roman"/>
          <w:b w:val="0"/>
          <w:bCs w:val="0"/>
          <w:color w:val="auto"/>
          <w:sz w:val="32"/>
          <w:szCs w:val="32"/>
          <w:highlight w:val="none"/>
          <w:lang w:val="en-US" w:eastAsia="zh-CN" w:bidi="ar-SA"/>
        </w:rPr>
        <w:t>响应文件的提交方式、截止时间和地点，开启方式、时间和地点</w:t>
      </w:r>
    </w:p>
    <w:p w14:paraId="59F74A1E">
      <w:pPr>
        <w:keepNext/>
        <w:keepLines/>
        <w:widowControl w:val="0"/>
        <w:spacing w:before="145" w:after="145" w:line="360" w:lineRule="auto"/>
        <w:ind w:firstLine="496"/>
        <w:jc w:val="both"/>
        <w:outlineLvl w:val="2"/>
        <w:rPr>
          <w:rFonts w:hint="eastAsia" w:ascii="宋体" w:hAnsi="宋体" w:eastAsia="宋体" w:cs="Times New Roman"/>
          <w:b w:val="0"/>
          <w:bCs w:val="0"/>
          <w:color w:val="auto"/>
          <w:sz w:val="24"/>
          <w:szCs w:val="24"/>
          <w:highlight w:val="none"/>
          <w:lang w:val="en-US" w:eastAsia="zh-CN" w:bidi="ar-SA"/>
        </w:rPr>
      </w:pPr>
      <w:bookmarkStart w:id="28" w:name="_Toc35393625"/>
      <w:bookmarkStart w:id="29" w:name="_Toc35393794"/>
      <w:bookmarkStart w:id="30" w:name="_Toc28359084"/>
      <w:bookmarkStart w:id="31" w:name="_Toc38985267"/>
      <w:bookmarkStart w:id="32" w:name="_Toc28359007"/>
      <w:r>
        <w:rPr>
          <w:rFonts w:hint="eastAsia" w:ascii="宋体" w:hAnsi="宋体" w:eastAsia="宋体" w:cs="Times New Roman"/>
          <w:b w:val="0"/>
          <w:bCs w:val="0"/>
          <w:color w:val="auto"/>
          <w:sz w:val="24"/>
          <w:szCs w:val="24"/>
          <w:highlight w:val="none"/>
          <w:lang w:val="en-US" w:eastAsia="zh-CN" w:bidi="ar-SA"/>
        </w:rPr>
        <w:t>1、提交投标文件截止时间、开标时间：2026年4月29日9点30分（北京时间）</w:t>
      </w:r>
    </w:p>
    <w:p w14:paraId="0BF8B6AF">
      <w:pPr>
        <w:keepNext/>
        <w:keepLines/>
        <w:widowControl w:val="0"/>
        <w:spacing w:before="145" w:after="145" w:line="360" w:lineRule="auto"/>
        <w:ind w:firstLine="496"/>
        <w:jc w:val="both"/>
        <w:outlineLvl w:val="2"/>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2、地点：“苏采云”政府采购交易系统网上开标大厅。</w:t>
      </w:r>
    </w:p>
    <w:p w14:paraId="023E5AF7">
      <w:pPr>
        <w:keepNext/>
        <w:keepLines/>
        <w:widowControl w:val="0"/>
        <w:spacing w:before="145" w:after="145" w:line="360" w:lineRule="auto"/>
        <w:ind w:firstLine="496"/>
        <w:jc w:val="both"/>
        <w:outlineLvl w:val="2"/>
        <w:rPr>
          <w:rFonts w:hint="default"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五、公告期限</w:t>
      </w:r>
      <w:bookmarkEnd w:id="28"/>
      <w:bookmarkEnd w:id="29"/>
      <w:bookmarkEnd w:id="30"/>
      <w:bookmarkEnd w:id="31"/>
      <w:bookmarkEnd w:id="32"/>
    </w:p>
    <w:p w14:paraId="3FFA5A26">
      <w:pPr>
        <w:spacing w:line="360" w:lineRule="auto"/>
        <w:ind w:firstLine="480"/>
        <w:rPr>
          <w:rFonts w:hint="eastAsia" w:ascii="宋体" w:hAnsi="宋体" w:cs="宋体"/>
          <w:color w:val="auto"/>
          <w:sz w:val="24"/>
          <w:szCs w:val="24"/>
          <w:highlight w:val="none"/>
        </w:rPr>
      </w:pPr>
      <w:bookmarkStart w:id="33" w:name="_Toc35393795"/>
      <w:bookmarkStart w:id="34" w:name="_Toc35393626"/>
      <w:bookmarkStart w:id="35" w:name="_Toc38985268"/>
      <w:r>
        <w:rPr>
          <w:rFonts w:hint="eastAsia" w:ascii="宋体" w:hAnsi="宋体" w:cs="宋体"/>
          <w:color w:val="auto"/>
          <w:sz w:val="24"/>
          <w:szCs w:val="24"/>
          <w:highlight w:val="none"/>
        </w:rPr>
        <w:t>自本公告发布之日起5个工作日。</w:t>
      </w:r>
    </w:p>
    <w:p w14:paraId="0196065D">
      <w:pPr>
        <w:numPr>
          <w:ilvl w:val="0"/>
          <w:numId w:val="3"/>
        </w:numPr>
        <w:spacing w:line="360" w:lineRule="auto"/>
        <w:ind w:firstLine="480"/>
        <w:rPr>
          <w:rFonts w:hint="eastAsia" w:ascii="Times New Roman" w:hAnsi="Times New Roman" w:eastAsia="宋体" w:cs="Times New Roman"/>
          <w:b w:val="0"/>
          <w:bCs w:val="0"/>
          <w:color w:val="auto"/>
          <w:sz w:val="32"/>
          <w:szCs w:val="32"/>
          <w:highlight w:val="none"/>
        </w:rPr>
      </w:pPr>
      <w:r>
        <w:rPr>
          <w:rFonts w:hint="eastAsia" w:ascii="Times New Roman" w:hAnsi="Times New Roman" w:eastAsia="宋体" w:cs="Times New Roman"/>
          <w:b w:val="0"/>
          <w:bCs w:val="0"/>
          <w:color w:val="auto"/>
          <w:sz w:val="32"/>
          <w:szCs w:val="32"/>
          <w:highlight w:val="none"/>
        </w:rPr>
        <w:t>其他补充事宜</w:t>
      </w:r>
      <w:bookmarkEnd w:id="33"/>
      <w:bookmarkEnd w:id="34"/>
      <w:bookmarkEnd w:id="35"/>
      <w:bookmarkStart w:id="36" w:name="_Toc35393796"/>
      <w:bookmarkStart w:id="37" w:name="_Toc35393627"/>
      <w:bookmarkStart w:id="38" w:name="_Toc28359008"/>
      <w:bookmarkStart w:id="39" w:name="_Toc28359085"/>
      <w:bookmarkStart w:id="40" w:name="_Toc38985269"/>
    </w:p>
    <w:p w14:paraId="35C35B3F">
      <w:pPr>
        <w:numPr>
          <w:ilvl w:val="0"/>
          <w:numId w:val="4"/>
        </w:numPr>
        <w:spacing w:line="360" w:lineRule="auto"/>
        <w:ind w:left="638" w:leftChars="304" w:firstLine="0" w:firstLineChars="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潜在供应商访问政府采购管理交易系统（苏采云）的网络地址和方法：</w:t>
      </w:r>
    </w:p>
    <w:p w14:paraId="4D1529D6">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E7075B1">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（2）“CA数字证书”的获取：供应商需办理CA锁，“苏采云”系统目前仅支持“苏采云”系统下的政务CA，省内各地区办理的“苏采云”系统下的政务CA全省通用。</w:t>
      </w:r>
    </w:p>
    <w:p w14:paraId="0DC80C2E">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（3）“CA数字证书”的办理材料以及供应商操作手册详见：http://jsxcmm.com/help/gys.html。</w:t>
      </w:r>
    </w:p>
    <w:p w14:paraId="6271D49A">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（4）潜在供应商访问“苏采云”系统的网络地址和方法：“苏采云”系统的网址：http://jszfcg.jsczt.cn/jszc/login。</w:t>
      </w:r>
    </w:p>
    <w:p w14:paraId="644AC461">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05A0EB6D">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（6）招标代理机构（采购代理机构）将数据电文形式的采购文件加载至“苏采云”系统，供潜在供应商下载或者查阅。    </w:t>
      </w:r>
    </w:p>
    <w:p w14:paraId="547FB96B">
      <w:pPr>
        <w:spacing w:line="360" w:lineRule="auto"/>
        <w:ind w:left="218" w:firstLine="379"/>
        <w:jc w:val="left"/>
        <w:rPr>
          <w:rFonts w:ascii="宋体" w:hAnsi="宋体"/>
          <w:bCs/>
          <w:color w:val="auto"/>
          <w:sz w:val="24"/>
          <w:szCs w:val="24"/>
          <w:highlight w:val="none"/>
        </w:rPr>
      </w:pPr>
      <w:r>
        <w:rPr>
          <w:rFonts w:hint="eastAsia" w:ascii="宋体" w:hAnsi="宋体"/>
          <w:bCs/>
          <w:color w:val="auto"/>
          <w:sz w:val="24"/>
          <w:szCs w:val="24"/>
          <w:highlight w:val="none"/>
        </w:rPr>
        <w:t>（7）苏采云系统使用谷歌浏览器参与不见面开标。</w:t>
      </w:r>
    </w:p>
    <w:p w14:paraId="582E9F2A">
      <w:pPr>
        <w:keepNext w:val="0"/>
        <w:keepLines w:val="0"/>
        <w:pageBreakBefore w:val="0"/>
        <w:widowControl w:val="0"/>
        <w:kinsoku w:val="0"/>
        <w:wordWrap/>
        <w:overflowPunct w:val="0"/>
        <w:topLinePunct w:val="0"/>
        <w:autoSpaceDE w:val="0"/>
        <w:autoSpaceDN w:val="0"/>
        <w:bidi w:val="0"/>
        <w:adjustRightInd/>
        <w:snapToGrid/>
        <w:spacing w:line="360" w:lineRule="auto"/>
        <w:ind w:firstLine="420"/>
        <w:textAlignment w:val="auto"/>
        <w:rPr>
          <w:rFonts w:hint="eastAsia" w:ascii="宋体" w:hAnsi="宋体" w:cs="宋体"/>
          <w:bCs/>
          <w:color w:val="auto"/>
          <w:sz w:val="24"/>
          <w:szCs w:val="24"/>
          <w:highlight w:val="none"/>
        </w:rPr>
      </w:pPr>
      <w:r>
        <w:rPr>
          <w:rFonts w:hint="eastAsia" w:ascii="宋体" w:hAnsi="宋体" w:cs="宋体"/>
          <w:b/>
          <w:color w:val="auto"/>
          <w:sz w:val="24"/>
          <w:szCs w:val="24"/>
          <w:highlight w:val="none"/>
        </w:rPr>
        <w:t>2.信用承诺</w:t>
      </w:r>
      <w:r>
        <w:rPr>
          <w:rFonts w:hint="eastAsia" w:ascii="宋体" w:hAnsi="宋体" w:cs="宋体"/>
          <w:bCs/>
          <w:color w:val="auto"/>
          <w:sz w:val="24"/>
          <w:szCs w:val="24"/>
          <w:highlight w:val="none"/>
        </w:rPr>
        <w:t>：根据《关于在政府采购活动中推行信用承诺制的通知》宁财购通〔2021〕5号规定， 参加南京地区政府采购活动的供应商，应以书面形式</w:t>
      </w:r>
      <w:r>
        <w:rPr>
          <w:rFonts w:hint="eastAsia" w:ascii="宋体" w:hAnsi="宋体"/>
          <w:bCs/>
          <w:color w:val="auto"/>
          <w:sz w:val="24"/>
          <w:szCs w:val="24"/>
          <w:highlight w:val="none"/>
        </w:rPr>
        <w:t>向采购人或政府采购代理机构作出信用承诺。供应商应尽早做好承诺工作，点击‘南京公共采购信息网’首页 （</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要求完成注册），然后在“信用记录”模块页面点击“信用记录打印”下载本单位《南京市政府采购供应商信用记录表暨信用承诺</w:t>
      </w:r>
      <w:r>
        <w:rPr>
          <w:rFonts w:hint="eastAsia" w:ascii="宋体" w:hAnsi="宋体" w:cs="宋体"/>
          <w:bCs/>
          <w:color w:val="auto"/>
          <w:sz w:val="24"/>
          <w:szCs w:val="24"/>
          <w:highlight w:val="none"/>
        </w:rPr>
        <w:t>书》，由</w:t>
      </w:r>
      <w:r>
        <w:rPr>
          <w:rFonts w:hint="eastAsia" w:ascii="宋体" w:hAnsi="宋体" w:cs="宋体"/>
          <w:bCs/>
          <w:color w:val="auto"/>
          <w:sz w:val="24"/>
          <w:szCs w:val="24"/>
          <w:highlight w:val="none"/>
          <w:lang w:val="en-US" w:eastAsia="zh-CN"/>
        </w:rPr>
        <w:t>法定代表人</w:t>
      </w:r>
      <w:r>
        <w:rPr>
          <w:rFonts w:hint="eastAsia" w:ascii="宋体" w:hAnsi="宋体" w:cs="宋体"/>
          <w:bCs/>
          <w:color w:val="auto"/>
          <w:sz w:val="24"/>
          <w:szCs w:val="24"/>
          <w:highlight w:val="none"/>
        </w:rPr>
        <w:t>签字</w:t>
      </w:r>
      <w:r>
        <w:rPr>
          <w:rFonts w:hint="eastAsia" w:ascii="宋体" w:hAnsi="宋体" w:cs="宋体"/>
          <w:bCs/>
          <w:color w:val="auto"/>
          <w:sz w:val="24"/>
          <w:szCs w:val="24"/>
          <w:highlight w:val="none"/>
          <w:lang w:val="en-US" w:eastAsia="zh-CN"/>
        </w:rPr>
        <w:t>或盖章</w:t>
      </w:r>
      <w:r>
        <w:rPr>
          <w:rFonts w:hint="eastAsia" w:ascii="宋体" w:hAnsi="宋体" w:cs="宋体"/>
          <w:bCs/>
          <w:color w:val="auto"/>
          <w:sz w:val="24"/>
          <w:szCs w:val="24"/>
          <w:highlight w:val="none"/>
        </w:rPr>
        <w:t>并盖单位公章，</w:t>
      </w:r>
      <w:r>
        <w:rPr>
          <w:rFonts w:hint="eastAsia" w:ascii="宋体" w:hAnsi="宋体" w:cs="宋体"/>
          <w:bCs/>
          <w:color w:val="auto"/>
          <w:sz w:val="24"/>
          <w:szCs w:val="24"/>
          <w:highlight w:val="none"/>
          <w:lang w:val="en-US" w:eastAsia="zh-CN"/>
        </w:rPr>
        <w:t>上传</w:t>
      </w:r>
      <w:r>
        <w:rPr>
          <w:rFonts w:hint="eastAsia" w:ascii="宋体" w:hAnsi="宋体" w:cs="宋体"/>
          <w:bCs/>
          <w:color w:val="auto"/>
          <w:sz w:val="24"/>
          <w:szCs w:val="24"/>
          <w:highlight w:val="none"/>
        </w:rPr>
        <w:t>在响应文件中。</w:t>
      </w:r>
    </w:p>
    <w:p w14:paraId="2E432D85">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南京市政府采购供应商诚信档案管理系统客服电话：025-52718366；投标人可就用户注册与打印“南京市政府采购供应商信用记录表”等事宜进行咨询。</w:t>
      </w:r>
    </w:p>
    <w:p w14:paraId="68CE4207">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在政府采购资格审查环节，供应商只需提供书面《南京市政府采购供应商信用记录表暨信用承诺书》，即可替代以下证明材料： </w:t>
      </w:r>
    </w:p>
    <w:p w14:paraId="53A8DA52">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（1）符合国家相关规定的财务状况报告； </w:t>
      </w:r>
    </w:p>
    <w:p w14:paraId="0273F447">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（2）依法缴纳税收的证明材料； </w:t>
      </w:r>
    </w:p>
    <w:p w14:paraId="10E44964">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（3）依法缴纳社会保障资金的证明材料； </w:t>
      </w:r>
    </w:p>
    <w:p w14:paraId="687AB28D">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（4）具备履行政府采购合同所必需的设备和专业技术能力的证明材料； </w:t>
      </w:r>
    </w:p>
    <w:p w14:paraId="5AE4579C">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（5）参加政府采购活动前三年内在经营活动中没有重大违法记录的证明材料； </w:t>
      </w:r>
    </w:p>
    <w:p w14:paraId="52C0A67F">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（6）未被列入失信被执行人、重大税收违法失信主体、政府采购严重违法失信行为记录名单的证明材料。 </w:t>
      </w:r>
    </w:p>
    <w:p w14:paraId="79EA099C">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0757257F">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供应商涉及以下情形的，不适用信用承诺： </w:t>
      </w:r>
    </w:p>
    <w:p w14:paraId="60FDC903">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（1）供应商被列入严重失信主体名单； </w:t>
      </w:r>
    </w:p>
    <w:p w14:paraId="4CFF17E2">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（2）被相关监管部门作出行政处罚且尚在处罚有效期内； </w:t>
      </w:r>
    </w:p>
    <w:p w14:paraId="315621E6">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（3）其他法律、行政法规规定的不适用信用承诺的情形。 </w:t>
      </w:r>
    </w:p>
    <w:p w14:paraId="5CF05EAA">
      <w:pPr>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供应商对信用承诺内容的真实性、合法性、有效性负责。如作出虚假信用承诺，视同为“提供虚假材料谋取中标、成交”的违法行为。</w:t>
      </w:r>
    </w:p>
    <w:p w14:paraId="0D20996A">
      <w:pPr>
        <w:numPr>
          <w:ilvl w:val="0"/>
          <w:numId w:val="5"/>
        </w:numPr>
        <w:spacing w:line="360" w:lineRule="auto"/>
        <w:ind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有关本次采购的事项若存在变动或修改，敬请及时关注“江苏省政府采购网”发布的信息。</w:t>
      </w:r>
    </w:p>
    <w:p w14:paraId="533A5175">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4.勘察现场或答疑：无</w:t>
      </w:r>
    </w:p>
    <w:p w14:paraId="287BA7FC">
      <w:pPr>
        <w:widowControl w:val="0"/>
        <w:spacing w:line="360" w:lineRule="auto"/>
        <w:ind w:firstLine="420"/>
        <w:jc w:val="both"/>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七、</w:t>
      </w:r>
      <w:bookmarkEnd w:id="36"/>
      <w:bookmarkEnd w:id="37"/>
      <w:bookmarkEnd w:id="38"/>
      <w:bookmarkEnd w:id="39"/>
      <w:bookmarkEnd w:id="40"/>
      <w:r>
        <w:rPr>
          <w:rFonts w:hint="eastAsia" w:ascii="Times New Roman" w:hAnsi="Times New Roman" w:eastAsia="宋体" w:cs="Times New Roman"/>
          <w:b/>
          <w:bCs/>
          <w:color w:val="auto"/>
          <w:sz w:val="32"/>
          <w:szCs w:val="32"/>
          <w:highlight w:val="none"/>
          <w:lang w:val="en-US" w:eastAsia="zh-CN" w:bidi="ar-SA"/>
        </w:rPr>
        <w:t>征集人相关信息</w:t>
      </w:r>
    </w:p>
    <w:p w14:paraId="7C113C98">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1.采购人信息</w:t>
      </w:r>
    </w:p>
    <w:p w14:paraId="2ADAE569">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名    称：南京市江宁区司法局</w:t>
      </w:r>
    </w:p>
    <w:p w14:paraId="65E9DE0D">
      <w:pPr>
        <w:widowControl w:val="0"/>
        <w:spacing w:line="360" w:lineRule="auto"/>
        <w:ind w:firstLine="42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联 系 人：</w:t>
      </w:r>
      <w:bookmarkStart w:id="41" w:name="OLE_LINK1"/>
      <w:r>
        <w:rPr>
          <w:rFonts w:hint="eastAsia" w:ascii="宋体" w:hAnsi="宋体" w:eastAsia="宋体" w:cs="Times New Roman"/>
          <w:color w:val="auto"/>
          <w:sz w:val="24"/>
          <w:szCs w:val="24"/>
          <w:highlight w:val="none"/>
          <w:lang w:val="en-US" w:eastAsia="zh-CN" w:bidi="ar-SA"/>
        </w:rPr>
        <w:t>陈主任</w:t>
      </w:r>
      <w:bookmarkEnd w:id="41"/>
      <w:r>
        <w:rPr>
          <w:rFonts w:hint="eastAsia" w:ascii="宋体" w:hAnsi="宋体" w:eastAsia="宋体" w:cs="Times New Roman"/>
          <w:color w:val="auto"/>
          <w:sz w:val="24"/>
          <w:szCs w:val="24"/>
          <w:highlight w:val="none"/>
          <w:lang w:val="en-US" w:eastAsia="zh-CN" w:bidi="ar-SA"/>
        </w:rPr>
        <w:t>、李科长</w:t>
      </w:r>
    </w:p>
    <w:p w14:paraId="412A8EDE">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地    址：南京市江宁区金箔路776号</w:t>
      </w:r>
    </w:p>
    <w:p w14:paraId="557F987C">
      <w:pPr>
        <w:widowControl w:val="0"/>
        <w:spacing w:line="360" w:lineRule="auto"/>
        <w:ind w:firstLine="42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联系方式：025-52199445、52283310</w:t>
      </w:r>
    </w:p>
    <w:p w14:paraId="50DF4EC3">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2.采购代理机构信息</w:t>
      </w:r>
    </w:p>
    <w:p w14:paraId="5E26E753">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名    称：江苏永瀚工程咨询有限公司</w:t>
      </w:r>
    </w:p>
    <w:p w14:paraId="7B3B0B17">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地    址：南京市江宁区文靖路89号</w:t>
      </w:r>
    </w:p>
    <w:p w14:paraId="079D8542">
      <w:pPr>
        <w:widowControl w:val="0"/>
        <w:spacing w:line="360" w:lineRule="auto"/>
        <w:ind w:firstLine="42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联系方式：025-52288911</w:t>
      </w:r>
    </w:p>
    <w:p w14:paraId="2EB8A547">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3.项目联系方式</w:t>
      </w:r>
    </w:p>
    <w:p w14:paraId="6CFC69C7">
      <w:pPr>
        <w:widowControl w:val="0"/>
        <w:spacing w:line="360" w:lineRule="auto"/>
        <w:ind w:firstLine="42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项目联系人：昌工</w:t>
      </w:r>
    </w:p>
    <w:p w14:paraId="183806DF">
      <w:pPr>
        <w:ind w:right="840"/>
        <w:jc w:val="center"/>
        <w:rPr>
          <w:rFonts w:hint="eastAsia" w:ascii="黑体" w:eastAsia="黑体"/>
          <w:color w:val="auto"/>
          <w:sz w:val="44"/>
          <w:szCs w:val="44"/>
          <w:highlight w:val="none"/>
        </w:rPr>
      </w:pPr>
      <w:r>
        <w:rPr>
          <w:rFonts w:ascii="宋体" w:hAnsi="宋体"/>
          <w:color w:val="auto"/>
          <w:sz w:val="24"/>
          <w:szCs w:val="24"/>
          <w:highlight w:val="none"/>
        </w:rPr>
        <w:br w:type="page" w:clear="all"/>
      </w:r>
      <w:bookmarkStart w:id="42" w:name="_Toc120614211"/>
      <w:r>
        <w:rPr>
          <w:rFonts w:hint="eastAsia" w:ascii="黑体" w:eastAsia="黑体"/>
          <w:color w:val="auto"/>
          <w:sz w:val="44"/>
          <w:szCs w:val="44"/>
          <w:highlight w:val="none"/>
        </w:rPr>
        <w:t xml:space="preserve">第二章  </w:t>
      </w:r>
      <w:bookmarkEnd w:id="1"/>
      <w:bookmarkEnd w:id="2"/>
      <w:bookmarkEnd w:id="3"/>
      <w:bookmarkEnd w:id="4"/>
      <w:bookmarkEnd w:id="5"/>
      <w:bookmarkEnd w:id="42"/>
      <w:bookmarkStart w:id="43" w:name="_Toc120614213"/>
      <w:bookmarkStart w:id="44" w:name="_Toc20823274"/>
      <w:bookmarkStart w:id="45" w:name="_Toc16938518"/>
      <w:bookmarkStart w:id="46" w:name="_Toc513029202"/>
      <w:r>
        <w:rPr>
          <w:rFonts w:hint="eastAsia" w:ascii="黑体" w:eastAsia="黑体"/>
          <w:color w:val="auto"/>
          <w:sz w:val="44"/>
          <w:szCs w:val="44"/>
          <w:highlight w:val="none"/>
        </w:rPr>
        <w:t>供应商须知</w:t>
      </w:r>
      <w:bookmarkEnd w:id="43"/>
      <w:bookmarkEnd w:id="44"/>
      <w:bookmarkEnd w:id="45"/>
      <w:bookmarkEnd w:id="46"/>
    </w:p>
    <w:p w14:paraId="311A8AB3">
      <w:pPr>
        <w:keepNext/>
        <w:keepLines/>
        <w:widowControl w:val="0"/>
        <w:spacing w:before="145" w:after="145" w:line="360" w:lineRule="auto"/>
        <w:ind w:firstLine="320"/>
        <w:jc w:val="both"/>
        <w:outlineLvl w:val="2"/>
        <w:rPr>
          <w:rFonts w:hint="eastAsia" w:ascii="Times New Roman" w:hAnsi="Times New Roman" w:eastAsia="宋体" w:cs="Times New Roman"/>
          <w:b w:val="0"/>
          <w:bCs w:val="0"/>
          <w:color w:val="auto"/>
          <w:sz w:val="32"/>
          <w:szCs w:val="32"/>
          <w:highlight w:val="none"/>
          <w:lang w:val="en-US" w:eastAsia="zh-CN" w:bidi="ar-SA"/>
        </w:rPr>
      </w:pPr>
      <w:bookmarkStart w:id="47" w:name="_Toc120614214"/>
      <w:bookmarkStart w:id="48" w:name="_Toc20823275"/>
      <w:bookmarkStart w:id="49" w:name="_Toc16938519"/>
      <w:bookmarkStart w:id="50" w:name="_Toc513029203"/>
      <w:r>
        <w:rPr>
          <w:rFonts w:hint="eastAsia" w:ascii="Times New Roman" w:hAnsi="Times New Roman" w:eastAsia="宋体" w:cs="Times New Roman"/>
          <w:b w:val="0"/>
          <w:bCs w:val="0"/>
          <w:color w:val="auto"/>
          <w:sz w:val="32"/>
          <w:szCs w:val="32"/>
          <w:highlight w:val="none"/>
          <w:lang w:val="en-US" w:eastAsia="zh-CN" w:bidi="ar-SA"/>
        </w:rPr>
        <w:t>一、总则</w:t>
      </w:r>
      <w:bookmarkEnd w:id="47"/>
      <w:bookmarkEnd w:id="48"/>
      <w:bookmarkEnd w:id="49"/>
      <w:bookmarkEnd w:id="50"/>
    </w:p>
    <w:p w14:paraId="26137712">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51" w:name="_Hlt16619475"/>
      <w:bookmarkEnd w:id="51"/>
      <w:bookmarkStart w:id="52" w:name="_Toc458694821"/>
      <w:bookmarkStart w:id="53" w:name="_Toc20823276"/>
      <w:bookmarkStart w:id="54" w:name="_Toc513029204"/>
      <w:bookmarkStart w:id="55" w:name="_Toc16938520"/>
      <w:r>
        <w:rPr>
          <w:rFonts w:hint="eastAsia" w:ascii="Arial" w:hAnsi="Arial" w:eastAsia="黑体" w:cs="Arial"/>
          <w:b w:val="0"/>
          <w:bCs w:val="0"/>
          <w:color w:val="auto"/>
          <w:sz w:val="28"/>
          <w:szCs w:val="28"/>
          <w:highlight w:val="none"/>
          <w:lang w:val="en-US" w:eastAsia="zh-CN" w:bidi="ar-SA"/>
        </w:rPr>
        <w:t>1</w:t>
      </w:r>
      <w:bookmarkEnd w:id="52"/>
      <w:r>
        <w:rPr>
          <w:rFonts w:hint="eastAsia" w:ascii="Arial" w:hAnsi="Arial" w:eastAsia="黑体" w:cs="Arial"/>
          <w:b w:val="0"/>
          <w:bCs w:val="0"/>
          <w:color w:val="auto"/>
          <w:sz w:val="28"/>
          <w:szCs w:val="28"/>
          <w:highlight w:val="none"/>
          <w:lang w:val="en-US" w:eastAsia="zh-CN" w:bidi="ar-SA"/>
        </w:rPr>
        <w:t>、采购方式</w:t>
      </w:r>
      <w:bookmarkEnd w:id="53"/>
      <w:bookmarkEnd w:id="54"/>
      <w:bookmarkEnd w:id="55"/>
    </w:p>
    <w:p w14:paraId="05BBAC4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 本项目采用封闭式框架协议采购方式，本征集文件仅适用于征集公告中所述项目。</w:t>
      </w:r>
    </w:p>
    <w:p w14:paraId="76792D65">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56" w:name="_Toc513029205"/>
      <w:bookmarkStart w:id="57" w:name="_Toc16938521"/>
      <w:bookmarkStart w:id="58" w:name="_Toc20823277"/>
      <w:r>
        <w:rPr>
          <w:rFonts w:hint="eastAsia" w:ascii="Arial" w:hAnsi="Arial" w:eastAsia="黑体" w:cs="Arial"/>
          <w:b w:val="0"/>
          <w:bCs w:val="0"/>
          <w:color w:val="auto"/>
          <w:sz w:val="28"/>
          <w:szCs w:val="28"/>
          <w:highlight w:val="none"/>
          <w:lang w:val="en-US" w:eastAsia="zh-CN" w:bidi="ar-SA"/>
        </w:rPr>
        <w:t>2、合格的</w:t>
      </w:r>
      <w:bookmarkEnd w:id="56"/>
      <w:bookmarkEnd w:id="57"/>
      <w:bookmarkEnd w:id="58"/>
      <w:r>
        <w:rPr>
          <w:rFonts w:hint="eastAsia" w:ascii="Arial" w:hAnsi="Arial" w:eastAsia="黑体" w:cs="Arial"/>
          <w:b w:val="0"/>
          <w:bCs w:val="0"/>
          <w:color w:val="auto"/>
          <w:sz w:val="28"/>
          <w:szCs w:val="28"/>
          <w:highlight w:val="none"/>
          <w:lang w:val="en-US" w:eastAsia="zh-CN" w:bidi="ar-SA"/>
        </w:rPr>
        <w:t>供应商</w:t>
      </w:r>
    </w:p>
    <w:p w14:paraId="2DA7583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 满足征集公告中供应商资格要求的规定。</w:t>
      </w:r>
    </w:p>
    <w:p w14:paraId="6C762A2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 满足本征集文件实质性要求和条件的规定。</w:t>
      </w:r>
    </w:p>
    <w:p w14:paraId="7EFA4EB7">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59" w:name="_Toc20823278"/>
      <w:bookmarkStart w:id="60" w:name="_Toc16938522"/>
      <w:bookmarkStart w:id="61" w:name="_Toc513029206"/>
      <w:r>
        <w:rPr>
          <w:rFonts w:hint="eastAsia" w:ascii="Arial" w:hAnsi="Arial" w:eastAsia="黑体" w:cs="Arial"/>
          <w:b w:val="0"/>
          <w:bCs w:val="0"/>
          <w:color w:val="auto"/>
          <w:sz w:val="28"/>
          <w:szCs w:val="28"/>
          <w:highlight w:val="none"/>
          <w:lang w:val="en-US" w:eastAsia="zh-CN" w:bidi="ar-SA"/>
        </w:rPr>
        <w:t>3、适用法律</w:t>
      </w:r>
      <w:bookmarkEnd w:id="59"/>
      <w:bookmarkEnd w:id="60"/>
      <w:bookmarkEnd w:id="61"/>
    </w:p>
    <w:p w14:paraId="7D649A4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3.1 本次封闭式框架协议采购活动（以下简称采购活动）及由此产生的框架协议文本和采购合同文本受中华人民共和国有关的法律法规管辖和保护。</w:t>
      </w:r>
    </w:p>
    <w:p w14:paraId="73FEEE4C">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62" w:name="_Toc462564067"/>
      <w:bookmarkStart w:id="63" w:name="_Toc20823279"/>
      <w:bookmarkStart w:id="64" w:name="_Toc16938523"/>
      <w:bookmarkStart w:id="65" w:name="_Toc513029207"/>
      <w:r>
        <w:rPr>
          <w:rFonts w:hint="eastAsia" w:ascii="Arial" w:hAnsi="Arial" w:eastAsia="黑体" w:cs="Arial"/>
          <w:b w:val="0"/>
          <w:bCs w:val="0"/>
          <w:color w:val="auto"/>
          <w:sz w:val="28"/>
          <w:szCs w:val="28"/>
          <w:highlight w:val="none"/>
          <w:lang w:val="en-US" w:eastAsia="zh-CN" w:bidi="ar-SA"/>
        </w:rPr>
        <w:t>4、参加采购活动的费用</w:t>
      </w:r>
      <w:bookmarkEnd w:id="62"/>
      <w:bookmarkEnd w:id="63"/>
      <w:bookmarkEnd w:id="64"/>
      <w:bookmarkEnd w:id="65"/>
    </w:p>
    <w:p w14:paraId="79F6B10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4.1 供应商应自行承担所有与参加采购活动有关的费用，无论采购活动过程中的做法和结果如何，征集人在任何情况下均无义务和责任承担这些费用。</w:t>
      </w:r>
    </w:p>
    <w:p w14:paraId="119BC50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4.2 本次采购代理费服务费和专家评审费均由采购人承担，代理服务费收费标准：入围家数*</w:t>
      </w:r>
      <w:r>
        <w:rPr>
          <w:rFonts w:hint="eastAsia" w:ascii="宋体" w:hAnsi="宋体"/>
          <w:color w:val="auto"/>
          <w:sz w:val="24"/>
          <w:szCs w:val="24"/>
          <w:highlight w:val="none"/>
          <w:lang w:val="en-US" w:eastAsia="zh-CN"/>
        </w:rPr>
        <w:t>69</w:t>
      </w:r>
      <w:r>
        <w:rPr>
          <w:rFonts w:hint="eastAsia" w:ascii="宋体" w:hAnsi="宋体"/>
          <w:color w:val="auto"/>
          <w:sz w:val="24"/>
          <w:szCs w:val="24"/>
          <w:highlight w:val="none"/>
        </w:rPr>
        <w:t>0元/家，专家评审费按实际产生费用结算。</w:t>
      </w:r>
    </w:p>
    <w:p w14:paraId="2DF0E881">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5、征集文件的约束力</w:t>
      </w:r>
    </w:p>
    <w:p w14:paraId="20491D6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5.1 供应商一旦参加本项目采购活动，即被认为接受了本征集文件的规定和约束。</w:t>
      </w:r>
    </w:p>
    <w:p w14:paraId="0F69FD24">
      <w:pPr>
        <w:keepNext/>
        <w:keepLines/>
        <w:widowControl w:val="0"/>
        <w:spacing w:before="145" w:after="145" w:line="360" w:lineRule="auto"/>
        <w:ind w:firstLine="320"/>
        <w:jc w:val="both"/>
        <w:outlineLvl w:val="2"/>
        <w:rPr>
          <w:rFonts w:hint="eastAsia" w:ascii="Times New Roman" w:hAnsi="Times New Roman" w:eastAsia="宋体" w:cs="Times New Roman"/>
          <w:b w:val="0"/>
          <w:bCs w:val="0"/>
          <w:color w:val="auto"/>
          <w:sz w:val="32"/>
          <w:szCs w:val="32"/>
          <w:highlight w:val="none"/>
          <w:lang w:val="en-US" w:eastAsia="zh-CN" w:bidi="ar-SA"/>
        </w:rPr>
      </w:pPr>
      <w:bookmarkStart w:id="66" w:name="_Toc16938525"/>
      <w:bookmarkStart w:id="67" w:name="_Toc120614215"/>
      <w:bookmarkStart w:id="68" w:name="_Toc513029209"/>
      <w:bookmarkStart w:id="69" w:name="_Toc20823281"/>
      <w:r>
        <w:rPr>
          <w:rFonts w:hint="eastAsia" w:ascii="Times New Roman" w:hAnsi="Times New Roman" w:eastAsia="宋体" w:cs="Times New Roman"/>
          <w:b w:val="0"/>
          <w:bCs w:val="0"/>
          <w:color w:val="auto"/>
          <w:sz w:val="32"/>
          <w:szCs w:val="32"/>
          <w:highlight w:val="none"/>
          <w:lang w:val="en-US" w:eastAsia="zh-CN" w:bidi="ar-SA"/>
        </w:rPr>
        <w:t>二、征集文件</w:t>
      </w:r>
      <w:bookmarkEnd w:id="66"/>
      <w:bookmarkEnd w:id="67"/>
      <w:bookmarkEnd w:id="68"/>
      <w:bookmarkEnd w:id="69"/>
    </w:p>
    <w:p w14:paraId="5889DF2B">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70" w:name="_Toc513029210"/>
      <w:bookmarkStart w:id="71" w:name="_Toc20823282"/>
      <w:bookmarkStart w:id="72" w:name="_Toc16938526"/>
      <w:r>
        <w:rPr>
          <w:rFonts w:hint="eastAsia" w:ascii="Arial" w:hAnsi="Arial" w:eastAsia="黑体" w:cs="Arial"/>
          <w:b w:val="0"/>
          <w:bCs w:val="0"/>
          <w:color w:val="auto"/>
          <w:sz w:val="28"/>
          <w:szCs w:val="28"/>
          <w:highlight w:val="none"/>
          <w:lang w:val="en-US" w:eastAsia="zh-CN" w:bidi="ar-SA"/>
        </w:rPr>
        <w:t>6、征集文件构成</w:t>
      </w:r>
      <w:bookmarkEnd w:id="70"/>
      <w:bookmarkEnd w:id="71"/>
      <w:bookmarkEnd w:id="72"/>
    </w:p>
    <w:p w14:paraId="3DAD893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 征集文件由以下部分组成：</w:t>
      </w:r>
    </w:p>
    <w:p w14:paraId="4B2F82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6.1.1参加征集活动的邀请</w:t>
      </w:r>
    </w:p>
    <w:p w14:paraId="453B941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6.1.2供应商须知</w:t>
      </w:r>
    </w:p>
    <w:p w14:paraId="2D7CF85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6.1.3确定入围及成交供应商</w:t>
      </w:r>
    </w:p>
    <w:p w14:paraId="70A0FBB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6.1.4采购需求</w:t>
      </w:r>
    </w:p>
    <w:p w14:paraId="31B86F9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6.1.5协议书主要条款</w:t>
      </w:r>
    </w:p>
    <w:p w14:paraId="163CFA3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6.1.6响应文件格式</w:t>
      </w:r>
    </w:p>
    <w:p w14:paraId="4FD0E05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请仔细检查征集文件是否齐全，如有缺漏请立即与征集人联系解决。</w:t>
      </w:r>
    </w:p>
    <w:p w14:paraId="39FC114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637BBFDD">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73" w:name="_Toc20823283"/>
      <w:bookmarkStart w:id="74" w:name="_Toc513029211"/>
      <w:bookmarkStart w:id="75" w:name="_Toc462564070"/>
      <w:bookmarkStart w:id="76" w:name="_Toc16938527"/>
      <w:r>
        <w:rPr>
          <w:rFonts w:hint="eastAsia" w:ascii="Arial" w:hAnsi="Arial" w:eastAsia="黑体" w:cs="Arial"/>
          <w:b w:val="0"/>
          <w:bCs w:val="0"/>
          <w:color w:val="auto"/>
          <w:sz w:val="28"/>
          <w:szCs w:val="28"/>
          <w:highlight w:val="none"/>
          <w:lang w:val="en-US" w:eastAsia="zh-CN" w:bidi="ar-SA"/>
        </w:rPr>
        <w:t>7、征集文件的澄清</w:t>
      </w:r>
      <w:bookmarkEnd w:id="73"/>
      <w:bookmarkEnd w:id="74"/>
      <w:bookmarkEnd w:id="75"/>
      <w:bookmarkEnd w:id="76"/>
    </w:p>
    <w:p w14:paraId="3F8168E2">
      <w:pPr>
        <w:spacing w:line="360" w:lineRule="auto"/>
        <w:ind w:firstLine="480"/>
        <w:rPr>
          <w:rFonts w:hint="eastAsia" w:ascii="宋体" w:hAnsi="宋体"/>
          <w:color w:val="auto"/>
          <w:sz w:val="24"/>
          <w:szCs w:val="24"/>
          <w:highlight w:val="none"/>
        </w:rPr>
      </w:pPr>
      <w:bookmarkStart w:id="77" w:name="_Toc16938529"/>
      <w:bookmarkStart w:id="78" w:name="_Toc20823285"/>
      <w:bookmarkStart w:id="79" w:name="_Toc462564072"/>
      <w:bookmarkStart w:id="80" w:name="_Toc120614216"/>
      <w:bookmarkStart w:id="81" w:name="_Toc513029213"/>
      <w:r>
        <w:rPr>
          <w:rFonts w:hint="eastAsia" w:ascii="宋体" w:hAnsi="宋体"/>
          <w:color w:val="auto"/>
          <w:sz w:val="24"/>
          <w:szCs w:val="24"/>
          <w:highlight w:val="none"/>
        </w:rPr>
        <w:t>7.1 征集人对已发出的征集文件进行必要澄清或者修改的，将在征集文件要求提交响应文件截止时间十五日前，在原公告媒体发布更正公告，该澄清或者修改的内容为征集文件的组成部分。</w:t>
      </w:r>
    </w:p>
    <w:p w14:paraId="3A36F7B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7.2 征集人在征集文件要求提交响应文件截止时间前，有权决定延长提交响应文件截止时间和开启时间，并在原采购信息发布媒体上发布变更公告。</w:t>
      </w:r>
    </w:p>
    <w:p w14:paraId="6735A58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7.3 供应商应在提交响应文件截止时间前关注原采购信息发布媒体上有关本征集项目有无变更公告。</w:t>
      </w:r>
    </w:p>
    <w:p w14:paraId="04E26DDE">
      <w:pPr>
        <w:keepNext/>
        <w:keepLines/>
        <w:widowControl w:val="0"/>
        <w:spacing w:before="145" w:after="145" w:line="360" w:lineRule="auto"/>
        <w:ind w:firstLine="480"/>
        <w:jc w:val="both"/>
        <w:outlineLvl w:val="2"/>
        <w:rPr>
          <w:rFonts w:hint="eastAsia"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三、响应文件的编制</w:t>
      </w:r>
      <w:bookmarkEnd w:id="77"/>
      <w:bookmarkEnd w:id="78"/>
      <w:bookmarkEnd w:id="79"/>
      <w:bookmarkEnd w:id="80"/>
      <w:bookmarkEnd w:id="81"/>
    </w:p>
    <w:p w14:paraId="1100D3C8">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82" w:name="_Toc513029214"/>
      <w:bookmarkStart w:id="83" w:name="_Toc20823286"/>
      <w:bookmarkStart w:id="84" w:name="_Toc462564073"/>
      <w:bookmarkStart w:id="85" w:name="_Toc16938530"/>
      <w:r>
        <w:rPr>
          <w:rFonts w:hint="eastAsia" w:ascii="Arial" w:hAnsi="Arial" w:eastAsia="黑体" w:cs="Arial"/>
          <w:b w:val="0"/>
          <w:bCs w:val="0"/>
          <w:color w:val="auto"/>
          <w:sz w:val="28"/>
          <w:szCs w:val="28"/>
          <w:highlight w:val="none"/>
          <w:lang w:val="en-US" w:eastAsia="zh-CN" w:bidi="ar-SA"/>
        </w:rPr>
        <w:t>8、响应文件的语言及度量衡单位</w:t>
      </w:r>
      <w:bookmarkEnd w:id="82"/>
      <w:bookmarkEnd w:id="83"/>
      <w:bookmarkEnd w:id="84"/>
      <w:bookmarkEnd w:id="85"/>
    </w:p>
    <w:p w14:paraId="6892B84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8.1 供应商提交的响应文件以及供应商与征集人就采购活动的所有来往通知、函件和文件均应使用简体中文。</w:t>
      </w:r>
    </w:p>
    <w:p w14:paraId="129B910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8.2 除技术性能另有规定外，响应文件所使用的度量衡单位，均须采用国家法定计量单位。</w:t>
      </w:r>
    </w:p>
    <w:p w14:paraId="0290EA4F">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86" w:name="_Toc20823287"/>
      <w:bookmarkStart w:id="87" w:name="_Toc462564074"/>
      <w:bookmarkStart w:id="88" w:name="_Toc513029215"/>
      <w:bookmarkStart w:id="89" w:name="_Toc16938531"/>
      <w:r>
        <w:rPr>
          <w:rFonts w:hint="eastAsia" w:ascii="Arial" w:hAnsi="Arial" w:eastAsia="黑体" w:cs="Arial"/>
          <w:b w:val="0"/>
          <w:bCs w:val="0"/>
          <w:color w:val="auto"/>
          <w:sz w:val="28"/>
          <w:szCs w:val="28"/>
          <w:highlight w:val="none"/>
          <w:lang w:val="en-US" w:eastAsia="zh-CN" w:bidi="ar-SA"/>
        </w:rPr>
        <w:t>9、响应文件构成</w:t>
      </w:r>
      <w:bookmarkEnd w:id="86"/>
      <w:bookmarkEnd w:id="87"/>
      <w:bookmarkEnd w:id="88"/>
      <w:bookmarkEnd w:id="89"/>
    </w:p>
    <w:p w14:paraId="15EAF56A">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9.1 供应商应当根据征集文件要求编制响应文件，响应文件应对征集文件提出的要求和条件作出实质性响应</w:t>
      </w:r>
      <w:r>
        <w:rPr>
          <w:rFonts w:hint="eastAsia" w:ascii="宋体" w:hAnsi="宋体"/>
          <w:color w:val="auto"/>
          <w:sz w:val="24"/>
          <w:szCs w:val="24"/>
          <w:highlight w:val="none"/>
          <w:lang w:eastAsia="zh-CN"/>
        </w:rPr>
        <w:t>，</w:t>
      </w:r>
      <w:r>
        <w:rPr>
          <w:rFonts w:hint="eastAsia" w:ascii="宋体" w:hAnsi="宋体"/>
          <w:b/>
          <w:bCs/>
          <w:color w:val="auto"/>
          <w:sz w:val="24"/>
          <w:szCs w:val="24"/>
          <w:highlight w:val="none"/>
          <w:lang w:eastAsia="zh-CN"/>
        </w:rPr>
        <w:t>对带星号（“*”）的</w:t>
      </w:r>
      <w:r>
        <w:rPr>
          <w:rFonts w:hint="eastAsia" w:ascii="宋体" w:hAnsi="宋体"/>
          <w:b/>
          <w:bCs/>
          <w:color w:val="auto"/>
          <w:sz w:val="24"/>
          <w:szCs w:val="24"/>
          <w:highlight w:val="none"/>
          <w:lang w:val="en-US" w:eastAsia="zh-CN"/>
        </w:rPr>
        <w:t>实质性响应条款</w:t>
      </w:r>
      <w:r>
        <w:rPr>
          <w:rFonts w:hint="eastAsia" w:ascii="宋体" w:hAnsi="宋体"/>
          <w:b/>
          <w:bCs/>
          <w:color w:val="auto"/>
          <w:sz w:val="24"/>
          <w:szCs w:val="24"/>
          <w:highlight w:val="none"/>
          <w:lang w:eastAsia="zh-CN"/>
        </w:rPr>
        <w:t>必须在响应文件中提供</w:t>
      </w:r>
      <w:r>
        <w:rPr>
          <w:rFonts w:hint="eastAsia" w:ascii="宋体" w:hAnsi="宋体"/>
          <w:b/>
          <w:bCs/>
          <w:color w:val="auto"/>
          <w:sz w:val="24"/>
          <w:szCs w:val="24"/>
          <w:highlight w:val="none"/>
          <w:lang w:val="en-US" w:eastAsia="zh-CN"/>
        </w:rPr>
        <w:t>相关证明材料</w:t>
      </w:r>
      <w:r>
        <w:rPr>
          <w:rFonts w:hint="eastAsia" w:ascii="宋体" w:hAnsi="宋体"/>
          <w:b/>
          <w:bCs/>
          <w:color w:val="auto"/>
          <w:sz w:val="24"/>
          <w:szCs w:val="24"/>
          <w:highlight w:val="none"/>
          <w:lang w:eastAsia="zh-CN"/>
        </w:rPr>
        <w:t>，未提供相关证明材料，</w:t>
      </w:r>
      <w:r>
        <w:rPr>
          <w:rFonts w:hint="eastAsia" w:ascii="宋体" w:hAnsi="宋体"/>
          <w:b/>
          <w:bCs/>
          <w:color w:val="auto"/>
          <w:sz w:val="24"/>
          <w:szCs w:val="24"/>
          <w:highlight w:val="none"/>
          <w:lang w:val="en-US" w:eastAsia="zh-CN"/>
        </w:rPr>
        <w:t>则</w:t>
      </w:r>
      <w:r>
        <w:rPr>
          <w:rFonts w:hint="eastAsia" w:ascii="宋体" w:hAnsi="宋体"/>
          <w:b/>
          <w:bCs/>
          <w:color w:val="auto"/>
          <w:sz w:val="24"/>
          <w:szCs w:val="24"/>
          <w:highlight w:val="none"/>
          <w:lang w:eastAsia="zh-CN"/>
        </w:rPr>
        <w:t>视为未对征集文件实质性要求作出响应，评审时</w:t>
      </w:r>
      <w:r>
        <w:rPr>
          <w:rFonts w:hint="eastAsia" w:ascii="宋体" w:hAnsi="宋体"/>
          <w:b/>
          <w:bCs/>
          <w:color w:val="auto"/>
          <w:sz w:val="24"/>
          <w:szCs w:val="24"/>
          <w:highlight w:val="none"/>
          <w:lang w:val="en-US" w:eastAsia="zh-CN"/>
        </w:rPr>
        <w:t>认定投标无效</w:t>
      </w:r>
      <w:r>
        <w:rPr>
          <w:rFonts w:hint="eastAsia" w:ascii="宋体" w:hAnsi="宋体"/>
          <w:b/>
          <w:bCs/>
          <w:color w:val="auto"/>
          <w:sz w:val="24"/>
          <w:szCs w:val="24"/>
          <w:highlight w:val="none"/>
          <w:lang w:eastAsia="zh-CN"/>
        </w:rPr>
        <w:t>。</w:t>
      </w:r>
    </w:p>
    <w:p w14:paraId="4168ED5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9.2 </w:t>
      </w:r>
      <w:r>
        <w:rPr>
          <w:rFonts w:hint="eastAsia" w:ascii="宋体" w:hAnsi="宋体"/>
          <w:color w:val="auto"/>
          <w:sz w:val="24"/>
          <w:szCs w:val="24"/>
          <w:highlight w:val="none"/>
        </w:rPr>
        <w:t>响应文件由商务部分、技术部分、价格部分以及其他部分组成。</w:t>
      </w:r>
    </w:p>
    <w:p w14:paraId="66259C57">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9.</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 xml:space="preserve"> 如标书制作工具中格式和内容与“江苏政府采购网”发布的征集文件不一致，请以“江苏政府采购网”发布的征集文件为准</w:t>
      </w:r>
      <w:r>
        <w:rPr>
          <w:rFonts w:hint="eastAsia" w:ascii="宋体" w:hAnsi="宋体"/>
          <w:color w:val="auto"/>
          <w:sz w:val="24"/>
          <w:szCs w:val="24"/>
          <w:highlight w:val="none"/>
          <w:lang w:eastAsia="zh-CN"/>
        </w:rPr>
        <w:t>。</w:t>
      </w:r>
    </w:p>
    <w:p w14:paraId="75BE00E2">
      <w:pPr>
        <w:spacing w:line="360" w:lineRule="auto"/>
        <w:ind w:firstLine="480"/>
        <w:rPr>
          <w:rFonts w:hint="eastAsia" w:ascii="宋体" w:hAnsi="宋体" w:eastAsia="宋体" w:cs="Arial"/>
          <w:b/>
          <w:bCs/>
          <w:color w:val="auto"/>
          <w:sz w:val="24"/>
          <w:szCs w:val="24"/>
          <w:highlight w:val="none"/>
        </w:rPr>
      </w:pPr>
      <w:r>
        <w:rPr>
          <w:rFonts w:hint="eastAsia" w:ascii="Arial" w:hAnsi="Arial" w:eastAsia="黑体" w:cs="Arial"/>
          <w:b w:val="0"/>
          <w:bCs w:val="0"/>
          <w:color w:val="auto"/>
          <w:sz w:val="28"/>
          <w:szCs w:val="28"/>
          <w:highlight w:val="none"/>
          <w:lang w:val="en-US" w:eastAsia="zh-CN" w:bidi="ar-SA"/>
        </w:rPr>
        <w:t>10、</w:t>
      </w:r>
      <w:r>
        <w:rPr>
          <w:rFonts w:hint="eastAsia" w:ascii="宋体" w:hAnsi="宋体" w:eastAsia="宋体" w:cs="Arial"/>
          <w:b/>
          <w:bCs/>
          <w:color w:val="auto"/>
          <w:sz w:val="24"/>
          <w:szCs w:val="24"/>
          <w:highlight w:val="none"/>
        </w:rPr>
        <w:t>响应文件的商务部分</w:t>
      </w:r>
    </w:p>
    <w:p w14:paraId="5084418C">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10.1商务部分是证明供应商有资格参加投标和中标后有能力履行合同的文件，这些文件应能满足招标的要求，包括但不限于下列文件（（1）-（5）所述材料不得有缺失或提供不全或不满足征集文件的实质性要求）</w:t>
      </w:r>
    </w:p>
    <w:p w14:paraId="5BC2F62D">
      <w:pPr>
        <w:widowControl/>
        <w:shd w:val="clear" w:color="auto" w:fill="FFFFFF"/>
        <w:spacing w:line="360" w:lineRule="auto"/>
        <w:ind w:firstLine="420"/>
        <w:jc w:val="left"/>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（1）</w:t>
      </w:r>
      <w:r>
        <w:rPr>
          <w:rFonts w:hint="eastAsia" w:ascii="宋体" w:hAnsi="宋体" w:eastAsia="宋体" w:cs="Arial"/>
          <w:color w:val="auto"/>
          <w:sz w:val="24"/>
          <w:szCs w:val="24"/>
          <w:highlight w:val="none"/>
          <w:lang w:eastAsia="zh-CN"/>
        </w:rPr>
        <w:t>征集活动响应函</w:t>
      </w:r>
      <w:r>
        <w:rPr>
          <w:rFonts w:hint="eastAsia" w:ascii="宋体" w:hAnsi="宋体" w:eastAsia="宋体" w:cs="Arial"/>
          <w:bCs/>
          <w:color w:val="auto"/>
          <w:sz w:val="24"/>
          <w:szCs w:val="24"/>
          <w:highlight w:val="none"/>
        </w:rPr>
        <w:t>（</w:t>
      </w:r>
      <w:r>
        <w:rPr>
          <w:rFonts w:hint="eastAsia" w:ascii="宋体" w:hAnsi="宋体" w:eastAsia="宋体" w:cs="Arial"/>
          <w:b/>
          <w:bCs/>
          <w:color w:val="auto"/>
          <w:sz w:val="24"/>
          <w:szCs w:val="24"/>
          <w:highlight w:val="none"/>
        </w:rPr>
        <w:t>格式见附件</w:t>
      </w:r>
      <w:r>
        <w:rPr>
          <w:rFonts w:hint="eastAsia" w:ascii="宋体" w:hAnsi="宋体" w:eastAsia="宋体" w:cs="Arial"/>
          <w:bCs/>
          <w:color w:val="auto"/>
          <w:sz w:val="24"/>
          <w:szCs w:val="24"/>
          <w:highlight w:val="none"/>
        </w:rPr>
        <w:t>）</w:t>
      </w:r>
      <w:r>
        <w:rPr>
          <w:rFonts w:hint="eastAsia" w:ascii="宋体" w:hAnsi="宋体" w:eastAsia="宋体" w:cs="Arial"/>
          <w:color w:val="auto"/>
          <w:sz w:val="24"/>
          <w:szCs w:val="24"/>
          <w:highlight w:val="none"/>
        </w:rPr>
        <w:t>；</w:t>
      </w:r>
    </w:p>
    <w:p w14:paraId="6E0FC5C2">
      <w:pPr>
        <w:widowControl/>
        <w:shd w:val="clear" w:color="auto" w:fill="FFFFFF"/>
        <w:spacing w:line="360" w:lineRule="auto"/>
        <w:ind w:firstLine="420"/>
        <w:jc w:val="left"/>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（2）法定代表人授权委托书及委托代理人的身份证明文件的复印件</w:t>
      </w:r>
      <w:r>
        <w:rPr>
          <w:rFonts w:hint="eastAsia" w:ascii="宋体" w:hAnsi="宋体" w:eastAsia="宋体" w:cs="Arial"/>
          <w:bCs/>
          <w:color w:val="auto"/>
          <w:sz w:val="24"/>
          <w:szCs w:val="24"/>
          <w:highlight w:val="none"/>
        </w:rPr>
        <w:t>（</w:t>
      </w:r>
      <w:r>
        <w:rPr>
          <w:rFonts w:hint="eastAsia" w:ascii="宋体" w:hAnsi="宋体" w:eastAsia="宋体" w:cs="Arial"/>
          <w:b/>
          <w:bCs/>
          <w:color w:val="auto"/>
          <w:sz w:val="24"/>
          <w:szCs w:val="24"/>
          <w:highlight w:val="none"/>
        </w:rPr>
        <w:t>格式见附件</w:t>
      </w:r>
      <w:r>
        <w:rPr>
          <w:rFonts w:hint="eastAsia" w:ascii="宋体" w:hAnsi="宋体" w:eastAsia="宋体" w:cs="Arial"/>
          <w:bCs/>
          <w:color w:val="auto"/>
          <w:sz w:val="24"/>
          <w:szCs w:val="24"/>
          <w:highlight w:val="none"/>
        </w:rPr>
        <w:t>）</w:t>
      </w:r>
      <w:r>
        <w:rPr>
          <w:rFonts w:hint="eastAsia" w:ascii="宋体" w:hAnsi="宋体" w:eastAsia="宋体" w:cs="Arial"/>
          <w:color w:val="auto"/>
          <w:sz w:val="24"/>
          <w:szCs w:val="24"/>
          <w:highlight w:val="none"/>
        </w:rPr>
        <w:t>；</w:t>
      </w:r>
    </w:p>
    <w:p w14:paraId="497CAB37">
      <w:pPr>
        <w:widowControl/>
        <w:shd w:val="clear" w:color="auto" w:fill="FFFFFF"/>
        <w:spacing w:line="360" w:lineRule="auto"/>
        <w:ind w:firstLine="42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（3）供应商资格资信证明文件：</w:t>
      </w:r>
    </w:p>
    <w:p w14:paraId="66DD0AA3">
      <w:pPr>
        <w:numPr>
          <w:ilvl w:val="0"/>
          <w:numId w:val="0"/>
        </w:numPr>
        <w:tabs>
          <w:tab w:val="left" w:pos="840"/>
          <w:tab w:val="left" w:pos="990"/>
        </w:tabs>
        <w:spacing w:line="360" w:lineRule="auto"/>
        <w:ind w:left="367" w:leftChars="0"/>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rPr>
        <w:t>1）</w:t>
      </w:r>
      <w:r>
        <w:rPr>
          <w:rFonts w:hint="eastAsia" w:ascii="宋体" w:hAnsi="宋体" w:eastAsia="宋体" w:cs="Arial"/>
          <w:bCs/>
          <w:color w:val="auto"/>
          <w:sz w:val="24"/>
          <w:szCs w:val="24"/>
          <w:highlight w:val="none"/>
        </w:rPr>
        <w:t>《南京市政府采购供应商信用记录表暨信用承诺书》；</w:t>
      </w:r>
    </w:p>
    <w:p w14:paraId="36EC2DC5">
      <w:pPr>
        <w:numPr>
          <w:ilvl w:val="0"/>
          <w:numId w:val="0"/>
        </w:numPr>
        <w:tabs>
          <w:tab w:val="left" w:pos="840"/>
          <w:tab w:val="left" w:pos="990"/>
        </w:tabs>
        <w:spacing w:line="360" w:lineRule="auto"/>
        <w:ind w:left="367" w:leftChars="0"/>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rPr>
        <w:t>2）公告中针对</w:t>
      </w:r>
      <w:r>
        <w:rPr>
          <w:rFonts w:hint="eastAsia" w:ascii="宋体" w:hAnsi="宋体" w:eastAsia="宋体" w:cs="Arial"/>
          <w:bCs/>
          <w:color w:val="auto"/>
          <w:sz w:val="24"/>
          <w:szCs w:val="24"/>
          <w:highlight w:val="none"/>
        </w:rPr>
        <w:t>本项目的特定资格要求。</w:t>
      </w:r>
    </w:p>
    <w:p w14:paraId="2F6B89F7">
      <w:pPr>
        <w:widowControl/>
        <w:shd w:val="clear" w:color="auto" w:fill="FFFFFF"/>
        <w:spacing w:line="360" w:lineRule="auto"/>
        <w:ind w:firstLine="420"/>
        <w:jc w:val="left"/>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（4）报价一览表</w:t>
      </w:r>
      <w:r>
        <w:rPr>
          <w:rFonts w:hint="eastAsia" w:ascii="宋体" w:hAnsi="宋体" w:eastAsia="宋体" w:cs="Arial"/>
          <w:bCs/>
          <w:color w:val="auto"/>
          <w:sz w:val="24"/>
          <w:szCs w:val="24"/>
          <w:highlight w:val="none"/>
        </w:rPr>
        <w:t>；</w:t>
      </w:r>
    </w:p>
    <w:p w14:paraId="0336D2D7">
      <w:pPr>
        <w:widowControl/>
        <w:shd w:val="clear" w:color="auto" w:fill="FFFFFF"/>
        <w:spacing w:line="360" w:lineRule="auto"/>
        <w:ind w:firstLine="420"/>
        <w:jc w:val="lef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w:t>
      </w:r>
      <w:r>
        <w:rPr>
          <w:rFonts w:hint="eastAsia" w:ascii="宋体" w:hAnsi="宋体" w:eastAsia="宋体" w:cs="Arial"/>
          <w:color w:val="auto"/>
          <w:sz w:val="24"/>
          <w:szCs w:val="24"/>
          <w:highlight w:val="none"/>
          <w:lang w:val="en-US" w:eastAsia="zh-CN"/>
        </w:rPr>
        <w:t>5</w:t>
      </w:r>
      <w:r>
        <w:rPr>
          <w:rFonts w:hint="eastAsia" w:ascii="宋体" w:hAnsi="宋体" w:eastAsia="宋体" w:cs="Arial"/>
          <w:color w:val="auto"/>
          <w:sz w:val="24"/>
          <w:szCs w:val="24"/>
          <w:highlight w:val="none"/>
        </w:rPr>
        <w:t>）</w:t>
      </w:r>
      <w:r>
        <w:rPr>
          <w:rFonts w:hint="eastAsia" w:ascii="宋体" w:hAnsi="宋体" w:eastAsia="宋体" w:cs="Arial"/>
          <w:b/>
          <w:bCs/>
          <w:color w:val="auto"/>
          <w:sz w:val="24"/>
          <w:szCs w:val="24"/>
          <w:highlight w:val="none"/>
        </w:rPr>
        <w:t>第</w:t>
      </w:r>
      <w:r>
        <w:rPr>
          <w:rFonts w:hint="eastAsia" w:ascii="宋体" w:hAnsi="宋体" w:eastAsia="宋体" w:cs="Arial"/>
          <w:b/>
          <w:bCs/>
          <w:color w:val="auto"/>
          <w:sz w:val="24"/>
          <w:szCs w:val="24"/>
          <w:highlight w:val="none"/>
          <w:lang w:val="en-US" w:eastAsia="zh-CN"/>
        </w:rPr>
        <w:t>四</w:t>
      </w:r>
      <w:r>
        <w:rPr>
          <w:rFonts w:hint="eastAsia" w:ascii="宋体" w:hAnsi="宋体" w:eastAsia="宋体" w:cs="Arial"/>
          <w:b/>
          <w:bCs/>
          <w:color w:val="auto"/>
          <w:sz w:val="24"/>
          <w:szCs w:val="24"/>
          <w:highlight w:val="none"/>
        </w:rPr>
        <w:t>章</w:t>
      </w:r>
      <w:r>
        <w:rPr>
          <w:rFonts w:hint="eastAsia" w:ascii="宋体" w:hAnsi="宋体" w:eastAsia="宋体" w:cs="Arial"/>
          <w:b/>
          <w:bCs/>
          <w:color w:val="auto"/>
          <w:sz w:val="24"/>
          <w:szCs w:val="24"/>
          <w:highlight w:val="none"/>
          <w:lang w:val="en-US" w:eastAsia="zh-CN"/>
        </w:rPr>
        <w:t>采购需求中带星号（“*”）的实质性响应条款证明材料</w:t>
      </w:r>
      <w:r>
        <w:rPr>
          <w:rFonts w:hint="eastAsia" w:ascii="宋体" w:hAnsi="宋体" w:eastAsia="宋体" w:cs="Arial"/>
          <w:color w:val="auto"/>
          <w:sz w:val="24"/>
          <w:szCs w:val="24"/>
          <w:highlight w:val="none"/>
        </w:rPr>
        <w:t>（如有自行添加）；</w:t>
      </w:r>
    </w:p>
    <w:p w14:paraId="0D4C3958">
      <w:pPr>
        <w:widowControl/>
        <w:shd w:val="clear" w:color="auto" w:fill="FFFFFF"/>
        <w:spacing w:line="360" w:lineRule="auto"/>
        <w:ind w:firstLine="420"/>
        <w:jc w:val="left"/>
        <w:rPr>
          <w:color w:val="auto"/>
          <w:highlight w:val="none"/>
        </w:rPr>
      </w:pPr>
      <w:r>
        <w:rPr>
          <w:rFonts w:hint="eastAsia" w:ascii="宋体" w:hAnsi="宋体" w:eastAsia="宋体" w:cs="Arial"/>
          <w:color w:val="auto"/>
          <w:sz w:val="24"/>
          <w:szCs w:val="24"/>
          <w:highlight w:val="none"/>
        </w:rPr>
        <w:t>（</w:t>
      </w:r>
      <w:r>
        <w:rPr>
          <w:rFonts w:hint="eastAsia" w:ascii="宋体" w:hAnsi="宋体" w:eastAsia="宋体" w:cs="Arial"/>
          <w:color w:val="auto"/>
          <w:sz w:val="24"/>
          <w:szCs w:val="24"/>
          <w:highlight w:val="none"/>
          <w:lang w:val="en-US" w:eastAsia="zh-CN"/>
        </w:rPr>
        <w:t>6</w:t>
      </w:r>
      <w:r>
        <w:rPr>
          <w:rFonts w:hint="eastAsia" w:ascii="宋体" w:hAnsi="宋体" w:eastAsia="宋体" w:cs="Arial"/>
          <w:color w:val="auto"/>
          <w:sz w:val="24"/>
          <w:szCs w:val="24"/>
          <w:highlight w:val="none"/>
        </w:rPr>
        <w:t>）分项报价表</w:t>
      </w:r>
      <w:r>
        <w:rPr>
          <w:rFonts w:hint="eastAsia" w:ascii="宋体" w:hAnsi="宋体" w:eastAsia="宋体" w:cs="Arial"/>
          <w:bCs/>
          <w:color w:val="auto"/>
          <w:sz w:val="24"/>
          <w:szCs w:val="24"/>
          <w:highlight w:val="none"/>
        </w:rPr>
        <w:t>（</w:t>
      </w:r>
      <w:r>
        <w:rPr>
          <w:rFonts w:hint="eastAsia" w:ascii="宋体" w:hAnsi="宋体" w:eastAsia="宋体" w:cs="Arial"/>
          <w:bCs/>
          <w:color w:val="auto"/>
          <w:sz w:val="24"/>
          <w:szCs w:val="24"/>
          <w:highlight w:val="none"/>
          <w:lang w:val="en-US" w:eastAsia="zh-CN"/>
        </w:rPr>
        <w:t>如有，</w:t>
      </w:r>
      <w:r>
        <w:rPr>
          <w:rFonts w:hint="eastAsia" w:ascii="宋体" w:hAnsi="宋体" w:eastAsia="宋体" w:cs="Arial"/>
          <w:b/>
          <w:bCs/>
          <w:color w:val="auto"/>
          <w:sz w:val="24"/>
          <w:szCs w:val="24"/>
          <w:highlight w:val="none"/>
        </w:rPr>
        <w:t>格式见附件</w:t>
      </w:r>
      <w:r>
        <w:rPr>
          <w:rFonts w:hint="eastAsia" w:ascii="宋体" w:hAnsi="宋体" w:eastAsia="宋体" w:cs="Arial"/>
          <w:bCs/>
          <w:color w:val="auto"/>
          <w:sz w:val="24"/>
          <w:szCs w:val="24"/>
          <w:highlight w:val="none"/>
        </w:rPr>
        <w:t>）</w:t>
      </w:r>
      <w:r>
        <w:rPr>
          <w:rFonts w:hint="eastAsia" w:ascii="宋体" w:hAnsi="宋体" w:eastAsia="宋体" w:cs="Arial"/>
          <w:color w:val="auto"/>
          <w:sz w:val="24"/>
          <w:szCs w:val="24"/>
          <w:highlight w:val="none"/>
        </w:rPr>
        <w:t>；</w:t>
      </w:r>
    </w:p>
    <w:p w14:paraId="5E26725A">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90" w:name="_Hlt26670486"/>
      <w:bookmarkEnd w:id="90"/>
      <w:bookmarkStart w:id="91" w:name="_Hlt26670482"/>
      <w:bookmarkEnd w:id="91"/>
      <w:bookmarkStart w:id="92" w:name="_Hlt26954731"/>
      <w:bookmarkEnd w:id="92"/>
      <w:bookmarkStart w:id="93" w:name="_Hlt26670360"/>
      <w:bookmarkEnd w:id="93"/>
      <w:bookmarkStart w:id="94" w:name="_Hlt26954846"/>
      <w:bookmarkEnd w:id="94"/>
      <w:bookmarkStart w:id="95" w:name="_Hlt26954838"/>
      <w:bookmarkEnd w:id="95"/>
      <w:bookmarkStart w:id="96" w:name="_Hlt26954848"/>
      <w:bookmarkEnd w:id="96"/>
      <w:bookmarkStart w:id="97" w:name="_Hlt26668975"/>
      <w:bookmarkEnd w:id="97"/>
      <w:r>
        <w:rPr>
          <w:rFonts w:hint="eastAsia" w:ascii="Arial" w:hAnsi="Arial" w:eastAsia="黑体" w:cs="Arial"/>
          <w:b w:val="0"/>
          <w:bCs w:val="0"/>
          <w:color w:val="auto"/>
          <w:sz w:val="28"/>
          <w:szCs w:val="28"/>
          <w:highlight w:val="none"/>
          <w:lang w:val="en-US" w:eastAsia="zh-CN" w:bidi="ar-SA"/>
        </w:rPr>
        <w:t>11、响应文件的技术部分</w:t>
      </w:r>
    </w:p>
    <w:p w14:paraId="2FDDD76E">
      <w:pPr>
        <w:keepNext/>
        <w:keepLines/>
        <w:widowControl w:val="0"/>
        <w:spacing w:before="0" w:after="0" w:line="360" w:lineRule="auto"/>
        <w:ind w:firstLine="420"/>
        <w:jc w:val="both"/>
        <w:outlineLvl w:val="3"/>
        <w:rPr>
          <w:rFonts w:hint="eastAsia" w:ascii="宋体" w:hAnsi="宋体" w:eastAsia="宋体" w:cs="Arial"/>
          <w:b w:val="0"/>
          <w:bCs/>
          <w:color w:val="auto"/>
          <w:sz w:val="24"/>
          <w:szCs w:val="24"/>
          <w:highlight w:val="none"/>
          <w:lang w:val="zh-CN" w:eastAsia="zh-CN" w:bidi="ar-SA"/>
        </w:rPr>
      </w:pPr>
      <w:r>
        <w:rPr>
          <w:rFonts w:hint="eastAsia" w:ascii="宋体" w:hAnsi="宋体" w:eastAsia="宋体" w:cs="Arial"/>
          <w:b w:val="0"/>
          <w:bCs/>
          <w:color w:val="auto"/>
          <w:sz w:val="24"/>
          <w:szCs w:val="24"/>
          <w:highlight w:val="none"/>
          <w:lang w:val="zh-CN" w:eastAsia="zh-CN" w:bidi="ar-SA"/>
        </w:rPr>
        <w:t>（</w:t>
      </w:r>
      <w:r>
        <w:rPr>
          <w:rFonts w:hint="eastAsia" w:ascii="宋体" w:hAnsi="宋体" w:eastAsia="宋体" w:cs="Arial"/>
          <w:b w:val="0"/>
          <w:bCs/>
          <w:color w:val="auto"/>
          <w:sz w:val="24"/>
          <w:szCs w:val="24"/>
          <w:highlight w:val="none"/>
          <w:lang w:val="en-US" w:eastAsia="zh-CN" w:bidi="ar-SA"/>
        </w:rPr>
        <w:t>1</w:t>
      </w:r>
      <w:r>
        <w:rPr>
          <w:rFonts w:hint="eastAsia" w:ascii="宋体" w:hAnsi="宋体" w:eastAsia="宋体" w:cs="Arial"/>
          <w:b w:val="0"/>
          <w:bCs/>
          <w:color w:val="auto"/>
          <w:sz w:val="24"/>
          <w:szCs w:val="24"/>
          <w:highlight w:val="none"/>
          <w:lang w:val="zh-CN" w:eastAsia="zh-CN" w:bidi="ar-SA"/>
        </w:rPr>
        <w:t>）供应商认为需要提供的其他技术资料。</w:t>
      </w:r>
    </w:p>
    <w:p w14:paraId="3A5F929B">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12、投标保证金（无需缴纳）</w:t>
      </w:r>
    </w:p>
    <w:p w14:paraId="6920250F">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98" w:name="_Toc14577360"/>
      <w:bookmarkStart w:id="99" w:name="_Toc49090511"/>
      <w:r>
        <w:rPr>
          <w:rFonts w:hint="eastAsia" w:ascii="Arial" w:hAnsi="Arial" w:eastAsia="黑体" w:cs="Arial"/>
          <w:b w:val="0"/>
          <w:bCs w:val="0"/>
          <w:color w:val="auto"/>
          <w:sz w:val="28"/>
          <w:szCs w:val="28"/>
          <w:highlight w:val="none"/>
          <w:lang w:val="en-US" w:eastAsia="zh-CN" w:bidi="ar-SA"/>
        </w:rPr>
        <w:t>13、响应文件有效期</w:t>
      </w:r>
      <w:bookmarkEnd w:id="98"/>
      <w:bookmarkEnd w:id="99"/>
    </w:p>
    <w:p w14:paraId="34F6DA8D">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响应文件有效期为响应文件提交截止时间之日后九十天。响应文件有效期比规定短的将被视为未实质性响应征集文件而予以拒绝。</w:t>
      </w:r>
    </w:p>
    <w:p w14:paraId="482359A7">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14、响应文件有效期的延长</w:t>
      </w:r>
    </w:p>
    <w:p w14:paraId="7F810C08">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在特殊情况下，</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受响应文件有效期约束的所有权利与义务均延长至新的有效期。</w:t>
      </w:r>
    </w:p>
    <w:p w14:paraId="02B2B79E">
      <w:pPr>
        <w:keepNext/>
        <w:keepLines/>
        <w:widowControl w:val="0"/>
        <w:spacing w:before="145" w:after="145" w:line="360" w:lineRule="auto"/>
        <w:ind w:firstLine="480"/>
        <w:jc w:val="both"/>
        <w:outlineLvl w:val="2"/>
        <w:rPr>
          <w:rFonts w:hint="eastAsia" w:ascii="Times New Roman" w:hAnsi="Times New Roman" w:eastAsia="宋体" w:cs="Times New Roman"/>
          <w:b w:val="0"/>
          <w:bCs w:val="0"/>
          <w:color w:val="auto"/>
          <w:sz w:val="32"/>
          <w:szCs w:val="32"/>
          <w:highlight w:val="none"/>
          <w:lang w:val="en-US" w:eastAsia="zh-CN" w:bidi="ar-SA"/>
        </w:rPr>
      </w:pPr>
      <w:bookmarkStart w:id="100" w:name="_Hlt26954852"/>
      <w:bookmarkEnd w:id="100"/>
      <w:bookmarkStart w:id="101" w:name="_Hlt26954739"/>
      <w:bookmarkEnd w:id="101"/>
      <w:bookmarkStart w:id="102" w:name="_Toc120614217"/>
      <w:bookmarkStart w:id="103" w:name="_Toc513029224"/>
      <w:bookmarkStart w:id="104" w:name="_Toc16938540"/>
      <w:bookmarkStart w:id="105" w:name="_Toc20823296"/>
      <w:r>
        <w:rPr>
          <w:rFonts w:hint="eastAsia" w:ascii="Times New Roman" w:hAnsi="Times New Roman" w:eastAsia="宋体" w:cs="Times New Roman"/>
          <w:b w:val="0"/>
          <w:bCs w:val="0"/>
          <w:color w:val="auto"/>
          <w:sz w:val="32"/>
          <w:szCs w:val="32"/>
          <w:highlight w:val="none"/>
          <w:lang w:val="en-US" w:eastAsia="zh-CN" w:bidi="ar-SA"/>
        </w:rPr>
        <w:t>四、响应文件的递交</w:t>
      </w:r>
      <w:bookmarkEnd w:id="102"/>
      <w:bookmarkEnd w:id="103"/>
      <w:bookmarkEnd w:id="104"/>
      <w:bookmarkEnd w:id="105"/>
    </w:p>
    <w:p w14:paraId="4224EEDE">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06" w:name="_Toc462564084"/>
      <w:bookmarkStart w:id="107" w:name="_Toc16938541"/>
      <w:bookmarkStart w:id="108" w:name="_Toc513029225"/>
      <w:bookmarkStart w:id="109" w:name="_Toc20823297"/>
      <w:r>
        <w:rPr>
          <w:rFonts w:hint="eastAsia" w:ascii="Arial" w:hAnsi="Arial" w:eastAsia="黑体" w:cs="Arial"/>
          <w:b w:val="0"/>
          <w:bCs w:val="0"/>
          <w:color w:val="auto"/>
          <w:sz w:val="28"/>
          <w:szCs w:val="28"/>
          <w:highlight w:val="none"/>
          <w:lang w:val="en-US" w:eastAsia="zh-CN" w:bidi="ar-SA"/>
        </w:rPr>
        <w:t>15、响应文件</w:t>
      </w:r>
      <w:bookmarkEnd w:id="106"/>
      <w:bookmarkEnd w:id="107"/>
      <w:bookmarkEnd w:id="108"/>
      <w:bookmarkEnd w:id="109"/>
      <w:r>
        <w:rPr>
          <w:rFonts w:hint="eastAsia" w:ascii="Arial" w:hAnsi="Arial" w:eastAsia="黑体" w:cs="Arial"/>
          <w:b w:val="0"/>
          <w:bCs w:val="0"/>
          <w:color w:val="auto"/>
          <w:sz w:val="28"/>
          <w:szCs w:val="28"/>
          <w:highlight w:val="none"/>
          <w:lang w:val="en-US" w:eastAsia="zh-CN" w:bidi="ar-SA"/>
        </w:rPr>
        <w:t>的递交</w:t>
      </w:r>
    </w:p>
    <w:p w14:paraId="5AD465B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.1 供应商应当按照规定，在响应文件提交截止时间前制作并上传电子响应文件。</w:t>
      </w:r>
      <w:bookmarkStart w:id="110" w:name="_Toc513029226"/>
      <w:bookmarkStart w:id="111" w:name="_Toc20823298"/>
      <w:bookmarkStart w:id="112" w:name="_Toc16938542"/>
    </w:p>
    <w:p w14:paraId="0F0E4254">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16、</w:t>
      </w:r>
      <w:bookmarkEnd w:id="110"/>
      <w:bookmarkEnd w:id="111"/>
      <w:bookmarkEnd w:id="112"/>
      <w:r>
        <w:rPr>
          <w:rFonts w:hint="eastAsia" w:ascii="Arial" w:hAnsi="Arial" w:eastAsia="黑体" w:cs="Arial"/>
          <w:b w:val="0"/>
          <w:bCs w:val="0"/>
          <w:color w:val="auto"/>
          <w:sz w:val="28"/>
          <w:szCs w:val="28"/>
          <w:highlight w:val="none"/>
          <w:lang w:val="en-US" w:eastAsia="zh-CN" w:bidi="ar-SA"/>
        </w:rPr>
        <w:t>响应文件提交截止时间</w:t>
      </w:r>
    </w:p>
    <w:p w14:paraId="32522D8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.1 供应商上传电子响应文件的时间不得迟于征集公告中规定的截止时间。</w:t>
      </w:r>
    </w:p>
    <w:p w14:paraId="60F26432">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供应商应充分考虑到网络环境、网络带宽等风险因素，如因供应商自身原因造成的电子响应文件上传不成功的，按照本征集文件第二章第25条规定做无效响应处理。</w:t>
      </w:r>
    </w:p>
    <w:p w14:paraId="603ECF76">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 xml:space="preserve">.2 </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可以按照规定，通过修改征集文件酌情延长截止日期，在此情况下，供应商的所有权利和义务以及供应商受制的截止日期均应以延长后新的截止日期为准。</w:t>
      </w:r>
    </w:p>
    <w:p w14:paraId="59DFE887">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13" w:name="_Toc16938543"/>
      <w:bookmarkStart w:id="114" w:name="_Toc20823299"/>
      <w:bookmarkStart w:id="115" w:name="_Toc513029227"/>
      <w:r>
        <w:rPr>
          <w:rFonts w:hint="eastAsia" w:ascii="Arial" w:hAnsi="Arial" w:eastAsia="黑体" w:cs="Arial"/>
          <w:b w:val="0"/>
          <w:bCs w:val="0"/>
          <w:color w:val="auto"/>
          <w:sz w:val="28"/>
          <w:szCs w:val="28"/>
          <w:highlight w:val="none"/>
          <w:lang w:val="en-US" w:eastAsia="zh-CN" w:bidi="ar-SA"/>
        </w:rPr>
        <w:t>17、</w:t>
      </w:r>
      <w:bookmarkEnd w:id="113"/>
      <w:bookmarkEnd w:id="114"/>
      <w:bookmarkEnd w:id="115"/>
      <w:r>
        <w:rPr>
          <w:rFonts w:hint="eastAsia" w:ascii="Arial" w:hAnsi="Arial" w:eastAsia="黑体" w:cs="Arial"/>
          <w:b w:val="0"/>
          <w:bCs w:val="0"/>
          <w:color w:val="auto"/>
          <w:sz w:val="28"/>
          <w:szCs w:val="28"/>
          <w:highlight w:val="none"/>
          <w:lang w:val="en-US" w:eastAsia="zh-CN" w:bidi="ar-SA"/>
        </w:rPr>
        <w:t>响应文件的拒收</w:t>
      </w:r>
    </w:p>
    <w:p w14:paraId="7839C5ED">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 xml:space="preserve">.1 </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拒绝接收在其规定的响应文件提交截止时间后上传的任何响应文件。</w:t>
      </w:r>
    </w:p>
    <w:p w14:paraId="2C3A45A9">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16" w:name="_Toc20823300"/>
      <w:bookmarkStart w:id="117" w:name="_Toc16938544"/>
      <w:bookmarkStart w:id="118" w:name="_Toc513029228"/>
      <w:r>
        <w:rPr>
          <w:rFonts w:hint="eastAsia" w:ascii="Arial" w:hAnsi="Arial" w:eastAsia="黑体" w:cs="Arial"/>
          <w:b w:val="0"/>
          <w:bCs w:val="0"/>
          <w:color w:val="auto"/>
          <w:sz w:val="28"/>
          <w:szCs w:val="28"/>
          <w:highlight w:val="none"/>
          <w:lang w:val="en-US" w:eastAsia="zh-CN" w:bidi="ar-SA"/>
        </w:rPr>
        <w:t>18、响应文件的撤回和修改</w:t>
      </w:r>
      <w:bookmarkEnd w:id="116"/>
      <w:bookmarkEnd w:id="117"/>
      <w:bookmarkEnd w:id="118"/>
    </w:p>
    <w:p w14:paraId="014D86C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.1 响应文件的撤回</w:t>
      </w:r>
    </w:p>
    <w:p w14:paraId="57F7319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.1.1响应文件的撤回</w:t>
      </w:r>
    </w:p>
    <w:p w14:paraId="26B40BB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供应商可在响应文件提交截止时间前，撤回其电子响应文件，具体操作方法见《操作手册》。</w:t>
      </w:r>
    </w:p>
    <w:p w14:paraId="4243FA1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.1.2供应商撤回电子响应文件，则认为其不再参与本项采购活动。</w:t>
      </w:r>
    </w:p>
    <w:p w14:paraId="54126D1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.2 响应文件的修改</w:t>
      </w:r>
    </w:p>
    <w:p w14:paraId="22DE7CC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供应商可在响应文件提交截止时间前，对其电子响应文件进行修改，具体操作方法见《操作手册》。</w:t>
      </w:r>
    </w:p>
    <w:p w14:paraId="6354160D">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.3 在响应文件提交截止时间之后，供应商不得对其电子响应文件作任何修改。</w:t>
      </w:r>
    </w:p>
    <w:p w14:paraId="1A204BF6">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.4 在响应文件提交截止时间至征集文件中规定的响应文件有效期满之间的这段时间内，供应商不得撤回其电子响应文件。</w:t>
      </w:r>
    </w:p>
    <w:p w14:paraId="646FD33B">
      <w:pPr>
        <w:keepNext/>
        <w:keepLines/>
        <w:widowControl w:val="0"/>
        <w:spacing w:before="145" w:after="145" w:line="276" w:lineRule="auto"/>
        <w:ind w:firstLine="480"/>
        <w:jc w:val="both"/>
        <w:outlineLvl w:val="2"/>
        <w:rPr>
          <w:rFonts w:hint="eastAsia" w:ascii="Times New Roman" w:hAnsi="Times New Roman" w:eastAsia="宋体" w:cs="Times New Roman"/>
          <w:b w:val="0"/>
          <w:bCs w:val="0"/>
          <w:color w:val="auto"/>
          <w:sz w:val="32"/>
          <w:szCs w:val="32"/>
          <w:highlight w:val="none"/>
          <w:lang w:val="en-US" w:eastAsia="zh-CN" w:bidi="ar-SA"/>
        </w:rPr>
      </w:pPr>
      <w:bookmarkStart w:id="119" w:name="_Toc513029229"/>
      <w:bookmarkStart w:id="120" w:name="_Toc16938545"/>
      <w:bookmarkStart w:id="121" w:name="_Toc120614218"/>
      <w:bookmarkStart w:id="122" w:name="_Toc20823301"/>
      <w:r>
        <w:rPr>
          <w:rFonts w:hint="eastAsia" w:ascii="Times New Roman" w:hAnsi="Times New Roman" w:eastAsia="宋体" w:cs="Times New Roman"/>
          <w:b w:val="0"/>
          <w:bCs w:val="0"/>
          <w:color w:val="auto"/>
          <w:sz w:val="32"/>
          <w:szCs w:val="32"/>
          <w:highlight w:val="none"/>
          <w:lang w:val="en-US" w:eastAsia="zh-CN" w:bidi="ar-SA"/>
        </w:rPr>
        <w:t>五、响应文件的开启与</w:t>
      </w:r>
      <w:bookmarkEnd w:id="119"/>
      <w:bookmarkEnd w:id="120"/>
      <w:bookmarkEnd w:id="121"/>
      <w:bookmarkEnd w:id="122"/>
      <w:r>
        <w:rPr>
          <w:rFonts w:hint="eastAsia" w:ascii="Times New Roman" w:hAnsi="Times New Roman" w:eastAsia="宋体" w:cs="Times New Roman"/>
          <w:b w:val="0"/>
          <w:bCs w:val="0"/>
          <w:color w:val="auto"/>
          <w:sz w:val="32"/>
          <w:szCs w:val="32"/>
          <w:highlight w:val="none"/>
          <w:lang w:val="en-US" w:eastAsia="zh-CN" w:bidi="ar-SA"/>
        </w:rPr>
        <w:t>评审</w:t>
      </w:r>
    </w:p>
    <w:p w14:paraId="3D015CA3">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23" w:name="_Toc16938546"/>
      <w:bookmarkStart w:id="124" w:name="_Toc513029230"/>
      <w:bookmarkStart w:id="125" w:name="_Toc20823302"/>
      <w:r>
        <w:rPr>
          <w:rFonts w:hint="eastAsia" w:ascii="Arial" w:hAnsi="Arial" w:eastAsia="黑体" w:cs="Arial"/>
          <w:b w:val="0"/>
          <w:bCs w:val="0"/>
          <w:color w:val="auto"/>
          <w:sz w:val="28"/>
          <w:szCs w:val="28"/>
          <w:highlight w:val="none"/>
          <w:lang w:val="en-US" w:eastAsia="zh-CN" w:bidi="ar-SA"/>
        </w:rPr>
        <w:t>19、</w:t>
      </w:r>
      <w:bookmarkEnd w:id="123"/>
      <w:bookmarkEnd w:id="124"/>
      <w:bookmarkEnd w:id="125"/>
      <w:r>
        <w:rPr>
          <w:rFonts w:hint="eastAsia" w:ascii="Arial" w:hAnsi="Arial" w:eastAsia="黑体" w:cs="Arial"/>
          <w:b w:val="0"/>
          <w:bCs w:val="0"/>
          <w:color w:val="auto"/>
          <w:sz w:val="28"/>
          <w:szCs w:val="28"/>
          <w:highlight w:val="none"/>
          <w:lang w:val="en-US" w:eastAsia="zh-CN" w:bidi="ar-SA"/>
        </w:rPr>
        <w:t>响应文件的开启</w:t>
      </w:r>
    </w:p>
    <w:p w14:paraId="200CDBF8">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19</w:t>
      </w:r>
      <w:r>
        <w:rPr>
          <w:rFonts w:hint="eastAsia" w:ascii="宋体" w:hAnsi="宋体"/>
          <w:color w:val="auto"/>
          <w:sz w:val="24"/>
          <w:szCs w:val="24"/>
          <w:highlight w:val="none"/>
          <w:lang w:val="zh-CN"/>
        </w:rPr>
        <w:t xml:space="preserve">.1 </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将在征集公告中规定的时间和地点组织开启响应文件。供应商应当按照《操作手册》规定，参加响应文件开启和在“苏采云”系统规定的时间内对电子响应文件进行解密。</w:t>
      </w:r>
    </w:p>
    <w:p w14:paraId="3461699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19</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响应文件开启仪式由</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组织, “苏采云”系统将自动公布各供应商的报价。</w:t>
      </w:r>
    </w:p>
    <w:p w14:paraId="7713931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19</w:t>
      </w:r>
      <w:r>
        <w:rPr>
          <w:rFonts w:hint="eastAsia" w:ascii="宋体" w:hAnsi="宋体"/>
          <w:color w:val="auto"/>
          <w:sz w:val="24"/>
          <w:szCs w:val="24"/>
          <w:highlight w:val="none"/>
          <w:lang w:val="zh-CN"/>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供应商在响应文件开启过程中涉及到的响应文件解密、结果确认等工作，应按照《操作手册》规定执行。</w:t>
      </w:r>
    </w:p>
    <w:p w14:paraId="4B00247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19</w:t>
      </w:r>
      <w:r>
        <w:rPr>
          <w:rFonts w:hint="eastAsia" w:ascii="宋体" w:hAnsi="宋体"/>
          <w:color w:val="auto"/>
          <w:sz w:val="24"/>
          <w:szCs w:val="24"/>
          <w:highlight w:val="none"/>
          <w:lang w:val="zh-CN"/>
        </w:rPr>
        <w:t>.4</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供应商如果对响应文件开启过程和开启记录有疑义，应当根据《操作手册》规定提出，如 “苏采云”系统中《报价记录表》宣布后5分钟内未提出的，视同认可开启结果。</w:t>
      </w:r>
    </w:p>
    <w:p w14:paraId="2ACFB315">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26" w:name="_Toc513029231"/>
      <w:bookmarkStart w:id="127" w:name="_Toc16938547"/>
      <w:bookmarkStart w:id="128" w:name="_Toc20823303"/>
      <w:r>
        <w:rPr>
          <w:rFonts w:hint="eastAsia" w:ascii="Arial" w:hAnsi="Arial" w:eastAsia="黑体" w:cs="Arial"/>
          <w:b w:val="0"/>
          <w:bCs w:val="0"/>
          <w:color w:val="auto"/>
          <w:sz w:val="28"/>
          <w:szCs w:val="28"/>
          <w:highlight w:val="none"/>
          <w:lang w:val="en-US" w:eastAsia="zh-CN" w:bidi="ar-SA"/>
        </w:rPr>
        <w:t>20、评审小组</w:t>
      </w:r>
    </w:p>
    <w:p w14:paraId="68F60F5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lang w:val="zh-CN"/>
        </w:rPr>
        <w:t>.1 响应文件开启后，</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将组织评审小组进行项目评审。</w:t>
      </w:r>
    </w:p>
    <w:p w14:paraId="745E50B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lang w:val="zh-CN"/>
        </w:rPr>
        <w:t>.2 评审小组由技术、经济等方面的专家组成，且人员构成符合政府采购有关规定。</w:t>
      </w:r>
    </w:p>
    <w:p w14:paraId="1BB9BF4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lang w:val="zh-CN"/>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评审小组独立工作，负责评审所有响应文件并确定入围供应商。</w:t>
      </w:r>
    </w:p>
    <w:p w14:paraId="24E72781">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21、评审过程的保密与公正</w:t>
      </w:r>
    </w:p>
    <w:bookmarkEnd w:id="126"/>
    <w:bookmarkEnd w:id="127"/>
    <w:bookmarkEnd w:id="128"/>
    <w:p w14:paraId="0FC2482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凡是与审查、澄清、评价和比较的有关资料以及授标建议等，评审小组成员、</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均不得向供应商或与评审工作无关的其他人员透露。</w:t>
      </w:r>
    </w:p>
    <w:p w14:paraId="35C7B47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在评审过程中，供应商不得以任何行为影响评审</w:t>
      </w:r>
      <w:r>
        <w:rPr>
          <w:rFonts w:hint="eastAsia" w:ascii="宋体" w:hAnsi="宋体"/>
          <w:color w:val="auto"/>
          <w:sz w:val="24"/>
          <w:szCs w:val="24"/>
          <w:highlight w:val="none"/>
        </w:rPr>
        <w:t>工作</w:t>
      </w:r>
      <w:r>
        <w:rPr>
          <w:rFonts w:hint="eastAsia" w:ascii="宋体" w:hAnsi="宋体"/>
          <w:color w:val="auto"/>
          <w:sz w:val="24"/>
          <w:szCs w:val="24"/>
          <w:highlight w:val="none"/>
          <w:lang w:val="zh-CN"/>
        </w:rPr>
        <w:t>，否则其响应文件将被作为无效响应文件。</w:t>
      </w:r>
    </w:p>
    <w:p w14:paraId="42AE4D0C">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29" w:name="_Toc20823304"/>
      <w:bookmarkStart w:id="130" w:name="_Toc513029232"/>
      <w:bookmarkStart w:id="131" w:name="_Toc16938548"/>
      <w:r>
        <w:rPr>
          <w:rFonts w:hint="eastAsia" w:ascii="Arial" w:hAnsi="Arial" w:eastAsia="黑体" w:cs="Arial"/>
          <w:b w:val="0"/>
          <w:bCs w:val="0"/>
          <w:color w:val="auto"/>
          <w:sz w:val="28"/>
          <w:szCs w:val="28"/>
          <w:highlight w:val="none"/>
          <w:lang w:val="en-US" w:eastAsia="zh-CN" w:bidi="ar-SA"/>
        </w:rPr>
        <w:t>22、响应文件的澄清</w:t>
      </w:r>
      <w:bookmarkEnd w:id="129"/>
      <w:bookmarkEnd w:id="130"/>
      <w:bookmarkEnd w:id="131"/>
    </w:p>
    <w:p w14:paraId="4313FEED">
      <w:pPr>
        <w:spacing w:line="360" w:lineRule="auto"/>
        <w:ind w:firstLine="480"/>
        <w:rPr>
          <w:rFonts w:hint="eastAsia" w:ascii="宋体" w:hAnsi="宋体"/>
          <w:color w:val="auto"/>
          <w:sz w:val="24"/>
          <w:szCs w:val="24"/>
          <w:highlight w:val="none"/>
          <w:lang w:val="zh-CN"/>
        </w:rPr>
      </w:pPr>
      <w:bookmarkStart w:id="132" w:name="_Toc513029233"/>
      <w:bookmarkStart w:id="133" w:name="_Toc20823305"/>
      <w:bookmarkStart w:id="134" w:name="_Toc16938549"/>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评审期间，对于响应文件中含义不明确、同类问题表述不一致或者有明显文字和计算错误的内容，评审小组将在“苏采云”系统中要求供应商作出必要的澄清、说明和补正。</w:t>
      </w:r>
    </w:p>
    <w:p w14:paraId="33C3A77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p>
    <w:p w14:paraId="01AA93B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22</w:t>
      </w:r>
      <w:r>
        <w:rPr>
          <w:rFonts w:hint="eastAsia" w:ascii="宋体" w:hAnsi="宋体"/>
          <w:color w:val="auto"/>
          <w:sz w:val="24"/>
          <w:szCs w:val="24"/>
          <w:highlight w:val="none"/>
          <w:lang w:val="zh-CN"/>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供应商如未按规定做出澄清、说明和补正，其风险由供应商自行承担。</w:t>
      </w:r>
    </w:p>
    <w:p w14:paraId="7AE682B9">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23、响应文件的初审</w:t>
      </w:r>
      <w:bookmarkEnd w:id="132"/>
      <w:bookmarkEnd w:id="133"/>
      <w:bookmarkEnd w:id="134"/>
    </w:p>
    <w:p w14:paraId="7258D80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响应文件初审分为资格审查和符合性审查。</w:t>
      </w:r>
    </w:p>
    <w:p w14:paraId="5FCFF9D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.1.1资格审查：依据法律法规和征集文件规定的资格要求对供应商的资格证明文件进行审查。</w:t>
      </w:r>
    </w:p>
    <w:p w14:paraId="79EB1246">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.1.2符合性审查：依据征集活动的规定，由评审小组从响应文件的有效性、完整性和对征集文件的响应程度进行审查，以确定是否对征集文件的实质性要求作出响应。</w:t>
      </w:r>
    </w:p>
    <w:p w14:paraId="46DFBF5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.1.3未通过资格审查或符合性审查的供应商，</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将在“苏采云”系统中告知未通过资格审查或符合性审查的原因，评审结束后，</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将不再告知未通过资格审查或符合性审查的原因。</w:t>
      </w:r>
    </w:p>
    <w:p w14:paraId="59C3930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在详细评审之前，评审小组将首先审查每份响应文件是否实质性响应了征集文件的要求。实质性响应是与征集文件要求的全部条款、条件和规格相符，没有重大偏离或保留的响应。</w:t>
      </w:r>
    </w:p>
    <w:p w14:paraId="389E9A9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44AD510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如果响应文件实质上没有响应征集文件的要求，评审小组将予以拒绝，供应商不得通过修改或撤销不合要求的偏离或保留而使其响应文件成为实质性响应文件。</w:t>
      </w:r>
    </w:p>
    <w:p w14:paraId="1992C14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.4</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评审小组将允许修正响应文件中不构成重大偏离的、微小的、非正规的、不一致的或不规则的地方，但这些修改不能影响任何供应商相应的名次排列。</w:t>
      </w:r>
    </w:p>
    <w:p w14:paraId="144815E6">
      <w:pPr>
        <w:spacing w:line="360" w:lineRule="auto"/>
        <w:ind w:firstLine="480"/>
        <w:rPr>
          <w:rFonts w:hint="eastAsia" w:ascii="宋体" w:hAnsi="宋体"/>
          <w:color w:val="auto"/>
          <w:sz w:val="24"/>
          <w:szCs w:val="24"/>
          <w:highlight w:val="none"/>
          <w:lang w:val="zh-CN"/>
        </w:rPr>
      </w:pPr>
      <w:bookmarkStart w:id="135" w:name="_Toc16938550"/>
      <w:bookmarkStart w:id="136" w:name="_Toc20823306"/>
      <w:bookmarkStart w:id="137" w:name="_Toc513029234"/>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.5</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供应商在响应文件开启及项目评审全过程中应保持通讯畅通，及时登录“苏采云”系统查阅、答复相关信息，并安排专人与</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及评审小组联系。</w:t>
      </w:r>
    </w:p>
    <w:p w14:paraId="732FBB52">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24、</w:t>
      </w:r>
      <w:bookmarkEnd w:id="135"/>
      <w:bookmarkEnd w:id="136"/>
      <w:bookmarkEnd w:id="137"/>
      <w:r>
        <w:rPr>
          <w:rFonts w:hint="eastAsia" w:ascii="Arial" w:hAnsi="Arial" w:eastAsia="黑体" w:cs="Arial"/>
          <w:b w:val="0"/>
          <w:bCs w:val="0"/>
          <w:color w:val="auto"/>
          <w:sz w:val="28"/>
          <w:szCs w:val="28"/>
          <w:highlight w:val="none"/>
          <w:lang w:val="en-US" w:eastAsia="zh-CN" w:bidi="ar-SA"/>
        </w:rPr>
        <w:t>无效响应条款和采购活动终止条款</w:t>
      </w:r>
    </w:p>
    <w:p w14:paraId="2933130B">
      <w:pPr>
        <w:spacing w:line="360" w:lineRule="auto"/>
        <w:ind w:firstLine="480"/>
        <w:rPr>
          <w:rFonts w:hint="eastAsia" w:ascii="宋体" w:hAnsi="宋体"/>
          <w:color w:val="auto"/>
          <w:sz w:val="24"/>
          <w:szCs w:val="24"/>
          <w:highlight w:val="none"/>
          <w:lang w:val="zh-CN"/>
        </w:rPr>
      </w:pPr>
      <w:bookmarkStart w:id="138" w:name="_Toc513029235"/>
      <w:bookmarkStart w:id="139" w:name="_Toc20823307"/>
      <w:bookmarkStart w:id="140" w:name="_Toc120614219"/>
      <w:bookmarkStart w:id="141" w:name="_Toc16938551"/>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无效响应条款</w:t>
      </w:r>
    </w:p>
    <w:p w14:paraId="4884242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.1.1供应商在“苏采云”系统规定的时间内未成功解密电子响应文件的。</w:t>
      </w:r>
    </w:p>
    <w:p w14:paraId="46D6E70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.1.2供应商未按照征集文件要求上传电子响应文件的。</w:t>
      </w:r>
    </w:p>
    <w:p w14:paraId="50EA025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.1.3供应商同一项服务提交两个（含两个）以上不同的报价的。</w:t>
      </w:r>
    </w:p>
    <w:p w14:paraId="7DA7C6E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.1.4供应商同一项服务用两个(含两个)以上规格型号服务进行响应的。</w:t>
      </w:r>
    </w:p>
    <w:p w14:paraId="3F9DDE4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.1.5供应商不具备征集文件中规定资格要求的。</w:t>
      </w:r>
    </w:p>
    <w:p w14:paraId="291BBE8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.1.6供应商所报服务</w:t>
      </w:r>
      <w:r>
        <w:rPr>
          <w:rFonts w:hint="eastAsia" w:ascii="宋体" w:hAnsi="宋体"/>
          <w:color w:val="auto"/>
          <w:sz w:val="24"/>
          <w:szCs w:val="24"/>
          <w:highlight w:val="none"/>
          <w:lang w:val="en-US" w:eastAsia="zh-CN"/>
        </w:rPr>
        <w:t>报价</w:t>
      </w:r>
      <w:r>
        <w:rPr>
          <w:rFonts w:hint="eastAsia" w:ascii="宋体" w:hAnsi="宋体"/>
          <w:color w:val="auto"/>
          <w:sz w:val="24"/>
          <w:szCs w:val="24"/>
          <w:highlight w:val="none"/>
          <w:lang w:val="zh-CN"/>
        </w:rPr>
        <w:t>超过了最高限制</w:t>
      </w:r>
      <w:r>
        <w:rPr>
          <w:rFonts w:hint="eastAsia" w:ascii="宋体" w:hAnsi="宋体"/>
          <w:color w:val="auto"/>
          <w:sz w:val="24"/>
          <w:szCs w:val="24"/>
          <w:highlight w:val="none"/>
          <w:lang w:val="en-US" w:eastAsia="zh-CN"/>
        </w:rPr>
        <w:t>价</w:t>
      </w:r>
      <w:r>
        <w:rPr>
          <w:rFonts w:hint="eastAsia" w:ascii="宋体" w:hAnsi="宋体"/>
          <w:color w:val="auto"/>
          <w:sz w:val="24"/>
          <w:szCs w:val="24"/>
          <w:highlight w:val="none"/>
          <w:lang w:val="zh-CN"/>
        </w:rPr>
        <w:t>的。</w:t>
      </w:r>
    </w:p>
    <w:p w14:paraId="640FEDC0">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.1.7供应商未通过符合性审查的。</w:t>
      </w:r>
    </w:p>
    <w:p w14:paraId="526AF41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.1.8不符合征集文件中规定的实质性要求和条件的。</w:t>
      </w:r>
    </w:p>
    <w:p w14:paraId="0A877C3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1.9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D6CDA4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.1.10响应文件含有</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不能接受的附加条件的。</w:t>
      </w:r>
    </w:p>
    <w:p w14:paraId="1839EE5D">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1.11评审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p>
    <w:p w14:paraId="7CBB63F5">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.1.1</w:t>
      </w:r>
      <w:r>
        <w:rPr>
          <w:rFonts w:hint="eastAsia" w:ascii="宋体" w:hAnsi="宋体"/>
          <w:color w:val="auto"/>
          <w:sz w:val="24"/>
          <w:szCs w:val="24"/>
          <w:highlight w:val="none"/>
        </w:rPr>
        <w:t>2</w:t>
      </w:r>
      <w:r>
        <w:rPr>
          <w:rFonts w:hint="eastAsia" w:ascii="宋体" w:hAnsi="宋体"/>
          <w:color w:val="auto"/>
          <w:sz w:val="24"/>
          <w:szCs w:val="24"/>
          <w:highlight w:val="none"/>
          <w:lang w:val="zh-CN"/>
        </w:rPr>
        <w:t>响应文件未按照征集文件要求签章的。</w:t>
      </w:r>
    </w:p>
    <w:p w14:paraId="10232A4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.1.1</w:t>
      </w:r>
      <w:r>
        <w:rPr>
          <w:rFonts w:hint="eastAsia" w:ascii="宋体" w:hAnsi="宋体"/>
          <w:color w:val="auto"/>
          <w:sz w:val="24"/>
          <w:szCs w:val="24"/>
          <w:highlight w:val="none"/>
        </w:rPr>
        <w:t>3</w:t>
      </w:r>
      <w:r>
        <w:rPr>
          <w:rFonts w:hint="eastAsia" w:ascii="宋体" w:hAnsi="宋体"/>
          <w:color w:val="auto"/>
          <w:sz w:val="24"/>
          <w:szCs w:val="24"/>
          <w:highlight w:val="none"/>
          <w:lang w:val="zh-CN"/>
        </w:rPr>
        <w:t>其他法律、法规及本征集文件规定的属无效响应的情形。</w:t>
      </w:r>
    </w:p>
    <w:p w14:paraId="5373DD9D">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采购活动终止条款</w:t>
      </w:r>
    </w:p>
    <w:p w14:paraId="6B138A7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.2.1出现影响采购公正的违法、违规行为。</w:t>
      </w:r>
    </w:p>
    <w:p w14:paraId="7593A50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.2.2因重大变故，采购任务取消的。</w:t>
      </w:r>
    </w:p>
    <w:p w14:paraId="14A4F9C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.2.3评审小组认定征集文件存在歧义、重大缺陷导致评审工作无法进行。</w:t>
      </w:r>
    </w:p>
    <w:p w14:paraId="3D406FD6">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.2.4因“苏采云”系统系统故障原因造成响应文件开启不成功的。</w:t>
      </w:r>
    </w:p>
    <w:p w14:paraId="6DB8905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.2.5提交响应文件和通过资格审查、符合性审查的供应商数量少于2家。</w:t>
      </w:r>
    </w:p>
    <w:p w14:paraId="2BA351A2">
      <w:pPr>
        <w:keepNext/>
        <w:keepLines/>
        <w:widowControl w:val="0"/>
        <w:spacing w:before="145" w:after="145" w:line="360" w:lineRule="auto"/>
        <w:ind w:firstLine="480"/>
        <w:jc w:val="both"/>
        <w:outlineLvl w:val="2"/>
        <w:rPr>
          <w:rFonts w:hint="eastAsia" w:ascii="Times New Roman" w:hAnsi="Times New Roman" w:eastAsia="宋体" w:cs="Times New Roman"/>
          <w:b w:val="0"/>
          <w:bCs w:val="0"/>
          <w:color w:val="auto"/>
          <w:sz w:val="32"/>
          <w:szCs w:val="32"/>
          <w:highlight w:val="none"/>
          <w:lang w:val="en-US" w:eastAsia="zh-CN" w:bidi="ar-SA"/>
        </w:rPr>
      </w:pPr>
      <w:r>
        <w:rPr>
          <w:rFonts w:hint="eastAsia" w:ascii="Times New Roman" w:hAnsi="Times New Roman" w:eastAsia="宋体" w:cs="Times New Roman"/>
          <w:b w:val="0"/>
          <w:bCs w:val="0"/>
          <w:color w:val="auto"/>
          <w:sz w:val="32"/>
          <w:szCs w:val="32"/>
          <w:highlight w:val="none"/>
          <w:lang w:val="en-US" w:eastAsia="zh-CN" w:bidi="ar-SA"/>
        </w:rPr>
        <w:t>六、</w:t>
      </w:r>
      <w:bookmarkEnd w:id="138"/>
      <w:bookmarkEnd w:id="139"/>
      <w:bookmarkEnd w:id="140"/>
      <w:bookmarkEnd w:id="141"/>
      <w:r>
        <w:rPr>
          <w:rFonts w:hint="eastAsia" w:ascii="Times New Roman" w:hAnsi="Times New Roman" w:eastAsia="宋体" w:cs="Times New Roman"/>
          <w:b w:val="0"/>
          <w:bCs w:val="0"/>
          <w:color w:val="auto"/>
          <w:sz w:val="32"/>
          <w:szCs w:val="32"/>
          <w:highlight w:val="none"/>
          <w:lang w:val="en-US" w:eastAsia="zh-CN" w:bidi="ar-SA"/>
        </w:rPr>
        <w:t>入围</w:t>
      </w:r>
    </w:p>
    <w:p w14:paraId="243D984D">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42" w:name="_Toc513029238"/>
      <w:bookmarkStart w:id="143" w:name="_Toc20823310"/>
      <w:bookmarkStart w:id="144" w:name="_Toc16938554"/>
      <w:r>
        <w:rPr>
          <w:rFonts w:hint="eastAsia" w:ascii="Arial" w:hAnsi="Arial" w:eastAsia="黑体" w:cs="Arial"/>
          <w:b w:val="0"/>
          <w:bCs w:val="0"/>
          <w:color w:val="auto"/>
          <w:sz w:val="28"/>
          <w:szCs w:val="28"/>
          <w:highlight w:val="none"/>
          <w:lang w:val="en-US" w:eastAsia="zh-CN" w:bidi="ar-SA"/>
        </w:rPr>
        <w:t>25、</w:t>
      </w:r>
      <w:bookmarkEnd w:id="142"/>
      <w:r>
        <w:rPr>
          <w:rFonts w:hint="eastAsia" w:ascii="Arial" w:hAnsi="Arial" w:eastAsia="黑体" w:cs="Arial"/>
          <w:b w:val="0"/>
          <w:bCs w:val="0"/>
          <w:color w:val="auto"/>
          <w:sz w:val="28"/>
          <w:szCs w:val="28"/>
          <w:highlight w:val="none"/>
          <w:lang w:val="en-US" w:eastAsia="zh-CN" w:bidi="ar-SA"/>
        </w:rPr>
        <w:t>确定</w:t>
      </w:r>
      <w:bookmarkEnd w:id="143"/>
      <w:bookmarkEnd w:id="144"/>
      <w:r>
        <w:rPr>
          <w:rFonts w:hint="eastAsia" w:ascii="Arial" w:hAnsi="Arial" w:eastAsia="黑体" w:cs="Arial"/>
          <w:b w:val="0"/>
          <w:bCs w:val="0"/>
          <w:color w:val="auto"/>
          <w:sz w:val="28"/>
          <w:szCs w:val="28"/>
          <w:highlight w:val="none"/>
          <w:lang w:val="en-US" w:eastAsia="zh-CN" w:bidi="ar-SA"/>
        </w:rPr>
        <w:t>入围供应商</w:t>
      </w:r>
    </w:p>
    <w:p w14:paraId="1E29C1F0">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入围供应商的选取原则和数量见征集文件第</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lang w:val="zh-CN"/>
        </w:rPr>
        <w:t xml:space="preserve">章规定。 </w:t>
      </w:r>
    </w:p>
    <w:p w14:paraId="4E8FBD98">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征集人</w:t>
      </w:r>
      <w:r>
        <w:rPr>
          <w:rFonts w:hint="eastAsia" w:ascii="宋体" w:hAnsi="宋体"/>
          <w:color w:val="auto"/>
          <w:sz w:val="24"/>
          <w:szCs w:val="24"/>
          <w:highlight w:val="none"/>
          <w:lang w:val="zh-CN"/>
        </w:rPr>
        <w:t>将在“江苏政府采购网”发布“入围结果公告”，公告期限为1个工作日。</w:t>
      </w:r>
    </w:p>
    <w:p w14:paraId="68270CD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 xml:space="preserve">3 </w:t>
      </w:r>
      <w:r>
        <w:rPr>
          <w:rFonts w:hint="eastAsia" w:ascii="宋体" w:hAnsi="宋体"/>
          <w:color w:val="auto"/>
          <w:sz w:val="24"/>
          <w:szCs w:val="24"/>
          <w:highlight w:val="none"/>
          <w:lang w:val="zh-CN"/>
        </w:rPr>
        <w:t>入围供应商有下列情形之一，尚未签订框架协议的，取消其入围资格；已经签订框架协议的，解除与其签订的框架协议：</w:t>
      </w:r>
    </w:p>
    <w:p w14:paraId="5B95263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.1恶意串通谋取入围或者合同成交的。</w:t>
      </w:r>
    </w:p>
    <w:p w14:paraId="0F44D44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.2提供虚假材料谋取入围或者合同成交的。 </w:t>
      </w:r>
    </w:p>
    <w:p w14:paraId="713D54EF">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.3无正当理由拒不接受合同授予的。</w:t>
      </w:r>
    </w:p>
    <w:p w14:paraId="2A99260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.4不履行合同义务或者履行合同义务不符合约定，经采购人请求履行后仍不履行或者仍未按约定履行的。</w:t>
      </w:r>
    </w:p>
    <w:p w14:paraId="76346E74">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.5框架协议有效期内，因违法行为被禁止或限制参加政府采购活动的。</w:t>
      </w:r>
    </w:p>
    <w:p w14:paraId="459C25A0">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w:t>
      </w:r>
      <w:r>
        <w:rPr>
          <w:rFonts w:hint="eastAsia" w:ascii="宋体" w:hAnsi="宋体"/>
          <w:color w:val="auto"/>
          <w:sz w:val="24"/>
          <w:szCs w:val="24"/>
          <w:highlight w:val="none"/>
        </w:rPr>
        <w:t>3</w:t>
      </w:r>
      <w:r>
        <w:rPr>
          <w:rFonts w:hint="eastAsia" w:ascii="宋体" w:hAnsi="宋体"/>
          <w:color w:val="auto"/>
          <w:sz w:val="24"/>
          <w:szCs w:val="24"/>
          <w:highlight w:val="none"/>
          <w:lang w:val="zh-CN"/>
        </w:rPr>
        <w:t>.6框架协议约定的其他情形。</w:t>
      </w:r>
    </w:p>
    <w:p w14:paraId="446AADD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入围供应商有上述情形之一的，依照政府采购法等有关法律、行政法规追究法律责任。被取消入围资格或者被解除协议的供应商不得参加同一封闭式框架协议补充征集。</w:t>
      </w:r>
    </w:p>
    <w:p w14:paraId="2D9BABB6">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45" w:name="_Toc200451960"/>
      <w:r>
        <w:rPr>
          <w:rFonts w:hint="eastAsia" w:ascii="Arial" w:hAnsi="Arial" w:eastAsia="黑体" w:cs="Arial"/>
          <w:b w:val="0"/>
          <w:bCs w:val="0"/>
          <w:color w:val="auto"/>
          <w:sz w:val="28"/>
          <w:szCs w:val="28"/>
          <w:highlight w:val="none"/>
          <w:lang w:val="en-US" w:eastAsia="zh-CN" w:bidi="ar-SA"/>
        </w:rPr>
        <w:t>26、质疑处理</w:t>
      </w:r>
      <w:bookmarkEnd w:id="145"/>
    </w:p>
    <w:p w14:paraId="18CE8CF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供应商认为征集文件、征集过程和</w:t>
      </w:r>
      <w:r>
        <w:rPr>
          <w:rFonts w:hint="eastAsia" w:ascii="宋体" w:hAnsi="宋体"/>
          <w:color w:val="auto"/>
          <w:sz w:val="24"/>
          <w:szCs w:val="24"/>
          <w:highlight w:val="none"/>
        </w:rPr>
        <w:t>入围</w:t>
      </w:r>
      <w:r>
        <w:rPr>
          <w:rFonts w:hint="eastAsia" w:ascii="宋体" w:hAnsi="宋体"/>
          <w:color w:val="auto"/>
          <w:sz w:val="24"/>
          <w:szCs w:val="24"/>
          <w:highlight w:val="none"/>
          <w:lang w:val="zh-CN"/>
        </w:rPr>
        <w:t>结果使自己的合法权益受到损害的，可以在知道或者应当知道其权益受到损害之日起七个工作日内，将《质疑函》及相关证明材料送至</w:t>
      </w:r>
      <w:r>
        <w:rPr>
          <w:rFonts w:hint="eastAsia" w:ascii="宋体" w:hAnsi="宋体"/>
          <w:color w:val="auto"/>
          <w:sz w:val="24"/>
          <w:szCs w:val="24"/>
          <w:highlight w:val="none"/>
          <w:lang w:val="en-US" w:eastAsia="zh-CN"/>
        </w:rPr>
        <w:t>江苏永瀚工程咨询有限公司招标代理办公室</w:t>
      </w:r>
      <w:r>
        <w:rPr>
          <w:rFonts w:hint="eastAsia" w:ascii="宋体" w:hAnsi="宋体"/>
          <w:color w:val="auto"/>
          <w:sz w:val="24"/>
          <w:szCs w:val="24"/>
          <w:highlight w:val="none"/>
          <w:lang w:val="zh-CN"/>
        </w:rPr>
        <w:t>。</w:t>
      </w:r>
    </w:p>
    <w:p w14:paraId="4D27E615">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质疑供应商的质疑行为应符合财政部94号令相关规定，未参加采购活动的供应商或在采购活动中自身权益未受到损害的供应商所提出的质疑不予受理。</w:t>
      </w:r>
    </w:p>
    <w:p w14:paraId="2B3C24F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.3 上述应知其权益受到损害之日是指：</w:t>
      </w:r>
    </w:p>
    <w:p w14:paraId="76683FA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.3.1对征集文件提出质疑的，为征集文件公告期限届满之日起计算；</w:t>
      </w:r>
    </w:p>
    <w:p w14:paraId="5EBA78E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.3.2对征集过程提出质疑的，自征集程序环节结束之日起计算；</w:t>
      </w:r>
    </w:p>
    <w:p w14:paraId="0523195E">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 xml:space="preserve">.3.3对入围结果提出质疑的，自入围结果公告期限届满之日起计算。  </w:t>
      </w:r>
    </w:p>
    <w:p w14:paraId="3D936CF8">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.4 质疑供应商在法定质疑期内应当一次性提出针对同一采购环节的质疑事项。</w:t>
      </w:r>
    </w:p>
    <w:p w14:paraId="7C635BFB">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 xml:space="preserve">.5 </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在收到供应商的质疑后将及时组织调查核实，在七个工作日内作出答复，答复的内容不涉及商业秘密。</w:t>
      </w:r>
    </w:p>
    <w:p w14:paraId="359FB8E3">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.6 以下情形的质疑不予受理</w:t>
      </w:r>
    </w:p>
    <w:p w14:paraId="2FCA721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.6.1内容不符合《政府采购质疑和投诉办法》第十二条规定的质疑。</w:t>
      </w:r>
    </w:p>
    <w:p w14:paraId="30A3A68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.6.2超出政府采购法定期限的质疑。</w:t>
      </w:r>
    </w:p>
    <w:p w14:paraId="09F7FE38">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.6.3以传真、电子邮件等方式递交的非原件形式的质疑。</w:t>
      </w:r>
    </w:p>
    <w:p w14:paraId="156A3C1A">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.6.4未参加采购活动的供应商或在采购活动中自身权益未受到损害的供应商所提出的质疑。</w:t>
      </w:r>
    </w:p>
    <w:p w14:paraId="4B132022">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w:t>
      </w:r>
      <w:r>
        <w:rPr>
          <w:rFonts w:hint="eastAsia" w:ascii="宋体" w:hAnsi="宋体"/>
          <w:color w:val="auto"/>
          <w:sz w:val="24"/>
          <w:szCs w:val="24"/>
          <w:highlight w:val="none"/>
        </w:rPr>
        <w:t>7</w:t>
      </w:r>
      <w:r>
        <w:rPr>
          <w:rFonts w:hint="eastAsia" w:ascii="宋体" w:hAnsi="宋体"/>
          <w:color w:val="auto"/>
          <w:sz w:val="24"/>
          <w:szCs w:val="24"/>
          <w:highlight w:val="none"/>
          <w:lang w:val="zh-CN"/>
        </w:rPr>
        <w:t xml:space="preserve"> 供应商提出书面质疑必须有理、有据，不得捏造事实、提供虚假材料进行恶意质疑。否则，一经查实，</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有权依据政府采购的有关规定，报请政府采购监管部门对该供应商进行相应的行政处罚和记录该供应商的失信信息。</w:t>
      </w:r>
    </w:p>
    <w:p w14:paraId="6B4329D7">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27、入围通知书</w:t>
      </w:r>
    </w:p>
    <w:p w14:paraId="75EC4D46">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入围结果确定后，</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将向入围供应商发出入围通知书，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683A89D7">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入围通知书将是框架协议的一个组成部分。对</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和入围供应商均具有法律效力。入围通知书发出后，入围供应商无正当理由，不得主动放弃入围资格或者退出框架协议，否则应当依法承担法律责任。</w:t>
      </w:r>
    </w:p>
    <w:p w14:paraId="2EFD6358">
      <w:pPr>
        <w:keepNext/>
        <w:keepLines/>
        <w:widowControl w:val="0"/>
        <w:spacing w:before="145" w:after="145" w:line="360" w:lineRule="auto"/>
        <w:ind w:firstLine="480"/>
        <w:jc w:val="both"/>
        <w:outlineLvl w:val="2"/>
        <w:rPr>
          <w:rFonts w:hint="eastAsia" w:ascii="Times New Roman" w:hAnsi="Times New Roman" w:eastAsia="宋体" w:cs="Times New Roman"/>
          <w:b w:val="0"/>
          <w:bCs w:val="0"/>
          <w:color w:val="auto"/>
          <w:sz w:val="32"/>
          <w:szCs w:val="32"/>
          <w:highlight w:val="none"/>
          <w:lang w:val="en-US" w:eastAsia="zh-CN" w:bidi="ar-SA"/>
        </w:rPr>
      </w:pPr>
      <w:bookmarkStart w:id="146" w:name="_Toc120614220"/>
      <w:bookmarkStart w:id="147" w:name="_Toc16938552"/>
      <w:bookmarkStart w:id="148" w:name="_Toc20823308"/>
      <w:bookmarkStart w:id="149" w:name="_Toc513029236"/>
      <w:r>
        <w:rPr>
          <w:rFonts w:hint="eastAsia" w:ascii="Times New Roman" w:hAnsi="Times New Roman" w:eastAsia="宋体" w:cs="Times New Roman"/>
          <w:b w:val="0"/>
          <w:bCs w:val="0"/>
          <w:color w:val="auto"/>
          <w:sz w:val="32"/>
          <w:szCs w:val="32"/>
          <w:highlight w:val="none"/>
          <w:lang w:val="en-US" w:eastAsia="zh-CN" w:bidi="ar-SA"/>
        </w:rPr>
        <w:t>七、</w:t>
      </w:r>
      <w:bookmarkEnd w:id="146"/>
      <w:r>
        <w:rPr>
          <w:rFonts w:hint="eastAsia" w:ascii="Times New Roman" w:hAnsi="Times New Roman" w:eastAsia="宋体" w:cs="Times New Roman"/>
          <w:b w:val="0"/>
          <w:bCs w:val="0"/>
          <w:color w:val="auto"/>
          <w:sz w:val="32"/>
          <w:szCs w:val="32"/>
          <w:highlight w:val="none"/>
          <w:lang w:val="en-US" w:eastAsia="zh-CN" w:bidi="ar-SA"/>
        </w:rPr>
        <w:t>签订框架协议</w:t>
      </w:r>
    </w:p>
    <w:bookmarkEnd w:id="147"/>
    <w:bookmarkEnd w:id="148"/>
    <w:bookmarkEnd w:id="149"/>
    <w:p w14:paraId="3C7505B5">
      <w:pPr>
        <w:keepNext/>
        <w:keepLines/>
        <w:widowControl w:val="0"/>
        <w:spacing w:before="0" w:after="0" w:line="360" w:lineRule="auto"/>
        <w:ind w:firstLine="420"/>
        <w:jc w:val="both"/>
        <w:outlineLvl w:val="3"/>
        <w:rPr>
          <w:rFonts w:hint="eastAsia" w:ascii="Arial" w:hAnsi="Arial" w:eastAsia="黑体" w:cs="Arial"/>
          <w:b w:val="0"/>
          <w:bCs w:val="0"/>
          <w:color w:val="auto"/>
          <w:sz w:val="28"/>
          <w:szCs w:val="28"/>
          <w:highlight w:val="none"/>
          <w:lang w:val="en-US" w:eastAsia="zh-CN" w:bidi="ar-SA"/>
        </w:rPr>
      </w:pPr>
      <w:bookmarkStart w:id="150" w:name="_Toc513029237"/>
      <w:bookmarkStart w:id="151" w:name="_Toc16938553"/>
      <w:bookmarkStart w:id="152" w:name="_Toc20823309"/>
      <w:r>
        <w:rPr>
          <w:rFonts w:hint="eastAsia" w:ascii="Arial" w:hAnsi="Arial" w:eastAsia="黑体" w:cs="Arial"/>
          <w:b w:val="0"/>
          <w:bCs w:val="0"/>
          <w:color w:val="auto"/>
          <w:sz w:val="28"/>
          <w:szCs w:val="28"/>
          <w:highlight w:val="none"/>
          <w:lang w:val="en-US" w:eastAsia="zh-CN" w:bidi="ar-SA"/>
        </w:rPr>
        <w:t>28、签订框架协议</w:t>
      </w:r>
    </w:p>
    <w:p w14:paraId="1839D0E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.l</w:t>
      </w:r>
      <w:r>
        <w:rPr>
          <w:rFonts w:hint="eastAsia" w:ascii="宋体" w:hAnsi="宋体"/>
          <w:color w:val="auto"/>
          <w:sz w:val="24"/>
          <w:szCs w:val="24"/>
          <w:highlight w:val="none"/>
        </w:rPr>
        <w:t xml:space="preserve"> 征集人与入围供应商应当自入围通知书发出之日起30日内，按照征集文件和入围供应商响应文件的规定，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0C6FFDD1">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征集人不得向入围供应商提出任何不合理的要求作为签订框架协议的条件。</w:t>
      </w:r>
    </w:p>
    <w:p w14:paraId="3A696742">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val="zh-CN"/>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签订框架协议后，入围供应商不得将服务及其他相关货物进行转包。未经采购人同意，入围供应商也不得采用分包的形式履行合同，否则</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有权终止框架协议，采购人有权终止采购合同。转包或分包造成</w:t>
      </w:r>
      <w:r>
        <w:rPr>
          <w:rFonts w:hint="eastAsia" w:ascii="宋体" w:hAnsi="宋体"/>
          <w:color w:val="auto"/>
          <w:sz w:val="24"/>
          <w:szCs w:val="24"/>
          <w:highlight w:val="none"/>
        </w:rPr>
        <w:t>征集人</w:t>
      </w:r>
      <w:r>
        <w:rPr>
          <w:rFonts w:hint="eastAsia" w:ascii="宋体" w:hAnsi="宋体"/>
          <w:color w:val="auto"/>
          <w:sz w:val="24"/>
          <w:szCs w:val="24"/>
          <w:highlight w:val="none"/>
          <w:lang w:val="zh-CN"/>
        </w:rPr>
        <w:t>或采购人损失的，入围供应商及其委托代理商应承担相应赔偿责任。</w:t>
      </w:r>
    </w:p>
    <w:p w14:paraId="208F9864">
      <w:pPr>
        <w:widowControl w:val="0"/>
        <w:spacing w:after="120" w:line="360" w:lineRule="auto"/>
        <w:ind w:left="0" w:leftChars="0" w:firstLine="560" w:firstLineChars="200"/>
        <w:jc w:val="both"/>
        <w:rPr>
          <w:rFonts w:hint="eastAsia" w:ascii="Arial" w:hAnsi="Arial" w:eastAsia="黑体" w:cs="Arial"/>
          <w:b w:val="0"/>
          <w:bCs w:val="0"/>
          <w:color w:val="auto"/>
          <w:sz w:val="28"/>
          <w:szCs w:val="28"/>
          <w:highlight w:val="none"/>
          <w:lang w:val="en-US" w:eastAsia="zh-CN" w:bidi="ar-SA"/>
        </w:rPr>
      </w:pPr>
      <w:r>
        <w:rPr>
          <w:rFonts w:hint="eastAsia" w:ascii="Arial" w:hAnsi="Arial" w:eastAsia="黑体" w:cs="Arial"/>
          <w:b w:val="0"/>
          <w:bCs w:val="0"/>
          <w:color w:val="auto"/>
          <w:sz w:val="28"/>
          <w:szCs w:val="28"/>
          <w:highlight w:val="none"/>
          <w:lang w:val="en-US" w:eastAsia="zh-CN" w:bidi="ar-SA"/>
        </w:rPr>
        <w:t>29、确定第二阶段成交供应商</w:t>
      </w:r>
    </w:p>
    <w:p w14:paraId="0B3C4622">
      <w:pPr>
        <w:widowControl w:val="0"/>
        <w:spacing w:after="120" w:line="360" w:lineRule="auto"/>
        <w:ind w:left="0" w:leftChars="0" w:firstLine="480" w:firstLineChars="20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29</w:t>
      </w:r>
      <w:r>
        <w:rPr>
          <w:rFonts w:hint="default" w:ascii="宋体" w:hAnsi="宋体" w:eastAsia="宋体" w:cs="Times New Roman"/>
          <w:color w:val="auto"/>
          <w:sz w:val="24"/>
          <w:szCs w:val="24"/>
          <w:highlight w:val="none"/>
          <w:lang w:val="en-US" w:eastAsia="zh-CN" w:bidi="ar-SA"/>
        </w:rPr>
        <w:t>.确定第二阶段成交供应商的方式及其他说明</w:t>
      </w:r>
    </w:p>
    <w:p w14:paraId="00E3854A">
      <w:pPr>
        <w:widowControl w:val="0"/>
        <w:spacing w:after="120" w:line="360" w:lineRule="auto"/>
        <w:ind w:left="0" w:leftChars="0" w:firstLine="480" w:firstLineChars="20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29</w:t>
      </w:r>
      <w:r>
        <w:rPr>
          <w:rFonts w:hint="default" w:ascii="宋体" w:hAnsi="宋体" w:eastAsia="宋体" w:cs="Times New Roman"/>
          <w:color w:val="auto"/>
          <w:sz w:val="24"/>
          <w:szCs w:val="24"/>
          <w:highlight w:val="none"/>
          <w:lang w:val="en-US" w:eastAsia="zh-CN" w:bidi="ar-SA"/>
        </w:rPr>
        <w:t>.1 确定第二阶段入围供应商的方式为</w:t>
      </w:r>
      <w:r>
        <w:rPr>
          <w:rFonts w:hint="default" w:ascii="宋体" w:hAnsi="宋体" w:eastAsia="宋体" w:cs="Times New Roman"/>
          <w:b/>
          <w:bCs/>
          <w:color w:val="auto"/>
          <w:sz w:val="24"/>
          <w:szCs w:val="24"/>
          <w:highlight w:val="none"/>
          <w:lang w:val="en-US" w:eastAsia="zh-CN" w:bidi="ar-SA"/>
        </w:rPr>
        <w:t>直接选定</w:t>
      </w:r>
      <w:r>
        <w:rPr>
          <w:rFonts w:hint="default" w:ascii="宋体" w:hAnsi="宋体" w:eastAsia="宋体" w:cs="Times New Roman"/>
          <w:color w:val="auto"/>
          <w:sz w:val="24"/>
          <w:szCs w:val="24"/>
          <w:highlight w:val="none"/>
          <w:lang w:val="en-US" w:eastAsia="zh-CN" w:bidi="ar-SA"/>
        </w:rPr>
        <w:t>。由采购人依据质量以及服务便利性等因素，从第一阶段入围供应商中直接选定。</w:t>
      </w:r>
    </w:p>
    <w:p w14:paraId="582F09CC">
      <w:pPr>
        <w:widowControl w:val="0"/>
        <w:spacing w:after="120" w:line="360" w:lineRule="auto"/>
        <w:ind w:left="0" w:leftChars="0" w:firstLine="480" w:firstLineChars="20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29</w:t>
      </w:r>
      <w:r>
        <w:rPr>
          <w:rFonts w:hint="default" w:ascii="宋体" w:hAnsi="宋体" w:eastAsia="宋体" w:cs="Times New Roman"/>
          <w:color w:val="auto"/>
          <w:sz w:val="24"/>
          <w:szCs w:val="24"/>
          <w:highlight w:val="none"/>
          <w:lang w:val="en-US" w:eastAsia="zh-CN" w:bidi="ar-SA"/>
        </w:rPr>
        <w:t>.2 采购人在确定入围供应商后，双方应当按照框架协议中规定的“采购合同文本”格式签订采购合同，不得擅自改变框架协议约定的合同实质性条款。</w:t>
      </w:r>
    </w:p>
    <w:p w14:paraId="20EC8DB8">
      <w:pPr>
        <w:widowControl w:val="0"/>
        <w:spacing w:after="120" w:line="360" w:lineRule="auto"/>
        <w:ind w:left="0" w:leftChars="0" w:firstLine="480" w:firstLineChars="20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29</w:t>
      </w:r>
      <w:r>
        <w:rPr>
          <w:rFonts w:hint="default" w:ascii="宋体" w:hAnsi="宋体" w:eastAsia="宋体" w:cs="Times New Roman"/>
          <w:color w:val="auto"/>
          <w:sz w:val="24"/>
          <w:szCs w:val="24"/>
          <w:highlight w:val="none"/>
          <w:lang w:val="en-US" w:eastAsia="zh-CN" w:bidi="ar-SA"/>
        </w:rPr>
        <w:t>.3 采购人不得向入围供应商提出任何不合理的要求作为签订合同的条件，不得与入围供应商私下订立背离合同实质性内容的协议。</w:t>
      </w:r>
    </w:p>
    <w:p w14:paraId="173FCFD4">
      <w:pPr>
        <w:widowControl w:val="0"/>
        <w:spacing w:after="120" w:line="360" w:lineRule="auto"/>
        <w:ind w:left="0" w:leftChars="0" w:firstLine="480" w:firstLineChars="20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29</w:t>
      </w:r>
      <w:r>
        <w:rPr>
          <w:rFonts w:hint="default" w:ascii="宋体" w:hAnsi="宋体" w:eastAsia="宋体" w:cs="Times New Roman"/>
          <w:color w:val="auto"/>
          <w:sz w:val="24"/>
          <w:szCs w:val="24"/>
          <w:highlight w:val="none"/>
          <w:lang w:val="en-US" w:eastAsia="zh-CN" w:bidi="ar-SA"/>
        </w:rPr>
        <w:t>.4 入围供应商不得将服务进行转包。未经采购人同意，入围供应商也不得采用分包的形式履行合同，否则采购人有权终止采购合同，并终止框架协议。转包或分包造成采购人损失的，供应商应承担相应赔偿责任。</w:t>
      </w:r>
    </w:p>
    <w:bookmarkEnd w:id="150"/>
    <w:bookmarkEnd w:id="151"/>
    <w:bookmarkEnd w:id="152"/>
    <w:p w14:paraId="45E14A56">
      <w:pPr>
        <w:spacing w:line="288" w:lineRule="auto"/>
        <w:ind w:firstLine="480"/>
        <w:rPr>
          <w:rFonts w:hint="eastAsia" w:ascii="宋体" w:hAnsi="宋体"/>
          <w:color w:val="auto"/>
          <w:sz w:val="24"/>
          <w:szCs w:val="24"/>
          <w:highlight w:val="none"/>
          <w:lang w:val="zh-CN"/>
        </w:rPr>
      </w:pPr>
      <w:bookmarkStart w:id="153" w:name="_Toc120614221"/>
      <w:bookmarkStart w:id="154" w:name="_Toc513029242"/>
      <w:bookmarkStart w:id="155" w:name="_Toc16938558"/>
      <w:bookmarkStart w:id="156" w:name="_Toc20823314"/>
      <w:bookmarkStart w:id="157" w:name="_Toc479757207"/>
    </w:p>
    <w:bookmarkEnd w:id="153"/>
    <w:bookmarkEnd w:id="154"/>
    <w:bookmarkEnd w:id="155"/>
    <w:bookmarkEnd w:id="156"/>
    <w:bookmarkEnd w:id="157"/>
    <w:p w14:paraId="59D61D5E">
      <w:pPr>
        <w:rPr>
          <w:rFonts w:hint="eastAsia" w:ascii="宋体" w:hAnsi="宋体" w:eastAsia="宋体"/>
          <w:b/>
          <w:bCs/>
          <w:color w:val="auto"/>
          <w:sz w:val="32"/>
          <w:szCs w:val="44"/>
          <w:highlight w:val="none"/>
        </w:rPr>
      </w:pPr>
      <w:bookmarkStart w:id="158" w:name="_Toc481057145"/>
      <w:bookmarkStart w:id="159" w:name="_Toc15248"/>
      <w:bookmarkStart w:id="160" w:name="_Toc120614244"/>
      <w:bookmarkStart w:id="161" w:name="_Hlt16619350"/>
      <w:bookmarkStart w:id="162" w:name="_Toc20823346"/>
      <w:bookmarkStart w:id="163" w:name="_Toc16938590"/>
      <w:bookmarkStart w:id="164" w:name="_Toc479757211"/>
      <w:bookmarkStart w:id="165" w:name="_Toc462564139"/>
      <w:r>
        <w:rPr>
          <w:rFonts w:hint="eastAsia" w:ascii="宋体" w:hAnsi="宋体" w:eastAsia="宋体"/>
          <w:b/>
          <w:bCs/>
          <w:color w:val="auto"/>
          <w:sz w:val="32"/>
          <w:szCs w:val="44"/>
          <w:highlight w:val="none"/>
        </w:rPr>
        <w:br w:type="page"/>
      </w:r>
    </w:p>
    <w:p w14:paraId="1FB958E3">
      <w:pPr>
        <w:keepNext/>
        <w:keepLines/>
        <w:spacing w:before="340" w:after="330" w:line="360" w:lineRule="auto"/>
        <w:jc w:val="center"/>
        <w:outlineLvl w:val="0"/>
        <w:rPr>
          <w:rFonts w:ascii="宋体" w:hAnsi="宋体" w:eastAsia="宋体"/>
          <w:b/>
          <w:bCs/>
          <w:color w:val="auto"/>
          <w:sz w:val="32"/>
          <w:szCs w:val="44"/>
          <w:highlight w:val="none"/>
        </w:rPr>
      </w:pPr>
      <w:r>
        <w:rPr>
          <w:rFonts w:hint="eastAsia" w:ascii="宋体" w:hAnsi="宋体" w:eastAsia="宋体"/>
          <w:b/>
          <w:bCs/>
          <w:color w:val="auto"/>
          <w:sz w:val="32"/>
          <w:szCs w:val="44"/>
          <w:highlight w:val="none"/>
        </w:rPr>
        <w:t>第三章 确定入围及成交供应商</w:t>
      </w:r>
      <w:bookmarkEnd w:id="158"/>
      <w:bookmarkEnd w:id="159"/>
    </w:p>
    <w:p w14:paraId="270E59FA">
      <w:pPr>
        <w:spacing w:line="360" w:lineRule="auto"/>
        <w:ind w:firstLine="420"/>
        <w:rPr>
          <w:rFonts w:hint="eastAsia" w:ascii="宋体" w:hAnsi="宋体" w:eastAsia="宋体" w:cs="Arial"/>
          <w:color w:val="auto"/>
          <w:sz w:val="24"/>
          <w:szCs w:val="24"/>
          <w:highlight w:val="none"/>
          <w:lang w:eastAsia="zh-CN"/>
        </w:rPr>
      </w:pPr>
      <w:bookmarkStart w:id="166" w:name="OLE_LINK2"/>
      <w:r>
        <w:rPr>
          <w:rFonts w:hint="eastAsia" w:ascii="宋体" w:hAnsi="宋体" w:eastAsia="宋体"/>
          <w:color w:val="auto"/>
          <w:sz w:val="24"/>
          <w:szCs w:val="24"/>
          <w:highlight w:val="none"/>
        </w:rPr>
        <w:t>本项目采用</w:t>
      </w:r>
      <w:r>
        <w:rPr>
          <w:rFonts w:hint="eastAsia" w:ascii="宋体" w:hAnsi="宋体" w:eastAsia="宋体"/>
          <w:color w:val="auto"/>
          <w:sz w:val="24"/>
          <w:szCs w:val="24"/>
          <w:highlight w:val="none"/>
          <w:lang w:val="en-US" w:eastAsia="zh-CN"/>
        </w:rPr>
        <w:t>价格优先法</w:t>
      </w:r>
      <w:r>
        <w:rPr>
          <w:rFonts w:hint="eastAsia" w:ascii="宋体" w:hAnsi="宋体" w:eastAsia="宋体"/>
          <w:color w:val="auto"/>
          <w:sz w:val="24"/>
          <w:szCs w:val="24"/>
          <w:highlight w:val="none"/>
        </w:rPr>
        <w:t>，</w:t>
      </w:r>
      <w:r>
        <w:rPr>
          <w:rFonts w:hint="eastAsia" w:ascii="宋体" w:hAnsi="宋体" w:eastAsia="宋体" w:cs="Arial"/>
          <w:color w:val="auto"/>
          <w:sz w:val="24"/>
          <w:szCs w:val="24"/>
          <w:highlight w:val="none"/>
        </w:rPr>
        <w:t>是指对满足采购需求且响应报价不超过最高限制单价的货物、服务，按照响应报价</w:t>
      </w:r>
      <w:r>
        <w:rPr>
          <w:rFonts w:hint="eastAsia" w:ascii="宋体" w:hAnsi="宋体" w:eastAsia="宋体" w:cs="Arial"/>
          <w:color w:val="auto"/>
          <w:sz w:val="24"/>
          <w:szCs w:val="24"/>
          <w:highlight w:val="none"/>
          <w:lang w:eastAsia="zh-CN"/>
        </w:rPr>
        <w:t>（</w:t>
      </w:r>
      <w:r>
        <w:rPr>
          <w:rFonts w:hint="eastAsia" w:ascii="宋体" w:hAnsi="宋体" w:eastAsia="宋体" w:cs="Arial"/>
          <w:color w:val="auto"/>
          <w:sz w:val="24"/>
          <w:szCs w:val="24"/>
          <w:highlight w:val="none"/>
          <w:lang w:val="en-US" w:eastAsia="zh-CN"/>
        </w:rPr>
        <w:t>供应商投标报价优惠率）</w:t>
      </w:r>
      <w:r>
        <w:rPr>
          <w:rFonts w:hint="eastAsia" w:ascii="宋体" w:hAnsi="宋体" w:eastAsia="宋体" w:cs="Arial"/>
          <w:color w:val="auto"/>
          <w:sz w:val="24"/>
          <w:szCs w:val="24"/>
          <w:highlight w:val="none"/>
        </w:rPr>
        <w:t>从</w:t>
      </w:r>
      <w:r>
        <w:rPr>
          <w:rFonts w:hint="eastAsia" w:ascii="宋体" w:hAnsi="宋体" w:eastAsia="宋体" w:cs="Arial"/>
          <w:color w:val="auto"/>
          <w:sz w:val="24"/>
          <w:szCs w:val="24"/>
          <w:highlight w:val="none"/>
          <w:lang w:val="en-US" w:eastAsia="zh-CN"/>
        </w:rPr>
        <w:t>高</w:t>
      </w:r>
      <w:r>
        <w:rPr>
          <w:rFonts w:hint="eastAsia" w:ascii="宋体" w:hAnsi="宋体" w:eastAsia="宋体" w:cs="Arial"/>
          <w:color w:val="auto"/>
          <w:sz w:val="24"/>
          <w:szCs w:val="24"/>
          <w:highlight w:val="none"/>
        </w:rPr>
        <w:t>到</w:t>
      </w:r>
      <w:r>
        <w:rPr>
          <w:rFonts w:hint="eastAsia" w:ascii="宋体" w:hAnsi="宋体" w:eastAsia="宋体" w:cs="Arial"/>
          <w:color w:val="auto"/>
          <w:sz w:val="24"/>
          <w:szCs w:val="24"/>
          <w:highlight w:val="none"/>
          <w:lang w:val="en-US" w:eastAsia="zh-CN"/>
        </w:rPr>
        <w:t>低</w:t>
      </w:r>
      <w:r>
        <w:rPr>
          <w:rFonts w:hint="eastAsia" w:ascii="宋体" w:hAnsi="宋体" w:eastAsia="宋体" w:cs="Arial"/>
          <w:color w:val="auto"/>
          <w:sz w:val="24"/>
          <w:szCs w:val="24"/>
          <w:highlight w:val="none"/>
        </w:rPr>
        <w:t>排序，根据征集文件规定的淘汰率或者入围供应商数量上限，确定入围供应商的评审方法</w:t>
      </w:r>
      <w:r>
        <w:rPr>
          <w:rFonts w:hint="eastAsia" w:ascii="宋体" w:hAnsi="宋体" w:eastAsia="宋体" w:cs="Arial"/>
          <w:color w:val="auto"/>
          <w:sz w:val="24"/>
          <w:szCs w:val="24"/>
          <w:highlight w:val="none"/>
          <w:lang w:eastAsia="zh-CN"/>
        </w:rPr>
        <w:t>。淘汰比例：不低于20%，入围家数按照去点取整（无论是入围4.1家还</w:t>
      </w:r>
      <w:r>
        <w:rPr>
          <w:rFonts w:hint="eastAsia" w:ascii="宋体" w:hAnsi="宋体" w:eastAsia="宋体" w:cs="Arial"/>
          <w:color w:val="auto"/>
          <w:sz w:val="24"/>
          <w:szCs w:val="24"/>
          <w:highlight w:val="none"/>
          <w:lang w:val="en-US" w:eastAsia="zh-CN"/>
        </w:rPr>
        <w:t xml:space="preserve"> </w:t>
      </w:r>
      <w:r>
        <w:rPr>
          <w:rFonts w:hint="eastAsia" w:ascii="宋体" w:hAnsi="宋体" w:eastAsia="宋体" w:cs="Arial"/>
          <w:color w:val="auto"/>
          <w:sz w:val="24"/>
          <w:szCs w:val="24"/>
          <w:highlight w:val="none"/>
          <w:lang w:eastAsia="zh-CN"/>
        </w:rPr>
        <w:t>是4.9家，均为入围4家），且至少淘汰一家供应商（提交响应文件和符合资格条件、实质性要求的供应商少于2家时，采购活动终止）。评审价格相同且影响供应商入围的，由征集人以现场抽签的方式决定供应商入围的顺序。</w:t>
      </w:r>
      <w:bookmarkEnd w:id="166"/>
    </w:p>
    <w:p w14:paraId="158B04E1">
      <w:pPr>
        <w:spacing w:line="360" w:lineRule="auto"/>
        <w:ind w:firstLine="420"/>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lang w:eastAsia="zh-CN"/>
        </w:rPr>
        <w:t>供应商的响应报价已包括了实施和完成</w:t>
      </w:r>
      <w:r>
        <w:rPr>
          <w:rFonts w:hint="eastAsia" w:ascii="宋体" w:hAnsi="宋体" w:eastAsia="宋体" w:cs="Arial"/>
          <w:color w:val="auto"/>
          <w:sz w:val="24"/>
          <w:szCs w:val="24"/>
          <w:highlight w:val="none"/>
          <w:lang w:val="en-US" w:eastAsia="zh-CN"/>
        </w:rPr>
        <w:t>相关</w:t>
      </w:r>
      <w:r>
        <w:rPr>
          <w:rFonts w:hint="eastAsia" w:ascii="宋体" w:hAnsi="宋体" w:eastAsia="宋体" w:cs="Arial"/>
          <w:color w:val="auto"/>
          <w:sz w:val="24"/>
          <w:szCs w:val="24"/>
          <w:highlight w:val="none"/>
          <w:lang w:eastAsia="zh-CN"/>
        </w:rPr>
        <w:t>工作所需的劳务费、技术服务费、交通、通讯、办公场地、管理费、税费和利润等费用和政策性文件规定及合同包含的所有风险、责任等各项应有的费用。合同期内，</w:t>
      </w:r>
      <w:r>
        <w:rPr>
          <w:rFonts w:hint="eastAsia" w:ascii="宋体" w:hAnsi="宋体" w:cs="Arial"/>
          <w:color w:val="auto"/>
          <w:sz w:val="24"/>
          <w:szCs w:val="24"/>
          <w:highlight w:val="none"/>
          <w:lang w:eastAsia="zh-CN"/>
        </w:rPr>
        <w:t>优惠率</w:t>
      </w:r>
      <w:r>
        <w:rPr>
          <w:rFonts w:hint="eastAsia" w:ascii="宋体" w:hAnsi="宋体" w:eastAsia="宋体" w:cs="Arial"/>
          <w:color w:val="auto"/>
          <w:sz w:val="24"/>
          <w:szCs w:val="24"/>
          <w:highlight w:val="none"/>
          <w:lang w:eastAsia="zh-CN"/>
        </w:rPr>
        <w:t>不再调整。</w:t>
      </w:r>
      <w:r>
        <w:rPr>
          <w:rFonts w:hint="eastAsia" w:ascii="宋体" w:hAnsi="宋体" w:eastAsia="宋体" w:cs="Arial"/>
          <w:b/>
          <w:bCs/>
          <w:color w:val="auto"/>
          <w:sz w:val="24"/>
          <w:szCs w:val="24"/>
          <w:highlight w:val="none"/>
          <w:lang w:eastAsia="zh-CN"/>
        </w:rPr>
        <w:t>供应商必须承诺按统一的</w:t>
      </w:r>
      <w:r>
        <w:rPr>
          <w:rFonts w:hint="eastAsia" w:ascii="宋体" w:hAnsi="宋体" w:eastAsia="宋体" w:cs="Arial"/>
          <w:b/>
          <w:bCs/>
          <w:color w:val="auto"/>
          <w:sz w:val="24"/>
          <w:szCs w:val="24"/>
          <w:highlight w:val="none"/>
          <w:lang w:val="en-US" w:eastAsia="zh-CN"/>
        </w:rPr>
        <w:t>优惠率</w:t>
      </w:r>
      <w:r>
        <w:rPr>
          <w:rFonts w:hint="eastAsia" w:ascii="宋体" w:hAnsi="宋体" w:eastAsia="宋体" w:cs="Arial"/>
          <w:b/>
          <w:bCs/>
          <w:color w:val="auto"/>
          <w:sz w:val="24"/>
          <w:szCs w:val="24"/>
          <w:highlight w:val="none"/>
          <w:lang w:eastAsia="zh-CN"/>
        </w:rPr>
        <w:t>报价</w:t>
      </w:r>
      <w:r>
        <w:rPr>
          <w:rFonts w:hint="eastAsia" w:ascii="宋体" w:hAnsi="宋体" w:eastAsia="宋体" w:cs="Arial"/>
          <w:color w:val="auto"/>
          <w:sz w:val="24"/>
          <w:szCs w:val="24"/>
          <w:highlight w:val="none"/>
          <w:lang w:eastAsia="zh-CN"/>
        </w:rPr>
        <w:t>（例如</w:t>
      </w:r>
      <w:r>
        <w:rPr>
          <w:rFonts w:hint="eastAsia" w:ascii="宋体" w:hAnsi="宋体" w:eastAsia="宋体" w:cs="Arial"/>
          <w:color w:val="auto"/>
          <w:sz w:val="24"/>
          <w:szCs w:val="24"/>
          <w:highlight w:val="none"/>
          <w:lang w:val="en-US" w:eastAsia="zh-CN"/>
        </w:rPr>
        <w:t>优惠率1</w:t>
      </w:r>
      <w:r>
        <w:rPr>
          <w:rFonts w:hint="eastAsia" w:ascii="宋体" w:hAnsi="宋体" w:eastAsia="宋体" w:cs="Arial"/>
          <w:color w:val="auto"/>
          <w:sz w:val="24"/>
          <w:szCs w:val="24"/>
          <w:highlight w:val="none"/>
          <w:lang w:eastAsia="zh-CN"/>
        </w:rPr>
        <w:t>0%），例如</w:t>
      </w:r>
      <w:r>
        <w:rPr>
          <w:rFonts w:hint="eastAsia" w:ascii="宋体" w:hAnsi="宋体" w:eastAsia="宋体" w:cs="Arial"/>
          <w:color w:val="auto"/>
          <w:sz w:val="24"/>
          <w:szCs w:val="24"/>
          <w:highlight w:val="none"/>
          <w:lang w:val="en-US" w:eastAsia="zh-CN"/>
        </w:rPr>
        <w:t>优惠</w:t>
      </w:r>
      <w:r>
        <w:rPr>
          <w:rFonts w:hint="eastAsia" w:ascii="宋体" w:hAnsi="宋体" w:eastAsia="宋体" w:cs="Arial"/>
          <w:color w:val="auto"/>
          <w:sz w:val="24"/>
          <w:szCs w:val="24"/>
          <w:highlight w:val="none"/>
          <w:lang w:eastAsia="zh-CN"/>
        </w:rPr>
        <w:t>率为</w:t>
      </w:r>
      <w:r>
        <w:rPr>
          <w:rFonts w:hint="eastAsia" w:ascii="宋体" w:hAnsi="宋体" w:eastAsia="宋体" w:cs="Arial"/>
          <w:color w:val="auto"/>
          <w:sz w:val="24"/>
          <w:szCs w:val="24"/>
          <w:highlight w:val="none"/>
          <w:lang w:val="en-US" w:eastAsia="zh-CN"/>
        </w:rPr>
        <w:t>1</w:t>
      </w:r>
      <w:r>
        <w:rPr>
          <w:rFonts w:hint="eastAsia" w:ascii="宋体" w:hAnsi="宋体" w:eastAsia="宋体" w:cs="Arial"/>
          <w:color w:val="auto"/>
          <w:sz w:val="24"/>
          <w:szCs w:val="24"/>
          <w:highlight w:val="none"/>
          <w:lang w:eastAsia="zh-CN"/>
        </w:rPr>
        <w:t>0%，成交价格=最高限制单价*（</w:t>
      </w:r>
      <w:r>
        <w:rPr>
          <w:rFonts w:hint="eastAsia" w:ascii="宋体" w:hAnsi="宋体" w:eastAsia="宋体" w:cs="Arial"/>
          <w:color w:val="auto"/>
          <w:sz w:val="24"/>
          <w:szCs w:val="24"/>
          <w:highlight w:val="none"/>
          <w:lang w:val="en-US" w:eastAsia="zh-CN"/>
        </w:rPr>
        <w:t>1-10%</w:t>
      </w:r>
      <w:r>
        <w:rPr>
          <w:rFonts w:hint="eastAsia" w:ascii="宋体" w:hAnsi="宋体" w:eastAsia="宋体" w:cs="Arial"/>
          <w:color w:val="auto"/>
          <w:sz w:val="24"/>
          <w:szCs w:val="24"/>
          <w:highlight w:val="none"/>
          <w:lang w:eastAsia="zh-CN"/>
        </w:rPr>
        <w:t>）计算服务费。（</w:t>
      </w:r>
      <w:r>
        <w:rPr>
          <w:rFonts w:hint="eastAsia" w:ascii="宋体" w:hAnsi="宋体" w:cs="Arial"/>
          <w:color w:val="auto"/>
          <w:sz w:val="24"/>
          <w:szCs w:val="24"/>
          <w:highlight w:val="none"/>
          <w:lang w:eastAsia="zh-CN"/>
        </w:rPr>
        <w:t>优惠率</w:t>
      </w:r>
      <w:r>
        <w:rPr>
          <w:rFonts w:hint="eastAsia" w:ascii="宋体" w:hAnsi="宋体" w:eastAsia="宋体" w:cs="Arial"/>
          <w:color w:val="auto"/>
          <w:sz w:val="24"/>
          <w:szCs w:val="24"/>
          <w:highlight w:val="none"/>
          <w:lang w:eastAsia="zh-CN"/>
        </w:rPr>
        <w:t>四舍五入，保留至小数点后2位）。</w:t>
      </w:r>
      <w:r>
        <w:rPr>
          <w:rFonts w:hint="eastAsia" w:ascii="宋体" w:hAnsi="宋体" w:eastAsia="宋体" w:cs="Arial"/>
          <w:color w:val="auto"/>
          <w:sz w:val="24"/>
          <w:szCs w:val="24"/>
          <w:highlight w:val="none"/>
          <w:lang w:val="en-US" w:eastAsia="zh-CN"/>
        </w:rPr>
        <w:t>律师法律服务项目</w:t>
      </w:r>
      <w:r>
        <w:rPr>
          <w:rFonts w:hint="eastAsia" w:ascii="宋体" w:hAnsi="宋体" w:eastAsia="宋体" w:cs="Arial"/>
          <w:color w:val="auto"/>
          <w:sz w:val="24"/>
          <w:szCs w:val="24"/>
          <w:highlight w:val="none"/>
          <w:lang w:eastAsia="zh-CN"/>
        </w:rPr>
        <w:t>最高限制单价按如下执行：</w:t>
      </w:r>
    </w:p>
    <w:tbl>
      <w:tblPr>
        <w:tblStyle w:val="18"/>
        <w:tblW w:w="95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1"/>
        <w:gridCol w:w="4228"/>
        <w:gridCol w:w="1582"/>
        <w:gridCol w:w="1085"/>
        <w:gridCol w:w="1941"/>
      </w:tblGrid>
      <w:tr w14:paraId="1EA4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721" w:type="dxa"/>
            <w:noWrap w:val="0"/>
            <w:vAlign w:val="center"/>
          </w:tcPr>
          <w:p w14:paraId="15E08E1D">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序号</w:t>
            </w:r>
          </w:p>
        </w:tc>
        <w:tc>
          <w:tcPr>
            <w:tcW w:w="4228" w:type="dxa"/>
            <w:noWrap w:val="0"/>
            <w:vAlign w:val="center"/>
          </w:tcPr>
          <w:p w14:paraId="60297562">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类别</w:t>
            </w:r>
          </w:p>
        </w:tc>
        <w:tc>
          <w:tcPr>
            <w:tcW w:w="1582" w:type="dxa"/>
            <w:noWrap w:val="0"/>
            <w:vAlign w:val="center"/>
          </w:tcPr>
          <w:p w14:paraId="0A8B603A">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最高限制单价</w:t>
            </w:r>
          </w:p>
        </w:tc>
        <w:tc>
          <w:tcPr>
            <w:tcW w:w="1085" w:type="dxa"/>
            <w:noWrap w:val="0"/>
            <w:vAlign w:val="center"/>
          </w:tcPr>
          <w:p w14:paraId="4C8AF90B">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highlight w:val="none"/>
                <w:lang w:val="en-US" w:eastAsia="zh-CN"/>
              </w:rPr>
              <w:t>单位</w:t>
            </w:r>
          </w:p>
        </w:tc>
        <w:tc>
          <w:tcPr>
            <w:tcW w:w="1941" w:type="dxa"/>
            <w:noWrap w:val="0"/>
            <w:vAlign w:val="center"/>
          </w:tcPr>
          <w:p w14:paraId="0C122FB3">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供应商投标报价综合</w:t>
            </w:r>
            <w:r>
              <w:rPr>
                <w:rFonts w:hint="eastAsia" w:ascii="宋体" w:hAnsi="宋体" w:cs="宋体"/>
                <w:color w:val="auto"/>
                <w:kern w:val="0"/>
                <w:sz w:val="24"/>
                <w:szCs w:val="24"/>
                <w:vertAlign w:val="baseline"/>
                <w:lang w:val="en-US" w:eastAsia="zh-CN"/>
              </w:rPr>
              <w:t>优惠率</w:t>
            </w:r>
          </w:p>
        </w:tc>
      </w:tr>
      <w:tr w14:paraId="7378C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721" w:type="dxa"/>
            <w:noWrap w:val="0"/>
            <w:vAlign w:val="center"/>
          </w:tcPr>
          <w:p w14:paraId="070E8DCE">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w:t>
            </w:r>
          </w:p>
        </w:tc>
        <w:tc>
          <w:tcPr>
            <w:tcW w:w="4228" w:type="dxa"/>
            <w:noWrap w:val="0"/>
            <w:vAlign w:val="center"/>
          </w:tcPr>
          <w:p w14:paraId="23CB8251">
            <w:pPr>
              <w:pageBreakBefore w:val="0"/>
              <w:widowControl w:val="0"/>
              <w:spacing w:line="360" w:lineRule="auto"/>
              <w:jc w:val="both"/>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刑事案件侦查阶段</w:t>
            </w:r>
          </w:p>
        </w:tc>
        <w:tc>
          <w:tcPr>
            <w:tcW w:w="1582" w:type="dxa"/>
            <w:noWrap w:val="0"/>
            <w:vAlign w:val="center"/>
          </w:tcPr>
          <w:p w14:paraId="0B65E78D">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1000</w:t>
            </w:r>
          </w:p>
        </w:tc>
        <w:tc>
          <w:tcPr>
            <w:tcW w:w="1085" w:type="dxa"/>
            <w:noWrap w:val="0"/>
            <w:vAlign w:val="center"/>
          </w:tcPr>
          <w:p w14:paraId="14CF4FCF">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元/件</w:t>
            </w:r>
          </w:p>
        </w:tc>
        <w:tc>
          <w:tcPr>
            <w:tcW w:w="1941" w:type="dxa"/>
            <w:vMerge w:val="restart"/>
            <w:noWrap w:val="0"/>
            <w:vAlign w:val="center"/>
          </w:tcPr>
          <w:p w14:paraId="00975BFD">
            <w:pPr>
              <w:pageBreakBefore w:val="0"/>
              <w:widowControl w:val="0"/>
              <w:spacing w:line="360" w:lineRule="auto"/>
              <w:jc w:val="center"/>
              <w:rPr>
                <w:rFonts w:hint="eastAsia" w:ascii="宋体" w:hAnsi="宋体" w:eastAsia="宋体" w:cs="宋体"/>
                <w:color w:val="auto"/>
                <w:kern w:val="0"/>
                <w:sz w:val="24"/>
                <w:szCs w:val="24"/>
                <w:u w:val="single"/>
                <w:vertAlign w:val="baseline"/>
                <w:lang w:val="en-US" w:eastAsia="zh-CN"/>
              </w:rPr>
            </w:pPr>
            <w:r>
              <w:rPr>
                <w:rFonts w:hint="eastAsia" w:ascii="宋体" w:hAnsi="宋体" w:eastAsia="宋体" w:cs="宋体"/>
                <w:color w:val="auto"/>
                <w:kern w:val="0"/>
                <w:sz w:val="24"/>
                <w:szCs w:val="24"/>
                <w:u w:val="single"/>
                <w:vertAlign w:val="baseline"/>
                <w:lang w:val="en-US" w:eastAsia="zh-CN"/>
              </w:rPr>
              <w:t xml:space="preserve">     %</w:t>
            </w:r>
          </w:p>
          <w:p w14:paraId="1E4568FC">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709FB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721" w:type="dxa"/>
            <w:noWrap w:val="0"/>
            <w:vAlign w:val="center"/>
          </w:tcPr>
          <w:p w14:paraId="086CA3AE">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w:t>
            </w:r>
          </w:p>
        </w:tc>
        <w:tc>
          <w:tcPr>
            <w:tcW w:w="4228" w:type="dxa"/>
            <w:noWrap w:val="0"/>
            <w:vAlign w:val="center"/>
          </w:tcPr>
          <w:p w14:paraId="06A5400B">
            <w:pPr>
              <w:pageBreakBefore w:val="0"/>
              <w:widowControl w:val="0"/>
              <w:spacing w:line="360" w:lineRule="auto"/>
              <w:jc w:val="both"/>
              <w:rPr>
                <w:rFonts w:hint="eastAsia" w:ascii="宋体" w:hAnsi="宋体" w:eastAsia="宋体" w:cs="宋体"/>
                <w:color w:val="auto"/>
                <w:kern w:val="0"/>
                <w:sz w:val="24"/>
                <w:szCs w:val="24"/>
                <w:vertAlign w:val="baseline"/>
                <w:lang w:val="en-US"/>
              </w:rPr>
            </w:pPr>
            <w:r>
              <w:rPr>
                <w:rFonts w:hint="eastAsia" w:ascii="宋体" w:hAnsi="宋体" w:eastAsia="宋体" w:cs="宋体"/>
                <w:bCs/>
                <w:color w:val="auto"/>
                <w:kern w:val="0"/>
                <w:sz w:val="24"/>
                <w:szCs w:val="24"/>
                <w:highlight w:val="none"/>
                <w:lang w:val="en-US" w:eastAsia="zh-CN"/>
              </w:rPr>
              <w:t>刑事案件审查起诉阶段</w:t>
            </w:r>
          </w:p>
        </w:tc>
        <w:tc>
          <w:tcPr>
            <w:tcW w:w="1582" w:type="dxa"/>
            <w:noWrap w:val="0"/>
            <w:vAlign w:val="center"/>
          </w:tcPr>
          <w:p w14:paraId="71E80110">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1600</w:t>
            </w:r>
          </w:p>
        </w:tc>
        <w:tc>
          <w:tcPr>
            <w:tcW w:w="1085" w:type="dxa"/>
            <w:noWrap w:val="0"/>
            <w:vAlign w:val="center"/>
          </w:tcPr>
          <w:p w14:paraId="106CAF62">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61EF475A">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41AF7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721" w:type="dxa"/>
            <w:noWrap w:val="0"/>
            <w:vAlign w:val="center"/>
          </w:tcPr>
          <w:p w14:paraId="3D6D9D25">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w:t>
            </w:r>
          </w:p>
        </w:tc>
        <w:tc>
          <w:tcPr>
            <w:tcW w:w="4228" w:type="dxa"/>
            <w:noWrap w:val="0"/>
            <w:vAlign w:val="center"/>
          </w:tcPr>
          <w:p w14:paraId="1D158179">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刑事案件审判阶段</w:t>
            </w:r>
          </w:p>
        </w:tc>
        <w:tc>
          <w:tcPr>
            <w:tcW w:w="1582" w:type="dxa"/>
            <w:noWrap w:val="0"/>
            <w:vAlign w:val="center"/>
          </w:tcPr>
          <w:p w14:paraId="3289685E">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2000</w:t>
            </w:r>
          </w:p>
        </w:tc>
        <w:tc>
          <w:tcPr>
            <w:tcW w:w="1085" w:type="dxa"/>
            <w:noWrap w:val="0"/>
            <w:vAlign w:val="center"/>
          </w:tcPr>
          <w:p w14:paraId="33D879C2">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1611C11B">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1E789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721" w:type="dxa"/>
            <w:noWrap w:val="0"/>
            <w:vAlign w:val="center"/>
          </w:tcPr>
          <w:p w14:paraId="4D64F173">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w:t>
            </w:r>
          </w:p>
        </w:tc>
        <w:tc>
          <w:tcPr>
            <w:tcW w:w="4228" w:type="dxa"/>
            <w:noWrap w:val="0"/>
            <w:vAlign w:val="center"/>
          </w:tcPr>
          <w:p w14:paraId="33DECCFB">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办理认罪认罚法律帮助案件</w:t>
            </w:r>
          </w:p>
        </w:tc>
        <w:tc>
          <w:tcPr>
            <w:tcW w:w="1582" w:type="dxa"/>
            <w:noWrap w:val="0"/>
            <w:vAlign w:val="center"/>
          </w:tcPr>
          <w:p w14:paraId="5E37C68C">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350</w:t>
            </w:r>
          </w:p>
        </w:tc>
        <w:tc>
          <w:tcPr>
            <w:tcW w:w="1085" w:type="dxa"/>
            <w:noWrap w:val="0"/>
            <w:vAlign w:val="center"/>
          </w:tcPr>
          <w:p w14:paraId="7EE11E66">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340BB711">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6DCF3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721" w:type="dxa"/>
            <w:noWrap w:val="0"/>
            <w:vAlign w:val="center"/>
          </w:tcPr>
          <w:p w14:paraId="257989BA">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5</w:t>
            </w:r>
          </w:p>
        </w:tc>
        <w:tc>
          <w:tcPr>
            <w:tcW w:w="4228" w:type="dxa"/>
            <w:noWrap w:val="0"/>
            <w:vAlign w:val="center"/>
          </w:tcPr>
          <w:p w14:paraId="036390AA">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民事诉讼案件、行政诉讼案件、仲裁案件以及国家赔偿案件</w:t>
            </w:r>
          </w:p>
        </w:tc>
        <w:tc>
          <w:tcPr>
            <w:tcW w:w="1582" w:type="dxa"/>
            <w:noWrap w:val="0"/>
            <w:vAlign w:val="center"/>
          </w:tcPr>
          <w:p w14:paraId="7E39A3C6">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2500</w:t>
            </w:r>
          </w:p>
        </w:tc>
        <w:tc>
          <w:tcPr>
            <w:tcW w:w="1085" w:type="dxa"/>
            <w:noWrap w:val="0"/>
            <w:vAlign w:val="center"/>
          </w:tcPr>
          <w:p w14:paraId="4D1858B1">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3244CCB6">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610B3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 w:hRule="atLeast"/>
        </w:trPr>
        <w:tc>
          <w:tcPr>
            <w:tcW w:w="721" w:type="dxa"/>
            <w:noWrap w:val="0"/>
            <w:vAlign w:val="center"/>
          </w:tcPr>
          <w:p w14:paraId="1E3BBED2">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6</w:t>
            </w:r>
          </w:p>
        </w:tc>
        <w:tc>
          <w:tcPr>
            <w:tcW w:w="4228" w:type="dxa"/>
            <w:noWrap w:val="0"/>
            <w:vAlign w:val="center"/>
          </w:tcPr>
          <w:p w14:paraId="5051D5CE">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司法鉴定法律援助</w:t>
            </w:r>
          </w:p>
        </w:tc>
        <w:tc>
          <w:tcPr>
            <w:tcW w:w="1582" w:type="dxa"/>
            <w:noWrap w:val="0"/>
            <w:vAlign w:val="center"/>
          </w:tcPr>
          <w:p w14:paraId="0C9B0745">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85" w:type="dxa"/>
            <w:noWrap w:val="0"/>
            <w:vAlign w:val="center"/>
          </w:tcPr>
          <w:p w14:paraId="6C50B893">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37F0F568">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1CC3D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721" w:type="dxa"/>
            <w:noWrap w:val="0"/>
            <w:vAlign w:val="center"/>
          </w:tcPr>
          <w:p w14:paraId="7D200B2C">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7</w:t>
            </w:r>
          </w:p>
        </w:tc>
        <w:tc>
          <w:tcPr>
            <w:tcW w:w="4228" w:type="dxa"/>
            <w:noWrap w:val="0"/>
            <w:vAlign w:val="center"/>
          </w:tcPr>
          <w:p w14:paraId="5A30DC3E">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其他非诉讼案件或法律援助协助执行案件</w:t>
            </w:r>
          </w:p>
        </w:tc>
        <w:tc>
          <w:tcPr>
            <w:tcW w:w="1582" w:type="dxa"/>
            <w:noWrap w:val="0"/>
            <w:vAlign w:val="center"/>
          </w:tcPr>
          <w:p w14:paraId="7075E239">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85" w:type="dxa"/>
            <w:noWrap w:val="0"/>
            <w:vAlign w:val="center"/>
          </w:tcPr>
          <w:p w14:paraId="73DBA5FC">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75A83AFB">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45485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trPr>
        <w:tc>
          <w:tcPr>
            <w:tcW w:w="721" w:type="dxa"/>
            <w:noWrap w:val="0"/>
            <w:vAlign w:val="center"/>
          </w:tcPr>
          <w:p w14:paraId="0C87DB38">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8</w:t>
            </w:r>
          </w:p>
        </w:tc>
        <w:tc>
          <w:tcPr>
            <w:tcW w:w="4228" w:type="dxa"/>
            <w:noWrap w:val="0"/>
            <w:vAlign w:val="center"/>
          </w:tcPr>
          <w:p w14:paraId="5BE4058C">
            <w:pPr>
              <w:pageBreakBefore w:val="0"/>
              <w:widowControl w:val="0"/>
              <w:spacing w:line="360" w:lineRule="auto"/>
              <w:jc w:val="both"/>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接听12348法律服务热线电话</w:t>
            </w:r>
          </w:p>
        </w:tc>
        <w:tc>
          <w:tcPr>
            <w:tcW w:w="1582" w:type="dxa"/>
            <w:noWrap w:val="0"/>
            <w:vAlign w:val="center"/>
          </w:tcPr>
          <w:p w14:paraId="4FD44182">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110000</w:t>
            </w:r>
          </w:p>
        </w:tc>
        <w:tc>
          <w:tcPr>
            <w:tcW w:w="1085" w:type="dxa"/>
            <w:noWrap w:val="0"/>
            <w:vAlign w:val="center"/>
          </w:tcPr>
          <w:p w14:paraId="68FE09EA">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元/年</w:t>
            </w:r>
          </w:p>
        </w:tc>
        <w:tc>
          <w:tcPr>
            <w:tcW w:w="1941" w:type="dxa"/>
            <w:vMerge w:val="continue"/>
            <w:noWrap w:val="0"/>
            <w:vAlign w:val="center"/>
          </w:tcPr>
          <w:p w14:paraId="5BC8279A">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53688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721" w:type="dxa"/>
            <w:noWrap w:val="0"/>
            <w:vAlign w:val="center"/>
          </w:tcPr>
          <w:p w14:paraId="34BED708">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9</w:t>
            </w:r>
          </w:p>
        </w:tc>
        <w:tc>
          <w:tcPr>
            <w:tcW w:w="4228" w:type="dxa"/>
            <w:noWrap w:val="0"/>
            <w:vAlign w:val="center"/>
          </w:tcPr>
          <w:p w14:paraId="03A41D2E">
            <w:pPr>
              <w:pageBreakBefore w:val="0"/>
              <w:widowControl w:val="0"/>
              <w:spacing w:line="360" w:lineRule="auto"/>
              <w:jc w:val="both"/>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零工市场法律援助工作站综合工作</w:t>
            </w:r>
          </w:p>
        </w:tc>
        <w:tc>
          <w:tcPr>
            <w:tcW w:w="1582" w:type="dxa"/>
            <w:noWrap w:val="0"/>
            <w:vAlign w:val="center"/>
          </w:tcPr>
          <w:p w14:paraId="21E27B49">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45000</w:t>
            </w:r>
          </w:p>
        </w:tc>
        <w:tc>
          <w:tcPr>
            <w:tcW w:w="1085" w:type="dxa"/>
            <w:noWrap w:val="0"/>
            <w:vAlign w:val="center"/>
          </w:tcPr>
          <w:p w14:paraId="7ABA97C9">
            <w:pPr>
              <w:pageBreakBefore w:val="0"/>
              <w:widowControl w:val="0"/>
              <w:spacing w:line="360" w:lineRule="auto"/>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元/年</w:t>
            </w:r>
          </w:p>
        </w:tc>
        <w:tc>
          <w:tcPr>
            <w:tcW w:w="1941" w:type="dxa"/>
            <w:vMerge w:val="continue"/>
            <w:noWrap w:val="0"/>
            <w:vAlign w:val="center"/>
          </w:tcPr>
          <w:p w14:paraId="18CF8D43">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3E9C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rPr>
        <w:tc>
          <w:tcPr>
            <w:tcW w:w="721" w:type="dxa"/>
            <w:noWrap w:val="0"/>
            <w:vAlign w:val="center"/>
          </w:tcPr>
          <w:p w14:paraId="3FA88003">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w:t>
            </w:r>
          </w:p>
        </w:tc>
        <w:tc>
          <w:tcPr>
            <w:tcW w:w="4228" w:type="dxa"/>
            <w:noWrap w:val="0"/>
            <w:vAlign w:val="center"/>
          </w:tcPr>
          <w:p w14:paraId="35EE4257">
            <w:pPr>
              <w:pageBreakBefore w:val="0"/>
              <w:widowControl w:val="0"/>
              <w:spacing w:line="360" w:lineRule="auto"/>
              <w:jc w:val="both"/>
              <w:rPr>
                <w:rFonts w:hint="eastAsia" w:ascii="宋体" w:hAnsi="宋体" w:eastAsia="宋体" w:cs="宋体"/>
                <w:b/>
                <w:bCs/>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区劳动人事争议法律援助工作站综合工作</w:t>
            </w:r>
          </w:p>
        </w:tc>
        <w:tc>
          <w:tcPr>
            <w:tcW w:w="1582" w:type="dxa"/>
            <w:noWrap w:val="0"/>
            <w:vAlign w:val="center"/>
          </w:tcPr>
          <w:p w14:paraId="5F35A4D0">
            <w:pPr>
              <w:pageBreakBefore w:val="0"/>
              <w:widowControl w:val="0"/>
              <w:spacing w:line="360" w:lineRule="auto"/>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220000</w:t>
            </w:r>
          </w:p>
        </w:tc>
        <w:tc>
          <w:tcPr>
            <w:tcW w:w="1085" w:type="dxa"/>
            <w:noWrap w:val="0"/>
            <w:vAlign w:val="center"/>
          </w:tcPr>
          <w:p w14:paraId="5515670A">
            <w:pPr>
              <w:pageBreakBefore w:val="0"/>
              <w:widowControl w:val="0"/>
              <w:spacing w:line="360" w:lineRule="auto"/>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元/年/所</w:t>
            </w:r>
          </w:p>
        </w:tc>
        <w:tc>
          <w:tcPr>
            <w:tcW w:w="1941" w:type="dxa"/>
            <w:vMerge w:val="continue"/>
            <w:noWrap w:val="0"/>
            <w:vAlign w:val="center"/>
          </w:tcPr>
          <w:p w14:paraId="3AB7ABFD">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46DF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01173AF1">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w:t>
            </w:r>
          </w:p>
        </w:tc>
        <w:tc>
          <w:tcPr>
            <w:tcW w:w="4228" w:type="dxa"/>
            <w:noWrap w:val="0"/>
            <w:vAlign w:val="center"/>
          </w:tcPr>
          <w:p w14:paraId="51B54441">
            <w:pPr>
              <w:pageBreakBefore w:val="0"/>
              <w:widowControl w:val="0"/>
              <w:spacing w:line="360" w:lineRule="auto"/>
              <w:jc w:val="both"/>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从事来访接待、法律咨询</w:t>
            </w:r>
          </w:p>
        </w:tc>
        <w:tc>
          <w:tcPr>
            <w:tcW w:w="1582" w:type="dxa"/>
            <w:noWrap w:val="0"/>
            <w:vAlign w:val="center"/>
          </w:tcPr>
          <w:p w14:paraId="0A04CE1F">
            <w:pPr>
              <w:pageBreakBefore w:val="0"/>
              <w:widowControl w:val="0"/>
              <w:spacing w:line="360" w:lineRule="auto"/>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300</w:t>
            </w:r>
          </w:p>
        </w:tc>
        <w:tc>
          <w:tcPr>
            <w:tcW w:w="1085" w:type="dxa"/>
            <w:noWrap w:val="0"/>
            <w:vAlign w:val="center"/>
          </w:tcPr>
          <w:p w14:paraId="123EF1CD">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元/天</w:t>
            </w:r>
          </w:p>
        </w:tc>
        <w:tc>
          <w:tcPr>
            <w:tcW w:w="1941" w:type="dxa"/>
            <w:vMerge w:val="continue"/>
            <w:noWrap w:val="0"/>
            <w:vAlign w:val="center"/>
          </w:tcPr>
          <w:p w14:paraId="1D60E049">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67390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19A576C3">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12</w:t>
            </w:r>
          </w:p>
        </w:tc>
        <w:tc>
          <w:tcPr>
            <w:tcW w:w="4228" w:type="dxa"/>
            <w:noWrap w:val="0"/>
            <w:vAlign w:val="center"/>
          </w:tcPr>
          <w:p w14:paraId="5F1529CF">
            <w:pPr>
              <w:pageBreakBefore w:val="0"/>
              <w:widowControl w:val="0"/>
              <w:spacing w:line="360" w:lineRule="auto"/>
              <w:jc w:val="both"/>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按照规定提供代书</w:t>
            </w:r>
          </w:p>
        </w:tc>
        <w:tc>
          <w:tcPr>
            <w:tcW w:w="1582" w:type="dxa"/>
            <w:noWrap w:val="0"/>
            <w:vAlign w:val="center"/>
          </w:tcPr>
          <w:p w14:paraId="3D854931">
            <w:pPr>
              <w:pageBreakBefore w:val="0"/>
              <w:widowControl w:val="0"/>
              <w:spacing w:line="360" w:lineRule="auto"/>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200</w:t>
            </w:r>
          </w:p>
        </w:tc>
        <w:tc>
          <w:tcPr>
            <w:tcW w:w="1085" w:type="dxa"/>
            <w:noWrap w:val="0"/>
            <w:vAlign w:val="center"/>
          </w:tcPr>
          <w:p w14:paraId="44A82D7D">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元/（次）</w:t>
            </w:r>
          </w:p>
        </w:tc>
        <w:tc>
          <w:tcPr>
            <w:tcW w:w="1941" w:type="dxa"/>
            <w:vMerge w:val="continue"/>
            <w:noWrap w:val="0"/>
            <w:vAlign w:val="center"/>
          </w:tcPr>
          <w:p w14:paraId="07A47F9F">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3194C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5893E66F">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13</w:t>
            </w:r>
          </w:p>
        </w:tc>
        <w:tc>
          <w:tcPr>
            <w:tcW w:w="4228" w:type="dxa"/>
            <w:noWrap w:val="0"/>
            <w:vAlign w:val="center"/>
          </w:tcPr>
          <w:p w14:paraId="1956BC4B">
            <w:pPr>
              <w:pageBreakBefore w:val="0"/>
              <w:widowControl w:val="0"/>
              <w:spacing w:line="360" w:lineRule="auto"/>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rPr>
              <w:t>办理案件或案例荣获荣誉奖励</w:t>
            </w:r>
          </w:p>
        </w:tc>
        <w:tc>
          <w:tcPr>
            <w:tcW w:w="1582" w:type="dxa"/>
            <w:noWrap w:val="0"/>
            <w:vAlign w:val="center"/>
          </w:tcPr>
          <w:p w14:paraId="125E8C84">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市级</w:t>
            </w:r>
            <w:r>
              <w:rPr>
                <w:rFonts w:hint="eastAsia" w:ascii="宋体" w:hAnsi="宋体" w:eastAsia="宋体" w:cs="宋体"/>
                <w:color w:val="auto"/>
                <w:kern w:val="0"/>
                <w:sz w:val="24"/>
                <w:szCs w:val="24"/>
                <w:vertAlign w:val="baseline"/>
                <w:lang w:val="en-US" w:eastAsia="zh-CN"/>
              </w:rPr>
              <w:t>1000</w:t>
            </w:r>
          </w:p>
          <w:p w14:paraId="57180B3A">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省级</w:t>
            </w:r>
            <w:r>
              <w:rPr>
                <w:rFonts w:hint="eastAsia" w:ascii="宋体" w:hAnsi="宋体" w:eastAsia="宋体" w:cs="宋体"/>
                <w:color w:val="auto"/>
                <w:kern w:val="0"/>
                <w:sz w:val="24"/>
                <w:szCs w:val="24"/>
                <w:vertAlign w:val="baseline"/>
                <w:lang w:val="en-US" w:eastAsia="zh-CN"/>
              </w:rPr>
              <w:t>1500</w:t>
            </w:r>
          </w:p>
          <w:p w14:paraId="47BF5A53">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司法部</w:t>
            </w:r>
            <w:r>
              <w:rPr>
                <w:rFonts w:hint="eastAsia" w:ascii="宋体" w:hAnsi="宋体" w:eastAsia="宋体" w:cs="宋体"/>
                <w:color w:val="auto"/>
                <w:kern w:val="0"/>
                <w:sz w:val="24"/>
                <w:szCs w:val="24"/>
                <w:vertAlign w:val="baseline"/>
                <w:lang w:val="en-US" w:eastAsia="zh-CN"/>
              </w:rPr>
              <w:t>2000</w:t>
            </w:r>
          </w:p>
        </w:tc>
        <w:tc>
          <w:tcPr>
            <w:tcW w:w="1085" w:type="dxa"/>
            <w:noWrap w:val="0"/>
            <w:vAlign w:val="center"/>
          </w:tcPr>
          <w:p w14:paraId="647AAA9E">
            <w:pPr>
              <w:pageBreakBefore w:val="0"/>
              <w:widowControl w:val="0"/>
              <w:spacing w:line="360" w:lineRule="auto"/>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元/件</w:t>
            </w:r>
          </w:p>
        </w:tc>
        <w:tc>
          <w:tcPr>
            <w:tcW w:w="1941" w:type="dxa"/>
            <w:vMerge w:val="continue"/>
            <w:noWrap w:val="0"/>
            <w:vAlign w:val="center"/>
          </w:tcPr>
          <w:p w14:paraId="5E626FF0">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7C268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21" w:type="dxa"/>
            <w:noWrap w:val="0"/>
            <w:vAlign w:val="center"/>
          </w:tcPr>
          <w:p w14:paraId="127716BE">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w:t>
            </w:r>
          </w:p>
        </w:tc>
        <w:tc>
          <w:tcPr>
            <w:tcW w:w="4228" w:type="dxa"/>
            <w:noWrap w:val="0"/>
            <w:vAlign w:val="center"/>
          </w:tcPr>
          <w:p w14:paraId="1DBA61DA">
            <w:pPr>
              <w:pageBreakBefore w:val="0"/>
              <w:widowControl w:val="0"/>
              <w:spacing w:line="360" w:lineRule="auto"/>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行政复议案件/行政诉讼（简易）</w:t>
            </w:r>
          </w:p>
        </w:tc>
        <w:tc>
          <w:tcPr>
            <w:tcW w:w="1582" w:type="dxa"/>
            <w:noWrap w:val="0"/>
            <w:vAlign w:val="center"/>
          </w:tcPr>
          <w:p w14:paraId="0F9923D1">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1400</w:t>
            </w:r>
          </w:p>
        </w:tc>
        <w:tc>
          <w:tcPr>
            <w:tcW w:w="1085" w:type="dxa"/>
            <w:noWrap w:val="0"/>
            <w:vAlign w:val="center"/>
          </w:tcPr>
          <w:p w14:paraId="5205658B">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941" w:type="dxa"/>
            <w:vMerge w:val="continue"/>
            <w:noWrap w:val="0"/>
            <w:vAlign w:val="center"/>
          </w:tcPr>
          <w:p w14:paraId="02E72E54">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2ABC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52783E77">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15</w:t>
            </w:r>
          </w:p>
        </w:tc>
        <w:tc>
          <w:tcPr>
            <w:tcW w:w="4228" w:type="dxa"/>
            <w:noWrap w:val="0"/>
            <w:vAlign w:val="center"/>
          </w:tcPr>
          <w:p w14:paraId="06CC3880">
            <w:pPr>
              <w:pageBreakBefore w:val="0"/>
              <w:widowControl w:val="0"/>
              <w:spacing w:line="360" w:lineRule="auto"/>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行政复议案件/行政诉讼（普通）</w:t>
            </w:r>
          </w:p>
        </w:tc>
        <w:tc>
          <w:tcPr>
            <w:tcW w:w="1582" w:type="dxa"/>
            <w:noWrap w:val="0"/>
            <w:vAlign w:val="center"/>
          </w:tcPr>
          <w:p w14:paraId="302B0C6D">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1800</w:t>
            </w:r>
          </w:p>
        </w:tc>
        <w:tc>
          <w:tcPr>
            <w:tcW w:w="1085" w:type="dxa"/>
            <w:noWrap w:val="0"/>
            <w:vAlign w:val="center"/>
          </w:tcPr>
          <w:p w14:paraId="6616519C">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941" w:type="dxa"/>
            <w:vMerge w:val="continue"/>
            <w:noWrap w:val="0"/>
            <w:vAlign w:val="center"/>
          </w:tcPr>
          <w:p w14:paraId="054954A8">
            <w:pPr>
              <w:pageBreakBefore w:val="0"/>
              <w:widowControl w:val="0"/>
              <w:spacing w:line="360" w:lineRule="auto"/>
              <w:jc w:val="center"/>
              <w:rPr>
                <w:rFonts w:hint="eastAsia" w:ascii="宋体" w:hAnsi="宋体" w:eastAsia="宋体" w:cs="宋体"/>
                <w:color w:val="auto"/>
                <w:kern w:val="0"/>
                <w:sz w:val="24"/>
                <w:szCs w:val="24"/>
                <w:vertAlign w:val="baseline"/>
              </w:rPr>
            </w:pPr>
          </w:p>
        </w:tc>
      </w:tr>
      <w:tr w14:paraId="0D6B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39309CB8">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16</w:t>
            </w:r>
          </w:p>
        </w:tc>
        <w:tc>
          <w:tcPr>
            <w:tcW w:w="4228" w:type="dxa"/>
            <w:noWrap w:val="0"/>
            <w:vAlign w:val="center"/>
          </w:tcPr>
          <w:p w14:paraId="616590A9">
            <w:pPr>
              <w:pageBreakBefore w:val="0"/>
              <w:widowControl w:val="0"/>
              <w:spacing w:line="360" w:lineRule="auto"/>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行政复议案件/行政诉讼（重大复杂）</w:t>
            </w:r>
          </w:p>
        </w:tc>
        <w:tc>
          <w:tcPr>
            <w:tcW w:w="1582" w:type="dxa"/>
            <w:noWrap w:val="0"/>
            <w:vAlign w:val="center"/>
          </w:tcPr>
          <w:p w14:paraId="10EA6138">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2200</w:t>
            </w:r>
          </w:p>
        </w:tc>
        <w:tc>
          <w:tcPr>
            <w:tcW w:w="1085" w:type="dxa"/>
            <w:noWrap w:val="0"/>
            <w:vAlign w:val="center"/>
          </w:tcPr>
          <w:p w14:paraId="5149344C">
            <w:pPr>
              <w:pageBreakBefore w:val="0"/>
              <w:widowControl w:val="0"/>
              <w:spacing w:line="360" w:lineRule="auto"/>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941" w:type="dxa"/>
            <w:vMerge w:val="continue"/>
            <w:noWrap w:val="0"/>
            <w:vAlign w:val="center"/>
          </w:tcPr>
          <w:p w14:paraId="19831BBF">
            <w:pPr>
              <w:pageBreakBefore w:val="0"/>
              <w:widowControl w:val="0"/>
              <w:spacing w:line="360" w:lineRule="auto"/>
              <w:jc w:val="center"/>
              <w:rPr>
                <w:rFonts w:hint="eastAsia" w:ascii="宋体" w:hAnsi="宋体" w:eastAsia="宋体" w:cs="宋体"/>
                <w:color w:val="auto"/>
                <w:kern w:val="0"/>
                <w:sz w:val="24"/>
                <w:szCs w:val="24"/>
                <w:vertAlign w:val="baseline"/>
              </w:rPr>
            </w:pPr>
          </w:p>
        </w:tc>
      </w:tr>
    </w:tbl>
    <w:p w14:paraId="0E94CF9F">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p>
    <w:p w14:paraId="27DCCBB2">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为避免供应商非理性报价、恶意低价谋取入围影响项目实施，防止政府采购领域“内卷式”竞争，形成优质优价、良性竞争的市场秩序，采购人授权评审小组在评审过程中发现下列情形之一时，按照财政部财库〔2026〕2号《关于推动解决政府采购异常低价问题的通知》规定，启动异常低价投标（响应）审查程序：</w:t>
      </w:r>
    </w:p>
    <w:p w14:paraId="3E3758AC">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1.投标（响应）报价低于全部通过符合性审查供应商投标（响应）报价平均值50%的，即投标（响应）报价&lt;全部通过符合性审查供应商投标（响应）报价平均值×50%；</w:t>
      </w:r>
    </w:p>
    <w:p w14:paraId="2E9AD50C">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2.投标（响应）报价低于通过符合性审查的次低报价供应商投标（响应）报价50%的，即投标（响应）报价&lt;通过符合性审查的次低报价供应商投标（响应）报价×50%；</w:t>
      </w:r>
    </w:p>
    <w:p w14:paraId="3B85F75E">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3.投标（响应）报价低于采购项目最高限价45%的，即投标（响应）报价&lt;采购项目最高限价×45%；</w:t>
      </w:r>
    </w:p>
    <w:p w14:paraId="41C60598">
      <w:pPr>
        <w:widowControl w:val="0"/>
        <w:spacing w:after="120" w:line="360" w:lineRule="auto"/>
        <w:ind w:left="0" w:leftChars="0" w:firstLine="0" w:firstLineChars="0"/>
        <w:jc w:val="both"/>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4.评审委员会基于专业判断，认为供应商报价过低，有可能影响产品质量或者不能诚信履约的其他情形。</w:t>
      </w:r>
    </w:p>
    <w:p w14:paraId="3D80BA36">
      <w:pPr>
        <w:rPr>
          <w:rFonts w:hint="eastAsia" w:ascii="黑体" w:eastAsia="黑体"/>
          <w:color w:val="auto"/>
          <w:sz w:val="44"/>
          <w:szCs w:val="44"/>
          <w:highlight w:val="none"/>
          <w:lang w:val="en-US" w:eastAsia="zh-CN"/>
        </w:rPr>
      </w:pPr>
      <w:r>
        <w:rPr>
          <w:rFonts w:hint="eastAsia" w:ascii="黑体" w:eastAsia="黑体"/>
          <w:color w:val="auto"/>
          <w:sz w:val="44"/>
          <w:szCs w:val="44"/>
          <w:highlight w:val="none"/>
          <w:lang w:val="en-US" w:eastAsia="zh-CN"/>
        </w:rPr>
        <w:t xml:space="preserve">  </w:t>
      </w:r>
    </w:p>
    <w:p w14:paraId="30E1C11B">
      <w:pPr>
        <w:widowControl w:val="0"/>
        <w:spacing w:after="120" w:line="360" w:lineRule="auto"/>
        <w:ind w:left="420" w:firstLine="420"/>
        <w:jc w:val="both"/>
        <w:rPr>
          <w:rFonts w:hint="eastAsia" w:ascii="黑体" w:hAnsi="宋体" w:eastAsia="黑体" w:cs="Times New Roman"/>
          <w:color w:val="auto"/>
          <w:sz w:val="44"/>
          <w:szCs w:val="44"/>
          <w:highlight w:val="none"/>
          <w:lang w:val="en-US" w:eastAsia="zh-CN" w:bidi="ar-SA"/>
        </w:rPr>
      </w:pPr>
    </w:p>
    <w:p w14:paraId="5D10B4F0">
      <w:pPr>
        <w:widowControl w:val="0"/>
        <w:spacing w:after="120" w:line="360" w:lineRule="auto"/>
        <w:ind w:left="420" w:firstLine="420"/>
        <w:jc w:val="both"/>
        <w:rPr>
          <w:rFonts w:hint="eastAsia" w:ascii="黑体" w:hAnsi="宋体" w:eastAsia="黑体" w:cs="Times New Roman"/>
          <w:color w:val="auto"/>
          <w:sz w:val="44"/>
          <w:szCs w:val="44"/>
          <w:highlight w:val="none"/>
          <w:lang w:val="en-US" w:eastAsia="zh-CN" w:bidi="ar-SA"/>
        </w:rPr>
      </w:pPr>
    </w:p>
    <w:p w14:paraId="05F15E27">
      <w:pPr>
        <w:widowControl w:val="0"/>
        <w:spacing w:after="120" w:line="360" w:lineRule="auto"/>
        <w:ind w:left="420" w:firstLine="420"/>
        <w:jc w:val="both"/>
        <w:rPr>
          <w:rFonts w:hint="eastAsia" w:ascii="黑体" w:hAnsi="宋体" w:eastAsia="黑体" w:cs="Times New Roman"/>
          <w:color w:val="auto"/>
          <w:sz w:val="44"/>
          <w:szCs w:val="44"/>
          <w:highlight w:val="none"/>
          <w:lang w:val="en-US" w:eastAsia="zh-CN" w:bidi="ar-SA"/>
        </w:rPr>
      </w:pPr>
    </w:p>
    <w:p w14:paraId="3CE7BDC4">
      <w:pPr>
        <w:jc w:val="both"/>
        <w:rPr>
          <w:rFonts w:hint="eastAsia" w:ascii="黑体" w:eastAsia="黑体"/>
          <w:color w:val="auto"/>
          <w:sz w:val="44"/>
          <w:szCs w:val="44"/>
          <w:highlight w:val="none"/>
        </w:rPr>
        <w:sectPr>
          <w:footerReference r:id="rId3" w:type="default"/>
          <w:pgSz w:w="11906" w:h="16838"/>
          <w:pgMar w:top="1418" w:right="1418" w:bottom="1418" w:left="1361" w:header="851" w:footer="737" w:gutter="0"/>
          <w:pgNumType w:fmt="decimal"/>
          <w:cols w:space="720" w:num="1"/>
          <w:docGrid w:linePitch="312" w:charSpace="0"/>
        </w:sectPr>
      </w:pPr>
    </w:p>
    <w:p w14:paraId="4302F666">
      <w:pPr>
        <w:keepNext/>
        <w:widowControl w:val="0"/>
        <w:jc w:val="center"/>
        <w:outlineLvl w:val="0"/>
        <w:rPr>
          <w:rFonts w:hint="default" w:ascii="黑体" w:hAnsi="Times New Roman" w:eastAsia="黑体" w:cs="Times New Roman"/>
          <w:color w:val="auto"/>
          <w:sz w:val="44"/>
          <w:szCs w:val="44"/>
          <w:highlight w:val="none"/>
          <w:lang w:val="en-US" w:eastAsia="zh-CN" w:bidi="ar-SA"/>
        </w:rPr>
      </w:pPr>
      <w:r>
        <w:rPr>
          <w:rFonts w:hint="eastAsia" w:ascii="黑体" w:hAnsi="Times New Roman" w:eastAsia="黑体" w:cs="Times New Roman"/>
          <w:color w:val="auto"/>
          <w:sz w:val="44"/>
          <w:szCs w:val="44"/>
          <w:highlight w:val="none"/>
          <w:lang w:val="en-US" w:eastAsia="zh-CN" w:bidi="ar-SA"/>
        </w:rPr>
        <w:t>第四章  采购需求</w:t>
      </w:r>
    </w:p>
    <w:p w14:paraId="22A507F4">
      <w:pPr>
        <w:pageBreakBefore w:val="0"/>
        <w:widowControl w:val="0"/>
        <w:spacing w:line="540" w:lineRule="exact"/>
        <w:ind w:firstLine="422"/>
        <w:rPr>
          <w:rFonts w:hint="eastAsia" w:ascii="宋体" w:hAnsi="宋体" w:eastAsia="宋体" w:cs="宋体"/>
          <w:b/>
          <w:color w:val="auto"/>
          <w:kern w:val="0"/>
          <w:sz w:val="24"/>
          <w:szCs w:val="24"/>
          <w:highlight w:val="none"/>
          <w:lang w:val="zh-CN"/>
        </w:rPr>
      </w:pPr>
      <w:r>
        <w:rPr>
          <w:rFonts w:hint="eastAsia" w:ascii="宋体" w:hAnsi="宋体" w:eastAsia="宋体" w:cs="宋体"/>
          <w:b/>
          <w:color w:val="auto"/>
          <w:kern w:val="0"/>
          <w:sz w:val="24"/>
          <w:szCs w:val="24"/>
          <w:highlight w:val="none"/>
          <w:lang w:val="zh-CN"/>
        </w:rPr>
        <w:t>一、项目背景</w:t>
      </w:r>
    </w:p>
    <w:p w14:paraId="28DE225E">
      <w:pPr>
        <w:pageBreakBefore w:val="0"/>
        <w:widowControl w:val="0"/>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zh-CN"/>
        </w:rPr>
        <w:t>为全面落实《</w:t>
      </w:r>
      <w:r>
        <w:rPr>
          <w:rFonts w:hint="eastAsia" w:ascii="宋体" w:hAnsi="宋体" w:eastAsia="宋体" w:cs="宋体"/>
          <w:color w:val="auto"/>
          <w:kern w:val="0"/>
          <w:sz w:val="24"/>
          <w:szCs w:val="24"/>
          <w:highlight w:val="none"/>
          <w:lang w:val="en-US" w:eastAsia="zh-CN"/>
        </w:rPr>
        <w:t>行政复议法》</w:t>
      </w:r>
      <w:r>
        <w:rPr>
          <w:rFonts w:hint="eastAsia" w:ascii="宋体" w:hAnsi="宋体" w:eastAsia="宋体" w:cs="宋体"/>
          <w:color w:val="auto"/>
          <w:kern w:val="0"/>
          <w:sz w:val="24"/>
          <w:szCs w:val="24"/>
          <w:highlight w:val="none"/>
          <w:lang w:val="zh-CN"/>
        </w:rPr>
        <w:t>《法律援助法》《办理法律援助案件程序规定》，更好地满足人民群众日益增长的法律服务需求。拟对202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年法律援助工作、</w:t>
      </w:r>
      <w:r>
        <w:rPr>
          <w:rFonts w:hint="eastAsia" w:ascii="宋体" w:hAnsi="宋体" w:eastAsia="宋体" w:cs="宋体"/>
          <w:color w:val="auto"/>
          <w:kern w:val="0"/>
          <w:sz w:val="24"/>
          <w:szCs w:val="24"/>
          <w:highlight w:val="none"/>
          <w:lang w:val="en-US" w:eastAsia="zh-CN"/>
        </w:rPr>
        <w:t>行政复议工作、行政诉讼工作</w:t>
      </w:r>
      <w:r>
        <w:rPr>
          <w:rFonts w:hint="eastAsia" w:ascii="宋体" w:hAnsi="宋体" w:eastAsia="宋体" w:cs="宋体"/>
          <w:color w:val="auto"/>
          <w:kern w:val="0"/>
          <w:sz w:val="24"/>
          <w:szCs w:val="24"/>
          <w:highlight w:val="none"/>
          <w:lang w:val="zh-CN"/>
        </w:rPr>
        <w:t>以框架协议的方式进行采购。框架协议主要包括以下内容：1、法律咨询；2、代拟法律文书；3、办理法律援助</w:t>
      </w:r>
      <w:r>
        <w:rPr>
          <w:rFonts w:hint="eastAsia" w:ascii="宋体" w:hAnsi="宋体" w:eastAsia="宋体" w:cs="宋体"/>
          <w:color w:val="auto"/>
          <w:kern w:val="0"/>
          <w:sz w:val="24"/>
          <w:szCs w:val="24"/>
          <w:highlight w:val="none"/>
          <w:lang w:val="en-US" w:eastAsia="zh-CN"/>
        </w:rPr>
        <w:t>(帮助)</w:t>
      </w:r>
      <w:r>
        <w:rPr>
          <w:rFonts w:hint="eastAsia" w:ascii="宋体" w:hAnsi="宋体" w:eastAsia="宋体" w:cs="宋体"/>
          <w:color w:val="auto"/>
          <w:kern w:val="0"/>
          <w:sz w:val="24"/>
          <w:szCs w:val="24"/>
          <w:highlight w:val="none"/>
          <w:lang w:val="zh-CN"/>
        </w:rPr>
        <w:t>案件；4、接听12348法律服务热线电话；5、法律援助站点服务工作；6、辅助</w:t>
      </w:r>
      <w:r>
        <w:rPr>
          <w:rFonts w:hint="eastAsia" w:ascii="宋体" w:hAnsi="宋体" w:eastAsia="宋体" w:cs="宋体"/>
          <w:color w:val="auto"/>
          <w:kern w:val="0"/>
          <w:sz w:val="24"/>
          <w:szCs w:val="24"/>
          <w:highlight w:val="none"/>
          <w:lang w:val="en-US" w:eastAsia="zh-CN"/>
        </w:rPr>
        <w:t>办理</w:t>
      </w:r>
      <w:r>
        <w:rPr>
          <w:rFonts w:hint="eastAsia" w:ascii="宋体" w:hAnsi="宋体" w:eastAsia="宋体" w:cs="宋体"/>
          <w:color w:val="auto"/>
          <w:kern w:val="0"/>
          <w:sz w:val="24"/>
          <w:szCs w:val="24"/>
          <w:highlight w:val="none"/>
          <w:lang w:val="zh-CN"/>
        </w:rPr>
        <w:t>行政复议案件；</w:t>
      </w:r>
      <w:r>
        <w:rPr>
          <w:rFonts w:hint="eastAsia" w:ascii="宋体" w:hAnsi="宋体" w:eastAsia="宋体" w:cs="宋体"/>
          <w:color w:val="auto"/>
          <w:kern w:val="0"/>
          <w:sz w:val="24"/>
          <w:szCs w:val="24"/>
          <w:highlight w:val="none"/>
          <w:lang w:val="en-US" w:eastAsia="zh-CN"/>
        </w:rPr>
        <w:t>7、代理行政诉讼案件；8、其他事项。</w:t>
      </w:r>
    </w:p>
    <w:p w14:paraId="3A0E4C6A">
      <w:pPr>
        <w:pageBreakBefore w:val="0"/>
        <w:widowControl w:val="0"/>
        <w:spacing w:line="540" w:lineRule="exact"/>
        <w:ind w:firstLine="422"/>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二、服务</w:t>
      </w:r>
      <w:r>
        <w:rPr>
          <w:rFonts w:hint="eastAsia" w:ascii="宋体" w:hAnsi="宋体" w:eastAsia="宋体" w:cs="宋体"/>
          <w:b/>
          <w:bCs/>
          <w:color w:val="auto"/>
          <w:kern w:val="0"/>
          <w:sz w:val="24"/>
          <w:szCs w:val="24"/>
          <w:highlight w:val="none"/>
          <w:lang w:val="en-US" w:eastAsia="zh-CN"/>
        </w:rPr>
        <w:t>范围及要求</w:t>
      </w:r>
    </w:p>
    <w:p w14:paraId="5E8F524A">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一）法律援助</w:t>
      </w:r>
    </w:p>
    <w:p w14:paraId="4127C8DD">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包含但不限于以下内容：</w:t>
      </w:r>
      <w:r>
        <w:rPr>
          <w:rFonts w:hint="eastAsia" w:ascii="宋体" w:hAnsi="宋体" w:eastAsia="宋体" w:cs="宋体"/>
          <w:color w:val="auto"/>
          <w:kern w:val="0"/>
          <w:sz w:val="24"/>
          <w:szCs w:val="24"/>
          <w:highlight w:val="none"/>
          <w:lang w:val="en-US" w:eastAsia="zh-CN"/>
        </w:rPr>
        <w:t>入围供应商</w:t>
      </w:r>
      <w:r>
        <w:rPr>
          <w:rFonts w:hint="eastAsia" w:ascii="宋体" w:hAnsi="宋体" w:eastAsia="宋体" w:cs="宋体"/>
          <w:color w:val="auto"/>
          <w:kern w:val="0"/>
          <w:sz w:val="24"/>
          <w:szCs w:val="24"/>
          <w:highlight w:val="none"/>
        </w:rPr>
        <w:t>派驻法律援助人员（律师、基层法律服务工作者）按照</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下属事业单位江宁区法律援助中心的指派，在法律援助窗口、工作站点值班；提供接待法律咨询、代办法律援助申请、代书服务；完成办理案件、卷宗归档、质量评估等工作；配合区法律援助中心做好法律援助宣传及志愿等服务；完成</w:t>
      </w:r>
      <w:r>
        <w:rPr>
          <w:rFonts w:hint="eastAsia" w:ascii="宋体" w:hAnsi="宋体" w:eastAsia="宋体" w:cs="宋体"/>
          <w:color w:val="auto"/>
          <w:kern w:val="0"/>
          <w:sz w:val="24"/>
          <w:szCs w:val="24"/>
          <w:highlight w:val="none"/>
          <w:lang w:eastAsia="zh-CN"/>
        </w:rPr>
        <w:t>与法律援助相关的其它</w:t>
      </w:r>
      <w:r>
        <w:rPr>
          <w:rFonts w:hint="eastAsia" w:ascii="宋体" w:hAnsi="宋体" w:eastAsia="宋体" w:cs="宋体"/>
          <w:color w:val="auto"/>
          <w:kern w:val="0"/>
          <w:sz w:val="24"/>
          <w:szCs w:val="24"/>
          <w:highlight w:val="none"/>
        </w:rPr>
        <w:t>工作。</w:t>
      </w:r>
    </w:p>
    <w:p w14:paraId="0A4B230F">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法律咨询。根据江宁区法律援助中心工作要求，</w:t>
      </w:r>
      <w:r>
        <w:rPr>
          <w:rFonts w:hint="eastAsia" w:ascii="宋体" w:hAnsi="宋体" w:eastAsia="宋体" w:cs="宋体"/>
          <w:color w:val="auto"/>
          <w:kern w:val="0"/>
          <w:sz w:val="24"/>
          <w:szCs w:val="24"/>
          <w:highlight w:val="none"/>
        </w:rPr>
        <w:t>在法律援助窗口</w:t>
      </w:r>
      <w:r>
        <w:rPr>
          <w:rFonts w:hint="eastAsia" w:ascii="宋体" w:hAnsi="宋体" w:eastAsia="宋体" w:cs="宋体"/>
          <w:color w:val="auto"/>
          <w:kern w:val="0"/>
          <w:sz w:val="24"/>
          <w:szCs w:val="24"/>
          <w:highlight w:val="none"/>
          <w:lang w:val="en-US" w:eastAsia="zh-CN"/>
        </w:rPr>
        <w:t>值班</w:t>
      </w:r>
      <w:r>
        <w:rPr>
          <w:rFonts w:hint="eastAsia" w:ascii="宋体" w:hAnsi="宋体" w:eastAsia="宋体" w:cs="宋体"/>
          <w:color w:val="auto"/>
          <w:kern w:val="0"/>
          <w:sz w:val="24"/>
          <w:szCs w:val="24"/>
          <w:highlight w:val="none"/>
        </w:rPr>
        <w:t>、工作站点值班</w:t>
      </w:r>
      <w:r>
        <w:rPr>
          <w:rFonts w:hint="eastAsia" w:ascii="宋体" w:hAnsi="宋体" w:eastAsia="宋体" w:cs="宋体"/>
          <w:color w:val="auto"/>
          <w:kern w:val="0"/>
          <w:sz w:val="24"/>
          <w:szCs w:val="24"/>
          <w:highlight w:val="none"/>
          <w:lang w:eastAsia="zh-CN"/>
        </w:rPr>
        <w:t>、参与其他各类法律援助公益活动等，</w:t>
      </w:r>
      <w:r>
        <w:rPr>
          <w:rFonts w:hint="eastAsia" w:ascii="宋体" w:hAnsi="宋体" w:eastAsia="宋体" w:cs="宋体"/>
          <w:color w:val="auto"/>
          <w:kern w:val="0"/>
          <w:sz w:val="24"/>
          <w:szCs w:val="24"/>
          <w:highlight w:val="none"/>
          <w:lang w:val="en-US" w:eastAsia="zh-CN"/>
        </w:rPr>
        <w:t>具体由采购人指定。</w:t>
      </w:r>
    </w:p>
    <w:p w14:paraId="394205E4">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代</w:t>
      </w:r>
      <w:r>
        <w:rPr>
          <w:rFonts w:hint="eastAsia" w:ascii="宋体" w:hAnsi="宋体" w:eastAsia="宋体" w:cs="宋体"/>
          <w:color w:val="auto"/>
          <w:kern w:val="0"/>
          <w:sz w:val="24"/>
          <w:szCs w:val="24"/>
          <w:highlight w:val="none"/>
        </w:rPr>
        <w:t>拟</w:t>
      </w:r>
      <w:r>
        <w:rPr>
          <w:rFonts w:hint="eastAsia" w:ascii="宋体" w:hAnsi="宋体" w:eastAsia="宋体" w:cs="宋体"/>
          <w:color w:val="auto"/>
          <w:kern w:val="0"/>
          <w:sz w:val="24"/>
          <w:szCs w:val="24"/>
          <w:highlight w:val="none"/>
          <w:lang w:eastAsia="zh-CN"/>
        </w:rPr>
        <w:t>法律文书。经</w:t>
      </w:r>
      <w:r>
        <w:rPr>
          <w:rFonts w:hint="eastAsia" w:ascii="宋体" w:hAnsi="宋体" w:eastAsia="宋体" w:cs="宋体"/>
          <w:color w:val="auto"/>
          <w:kern w:val="0"/>
          <w:sz w:val="24"/>
          <w:szCs w:val="24"/>
          <w:highlight w:val="none"/>
          <w:lang w:val="en-US" w:eastAsia="zh-CN"/>
        </w:rPr>
        <w:t>区</w:t>
      </w:r>
      <w:r>
        <w:rPr>
          <w:rFonts w:hint="eastAsia" w:ascii="宋体" w:hAnsi="宋体" w:eastAsia="宋体" w:cs="宋体"/>
          <w:color w:val="auto"/>
          <w:kern w:val="0"/>
          <w:sz w:val="24"/>
          <w:szCs w:val="24"/>
          <w:highlight w:val="none"/>
          <w:lang w:eastAsia="zh-CN"/>
        </w:rPr>
        <w:t>法律援助中心工作人员审核后，为经济困难当事人代</w:t>
      </w:r>
      <w:r>
        <w:rPr>
          <w:rFonts w:hint="eastAsia" w:ascii="宋体" w:hAnsi="宋体" w:eastAsia="宋体" w:cs="宋体"/>
          <w:color w:val="auto"/>
          <w:kern w:val="0"/>
          <w:sz w:val="24"/>
          <w:szCs w:val="24"/>
          <w:highlight w:val="none"/>
        </w:rPr>
        <w:t>拟</w:t>
      </w:r>
      <w:r>
        <w:rPr>
          <w:rFonts w:hint="eastAsia" w:ascii="宋体" w:hAnsi="宋体" w:eastAsia="宋体" w:cs="宋体"/>
          <w:color w:val="auto"/>
          <w:kern w:val="0"/>
          <w:sz w:val="24"/>
          <w:szCs w:val="24"/>
          <w:highlight w:val="none"/>
          <w:lang w:eastAsia="zh-CN"/>
        </w:rPr>
        <w:t>法律文书。</w:t>
      </w:r>
    </w:p>
    <w:p w14:paraId="3786CBF0">
      <w:pPr>
        <w:pageBreakBefore w:val="0"/>
        <w:widowControl w:val="0"/>
        <w:numPr>
          <w:ilvl w:val="0"/>
          <w:numId w:val="0"/>
        </w:numPr>
        <w:spacing w:line="540" w:lineRule="exact"/>
        <w:ind w:firstLine="21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 xml:space="preserve">  3、</w:t>
      </w:r>
      <w:r>
        <w:rPr>
          <w:rFonts w:hint="eastAsia" w:ascii="宋体" w:hAnsi="宋体" w:eastAsia="宋体" w:cs="宋体"/>
          <w:color w:val="auto"/>
          <w:kern w:val="0"/>
          <w:sz w:val="24"/>
          <w:szCs w:val="24"/>
          <w:highlight w:val="none"/>
          <w:lang w:val="zh-CN" w:eastAsia="zh-CN"/>
        </w:rPr>
        <w:t>办理法律援助案件。</w:t>
      </w:r>
      <w:r>
        <w:rPr>
          <w:rFonts w:hint="eastAsia" w:ascii="宋体" w:hAnsi="宋体" w:eastAsia="宋体" w:cs="宋体"/>
          <w:color w:val="auto"/>
          <w:kern w:val="0"/>
          <w:sz w:val="24"/>
          <w:szCs w:val="24"/>
          <w:highlight w:val="none"/>
          <w:lang w:val="en-US" w:eastAsia="zh-CN"/>
        </w:rPr>
        <w:t>接受区法律援助中心的指派，办理刑事案件、认罪认罚法律帮助案件；办理</w:t>
      </w:r>
      <w:r>
        <w:rPr>
          <w:rFonts w:hint="eastAsia" w:ascii="宋体" w:hAnsi="宋体" w:eastAsia="宋体" w:cs="宋体"/>
          <w:color w:val="auto"/>
          <w:kern w:val="0"/>
          <w:sz w:val="24"/>
          <w:szCs w:val="24"/>
          <w:highlight w:val="none"/>
          <w:lang w:val="zh-CN"/>
        </w:rPr>
        <w:t>民事案件、行政案件、劳动争议仲裁案件以及国家赔偿案件。</w:t>
      </w:r>
    </w:p>
    <w:p w14:paraId="35E0736F">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4、接听12348法律服务热线电话。在12348法律服务热线办公室接听群众来电，解答群众咨询的法律问题。同时做好12348法律服务事项相关工作。工作日9：00-18：00。</w:t>
      </w:r>
    </w:p>
    <w:p w14:paraId="07ADAB79">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5、零工市场法律援助工作站综合工作。在江苏省零工市场服务大厅法律咨询窗口值班，提供法律咨询和</w:t>
      </w:r>
      <w:r>
        <w:rPr>
          <w:rFonts w:hint="eastAsia" w:ascii="宋体" w:hAnsi="宋体" w:eastAsia="宋体" w:cs="宋体"/>
          <w:color w:val="auto"/>
          <w:kern w:val="0"/>
          <w:sz w:val="24"/>
          <w:szCs w:val="24"/>
          <w:highlight w:val="none"/>
          <w:lang w:eastAsia="zh-CN"/>
        </w:rPr>
        <w:t>代</w:t>
      </w:r>
      <w:r>
        <w:rPr>
          <w:rFonts w:hint="eastAsia" w:ascii="宋体" w:hAnsi="宋体" w:eastAsia="宋体" w:cs="宋体"/>
          <w:color w:val="auto"/>
          <w:kern w:val="0"/>
          <w:sz w:val="24"/>
          <w:szCs w:val="24"/>
          <w:highlight w:val="none"/>
        </w:rPr>
        <w:t>拟</w:t>
      </w:r>
      <w:r>
        <w:rPr>
          <w:rFonts w:hint="eastAsia" w:ascii="宋体" w:hAnsi="宋体" w:eastAsia="宋体" w:cs="宋体"/>
          <w:color w:val="auto"/>
          <w:kern w:val="0"/>
          <w:sz w:val="24"/>
          <w:szCs w:val="24"/>
          <w:highlight w:val="none"/>
          <w:lang w:eastAsia="zh-CN"/>
        </w:rPr>
        <w:t>法律文书</w:t>
      </w:r>
      <w:r>
        <w:rPr>
          <w:rFonts w:hint="eastAsia" w:ascii="宋体" w:hAnsi="宋体" w:eastAsia="宋体" w:cs="宋体"/>
          <w:color w:val="auto"/>
          <w:kern w:val="0"/>
          <w:sz w:val="24"/>
          <w:szCs w:val="24"/>
          <w:highlight w:val="none"/>
          <w:lang w:val="en-US" w:eastAsia="zh-CN"/>
        </w:rPr>
        <w:t>服务，如有特殊情况，值班次数相应增加。开展法治宣传或讲座10场次，同时做好代办转交法律援助申请材料、指引等相关工作。值班时间：周一、周四上午9：00--12：00。工作地点：江宁区菲尼克斯路70号。</w:t>
      </w:r>
    </w:p>
    <w:p w14:paraId="13054086">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6、区劳动人事争议法律援助工作站综合工作。按照实际工作量采购律所家数，每个律所派驻不少于1名律师在区法律援助中心坐班，专门从事法律援助工作。遵守采购人及驻点单位的各项规章制度，按照区法律援助中心的安排或指派，在法律咨询窗口值班，提供法律咨询和代拟法律文书服务，每年办理民事法律援助案件400件（包括个案和群案，其中个案不少于30件），同时做好</w:t>
      </w:r>
      <w:r>
        <w:rPr>
          <w:rFonts w:hint="eastAsia" w:ascii="宋体" w:hAnsi="宋体" w:eastAsia="宋体" w:cs="宋体"/>
          <w:color w:val="auto"/>
          <w:kern w:val="0"/>
          <w:sz w:val="24"/>
          <w:szCs w:val="24"/>
          <w:highlight w:val="none"/>
          <w:lang w:eastAsia="zh-CN"/>
        </w:rPr>
        <w:t>与法律援助相关的其它</w:t>
      </w:r>
      <w:r>
        <w:rPr>
          <w:rFonts w:hint="eastAsia" w:ascii="宋体" w:hAnsi="宋体" w:eastAsia="宋体" w:cs="宋体"/>
          <w:color w:val="auto"/>
          <w:kern w:val="0"/>
          <w:sz w:val="24"/>
          <w:szCs w:val="24"/>
          <w:highlight w:val="none"/>
        </w:rPr>
        <w:t>工作。</w:t>
      </w:r>
    </w:p>
    <w:p w14:paraId="6F98282C">
      <w:pPr>
        <w:pageBreakBefore w:val="0"/>
        <w:widowControl w:val="0"/>
        <w:numPr>
          <w:ilvl w:val="0"/>
          <w:numId w:val="0"/>
        </w:numPr>
        <w:spacing w:line="540" w:lineRule="exact"/>
        <w:ind w:firstLine="42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eastAsia="zh-CN"/>
        </w:rPr>
        <w:t>法律、法规、规章规定的其他事项。</w:t>
      </w:r>
    </w:p>
    <w:p w14:paraId="313A366B">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（二）行政复议、行政诉讼</w:t>
      </w:r>
    </w:p>
    <w:p w14:paraId="06FC4BF7">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包括但不限于以下内容：入围供应商指派1名以上执业律师提供驻场服务，按照区行政复议中心指派，在指定窗口值班，接待法律咨询及案件材料接收；辅助办理行政复议案件、代理行政诉讼案件；完成交办的其他法律事务工作。</w:t>
      </w:r>
    </w:p>
    <w:p w14:paraId="24D0C97C">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1、窗口值班。在指定窗口值班，提供法律咨询和文书接收服务。</w:t>
      </w:r>
    </w:p>
    <w:p w14:paraId="12C161D4">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辅助办理行政复议案件。接待当事人阅卷、依法听取意见、辅助办理调查和听证的事务性工作、协助开展行政争议调解化解、提供法律意见等。（派驻人员仅承担行政复议案件的辅助性、事务性工作，应当在行政复议员的直接指导和监督下开展工作，不独立办理案件，不独立调查取证、主持听证，不行使行政复议决定权。行政复议案件的审理、合议、决定等核心职能，由行政复议员依法履行。）</w:t>
      </w:r>
    </w:p>
    <w:p w14:paraId="08FF3359">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3、代理行政诉讼案件。按照区行政复议中心指派，代理行政诉讼案件，依法参加行政诉讼案件答辩、庭审、协助参与调解等活动。</w:t>
      </w:r>
    </w:p>
    <w:p w14:paraId="1D39FB63">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4、案卷管理。按有关规定，及时整理案件材料并移交行政复议中心。</w:t>
      </w:r>
    </w:p>
    <w:p w14:paraId="4EAA19AA">
      <w:pPr>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5、其他事项。</w:t>
      </w:r>
    </w:p>
    <w:p w14:paraId="657857BB">
      <w:pPr>
        <w:pageBreakBefore w:val="0"/>
        <w:widowControl w:val="0"/>
        <w:spacing w:line="540" w:lineRule="exact"/>
        <w:ind w:firstLine="422"/>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三、服务标准</w:t>
      </w:r>
    </w:p>
    <w:p w14:paraId="1A5D9B6B">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法律咨询。做好咨询人来访、来电的咨询接待，认真倾听其陈述，了解案件事实、证据和法律诉求等情况，介绍相关法律、法规及政策性规定，告知相关权利义务，依照事实和法律为咨询人进行必要的介绍、答疑、指引；做好接待记录。</w:t>
      </w:r>
    </w:p>
    <w:p w14:paraId="22EBCD49">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代拟法律文书。应当按照当事人的意志和要求以当事人的名义，根据当事人提供的事实和证据依法提供代拟法律文书服务；不得故意夸大或者曲解当事人的意思；当事人提出无理或者非法要求时，可以进行说服规劝。</w:t>
      </w:r>
    </w:p>
    <w:p w14:paraId="4139D82C">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3、办理法律援助案件。</w:t>
      </w:r>
      <w:r>
        <w:rPr>
          <w:rFonts w:hint="eastAsia" w:ascii="宋体" w:hAnsi="宋体" w:eastAsia="宋体" w:cs="宋体"/>
          <w:color w:val="auto"/>
          <w:kern w:val="0"/>
          <w:sz w:val="24"/>
          <w:szCs w:val="24"/>
          <w:highlight w:val="none"/>
          <w:lang w:val="en-US" w:eastAsia="zh-CN"/>
        </w:rPr>
        <w:t>接受区法律援助中心指派办理法律援助案件。</w:t>
      </w:r>
      <w:r>
        <w:rPr>
          <w:rFonts w:hint="eastAsia" w:ascii="宋体" w:hAnsi="宋体" w:eastAsia="宋体" w:cs="宋体"/>
          <w:bCs/>
          <w:color w:val="auto"/>
          <w:kern w:val="0"/>
          <w:sz w:val="24"/>
          <w:szCs w:val="24"/>
          <w:highlight w:val="none"/>
          <w:lang w:val="en-US" w:eastAsia="zh-CN"/>
        </w:rPr>
        <w:t>法律援助案件质量标准按照《法律援助法》、司法部的《办理法律援助案件程序规定》《全国民事行政法律援助案件质量同行评估规则》《全国刑事法律援助案件质量同行评估规则》要求执行。法律援助案件自结案之日起30日内提交符合格式及质量要求的案件卷宗，同时在江苏省法律援助办案系统上录入办案信息等内容，将案件设为“办结”状态。在移交案件卷宗时，经区法律援助中心工作人员初步查验，卷宗材料符合要求的收下，不符合要求的退回整改，直到卷宗材料符合要求再次报送。</w:t>
      </w:r>
    </w:p>
    <w:p w14:paraId="0EBC609B">
      <w:pPr>
        <w:widowControl w:val="0"/>
        <w:spacing w:after="0" w:line="360" w:lineRule="auto"/>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辅助办理行政复议案件。按照《行政复议法》《江苏省行政复议办案规程》等规定，在法定期限内辅助完成案件受理、听取意见、调查、听证、调解并提出书面法律意见。结案后30日内将案卷材料整理并移交行政复议中心。</w:t>
      </w:r>
    </w:p>
    <w:p w14:paraId="3A467FA3">
      <w:pPr>
        <w:widowControl w:val="0"/>
        <w:spacing w:after="0" w:line="360" w:lineRule="auto"/>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代理行政诉讼案件。按照《行政诉讼法》及司法解释等规定，在答辩期限内提交应诉材料，按时参加庭审等诉讼活动。行政诉讼案件由供应商指派律所主任或合伙人承办并参与庭审活动。结案后30日内将案卷材料整理并移交行政复议中心。</w:t>
      </w:r>
    </w:p>
    <w:p w14:paraId="3287E6C4">
      <w:pPr>
        <w:pageBreakBefore w:val="0"/>
        <w:widowControl w:val="0"/>
        <w:spacing w:line="540" w:lineRule="exact"/>
        <w:ind w:firstLine="422"/>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四、服务能力证明及人员要求</w:t>
      </w:r>
    </w:p>
    <w:p w14:paraId="07CD2BE2">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1、服务能力证明：</w:t>
      </w:r>
    </w:p>
    <w:p w14:paraId="4C65953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ind w:firstLine="240" w:firstLineChars="1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lang w:val="en-US" w:eastAsia="zh-CN" w:bidi="ar-SA"/>
        </w:rPr>
        <w:t>*1.1法律服务能力证明：供应商需提供至少2个，</w:t>
      </w:r>
      <w:r>
        <w:rPr>
          <w:rFonts w:hint="eastAsia" w:ascii="宋体" w:hAnsi="宋体" w:eastAsia="宋体" w:cs="宋体"/>
          <w:color w:val="auto"/>
          <w:sz w:val="24"/>
          <w:szCs w:val="24"/>
          <w:highlight w:val="none"/>
          <w:lang w:val="en-US" w:eastAsia="zh-CN" w:bidi="ar-SA"/>
        </w:rPr>
        <w:t>自2023年1月1日（含）以来，承担的法律援助公益类项目、办理的法律援助案件或行政复议或行政诉讼案件。（提供项目合同（案件法律文书）或任务书（如无，也可提供相关主体出具的证明）或表彰牌照片或网络截图或行政复议决定书或人民法院裁判文书以及无否定性评价承诺书并加盖供应商单位公章，原件备查。所提供的证明材料需能体现相关要求，否则视为未提供），不接受负偏离，否则投标无效；</w:t>
      </w:r>
    </w:p>
    <w:p w14:paraId="1CD41FF7">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*1.2服务承诺：采购人提出需求后，承诺24小时内响应，并能及时增派律师（基层法律服务工作者）为采购人提供服务；（</w:t>
      </w:r>
      <w:bookmarkStart w:id="167" w:name="OLE_LINK3"/>
      <w:r>
        <w:rPr>
          <w:rFonts w:hint="eastAsia" w:ascii="宋体" w:hAnsi="宋体" w:eastAsia="宋体" w:cs="宋体"/>
          <w:color w:val="auto"/>
          <w:kern w:val="0"/>
          <w:sz w:val="24"/>
          <w:szCs w:val="24"/>
          <w:lang w:val="en-US" w:eastAsia="zh-CN"/>
        </w:rPr>
        <w:t>提供承诺书加盖公章，格式自拟。不接受负偏离，否则投标无效</w:t>
      </w:r>
      <w:bookmarkEnd w:id="167"/>
      <w:r>
        <w:rPr>
          <w:rFonts w:hint="eastAsia" w:ascii="宋体" w:hAnsi="宋体" w:eastAsia="宋体" w:cs="宋体"/>
          <w:color w:val="auto"/>
          <w:kern w:val="0"/>
          <w:sz w:val="24"/>
          <w:szCs w:val="24"/>
          <w:lang w:val="en-US" w:eastAsia="zh-CN"/>
        </w:rPr>
        <w:t>）；</w:t>
      </w:r>
    </w:p>
    <w:p w14:paraId="0E963C4E">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2、在服务期间，入围供应商未经允许不可随意更换项目人员，否则，采购人有权暂停其服务资格或解除合同。如确需调整，须经采购人许可，且新任人员必须满足相关的专业、经验要求。</w:t>
      </w:r>
    </w:p>
    <w:p w14:paraId="3A28CB30">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项目负责人：响应供应商拟投入本项目的项目负责人具有法学专业本科及以上学历，且执业年限满5年以上。（提供法律执业资格证书（或者执业年限证明）、毕业证书扫描件加盖响应供应商公章），不接受负偏离，否则投标无效；</w:t>
      </w:r>
    </w:p>
    <w:p w14:paraId="23F9B7D9">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项目组成员（不含项目负责人）：响应供应商需提供至少2名法律人员成立法律服务项目小组，要求专业配置合理，满足工作需要，有效提供工作支持。值班、办理民事案件需要执业满2年以上，办理刑事案件需要执业满3年以上，办理行政复议的法律助理需要本科及以上学历，法学专业，律师执业年需满2年，具有1年及以上行政法、行政诉讼法领域的实践经验；以上人员执业期间无不良执业记录，未受到过行业处分或行政处罚；</w:t>
      </w:r>
    </w:p>
    <w:p w14:paraId="21C6E5FC">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5、工作要求：</w:t>
      </w:r>
    </w:p>
    <w:p w14:paraId="3F163FCC">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（1）遵守宪法和法律法规，政治立场坚定，具有良好的个人品行和较强的社会责任感，热心法律援助公益事业；</w:t>
      </w:r>
    </w:p>
    <w:p w14:paraId="1B6EAA22">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（2）遵守执业纪律，有良好的职业道德和专业素养；</w:t>
      </w:r>
    </w:p>
    <w:p w14:paraId="06EA4F14">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（3）服从采购人的工作指派，自觉遵守各驻点单位的工作制度，与来访群众交流耐心，细致积极参与开展的宣传、志愿服务等活动；</w:t>
      </w:r>
    </w:p>
    <w:p w14:paraId="6DEB9A70">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（4）在办理法律援助案件时，应尽职尽责，确保法律援助案件质量和服务质量；</w:t>
      </w:r>
    </w:p>
    <w:p w14:paraId="25DC5D1A">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（5）依法维护受援人的合法权益；不得泄露办案中知晓的国家秘密与当事人的隐私；不得收取受援人的任何费用，不得接受当事人的礼品和吃请。</w:t>
      </w:r>
    </w:p>
    <w:p w14:paraId="406E1E3D">
      <w:pPr>
        <w:pageBreakBefore w:val="0"/>
        <w:widowControl w:val="0"/>
        <w:spacing w:line="540" w:lineRule="exact"/>
        <w:ind w:firstLine="211"/>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五、费用结算</w:t>
      </w:r>
    </w:p>
    <w:p w14:paraId="1692419B">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（一）法律援助</w:t>
      </w:r>
    </w:p>
    <w:p w14:paraId="71D80A93">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 xml:space="preserve">1、费用核算标准：根据入围供应商统一的优惠率报价（例如10%），例如优惠率为10%，成交价格=最高限制单价*（1-10%）计算服务费。（优惠率四舍五入，保留至小数点后2位）；  </w:t>
      </w:r>
    </w:p>
    <w:p w14:paraId="5C91F785">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color w:val="auto"/>
          <w:kern w:val="0"/>
          <w:sz w:val="24"/>
          <w:szCs w:val="24"/>
          <w:lang w:val="en-US" w:eastAsia="zh-CN"/>
        </w:rPr>
        <w:t>1.1、</w:t>
      </w:r>
      <w:r>
        <w:rPr>
          <w:rFonts w:hint="eastAsia" w:ascii="宋体" w:hAnsi="宋体" w:eastAsia="宋体" w:cs="宋体"/>
          <w:bCs/>
          <w:color w:val="auto"/>
          <w:kern w:val="0"/>
          <w:sz w:val="24"/>
          <w:szCs w:val="24"/>
          <w:highlight w:val="none"/>
          <w:lang w:val="en-US" w:eastAsia="zh-CN"/>
        </w:rPr>
        <w:t>办理3人以上（含3人）的群体性法律援助案件， 第1件补贴按</w:t>
      </w:r>
      <w:r>
        <w:rPr>
          <w:rFonts w:hint="eastAsia" w:ascii="宋体" w:hAnsi="宋体" w:eastAsia="宋体" w:cs="宋体"/>
          <w:color w:val="auto"/>
          <w:kern w:val="0"/>
          <w:sz w:val="24"/>
          <w:szCs w:val="24"/>
          <w:highlight w:val="none"/>
          <w:lang w:val="en-US" w:eastAsia="zh-CN" w:bidi="ar-SA"/>
        </w:rPr>
        <w:t>成交价格</w:t>
      </w:r>
      <w:r>
        <w:rPr>
          <w:rFonts w:hint="eastAsia" w:ascii="宋体" w:hAnsi="宋体" w:eastAsia="宋体" w:cs="宋体"/>
          <w:bCs/>
          <w:color w:val="auto"/>
          <w:kern w:val="0"/>
          <w:sz w:val="24"/>
          <w:szCs w:val="24"/>
          <w:highlight w:val="none"/>
          <w:lang w:val="en-US" w:eastAsia="zh-CN"/>
        </w:rPr>
        <w:t>全额发放，其余每件按照补贴200元支付。受援对象涉及聋哑人、少数民族、外国人等需要翻译的，每件案件增加翻译费补贴200-300元。翻译费补贴不参与折扣，翻译费用不再报销。</w:t>
      </w:r>
    </w:p>
    <w:p w14:paraId="5D6DD20D">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1.2、因申请人撤销申请、办案机关撤销通知辩护、办案机关案件移送、法律援助机构终止法律援助等原因导致法律援助案件提前终止的，法律援助机构根据实际工作量适当支付办案补贴，补贴金额可以低于</w:t>
      </w:r>
      <w:r>
        <w:rPr>
          <w:rFonts w:hint="eastAsia" w:ascii="宋体" w:hAnsi="宋体" w:eastAsia="宋体" w:cs="宋体"/>
          <w:color w:val="auto"/>
          <w:kern w:val="2"/>
          <w:sz w:val="24"/>
          <w:szCs w:val="24"/>
          <w:highlight w:val="none"/>
          <w:lang w:val="en-US" w:eastAsia="zh-CN" w:bidi="ar-SA"/>
        </w:rPr>
        <w:t>成交价格：</w:t>
      </w:r>
    </w:p>
    <w:p w14:paraId="688BBC27">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1.2.1、 终止或撤销案件，已会见有会见笔录的，按200元支付；已写好诉状并立案的按400元支付；已完成办案流程的按成交价格支付。</w:t>
      </w:r>
    </w:p>
    <w:p w14:paraId="57E68F2A">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1.2.2、撤诉案件，已会见有会见笔录的，按200元支付；已写好诉状并立案的按400元支付；已开庭有庭审笔录的按600元支付；已完成办案流程的按成交价格支付。</w:t>
      </w:r>
    </w:p>
    <w:p w14:paraId="7FA2DD8A">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1.2.3、移送案件，已会见有会见笔录的，按200元支付；民事案件已写好诉状并立案的按400元支付；已完成办案流程的按成交价格支付。</w:t>
      </w:r>
    </w:p>
    <w:p w14:paraId="3DDA170B">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1.2.4、劳动争议终结案件按400元支付。</w:t>
      </w:r>
    </w:p>
    <w:p w14:paraId="734D95CB">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1.3、法律援助人员应当自结案之日起三十日内，向区法律援助中心提交完整规范的结案归档材料。对于未能在上述规定时限内提交结案归档材料的，按以下标准扣减其办案补贴：</w:t>
      </w:r>
    </w:p>
    <w:p w14:paraId="1E91D449">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（一）超过30日，在60日内提交的，扣减本案办案补贴的10%；</w:t>
      </w:r>
    </w:p>
    <w:p w14:paraId="22D39F11">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（二）超过60日，在120日内提交的，扣减本案办案补贴的20%；</w:t>
      </w:r>
    </w:p>
    <w:p w14:paraId="5F8FBAE3">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（三）超过120日，在180日内提交的，扣减本案办案补贴的40%；</w:t>
      </w:r>
    </w:p>
    <w:p w14:paraId="2F17331B">
      <w:pPr>
        <w:pageBreakBefore w:val="0"/>
        <w:widowControl w:val="0"/>
        <w:spacing w:after="0" w:line="540" w:lineRule="exact"/>
        <w:ind w:left="0" w:firstLine="42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（四）超过180日提交的，扣减本案办案补贴的100%。</w:t>
      </w:r>
    </w:p>
    <w:p w14:paraId="6B1F1732">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2、支付周期：</w:t>
      </w:r>
    </w:p>
    <w:p w14:paraId="66349FDA">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2.1、接听12348法律服务热线电话、零工市场法律援助工作站综合工作、区劳动人事争议法律援助工作站综合工作补贴于合同签订之日起30日内支付总价款的40%，剩余合同价款根据考评结果支付。</w:t>
      </w:r>
    </w:p>
    <w:p w14:paraId="5BD106A6">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2.2、其它法律援助案件补贴、值班补贴等费用按季度或半年支付。</w:t>
      </w:r>
    </w:p>
    <w:p w14:paraId="26039AA6">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3、法律援助人员有下列情形之一的，不予支付补贴：</w:t>
      </w:r>
    </w:p>
    <w:p w14:paraId="3AD014FB">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3.1、无正当理由拖延或者终止实施法律援助的；</w:t>
      </w:r>
    </w:p>
    <w:p w14:paraId="0CC58E2B">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3.2、办理法律援助事项收取受援人财物的；</w:t>
      </w:r>
    </w:p>
    <w:p w14:paraId="4F424D40">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3.3、经查实不依法履行职责而被更换的；</w:t>
      </w:r>
    </w:p>
    <w:p w14:paraId="0145D9C8">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3.4、经法律援助中心或其他有关机构对法律援助事项监督检查，认为严重不负责任给受援人造成损失的；</w:t>
      </w:r>
    </w:p>
    <w:p w14:paraId="7EE24C1A">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3.5、结案归档时所提交的材料不符合法律援助业务档案立卷归档要求，经整改仍不能达到要求的；</w:t>
      </w:r>
    </w:p>
    <w:p w14:paraId="5B0B341C">
      <w:pPr>
        <w:pageBreakBefore w:val="0"/>
        <w:widowControl w:val="0"/>
        <w:spacing w:line="540" w:lineRule="exact"/>
        <w:ind w:firstLine="420"/>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3.6、结案归档按《江宁区法律援助案件结案归档时限管理办法》规定，超过180日的；</w:t>
      </w:r>
    </w:p>
    <w:p w14:paraId="3C0262DA">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3.7、考评不合格的。</w:t>
      </w:r>
    </w:p>
    <w:p w14:paraId="40E2D0FF">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4、区法律援助中心受理的法律援助案件原则上应在入围供应商中指派，个别案件因受援人要求（点援制）或者其他原因，可在入围供应商外指派；费用标准参照此次中标平均价格执行。</w:t>
      </w:r>
    </w:p>
    <w:p w14:paraId="0132FF03">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5、在采购人支付费用之前，入围供应商依法应开具合法发票，否则采购人有权顺延支付服务费且无须承担逾期付款的违约责任，入围供应商不得以此为由不履行合同。本合同执行中如产生相关税费，由入围供应商负担。</w:t>
      </w:r>
    </w:p>
    <w:p w14:paraId="5BFF2980">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6、因入围供应商违约或过错产生的纠纷，采购人委托律师、调查取证等相关维权费用由入围供应商承担。</w:t>
      </w:r>
    </w:p>
    <w:p w14:paraId="3E8EC496">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（二）行政复议</w:t>
      </w:r>
    </w:p>
    <w:p w14:paraId="24C365D5">
      <w:pPr>
        <w:pageBreakBefore w:val="0"/>
        <w:widowControl w:val="0"/>
        <w:spacing w:line="540" w:lineRule="exact"/>
        <w:ind w:firstLine="42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1、费用核算标准：根据入围供应商统一的优惠率报价（例如10%），例如优惠率为10%，成交价格=最高限制单价*（1-10%）计算服务费。（优惠率四舍五入，保留至小数点后2位）；  </w:t>
      </w:r>
    </w:p>
    <w:p w14:paraId="5485E483">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2、案件办理费用</w:t>
      </w:r>
    </w:p>
    <w:p w14:paraId="4B421E5A">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根据《南京市行政复议案件繁简分流审理工作办法（试行）》精神，按照案件事实、法律关系的清晰程度、争议焦点数量、证据材料繁简、社会影响等因素，将案件划分为三个等级：</w:t>
      </w:r>
    </w:p>
    <w:p w14:paraId="67BCF485">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2.1、简易案件：符合下列条件之一的，可认定为简易案件，计费标准：1400元/件。</w:t>
      </w:r>
    </w:p>
    <w:p w14:paraId="339A67CE">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（1）适用简易程序处理的或警告、罚款数额较小的行政处罚类案件；</w:t>
      </w:r>
    </w:p>
    <w:p w14:paraId="42029F00">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（2）政府信息公开类案件；</w:t>
      </w:r>
    </w:p>
    <w:p w14:paraId="31617A8C">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（3）行政不作为类案件；</w:t>
      </w:r>
    </w:p>
    <w:p w14:paraId="2B2971BE">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（4）其他主要事实清楚、权利义务关系明确、争议不大的案件。</w:t>
      </w:r>
    </w:p>
    <w:p w14:paraId="588BE287">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2.2、普通案件：除简易及重大复杂案件之外。计费标准：1800元/件。</w:t>
      </w:r>
    </w:p>
    <w:p w14:paraId="22EA6A8B">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2.3、重大复杂案件：符合下列条件之一的，可认定为重大复杂案件，计费标准：2200元/件。</w:t>
      </w:r>
    </w:p>
    <w:p w14:paraId="7321F995">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（1）社会关注度较高或涉及行政复议当事人人数众多，可能影响社会稳定的；</w:t>
      </w:r>
    </w:p>
    <w:p w14:paraId="2BF91DF4">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（2）被复议具体行政行为有涉外因素，或涉及香港特别行政区、澳门特别行政区、台湾地区的；</w:t>
      </w:r>
    </w:p>
    <w:p w14:paraId="6BAAB28D">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（3）案件处理结果对行政机关后续行政执法、行政管理有重大参考价值的；</w:t>
      </w:r>
    </w:p>
    <w:p w14:paraId="5766D959">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（4）案件处理结果对政府公信力可能产生重大影响的；</w:t>
      </w:r>
    </w:p>
    <w:p w14:paraId="4093BB4A">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（5）其他应列入重大复杂案件处理的。</w:t>
      </w:r>
    </w:p>
    <w:p w14:paraId="0186FA54">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3、特殊情形补贴</w:t>
      </w:r>
    </w:p>
    <w:p w14:paraId="01E4AF96">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3.1、群体性案件：针对同一事实和理由、同一被申请人，5人以上（多人）分别提出行政复议申请或提起行政诉讼的群体性案件，按照每个供应商接收指派的案件量支付服务费用，每个供应商接收指派的第一件全额支付服务费用，第2-20件（含）每件费用按照原标准的50%支付，自第21件起，每件费用按照原标准的25%支付。</w:t>
      </w:r>
    </w:p>
    <w:p w14:paraId="226910FD">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3.2、经审查决定不予受理行政复议申请的及行政复议申请人收到补正通知书后未在法定期限内提交补正材料、视为放弃行政复议申请的，给予补助，标准为：350元/件。</w:t>
      </w:r>
    </w:p>
    <w:p w14:paraId="052C40A5">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3.3、行政复议申请材料收到后，行政复议受理通知书作出前，申请人主动撤回行政复议申请的，不予支付服务费用。</w:t>
      </w:r>
    </w:p>
    <w:p w14:paraId="3CA4ED26">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3.4、行政复议案件受理后，未经实质性审理（如未开展调查、听证、调解等），因申请人自愿撤回行政复议申请等原因终止的，给予补助，标准为：600元/件。</w:t>
      </w:r>
    </w:p>
    <w:p w14:paraId="143F7D35">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4、值班补贴：在指定窗口值班，按300元/天的标准发放值班补贴。</w:t>
      </w:r>
    </w:p>
    <w:p w14:paraId="174C0C66">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5、费用核减与责任追究</w:t>
      </w:r>
    </w:p>
    <w:p w14:paraId="7EC6F51F">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5.1、办案人员辅助审理行政复议、代理行政诉讼案件有下列情形之一的，酌情扣减该案件服务费用的50%-100%：</w:t>
      </w:r>
    </w:p>
    <w:p w14:paraId="36CB8210">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（1）无正当理由拖延行政复议、行政诉讼案件办理的；</w:t>
      </w:r>
    </w:p>
    <w:p w14:paraId="07B5B823">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（2）办理行政复议、行政诉讼案件收受当事人财物或其他好处的；</w:t>
      </w:r>
    </w:p>
    <w:p w14:paraId="0201537E">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（3）违规泄露行政复议、行政诉讼案件信息，造成不良影响的；</w:t>
      </w:r>
    </w:p>
    <w:p w14:paraId="662C0682">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（4）结案后未在30日内完成案卷移交，或不符合相关标准的；</w:t>
      </w:r>
    </w:p>
    <w:p w14:paraId="03DAC0CA">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（5）因故意或重大过失导致行政复议决定明显错误或行政诉讼案件被判决撤销、部分撤销、确认违法或无效、变更的；</w:t>
      </w:r>
    </w:p>
    <w:p w14:paraId="6C8B324B">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（6）案件办理过程中引起当事人投诉或信访，因处理不当造成不良社会效果的；</w:t>
      </w:r>
    </w:p>
    <w:p w14:paraId="0BE05D72">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（7）根据行政复议辅助办案质量考核标准、行政诉讼案件质量考核标准，案件考核结果低于70分的；</w:t>
      </w:r>
    </w:p>
    <w:p w14:paraId="49EE057A">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（8）办案过程中存在其他不当或违法违规行为的。</w:t>
      </w:r>
    </w:p>
    <w:p w14:paraId="6CD9C66D">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5.2、因办案人员故意或重大过失导致行政诉讼案件败诉并造成国家赔偿的，由供应商依法承担相应赔偿责任。</w:t>
      </w:r>
    </w:p>
    <w:p w14:paraId="3741134D">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（三）行政诉讼</w:t>
      </w:r>
    </w:p>
    <w:p w14:paraId="11736C8F">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1、当事人不服行政复议决定向人民法院提起行政诉讼的，一审代理费用与该行政复议案件办理费用相同，二审、再审案件代理费用减半。</w:t>
      </w:r>
    </w:p>
    <w:p w14:paraId="3D9DCC56">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2、行政诉讼案件提交答辩材料后，原告/上诉人主动撤回起诉或上诉，已开庭审理的，标准为：一审600元/件，二审/再审300元/件；未经开庭审理的，标准为：一审400元/件，二审/再审200元/件。</w:t>
      </w:r>
    </w:p>
    <w:p w14:paraId="5CE8C485">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（四）行政复议、行政诉讼案件费用付款方式</w:t>
      </w:r>
    </w:p>
    <w:p w14:paraId="79E4077C">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1.案件登记与认定：采购方建立案件管理台账，详细记录案件编号、当事人、立案时间、结案方式、难易程度认定、调解情况等信息，作为费用计发依据。</w:t>
      </w:r>
    </w:p>
    <w:p w14:paraId="251A5A61">
      <w:pPr>
        <w:pageBreakBefore w:val="0"/>
        <w:widowControl w:val="0"/>
        <w:spacing w:after="0" w:line="540" w:lineRule="exact"/>
        <w:ind w:left="0" w:firstLine="42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审核与发放：案件办结后，由承办人员报采购人处专人审核登记，重大复杂案件由案件承办人提出申请、附相关证明材料并说明理由，报采购方负责人审核，必要时可组织集体讨论确定。采购方制作案件费用明细表，经逐级审核后，按财务规定定期统一发放。</w:t>
      </w:r>
    </w:p>
    <w:p w14:paraId="0D0C0979">
      <w:pPr>
        <w:pageBreakBefore w:val="0"/>
        <w:widowControl w:val="0"/>
        <w:spacing w:line="540" w:lineRule="exact"/>
        <w:ind w:firstLine="643"/>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六、考核标准</w:t>
      </w:r>
    </w:p>
    <w:p w14:paraId="5A6024ED">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为规范法律援助服务</w:t>
      </w:r>
      <w:r>
        <w:rPr>
          <w:rFonts w:hint="eastAsia" w:ascii="宋体" w:hAnsi="宋体" w:eastAsia="宋体" w:cs="宋体"/>
          <w:bCs/>
          <w:color w:val="auto"/>
          <w:kern w:val="0"/>
          <w:sz w:val="24"/>
          <w:szCs w:val="24"/>
          <w:highlight w:val="none"/>
          <w:lang w:val="en-US" w:eastAsia="zh-CN" w:bidi="ar-SA"/>
        </w:rPr>
        <w:t>、行政复议辅助办案、行政诉讼</w:t>
      </w:r>
      <w:r>
        <w:rPr>
          <w:rFonts w:hint="eastAsia" w:ascii="宋体" w:hAnsi="宋体" w:eastAsia="宋体" w:cs="宋体"/>
          <w:bCs/>
          <w:color w:val="auto"/>
          <w:kern w:val="0"/>
          <w:sz w:val="24"/>
          <w:szCs w:val="24"/>
          <w:highlight w:val="none"/>
        </w:rPr>
        <w:t>工作，督促</w:t>
      </w:r>
      <w:r>
        <w:rPr>
          <w:rFonts w:hint="eastAsia" w:ascii="宋体" w:hAnsi="宋体" w:eastAsia="宋体" w:cs="宋体"/>
          <w:bCs/>
          <w:color w:val="auto"/>
          <w:kern w:val="0"/>
          <w:sz w:val="24"/>
          <w:szCs w:val="24"/>
          <w:highlight w:val="none"/>
          <w:lang w:val="en-US" w:eastAsia="zh-CN"/>
        </w:rPr>
        <w:t>律师（基层法律服务工作者）</w:t>
      </w:r>
      <w:r>
        <w:rPr>
          <w:rFonts w:hint="eastAsia" w:ascii="宋体" w:hAnsi="宋体" w:eastAsia="宋体" w:cs="宋体"/>
          <w:bCs/>
          <w:color w:val="auto"/>
          <w:kern w:val="0"/>
          <w:sz w:val="24"/>
          <w:szCs w:val="24"/>
          <w:highlight w:val="none"/>
        </w:rPr>
        <w:t>参与事务，保证服务质量，采购人对</w:t>
      </w:r>
      <w:r>
        <w:rPr>
          <w:rFonts w:hint="eastAsia" w:ascii="宋体" w:hAnsi="宋体" w:eastAsia="宋体" w:cs="宋体"/>
          <w:bCs/>
          <w:color w:val="auto"/>
          <w:kern w:val="0"/>
          <w:sz w:val="24"/>
          <w:szCs w:val="24"/>
          <w:highlight w:val="none"/>
          <w:lang w:val="en-US"/>
        </w:rPr>
        <w:t>入围供应商</w:t>
      </w:r>
      <w:r>
        <w:rPr>
          <w:rFonts w:hint="eastAsia" w:ascii="宋体" w:hAnsi="宋体" w:eastAsia="宋体" w:cs="宋体"/>
          <w:bCs/>
          <w:color w:val="auto"/>
          <w:kern w:val="0"/>
          <w:sz w:val="24"/>
          <w:szCs w:val="24"/>
          <w:highlight w:val="none"/>
        </w:rPr>
        <w:t>实行</w:t>
      </w:r>
      <w:r>
        <w:rPr>
          <w:rFonts w:hint="eastAsia" w:ascii="宋体" w:hAnsi="宋体" w:eastAsia="宋体" w:cs="宋体"/>
          <w:bCs/>
          <w:color w:val="auto"/>
          <w:kern w:val="0"/>
          <w:sz w:val="24"/>
          <w:szCs w:val="24"/>
          <w:highlight w:val="none"/>
          <w:lang w:val="en-US" w:eastAsia="zh-CN"/>
        </w:rPr>
        <w:t>工作质量考核和办案质量考核</w:t>
      </w:r>
      <w:r>
        <w:rPr>
          <w:rFonts w:hint="eastAsia" w:ascii="宋体" w:hAnsi="宋体" w:eastAsia="宋体" w:cs="宋体"/>
          <w:bCs/>
          <w:color w:val="auto"/>
          <w:kern w:val="0"/>
          <w:sz w:val="24"/>
          <w:szCs w:val="24"/>
          <w:highlight w:val="none"/>
        </w:rPr>
        <w:t>。考核情况将作为衡量服务质量的依据。</w:t>
      </w:r>
      <w:r>
        <w:rPr>
          <w:rFonts w:hint="eastAsia" w:ascii="宋体" w:hAnsi="宋体" w:eastAsia="宋体" w:cs="宋体"/>
          <w:bCs/>
          <w:color w:val="auto"/>
          <w:kern w:val="0"/>
          <w:sz w:val="24"/>
          <w:szCs w:val="24"/>
          <w:highlight w:val="none"/>
          <w:lang w:val="en-US" w:eastAsia="zh-CN"/>
        </w:rPr>
        <w:t>入围供应商</w:t>
      </w:r>
      <w:r>
        <w:rPr>
          <w:rFonts w:hint="eastAsia" w:ascii="宋体" w:hAnsi="宋体" w:eastAsia="宋体" w:cs="宋体"/>
          <w:bCs/>
          <w:color w:val="auto"/>
          <w:kern w:val="0"/>
          <w:sz w:val="24"/>
          <w:szCs w:val="24"/>
          <w:highlight w:val="none"/>
        </w:rPr>
        <w:t>必须无条件服从和遵守</w:t>
      </w:r>
      <w:r>
        <w:rPr>
          <w:rFonts w:hint="eastAsia" w:ascii="宋体" w:hAnsi="宋体" w:eastAsia="宋体" w:cs="宋体"/>
          <w:bCs/>
          <w:color w:val="auto"/>
          <w:kern w:val="0"/>
          <w:sz w:val="24"/>
          <w:szCs w:val="24"/>
          <w:highlight w:val="none"/>
          <w:lang w:val="en-US" w:eastAsia="zh-CN"/>
        </w:rPr>
        <w:t>考核制度</w:t>
      </w:r>
      <w:r>
        <w:rPr>
          <w:rFonts w:hint="eastAsia" w:ascii="宋体" w:hAnsi="宋体" w:eastAsia="宋体" w:cs="宋体"/>
          <w:bCs/>
          <w:color w:val="auto"/>
          <w:kern w:val="0"/>
          <w:sz w:val="24"/>
          <w:szCs w:val="24"/>
          <w:highlight w:val="none"/>
        </w:rPr>
        <w:t>，考核</w:t>
      </w:r>
      <w:r>
        <w:rPr>
          <w:rFonts w:hint="eastAsia" w:ascii="宋体" w:hAnsi="宋体" w:eastAsia="宋体" w:cs="宋体"/>
          <w:bCs/>
          <w:color w:val="auto"/>
          <w:kern w:val="0"/>
          <w:sz w:val="24"/>
          <w:szCs w:val="24"/>
          <w:highlight w:val="none"/>
          <w:lang w:val="en-US" w:eastAsia="zh-CN"/>
        </w:rPr>
        <w:t>方式详见协议及合同。</w:t>
      </w:r>
    </w:p>
    <w:p w14:paraId="3164ABF8">
      <w:pPr>
        <w:pageBreakBefore w:val="0"/>
        <w:widowControl w:val="0"/>
        <w:spacing w:line="540" w:lineRule="exact"/>
        <w:ind w:firstLine="643"/>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七、入围供应商的清退和补充规则</w:t>
      </w:r>
    </w:p>
    <w:p w14:paraId="49484A62">
      <w:pPr>
        <w:pageBreakBefore w:val="0"/>
        <w:widowControl w:val="0"/>
        <w:spacing w:line="540" w:lineRule="exact"/>
        <w:ind w:firstLine="422"/>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eastAsia="zh-CN"/>
        </w:rPr>
        <w:t>（</w:t>
      </w:r>
      <w:r>
        <w:rPr>
          <w:rFonts w:hint="eastAsia" w:ascii="宋体" w:hAnsi="宋体" w:eastAsia="宋体" w:cs="宋体"/>
          <w:b/>
          <w:bCs w:val="0"/>
          <w:color w:val="auto"/>
          <w:kern w:val="0"/>
          <w:sz w:val="24"/>
          <w:szCs w:val="24"/>
          <w:highlight w:val="none"/>
          <w:lang w:val="en-US" w:eastAsia="zh-CN"/>
        </w:rPr>
        <w:t>一）</w:t>
      </w:r>
      <w:r>
        <w:rPr>
          <w:rFonts w:hint="eastAsia" w:ascii="宋体" w:hAnsi="宋体" w:eastAsia="宋体" w:cs="宋体"/>
          <w:b/>
          <w:bCs w:val="0"/>
          <w:color w:val="auto"/>
          <w:kern w:val="0"/>
          <w:sz w:val="24"/>
          <w:szCs w:val="24"/>
          <w:highlight w:val="none"/>
        </w:rPr>
        <w:t>入围供应商有下列情形之一，解除与其签订的</w:t>
      </w:r>
      <w:r>
        <w:rPr>
          <w:rFonts w:hint="eastAsia" w:ascii="宋体" w:hAnsi="宋体" w:eastAsia="宋体" w:cs="宋体"/>
          <w:b/>
          <w:bCs w:val="0"/>
          <w:color w:val="auto"/>
          <w:kern w:val="0"/>
          <w:sz w:val="24"/>
          <w:szCs w:val="24"/>
          <w:highlight w:val="none"/>
          <w:lang w:val="en-US" w:eastAsia="zh-CN"/>
        </w:rPr>
        <w:t>框架</w:t>
      </w:r>
      <w:r>
        <w:rPr>
          <w:rFonts w:hint="eastAsia" w:ascii="宋体" w:hAnsi="宋体" w:eastAsia="宋体" w:cs="宋体"/>
          <w:b/>
          <w:bCs w:val="0"/>
          <w:color w:val="auto"/>
          <w:kern w:val="0"/>
          <w:sz w:val="24"/>
          <w:szCs w:val="24"/>
          <w:highlight w:val="none"/>
        </w:rPr>
        <w:t xml:space="preserve">协议： </w:t>
      </w:r>
    </w:p>
    <w:p w14:paraId="1C61BCB7">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恶意串通谋取入围或者合同成交的；</w:t>
      </w:r>
    </w:p>
    <w:p w14:paraId="3D870E4D">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提供虚假材料谋取入围或者合同成交的；</w:t>
      </w:r>
    </w:p>
    <w:p w14:paraId="1A56362C">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无正当理由拒不接受合同授予的；</w:t>
      </w:r>
    </w:p>
    <w:p w14:paraId="027DC8F0">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不履行合同义务或者履行合同义务不符合约定，经采购人请求履行后仍不履行或者仍未按约定履行的；</w:t>
      </w:r>
    </w:p>
    <w:p w14:paraId="60313C46">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5、框架</w:t>
      </w:r>
      <w:r>
        <w:rPr>
          <w:rFonts w:hint="eastAsia" w:ascii="宋体" w:hAnsi="宋体" w:eastAsia="宋体" w:cs="宋体"/>
          <w:bCs/>
          <w:color w:val="auto"/>
          <w:kern w:val="0"/>
          <w:sz w:val="24"/>
          <w:szCs w:val="24"/>
          <w:highlight w:val="none"/>
        </w:rPr>
        <w:t xml:space="preserve">协议有效期内，因违法行为被禁止或限制参加政府采购活动的； </w:t>
      </w:r>
    </w:p>
    <w:p w14:paraId="5D908EAA">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6、框架</w:t>
      </w:r>
      <w:r>
        <w:rPr>
          <w:rFonts w:hint="eastAsia" w:ascii="宋体" w:hAnsi="宋体" w:eastAsia="宋体" w:cs="宋体"/>
          <w:bCs/>
          <w:color w:val="auto"/>
          <w:kern w:val="0"/>
          <w:sz w:val="24"/>
          <w:szCs w:val="24"/>
          <w:highlight w:val="none"/>
        </w:rPr>
        <w:t>协议</w:t>
      </w:r>
      <w:r>
        <w:rPr>
          <w:rFonts w:hint="eastAsia" w:ascii="宋体" w:hAnsi="宋体" w:eastAsia="宋体" w:cs="宋体"/>
          <w:bCs/>
          <w:color w:val="auto"/>
          <w:kern w:val="0"/>
          <w:sz w:val="24"/>
          <w:szCs w:val="24"/>
          <w:highlight w:val="none"/>
          <w:lang w:val="en-US" w:eastAsia="zh-CN"/>
        </w:rPr>
        <w:t>及合同</w:t>
      </w:r>
      <w:r>
        <w:rPr>
          <w:rFonts w:hint="eastAsia" w:ascii="宋体" w:hAnsi="宋体" w:eastAsia="宋体" w:cs="宋体"/>
          <w:bCs/>
          <w:color w:val="auto"/>
          <w:kern w:val="0"/>
          <w:sz w:val="24"/>
          <w:szCs w:val="24"/>
          <w:highlight w:val="none"/>
        </w:rPr>
        <w:t>约定的其他情形</w:t>
      </w:r>
      <w:r>
        <w:rPr>
          <w:rFonts w:hint="eastAsia" w:ascii="宋体" w:hAnsi="宋体" w:eastAsia="宋体" w:cs="宋体"/>
          <w:bCs/>
          <w:color w:val="auto"/>
          <w:kern w:val="0"/>
          <w:sz w:val="24"/>
          <w:szCs w:val="24"/>
          <w:highlight w:val="none"/>
          <w:lang w:eastAsia="zh-CN"/>
        </w:rPr>
        <w:t>。</w:t>
      </w:r>
    </w:p>
    <w:p w14:paraId="68527B61">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入围供应商有</w:t>
      </w:r>
      <w:r>
        <w:rPr>
          <w:rFonts w:hint="eastAsia" w:ascii="宋体" w:hAnsi="宋体" w:eastAsia="宋体" w:cs="宋体"/>
          <w:bCs/>
          <w:color w:val="auto"/>
          <w:kern w:val="0"/>
          <w:sz w:val="24"/>
          <w:szCs w:val="24"/>
          <w:highlight w:val="none"/>
          <w:lang w:val="en-US" w:eastAsia="zh-CN"/>
        </w:rPr>
        <w:t>上述</w:t>
      </w:r>
      <w:r>
        <w:rPr>
          <w:rFonts w:hint="eastAsia" w:ascii="宋体" w:hAnsi="宋体" w:eastAsia="宋体" w:cs="宋体"/>
          <w:bCs/>
          <w:color w:val="auto"/>
          <w:kern w:val="0"/>
          <w:sz w:val="24"/>
          <w:szCs w:val="24"/>
          <w:highlight w:val="none"/>
        </w:rPr>
        <w:t>情形之一的</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依照政府采购法等有关法律、行政法规追究法律责任</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被取消入围资格或者被解除协议的供应商不得参加同一封闭式框架协议补充征集。</w:t>
      </w:r>
    </w:p>
    <w:p w14:paraId="2C2B57D3">
      <w:pPr>
        <w:pageBreakBefore w:val="0"/>
        <w:widowControl w:val="0"/>
        <w:spacing w:line="540" w:lineRule="exact"/>
        <w:ind w:firstLine="422"/>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（二）入围供应商补充规则</w:t>
      </w:r>
    </w:p>
    <w:p w14:paraId="5E09E2E5">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1、剩余入围供应商不足入围供应商总数70%且影响框架协议执行的情形时，框架协议有效期内，征集人可以补充征集供应商最多至初次征集入围供应商的总数。</w:t>
      </w:r>
    </w:p>
    <w:p w14:paraId="7D06A27E">
      <w:pPr>
        <w:pageBreakBefore w:val="0"/>
        <w:widowControl w:val="0"/>
        <w:spacing w:line="540" w:lineRule="exact"/>
        <w:ind w:firstLine="42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2、征集人补充征集供应商的，补充征集方法为：补充征集的条件、程序、评审方法和淘汰比例应当与初次征集相同。补充征集应当遵守原协议的有效期。补充征集期间，原协议继续履行。</w:t>
      </w:r>
    </w:p>
    <w:p w14:paraId="03D78306">
      <w:pPr>
        <w:pageBreakBefore w:val="0"/>
        <w:widowControl w:val="0"/>
        <w:numPr>
          <w:ilvl w:val="0"/>
          <w:numId w:val="6"/>
        </w:numPr>
        <w:spacing w:line="540" w:lineRule="exact"/>
        <w:ind w:firstLine="422"/>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确定</w:t>
      </w:r>
      <w:r>
        <w:rPr>
          <w:rFonts w:hint="eastAsia" w:ascii="宋体" w:hAnsi="宋体" w:eastAsia="宋体" w:cs="宋体"/>
          <w:b/>
          <w:bCs/>
          <w:color w:val="auto"/>
          <w:kern w:val="0"/>
          <w:sz w:val="24"/>
          <w:szCs w:val="24"/>
          <w:highlight w:val="none"/>
        </w:rPr>
        <w:t>第二阶段成交供应商的方式</w:t>
      </w:r>
    </w:p>
    <w:p w14:paraId="65D8263B">
      <w:pPr>
        <w:pageBreakBefore w:val="0"/>
        <w:widowControl w:val="0"/>
        <w:numPr>
          <w:ilvl w:val="0"/>
          <w:numId w:val="0"/>
        </w:numPr>
        <w:spacing w:line="540" w:lineRule="exact"/>
        <w:ind w:firstLine="422"/>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1、确定第二阶段入围供应商的方式为</w:t>
      </w:r>
      <w:r>
        <w:rPr>
          <w:rFonts w:hint="eastAsia" w:ascii="宋体" w:hAnsi="宋体" w:eastAsia="宋体" w:cs="宋体"/>
          <w:b/>
          <w:bCs w:val="0"/>
          <w:color w:val="auto"/>
          <w:kern w:val="0"/>
          <w:sz w:val="24"/>
          <w:szCs w:val="24"/>
          <w:highlight w:val="none"/>
          <w:lang w:eastAsia="zh-CN"/>
        </w:rPr>
        <w:t>直接选定</w:t>
      </w:r>
      <w:r>
        <w:rPr>
          <w:rFonts w:hint="eastAsia" w:ascii="宋体" w:hAnsi="宋体" w:eastAsia="宋体" w:cs="宋体"/>
          <w:bCs/>
          <w:color w:val="auto"/>
          <w:kern w:val="0"/>
          <w:sz w:val="24"/>
          <w:szCs w:val="24"/>
          <w:highlight w:val="none"/>
          <w:lang w:eastAsia="zh-CN"/>
        </w:rPr>
        <w:t>。由采购人依据质量以及服务便利性等因素，从第一阶段入围供应商中直接选定。</w:t>
      </w:r>
    </w:p>
    <w:p w14:paraId="257FA9EF">
      <w:pPr>
        <w:pageBreakBefore w:val="0"/>
        <w:widowControl w:val="0"/>
        <w:numPr>
          <w:ilvl w:val="0"/>
          <w:numId w:val="0"/>
        </w:numPr>
        <w:spacing w:line="540" w:lineRule="exact"/>
        <w:ind w:firstLine="422"/>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lang w:eastAsia="zh-CN"/>
        </w:rPr>
        <w:t>采购人在确定入围供应商后，双方应当按照框架协议中规定的“采购合同文本”格式签订采购合同，不得擅自改变框架协议约定的合同实质性条款。</w:t>
      </w:r>
    </w:p>
    <w:p w14:paraId="75A202E2">
      <w:pPr>
        <w:pageBreakBefore w:val="0"/>
        <w:widowControl w:val="0"/>
        <w:numPr>
          <w:ilvl w:val="0"/>
          <w:numId w:val="0"/>
        </w:numPr>
        <w:spacing w:line="540" w:lineRule="exact"/>
        <w:ind w:firstLine="422"/>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3、采购人不得向入围供应商提出任何不合理的要求作为签订合同的条件，不得与入围供应商私下订立背离合同实质性内容的协议。</w:t>
      </w:r>
    </w:p>
    <w:p w14:paraId="3267714F">
      <w:pPr>
        <w:pageBreakBefore w:val="0"/>
        <w:widowControl w:val="0"/>
        <w:numPr>
          <w:ilvl w:val="0"/>
          <w:numId w:val="0"/>
        </w:numPr>
        <w:spacing w:line="540" w:lineRule="exact"/>
        <w:ind w:firstLine="422"/>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eastAsia="zh-CN"/>
        </w:rPr>
        <w:t>4、入围供应商不得将服务进行转包。未经采购人同意，入围供应商也不得采用分包的形式履行合同，否则采购人有权终止采购合同，并终止框架协议。转包或分包造成采购人损失的，供应商应承担相应赔偿责任。</w:t>
      </w:r>
    </w:p>
    <w:tbl>
      <w:tblPr>
        <w:tblStyle w:val="18"/>
        <w:tblW w:w="9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1"/>
        <w:gridCol w:w="4340"/>
        <w:gridCol w:w="1646"/>
        <w:gridCol w:w="1044"/>
        <w:gridCol w:w="1647"/>
      </w:tblGrid>
      <w:tr w14:paraId="4C399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721" w:type="dxa"/>
            <w:noWrap w:val="0"/>
            <w:vAlign w:val="center"/>
          </w:tcPr>
          <w:p w14:paraId="26C1F258">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序号</w:t>
            </w:r>
          </w:p>
        </w:tc>
        <w:tc>
          <w:tcPr>
            <w:tcW w:w="4340" w:type="dxa"/>
            <w:noWrap w:val="0"/>
            <w:vAlign w:val="center"/>
          </w:tcPr>
          <w:p w14:paraId="2EF4FAC1">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类别</w:t>
            </w:r>
          </w:p>
        </w:tc>
        <w:tc>
          <w:tcPr>
            <w:tcW w:w="1646" w:type="dxa"/>
            <w:noWrap w:val="0"/>
            <w:vAlign w:val="center"/>
          </w:tcPr>
          <w:p w14:paraId="30B14A02">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最高限制单价</w:t>
            </w:r>
          </w:p>
        </w:tc>
        <w:tc>
          <w:tcPr>
            <w:tcW w:w="1044" w:type="dxa"/>
            <w:noWrap w:val="0"/>
            <w:vAlign w:val="center"/>
          </w:tcPr>
          <w:p w14:paraId="76DA76E2">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highlight w:val="none"/>
                <w:lang w:val="en-US" w:eastAsia="zh-CN"/>
              </w:rPr>
              <w:t>单位</w:t>
            </w:r>
          </w:p>
        </w:tc>
        <w:tc>
          <w:tcPr>
            <w:tcW w:w="1647" w:type="dxa"/>
            <w:noWrap w:val="0"/>
            <w:vAlign w:val="center"/>
          </w:tcPr>
          <w:p w14:paraId="313F666F">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供应商投标报价综合</w:t>
            </w:r>
            <w:r>
              <w:rPr>
                <w:rFonts w:hint="eastAsia" w:ascii="宋体" w:hAnsi="宋体" w:cs="宋体"/>
                <w:color w:val="auto"/>
                <w:kern w:val="0"/>
                <w:sz w:val="24"/>
                <w:szCs w:val="24"/>
                <w:vertAlign w:val="baseline"/>
                <w:lang w:val="en-US" w:eastAsia="zh-CN"/>
              </w:rPr>
              <w:t>优惠率</w:t>
            </w:r>
          </w:p>
        </w:tc>
      </w:tr>
      <w:tr w14:paraId="175EF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721" w:type="dxa"/>
            <w:noWrap w:val="0"/>
            <w:vAlign w:val="center"/>
          </w:tcPr>
          <w:p w14:paraId="514904F3">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w:t>
            </w:r>
          </w:p>
        </w:tc>
        <w:tc>
          <w:tcPr>
            <w:tcW w:w="4340" w:type="dxa"/>
            <w:noWrap w:val="0"/>
            <w:vAlign w:val="center"/>
          </w:tcPr>
          <w:p w14:paraId="4E070461">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刑事案件侦查阶段</w:t>
            </w:r>
          </w:p>
        </w:tc>
        <w:tc>
          <w:tcPr>
            <w:tcW w:w="1646" w:type="dxa"/>
            <w:noWrap w:val="0"/>
            <w:vAlign w:val="center"/>
          </w:tcPr>
          <w:p w14:paraId="0B71B6FC">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1000</w:t>
            </w:r>
          </w:p>
        </w:tc>
        <w:tc>
          <w:tcPr>
            <w:tcW w:w="1044" w:type="dxa"/>
            <w:noWrap w:val="0"/>
            <w:vAlign w:val="center"/>
          </w:tcPr>
          <w:p w14:paraId="3DD138C6">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元/件</w:t>
            </w:r>
          </w:p>
        </w:tc>
        <w:tc>
          <w:tcPr>
            <w:tcW w:w="1647" w:type="dxa"/>
            <w:vMerge w:val="restart"/>
            <w:noWrap w:val="0"/>
            <w:vAlign w:val="center"/>
          </w:tcPr>
          <w:p w14:paraId="4C04668C">
            <w:pPr>
              <w:pageBreakBefore w:val="0"/>
              <w:widowControl w:val="0"/>
              <w:spacing w:line="540" w:lineRule="exact"/>
              <w:jc w:val="center"/>
              <w:rPr>
                <w:rFonts w:hint="eastAsia" w:ascii="宋体" w:hAnsi="宋体" w:eastAsia="宋体" w:cs="宋体"/>
                <w:color w:val="auto"/>
                <w:kern w:val="0"/>
                <w:sz w:val="24"/>
                <w:szCs w:val="24"/>
                <w:u w:val="single"/>
                <w:vertAlign w:val="baseline"/>
                <w:lang w:val="en-US" w:eastAsia="zh-CN"/>
              </w:rPr>
            </w:pPr>
            <w:r>
              <w:rPr>
                <w:rFonts w:hint="eastAsia" w:ascii="宋体" w:hAnsi="宋体" w:eastAsia="宋体" w:cs="宋体"/>
                <w:color w:val="auto"/>
                <w:kern w:val="0"/>
                <w:sz w:val="24"/>
                <w:szCs w:val="24"/>
                <w:u w:val="single"/>
                <w:vertAlign w:val="baseline"/>
                <w:lang w:val="en-US" w:eastAsia="zh-CN"/>
              </w:rPr>
              <w:t xml:space="preserve">     %</w:t>
            </w:r>
          </w:p>
          <w:p w14:paraId="090520F1">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4E287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721" w:type="dxa"/>
            <w:noWrap w:val="0"/>
            <w:vAlign w:val="center"/>
          </w:tcPr>
          <w:p w14:paraId="7E7C0B04">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w:t>
            </w:r>
          </w:p>
        </w:tc>
        <w:tc>
          <w:tcPr>
            <w:tcW w:w="4340" w:type="dxa"/>
            <w:noWrap w:val="0"/>
            <w:vAlign w:val="center"/>
          </w:tcPr>
          <w:p w14:paraId="4081B4CC">
            <w:pPr>
              <w:pageBreakBefore w:val="0"/>
              <w:widowControl w:val="0"/>
              <w:spacing w:line="540" w:lineRule="exact"/>
              <w:jc w:val="center"/>
              <w:rPr>
                <w:rFonts w:hint="eastAsia" w:ascii="宋体" w:hAnsi="宋体" w:eastAsia="宋体" w:cs="宋体"/>
                <w:color w:val="auto"/>
                <w:kern w:val="0"/>
                <w:sz w:val="24"/>
                <w:szCs w:val="24"/>
                <w:vertAlign w:val="baseline"/>
                <w:lang w:val="en-US"/>
              </w:rPr>
            </w:pPr>
            <w:r>
              <w:rPr>
                <w:rFonts w:hint="eastAsia" w:ascii="宋体" w:hAnsi="宋体" w:eastAsia="宋体" w:cs="宋体"/>
                <w:bCs/>
                <w:color w:val="auto"/>
                <w:kern w:val="0"/>
                <w:sz w:val="24"/>
                <w:szCs w:val="24"/>
                <w:highlight w:val="none"/>
                <w:lang w:val="en-US" w:eastAsia="zh-CN"/>
              </w:rPr>
              <w:t>刑事案件审查起诉阶段</w:t>
            </w:r>
          </w:p>
        </w:tc>
        <w:tc>
          <w:tcPr>
            <w:tcW w:w="1646" w:type="dxa"/>
            <w:noWrap w:val="0"/>
            <w:vAlign w:val="center"/>
          </w:tcPr>
          <w:p w14:paraId="1FB61E80">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1600</w:t>
            </w:r>
          </w:p>
        </w:tc>
        <w:tc>
          <w:tcPr>
            <w:tcW w:w="1044" w:type="dxa"/>
            <w:noWrap w:val="0"/>
            <w:vAlign w:val="center"/>
          </w:tcPr>
          <w:p w14:paraId="4607AEDB">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712A803A">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904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721" w:type="dxa"/>
            <w:noWrap w:val="0"/>
            <w:vAlign w:val="center"/>
          </w:tcPr>
          <w:p w14:paraId="48D09052">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w:t>
            </w:r>
          </w:p>
        </w:tc>
        <w:tc>
          <w:tcPr>
            <w:tcW w:w="4340" w:type="dxa"/>
            <w:noWrap w:val="0"/>
            <w:vAlign w:val="center"/>
          </w:tcPr>
          <w:p w14:paraId="5DA45164">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刑事案件审判阶段</w:t>
            </w:r>
          </w:p>
        </w:tc>
        <w:tc>
          <w:tcPr>
            <w:tcW w:w="1646" w:type="dxa"/>
            <w:noWrap w:val="0"/>
            <w:vAlign w:val="center"/>
          </w:tcPr>
          <w:p w14:paraId="11C8AE08">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2000</w:t>
            </w:r>
          </w:p>
        </w:tc>
        <w:tc>
          <w:tcPr>
            <w:tcW w:w="1044" w:type="dxa"/>
            <w:noWrap w:val="0"/>
            <w:vAlign w:val="center"/>
          </w:tcPr>
          <w:p w14:paraId="3E8801FF">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17AF1309">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FAC1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721" w:type="dxa"/>
            <w:noWrap w:val="0"/>
            <w:vAlign w:val="center"/>
          </w:tcPr>
          <w:p w14:paraId="1C8737E3">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w:t>
            </w:r>
          </w:p>
        </w:tc>
        <w:tc>
          <w:tcPr>
            <w:tcW w:w="4340" w:type="dxa"/>
            <w:noWrap w:val="0"/>
            <w:vAlign w:val="center"/>
          </w:tcPr>
          <w:p w14:paraId="0CB55E6E">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办理认罪认罚法律帮助案件</w:t>
            </w:r>
          </w:p>
        </w:tc>
        <w:tc>
          <w:tcPr>
            <w:tcW w:w="1646" w:type="dxa"/>
            <w:noWrap w:val="0"/>
            <w:vAlign w:val="center"/>
          </w:tcPr>
          <w:p w14:paraId="7FD4E5A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350</w:t>
            </w:r>
          </w:p>
        </w:tc>
        <w:tc>
          <w:tcPr>
            <w:tcW w:w="1044" w:type="dxa"/>
            <w:noWrap w:val="0"/>
            <w:vAlign w:val="center"/>
          </w:tcPr>
          <w:p w14:paraId="3AF836E0">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41238F08">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2818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721" w:type="dxa"/>
            <w:noWrap w:val="0"/>
            <w:vAlign w:val="center"/>
          </w:tcPr>
          <w:p w14:paraId="3137120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5</w:t>
            </w:r>
          </w:p>
        </w:tc>
        <w:tc>
          <w:tcPr>
            <w:tcW w:w="4340" w:type="dxa"/>
            <w:noWrap w:val="0"/>
            <w:vAlign w:val="center"/>
          </w:tcPr>
          <w:p w14:paraId="42142EF8">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民事诉讼案件、行政诉讼案件、仲裁案件以及国家赔偿案件</w:t>
            </w:r>
          </w:p>
        </w:tc>
        <w:tc>
          <w:tcPr>
            <w:tcW w:w="1646" w:type="dxa"/>
            <w:noWrap w:val="0"/>
            <w:vAlign w:val="center"/>
          </w:tcPr>
          <w:p w14:paraId="6962ABC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2500</w:t>
            </w:r>
          </w:p>
        </w:tc>
        <w:tc>
          <w:tcPr>
            <w:tcW w:w="1044" w:type="dxa"/>
            <w:noWrap w:val="0"/>
            <w:vAlign w:val="center"/>
          </w:tcPr>
          <w:p w14:paraId="3D3EFFA8">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0FB281B6">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7D728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 w:hRule="atLeast"/>
        </w:trPr>
        <w:tc>
          <w:tcPr>
            <w:tcW w:w="721" w:type="dxa"/>
            <w:noWrap w:val="0"/>
            <w:vAlign w:val="center"/>
          </w:tcPr>
          <w:p w14:paraId="68A20D45">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6</w:t>
            </w:r>
          </w:p>
        </w:tc>
        <w:tc>
          <w:tcPr>
            <w:tcW w:w="4340" w:type="dxa"/>
            <w:noWrap w:val="0"/>
            <w:vAlign w:val="center"/>
          </w:tcPr>
          <w:p w14:paraId="783C7E44">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司法鉴定法律援助</w:t>
            </w:r>
          </w:p>
        </w:tc>
        <w:tc>
          <w:tcPr>
            <w:tcW w:w="1646" w:type="dxa"/>
            <w:noWrap w:val="0"/>
            <w:vAlign w:val="center"/>
          </w:tcPr>
          <w:p w14:paraId="06A0E3CF">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44" w:type="dxa"/>
            <w:noWrap w:val="0"/>
            <w:vAlign w:val="center"/>
          </w:tcPr>
          <w:p w14:paraId="0A219BA4">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6C06EBD6">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C852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721" w:type="dxa"/>
            <w:noWrap w:val="0"/>
            <w:vAlign w:val="center"/>
          </w:tcPr>
          <w:p w14:paraId="4F1DF482">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7</w:t>
            </w:r>
          </w:p>
        </w:tc>
        <w:tc>
          <w:tcPr>
            <w:tcW w:w="4340" w:type="dxa"/>
            <w:noWrap w:val="0"/>
            <w:vAlign w:val="center"/>
          </w:tcPr>
          <w:p w14:paraId="635A0E01">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其他非诉讼案件或法律援助协助执行案件</w:t>
            </w:r>
          </w:p>
        </w:tc>
        <w:tc>
          <w:tcPr>
            <w:tcW w:w="1646" w:type="dxa"/>
            <w:noWrap w:val="0"/>
            <w:vAlign w:val="center"/>
          </w:tcPr>
          <w:p w14:paraId="62929DEB">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44" w:type="dxa"/>
            <w:noWrap w:val="0"/>
            <w:vAlign w:val="center"/>
          </w:tcPr>
          <w:p w14:paraId="5702D55C">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00D734BE">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20720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trPr>
        <w:tc>
          <w:tcPr>
            <w:tcW w:w="721" w:type="dxa"/>
            <w:noWrap w:val="0"/>
            <w:vAlign w:val="center"/>
          </w:tcPr>
          <w:p w14:paraId="33263317">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8</w:t>
            </w:r>
          </w:p>
        </w:tc>
        <w:tc>
          <w:tcPr>
            <w:tcW w:w="4340" w:type="dxa"/>
            <w:noWrap w:val="0"/>
            <w:vAlign w:val="center"/>
          </w:tcPr>
          <w:p w14:paraId="27D22917">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接听12348法律服务热线电话</w:t>
            </w:r>
          </w:p>
        </w:tc>
        <w:tc>
          <w:tcPr>
            <w:tcW w:w="1646" w:type="dxa"/>
            <w:noWrap w:val="0"/>
            <w:vAlign w:val="center"/>
          </w:tcPr>
          <w:p w14:paraId="1B163584">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110000</w:t>
            </w:r>
          </w:p>
        </w:tc>
        <w:tc>
          <w:tcPr>
            <w:tcW w:w="1044" w:type="dxa"/>
            <w:noWrap w:val="0"/>
            <w:vAlign w:val="center"/>
          </w:tcPr>
          <w:p w14:paraId="2FF0A94F">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元/年</w:t>
            </w:r>
          </w:p>
        </w:tc>
        <w:tc>
          <w:tcPr>
            <w:tcW w:w="1647" w:type="dxa"/>
            <w:vMerge w:val="continue"/>
            <w:noWrap w:val="0"/>
            <w:vAlign w:val="center"/>
          </w:tcPr>
          <w:p w14:paraId="5E92CA8F">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117F2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721" w:type="dxa"/>
            <w:noWrap w:val="0"/>
            <w:vAlign w:val="center"/>
          </w:tcPr>
          <w:p w14:paraId="55E76D8B">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9</w:t>
            </w:r>
          </w:p>
        </w:tc>
        <w:tc>
          <w:tcPr>
            <w:tcW w:w="4340" w:type="dxa"/>
            <w:noWrap w:val="0"/>
            <w:vAlign w:val="center"/>
          </w:tcPr>
          <w:p w14:paraId="6C8785C3">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零工市场法律援助工作站综合工作</w:t>
            </w:r>
          </w:p>
        </w:tc>
        <w:tc>
          <w:tcPr>
            <w:tcW w:w="1646" w:type="dxa"/>
            <w:noWrap w:val="0"/>
            <w:vAlign w:val="center"/>
          </w:tcPr>
          <w:p w14:paraId="2A52C0E1">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45000</w:t>
            </w:r>
          </w:p>
        </w:tc>
        <w:tc>
          <w:tcPr>
            <w:tcW w:w="1044" w:type="dxa"/>
            <w:noWrap w:val="0"/>
            <w:vAlign w:val="center"/>
          </w:tcPr>
          <w:p w14:paraId="383470A3">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元/年</w:t>
            </w:r>
          </w:p>
        </w:tc>
        <w:tc>
          <w:tcPr>
            <w:tcW w:w="1647" w:type="dxa"/>
            <w:vMerge w:val="continue"/>
            <w:noWrap w:val="0"/>
            <w:vAlign w:val="center"/>
          </w:tcPr>
          <w:p w14:paraId="15730A22">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6BC9C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rPr>
        <w:tc>
          <w:tcPr>
            <w:tcW w:w="721" w:type="dxa"/>
            <w:noWrap w:val="0"/>
            <w:vAlign w:val="center"/>
          </w:tcPr>
          <w:p w14:paraId="0731D090">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w:t>
            </w:r>
          </w:p>
        </w:tc>
        <w:tc>
          <w:tcPr>
            <w:tcW w:w="4340" w:type="dxa"/>
            <w:noWrap w:val="0"/>
            <w:vAlign w:val="center"/>
          </w:tcPr>
          <w:p w14:paraId="2FA01B04">
            <w:pPr>
              <w:pageBreakBefore w:val="0"/>
              <w:widowControl w:val="0"/>
              <w:spacing w:line="540" w:lineRule="exact"/>
              <w:jc w:val="center"/>
              <w:rPr>
                <w:rFonts w:hint="eastAsia" w:ascii="宋体" w:hAnsi="宋体" w:eastAsia="宋体" w:cs="宋体"/>
                <w:b/>
                <w:bCs/>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区劳动人事争议法律援助工作站综合工作</w:t>
            </w:r>
          </w:p>
        </w:tc>
        <w:tc>
          <w:tcPr>
            <w:tcW w:w="1646" w:type="dxa"/>
            <w:noWrap w:val="0"/>
            <w:vAlign w:val="center"/>
          </w:tcPr>
          <w:p w14:paraId="461EAC26">
            <w:pPr>
              <w:pageBreakBefore w:val="0"/>
              <w:widowControl w:val="0"/>
              <w:spacing w:line="540" w:lineRule="exact"/>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220000</w:t>
            </w:r>
          </w:p>
        </w:tc>
        <w:tc>
          <w:tcPr>
            <w:tcW w:w="1044" w:type="dxa"/>
            <w:noWrap w:val="0"/>
            <w:vAlign w:val="center"/>
          </w:tcPr>
          <w:p w14:paraId="2D511559">
            <w:pPr>
              <w:pageBreakBefore w:val="0"/>
              <w:widowControl w:val="0"/>
              <w:spacing w:line="540" w:lineRule="exact"/>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元/年/所</w:t>
            </w:r>
          </w:p>
        </w:tc>
        <w:tc>
          <w:tcPr>
            <w:tcW w:w="1647" w:type="dxa"/>
            <w:vMerge w:val="continue"/>
            <w:noWrap w:val="0"/>
            <w:vAlign w:val="center"/>
          </w:tcPr>
          <w:p w14:paraId="1F759F87">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4C998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0D84663E">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w:t>
            </w:r>
          </w:p>
        </w:tc>
        <w:tc>
          <w:tcPr>
            <w:tcW w:w="4340" w:type="dxa"/>
            <w:noWrap w:val="0"/>
            <w:vAlign w:val="center"/>
          </w:tcPr>
          <w:p w14:paraId="0482C9E1">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从事来访接待、法律咨询</w:t>
            </w:r>
          </w:p>
        </w:tc>
        <w:tc>
          <w:tcPr>
            <w:tcW w:w="1646" w:type="dxa"/>
            <w:noWrap w:val="0"/>
            <w:vAlign w:val="center"/>
          </w:tcPr>
          <w:p w14:paraId="760E86D5">
            <w:pPr>
              <w:pageBreakBefore w:val="0"/>
              <w:widowControl w:val="0"/>
              <w:spacing w:line="540" w:lineRule="exact"/>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300</w:t>
            </w:r>
          </w:p>
        </w:tc>
        <w:tc>
          <w:tcPr>
            <w:tcW w:w="1044" w:type="dxa"/>
            <w:noWrap w:val="0"/>
            <w:vAlign w:val="center"/>
          </w:tcPr>
          <w:p w14:paraId="26EF0F63">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元/天</w:t>
            </w:r>
          </w:p>
        </w:tc>
        <w:tc>
          <w:tcPr>
            <w:tcW w:w="1647" w:type="dxa"/>
            <w:vMerge w:val="continue"/>
            <w:noWrap w:val="0"/>
            <w:vAlign w:val="center"/>
          </w:tcPr>
          <w:p w14:paraId="48D8A2A3">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6F755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3FCBE08F">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12</w:t>
            </w:r>
          </w:p>
        </w:tc>
        <w:tc>
          <w:tcPr>
            <w:tcW w:w="4340" w:type="dxa"/>
            <w:noWrap w:val="0"/>
            <w:vAlign w:val="center"/>
          </w:tcPr>
          <w:p w14:paraId="2A6826A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按照规定提供代书</w:t>
            </w:r>
          </w:p>
        </w:tc>
        <w:tc>
          <w:tcPr>
            <w:tcW w:w="1646" w:type="dxa"/>
            <w:noWrap w:val="0"/>
            <w:vAlign w:val="center"/>
          </w:tcPr>
          <w:p w14:paraId="725146D7">
            <w:pPr>
              <w:pageBreakBefore w:val="0"/>
              <w:widowControl w:val="0"/>
              <w:spacing w:line="540" w:lineRule="exact"/>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200</w:t>
            </w:r>
          </w:p>
        </w:tc>
        <w:tc>
          <w:tcPr>
            <w:tcW w:w="1044" w:type="dxa"/>
            <w:noWrap w:val="0"/>
            <w:vAlign w:val="center"/>
          </w:tcPr>
          <w:p w14:paraId="4E19762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元/（次）</w:t>
            </w:r>
          </w:p>
        </w:tc>
        <w:tc>
          <w:tcPr>
            <w:tcW w:w="1647" w:type="dxa"/>
            <w:vMerge w:val="continue"/>
            <w:noWrap w:val="0"/>
            <w:vAlign w:val="center"/>
          </w:tcPr>
          <w:p w14:paraId="209AF051">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6D985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5CB8B932">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13</w:t>
            </w:r>
          </w:p>
        </w:tc>
        <w:tc>
          <w:tcPr>
            <w:tcW w:w="4340" w:type="dxa"/>
            <w:noWrap w:val="0"/>
            <w:vAlign w:val="center"/>
          </w:tcPr>
          <w:p w14:paraId="6AE8FF3A">
            <w:pPr>
              <w:pageBreakBefore w:val="0"/>
              <w:widowControl w:val="0"/>
              <w:spacing w:line="540" w:lineRule="exact"/>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rPr>
              <w:t>办理案件或案例荣获荣誉奖励</w:t>
            </w:r>
          </w:p>
        </w:tc>
        <w:tc>
          <w:tcPr>
            <w:tcW w:w="1646" w:type="dxa"/>
            <w:noWrap w:val="0"/>
            <w:vAlign w:val="center"/>
          </w:tcPr>
          <w:p w14:paraId="5BE800B6">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市级</w:t>
            </w:r>
            <w:r>
              <w:rPr>
                <w:rFonts w:hint="eastAsia" w:ascii="宋体" w:hAnsi="宋体" w:eastAsia="宋体" w:cs="宋体"/>
                <w:color w:val="auto"/>
                <w:kern w:val="0"/>
                <w:sz w:val="24"/>
                <w:szCs w:val="24"/>
                <w:vertAlign w:val="baseline"/>
                <w:lang w:val="en-US" w:eastAsia="zh-CN"/>
              </w:rPr>
              <w:t>1000</w:t>
            </w:r>
          </w:p>
          <w:p w14:paraId="4DBCB861">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省级</w:t>
            </w:r>
            <w:r>
              <w:rPr>
                <w:rFonts w:hint="eastAsia" w:ascii="宋体" w:hAnsi="宋体" w:eastAsia="宋体" w:cs="宋体"/>
                <w:color w:val="auto"/>
                <w:kern w:val="0"/>
                <w:sz w:val="24"/>
                <w:szCs w:val="24"/>
                <w:vertAlign w:val="baseline"/>
                <w:lang w:val="en-US" w:eastAsia="zh-CN"/>
              </w:rPr>
              <w:t>1500</w:t>
            </w:r>
          </w:p>
          <w:p w14:paraId="115AEB26">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司法部</w:t>
            </w:r>
            <w:r>
              <w:rPr>
                <w:rFonts w:hint="eastAsia" w:ascii="宋体" w:hAnsi="宋体" w:eastAsia="宋体" w:cs="宋体"/>
                <w:color w:val="auto"/>
                <w:kern w:val="0"/>
                <w:sz w:val="24"/>
                <w:szCs w:val="24"/>
                <w:vertAlign w:val="baseline"/>
                <w:lang w:val="en-US" w:eastAsia="zh-CN"/>
              </w:rPr>
              <w:t>2000</w:t>
            </w:r>
          </w:p>
        </w:tc>
        <w:tc>
          <w:tcPr>
            <w:tcW w:w="1044" w:type="dxa"/>
            <w:noWrap w:val="0"/>
            <w:vAlign w:val="center"/>
          </w:tcPr>
          <w:p w14:paraId="2C4A01E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3AEB3BC7">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24FA6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21" w:type="dxa"/>
            <w:noWrap w:val="0"/>
            <w:vAlign w:val="center"/>
          </w:tcPr>
          <w:p w14:paraId="48BCA646">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w:t>
            </w:r>
          </w:p>
        </w:tc>
        <w:tc>
          <w:tcPr>
            <w:tcW w:w="4340" w:type="dxa"/>
            <w:noWrap w:val="0"/>
            <w:vAlign w:val="center"/>
          </w:tcPr>
          <w:p w14:paraId="56DA1309">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行政复议案件/行政诉讼（简易）</w:t>
            </w:r>
          </w:p>
        </w:tc>
        <w:tc>
          <w:tcPr>
            <w:tcW w:w="1646" w:type="dxa"/>
            <w:noWrap w:val="0"/>
            <w:vAlign w:val="center"/>
          </w:tcPr>
          <w:p w14:paraId="5A3A6F11">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1400</w:t>
            </w:r>
          </w:p>
        </w:tc>
        <w:tc>
          <w:tcPr>
            <w:tcW w:w="1044" w:type="dxa"/>
            <w:noWrap w:val="0"/>
            <w:vAlign w:val="center"/>
          </w:tcPr>
          <w:p w14:paraId="253B43C9">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26FC213E">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1AD0A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79A96E1A">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15</w:t>
            </w:r>
          </w:p>
        </w:tc>
        <w:tc>
          <w:tcPr>
            <w:tcW w:w="4340" w:type="dxa"/>
            <w:noWrap w:val="0"/>
            <w:vAlign w:val="center"/>
          </w:tcPr>
          <w:p w14:paraId="0A09FE0C">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行政复议案件/行政诉讼（普通）</w:t>
            </w:r>
          </w:p>
        </w:tc>
        <w:tc>
          <w:tcPr>
            <w:tcW w:w="1646" w:type="dxa"/>
            <w:noWrap w:val="0"/>
            <w:vAlign w:val="center"/>
          </w:tcPr>
          <w:p w14:paraId="6FF76CD2">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1800</w:t>
            </w:r>
          </w:p>
        </w:tc>
        <w:tc>
          <w:tcPr>
            <w:tcW w:w="1044" w:type="dxa"/>
            <w:noWrap w:val="0"/>
            <w:vAlign w:val="center"/>
          </w:tcPr>
          <w:p w14:paraId="2DA6A310">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215727AB">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7AC1C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541DF994">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16</w:t>
            </w:r>
          </w:p>
        </w:tc>
        <w:tc>
          <w:tcPr>
            <w:tcW w:w="4340" w:type="dxa"/>
            <w:noWrap w:val="0"/>
            <w:vAlign w:val="center"/>
          </w:tcPr>
          <w:p w14:paraId="228AE255">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行政复议案件/行政诉讼（重大复杂）</w:t>
            </w:r>
          </w:p>
        </w:tc>
        <w:tc>
          <w:tcPr>
            <w:tcW w:w="1646" w:type="dxa"/>
            <w:noWrap w:val="0"/>
            <w:vAlign w:val="center"/>
          </w:tcPr>
          <w:p w14:paraId="5CF483B1">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2200</w:t>
            </w:r>
          </w:p>
        </w:tc>
        <w:tc>
          <w:tcPr>
            <w:tcW w:w="1044" w:type="dxa"/>
            <w:noWrap w:val="0"/>
            <w:vAlign w:val="center"/>
          </w:tcPr>
          <w:p w14:paraId="1FEB8049">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0C0D714F">
            <w:pPr>
              <w:pageBreakBefore w:val="0"/>
              <w:widowControl w:val="0"/>
              <w:spacing w:line="540" w:lineRule="exact"/>
              <w:jc w:val="center"/>
              <w:rPr>
                <w:rFonts w:hint="eastAsia" w:ascii="宋体" w:hAnsi="宋体" w:eastAsia="宋体" w:cs="宋体"/>
                <w:color w:val="auto"/>
                <w:kern w:val="0"/>
                <w:sz w:val="24"/>
                <w:szCs w:val="24"/>
                <w:vertAlign w:val="baseline"/>
              </w:rPr>
            </w:pPr>
          </w:p>
        </w:tc>
      </w:tr>
    </w:tbl>
    <w:p w14:paraId="237462DA">
      <w:pPr>
        <w:pageBreakBefore w:val="0"/>
        <w:widowControl w:val="0"/>
        <w:spacing w:before="156" w:after="156" w:line="540" w:lineRule="exact"/>
        <w:ind w:firstLine="640"/>
        <w:jc w:val="left"/>
        <w:outlineLvl w:val="0"/>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本项目采用价格优先法，是指对满足采购需求且响应报价不超过最高限制单价的货物、服务，按照响应报价（供应商投标报价优惠率）从高到低排序，根据征集文件规定的淘汰率或者入围供应商数量上限，确定入围供应商的评审方法。</w:t>
      </w:r>
    </w:p>
    <w:p w14:paraId="0F2BC98E">
      <w:pPr>
        <w:keepNext w:val="0"/>
        <w:keepLines w:val="0"/>
        <w:pageBreakBefore w:val="0"/>
        <w:widowControl w:val="0"/>
        <w:numPr>
          <w:ilvl w:val="0"/>
          <w:numId w:val="0"/>
        </w:numPr>
        <w:spacing w:line="500" w:lineRule="exact"/>
        <w:ind w:firstLine="64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为避免供应商非理性报价、恶意低价谋取入围影响项目实施，防止政府采购领域“内卷式”竞争，形成优质优价、良性竞争的市场秩序，采购人授权评审小组在评审过程中发现下列情形之一时，按照财政部财库〔2026〕2号《关于推动解决政府采购异常低价问题的通知》规定，启动异常低价投标（响应）审查程序：</w:t>
      </w:r>
    </w:p>
    <w:p w14:paraId="2CFD4619">
      <w:pPr>
        <w:keepNext w:val="0"/>
        <w:keepLines w:val="0"/>
        <w:pageBreakBefore w:val="0"/>
        <w:widowControl w:val="0"/>
        <w:numPr>
          <w:ilvl w:val="0"/>
          <w:numId w:val="0"/>
        </w:numPr>
        <w:spacing w:line="500" w:lineRule="exact"/>
        <w:ind w:firstLine="64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1.投标（响应）报价低于全部通过符合性审查供应商投标（响应）报价平均值50%的，即投标（响应）报价&lt;全部通过符合性审查供应商投标（响应）报价平均值×50%；</w:t>
      </w:r>
    </w:p>
    <w:p w14:paraId="1D5A7293">
      <w:pPr>
        <w:keepNext w:val="0"/>
        <w:keepLines w:val="0"/>
        <w:pageBreakBefore w:val="0"/>
        <w:widowControl w:val="0"/>
        <w:numPr>
          <w:ilvl w:val="0"/>
          <w:numId w:val="0"/>
        </w:numPr>
        <w:spacing w:line="500" w:lineRule="exact"/>
        <w:ind w:firstLine="64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2.投标（响应）报价低于通过符合性审查的次低报价供应商投标（响应）报价50%的，即投标（响应）报价&lt;通过符合性审查的次低报价供应商投标（响应）报价×50%；</w:t>
      </w:r>
    </w:p>
    <w:p w14:paraId="05A86046">
      <w:pPr>
        <w:keepNext w:val="0"/>
        <w:keepLines w:val="0"/>
        <w:pageBreakBefore w:val="0"/>
        <w:widowControl w:val="0"/>
        <w:numPr>
          <w:ilvl w:val="0"/>
          <w:numId w:val="0"/>
        </w:numPr>
        <w:spacing w:line="500" w:lineRule="exact"/>
        <w:ind w:firstLine="64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3.投标（响应）报价低于采购项目最高限价45%的，即投标（响应）报价&lt;采购项目最高限价×45%；</w:t>
      </w:r>
    </w:p>
    <w:p w14:paraId="79BAA608">
      <w:pPr>
        <w:keepNext w:val="0"/>
        <w:keepLines w:val="0"/>
        <w:pageBreakBefore w:val="0"/>
        <w:widowControl w:val="0"/>
        <w:numPr>
          <w:ilvl w:val="0"/>
          <w:numId w:val="0"/>
        </w:numPr>
        <w:spacing w:line="500" w:lineRule="exact"/>
        <w:ind w:firstLine="64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4.评审委员会基于专业判断，认为供应商报价过低，有可能影响产品质量或者不能诚信履约的其他情形。</w:t>
      </w:r>
    </w:p>
    <w:p w14:paraId="53705F6F">
      <w:pPr>
        <w:pageBreakBefore w:val="0"/>
        <w:widowControl w:val="0"/>
        <w:spacing w:after="0" w:line="540" w:lineRule="exact"/>
        <w:ind w:left="0" w:firstLine="64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本次采购代理费服务费和专家评审费均由采购人承担，代理服务费收费标准：入围家数*690元/家，专家评审费按实际产生费用结算。</w:t>
      </w:r>
    </w:p>
    <w:p w14:paraId="62731A2C">
      <w:pPr>
        <w:pageBreakBefore w:val="0"/>
        <w:widowControl w:val="0"/>
        <w:tabs>
          <w:tab w:val="left" w:pos="6620"/>
          <w:tab w:val="left" w:pos="7140"/>
        </w:tabs>
        <w:spacing w:line="540" w:lineRule="exact"/>
        <w:jc w:val="both"/>
        <w:rPr>
          <w:rFonts w:hint="eastAsia" w:ascii="宋体" w:hAnsi="宋体" w:eastAsia="宋体" w:cs="宋体"/>
          <w:b/>
          <w:color w:val="auto"/>
          <w:kern w:val="0"/>
          <w:sz w:val="24"/>
          <w:szCs w:val="24"/>
          <w:highlight w:val="none"/>
          <w:lang w:eastAsia="zh-CN"/>
        </w:rPr>
        <w:sectPr>
          <w:pgSz w:w="11906" w:h="16838"/>
          <w:pgMar w:top="1418" w:right="1418" w:bottom="1418" w:left="1361" w:header="851" w:footer="737" w:gutter="0"/>
          <w:pgNumType w:fmt="decimal"/>
          <w:cols w:space="720" w:num="1"/>
          <w:docGrid w:linePitch="312" w:charSpace="0"/>
        </w:sectPr>
      </w:pPr>
    </w:p>
    <w:p w14:paraId="634109A1">
      <w:pPr>
        <w:pageBreakBefore w:val="0"/>
        <w:widowControl w:val="0"/>
        <w:tabs>
          <w:tab w:val="left" w:pos="6620"/>
          <w:tab w:val="left" w:pos="7140"/>
        </w:tabs>
        <w:spacing w:line="540" w:lineRule="exact"/>
        <w:jc w:val="left"/>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附件：</w:t>
      </w:r>
    </w:p>
    <w:p w14:paraId="262B7219">
      <w:pPr>
        <w:pageBreakBefore w:val="0"/>
        <w:widowControl w:val="0"/>
        <w:tabs>
          <w:tab w:val="left" w:pos="6620"/>
          <w:tab w:val="left" w:pos="7140"/>
        </w:tabs>
        <w:spacing w:line="54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通</w:t>
      </w:r>
      <w:r>
        <w:rPr>
          <w:rFonts w:hint="eastAsia" w:ascii="宋体" w:hAnsi="宋体" w:eastAsia="宋体" w:cs="宋体"/>
          <w:b/>
          <w:color w:val="auto"/>
          <w:kern w:val="0"/>
          <w:sz w:val="24"/>
          <w:szCs w:val="24"/>
          <w:highlight w:val="none"/>
        </w:rPr>
        <w:t>知类法律援助案件质量</w:t>
      </w:r>
      <w:r>
        <w:rPr>
          <w:rFonts w:hint="eastAsia" w:ascii="宋体" w:hAnsi="宋体" w:eastAsia="宋体" w:cs="宋体"/>
          <w:b/>
          <w:color w:val="auto"/>
          <w:kern w:val="0"/>
          <w:sz w:val="24"/>
          <w:szCs w:val="24"/>
          <w:highlight w:val="none"/>
          <w:lang w:eastAsia="zh-CN"/>
        </w:rPr>
        <w:t>考核标准</w:t>
      </w:r>
    </w:p>
    <w:tbl>
      <w:tblPr>
        <w:tblStyle w:val="18"/>
        <w:tblW w:w="97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3"/>
        <w:gridCol w:w="1043"/>
        <w:gridCol w:w="7044"/>
        <w:gridCol w:w="738"/>
      </w:tblGrid>
      <w:tr w14:paraId="7B4C8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67DA486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序号</w:t>
            </w:r>
          </w:p>
        </w:tc>
        <w:tc>
          <w:tcPr>
            <w:tcW w:w="1043" w:type="dxa"/>
            <w:noWrap w:val="0"/>
            <w:vAlign w:val="center"/>
          </w:tcPr>
          <w:p w14:paraId="117F6BE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项目</w:t>
            </w:r>
          </w:p>
        </w:tc>
        <w:tc>
          <w:tcPr>
            <w:tcW w:w="7044" w:type="dxa"/>
            <w:noWrap w:val="0"/>
            <w:vAlign w:val="center"/>
          </w:tcPr>
          <w:p w14:paraId="254A21B4">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标准</w:t>
            </w:r>
          </w:p>
        </w:tc>
        <w:tc>
          <w:tcPr>
            <w:tcW w:w="738" w:type="dxa"/>
            <w:noWrap w:val="0"/>
            <w:vAlign w:val="center"/>
          </w:tcPr>
          <w:p w14:paraId="7EAD78D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总分</w:t>
            </w:r>
          </w:p>
        </w:tc>
      </w:tr>
      <w:tr w14:paraId="11735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5A090AD4">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p>
        </w:tc>
        <w:tc>
          <w:tcPr>
            <w:tcW w:w="1043" w:type="dxa"/>
            <w:noWrap w:val="0"/>
            <w:vAlign w:val="center"/>
          </w:tcPr>
          <w:p w14:paraId="2B3C41D8">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及时有效会见</w:t>
            </w:r>
          </w:p>
        </w:tc>
        <w:tc>
          <w:tcPr>
            <w:tcW w:w="7044" w:type="dxa"/>
            <w:noWrap w:val="0"/>
            <w:vAlign w:val="top"/>
          </w:tcPr>
          <w:p w14:paraId="1FFFD147">
            <w:pPr>
              <w:keepNext w:val="0"/>
              <w:keepLines w:val="0"/>
              <w:pageBreakBefore w:val="0"/>
              <w:widowControl w:val="0"/>
              <w:numPr>
                <w:ilvl w:val="0"/>
                <w:numId w:val="7"/>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每个阶段至少会见受援人一次，会见内容包括法律咨询，听取受援人的陈述和辩解，提供法律帮助，核实案件事实，和有关证据材料的矛盾和疑点，核实是否有刑讯逼供等非法取证情况；沟通辩护方案，征询辩护意见；告知诉讼程序、权利义务和风险及应注意的事项等。（具体内容根据案件所属阶段不同予以区分。），未按要求执行，扣5分；</w:t>
            </w:r>
          </w:p>
          <w:p w14:paraId="42683FE5">
            <w:pPr>
              <w:keepNext w:val="0"/>
              <w:keepLines w:val="0"/>
              <w:pageBreakBefore w:val="0"/>
              <w:widowControl w:val="0"/>
              <w:numPr>
                <w:ilvl w:val="0"/>
                <w:numId w:val="7"/>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会见笔录能完整反应会见的时间地点等内容情况，并经会见人签名或按印确认。受援人无阅读能力的应向其宣读笔录，并在笔录上载明。未按要求执行，扣10分；</w:t>
            </w:r>
          </w:p>
        </w:tc>
        <w:tc>
          <w:tcPr>
            <w:tcW w:w="738" w:type="dxa"/>
            <w:noWrap w:val="0"/>
            <w:vAlign w:val="center"/>
          </w:tcPr>
          <w:p w14:paraId="61C94EB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15</w:t>
            </w:r>
          </w:p>
        </w:tc>
      </w:tr>
      <w:tr w14:paraId="11CD9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1F5E963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p>
        </w:tc>
        <w:tc>
          <w:tcPr>
            <w:tcW w:w="1043" w:type="dxa"/>
            <w:noWrap w:val="0"/>
            <w:vAlign w:val="center"/>
          </w:tcPr>
          <w:p w14:paraId="08AA139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及时有效阅卷</w:t>
            </w:r>
          </w:p>
        </w:tc>
        <w:tc>
          <w:tcPr>
            <w:tcW w:w="7044" w:type="dxa"/>
            <w:noWrap w:val="0"/>
            <w:vAlign w:val="top"/>
          </w:tcPr>
          <w:p w14:paraId="3838216F">
            <w:pPr>
              <w:keepNext w:val="0"/>
              <w:keepLines w:val="0"/>
              <w:pageBreakBefore w:val="0"/>
              <w:widowControl w:val="0"/>
              <w:numPr>
                <w:ilvl w:val="0"/>
                <w:numId w:val="8"/>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及时查阅、摘抄、复制案卷材料，并制作阅卷笔录。未按要求执行，扣10分；</w:t>
            </w:r>
          </w:p>
          <w:p w14:paraId="39544B68">
            <w:pPr>
              <w:keepNext w:val="0"/>
              <w:keepLines w:val="0"/>
              <w:pageBreakBefore w:val="0"/>
              <w:widowControl w:val="0"/>
              <w:numPr>
                <w:ilvl w:val="0"/>
                <w:numId w:val="8"/>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保证查阅、摘抄、复制案卷材料的确性、完整性。未按要求执行，扣5分；</w:t>
            </w:r>
          </w:p>
        </w:tc>
        <w:tc>
          <w:tcPr>
            <w:tcW w:w="738" w:type="dxa"/>
            <w:noWrap w:val="0"/>
            <w:vAlign w:val="center"/>
          </w:tcPr>
          <w:p w14:paraId="79BF1CB1">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15</w:t>
            </w:r>
          </w:p>
        </w:tc>
      </w:tr>
      <w:tr w14:paraId="7C5C7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03" w:type="dxa"/>
            <w:noWrap w:val="0"/>
            <w:vAlign w:val="center"/>
          </w:tcPr>
          <w:p w14:paraId="4E621C5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p>
        </w:tc>
        <w:tc>
          <w:tcPr>
            <w:tcW w:w="1043" w:type="dxa"/>
            <w:noWrap w:val="0"/>
            <w:vAlign w:val="center"/>
          </w:tcPr>
          <w:p w14:paraId="5F99344C">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依法调查取证</w:t>
            </w:r>
          </w:p>
        </w:tc>
        <w:tc>
          <w:tcPr>
            <w:tcW w:w="7044" w:type="dxa"/>
            <w:noWrap w:val="0"/>
            <w:vAlign w:val="top"/>
          </w:tcPr>
          <w:p w14:paraId="374BC85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lang w:eastAsia="zh-CN"/>
              </w:rPr>
              <w:t>根据案件情况依法</w:t>
            </w:r>
            <w:r>
              <w:rPr>
                <w:rFonts w:hint="eastAsia" w:ascii="宋体" w:hAnsi="宋体" w:eastAsia="宋体" w:cs="宋体"/>
                <w:color w:val="auto"/>
                <w:kern w:val="0"/>
                <w:sz w:val="24"/>
                <w:szCs w:val="24"/>
                <w:highlight w:val="none"/>
              </w:rPr>
              <w:t>调查取证，必要时申请人民检察院，人民法院收集、调取相关证据，申请人民法院通知证人出庭作证，申请鉴定人出庭作证，申请重新鉴定或勘验等。如有明显疏漏</w:t>
            </w:r>
            <w:r>
              <w:rPr>
                <w:rFonts w:hint="eastAsia" w:ascii="宋体" w:hAnsi="宋体" w:eastAsia="宋体" w:cs="宋体"/>
                <w:color w:val="auto"/>
                <w:kern w:val="0"/>
                <w:sz w:val="24"/>
                <w:szCs w:val="24"/>
                <w:highlight w:val="none"/>
                <w:lang w:eastAsia="zh-CN"/>
              </w:rPr>
              <w:t>，例</w:t>
            </w:r>
            <w:r>
              <w:rPr>
                <w:rFonts w:hint="eastAsia" w:ascii="宋体" w:hAnsi="宋体" w:eastAsia="宋体" w:cs="宋体"/>
                <w:color w:val="auto"/>
                <w:kern w:val="0"/>
                <w:sz w:val="24"/>
                <w:szCs w:val="24"/>
                <w:highlight w:val="none"/>
              </w:rPr>
              <w:t>如收集有关犯罪嫌疑人不在犯罪现场、未达刑事责任年龄、属于依法不负责任的精神病人的证据，而没告知办案机关等的情况，</w:t>
            </w:r>
            <w:r>
              <w:rPr>
                <w:rFonts w:hint="eastAsia" w:ascii="宋体" w:hAnsi="宋体" w:eastAsia="宋体" w:cs="宋体"/>
                <w:color w:val="auto"/>
                <w:kern w:val="0"/>
                <w:sz w:val="24"/>
                <w:szCs w:val="24"/>
                <w:highlight w:val="none"/>
                <w:lang w:eastAsia="zh-CN"/>
              </w:rPr>
              <w:t>该项扣</w:t>
            </w:r>
            <w:r>
              <w:rPr>
                <w:rFonts w:hint="eastAsia" w:ascii="宋体" w:hAnsi="宋体" w:eastAsia="宋体" w:cs="宋体"/>
                <w:color w:val="auto"/>
                <w:kern w:val="0"/>
                <w:sz w:val="24"/>
                <w:szCs w:val="24"/>
                <w:highlight w:val="none"/>
                <w:lang w:val="en-US" w:eastAsia="zh-CN"/>
              </w:rPr>
              <w:t>5分；</w:t>
            </w:r>
          </w:p>
        </w:tc>
        <w:tc>
          <w:tcPr>
            <w:tcW w:w="738" w:type="dxa"/>
            <w:noWrap w:val="0"/>
            <w:vAlign w:val="center"/>
          </w:tcPr>
          <w:p w14:paraId="605CF15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2EECD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707494F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w:t>
            </w:r>
          </w:p>
        </w:tc>
        <w:tc>
          <w:tcPr>
            <w:tcW w:w="1043" w:type="dxa"/>
            <w:noWrap w:val="0"/>
            <w:vAlign w:val="center"/>
          </w:tcPr>
          <w:p w14:paraId="64D195E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有效提出法律意见</w:t>
            </w:r>
          </w:p>
        </w:tc>
        <w:tc>
          <w:tcPr>
            <w:tcW w:w="7044" w:type="dxa"/>
            <w:noWrap w:val="0"/>
            <w:vAlign w:val="top"/>
          </w:tcPr>
          <w:p w14:paraId="3EFA0114">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rPr>
              <w:t>及时提交书面意见；所提法律意见有从事实、证据和法律等方面进行的分析论证，认为有非法证据应当提交相应证据线索，并提出排除非法证据的意见；根据案件情况，代理申诉、控告，申请变更或解除强制措施，建议办案机关作出不批捕决定、申请羁押必要性审查；针对指控罪名和事实提出犯罪嫌疑人或被告人无罪、罪轻或者减轻、免除刑事责任等辩护意见。</w:t>
            </w:r>
            <w:r>
              <w:rPr>
                <w:rFonts w:hint="eastAsia" w:ascii="宋体" w:hAnsi="宋体" w:eastAsia="宋体" w:cs="宋体"/>
                <w:color w:val="auto"/>
                <w:kern w:val="0"/>
                <w:sz w:val="24"/>
                <w:szCs w:val="24"/>
                <w:highlight w:val="none"/>
                <w:lang w:eastAsia="zh-CN"/>
              </w:rPr>
              <w:t>辩护词过于简单，套模板，缺乏分析论证的，酌情扣</w:t>
            </w:r>
            <w:r>
              <w:rPr>
                <w:rFonts w:hint="eastAsia" w:ascii="宋体" w:hAnsi="宋体" w:eastAsia="宋体" w:cs="宋体"/>
                <w:color w:val="auto"/>
                <w:kern w:val="0"/>
                <w:sz w:val="24"/>
                <w:szCs w:val="24"/>
                <w:highlight w:val="none"/>
                <w:lang w:val="en-US" w:eastAsia="zh-CN"/>
              </w:rPr>
              <w:t>5-20分；</w:t>
            </w:r>
          </w:p>
        </w:tc>
        <w:tc>
          <w:tcPr>
            <w:tcW w:w="738" w:type="dxa"/>
            <w:noWrap w:val="0"/>
            <w:vAlign w:val="center"/>
          </w:tcPr>
          <w:p w14:paraId="57DFE0F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267DE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0FBE05C1">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c>
          <w:tcPr>
            <w:tcW w:w="1043" w:type="dxa"/>
            <w:noWrap w:val="0"/>
            <w:vAlign w:val="center"/>
          </w:tcPr>
          <w:p w14:paraId="54E8AEF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依法参加庭审活动</w:t>
            </w:r>
          </w:p>
        </w:tc>
        <w:tc>
          <w:tcPr>
            <w:tcW w:w="7044" w:type="dxa"/>
            <w:noWrap w:val="0"/>
            <w:vAlign w:val="top"/>
          </w:tcPr>
          <w:p w14:paraId="52783D55">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做好开庭准备，参加法庭调查、法庭辩论，有庭审记录或法庭笔录，字迹清晰；围绕证据的真实性、关联性和合法性等发表质证意见；从事实、证据、适用法律、诉讼程序等方面进行分析认证，提出案件定罪量刑的意见和理由。（侦查和审查起诉阶段不作要求），未按要求执行，酌情扣1-5分；</w:t>
            </w:r>
          </w:p>
        </w:tc>
        <w:tc>
          <w:tcPr>
            <w:tcW w:w="738" w:type="dxa"/>
            <w:noWrap w:val="0"/>
            <w:vAlign w:val="center"/>
          </w:tcPr>
          <w:p w14:paraId="7315467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1DDE8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198B49E7">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6</w:t>
            </w:r>
          </w:p>
        </w:tc>
        <w:tc>
          <w:tcPr>
            <w:tcW w:w="1043" w:type="dxa"/>
            <w:noWrap w:val="0"/>
            <w:vAlign w:val="center"/>
          </w:tcPr>
          <w:p w14:paraId="6D15185B">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全面履行告知义务</w:t>
            </w:r>
          </w:p>
        </w:tc>
        <w:tc>
          <w:tcPr>
            <w:tcW w:w="7044" w:type="dxa"/>
            <w:noWrap w:val="0"/>
            <w:vAlign w:val="top"/>
          </w:tcPr>
          <w:p w14:paraId="0E7E5A7E">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告知承办律师身份、责任、工作任务及参与诉讼的权利义务，且询问是否同意为其辩护；询问受援人基本情况；听取受援人陈述申辩，询问是否存在自首、立功或其他对定罪量刑有利的信息；询问受援人能否提供新的证据或证据线索；告知受援人程序和实体上权利义务及诉讼程序规定；向受援人解释所涉罪名的犯罪构成及量刑幅度；犯罪嫌疑人认罪认罚的，及时告知其各项诉讼权利和认罪认罚的法律规定；有被会见人签名或捺印确认；受援人不同意承办律师为其辩护，要书面告知法律援助中心；未按要求执行，酌情扣1-5分；</w:t>
            </w:r>
          </w:p>
        </w:tc>
        <w:tc>
          <w:tcPr>
            <w:tcW w:w="738" w:type="dxa"/>
            <w:noWrap w:val="0"/>
            <w:vAlign w:val="center"/>
          </w:tcPr>
          <w:p w14:paraId="175AB5D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2F926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724D4E2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7</w:t>
            </w:r>
          </w:p>
        </w:tc>
        <w:tc>
          <w:tcPr>
            <w:tcW w:w="1043" w:type="dxa"/>
            <w:noWrap w:val="0"/>
            <w:vAlign w:val="center"/>
          </w:tcPr>
          <w:p w14:paraId="49A1053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履行报告义务</w:t>
            </w:r>
          </w:p>
        </w:tc>
        <w:tc>
          <w:tcPr>
            <w:tcW w:w="7044" w:type="dxa"/>
            <w:noWrap w:val="0"/>
            <w:vAlign w:val="top"/>
          </w:tcPr>
          <w:p w14:paraId="129698B6">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四类案件：A主要证据或案件事实的认定、法律适用、罪与非罪等方面存在重大疑义的；B涉及群体性事件的；C具有重大社会影响的；D其他疑难复杂情形的案件；</w:t>
            </w:r>
          </w:p>
          <w:p w14:paraId="22891D80">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遇到四类重大疑难复杂刑事案件之一，向律所报告，提请集体讨论研究辩护意见，并及时向法援机构报告承办情况，并在法律援助案件承办情况通报/报告记录中有记录。遇到导致终止法律援助的4种情形之一，向法援机构报告。未按要求执行5分；</w:t>
            </w:r>
          </w:p>
        </w:tc>
        <w:tc>
          <w:tcPr>
            <w:tcW w:w="738" w:type="dxa"/>
            <w:noWrap w:val="0"/>
            <w:vAlign w:val="center"/>
          </w:tcPr>
          <w:p w14:paraId="7B41DAB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4D3CA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3" w:type="dxa"/>
            <w:noWrap w:val="0"/>
            <w:vAlign w:val="center"/>
          </w:tcPr>
          <w:p w14:paraId="138B460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8</w:t>
            </w:r>
          </w:p>
        </w:tc>
        <w:tc>
          <w:tcPr>
            <w:tcW w:w="1043" w:type="dxa"/>
            <w:noWrap w:val="0"/>
            <w:vAlign w:val="center"/>
          </w:tcPr>
          <w:p w14:paraId="05B9F4E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规范整理提交承办材料</w:t>
            </w:r>
          </w:p>
        </w:tc>
        <w:tc>
          <w:tcPr>
            <w:tcW w:w="7044" w:type="dxa"/>
            <w:noWrap w:val="0"/>
            <w:vAlign w:val="top"/>
          </w:tcPr>
          <w:p w14:paraId="4A4A4F18">
            <w:pPr>
              <w:keepNext w:val="0"/>
              <w:keepLines w:val="0"/>
              <w:pageBreakBefore w:val="0"/>
              <w:widowControl w:val="0"/>
              <w:numPr>
                <w:ilvl w:val="0"/>
                <w:numId w:val="9"/>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有判决书、裁定书等结案文书，程序完整，受援人合法权益基本得到维护。</w:t>
            </w:r>
          </w:p>
          <w:p w14:paraId="431BA19D">
            <w:pPr>
              <w:keepNext w:val="0"/>
              <w:keepLines w:val="0"/>
              <w:pageBreakBefore w:val="0"/>
              <w:widowControl w:val="0"/>
              <w:numPr>
                <w:ilvl w:val="0"/>
                <w:numId w:val="9"/>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有《案件承办情况通报/报告》，将承办案件过程按时间顺序记录详细。</w:t>
            </w:r>
          </w:p>
          <w:p w14:paraId="7478A0A5">
            <w:pPr>
              <w:keepNext w:val="0"/>
              <w:keepLines w:val="0"/>
              <w:pageBreakBefore w:val="0"/>
              <w:widowControl w:val="0"/>
              <w:numPr>
                <w:ilvl w:val="0"/>
                <w:numId w:val="9"/>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有《结案报告》，内容填写规范完整。办案小结有基本案情、办案经过简述、辩护意见、援助结果、办案思路方法和经验体会等。主要证据或案件事实的认定、法律适用、罪与非罪等方面存在重大疑义、涉及群体性事件、具有重大社会影响等疑难复杂情形应记录。</w:t>
            </w:r>
          </w:p>
          <w:p w14:paraId="15BA30B0">
            <w:pPr>
              <w:keepNext w:val="0"/>
              <w:keepLines w:val="0"/>
              <w:pageBreakBefore w:val="0"/>
              <w:widowControl w:val="0"/>
              <w:numPr>
                <w:ilvl w:val="0"/>
                <w:numId w:val="9"/>
              </w:numPr>
              <w:spacing w:after="0" w:line="540" w:lineRule="exact"/>
              <w:ind w:left="0" w:firstLine="0"/>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卷宗规范整洁，卷宗与信息系统一致；案卷卷面填写规范无误；指派和办理流程时间逻辑相符；自结案之日起30日内向法律援助机构提交纸质档案。</w:t>
            </w:r>
          </w:p>
          <w:p w14:paraId="26C3C937">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未按要求执行，酌情扣5-30分；</w:t>
            </w:r>
          </w:p>
        </w:tc>
        <w:tc>
          <w:tcPr>
            <w:tcW w:w="738" w:type="dxa"/>
            <w:noWrap w:val="0"/>
            <w:vAlign w:val="center"/>
          </w:tcPr>
          <w:p w14:paraId="5057232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30</w:t>
            </w:r>
          </w:p>
        </w:tc>
      </w:tr>
      <w:tr w14:paraId="30E10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6" w:type="dxa"/>
            <w:gridSpan w:val="2"/>
            <w:noWrap w:val="0"/>
            <w:vAlign w:val="center"/>
          </w:tcPr>
          <w:p w14:paraId="422259E4">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合计</w:t>
            </w:r>
          </w:p>
        </w:tc>
        <w:tc>
          <w:tcPr>
            <w:tcW w:w="7044" w:type="dxa"/>
            <w:noWrap w:val="0"/>
            <w:vAlign w:val="top"/>
          </w:tcPr>
          <w:p w14:paraId="507A2560">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p>
        </w:tc>
        <w:tc>
          <w:tcPr>
            <w:tcW w:w="738" w:type="dxa"/>
            <w:noWrap w:val="0"/>
            <w:vAlign w:val="center"/>
          </w:tcPr>
          <w:p w14:paraId="3DD7895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100</w:t>
            </w:r>
          </w:p>
        </w:tc>
      </w:tr>
    </w:tbl>
    <w:p w14:paraId="5E44B648">
      <w:pPr>
        <w:pageBreakBefore w:val="0"/>
        <w:widowControl w:val="0"/>
        <w:tabs>
          <w:tab w:val="left" w:pos="6620"/>
          <w:tab w:val="left" w:pos="7140"/>
        </w:tabs>
        <w:spacing w:line="540" w:lineRule="exact"/>
        <w:jc w:val="center"/>
        <w:rPr>
          <w:rFonts w:hint="eastAsia" w:ascii="宋体" w:hAnsi="宋体" w:eastAsia="宋体" w:cs="宋体"/>
          <w:b/>
          <w:color w:val="auto"/>
          <w:kern w:val="0"/>
          <w:sz w:val="24"/>
          <w:szCs w:val="24"/>
          <w:highlight w:val="none"/>
          <w:lang w:eastAsia="zh-CN"/>
        </w:rPr>
      </w:pPr>
    </w:p>
    <w:p w14:paraId="33A9A8B4">
      <w:pPr>
        <w:pageBreakBefore w:val="0"/>
        <w:widowControl w:val="0"/>
        <w:tabs>
          <w:tab w:val="left" w:pos="6620"/>
          <w:tab w:val="left" w:pos="7140"/>
        </w:tabs>
        <w:spacing w:line="540" w:lineRule="exact"/>
        <w:jc w:val="center"/>
        <w:rPr>
          <w:rFonts w:hint="eastAsia" w:ascii="宋体" w:hAnsi="宋体" w:eastAsia="宋体" w:cs="宋体"/>
          <w:b/>
          <w:color w:val="auto"/>
          <w:kern w:val="0"/>
          <w:sz w:val="24"/>
          <w:szCs w:val="24"/>
          <w:highlight w:val="none"/>
          <w:lang w:eastAsia="zh-CN"/>
        </w:rPr>
      </w:pPr>
    </w:p>
    <w:p w14:paraId="671C7E6E">
      <w:pPr>
        <w:pageBreakBefore w:val="0"/>
        <w:widowControl w:val="0"/>
        <w:tabs>
          <w:tab w:val="left" w:pos="6620"/>
          <w:tab w:val="left" w:pos="7140"/>
        </w:tabs>
        <w:spacing w:line="540" w:lineRule="exact"/>
        <w:jc w:val="center"/>
        <w:rPr>
          <w:rFonts w:hint="eastAsia" w:ascii="宋体" w:hAnsi="宋体" w:eastAsia="宋体" w:cs="宋体"/>
          <w:b/>
          <w:color w:val="auto"/>
          <w:kern w:val="0"/>
          <w:sz w:val="24"/>
          <w:szCs w:val="24"/>
          <w:highlight w:val="none"/>
          <w:lang w:eastAsia="zh-CN"/>
        </w:rPr>
        <w:sectPr>
          <w:pgSz w:w="11906" w:h="16838"/>
          <w:pgMar w:top="1418" w:right="1418" w:bottom="1418" w:left="1361" w:header="851" w:footer="737" w:gutter="0"/>
          <w:pgNumType w:fmt="decimal"/>
          <w:cols w:space="720" w:num="1"/>
          <w:docGrid w:linePitch="312" w:charSpace="0"/>
        </w:sectPr>
      </w:pPr>
    </w:p>
    <w:p w14:paraId="5D4D1E47">
      <w:pPr>
        <w:pageBreakBefore w:val="0"/>
        <w:widowControl w:val="0"/>
        <w:tabs>
          <w:tab w:val="left" w:pos="6620"/>
          <w:tab w:val="left" w:pos="7140"/>
        </w:tabs>
        <w:spacing w:line="540" w:lineRule="exact"/>
        <w:jc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申请</w:t>
      </w:r>
      <w:r>
        <w:rPr>
          <w:rFonts w:hint="eastAsia" w:ascii="宋体" w:hAnsi="宋体" w:eastAsia="宋体" w:cs="宋体"/>
          <w:b/>
          <w:color w:val="auto"/>
          <w:kern w:val="0"/>
          <w:sz w:val="24"/>
          <w:szCs w:val="24"/>
          <w:highlight w:val="none"/>
        </w:rPr>
        <w:t>类法律援助案件质量</w:t>
      </w:r>
      <w:r>
        <w:rPr>
          <w:rFonts w:hint="eastAsia" w:ascii="宋体" w:hAnsi="宋体" w:eastAsia="宋体" w:cs="宋体"/>
          <w:b/>
          <w:color w:val="auto"/>
          <w:kern w:val="0"/>
          <w:sz w:val="24"/>
          <w:szCs w:val="24"/>
          <w:highlight w:val="none"/>
          <w:lang w:eastAsia="zh-CN"/>
        </w:rPr>
        <w:t>考核标准</w:t>
      </w:r>
    </w:p>
    <w:tbl>
      <w:tblPr>
        <w:tblStyle w:val="18"/>
        <w:tblW w:w="96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2"/>
        <w:gridCol w:w="1652"/>
        <w:gridCol w:w="6467"/>
        <w:gridCol w:w="783"/>
      </w:tblGrid>
      <w:tr w14:paraId="5DFF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1DE80FF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序号</w:t>
            </w:r>
          </w:p>
        </w:tc>
        <w:tc>
          <w:tcPr>
            <w:tcW w:w="1652" w:type="dxa"/>
            <w:noWrap w:val="0"/>
            <w:vAlign w:val="center"/>
          </w:tcPr>
          <w:p w14:paraId="2C89E6E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项目</w:t>
            </w:r>
          </w:p>
        </w:tc>
        <w:tc>
          <w:tcPr>
            <w:tcW w:w="6467" w:type="dxa"/>
            <w:noWrap w:val="0"/>
            <w:vAlign w:val="center"/>
          </w:tcPr>
          <w:p w14:paraId="1B0E672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标准</w:t>
            </w:r>
          </w:p>
        </w:tc>
        <w:tc>
          <w:tcPr>
            <w:tcW w:w="783" w:type="dxa"/>
            <w:noWrap w:val="0"/>
            <w:vAlign w:val="center"/>
          </w:tcPr>
          <w:p w14:paraId="1E127A80">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总分</w:t>
            </w:r>
          </w:p>
        </w:tc>
      </w:tr>
      <w:tr w14:paraId="44364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110ABE4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p>
        </w:tc>
        <w:tc>
          <w:tcPr>
            <w:tcW w:w="1652" w:type="dxa"/>
            <w:noWrap w:val="0"/>
            <w:vAlign w:val="center"/>
          </w:tcPr>
          <w:p w14:paraId="5CE1BA3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依法确立委托代理关系</w:t>
            </w:r>
          </w:p>
        </w:tc>
        <w:tc>
          <w:tcPr>
            <w:tcW w:w="6467" w:type="dxa"/>
            <w:noWrap w:val="0"/>
            <w:vAlign w:val="top"/>
          </w:tcPr>
          <w:p w14:paraId="4A27CF58">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1、有委托代理协议，收到指派通知书之日起5日内与受援人或者其法定代理人、近亲属签订委托代理协议，未按要求执行，扣2分；</w:t>
            </w:r>
          </w:p>
          <w:p w14:paraId="5DF63195">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2、授权委托书，并经受援人或其代理人签名或者盖章，授权委托书应载明委托事项和权限，仅表述为“一般代理”或在某些权限后加“等”字，属于约定不明；扣3分</w:t>
            </w:r>
          </w:p>
        </w:tc>
        <w:tc>
          <w:tcPr>
            <w:tcW w:w="783" w:type="dxa"/>
            <w:noWrap w:val="0"/>
            <w:vAlign w:val="center"/>
          </w:tcPr>
          <w:p w14:paraId="2E3D2F8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63AE3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2" w:type="dxa"/>
            <w:noWrap w:val="0"/>
            <w:vAlign w:val="center"/>
          </w:tcPr>
          <w:p w14:paraId="46A53FF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p>
        </w:tc>
        <w:tc>
          <w:tcPr>
            <w:tcW w:w="1652" w:type="dxa"/>
            <w:noWrap w:val="0"/>
            <w:vAlign w:val="center"/>
          </w:tcPr>
          <w:p w14:paraId="1E2532FB">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及时有效约见受援人</w:t>
            </w:r>
          </w:p>
        </w:tc>
        <w:tc>
          <w:tcPr>
            <w:tcW w:w="6467" w:type="dxa"/>
            <w:noWrap w:val="0"/>
            <w:vAlign w:val="top"/>
          </w:tcPr>
          <w:p w14:paraId="3F371585">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1、及时约见受援人或者其法定代理人、近亲属。未按要求执行，扣5分</w:t>
            </w:r>
          </w:p>
          <w:p w14:paraId="1AABA57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约见内容：包括了解案件基本情况、受援人的诉求、案件相关证据材料及证据线索，诉讼主体、诉讼情节、诉讼请求发生变更事项，通报案件办理情况，商定代理意见和解决方案等，可以多次约见。未按要求执行，扣10分；</w:t>
            </w:r>
          </w:p>
        </w:tc>
        <w:tc>
          <w:tcPr>
            <w:tcW w:w="783" w:type="dxa"/>
            <w:noWrap w:val="0"/>
            <w:vAlign w:val="center"/>
          </w:tcPr>
          <w:p w14:paraId="70227538">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15</w:t>
            </w:r>
          </w:p>
        </w:tc>
      </w:tr>
      <w:tr w14:paraId="54531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48F6CCA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p>
        </w:tc>
        <w:tc>
          <w:tcPr>
            <w:tcW w:w="1652" w:type="dxa"/>
            <w:noWrap w:val="0"/>
            <w:vAlign w:val="center"/>
          </w:tcPr>
          <w:p w14:paraId="670ACE9C">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依法调查取证</w:t>
            </w:r>
          </w:p>
        </w:tc>
        <w:tc>
          <w:tcPr>
            <w:tcW w:w="6467" w:type="dxa"/>
            <w:noWrap w:val="0"/>
            <w:vAlign w:val="top"/>
          </w:tcPr>
          <w:p w14:paraId="7F3BCCDD">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审查受援人提供的证据材料，必要时到法院查阅卷宗，摘抄、复制必要的证据材料，且制作阅卷笔录；依法调查、收集与案件有关的证据材料，必要时申请法院调查取证、证据保全或申请证人出庭作证；制作证据目录且说明来源、要证明的对象与目的。未按要求执行，酌情扣5-15分；</w:t>
            </w:r>
          </w:p>
        </w:tc>
        <w:tc>
          <w:tcPr>
            <w:tcW w:w="783" w:type="dxa"/>
            <w:noWrap w:val="0"/>
            <w:vAlign w:val="center"/>
          </w:tcPr>
          <w:p w14:paraId="0A062E9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15</w:t>
            </w:r>
          </w:p>
        </w:tc>
      </w:tr>
      <w:tr w14:paraId="39AFE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5AAC1A06">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w:t>
            </w:r>
          </w:p>
        </w:tc>
        <w:tc>
          <w:tcPr>
            <w:tcW w:w="1652" w:type="dxa"/>
            <w:noWrap w:val="0"/>
            <w:vAlign w:val="center"/>
          </w:tcPr>
          <w:p w14:paraId="59978C46">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有效提出法律意见</w:t>
            </w:r>
          </w:p>
        </w:tc>
        <w:tc>
          <w:tcPr>
            <w:tcW w:w="6467" w:type="dxa"/>
            <w:noWrap w:val="0"/>
            <w:vAlign w:val="top"/>
          </w:tcPr>
          <w:p w14:paraId="6475F569">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所提法律意见在受援人授权范围内，运用法律法规准确，文书格式规范。代理意见；内容包括案件事实、主要证据、双方争议焦点、具体法律适用等；观点鲜明，论述有理有据；及时将意见书提交法院；书写规整清晰。未按要求执行，酌情扣5-20分；</w:t>
            </w:r>
          </w:p>
        </w:tc>
        <w:tc>
          <w:tcPr>
            <w:tcW w:w="783" w:type="dxa"/>
            <w:noWrap w:val="0"/>
            <w:vAlign w:val="center"/>
          </w:tcPr>
          <w:p w14:paraId="76019B9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0C7BC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4B33176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c>
          <w:tcPr>
            <w:tcW w:w="1652" w:type="dxa"/>
            <w:noWrap w:val="0"/>
            <w:vAlign w:val="center"/>
          </w:tcPr>
          <w:p w14:paraId="0880D16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依法参加庭审活动</w:t>
            </w:r>
          </w:p>
        </w:tc>
        <w:tc>
          <w:tcPr>
            <w:tcW w:w="6467" w:type="dxa"/>
            <w:noWrap w:val="0"/>
            <w:vAlign w:val="top"/>
          </w:tcPr>
          <w:p w14:paraId="5E58D41F">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应做好开庭准备，按时出庭，依法参加法庭调查，参与法庭辩论，有庭审/仲裁书面记录，内容包括对方意见、辩论焦点和其他庭审要点等（或有法院/仲裁的庭审记录复件）。未按要求执行，酌情扣1-5分；</w:t>
            </w:r>
          </w:p>
        </w:tc>
        <w:tc>
          <w:tcPr>
            <w:tcW w:w="783" w:type="dxa"/>
            <w:noWrap w:val="0"/>
            <w:vAlign w:val="center"/>
          </w:tcPr>
          <w:p w14:paraId="6F7FDF68">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790D5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43DF0F3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6</w:t>
            </w:r>
          </w:p>
        </w:tc>
        <w:tc>
          <w:tcPr>
            <w:tcW w:w="1652" w:type="dxa"/>
            <w:noWrap w:val="0"/>
            <w:vAlign w:val="center"/>
          </w:tcPr>
          <w:p w14:paraId="6065C7A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全面履行告知义务</w:t>
            </w:r>
          </w:p>
        </w:tc>
        <w:tc>
          <w:tcPr>
            <w:tcW w:w="6467" w:type="dxa"/>
            <w:noWrap w:val="0"/>
            <w:vAlign w:val="top"/>
          </w:tcPr>
          <w:p w14:paraId="3D7EABEB">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告知承办人员的代理职责；告知受援人可以向法院申请减、免、缓交诉讼费用；告知主要诉讼风险及法律后果；告知受援人在诉讼中的权利义务；了解案件事实经过、经司法程序处理背景、争议焦点和诉讼时效等基本情况；了解受援人诉求和案件相关材料及证据收集情况；向受援人通报案件办理情况，与其商定代理方案、合解或者调解方案及申请财产保全、证据保全、先予执行等（有需要的可以制作多次谈话笔录或电话记录）；有受援人签名。未按要求执行，酌情扣1-5分；</w:t>
            </w:r>
          </w:p>
        </w:tc>
        <w:tc>
          <w:tcPr>
            <w:tcW w:w="783" w:type="dxa"/>
            <w:noWrap w:val="0"/>
            <w:vAlign w:val="center"/>
          </w:tcPr>
          <w:p w14:paraId="3F329CB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15D08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628BC8E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7</w:t>
            </w:r>
          </w:p>
        </w:tc>
        <w:tc>
          <w:tcPr>
            <w:tcW w:w="1652" w:type="dxa"/>
            <w:noWrap w:val="0"/>
            <w:vAlign w:val="center"/>
          </w:tcPr>
          <w:p w14:paraId="5FE2EBE6">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履行报告义务</w:t>
            </w:r>
          </w:p>
        </w:tc>
        <w:tc>
          <w:tcPr>
            <w:tcW w:w="6467" w:type="dxa"/>
            <w:noWrap w:val="0"/>
            <w:vAlign w:val="top"/>
          </w:tcPr>
          <w:p w14:paraId="726319FD">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四类案件：A主要证据或案件事实的认定、法律适用等方面存在重大疑义的；B涉及群体性事件的，C具有重大社会影响的；D其他疑难复杂情形的案件。</w:t>
            </w:r>
          </w:p>
          <w:p w14:paraId="4A71C4C3">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案件属于四类案件中的任一种的，应向承办机构报告，提请集体讨论研究代理意见，同时应及时向指派案件的法律援助机构报告承办情况，并在法律援助案件承办情况通报/报告记录中有记录。未按要求执行，扣5分；</w:t>
            </w:r>
          </w:p>
        </w:tc>
        <w:tc>
          <w:tcPr>
            <w:tcW w:w="783" w:type="dxa"/>
            <w:noWrap w:val="0"/>
            <w:vAlign w:val="center"/>
          </w:tcPr>
          <w:p w14:paraId="1FBF667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r>
      <w:tr w14:paraId="2BEAB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2" w:type="dxa"/>
            <w:noWrap w:val="0"/>
            <w:vAlign w:val="center"/>
          </w:tcPr>
          <w:p w14:paraId="723C0C9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8</w:t>
            </w:r>
          </w:p>
        </w:tc>
        <w:tc>
          <w:tcPr>
            <w:tcW w:w="1652" w:type="dxa"/>
            <w:noWrap w:val="0"/>
            <w:vAlign w:val="center"/>
          </w:tcPr>
          <w:p w14:paraId="1370EB3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规范整理提交承办材料</w:t>
            </w:r>
          </w:p>
        </w:tc>
        <w:tc>
          <w:tcPr>
            <w:tcW w:w="6467" w:type="dxa"/>
            <w:noWrap w:val="0"/>
            <w:vAlign w:val="top"/>
          </w:tcPr>
          <w:p w14:paraId="5C9746B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1、有判决书、裁定书或和解协议等结案文书，程序完整，受援人合法权益基本得到维护。</w:t>
            </w:r>
          </w:p>
          <w:p w14:paraId="5D44F981">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2、有《案件承办情况通报/报告》，向援助机构和受援人通报案件办理情况，答复受援人询问等工作，按时间顺序记录详细。</w:t>
            </w:r>
          </w:p>
          <w:p w14:paraId="6B77BF95">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3、有《结案报告》，内容填写规范完整。有主要证据或法律适用等方面存在重大疑义、涉及群体性事件、具有重大社会影响等疑难复杂情形应记录。</w:t>
            </w:r>
          </w:p>
          <w:p w14:paraId="09BFAB4E">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4、卷宗规范整洁，卷宗与信息系统一致；案卷卷面填写规范无误；指派和办理流程时间逻辑相符；自结案之日起30日内向法律援助机构提交纸质案件档案。未按要求执行，酌情扣5-30分；</w:t>
            </w:r>
          </w:p>
        </w:tc>
        <w:tc>
          <w:tcPr>
            <w:tcW w:w="783" w:type="dxa"/>
            <w:noWrap w:val="0"/>
            <w:vAlign w:val="center"/>
          </w:tcPr>
          <w:p w14:paraId="118DDFA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30</w:t>
            </w:r>
          </w:p>
        </w:tc>
      </w:tr>
      <w:tr w14:paraId="27356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44" w:type="dxa"/>
            <w:gridSpan w:val="2"/>
            <w:noWrap w:val="0"/>
            <w:vAlign w:val="center"/>
          </w:tcPr>
          <w:p w14:paraId="68FD52A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合计</w:t>
            </w:r>
          </w:p>
        </w:tc>
        <w:tc>
          <w:tcPr>
            <w:tcW w:w="6467" w:type="dxa"/>
            <w:noWrap w:val="0"/>
            <w:vAlign w:val="top"/>
          </w:tcPr>
          <w:p w14:paraId="0BF536C3">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p>
        </w:tc>
        <w:tc>
          <w:tcPr>
            <w:tcW w:w="783" w:type="dxa"/>
            <w:noWrap w:val="0"/>
            <w:vAlign w:val="center"/>
          </w:tcPr>
          <w:p w14:paraId="49C6753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100</w:t>
            </w:r>
          </w:p>
        </w:tc>
      </w:tr>
    </w:tbl>
    <w:p w14:paraId="334E26C1">
      <w:pPr>
        <w:pageBreakBefore w:val="0"/>
        <w:widowControl w:val="0"/>
        <w:spacing w:line="540" w:lineRule="exact"/>
        <w:rPr>
          <w:rFonts w:hint="eastAsia" w:ascii="宋体" w:hAnsi="宋体" w:eastAsia="宋体" w:cs="宋体"/>
          <w:color w:val="auto"/>
          <w:kern w:val="0"/>
          <w:sz w:val="24"/>
          <w:szCs w:val="24"/>
        </w:rPr>
      </w:pPr>
    </w:p>
    <w:p w14:paraId="77E17647">
      <w:pPr>
        <w:pageBreakBefore w:val="0"/>
        <w:widowControl w:val="0"/>
        <w:spacing w:after="0" w:line="540" w:lineRule="exact"/>
        <w:ind w:left="0" w:firstLine="420"/>
        <w:jc w:val="both"/>
        <w:rPr>
          <w:rFonts w:hint="eastAsia" w:ascii="宋体" w:hAnsi="宋体" w:eastAsia="宋体" w:cs="宋体"/>
          <w:color w:val="auto"/>
          <w:kern w:val="2"/>
          <w:sz w:val="24"/>
          <w:szCs w:val="24"/>
          <w:lang w:val="en-US" w:eastAsia="zh-CN" w:bidi="ar-SA"/>
        </w:rPr>
      </w:pPr>
    </w:p>
    <w:p w14:paraId="1E494C44">
      <w:pPr>
        <w:keepNext w:val="0"/>
        <w:keepLines w:val="0"/>
        <w:pageBreakBefore w:val="0"/>
        <w:widowControl w:val="0"/>
        <w:tabs>
          <w:tab w:val="left" w:pos="6620"/>
          <w:tab w:val="left" w:pos="7140"/>
        </w:tabs>
        <w:spacing w:line="240" w:lineRule="auto"/>
        <w:jc w:val="center"/>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highlight w:val="none"/>
          <w:lang w:val="en-US" w:eastAsia="zh-CN"/>
        </w:rPr>
        <w:br w:type="page"/>
      </w:r>
      <w:r>
        <w:rPr>
          <w:rFonts w:hint="eastAsia" w:ascii="宋体" w:hAnsi="宋体" w:eastAsia="宋体" w:cs="宋体"/>
          <w:b/>
          <w:color w:val="auto"/>
          <w:kern w:val="0"/>
          <w:sz w:val="24"/>
          <w:szCs w:val="24"/>
          <w:highlight w:val="none"/>
          <w:lang w:val="en-US" w:eastAsia="zh-CN"/>
        </w:rPr>
        <w:t>行政复议辅助办案质量考核标准</w:t>
      </w:r>
    </w:p>
    <w:tbl>
      <w:tblPr>
        <w:tblStyle w:val="18"/>
        <w:tblW w:w="100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9"/>
        <w:gridCol w:w="1581"/>
        <w:gridCol w:w="6836"/>
        <w:gridCol w:w="781"/>
      </w:tblGrid>
      <w:tr w14:paraId="10601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blHeader/>
        </w:trPr>
        <w:tc>
          <w:tcPr>
            <w:tcW w:w="809" w:type="dxa"/>
            <w:noWrap w:val="0"/>
            <w:vAlign w:val="center"/>
          </w:tcPr>
          <w:p w14:paraId="1E70920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序号</w:t>
            </w:r>
          </w:p>
        </w:tc>
        <w:tc>
          <w:tcPr>
            <w:tcW w:w="1581" w:type="dxa"/>
            <w:noWrap w:val="0"/>
            <w:vAlign w:val="center"/>
          </w:tcPr>
          <w:p w14:paraId="3A8DDE8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项目</w:t>
            </w:r>
          </w:p>
        </w:tc>
        <w:tc>
          <w:tcPr>
            <w:tcW w:w="6836" w:type="dxa"/>
            <w:noWrap w:val="0"/>
            <w:vAlign w:val="center"/>
          </w:tcPr>
          <w:p w14:paraId="51452280">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标准</w:t>
            </w:r>
          </w:p>
        </w:tc>
        <w:tc>
          <w:tcPr>
            <w:tcW w:w="781" w:type="dxa"/>
            <w:noWrap w:val="0"/>
            <w:vAlign w:val="center"/>
          </w:tcPr>
          <w:p w14:paraId="28B8F0E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总分</w:t>
            </w:r>
          </w:p>
        </w:tc>
      </w:tr>
      <w:tr w14:paraId="63E8D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809" w:type="dxa"/>
            <w:noWrap w:val="0"/>
            <w:vAlign w:val="center"/>
          </w:tcPr>
          <w:p w14:paraId="61914187">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p>
        </w:tc>
        <w:tc>
          <w:tcPr>
            <w:tcW w:w="1581" w:type="dxa"/>
            <w:noWrap w:val="0"/>
            <w:vAlign w:val="center"/>
          </w:tcPr>
          <w:p w14:paraId="60A82ED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受理</w:t>
            </w:r>
          </w:p>
        </w:tc>
        <w:tc>
          <w:tcPr>
            <w:tcW w:w="6836" w:type="dxa"/>
            <w:noWrap w:val="0"/>
            <w:vAlign w:val="center"/>
          </w:tcPr>
          <w:p w14:paraId="3D91D377">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1.对当事人提交的申请材料予以接收并出具书面凭证。未按要求执行，扣5分。</w:t>
            </w:r>
          </w:p>
          <w:p w14:paraId="077A6B27">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r>
              <w:rPr>
                <w:rFonts w:hint="eastAsia" w:ascii="宋体" w:hAnsi="宋体" w:eastAsia="宋体" w:cs="宋体"/>
                <w:bCs/>
                <w:color w:val="auto"/>
                <w:kern w:val="0"/>
                <w:sz w:val="24"/>
                <w:szCs w:val="24"/>
                <w:highlight w:val="none"/>
                <w:lang w:val="en-US" w:eastAsia="zh-CN"/>
              </w:rPr>
              <w:t>协助行政复议员在</w:t>
            </w:r>
            <w:r>
              <w:rPr>
                <w:rFonts w:hint="eastAsia" w:ascii="宋体" w:hAnsi="宋体" w:eastAsia="宋体" w:cs="宋体"/>
                <w:color w:val="auto"/>
                <w:kern w:val="0"/>
                <w:sz w:val="24"/>
                <w:szCs w:val="24"/>
                <w:highlight w:val="none"/>
                <w:vertAlign w:val="baseline"/>
                <w:lang w:val="en-US" w:eastAsia="zh-CN" w:bidi="ar-SA"/>
              </w:rPr>
              <w:t>收到申请材料后5日内进行审查，申请材料不齐全或表述不清的，5日内书面通知补正（一次性告知）。未按要求执行，扣5分。</w:t>
            </w:r>
          </w:p>
          <w:p w14:paraId="2BC2D499">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r>
              <w:rPr>
                <w:rFonts w:hint="eastAsia" w:ascii="宋体" w:hAnsi="宋体" w:eastAsia="宋体" w:cs="宋体"/>
                <w:bCs/>
                <w:color w:val="auto"/>
                <w:kern w:val="0"/>
                <w:sz w:val="24"/>
                <w:szCs w:val="24"/>
                <w:highlight w:val="none"/>
                <w:lang w:val="en-US" w:eastAsia="zh-CN"/>
              </w:rPr>
              <w:t>协助行政复议员在法定期限内送达</w:t>
            </w:r>
            <w:r>
              <w:rPr>
                <w:rFonts w:hint="eastAsia" w:ascii="宋体" w:hAnsi="宋体" w:eastAsia="宋体" w:cs="宋体"/>
                <w:color w:val="auto"/>
                <w:kern w:val="0"/>
                <w:sz w:val="24"/>
                <w:szCs w:val="24"/>
                <w:highlight w:val="none"/>
                <w:vertAlign w:val="baseline"/>
                <w:lang w:val="en-US" w:eastAsia="zh-CN" w:bidi="ar-SA"/>
              </w:rPr>
              <w:t>受理通知书或《不予受理行政复议申请决定书》。未按要求执行，扣10分。</w:t>
            </w:r>
          </w:p>
        </w:tc>
        <w:tc>
          <w:tcPr>
            <w:tcW w:w="781" w:type="dxa"/>
            <w:noWrap w:val="0"/>
            <w:vAlign w:val="center"/>
          </w:tcPr>
          <w:p w14:paraId="2A7F9E3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1A1A4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6" w:hRule="atLeast"/>
        </w:trPr>
        <w:tc>
          <w:tcPr>
            <w:tcW w:w="809" w:type="dxa"/>
            <w:noWrap w:val="0"/>
            <w:vAlign w:val="center"/>
          </w:tcPr>
          <w:p w14:paraId="0B90233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p>
        </w:tc>
        <w:tc>
          <w:tcPr>
            <w:tcW w:w="1581" w:type="dxa"/>
            <w:noWrap w:val="0"/>
            <w:vAlign w:val="center"/>
          </w:tcPr>
          <w:p w14:paraId="26178EF6">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案件审理</w:t>
            </w:r>
          </w:p>
        </w:tc>
        <w:tc>
          <w:tcPr>
            <w:tcW w:w="6836" w:type="dxa"/>
            <w:noWrap w:val="0"/>
            <w:vAlign w:val="center"/>
          </w:tcPr>
          <w:p w14:paraId="04F68741">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1.根据案件审理情况，经审批履行通知答复、中止、延期等程序，并依法将相应文书有效送达当事人。未按要求执行，扣5分。</w:t>
            </w:r>
          </w:p>
          <w:p w14:paraId="2DBAB392">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r>
              <w:rPr>
                <w:rFonts w:hint="eastAsia" w:ascii="宋体" w:hAnsi="宋体" w:eastAsia="宋体" w:cs="宋体"/>
                <w:bCs/>
                <w:color w:val="auto"/>
                <w:kern w:val="0"/>
                <w:sz w:val="24"/>
                <w:szCs w:val="24"/>
                <w:highlight w:val="none"/>
                <w:lang w:val="en-US" w:eastAsia="zh-CN"/>
              </w:rPr>
              <w:t>协助行政复议员</w:t>
            </w:r>
            <w:r>
              <w:rPr>
                <w:rFonts w:hint="eastAsia" w:ascii="宋体" w:hAnsi="宋体" w:eastAsia="宋体" w:cs="宋体"/>
                <w:color w:val="auto"/>
                <w:kern w:val="0"/>
                <w:sz w:val="24"/>
                <w:szCs w:val="24"/>
                <w:highlight w:val="none"/>
                <w:vertAlign w:val="baseline"/>
                <w:lang w:val="en-US" w:eastAsia="zh-CN" w:bidi="ar-SA"/>
              </w:rPr>
              <w:t>对被申请人提交的证据、依据进行全面审查，必要时</w:t>
            </w:r>
            <w:r>
              <w:rPr>
                <w:rFonts w:hint="eastAsia" w:ascii="宋体" w:hAnsi="宋体" w:eastAsia="宋体" w:cs="宋体"/>
                <w:bCs/>
                <w:color w:val="auto"/>
                <w:kern w:val="0"/>
                <w:sz w:val="24"/>
                <w:szCs w:val="24"/>
                <w:highlight w:val="none"/>
                <w:lang w:val="en-US" w:eastAsia="zh-CN"/>
              </w:rPr>
              <w:t>协助开展</w:t>
            </w:r>
            <w:r>
              <w:rPr>
                <w:rFonts w:hint="eastAsia" w:ascii="宋体" w:hAnsi="宋体" w:eastAsia="宋体" w:cs="宋体"/>
                <w:color w:val="auto"/>
                <w:kern w:val="0"/>
                <w:sz w:val="24"/>
                <w:szCs w:val="24"/>
                <w:highlight w:val="none"/>
                <w:vertAlign w:val="baseline"/>
                <w:lang w:val="en-US" w:eastAsia="zh-CN" w:bidi="ar-SA"/>
              </w:rPr>
              <w:t>实地调查核实证据。未按要求执行，扣3分。</w:t>
            </w:r>
          </w:p>
          <w:p w14:paraId="69A0D5F2">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r>
              <w:rPr>
                <w:rFonts w:hint="eastAsia" w:ascii="宋体" w:hAnsi="宋体" w:eastAsia="宋体" w:cs="宋体"/>
                <w:bCs/>
                <w:color w:val="auto"/>
                <w:kern w:val="0"/>
                <w:sz w:val="24"/>
                <w:szCs w:val="24"/>
                <w:highlight w:val="none"/>
                <w:lang w:val="en-US" w:eastAsia="zh-CN"/>
              </w:rPr>
              <w:t>协助</w:t>
            </w:r>
            <w:r>
              <w:rPr>
                <w:rFonts w:hint="eastAsia" w:ascii="宋体" w:hAnsi="宋体" w:eastAsia="宋体" w:cs="宋体"/>
                <w:color w:val="auto"/>
                <w:kern w:val="0"/>
                <w:sz w:val="24"/>
                <w:szCs w:val="24"/>
                <w:highlight w:val="none"/>
                <w:vertAlign w:val="baseline"/>
                <w:lang w:val="en-US" w:eastAsia="zh-CN" w:bidi="ar-SA"/>
              </w:rPr>
              <w:t>听取当事人的意见，并将听取的意见记录在案，对重大复杂案件必要时组织听证，</w:t>
            </w:r>
            <w:r>
              <w:rPr>
                <w:rFonts w:hint="eastAsia" w:ascii="宋体" w:hAnsi="宋体" w:eastAsia="宋体" w:cs="宋体"/>
                <w:bCs/>
                <w:color w:val="auto"/>
                <w:kern w:val="0"/>
                <w:sz w:val="24"/>
                <w:szCs w:val="24"/>
                <w:highlight w:val="none"/>
                <w:lang w:val="en-US" w:eastAsia="zh-CN"/>
              </w:rPr>
              <w:t>协助完成听证活动的记录、材料准备等工作</w:t>
            </w:r>
            <w:r>
              <w:rPr>
                <w:rFonts w:hint="eastAsia" w:ascii="宋体" w:hAnsi="宋体" w:eastAsia="宋体" w:cs="宋体"/>
                <w:color w:val="auto"/>
                <w:kern w:val="0"/>
                <w:sz w:val="24"/>
                <w:szCs w:val="24"/>
                <w:highlight w:val="none"/>
                <w:vertAlign w:val="baseline"/>
                <w:lang w:val="en-US" w:eastAsia="zh-CN" w:bidi="ar-SA"/>
              </w:rPr>
              <w:t>。未按要求执行，扣10分。</w:t>
            </w:r>
          </w:p>
          <w:p w14:paraId="4D2708B1">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w:t>
            </w:r>
            <w:r>
              <w:rPr>
                <w:rFonts w:hint="eastAsia" w:ascii="宋体" w:hAnsi="宋体" w:eastAsia="宋体" w:cs="宋体"/>
                <w:bCs/>
                <w:color w:val="auto"/>
                <w:kern w:val="0"/>
                <w:sz w:val="24"/>
                <w:szCs w:val="24"/>
                <w:highlight w:val="none"/>
                <w:lang w:val="en-US" w:eastAsia="zh-CN"/>
              </w:rPr>
              <w:t>协助</w:t>
            </w:r>
            <w:r>
              <w:rPr>
                <w:rFonts w:hint="eastAsia" w:ascii="宋体" w:hAnsi="宋体" w:eastAsia="宋体" w:cs="宋体"/>
                <w:color w:val="auto"/>
                <w:kern w:val="0"/>
                <w:sz w:val="24"/>
                <w:szCs w:val="24"/>
                <w:highlight w:val="none"/>
                <w:vertAlign w:val="baseline"/>
                <w:lang w:val="en-US" w:eastAsia="zh-CN" w:bidi="ar-SA"/>
              </w:rPr>
              <w:t>开展调解、和解工作，实质化解行政争议，调解不成的，及时恢复审理。未按要求执行，扣2分。</w:t>
            </w:r>
          </w:p>
          <w:p w14:paraId="3D795253">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5.对须经行政复议委员会讨论的案件，及时形成书面汇报材料，提请行政复议委员会讨论，并记录在案。未按要求执行，扣10分。</w:t>
            </w:r>
          </w:p>
          <w:p w14:paraId="09EC1A2F">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6.</w:t>
            </w:r>
            <w:r>
              <w:rPr>
                <w:rFonts w:hint="eastAsia" w:ascii="宋体" w:hAnsi="宋体" w:eastAsia="宋体" w:cs="宋体"/>
                <w:bCs/>
                <w:color w:val="auto"/>
                <w:kern w:val="0"/>
                <w:sz w:val="24"/>
                <w:szCs w:val="24"/>
                <w:highlight w:val="none"/>
                <w:lang w:val="en-US" w:eastAsia="zh-CN"/>
              </w:rPr>
              <w:t>在行政复议员指导下，在法定期限内提出行政复议法律意见，并送行政复议员审核。</w:t>
            </w:r>
            <w:r>
              <w:rPr>
                <w:rFonts w:hint="eastAsia" w:ascii="宋体" w:hAnsi="宋体" w:eastAsia="宋体" w:cs="宋体"/>
                <w:color w:val="auto"/>
                <w:kern w:val="0"/>
                <w:sz w:val="24"/>
                <w:szCs w:val="24"/>
                <w:highlight w:val="none"/>
                <w:vertAlign w:val="baseline"/>
                <w:lang w:val="en-US" w:eastAsia="zh-CN" w:bidi="ar-SA"/>
              </w:rPr>
              <w:t>未按要求执行，扣10分。</w:t>
            </w:r>
          </w:p>
        </w:tc>
        <w:tc>
          <w:tcPr>
            <w:tcW w:w="781" w:type="dxa"/>
            <w:noWrap w:val="0"/>
            <w:vAlign w:val="center"/>
          </w:tcPr>
          <w:p w14:paraId="73A7690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40</w:t>
            </w:r>
          </w:p>
        </w:tc>
      </w:tr>
      <w:tr w14:paraId="38171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4" w:hRule="atLeast"/>
        </w:trPr>
        <w:tc>
          <w:tcPr>
            <w:tcW w:w="809" w:type="dxa"/>
            <w:noWrap w:val="0"/>
            <w:vAlign w:val="center"/>
          </w:tcPr>
          <w:p w14:paraId="223BAB9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p>
        </w:tc>
        <w:tc>
          <w:tcPr>
            <w:tcW w:w="1581" w:type="dxa"/>
            <w:noWrap w:val="0"/>
            <w:vAlign w:val="center"/>
          </w:tcPr>
          <w:p w14:paraId="067F5A7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行政复议决定</w:t>
            </w:r>
          </w:p>
        </w:tc>
        <w:tc>
          <w:tcPr>
            <w:tcW w:w="6836" w:type="dxa"/>
            <w:noWrap w:val="0"/>
            <w:vAlign w:val="center"/>
          </w:tcPr>
          <w:p w14:paraId="7B647CE9">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r>
              <w:rPr>
                <w:rFonts w:hint="eastAsia" w:ascii="宋体" w:hAnsi="宋体" w:eastAsia="宋体" w:cs="宋体"/>
                <w:bCs/>
                <w:color w:val="auto"/>
                <w:kern w:val="0"/>
                <w:sz w:val="24"/>
                <w:szCs w:val="24"/>
                <w:highlight w:val="none"/>
                <w:lang w:val="en-US" w:eastAsia="zh-CN"/>
              </w:rPr>
              <w:t>行政复议法律意见</w:t>
            </w:r>
            <w:r>
              <w:rPr>
                <w:rFonts w:hint="eastAsia" w:ascii="宋体" w:hAnsi="宋体" w:eastAsia="宋体" w:cs="宋体"/>
                <w:color w:val="auto"/>
                <w:kern w:val="0"/>
                <w:sz w:val="24"/>
                <w:szCs w:val="24"/>
                <w:highlight w:val="none"/>
                <w:vertAlign w:val="baseline"/>
                <w:lang w:val="en-US" w:eastAsia="zh-CN" w:bidi="ar-SA"/>
              </w:rPr>
              <w:t>须事实认定清楚，证据确凿，适用依据正确，充分释法说理，针对争议焦点进行回应，逻辑严谨。未按要求执行，扣10分。</w:t>
            </w:r>
          </w:p>
          <w:p w14:paraId="30DE2B78">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2.依法及时送达《行政复议决定书》，并告知诉权。未按要求执行，扣10分。</w:t>
            </w:r>
          </w:p>
        </w:tc>
        <w:tc>
          <w:tcPr>
            <w:tcW w:w="781" w:type="dxa"/>
            <w:noWrap w:val="0"/>
            <w:vAlign w:val="center"/>
          </w:tcPr>
          <w:p w14:paraId="2EBB605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4CECF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809" w:type="dxa"/>
            <w:noWrap w:val="0"/>
            <w:vAlign w:val="center"/>
          </w:tcPr>
          <w:p w14:paraId="0406F3CC">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w:t>
            </w:r>
          </w:p>
        </w:tc>
        <w:tc>
          <w:tcPr>
            <w:tcW w:w="1581" w:type="dxa"/>
            <w:noWrap w:val="0"/>
            <w:vAlign w:val="center"/>
          </w:tcPr>
          <w:p w14:paraId="37F58B9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投诉处理</w:t>
            </w:r>
          </w:p>
        </w:tc>
        <w:tc>
          <w:tcPr>
            <w:tcW w:w="6836" w:type="dxa"/>
            <w:noWrap w:val="0"/>
            <w:vAlign w:val="center"/>
          </w:tcPr>
          <w:p w14:paraId="3D35B58A">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1.妥善处理在辅助办理行政复议案件过程中引起的当事人投诉或信访，及时回应诉求，避免矛盾激化。未按要求执行，扣10分。</w:t>
            </w:r>
          </w:p>
        </w:tc>
        <w:tc>
          <w:tcPr>
            <w:tcW w:w="781" w:type="dxa"/>
            <w:noWrap w:val="0"/>
            <w:vAlign w:val="center"/>
          </w:tcPr>
          <w:p w14:paraId="31173E0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w:t>
            </w:r>
          </w:p>
        </w:tc>
      </w:tr>
      <w:tr w14:paraId="1137A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809" w:type="dxa"/>
            <w:noWrap w:val="0"/>
            <w:vAlign w:val="center"/>
          </w:tcPr>
          <w:p w14:paraId="45F7FD6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c>
          <w:tcPr>
            <w:tcW w:w="1581" w:type="dxa"/>
            <w:noWrap w:val="0"/>
            <w:vAlign w:val="center"/>
          </w:tcPr>
          <w:p w14:paraId="6CD089D4">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归档</w:t>
            </w:r>
          </w:p>
        </w:tc>
        <w:tc>
          <w:tcPr>
            <w:tcW w:w="6836" w:type="dxa"/>
            <w:noWrap w:val="0"/>
            <w:vAlign w:val="center"/>
          </w:tcPr>
          <w:p w14:paraId="07DC0946">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r>
              <w:rPr>
                <w:rFonts w:hint="eastAsia" w:ascii="宋体" w:hAnsi="宋体" w:eastAsia="宋体" w:cs="宋体"/>
                <w:color w:val="auto"/>
                <w:kern w:val="0"/>
                <w:sz w:val="24"/>
                <w:szCs w:val="24"/>
              </w:rPr>
              <w:t>纸质案卷材料齐全、装订整洁规范，结案后30日内移交纸质案卷</w:t>
            </w:r>
            <w:r>
              <w:rPr>
                <w:rFonts w:hint="eastAsia" w:ascii="宋体" w:hAnsi="宋体" w:eastAsia="宋体" w:cs="宋体"/>
                <w:color w:val="auto"/>
                <w:kern w:val="0"/>
                <w:sz w:val="24"/>
                <w:szCs w:val="24"/>
                <w:highlight w:val="none"/>
                <w:vertAlign w:val="baseline"/>
                <w:lang w:val="en-US" w:eastAsia="zh-CN" w:bidi="ar-SA"/>
              </w:rPr>
              <w:t>。未按要求执行，扣10分。</w:t>
            </w:r>
          </w:p>
        </w:tc>
        <w:tc>
          <w:tcPr>
            <w:tcW w:w="781" w:type="dxa"/>
            <w:noWrap w:val="0"/>
            <w:vAlign w:val="center"/>
          </w:tcPr>
          <w:p w14:paraId="3B45B7A7">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w:t>
            </w:r>
          </w:p>
        </w:tc>
      </w:tr>
      <w:tr w14:paraId="08734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809" w:type="dxa"/>
            <w:noWrap w:val="0"/>
            <w:vAlign w:val="center"/>
          </w:tcPr>
          <w:p w14:paraId="5AEFE37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6</w:t>
            </w:r>
          </w:p>
        </w:tc>
        <w:tc>
          <w:tcPr>
            <w:tcW w:w="1581" w:type="dxa"/>
            <w:noWrap w:val="0"/>
            <w:vAlign w:val="center"/>
          </w:tcPr>
          <w:p w14:paraId="5449242B">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一票否决事项</w:t>
            </w:r>
          </w:p>
        </w:tc>
        <w:tc>
          <w:tcPr>
            <w:tcW w:w="6836" w:type="dxa"/>
            <w:noWrap w:val="0"/>
            <w:vAlign w:val="center"/>
          </w:tcPr>
          <w:p w14:paraId="59E3CCE1">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对于因办案人员故意或重大过失导致国家赔偿或经人民法院审理被判决撤销、部分撤销、确认违法或无效、变更的，扣100分。</w:t>
            </w:r>
          </w:p>
        </w:tc>
        <w:tc>
          <w:tcPr>
            <w:tcW w:w="781" w:type="dxa"/>
            <w:noWrap w:val="0"/>
            <w:vAlign w:val="center"/>
          </w:tcPr>
          <w:p w14:paraId="27EE755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p>
        </w:tc>
      </w:tr>
      <w:tr w14:paraId="54DAF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2390" w:type="dxa"/>
            <w:gridSpan w:val="2"/>
            <w:noWrap w:val="0"/>
            <w:vAlign w:val="center"/>
          </w:tcPr>
          <w:p w14:paraId="31579DE2">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合计</w:t>
            </w:r>
          </w:p>
        </w:tc>
        <w:tc>
          <w:tcPr>
            <w:tcW w:w="6836" w:type="dxa"/>
            <w:noWrap w:val="0"/>
            <w:vAlign w:val="center"/>
          </w:tcPr>
          <w:p w14:paraId="4C570136">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p>
        </w:tc>
        <w:tc>
          <w:tcPr>
            <w:tcW w:w="781" w:type="dxa"/>
            <w:noWrap w:val="0"/>
            <w:vAlign w:val="center"/>
          </w:tcPr>
          <w:p w14:paraId="4DBD4DA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100</w:t>
            </w:r>
          </w:p>
        </w:tc>
      </w:tr>
    </w:tbl>
    <w:p w14:paraId="3707AA7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p>
    <w:p w14:paraId="28205312">
      <w:pPr>
        <w:keepNext w:val="0"/>
        <w:keepLines w:val="0"/>
        <w:pageBreakBefore w:val="0"/>
        <w:widowControl w:val="0"/>
        <w:tabs>
          <w:tab w:val="left" w:pos="6620"/>
          <w:tab w:val="left" w:pos="7140"/>
        </w:tabs>
        <w:spacing w:line="540" w:lineRule="exact"/>
        <w:jc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br w:type="page"/>
      </w:r>
      <w:r>
        <w:rPr>
          <w:rFonts w:hint="eastAsia" w:ascii="宋体" w:hAnsi="宋体" w:eastAsia="宋体" w:cs="宋体"/>
          <w:b/>
          <w:color w:val="auto"/>
          <w:kern w:val="0"/>
          <w:sz w:val="24"/>
          <w:szCs w:val="24"/>
          <w:highlight w:val="none"/>
          <w:lang w:val="en-US" w:eastAsia="zh-CN"/>
        </w:rPr>
        <w:t>行政应诉案件质量考核标准</w:t>
      </w:r>
    </w:p>
    <w:tbl>
      <w:tblPr>
        <w:tblStyle w:val="18"/>
        <w:tblW w:w="9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0"/>
        <w:gridCol w:w="1406"/>
        <w:gridCol w:w="6880"/>
        <w:gridCol w:w="865"/>
      </w:tblGrid>
      <w:tr w14:paraId="479B0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blHeader/>
        </w:trPr>
        <w:tc>
          <w:tcPr>
            <w:tcW w:w="830" w:type="dxa"/>
            <w:noWrap w:val="0"/>
            <w:vAlign w:val="center"/>
          </w:tcPr>
          <w:p w14:paraId="41C8A211">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序号</w:t>
            </w:r>
          </w:p>
        </w:tc>
        <w:tc>
          <w:tcPr>
            <w:tcW w:w="1406" w:type="dxa"/>
            <w:noWrap w:val="0"/>
            <w:vAlign w:val="center"/>
          </w:tcPr>
          <w:p w14:paraId="09C60EB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项目</w:t>
            </w:r>
          </w:p>
        </w:tc>
        <w:tc>
          <w:tcPr>
            <w:tcW w:w="6880" w:type="dxa"/>
            <w:noWrap w:val="0"/>
            <w:vAlign w:val="center"/>
          </w:tcPr>
          <w:p w14:paraId="151F449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标准</w:t>
            </w:r>
          </w:p>
        </w:tc>
        <w:tc>
          <w:tcPr>
            <w:tcW w:w="865" w:type="dxa"/>
            <w:noWrap w:val="0"/>
            <w:vAlign w:val="center"/>
          </w:tcPr>
          <w:p w14:paraId="27E5BAC7">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总分</w:t>
            </w:r>
          </w:p>
        </w:tc>
      </w:tr>
      <w:tr w14:paraId="13658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6" w:hRule="atLeast"/>
        </w:trPr>
        <w:tc>
          <w:tcPr>
            <w:tcW w:w="830" w:type="dxa"/>
            <w:noWrap w:val="0"/>
            <w:vAlign w:val="center"/>
          </w:tcPr>
          <w:p w14:paraId="0B2B76B1">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w:t>
            </w:r>
          </w:p>
        </w:tc>
        <w:tc>
          <w:tcPr>
            <w:tcW w:w="1406" w:type="dxa"/>
            <w:noWrap w:val="0"/>
            <w:vAlign w:val="center"/>
          </w:tcPr>
          <w:p w14:paraId="70BE37CB">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答辩举证</w:t>
            </w:r>
          </w:p>
        </w:tc>
        <w:tc>
          <w:tcPr>
            <w:tcW w:w="6880" w:type="dxa"/>
            <w:noWrap w:val="0"/>
            <w:vAlign w:val="center"/>
          </w:tcPr>
          <w:p w14:paraId="45F1250A">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1.在人民法院指定答辩期限内提交答辩状，要求论证清晰、说理充分。未按要求执行，扣10分。</w:t>
            </w:r>
          </w:p>
          <w:p w14:paraId="2857CAA9">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2.在人民法院指定举证期限内提交作出行政行为的证据、依据并制作证据目录，要求全面、真实、准确。未按要求执行，扣10分。</w:t>
            </w:r>
          </w:p>
        </w:tc>
        <w:tc>
          <w:tcPr>
            <w:tcW w:w="865" w:type="dxa"/>
            <w:noWrap w:val="0"/>
            <w:vAlign w:val="center"/>
          </w:tcPr>
          <w:p w14:paraId="7008708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76CE3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4" w:hRule="atLeast"/>
        </w:trPr>
        <w:tc>
          <w:tcPr>
            <w:tcW w:w="830" w:type="dxa"/>
            <w:noWrap w:val="0"/>
            <w:vAlign w:val="center"/>
          </w:tcPr>
          <w:p w14:paraId="247C59C0">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w:t>
            </w:r>
          </w:p>
        </w:tc>
        <w:tc>
          <w:tcPr>
            <w:tcW w:w="1406" w:type="dxa"/>
            <w:noWrap w:val="0"/>
            <w:vAlign w:val="center"/>
          </w:tcPr>
          <w:p w14:paraId="67D5CA1C">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出庭应诉</w:t>
            </w:r>
          </w:p>
        </w:tc>
        <w:tc>
          <w:tcPr>
            <w:tcW w:w="6880" w:type="dxa"/>
            <w:noWrap w:val="0"/>
            <w:vAlign w:val="center"/>
          </w:tcPr>
          <w:p w14:paraId="1BAE2DFF">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1.收到人民法院传票后，及时告知采购人，做好开庭时间登记。未按要求执行，扣10分。</w:t>
            </w:r>
          </w:p>
          <w:p w14:paraId="702EF4B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 按时到庭，遵守法庭纪律，尊重审判人员。未按要求执行，扣10分。</w:t>
            </w:r>
          </w:p>
          <w:p w14:paraId="118A45EC">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 熟悉案情，围绕行政行为合法性、适当性进行质证和辩论，逻辑清晰，准确回答法庭询问。未按要求执行，扣10分。</w:t>
            </w:r>
          </w:p>
        </w:tc>
        <w:tc>
          <w:tcPr>
            <w:tcW w:w="865" w:type="dxa"/>
            <w:noWrap w:val="0"/>
            <w:vAlign w:val="center"/>
          </w:tcPr>
          <w:p w14:paraId="6CC6B9A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30</w:t>
            </w:r>
          </w:p>
        </w:tc>
      </w:tr>
      <w:tr w14:paraId="7AF32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2" w:hRule="atLeast"/>
        </w:trPr>
        <w:tc>
          <w:tcPr>
            <w:tcW w:w="830" w:type="dxa"/>
            <w:noWrap w:val="0"/>
            <w:vAlign w:val="center"/>
          </w:tcPr>
          <w:p w14:paraId="68F37040">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3</w:t>
            </w:r>
          </w:p>
        </w:tc>
        <w:tc>
          <w:tcPr>
            <w:tcW w:w="1406" w:type="dxa"/>
            <w:noWrap w:val="0"/>
            <w:vAlign w:val="center"/>
          </w:tcPr>
          <w:p w14:paraId="326A8557">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裁判履行</w:t>
            </w:r>
          </w:p>
        </w:tc>
        <w:tc>
          <w:tcPr>
            <w:tcW w:w="6880" w:type="dxa"/>
            <w:noWrap w:val="0"/>
            <w:vAlign w:val="center"/>
          </w:tcPr>
          <w:p w14:paraId="24BAF526">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 认为人民法院裁判有误的，依法定程序在法定期限内提起上诉或申请再审。未按要求执行，扣</w:t>
            </w:r>
            <w:r>
              <w:rPr>
                <w:rFonts w:hint="eastAsia" w:ascii="宋体" w:hAnsi="宋体" w:cs="宋体"/>
                <w:color w:val="auto"/>
                <w:kern w:val="0"/>
                <w:sz w:val="24"/>
                <w:szCs w:val="24"/>
                <w:highlight w:val="none"/>
                <w:vertAlign w:val="baseline"/>
                <w:lang w:val="en-US" w:eastAsia="zh-CN" w:bidi="ar-SA"/>
              </w:rPr>
              <w:t>20</w:t>
            </w:r>
            <w:r>
              <w:rPr>
                <w:rFonts w:hint="eastAsia" w:ascii="宋体" w:hAnsi="宋体" w:eastAsia="宋体" w:cs="宋体"/>
                <w:color w:val="auto"/>
                <w:kern w:val="0"/>
                <w:sz w:val="24"/>
                <w:szCs w:val="24"/>
                <w:highlight w:val="none"/>
                <w:vertAlign w:val="baseline"/>
                <w:lang w:val="en-US" w:eastAsia="zh-CN" w:bidi="ar-SA"/>
              </w:rPr>
              <w:t>分。</w:t>
            </w:r>
          </w:p>
        </w:tc>
        <w:tc>
          <w:tcPr>
            <w:tcW w:w="865" w:type="dxa"/>
            <w:noWrap w:val="0"/>
            <w:vAlign w:val="center"/>
          </w:tcPr>
          <w:p w14:paraId="2D385BA3">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1C0EE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6" w:hRule="atLeast"/>
        </w:trPr>
        <w:tc>
          <w:tcPr>
            <w:tcW w:w="830" w:type="dxa"/>
            <w:noWrap w:val="0"/>
            <w:vAlign w:val="center"/>
          </w:tcPr>
          <w:p w14:paraId="34DB361F">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4</w:t>
            </w:r>
          </w:p>
        </w:tc>
        <w:tc>
          <w:tcPr>
            <w:tcW w:w="1406" w:type="dxa"/>
            <w:noWrap w:val="0"/>
            <w:vAlign w:val="center"/>
          </w:tcPr>
          <w:p w14:paraId="24CA9F3B">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协调化解</w:t>
            </w:r>
          </w:p>
        </w:tc>
        <w:tc>
          <w:tcPr>
            <w:tcW w:w="6880" w:type="dxa"/>
            <w:noWrap w:val="0"/>
            <w:vAlign w:val="center"/>
          </w:tcPr>
          <w:p w14:paraId="468BDEA1">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1.协助参与法院组织的调解活动，实质性化解行政争议。未按要求执行，扣</w:t>
            </w:r>
            <w:r>
              <w:rPr>
                <w:rFonts w:hint="eastAsia" w:ascii="宋体" w:hAnsi="宋体" w:cs="宋体"/>
                <w:color w:val="auto"/>
                <w:kern w:val="0"/>
                <w:sz w:val="24"/>
                <w:szCs w:val="24"/>
                <w:highlight w:val="none"/>
                <w:vertAlign w:val="baseline"/>
                <w:lang w:val="en-US" w:eastAsia="zh-CN" w:bidi="ar-SA"/>
              </w:rPr>
              <w:t>20</w:t>
            </w:r>
            <w:r>
              <w:rPr>
                <w:rFonts w:hint="eastAsia" w:ascii="宋体" w:hAnsi="宋体" w:eastAsia="宋体" w:cs="宋体"/>
                <w:color w:val="auto"/>
                <w:kern w:val="0"/>
                <w:sz w:val="24"/>
                <w:szCs w:val="24"/>
                <w:highlight w:val="none"/>
                <w:vertAlign w:val="baseline"/>
                <w:lang w:val="en-US" w:eastAsia="zh-CN" w:bidi="ar-SA"/>
              </w:rPr>
              <w:t>分。</w:t>
            </w:r>
          </w:p>
        </w:tc>
        <w:tc>
          <w:tcPr>
            <w:tcW w:w="865" w:type="dxa"/>
            <w:noWrap w:val="0"/>
            <w:vAlign w:val="center"/>
          </w:tcPr>
          <w:p w14:paraId="2FDBB638">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20</w:t>
            </w:r>
          </w:p>
        </w:tc>
      </w:tr>
      <w:tr w14:paraId="151CD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6" w:hRule="atLeast"/>
        </w:trPr>
        <w:tc>
          <w:tcPr>
            <w:tcW w:w="830" w:type="dxa"/>
            <w:noWrap w:val="0"/>
            <w:vAlign w:val="center"/>
          </w:tcPr>
          <w:p w14:paraId="2BEE784A">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5</w:t>
            </w:r>
          </w:p>
        </w:tc>
        <w:tc>
          <w:tcPr>
            <w:tcW w:w="1406" w:type="dxa"/>
            <w:noWrap w:val="0"/>
            <w:vAlign w:val="center"/>
          </w:tcPr>
          <w:p w14:paraId="1F25933C">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归档</w:t>
            </w:r>
          </w:p>
        </w:tc>
        <w:tc>
          <w:tcPr>
            <w:tcW w:w="6880" w:type="dxa"/>
            <w:noWrap w:val="0"/>
            <w:vAlign w:val="center"/>
          </w:tcPr>
          <w:p w14:paraId="48BF60C8">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1.纸质案卷材料齐全、装订整洁规范，结案后30日内移交纸质案卷。未按要求执行，扣10分。</w:t>
            </w:r>
          </w:p>
        </w:tc>
        <w:tc>
          <w:tcPr>
            <w:tcW w:w="865" w:type="dxa"/>
            <w:noWrap w:val="0"/>
            <w:vAlign w:val="center"/>
          </w:tcPr>
          <w:p w14:paraId="5341CCD9">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w:t>
            </w:r>
          </w:p>
        </w:tc>
      </w:tr>
      <w:tr w14:paraId="7DB4A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6" w:hRule="atLeast"/>
        </w:trPr>
        <w:tc>
          <w:tcPr>
            <w:tcW w:w="830" w:type="dxa"/>
            <w:noWrap w:val="0"/>
            <w:vAlign w:val="center"/>
          </w:tcPr>
          <w:p w14:paraId="478FDFDE">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6</w:t>
            </w:r>
          </w:p>
        </w:tc>
        <w:tc>
          <w:tcPr>
            <w:tcW w:w="1406" w:type="dxa"/>
            <w:noWrap w:val="0"/>
            <w:vAlign w:val="center"/>
          </w:tcPr>
          <w:p w14:paraId="3569CAA5">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一票否决事项</w:t>
            </w:r>
          </w:p>
        </w:tc>
        <w:tc>
          <w:tcPr>
            <w:tcW w:w="6880" w:type="dxa"/>
            <w:noWrap w:val="0"/>
            <w:vAlign w:val="center"/>
          </w:tcPr>
          <w:p w14:paraId="6CDA1FB2">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对于因办案人员故意或重大过失导致国家赔偿或经人民法院审理被判决撤销、部分撤销、确认违法或无效、变更的，扣100分。</w:t>
            </w:r>
          </w:p>
        </w:tc>
        <w:tc>
          <w:tcPr>
            <w:tcW w:w="865" w:type="dxa"/>
            <w:noWrap w:val="0"/>
            <w:vAlign w:val="center"/>
          </w:tcPr>
          <w:p w14:paraId="57CA7D8D">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p>
        </w:tc>
      </w:tr>
      <w:tr w14:paraId="45E2F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236" w:type="dxa"/>
            <w:gridSpan w:val="2"/>
            <w:noWrap w:val="0"/>
            <w:vAlign w:val="center"/>
          </w:tcPr>
          <w:p w14:paraId="5CBADB76">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合计</w:t>
            </w:r>
          </w:p>
        </w:tc>
        <w:tc>
          <w:tcPr>
            <w:tcW w:w="6880" w:type="dxa"/>
            <w:noWrap w:val="0"/>
            <w:vAlign w:val="center"/>
          </w:tcPr>
          <w:p w14:paraId="6EE01727">
            <w:pPr>
              <w:keepNext w:val="0"/>
              <w:keepLines w:val="0"/>
              <w:pageBreakBefore w:val="0"/>
              <w:widowControl w:val="0"/>
              <w:numPr>
                <w:ilvl w:val="0"/>
                <w:numId w:val="0"/>
              </w:numPr>
              <w:spacing w:after="0" w:line="540" w:lineRule="exact"/>
              <w:jc w:val="both"/>
              <w:rPr>
                <w:rFonts w:hint="eastAsia" w:ascii="宋体" w:hAnsi="宋体" w:eastAsia="宋体" w:cs="宋体"/>
                <w:color w:val="auto"/>
                <w:kern w:val="0"/>
                <w:sz w:val="24"/>
                <w:szCs w:val="24"/>
                <w:highlight w:val="none"/>
                <w:vertAlign w:val="baseline"/>
                <w:lang w:val="en-US" w:eastAsia="zh-CN" w:bidi="ar-SA"/>
              </w:rPr>
            </w:pPr>
          </w:p>
        </w:tc>
        <w:tc>
          <w:tcPr>
            <w:tcW w:w="865" w:type="dxa"/>
            <w:noWrap w:val="0"/>
            <w:vAlign w:val="center"/>
          </w:tcPr>
          <w:p w14:paraId="2AFD6F50">
            <w:pPr>
              <w:keepNext w:val="0"/>
              <w:keepLines w:val="0"/>
              <w:pageBreakBefore w:val="0"/>
              <w:widowControl w:val="0"/>
              <w:numPr>
                <w:ilvl w:val="0"/>
                <w:numId w:val="0"/>
              </w:numPr>
              <w:spacing w:after="0" w:line="540" w:lineRule="exact"/>
              <w:jc w:val="center"/>
              <w:rPr>
                <w:rFonts w:hint="eastAsia" w:ascii="宋体" w:hAnsi="宋体" w:eastAsia="宋体" w:cs="宋体"/>
                <w:color w:val="auto"/>
                <w:kern w:val="0"/>
                <w:sz w:val="24"/>
                <w:szCs w:val="24"/>
                <w:highlight w:val="none"/>
                <w:vertAlign w:val="baseline"/>
                <w:lang w:val="en-US" w:eastAsia="zh-CN" w:bidi="ar-SA"/>
              </w:rPr>
            </w:pPr>
            <w:r>
              <w:rPr>
                <w:rFonts w:hint="eastAsia" w:ascii="宋体" w:hAnsi="宋体" w:eastAsia="宋体" w:cs="宋体"/>
                <w:color w:val="auto"/>
                <w:kern w:val="0"/>
                <w:sz w:val="24"/>
                <w:szCs w:val="24"/>
                <w:highlight w:val="none"/>
                <w:vertAlign w:val="baseline"/>
                <w:lang w:val="en-US" w:eastAsia="zh-CN" w:bidi="ar-SA"/>
              </w:rPr>
              <w:t>100</w:t>
            </w:r>
          </w:p>
        </w:tc>
      </w:tr>
    </w:tbl>
    <w:p w14:paraId="545BAC71">
      <w:pPr>
        <w:widowControl w:val="0"/>
        <w:spacing w:before="120" w:after="120" w:line="0" w:lineRule="atLeast"/>
        <w:jc w:val="both"/>
        <w:rPr>
          <w:rFonts w:hint="eastAsia" w:ascii="宋体" w:hAnsi="宋体" w:eastAsia="宋体" w:cs="宋体"/>
          <w:color w:val="auto"/>
          <w:sz w:val="24"/>
          <w:szCs w:val="24"/>
          <w:highlight w:val="none"/>
          <w:lang w:val="en-US" w:eastAsia="en-US" w:bidi="ar-SA"/>
        </w:rPr>
      </w:pPr>
    </w:p>
    <w:p w14:paraId="1D3E80BE">
      <w:pPr>
        <w:widowControl w:val="0"/>
        <w:spacing w:before="120" w:after="120" w:line="0" w:lineRule="atLeast"/>
        <w:jc w:val="center"/>
        <w:rPr>
          <w:rFonts w:hint="eastAsia" w:ascii="黑体" w:hAnsi="黑体" w:eastAsia="黑体" w:cs="黑体"/>
          <w:color w:val="auto"/>
          <w:sz w:val="44"/>
          <w:szCs w:val="44"/>
          <w:highlight w:val="none"/>
          <w:lang w:val="en-US" w:eastAsia="zh-CN" w:bidi="ar-SA"/>
        </w:rPr>
      </w:pPr>
      <w:r>
        <w:rPr>
          <w:rFonts w:hint="eastAsia" w:ascii="黑体" w:hAnsi="黑体" w:eastAsia="黑体" w:cs="黑体"/>
          <w:color w:val="auto"/>
          <w:sz w:val="44"/>
          <w:szCs w:val="44"/>
          <w:highlight w:val="none"/>
          <w:lang w:val="en-US" w:eastAsia="zh-CN" w:bidi="ar-SA"/>
        </w:rPr>
        <w:t xml:space="preserve">第五章  </w:t>
      </w:r>
      <w:r>
        <w:rPr>
          <w:rFonts w:hint="eastAsia" w:ascii="黑体" w:hAnsi="黑体" w:eastAsia="黑体" w:cs="黑体"/>
          <w:b/>
          <w:bCs/>
          <w:color w:val="auto"/>
          <w:sz w:val="44"/>
          <w:szCs w:val="44"/>
          <w:highlight w:val="none"/>
          <w:lang w:val="en-US" w:eastAsia="zh-CN" w:bidi="ar-SA"/>
        </w:rPr>
        <w:t>协议书主要条款</w:t>
      </w:r>
    </w:p>
    <w:p w14:paraId="28D8F4EA">
      <w:pPr>
        <w:spacing w:before="156" w:after="156" w:line="360" w:lineRule="auto"/>
        <w:jc w:val="center"/>
        <w:outlineLvl w:val="0"/>
        <w:rPr>
          <w:rFonts w:ascii="宋体" w:hAnsi="宋体" w:eastAsia="宋体" w:cs="Arial"/>
          <w:b/>
          <w:bCs/>
          <w:color w:val="auto"/>
          <w:sz w:val="32"/>
          <w:szCs w:val="32"/>
          <w:highlight w:val="none"/>
        </w:rPr>
      </w:pPr>
      <w:bookmarkStart w:id="168" w:name="_Toc8559"/>
      <w:r>
        <w:rPr>
          <w:rFonts w:hint="eastAsia" w:ascii="宋体" w:hAnsi="宋体" w:cs="Arial"/>
          <w:b/>
          <w:bCs/>
          <w:color w:val="auto"/>
          <w:sz w:val="32"/>
          <w:szCs w:val="32"/>
          <w:highlight w:val="none"/>
          <w:lang w:val="en-US" w:eastAsia="zh-CN"/>
        </w:rPr>
        <w:t>2026年度南京市江宁区司法局律师法律服务框架协议采购</w:t>
      </w:r>
      <w:r>
        <w:rPr>
          <w:rFonts w:hint="eastAsia" w:ascii="宋体" w:hAnsi="宋体" w:eastAsia="宋体" w:cs="Arial"/>
          <w:b/>
          <w:bCs/>
          <w:color w:val="auto"/>
          <w:sz w:val="32"/>
          <w:szCs w:val="32"/>
          <w:highlight w:val="none"/>
        </w:rPr>
        <w:t>框架合同</w:t>
      </w:r>
      <w:bookmarkEnd w:id="168"/>
    </w:p>
    <w:p w14:paraId="2999DC2D">
      <w:pPr>
        <w:spacing w:line="360" w:lineRule="auto"/>
        <w:ind w:firstLine="562"/>
        <w:rPr>
          <w:rFonts w:ascii="宋体" w:hAnsi="宋体" w:eastAsia="宋体"/>
          <w:b/>
          <w:bCs/>
          <w:color w:val="auto"/>
          <w:sz w:val="28"/>
          <w:szCs w:val="28"/>
          <w:highlight w:val="none"/>
        </w:rPr>
      </w:pPr>
    </w:p>
    <w:p w14:paraId="1B327F78">
      <w:pPr>
        <w:spacing w:line="360" w:lineRule="auto"/>
        <w:ind w:firstLine="562"/>
        <w:rPr>
          <w:rFonts w:ascii="宋体" w:hAnsi="宋体" w:eastAsia="宋体"/>
          <w:b/>
          <w:bCs/>
          <w:color w:val="auto"/>
          <w:sz w:val="28"/>
          <w:szCs w:val="28"/>
          <w:highlight w:val="none"/>
        </w:rPr>
      </w:pPr>
    </w:p>
    <w:p w14:paraId="4D0A363C">
      <w:pPr>
        <w:spacing w:line="360" w:lineRule="auto"/>
        <w:ind w:firstLine="562"/>
        <w:rPr>
          <w:rFonts w:ascii="宋体" w:hAnsi="宋体" w:eastAsia="宋体"/>
          <w:b/>
          <w:bCs/>
          <w:color w:val="auto"/>
          <w:sz w:val="28"/>
          <w:szCs w:val="28"/>
          <w:highlight w:val="none"/>
        </w:rPr>
      </w:pPr>
    </w:p>
    <w:p w14:paraId="538C7349">
      <w:pPr>
        <w:spacing w:line="360" w:lineRule="auto"/>
        <w:ind w:firstLine="562"/>
        <w:rPr>
          <w:rFonts w:ascii="宋体" w:hAnsi="宋体" w:eastAsia="宋体"/>
          <w:b/>
          <w:bCs/>
          <w:color w:val="auto"/>
          <w:sz w:val="28"/>
          <w:szCs w:val="28"/>
          <w:highlight w:val="none"/>
        </w:rPr>
      </w:pPr>
    </w:p>
    <w:p w14:paraId="7D2055CD">
      <w:pPr>
        <w:spacing w:line="360" w:lineRule="auto"/>
        <w:ind w:firstLine="562"/>
        <w:rPr>
          <w:rFonts w:ascii="宋体" w:hAnsi="宋体" w:eastAsia="宋体"/>
          <w:b/>
          <w:bCs/>
          <w:color w:val="auto"/>
          <w:sz w:val="28"/>
          <w:szCs w:val="28"/>
          <w:highlight w:val="none"/>
        </w:rPr>
      </w:pPr>
    </w:p>
    <w:p w14:paraId="4147C39B">
      <w:pPr>
        <w:spacing w:line="360" w:lineRule="auto"/>
        <w:ind w:firstLine="562"/>
        <w:rPr>
          <w:rFonts w:ascii="宋体" w:hAnsi="宋体" w:eastAsia="宋体"/>
          <w:b/>
          <w:bCs/>
          <w:color w:val="auto"/>
          <w:sz w:val="28"/>
          <w:szCs w:val="28"/>
          <w:highlight w:val="none"/>
        </w:rPr>
      </w:pPr>
    </w:p>
    <w:p w14:paraId="331FBA21">
      <w:pPr>
        <w:spacing w:line="360" w:lineRule="auto"/>
        <w:ind w:firstLine="562"/>
        <w:rPr>
          <w:rFonts w:ascii="宋体" w:hAnsi="宋体" w:eastAsia="宋体"/>
          <w:b/>
          <w:bCs/>
          <w:color w:val="auto"/>
          <w:sz w:val="28"/>
          <w:szCs w:val="28"/>
          <w:highlight w:val="none"/>
        </w:rPr>
      </w:pPr>
    </w:p>
    <w:p w14:paraId="71AF873C">
      <w:pPr>
        <w:widowControl/>
        <w:shd w:val="clear" w:color="auto" w:fill="FFFFFF"/>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合同编号 ：</w:t>
      </w:r>
      <w:r>
        <w:rPr>
          <w:rFonts w:ascii="宋体" w:hAnsi="宋体" w:eastAsia="宋体" w:cs="宋体"/>
          <w:b/>
          <w:bCs/>
          <w:color w:val="auto"/>
          <w:sz w:val="32"/>
          <w:szCs w:val="32"/>
          <w:highlight w:val="none"/>
          <w:u w:val="single"/>
        </w:rPr>
        <w:t xml:space="preserve">                          </w:t>
      </w:r>
    </w:p>
    <w:p w14:paraId="44C78A95">
      <w:pPr>
        <w:widowControl/>
        <w:shd w:val="clear" w:color="auto" w:fill="FFFFFF"/>
        <w:spacing w:line="360" w:lineRule="auto"/>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项目名称 ：</w:t>
      </w:r>
      <w:r>
        <w:rPr>
          <w:rFonts w:hint="eastAsia" w:ascii="宋体" w:hAnsi="宋体" w:cs="宋体"/>
          <w:b/>
          <w:bCs/>
          <w:color w:val="auto"/>
          <w:sz w:val="32"/>
          <w:szCs w:val="32"/>
          <w:highlight w:val="none"/>
          <w:u w:val="single"/>
          <w:lang w:val="en-US" w:eastAsia="zh-CN"/>
        </w:rPr>
        <w:t>2026年度南京市江宁区司法局律师法律服务框架协议采购</w:t>
      </w:r>
      <w:r>
        <w:rPr>
          <w:rFonts w:hint="eastAsia" w:ascii="宋体" w:hAnsi="宋体" w:eastAsia="宋体" w:cs="宋体"/>
          <w:b/>
          <w:bCs/>
          <w:color w:val="auto"/>
          <w:sz w:val="32"/>
          <w:szCs w:val="32"/>
          <w:highlight w:val="none"/>
          <w:u w:val="single"/>
          <w:lang w:val="en-US" w:eastAsia="zh-CN"/>
        </w:rPr>
        <w:t xml:space="preserve">  </w:t>
      </w:r>
    </w:p>
    <w:p w14:paraId="292ABC1B">
      <w:pPr>
        <w:widowControl/>
        <w:shd w:val="clear" w:color="auto" w:fill="FFFFFF"/>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征 集 人：</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u w:val="single"/>
          <w:lang w:eastAsia="zh-CN"/>
        </w:rPr>
        <w:t>南京市江宁区司法局</w:t>
      </w:r>
      <w:r>
        <w:rPr>
          <w:rFonts w:hint="eastAsia" w:ascii="宋体" w:hAnsi="宋体" w:eastAsia="宋体" w:cs="宋体"/>
          <w:b/>
          <w:bCs/>
          <w:color w:val="auto"/>
          <w:sz w:val="32"/>
          <w:szCs w:val="32"/>
          <w:highlight w:val="none"/>
          <w:u w:val="single"/>
        </w:rPr>
        <w:t xml:space="preserve"> </w:t>
      </w:r>
      <w:r>
        <w:rPr>
          <w:rFonts w:ascii="宋体" w:hAnsi="宋体" w:eastAsia="宋体" w:cs="宋体"/>
          <w:b/>
          <w:bCs/>
          <w:color w:val="auto"/>
          <w:sz w:val="32"/>
          <w:szCs w:val="32"/>
          <w:highlight w:val="none"/>
          <w:u w:val="single"/>
        </w:rPr>
        <w:t xml:space="preserve">                  </w:t>
      </w:r>
    </w:p>
    <w:p w14:paraId="555A7359">
      <w:pPr>
        <w:widowControl/>
        <w:shd w:val="clear" w:color="auto" w:fill="FFFFFF"/>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供 应 商：</w:t>
      </w:r>
      <w:r>
        <w:rPr>
          <w:rFonts w:ascii="宋体" w:hAnsi="宋体" w:eastAsia="宋体" w:cs="宋体"/>
          <w:b/>
          <w:bCs/>
          <w:color w:val="auto"/>
          <w:sz w:val="32"/>
          <w:szCs w:val="32"/>
          <w:highlight w:val="none"/>
          <w:u w:val="single"/>
        </w:rPr>
        <w:t xml:space="preserve">                                         </w:t>
      </w:r>
    </w:p>
    <w:p w14:paraId="634A086B">
      <w:pPr>
        <w:widowControl/>
        <w:shd w:val="clear" w:color="auto" w:fill="FFFFFF"/>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签订日期：</w:t>
      </w:r>
      <w:r>
        <w:rPr>
          <w:rFonts w:ascii="宋体" w:hAnsi="宋体" w:eastAsia="宋体" w:cs="宋体"/>
          <w:b/>
          <w:bCs/>
          <w:color w:val="auto"/>
          <w:sz w:val="32"/>
          <w:szCs w:val="32"/>
          <w:highlight w:val="none"/>
          <w:u w:val="single"/>
        </w:rPr>
        <w:t xml:space="preserve">                                         </w:t>
      </w:r>
    </w:p>
    <w:p w14:paraId="2199FC85">
      <w:pPr>
        <w:spacing w:line="360" w:lineRule="auto"/>
        <w:ind w:firstLine="562"/>
        <w:rPr>
          <w:rFonts w:ascii="宋体" w:hAnsi="宋体" w:eastAsia="宋体"/>
          <w:b/>
          <w:bCs/>
          <w:color w:val="auto"/>
          <w:sz w:val="28"/>
          <w:szCs w:val="28"/>
          <w:highlight w:val="none"/>
        </w:rPr>
      </w:pPr>
    </w:p>
    <w:p w14:paraId="3916E8B5">
      <w:pPr>
        <w:spacing w:before="120" w:after="120" w:line="360" w:lineRule="auto"/>
        <w:rPr>
          <w:rFonts w:ascii="宋体" w:hAnsi="宋体" w:eastAsia="宋体"/>
          <w:b/>
          <w:bCs/>
          <w:color w:val="auto"/>
          <w:sz w:val="32"/>
          <w:szCs w:val="32"/>
          <w:highlight w:val="none"/>
        </w:rPr>
      </w:pPr>
    </w:p>
    <w:p w14:paraId="0851D118">
      <w:pPr>
        <w:rPr>
          <w:rFonts w:ascii="宋体" w:hAnsi="宋体" w:eastAsia="宋体"/>
          <w:color w:val="auto"/>
          <w:highlight w:val="none"/>
        </w:rPr>
      </w:pPr>
      <w:r>
        <w:rPr>
          <w:rFonts w:ascii="宋体" w:hAnsi="宋体" w:eastAsia="宋体"/>
          <w:color w:val="auto"/>
          <w:highlight w:val="none"/>
        </w:rPr>
        <w:br w:type="page" w:clear="all"/>
      </w:r>
    </w:p>
    <w:p w14:paraId="0E1CAC23">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bookmarkStart w:id="169" w:name="_Hlk126073418"/>
      <w:bookmarkStart w:id="170" w:name="_Toc119595659"/>
      <w:bookmarkStart w:id="171" w:name="_Toc103943866"/>
      <w:r>
        <w:rPr>
          <w:rFonts w:hint="eastAsia" w:ascii="宋体" w:hAnsi="宋体" w:eastAsia="宋体" w:cs="宋体"/>
          <w:color w:val="auto"/>
          <w:sz w:val="24"/>
          <w:szCs w:val="24"/>
          <w:highlight w:val="none"/>
          <w:lang w:val="en-US" w:eastAsia="zh-CN" w:bidi="ar-SA"/>
        </w:rPr>
        <w:t>甲方：南京市江宁区司法局</w:t>
      </w:r>
    </w:p>
    <w:p w14:paraId="14143542">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乙方：</w:t>
      </w:r>
      <w:r>
        <w:rPr>
          <w:rFonts w:hint="eastAsia" w:ascii="宋体" w:hAnsi="宋体" w:eastAsia="宋体" w:cs="宋体"/>
          <w:color w:val="auto"/>
          <w:sz w:val="24"/>
          <w:szCs w:val="24"/>
          <w:highlight w:val="none"/>
          <w:u w:val="single"/>
          <w:lang w:val="en-US" w:eastAsia="zh-CN" w:bidi="ar-SA"/>
        </w:rPr>
        <w:t xml:space="preserve">（入围供应商）       </w:t>
      </w:r>
    </w:p>
    <w:p w14:paraId="2BBBC5B9">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甲、乙双方根据律师法律服务项目框架协议采购的结果，签署本文本。</w:t>
      </w:r>
    </w:p>
    <w:p w14:paraId="0EB186E0">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一、项目基本情况</w:t>
      </w:r>
    </w:p>
    <w:p w14:paraId="687BFDB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zh-CN"/>
        </w:rPr>
        <w:t>为全面落实《</w:t>
      </w:r>
      <w:r>
        <w:rPr>
          <w:rFonts w:hint="eastAsia" w:ascii="宋体" w:hAnsi="宋体" w:eastAsia="宋体" w:cs="宋体"/>
          <w:color w:val="auto"/>
          <w:sz w:val="24"/>
          <w:szCs w:val="24"/>
          <w:highlight w:val="none"/>
          <w:lang w:val="en-US" w:eastAsia="zh-CN"/>
        </w:rPr>
        <w:t>行政复议法》</w:t>
      </w:r>
      <w:r>
        <w:rPr>
          <w:rFonts w:hint="eastAsia" w:ascii="宋体" w:hAnsi="宋体" w:eastAsia="宋体" w:cs="宋体"/>
          <w:color w:val="auto"/>
          <w:sz w:val="24"/>
          <w:szCs w:val="24"/>
          <w:highlight w:val="none"/>
          <w:lang w:val="zh-CN"/>
        </w:rPr>
        <w:t>《法律援助法》《办理法律援助案件程序规定》，更好地满足人民群众日益增长的法律服务需求。拟对202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年法律援助工作、</w:t>
      </w:r>
      <w:r>
        <w:rPr>
          <w:rFonts w:hint="eastAsia" w:ascii="宋体" w:hAnsi="宋体" w:eastAsia="宋体" w:cs="宋体"/>
          <w:color w:val="auto"/>
          <w:sz w:val="24"/>
          <w:szCs w:val="24"/>
          <w:highlight w:val="none"/>
          <w:lang w:val="en-US" w:eastAsia="zh-CN"/>
        </w:rPr>
        <w:t>行政复议工作、行政诉讼工作</w:t>
      </w:r>
      <w:r>
        <w:rPr>
          <w:rFonts w:hint="eastAsia" w:ascii="宋体" w:hAnsi="宋体" w:eastAsia="宋体" w:cs="宋体"/>
          <w:color w:val="auto"/>
          <w:sz w:val="24"/>
          <w:szCs w:val="24"/>
          <w:highlight w:val="none"/>
          <w:lang w:val="zh-CN"/>
        </w:rPr>
        <w:t>以框架协议的方式进行采购。框架协议主要包括以下内容：1、法律咨询；2、代拟法律文书；3、办理法律援助</w:t>
      </w:r>
      <w:r>
        <w:rPr>
          <w:rFonts w:hint="eastAsia" w:ascii="宋体" w:hAnsi="宋体" w:eastAsia="宋体" w:cs="宋体"/>
          <w:color w:val="auto"/>
          <w:sz w:val="24"/>
          <w:szCs w:val="24"/>
          <w:highlight w:val="none"/>
          <w:lang w:val="en-US" w:eastAsia="zh-CN"/>
        </w:rPr>
        <w:t>(帮助)</w:t>
      </w:r>
      <w:r>
        <w:rPr>
          <w:rFonts w:hint="eastAsia" w:ascii="宋体" w:hAnsi="宋体" w:eastAsia="宋体" w:cs="宋体"/>
          <w:color w:val="auto"/>
          <w:sz w:val="24"/>
          <w:szCs w:val="24"/>
          <w:highlight w:val="none"/>
          <w:lang w:val="zh-CN"/>
        </w:rPr>
        <w:t>案件；4、接听12348法律服务热线电话；5、法律援助站点服务工作；6、辅助</w:t>
      </w:r>
      <w:r>
        <w:rPr>
          <w:rFonts w:hint="eastAsia" w:ascii="宋体" w:hAnsi="宋体" w:eastAsia="宋体" w:cs="宋体"/>
          <w:color w:val="auto"/>
          <w:sz w:val="24"/>
          <w:szCs w:val="24"/>
          <w:highlight w:val="none"/>
          <w:lang w:val="en-US" w:eastAsia="zh-CN"/>
        </w:rPr>
        <w:t>办理</w:t>
      </w:r>
      <w:r>
        <w:rPr>
          <w:rFonts w:hint="eastAsia" w:ascii="宋体" w:hAnsi="宋体" w:eastAsia="宋体" w:cs="宋体"/>
          <w:color w:val="auto"/>
          <w:sz w:val="24"/>
          <w:szCs w:val="24"/>
          <w:highlight w:val="none"/>
          <w:lang w:val="zh-CN"/>
        </w:rPr>
        <w:t>行政复议案件；</w:t>
      </w:r>
      <w:r>
        <w:rPr>
          <w:rFonts w:hint="eastAsia" w:ascii="宋体" w:hAnsi="宋体" w:eastAsia="宋体" w:cs="宋体"/>
          <w:color w:val="auto"/>
          <w:sz w:val="24"/>
          <w:szCs w:val="24"/>
          <w:highlight w:val="none"/>
          <w:lang w:val="en-US" w:eastAsia="zh-CN"/>
        </w:rPr>
        <w:t>7、代理行政诉讼案件；8、其他事项。</w:t>
      </w:r>
    </w:p>
    <w:p w14:paraId="3F4BFC97">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1.2适用本项目的服务范围，包含但不限于以下内容：法律援助、行政复议、行政诉讼。</w:t>
      </w:r>
    </w:p>
    <w:p w14:paraId="72B41AAA">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 履行合同的地域范围：江苏省南京市</w:t>
      </w:r>
    </w:p>
    <w:p w14:paraId="68E2E57A">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二、第一阶段的服务内容、服务标准</w:t>
      </w:r>
    </w:p>
    <w:p w14:paraId="2B78A014">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详见征集文件。</w:t>
      </w:r>
    </w:p>
    <w:p w14:paraId="456457E3">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三、确定第二阶段成交供应商的方式</w:t>
      </w:r>
    </w:p>
    <w:p w14:paraId="40FBC838">
      <w:pPr>
        <w:numPr>
          <w:ilvl w:val="0"/>
          <w:numId w:val="0"/>
        </w:num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1、确定第二阶段入围供应商的方式为直接选定。由甲方依据质量以及服务便利性等因素，从第一阶段入围供应商中直接选定。</w:t>
      </w:r>
    </w:p>
    <w:p w14:paraId="1D67613D">
      <w:pPr>
        <w:numPr>
          <w:ilvl w:val="0"/>
          <w:numId w:val="0"/>
        </w:num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2、甲方在确定入围供应商后，双方应当按照框架协议中规定的“采购合同文本”格式签订采购合同，不得擅自改变框架协议约定的合同实质性条款。</w:t>
      </w:r>
    </w:p>
    <w:p w14:paraId="12A86526">
      <w:pPr>
        <w:numPr>
          <w:ilvl w:val="0"/>
          <w:numId w:val="0"/>
        </w:num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3、甲方不得向入围供应商提出任何不合理的要求作为签订合同的条件，不得与入围供应商私下订立背离合同实质性内容的协议。</w:t>
      </w:r>
    </w:p>
    <w:p w14:paraId="0A13C195">
      <w:pPr>
        <w:numPr>
          <w:ilvl w:val="0"/>
          <w:numId w:val="0"/>
        </w:num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4、入围供应商不得将服务进行转包。未经甲方同意，入围供应商也不得采用分包的形式履行合同，否则甲方有权终止采购合同，并终止框架协议。转包或分包造成甲方损失的，由供应商承担相应法律责任。</w:t>
      </w:r>
      <w:r>
        <w:rPr>
          <w:rFonts w:hint="eastAsia" w:ascii="宋体" w:hAnsi="宋体" w:eastAsia="宋体" w:cs="宋体"/>
          <w:bCs/>
          <w:color w:val="auto"/>
          <w:sz w:val="24"/>
          <w:szCs w:val="24"/>
          <w:highlight w:val="none"/>
        </w:rPr>
        <w:t xml:space="preserve"> </w:t>
      </w:r>
    </w:p>
    <w:p w14:paraId="07D8D141">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四、资金支付方式、时间和条件</w:t>
      </w:r>
    </w:p>
    <w:p w14:paraId="6AEAAA3A">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详见《南京市江宁区司法局律师法律服务项目采购合同》。</w:t>
      </w:r>
    </w:p>
    <w:p w14:paraId="50DA5713">
      <w:pPr>
        <w:widowControl/>
        <w:spacing w:before="0" w:beforeAutospacing="0" w:after="0" w:afterAutospacing="0" w:line="360" w:lineRule="auto"/>
        <w:ind w:firstLine="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rPr>
          <w:rFonts w:hint="eastAsia" w:ascii="宋体" w:hAnsi="宋体" w:eastAsia="宋体" w:cs="宋体"/>
          <w:b/>
          <w:bCs w:val="0"/>
          <w:color w:val="auto"/>
          <w:sz w:val="24"/>
          <w:szCs w:val="24"/>
          <w:highlight w:val="none"/>
          <w:lang w:val="en-US" w:eastAsia="zh-CN" w:bidi="ar-SA"/>
        </w:rPr>
        <w:t xml:space="preserve"> 五</w:t>
      </w:r>
      <w:r>
        <w:rPr>
          <w:rFonts w:hint="eastAsia" w:ascii="宋体" w:hAnsi="宋体" w:eastAsia="宋体" w:cs="宋体"/>
          <w:b/>
          <w:color w:val="auto"/>
          <w:sz w:val="24"/>
          <w:szCs w:val="24"/>
          <w:highlight w:val="none"/>
          <w:lang w:val="en-US" w:eastAsia="zh-CN" w:bidi="ar-SA"/>
        </w:rPr>
        <w:t>、框架协议期限</w:t>
      </w:r>
    </w:p>
    <w:p w14:paraId="6968B8B4">
      <w:pPr>
        <w:widowControl/>
        <w:spacing w:before="0" w:beforeAutospacing="0" w:after="0" w:afterAutospacing="0" w:line="360" w:lineRule="auto"/>
        <w:ind w:firstLine="960" w:firstLineChars="4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      日-     年     月     日。</w:t>
      </w:r>
    </w:p>
    <w:p w14:paraId="7DFEDCF0">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六、入围供应商的清退和补充规则</w:t>
      </w:r>
    </w:p>
    <w:p w14:paraId="76E79080">
      <w:pPr>
        <w:widowControl/>
        <w:spacing w:before="0" w:beforeAutospacing="0" w:after="0" w:afterAutospacing="0" w:line="360" w:lineRule="auto"/>
        <w:ind w:firstLine="42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（一）入围供应商有下列情形之一，解除与其签订的框架协议： </w:t>
      </w:r>
    </w:p>
    <w:p w14:paraId="4D082C38">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1、恶意串通谋取入围或者合同成交的；</w:t>
      </w:r>
    </w:p>
    <w:p w14:paraId="399CBA15">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2、提供虚假材料谋取入围或者合同成交的；</w:t>
      </w:r>
    </w:p>
    <w:p w14:paraId="6777F4A1">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3、无正当理由拒不接受合同授予的；</w:t>
      </w:r>
    </w:p>
    <w:p w14:paraId="74AFAFD6">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4、不履行合同义务或者履行合同义务不符合约定，经甲方请求履行后仍不履行或者仍未按约定履行的；</w:t>
      </w:r>
    </w:p>
    <w:p w14:paraId="3C690773">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5、框架协议有效期内，因违法行为被禁止或限制参加政府采购活动的； </w:t>
      </w:r>
    </w:p>
    <w:p w14:paraId="48CD9D14">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6、框架协议及合同约定的其他情形：</w:t>
      </w:r>
    </w:p>
    <w:p w14:paraId="11784962">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入围供应商有</w:t>
      </w:r>
      <w:r>
        <w:rPr>
          <w:rFonts w:hint="eastAsia" w:ascii="宋体" w:hAnsi="宋体" w:eastAsia="宋体" w:cs="宋体"/>
          <w:bCs/>
          <w:color w:val="auto"/>
          <w:sz w:val="24"/>
          <w:szCs w:val="24"/>
          <w:highlight w:val="none"/>
          <w:lang w:val="en-US" w:eastAsia="zh-CN"/>
        </w:rPr>
        <w:t>上述</w:t>
      </w:r>
      <w:r>
        <w:rPr>
          <w:rFonts w:hint="eastAsia" w:ascii="宋体" w:hAnsi="宋体" w:eastAsia="宋体" w:cs="宋体"/>
          <w:bCs/>
          <w:color w:val="auto"/>
          <w:sz w:val="24"/>
          <w:szCs w:val="24"/>
          <w:highlight w:val="none"/>
        </w:rPr>
        <w:t>情形之一的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依照政府采购法等有关法律、行政法规追究法律责任</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被取消入围资格或者被解除协议的供应商不得参加同一封闭式框架协议补充征集。</w:t>
      </w:r>
    </w:p>
    <w:p w14:paraId="4D448056">
      <w:pPr>
        <w:widowControl/>
        <w:spacing w:before="0" w:beforeAutospacing="0" w:after="0" w:afterAutospacing="0" w:line="360" w:lineRule="auto"/>
        <w:ind w:firstLine="42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（二）入围供应商补充规则</w:t>
      </w:r>
    </w:p>
    <w:p w14:paraId="5781EA60">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1、剩余入围供应商不足入围供应商总数70%且影响框架协议执行的情形时，框架协议有效期内，甲方可以补充征集供应商最多至初次征集入围供应商的总数。</w:t>
      </w:r>
    </w:p>
    <w:p w14:paraId="3A5542CC">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2、甲方补充征集供应商的，补充征集方法为：补充征集的条件、程序、评审方法和淘汰比例应当与初次征集相同。补充征集应当遵守原框架协议的有效期。补充征集期间，原框架协议继续履行。</w:t>
      </w:r>
    </w:p>
    <w:p w14:paraId="1E19E4EE">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七、采购合同文本</w:t>
      </w:r>
    </w:p>
    <w:p w14:paraId="16B6C919">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详见《</w:t>
      </w:r>
      <w:r>
        <w:rPr>
          <w:rFonts w:hint="eastAsia" w:ascii="宋体" w:hAnsi="宋体" w:eastAsia="宋体" w:cs="宋体"/>
          <w:b/>
          <w:bCs/>
          <w:color w:val="auto"/>
          <w:sz w:val="24"/>
          <w:szCs w:val="24"/>
          <w:highlight w:val="none"/>
          <w:lang w:val="en-US" w:eastAsia="zh-CN" w:bidi="ar-SA"/>
        </w:rPr>
        <w:t>南京市江宁区司法局律师法律服务项目采购合同</w:t>
      </w:r>
      <w:r>
        <w:rPr>
          <w:rFonts w:hint="eastAsia" w:ascii="宋体" w:hAnsi="宋体" w:eastAsia="宋体" w:cs="宋体"/>
          <w:color w:val="auto"/>
          <w:sz w:val="24"/>
          <w:szCs w:val="24"/>
          <w:highlight w:val="none"/>
          <w:lang w:val="en-US" w:eastAsia="zh-CN" w:bidi="ar-SA"/>
        </w:rPr>
        <w:t>》</w:t>
      </w:r>
    </w:p>
    <w:p w14:paraId="07734580">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八、甲乙双方的权利和义务</w:t>
      </w:r>
    </w:p>
    <w:p w14:paraId="66CE305E">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8.1 甲方的权利</w:t>
      </w:r>
    </w:p>
    <w:p w14:paraId="3A54CB3A">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（1）甲方有权要求乙方提供真实、详细的公司资信材料及符合要求的服务。</w:t>
      </w:r>
    </w:p>
    <w:p w14:paraId="3EF51C16">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（2）甲方有权要求乙方独立提供服务，不得将甲方所委托服务转包第三方。</w:t>
      </w:r>
    </w:p>
    <w:p w14:paraId="2AAD6DB7">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zh-CN" w:eastAsia="zh-CN" w:bidi="ar-SA"/>
        </w:rPr>
        <w:t>乙方如在提供服务过程中出现问题，致使采购结果不符合合同内容的，或因泄露秘密或业务资料，给甲方造成损害，甲方有权取消入围供应商的资格，并要求乙方承担与自身过错相适宜的</w:t>
      </w:r>
      <w:r>
        <w:rPr>
          <w:rFonts w:hint="eastAsia" w:ascii="宋体" w:hAnsi="宋体" w:eastAsia="宋体" w:cs="宋体"/>
          <w:color w:val="auto"/>
          <w:sz w:val="24"/>
          <w:szCs w:val="24"/>
          <w:highlight w:val="none"/>
          <w:lang w:val="en-US" w:eastAsia="zh-CN" w:bidi="ar-SA"/>
        </w:rPr>
        <w:t>法律</w:t>
      </w:r>
      <w:r>
        <w:rPr>
          <w:rFonts w:hint="eastAsia" w:ascii="宋体" w:hAnsi="宋体" w:eastAsia="宋体" w:cs="宋体"/>
          <w:color w:val="auto"/>
          <w:sz w:val="24"/>
          <w:szCs w:val="24"/>
          <w:highlight w:val="none"/>
          <w:lang w:val="zh-CN" w:eastAsia="zh-CN" w:bidi="ar-SA"/>
        </w:rPr>
        <w:t>责任。</w:t>
      </w:r>
    </w:p>
    <w:p w14:paraId="3346682F">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CN" w:eastAsia="zh-CN" w:bidi="ar-SA"/>
        </w:rPr>
        <w:t>协议有效期内，因甲方政策或实际情况发生变化，</w:t>
      </w:r>
      <w:r>
        <w:rPr>
          <w:rFonts w:hint="eastAsia" w:ascii="宋体" w:hAnsi="宋体" w:eastAsia="宋体" w:cs="宋体"/>
          <w:color w:val="auto"/>
          <w:sz w:val="24"/>
          <w:szCs w:val="24"/>
          <w:highlight w:val="none"/>
          <w:lang w:val="en-US" w:eastAsia="zh-CN" w:bidi="ar-SA"/>
        </w:rPr>
        <w:t xml:space="preserve">甲方有权利单方面暂停或者解除本协议，并不承担乙方由此产生的各项费用或成本。   </w:t>
      </w:r>
    </w:p>
    <w:p w14:paraId="0800F736">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（5）甲方有义务在乙方接受具体采购项目后，及时与乙方沟通，交流意见，并向乙方提供明确、清晰的采购需求。</w:t>
      </w:r>
    </w:p>
    <w:p w14:paraId="557258B0">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（6）履行合同中规定的其他的甲方权利与义务。</w:t>
      </w:r>
    </w:p>
    <w:p w14:paraId="3AE468E2">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8.2 甲方的义务</w:t>
      </w:r>
    </w:p>
    <w:p w14:paraId="5226901F">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（1）为第二阶段签署《南京市江宁区司法局律师法律服务项目采购合同》提供工作便利。</w:t>
      </w:r>
    </w:p>
    <w:p w14:paraId="3DDB7BCA">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（2）对第二阶段确定成交供应商情况进行管理。</w:t>
      </w:r>
    </w:p>
    <w:p w14:paraId="283220A1">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（3）公开封闭式框架协议的第二阶段成交结果。</w:t>
      </w:r>
    </w:p>
    <w:p w14:paraId="3194D694">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（4）办理入围供应商清退和补充相关事宜。</w:t>
      </w:r>
    </w:p>
    <w:p w14:paraId="50074442">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（5）建立真实完整的框架协议采购档案，妥善保存每项采购活动的采购文件资料。</w:t>
      </w:r>
    </w:p>
    <w:p w14:paraId="14679472">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8.3 乙方的权利</w:t>
      </w:r>
    </w:p>
    <w:p w14:paraId="75256805">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（1）乙方具有为甲方服务及提供相关服务的资格。</w:t>
      </w:r>
    </w:p>
    <w:p w14:paraId="3AB90AFE">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（2）乙方有权拒绝甲方提出的以本次框架协议采购名义购买非入围服务超出响应承诺以外的其他要求。</w:t>
      </w:r>
    </w:p>
    <w:p w14:paraId="7966EE4F">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（3）对甲方在购买入围服务过程中的不正当要求和违规行为进行投诉，并要求有关部门做出处理。</w:t>
      </w:r>
    </w:p>
    <w:p w14:paraId="19FDEB2A">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（4）有权拒绝任何个人以甲方名义按照协议价格购买入围服务和进行现金交易。</w:t>
      </w:r>
    </w:p>
    <w:p w14:paraId="03AE8201">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8.4 乙方的义务</w:t>
      </w:r>
    </w:p>
    <w:p w14:paraId="7CBA1FDC">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（1）严格执行国家法律法规，严格按照响应文件承诺服务履约，遵守本合同条款。</w:t>
      </w:r>
    </w:p>
    <w:p w14:paraId="349B43FE">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（2）随时接受并配合甲方的监督检查，并配合财政部门对甲方和其他入围供应商对框架协议执行情况进行监督，发现违规违约情形的，及时向财政部门报告。</w:t>
      </w:r>
    </w:p>
    <w:p w14:paraId="0344D09A">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九、税费</w:t>
      </w:r>
    </w:p>
    <w:p w14:paraId="51032215">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9.1本框架协议执行中如产生相关税费，由乙方负担。</w:t>
      </w:r>
    </w:p>
    <w:p w14:paraId="1094EA75">
      <w:pPr>
        <w:widowControl/>
        <w:spacing w:before="0" w:beforeAutospacing="0" w:after="0" w:afterAutospacing="0" w:line="360" w:lineRule="auto"/>
        <w:ind w:firstLine="422"/>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十、框架协议文本的生效及其它</w:t>
      </w:r>
    </w:p>
    <w:p w14:paraId="7722A2D9">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10.1 本框架协议文本经甲乙双方法定（授权）代表人签署并加盖单位公章后生效。</w:t>
      </w:r>
    </w:p>
    <w:p w14:paraId="1DF2E507">
      <w:pPr>
        <w:widowControl/>
        <w:spacing w:before="0" w:beforeAutospacing="0" w:after="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10.2 本框架协议文本未尽事宜，遵照《民法典》有关条文执行。</w:t>
      </w:r>
    </w:p>
    <w:p w14:paraId="769A88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本框架协议一式</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份，具有同等法律效力，甲乙双方各执</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份，采购代理机构执一份，另外</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 xml:space="preserve">份由甲方报财政管理部门备案。 </w:t>
      </w:r>
      <w:bookmarkEnd w:id="169"/>
      <w:bookmarkEnd w:id="170"/>
      <w:bookmarkEnd w:id="171"/>
    </w:p>
    <w:p w14:paraId="5BA6B61A">
      <w:pPr>
        <w:widowControl w:val="0"/>
        <w:spacing w:after="120" w:line="360" w:lineRule="auto"/>
        <w:ind w:left="42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以下无正文</w:t>
      </w:r>
    </w:p>
    <w:p w14:paraId="5B254F3E">
      <w:pPr>
        <w:widowControl w:val="0"/>
        <w:spacing w:after="120" w:line="360" w:lineRule="auto"/>
        <w:ind w:left="420" w:firstLine="420"/>
        <w:jc w:val="both"/>
        <w:rPr>
          <w:rFonts w:hint="eastAsia" w:ascii="宋体" w:hAnsi="宋体" w:eastAsia="宋体" w:cs="宋体"/>
          <w:color w:val="auto"/>
          <w:sz w:val="24"/>
          <w:szCs w:val="24"/>
          <w:highlight w:val="none"/>
          <w:lang w:val="en-US" w:eastAsia="zh-CN" w:bidi="ar-SA"/>
        </w:rPr>
      </w:pPr>
    </w:p>
    <w:p w14:paraId="0DE808DB">
      <w:pPr>
        <w:widowControl w:val="0"/>
        <w:spacing w:after="120" w:line="360" w:lineRule="auto"/>
        <w:ind w:left="420" w:firstLine="420"/>
        <w:jc w:val="both"/>
        <w:rPr>
          <w:rFonts w:hint="eastAsia" w:ascii="宋体" w:hAnsi="宋体" w:eastAsia="宋体" w:cs="宋体"/>
          <w:color w:val="auto"/>
          <w:sz w:val="24"/>
          <w:szCs w:val="24"/>
          <w:highlight w:val="none"/>
          <w:lang w:val="en-US" w:eastAsia="zh-CN" w:bidi="ar-SA"/>
        </w:rPr>
      </w:pPr>
    </w:p>
    <w:p w14:paraId="3AC8428C">
      <w:pPr>
        <w:widowControl w:val="0"/>
        <w:spacing w:after="120" w:line="360" w:lineRule="auto"/>
        <w:ind w:left="420" w:firstLine="420"/>
        <w:jc w:val="both"/>
        <w:rPr>
          <w:rFonts w:hint="default" w:ascii="宋体" w:hAnsi="宋体" w:eastAsia="宋体" w:cs="宋体"/>
          <w:color w:val="auto"/>
          <w:sz w:val="24"/>
          <w:szCs w:val="24"/>
          <w:highlight w:val="none"/>
          <w:lang w:val="en-US" w:eastAsia="zh-CN" w:bidi="ar-SA"/>
        </w:rPr>
      </w:pPr>
    </w:p>
    <w:tbl>
      <w:tblPr>
        <w:tblStyle w:val="10"/>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56"/>
        <w:gridCol w:w="4304"/>
      </w:tblGrid>
      <w:tr w14:paraId="64B8C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4756" w:type="dxa"/>
            <w:noWrap w:val="0"/>
          </w:tcPr>
          <w:p w14:paraId="02F42288">
            <w:pPr>
              <w:spacing w:after="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南京市江宁区司法局</w:t>
            </w:r>
            <w:r>
              <w:rPr>
                <w:rFonts w:hint="eastAsia" w:ascii="宋体" w:hAnsi="宋体" w:eastAsia="宋体" w:cs="宋体"/>
                <w:color w:val="auto"/>
                <w:sz w:val="24"/>
                <w:szCs w:val="24"/>
                <w:highlight w:val="none"/>
              </w:rPr>
              <w:t>（盖章）</w:t>
            </w:r>
          </w:p>
        </w:tc>
        <w:tc>
          <w:tcPr>
            <w:tcW w:w="4304" w:type="dxa"/>
            <w:noWrap w:val="0"/>
          </w:tcPr>
          <w:p w14:paraId="3168EDCE">
            <w:pPr>
              <w:spacing w:after="0" w:line="360" w:lineRule="auto"/>
              <w:jc w:val="left"/>
              <w:rPr>
                <w:rFonts w:hint="eastAsia" w:ascii="宋体" w:hAnsi="宋体" w:eastAsia="宋体" w:cs="宋体"/>
                <w:color w:val="auto"/>
                <w:sz w:val="24"/>
                <w:szCs w:val="24"/>
                <w:highlight w:val="none"/>
              </w:rPr>
            </w:pPr>
          </w:p>
        </w:tc>
      </w:tr>
      <w:tr w14:paraId="25B6D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4756" w:type="dxa"/>
            <w:noWrap w:val="0"/>
          </w:tcPr>
          <w:p w14:paraId="5A966D9A">
            <w:pPr>
              <w:spacing w:after="0" w:line="59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地址：江宁区金箔路776号</w:t>
            </w:r>
          </w:p>
        </w:tc>
        <w:tc>
          <w:tcPr>
            <w:tcW w:w="4304" w:type="dxa"/>
            <w:noWrap w:val="0"/>
          </w:tcPr>
          <w:p w14:paraId="60D89CC4">
            <w:pPr>
              <w:spacing w:after="0" w:line="590" w:lineRule="exact"/>
              <w:jc w:val="left"/>
              <w:rPr>
                <w:rFonts w:hint="eastAsia" w:ascii="宋体" w:hAnsi="宋体" w:eastAsia="宋体" w:cs="宋体"/>
                <w:color w:val="auto"/>
                <w:sz w:val="24"/>
                <w:szCs w:val="24"/>
                <w:highlight w:val="none"/>
              </w:rPr>
            </w:pPr>
          </w:p>
        </w:tc>
      </w:tr>
      <w:tr w14:paraId="1B102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56" w:type="dxa"/>
            <w:noWrap w:val="0"/>
          </w:tcPr>
          <w:p w14:paraId="1980D12E">
            <w:pPr>
              <w:spacing w:after="0" w:line="59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法定（授权）代表人：</w:t>
            </w:r>
          </w:p>
        </w:tc>
        <w:tc>
          <w:tcPr>
            <w:tcW w:w="4304" w:type="dxa"/>
            <w:noWrap w:val="0"/>
          </w:tcPr>
          <w:p w14:paraId="578DC641">
            <w:pPr>
              <w:spacing w:after="0" w:line="590" w:lineRule="exact"/>
              <w:jc w:val="left"/>
              <w:rPr>
                <w:rFonts w:hint="eastAsia" w:ascii="宋体" w:hAnsi="宋体" w:eastAsia="宋体" w:cs="宋体"/>
                <w:color w:val="auto"/>
                <w:sz w:val="24"/>
                <w:szCs w:val="24"/>
                <w:highlight w:val="none"/>
              </w:rPr>
            </w:pPr>
          </w:p>
        </w:tc>
      </w:tr>
      <w:tr w14:paraId="65EE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tcPr>
          <w:p w14:paraId="07FC8342">
            <w:pPr>
              <w:spacing w:after="0" w:line="59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联系电话：025-51197969</w:t>
            </w:r>
          </w:p>
        </w:tc>
        <w:tc>
          <w:tcPr>
            <w:tcW w:w="4304" w:type="dxa"/>
            <w:noWrap w:val="0"/>
          </w:tcPr>
          <w:p w14:paraId="7EB45BCA">
            <w:pPr>
              <w:spacing w:after="0" w:line="590" w:lineRule="exact"/>
              <w:rPr>
                <w:rFonts w:hint="eastAsia" w:ascii="宋体" w:hAnsi="宋体" w:eastAsia="宋体" w:cs="宋体"/>
                <w:color w:val="auto"/>
                <w:sz w:val="24"/>
                <w:szCs w:val="24"/>
                <w:highlight w:val="none"/>
              </w:rPr>
            </w:pPr>
          </w:p>
        </w:tc>
      </w:tr>
      <w:tr w14:paraId="22BB2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tcPr>
          <w:p w14:paraId="15C23F78">
            <w:pPr>
              <w:spacing w:after="0" w:line="590" w:lineRule="exact"/>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c>
          <w:tcPr>
            <w:tcW w:w="4304" w:type="dxa"/>
            <w:noWrap w:val="0"/>
          </w:tcPr>
          <w:p w14:paraId="718902BF">
            <w:pPr>
              <w:spacing w:after="0" w:line="590" w:lineRule="exact"/>
              <w:jc w:val="left"/>
              <w:rPr>
                <w:rFonts w:hint="eastAsia" w:ascii="宋体" w:hAnsi="宋体" w:eastAsia="宋体" w:cs="宋体"/>
                <w:color w:val="auto"/>
                <w:sz w:val="24"/>
                <w:szCs w:val="24"/>
                <w:highlight w:val="none"/>
                <w:lang w:eastAsia="zh-CN"/>
              </w:rPr>
            </w:pPr>
          </w:p>
        </w:tc>
      </w:tr>
      <w:tr w14:paraId="13E16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vAlign w:val="top"/>
          </w:tcPr>
          <w:p w14:paraId="01BCC8D4">
            <w:pPr>
              <w:spacing w:after="0" w:line="480" w:lineRule="auto"/>
              <w:jc w:val="left"/>
              <w:rPr>
                <w:rFonts w:hint="eastAsia" w:ascii="宋体" w:hAnsi="宋体" w:eastAsia="宋体" w:cs="宋体"/>
                <w:color w:val="auto"/>
                <w:sz w:val="24"/>
                <w:szCs w:val="24"/>
                <w:highlight w:val="none"/>
              </w:rPr>
            </w:pPr>
          </w:p>
          <w:p w14:paraId="4898F7B0">
            <w:pPr>
              <w:spacing w:after="0" w:line="48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（盖章） </w:t>
            </w:r>
          </w:p>
        </w:tc>
        <w:tc>
          <w:tcPr>
            <w:tcW w:w="4304" w:type="dxa"/>
            <w:noWrap w:val="0"/>
          </w:tcPr>
          <w:p w14:paraId="73170D54">
            <w:pPr>
              <w:spacing w:after="0" w:line="590" w:lineRule="exact"/>
              <w:jc w:val="left"/>
              <w:rPr>
                <w:rFonts w:hint="eastAsia" w:ascii="宋体" w:hAnsi="宋体" w:eastAsia="宋体" w:cs="宋体"/>
                <w:color w:val="auto"/>
                <w:sz w:val="24"/>
                <w:szCs w:val="24"/>
                <w:highlight w:val="none"/>
              </w:rPr>
            </w:pPr>
          </w:p>
        </w:tc>
      </w:tr>
      <w:tr w14:paraId="369C3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4756" w:type="dxa"/>
            <w:noWrap w:val="0"/>
            <w:vAlign w:val="top"/>
          </w:tcPr>
          <w:p w14:paraId="6EE6E25D">
            <w:pPr>
              <w:spacing w:after="0" w:line="48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p>
        </w:tc>
        <w:tc>
          <w:tcPr>
            <w:tcW w:w="4304" w:type="dxa"/>
            <w:noWrap w:val="0"/>
            <w:vAlign w:val="top"/>
          </w:tcPr>
          <w:p w14:paraId="35AE72BC">
            <w:pPr>
              <w:spacing w:after="0" w:line="590" w:lineRule="exact"/>
              <w:jc w:val="left"/>
              <w:rPr>
                <w:rFonts w:hint="eastAsia" w:ascii="宋体" w:hAnsi="宋体" w:eastAsia="宋体" w:cs="宋体"/>
                <w:color w:val="auto"/>
                <w:sz w:val="24"/>
                <w:szCs w:val="24"/>
                <w:highlight w:val="none"/>
              </w:rPr>
            </w:pPr>
          </w:p>
        </w:tc>
      </w:tr>
      <w:tr w14:paraId="60E4E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vAlign w:val="top"/>
          </w:tcPr>
          <w:p w14:paraId="6F5F0731">
            <w:pPr>
              <w:spacing w:after="0" w:line="48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法定（授权）代表人：</w:t>
            </w:r>
          </w:p>
        </w:tc>
        <w:tc>
          <w:tcPr>
            <w:tcW w:w="4304" w:type="dxa"/>
            <w:noWrap w:val="0"/>
            <w:vAlign w:val="top"/>
          </w:tcPr>
          <w:p w14:paraId="197A3ECC">
            <w:pPr>
              <w:spacing w:after="0" w:line="590" w:lineRule="exact"/>
              <w:jc w:val="left"/>
              <w:rPr>
                <w:rFonts w:hint="eastAsia" w:ascii="宋体" w:hAnsi="宋体" w:eastAsia="宋体" w:cs="宋体"/>
                <w:color w:val="auto"/>
                <w:sz w:val="24"/>
                <w:szCs w:val="24"/>
                <w:highlight w:val="none"/>
              </w:rPr>
            </w:pPr>
          </w:p>
        </w:tc>
      </w:tr>
      <w:tr w14:paraId="1F367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vAlign w:val="top"/>
          </w:tcPr>
          <w:p w14:paraId="76B6D02E">
            <w:pPr>
              <w:spacing w:after="0" w:line="48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户名：</w:t>
            </w:r>
          </w:p>
        </w:tc>
        <w:tc>
          <w:tcPr>
            <w:tcW w:w="4304" w:type="dxa"/>
            <w:noWrap w:val="0"/>
            <w:vAlign w:val="top"/>
          </w:tcPr>
          <w:p w14:paraId="2A2125C5">
            <w:pPr>
              <w:spacing w:after="0" w:line="590" w:lineRule="exact"/>
              <w:ind w:firstLine="1671" w:firstLineChars="0"/>
              <w:jc w:val="right"/>
              <w:rPr>
                <w:rFonts w:hint="eastAsia" w:ascii="宋体" w:hAnsi="宋体" w:eastAsia="宋体" w:cs="宋体"/>
                <w:color w:val="auto"/>
                <w:sz w:val="24"/>
                <w:szCs w:val="24"/>
                <w:highlight w:val="none"/>
                <w:lang w:val="en-US" w:eastAsia="zh-CN" w:bidi="ar-SA"/>
              </w:rPr>
            </w:pPr>
          </w:p>
        </w:tc>
      </w:tr>
      <w:tr w14:paraId="2E16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 w:hRule="atLeast"/>
          <w:jc w:val="center"/>
        </w:trPr>
        <w:tc>
          <w:tcPr>
            <w:tcW w:w="4756" w:type="dxa"/>
            <w:noWrap w:val="0"/>
            <w:vAlign w:val="top"/>
          </w:tcPr>
          <w:p w14:paraId="5DD5814C">
            <w:pPr>
              <w:spacing w:after="0" w:line="48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eastAsia="zh-CN"/>
              </w:rPr>
              <w:t>：</w:t>
            </w:r>
          </w:p>
          <w:p w14:paraId="4C67BB14">
            <w:pPr>
              <w:widowControl w:val="0"/>
              <w:spacing w:after="120" w:line="480" w:lineRule="auto"/>
              <w:ind w:left="0" w:leftChars="0" w:firstLine="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p>
        </w:tc>
        <w:tc>
          <w:tcPr>
            <w:tcW w:w="4304" w:type="dxa"/>
            <w:noWrap w:val="0"/>
            <w:vAlign w:val="top"/>
          </w:tcPr>
          <w:p w14:paraId="6BC8754E">
            <w:pPr>
              <w:spacing w:after="0" w:line="590" w:lineRule="exact"/>
              <w:ind w:firstLine="1671" w:firstLineChars="0"/>
              <w:jc w:val="right"/>
              <w:rPr>
                <w:rFonts w:hint="eastAsia" w:ascii="宋体" w:hAnsi="宋体" w:eastAsia="宋体" w:cs="宋体"/>
                <w:color w:val="auto"/>
                <w:sz w:val="24"/>
                <w:szCs w:val="24"/>
                <w:highlight w:val="none"/>
              </w:rPr>
            </w:pPr>
          </w:p>
        </w:tc>
      </w:tr>
    </w:tbl>
    <w:p w14:paraId="1A0D53B8">
      <w:pPr>
        <w:spacing w:line="276" w:lineRule="auto"/>
        <w:ind w:left="560"/>
        <w:jc w:val="center"/>
        <w:rPr>
          <w:rFonts w:ascii="宋体" w:hAnsi="宋体" w:eastAsia="Calibri" w:cs="宋体"/>
          <w:color w:val="auto"/>
          <w:sz w:val="24"/>
          <w:szCs w:val="24"/>
          <w:highlight w:val="none"/>
          <w:lang w:val="zh-CN"/>
        </w:rPr>
      </w:pPr>
    </w:p>
    <w:p w14:paraId="53260357">
      <w:pPr>
        <w:rPr>
          <w:rFonts w:hint="eastAsia" w:hAnsi="宋体"/>
          <w:color w:val="auto"/>
          <w:sz w:val="24"/>
          <w:szCs w:val="24"/>
          <w:highlight w:val="none"/>
        </w:rPr>
      </w:pPr>
      <w:r>
        <w:rPr>
          <w:rFonts w:hint="eastAsia" w:hAnsi="宋体"/>
          <w:color w:val="auto"/>
          <w:sz w:val="24"/>
          <w:szCs w:val="24"/>
          <w:highlight w:val="none"/>
        </w:rPr>
        <w:br w:type="page"/>
      </w:r>
    </w:p>
    <w:p w14:paraId="287087A9">
      <w:pPr>
        <w:spacing w:before="0" w:after="0" w:line="240" w:lineRule="auto"/>
        <w:jc w:val="center"/>
        <w:outlineLvl w:val="9"/>
        <w:rPr>
          <w:rFonts w:hint="eastAsia" w:ascii="宋体" w:hAnsi="宋体" w:eastAsia="宋体" w:cs="宋体"/>
          <w:b/>
          <w:bCs/>
          <w:color w:val="auto"/>
          <w:kern w:val="2"/>
          <w:sz w:val="32"/>
          <w:szCs w:val="32"/>
          <w:highlight w:val="none"/>
          <w14:ligatures w14:val="none"/>
        </w:rPr>
      </w:pPr>
      <w:r>
        <w:rPr>
          <w:rFonts w:hint="eastAsia" w:ascii="宋体" w:hAnsi="宋体" w:eastAsia="宋体" w:cs="宋体"/>
          <w:b/>
          <w:bCs/>
          <w:color w:val="auto"/>
          <w:kern w:val="2"/>
          <w:sz w:val="32"/>
          <w:szCs w:val="32"/>
          <w:highlight w:val="none"/>
          <w14:ligatures w14:val="none"/>
        </w:rPr>
        <w:t>南京市江宁区司法局</w:t>
      </w:r>
      <w:r>
        <w:rPr>
          <w:rFonts w:hint="eastAsia" w:ascii="宋体" w:hAnsi="宋体" w:eastAsia="宋体" w:cs="宋体"/>
          <w:b/>
          <w:bCs/>
          <w:color w:val="auto"/>
          <w:kern w:val="2"/>
          <w:sz w:val="32"/>
          <w:szCs w:val="32"/>
          <w:highlight w:val="none"/>
          <w:lang w:val="en-US" w:eastAsia="zh-CN"/>
          <w14:ligatures w14:val="none"/>
        </w:rPr>
        <w:t>律师法律服务</w:t>
      </w:r>
      <w:r>
        <w:rPr>
          <w:rFonts w:hint="eastAsia" w:ascii="宋体" w:hAnsi="宋体" w:eastAsia="宋体" w:cs="宋体"/>
          <w:b/>
          <w:bCs/>
          <w:color w:val="auto"/>
          <w:kern w:val="2"/>
          <w:sz w:val="32"/>
          <w:szCs w:val="32"/>
          <w:highlight w:val="none"/>
          <w14:ligatures w14:val="none"/>
        </w:rPr>
        <w:t>项目采购合同</w:t>
      </w:r>
    </w:p>
    <w:p w14:paraId="633F1FBD">
      <w:pPr>
        <w:widowControl w:val="0"/>
        <w:spacing w:after="120" w:line="360" w:lineRule="auto"/>
        <w:ind w:left="420" w:firstLine="420"/>
        <w:jc w:val="center"/>
        <w:rPr>
          <w:rFonts w:hint="eastAsia" w:ascii="宋体" w:hAnsi="宋体" w:eastAsia="宋体" w:cs="宋体"/>
          <w:color w:val="auto"/>
          <w:kern w:val="2"/>
          <w:sz w:val="24"/>
          <w:szCs w:val="24"/>
          <w:highlight w:val="none"/>
          <w14:ligatures w14:val="none"/>
        </w:rPr>
      </w:pPr>
      <w:r>
        <w:rPr>
          <w:rFonts w:hint="eastAsia" w:ascii="宋体" w:hAnsi="宋体" w:eastAsia="宋体" w:cs="宋体"/>
          <w:b/>
          <w:bCs/>
          <w:color w:val="auto"/>
          <w:kern w:val="2"/>
          <w:sz w:val="24"/>
          <w:szCs w:val="24"/>
          <w:highlight w:val="none"/>
          <w:lang w:val="en-US" w:eastAsia="zh-CN" w:bidi="ar-SA"/>
          <w14:ligatures w14:val="none"/>
        </w:rPr>
        <w:t>（行政复议应诉）</w:t>
      </w:r>
    </w:p>
    <w:p w14:paraId="54B58FCA">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lang w:eastAsia="zh-CN"/>
          <w14:ligatures w14:val="none"/>
        </w:rPr>
      </w:pPr>
      <w:r>
        <w:rPr>
          <w:rFonts w:hint="eastAsia" w:ascii="宋体" w:hAnsi="宋体" w:eastAsia="宋体" w:cs="宋体"/>
          <w:color w:val="auto"/>
          <w:kern w:val="2"/>
          <w:sz w:val="24"/>
          <w:szCs w:val="24"/>
          <w:highlight w:val="none"/>
          <w14:ligatures w14:val="none"/>
        </w:rPr>
        <w:t>甲方：</w:t>
      </w:r>
      <w:r>
        <w:rPr>
          <w:rFonts w:hint="eastAsia" w:ascii="宋体" w:hAnsi="宋体" w:eastAsia="宋体" w:cs="宋体"/>
          <w:color w:val="auto"/>
          <w:kern w:val="2"/>
          <w:sz w:val="24"/>
          <w:szCs w:val="24"/>
          <w:highlight w:val="none"/>
          <w:lang w:eastAsia="zh-CN"/>
          <w14:ligatures w14:val="none"/>
        </w:rPr>
        <w:t>南京市江宁区司法局</w:t>
      </w:r>
    </w:p>
    <w:p w14:paraId="4B2D998A">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14:ligatures w14:val="none"/>
        </w:rPr>
      </w:pPr>
      <w:r>
        <w:rPr>
          <w:rFonts w:hint="eastAsia" w:ascii="宋体" w:hAnsi="宋体" w:eastAsia="宋体" w:cs="宋体"/>
          <w:color w:val="auto"/>
          <w:kern w:val="2"/>
          <w:sz w:val="24"/>
          <w:szCs w:val="24"/>
          <w:highlight w:val="none"/>
          <w14:ligatures w14:val="none"/>
        </w:rPr>
        <w:t>乙方：</w:t>
      </w:r>
    </w:p>
    <w:p w14:paraId="11A67068">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14:ligatures w14:val="none"/>
        </w:rPr>
      </w:pPr>
      <w:r>
        <w:rPr>
          <w:rFonts w:hint="eastAsia" w:ascii="宋体" w:hAnsi="宋体" w:eastAsia="宋体" w:cs="宋体"/>
          <w:color w:val="auto"/>
          <w:kern w:val="2"/>
          <w:sz w:val="24"/>
          <w:szCs w:val="24"/>
          <w:highlight w:val="none"/>
          <w14:ligatures w14:val="none"/>
        </w:rPr>
        <w:t>为满足人民群众日益增长的法律服务需求，全面提升</w:t>
      </w:r>
      <w:r>
        <w:rPr>
          <w:rFonts w:hint="eastAsia" w:ascii="宋体" w:hAnsi="宋体" w:eastAsia="宋体" w:cs="宋体"/>
          <w:color w:val="auto"/>
          <w:kern w:val="2"/>
          <w:sz w:val="24"/>
          <w:szCs w:val="24"/>
          <w:highlight w:val="none"/>
          <w:lang w:eastAsia="zh-CN"/>
          <w14:ligatures w14:val="none"/>
        </w:rPr>
        <w:t>甲方</w:t>
      </w:r>
      <w:r>
        <w:rPr>
          <w:rFonts w:hint="eastAsia" w:ascii="宋体" w:hAnsi="宋体" w:eastAsia="宋体" w:cs="宋体"/>
          <w:color w:val="auto"/>
          <w:kern w:val="2"/>
          <w:sz w:val="24"/>
          <w:szCs w:val="24"/>
          <w:highlight w:val="none"/>
          <w:lang w:val="en-US" w:eastAsia="zh-CN"/>
          <w14:ligatures w14:val="none"/>
        </w:rPr>
        <w:t>行政复议应诉</w:t>
      </w:r>
      <w:r>
        <w:rPr>
          <w:rFonts w:hint="eastAsia" w:ascii="宋体" w:hAnsi="宋体" w:eastAsia="宋体" w:cs="宋体"/>
          <w:color w:val="auto"/>
          <w:kern w:val="2"/>
          <w:sz w:val="24"/>
          <w:szCs w:val="24"/>
          <w:highlight w:val="none"/>
          <w14:ligatures w14:val="none"/>
        </w:rPr>
        <w:t>能力，推动我区</w:t>
      </w:r>
      <w:r>
        <w:rPr>
          <w:rFonts w:hint="eastAsia" w:ascii="宋体" w:hAnsi="宋体" w:eastAsia="宋体" w:cs="宋体"/>
          <w:color w:val="auto"/>
          <w:kern w:val="2"/>
          <w:sz w:val="24"/>
          <w:szCs w:val="24"/>
          <w:highlight w:val="none"/>
          <w:lang w:val="en-US" w:eastAsia="zh-CN"/>
          <w14:ligatures w14:val="none"/>
        </w:rPr>
        <w:t>行政复议应诉</w:t>
      </w:r>
      <w:r>
        <w:rPr>
          <w:rFonts w:hint="eastAsia" w:ascii="宋体" w:hAnsi="宋体" w:eastAsia="宋体" w:cs="宋体"/>
          <w:color w:val="auto"/>
          <w:kern w:val="2"/>
          <w:sz w:val="24"/>
          <w:szCs w:val="24"/>
          <w:highlight w:val="none"/>
          <w14:ligatures w14:val="none"/>
        </w:rPr>
        <w:t>工作高质量发展，经</w:t>
      </w:r>
      <w:r>
        <w:rPr>
          <w:rFonts w:hint="eastAsia" w:ascii="宋体" w:hAnsi="宋体" w:eastAsia="宋体" w:cs="宋体"/>
          <w:color w:val="auto"/>
          <w:kern w:val="2"/>
          <w:sz w:val="24"/>
          <w:szCs w:val="24"/>
          <w:highlight w:val="none"/>
          <w:lang w:val="en-US" w:eastAsia="zh-CN"/>
          <w14:ligatures w14:val="none"/>
        </w:rPr>
        <w:t>甲乙双方</w:t>
      </w:r>
      <w:r>
        <w:rPr>
          <w:rFonts w:hint="eastAsia" w:ascii="宋体" w:hAnsi="宋体" w:eastAsia="宋体" w:cs="宋体"/>
          <w:color w:val="auto"/>
          <w:kern w:val="2"/>
          <w:sz w:val="24"/>
          <w:szCs w:val="24"/>
          <w:highlight w:val="none"/>
          <w14:ligatures w14:val="none"/>
        </w:rPr>
        <w:t>协商一致，签订如下协议</w:t>
      </w:r>
      <w:r>
        <w:rPr>
          <w:rFonts w:hint="eastAsia" w:ascii="宋体" w:hAnsi="宋体" w:eastAsia="宋体" w:cs="宋体"/>
          <w:color w:val="auto"/>
          <w:kern w:val="2"/>
          <w:sz w:val="24"/>
          <w:szCs w:val="24"/>
          <w:highlight w:val="none"/>
          <w:lang w:eastAsia="zh-CN"/>
          <w14:ligatures w14:val="none"/>
        </w:rPr>
        <w:t>：</w:t>
      </w:r>
    </w:p>
    <w:p w14:paraId="379EF6D1">
      <w:pPr>
        <w:keepNext w:val="0"/>
        <w:keepLines w:val="0"/>
        <w:pageBreakBefore w:val="0"/>
        <w:widowControl w:val="0"/>
        <w:spacing w:after="0" w:line="360" w:lineRule="auto"/>
        <w:ind w:left="0"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一、合同标的</w:t>
      </w:r>
    </w:p>
    <w:p w14:paraId="38596A0D">
      <w:pPr>
        <w:keepNext w:val="0"/>
        <w:keepLines w:val="0"/>
        <w:pageBreakBefore w:val="0"/>
        <w:widowControl w:val="0"/>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根据工作需要，采购法律服务，乙方派驻_______法律服务人员团队（填写负责人姓名）参与并协助法律服务工作。法律服务团队人员以签订本合同时为准，团队人数可以大于或等于投标文件承诺人数，乙方应当同时提供法律服务人员团队名册（含个人信息和擅长法律领域）。甲方依据名册建立法律服务律师库，甲方在律师库里指派法律服务律师（基层法律服务工作者）参与法律服务相关工作。</w:t>
      </w:r>
    </w:p>
    <w:p w14:paraId="59F4708A">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lang w:val="en-US" w:eastAsia="zh-CN" w:bidi="ar-SA"/>
          <w14:ligatures w14:val="none"/>
        </w:rPr>
        <w:t>二、</w:t>
      </w:r>
      <w:r>
        <w:rPr>
          <w:rFonts w:hint="eastAsia" w:ascii="宋体" w:hAnsi="宋体" w:eastAsia="宋体" w:cs="宋体"/>
          <w:color w:val="auto"/>
          <w:kern w:val="2"/>
          <w:sz w:val="24"/>
          <w:szCs w:val="24"/>
          <w:highlight w:val="none"/>
          <w:lang w:val="en-US" w:eastAsia="zh-CN" w:bidi="ar-SA"/>
          <w14:ligatures w14:val="none"/>
        </w:rPr>
        <w:t>合同价款：本项目投标报价优惠率</w:t>
      </w:r>
      <w:r>
        <w:rPr>
          <w:rFonts w:hint="eastAsia" w:ascii="宋体" w:hAnsi="宋体" w:eastAsia="宋体" w:cs="宋体"/>
          <w:color w:val="auto"/>
          <w:kern w:val="2"/>
          <w:sz w:val="24"/>
          <w:szCs w:val="24"/>
          <w:highlight w:val="none"/>
          <w:u w:val="single"/>
          <w:lang w:val="en-US" w:eastAsia="zh-CN" w:bidi="ar-SA"/>
          <w14:ligatures w14:val="none"/>
        </w:rPr>
        <w:t xml:space="preserve">       </w:t>
      </w:r>
      <w:r>
        <w:rPr>
          <w:rFonts w:hint="eastAsia" w:ascii="宋体" w:hAnsi="宋体" w:eastAsia="宋体" w:cs="宋体"/>
          <w:color w:val="auto"/>
          <w:kern w:val="2"/>
          <w:sz w:val="24"/>
          <w:szCs w:val="24"/>
          <w:highlight w:val="none"/>
          <w:u w:val="none"/>
          <w:lang w:val="en-US" w:eastAsia="zh-CN" w:bidi="ar-SA"/>
          <w14:ligatures w14:val="none"/>
        </w:rPr>
        <w:t>% ，优惠后本次合同金额</w:t>
      </w:r>
    </w:p>
    <w:p w14:paraId="03B2DF24">
      <w:pPr>
        <w:keepNext w:val="0"/>
        <w:keepLines w:val="0"/>
        <w:pageBreakBefore w:val="0"/>
        <w:widowControl w:val="0"/>
        <w:numPr>
          <w:ilvl w:val="-1"/>
          <w:numId w:val="0"/>
        </w:numPr>
        <w:spacing w:after="0" w:line="360" w:lineRule="auto"/>
        <w:ind w:firstLine="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cs="宋体"/>
          <w:color w:val="auto"/>
          <w:kern w:val="2"/>
          <w:sz w:val="24"/>
          <w:szCs w:val="24"/>
          <w:highlight w:val="none"/>
          <w:u w:val="none"/>
          <w:lang w:val="en-US" w:eastAsia="zh-CN" w:bidi="ar-SA"/>
          <w14:ligatures w14:val="none"/>
        </w:rPr>
        <w:t xml:space="preserve"> </w:t>
      </w:r>
      <w:r>
        <w:rPr>
          <w:rFonts w:hint="eastAsia" w:ascii="宋体" w:hAnsi="宋体" w:eastAsia="宋体" w:cs="宋体"/>
          <w:color w:val="auto"/>
          <w:kern w:val="2"/>
          <w:sz w:val="24"/>
          <w:szCs w:val="24"/>
          <w:highlight w:val="none"/>
          <w:u w:val="single"/>
          <w:lang w:val="en-US" w:eastAsia="zh-CN" w:bidi="ar-SA"/>
          <w14:ligatures w14:val="none"/>
        </w:rPr>
        <w:t xml:space="preserve">           </w:t>
      </w:r>
      <w:r>
        <w:rPr>
          <w:rFonts w:hint="eastAsia" w:ascii="宋体" w:hAnsi="宋体" w:eastAsia="宋体" w:cs="宋体"/>
          <w:color w:val="auto"/>
          <w:kern w:val="2"/>
          <w:sz w:val="24"/>
          <w:szCs w:val="24"/>
          <w:highlight w:val="none"/>
          <w:u w:val="none"/>
          <w:lang w:val="en-US" w:eastAsia="zh-CN" w:bidi="ar-SA"/>
          <w14:ligatures w14:val="none"/>
        </w:rPr>
        <w:t>元。具体见附件。</w:t>
      </w:r>
    </w:p>
    <w:p w14:paraId="54BE3068">
      <w:pPr>
        <w:keepNext w:val="0"/>
        <w:keepLines w:val="0"/>
        <w:pageBreakBefore w:val="0"/>
        <w:widowControl w:val="0"/>
        <w:numPr>
          <w:ilvl w:val="0"/>
          <w:numId w:val="0"/>
        </w:numPr>
        <w:spacing w:after="0" w:line="360" w:lineRule="auto"/>
        <w:ind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三、服务范围及要求</w:t>
      </w:r>
    </w:p>
    <w:p w14:paraId="1F0C5906">
      <w:pPr>
        <w:keepNext w:val="0"/>
        <w:keepLines w:val="0"/>
        <w:pageBreakBefore w:val="0"/>
        <w:widowControl w:val="0"/>
        <w:numPr>
          <w:ilvl w:val="0"/>
          <w:numId w:val="0"/>
        </w:numPr>
        <w:spacing w:after="0" w:line="360" w:lineRule="auto"/>
        <w:ind w:firstLine="240" w:firstLineChars="1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项目的服务范围，包含但不限于以下内容：入围供应商指派1名以上执业律师提供驻场服务，按照区行政复议中心指派，在指定窗口值班，接待法律咨询及案件材料接收；辅助办理行政复议案件、代理行政诉讼案件；完成交办的其他法律事务工作。</w:t>
      </w:r>
    </w:p>
    <w:p w14:paraId="14FF47D8">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1、窗口值班。在指定窗口值班，提供法律咨询和文书接收服务。</w:t>
      </w:r>
    </w:p>
    <w:p w14:paraId="3276EAEF">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辅助办理行政复议案件。接待当事人阅卷、依法听取意见、辅助办理调查和听证的事务性工作、协助开展行政争议调解化解、提供法律意见等。（派驻人员仅承担行政复议案件的辅助性、事务性工作，应当在行政复议员的直接指导和监督下开展工作，不独立办理案件，不独立调查取证、主持听证，不行使行政复议决定权。行政复议案件的审理、合议、决定等核心职能，由行政复议员依法履行。）</w:t>
      </w:r>
    </w:p>
    <w:p w14:paraId="63DA2F75">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3、代理行政诉讼案件。按照区行政复议中心指派，代理行政诉讼案件，依法参加行政诉讼案件答辩、庭审、协助参与调解等活动。</w:t>
      </w:r>
    </w:p>
    <w:p w14:paraId="46EC912E">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4、案卷管理。按有关规定，及时整理案件材料并移交行政复议中心。</w:t>
      </w:r>
    </w:p>
    <w:p w14:paraId="36077583">
      <w:pPr>
        <w:keepNext w:val="0"/>
        <w:keepLines w:val="0"/>
        <w:pageBreakBefore w:val="0"/>
        <w:widowControl w:val="0"/>
        <w:numPr>
          <w:ilvl w:val="0"/>
          <w:numId w:val="0"/>
        </w:numPr>
        <w:spacing w:after="0" w:line="360" w:lineRule="auto"/>
        <w:ind w:firstLine="482" w:firstLineChars="20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四、服务期限</w:t>
      </w:r>
    </w:p>
    <w:p w14:paraId="0E539B01">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本项目服务期限为一年。本协议自    年   月   日至    年   月   日止。</w:t>
      </w:r>
    </w:p>
    <w:p w14:paraId="3E5D7FB9">
      <w:pPr>
        <w:keepNext w:val="0"/>
        <w:keepLines w:val="0"/>
        <w:pageBreakBefore w:val="0"/>
        <w:widowControl w:val="0"/>
        <w:numPr>
          <w:ilvl w:val="0"/>
          <w:numId w:val="0"/>
        </w:numPr>
        <w:spacing w:after="0" w:line="360" w:lineRule="auto"/>
        <w:ind w:firstLine="482" w:firstLineChars="20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五、费用支付标准</w:t>
      </w:r>
    </w:p>
    <w:p w14:paraId="699B5A76">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kern w:val="2"/>
          <w:sz w:val="24"/>
          <w:szCs w:val="24"/>
          <w:lang w:val="en-US" w:eastAsia="zh-CN"/>
          <w14:ligatures w14:val="none"/>
        </w:rPr>
      </w:pPr>
      <w:r>
        <w:rPr>
          <w:rFonts w:hint="eastAsia" w:ascii="宋体" w:hAnsi="宋体" w:eastAsia="宋体" w:cs="宋体"/>
          <w:color w:val="auto"/>
          <w:kern w:val="2"/>
          <w:sz w:val="24"/>
          <w:szCs w:val="24"/>
          <w:highlight w:val="none"/>
          <w:lang w:val="en-US" w:eastAsia="zh-CN"/>
          <w14:ligatures w14:val="none"/>
        </w:rPr>
        <w:t>（一）费用核算标准：根据入围供应商统一的优惠率报价（例如10%），例如优惠率为10%，成交价格=最高限制单价*（1-10%）计算服务费。（优惠率四舍五入，保留至小数点后2位）。</w:t>
      </w:r>
    </w:p>
    <w:p w14:paraId="45FDF594">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（二）行政复议</w:t>
      </w:r>
    </w:p>
    <w:p w14:paraId="59FFC925">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1、案件办理费用</w:t>
      </w:r>
    </w:p>
    <w:p w14:paraId="744CAF4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根据《南京市行政复议案件繁简分流审理工作办法（试行）》精神，按照案件事实、法律关系的清晰程度、争议焦点数量、证据材料繁简、社会影响等因素，将案件划分为三个等级：</w:t>
      </w:r>
    </w:p>
    <w:p w14:paraId="5C71E4CA">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1.1、简易案件：符合下列条件之一的，可认定为简易案件，计费标准：1400元/件。</w:t>
      </w:r>
    </w:p>
    <w:p w14:paraId="539D3EFB">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（1）适用简易程序处理的或警告、罚款数额较小的行政处罚类案件；</w:t>
      </w:r>
    </w:p>
    <w:p w14:paraId="3E5051F2">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（2）政府信息公开类案件；</w:t>
      </w:r>
    </w:p>
    <w:p w14:paraId="4518C92F">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（3）行政不作为类案件；</w:t>
      </w:r>
    </w:p>
    <w:p w14:paraId="7B5DF751">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（4）其他主要事实清楚、权利义务关系明确、争议不大的案件。</w:t>
      </w:r>
    </w:p>
    <w:p w14:paraId="21C41BB4">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1.2、普通案件：除简易及重大复杂案件之外。计费标准：1800元/件。</w:t>
      </w:r>
    </w:p>
    <w:p w14:paraId="2E18DEB0">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1.3、重大复杂案件：符合下列条件之一的，可认定为重大复杂案件，计费标准：2200元/件。</w:t>
      </w:r>
    </w:p>
    <w:p w14:paraId="3FB435D5">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（1）社会关注度较高或涉及行政复议当事人人数众多，可能影响社会稳定的；</w:t>
      </w:r>
    </w:p>
    <w:p w14:paraId="0CDF9519">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（2）被复议具体行政行为有涉外因素，或涉及香港特别行政区、澳门特别行政区、台湾地区的；</w:t>
      </w:r>
    </w:p>
    <w:p w14:paraId="6D9DEE95">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（3）案件处理结果对行政机关后续行政执法、行政管理有重大参考价值的；</w:t>
      </w:r>
    </w:p>
    <w:p w14:paraId="32008C03">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（4）案件处理结果对政府公信力可能产生重大影响的；</w:t>
      </w:r>
    </w:p>
    <w:p w14:paraId="6B3B464F">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（5）其他应列入重大复杂案件处理的。</w:t>
      </w:r>
    </w:p>
    <w:p w14:paraId="2687611E">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2、特殊情形补贴</w:t>
      </w:r>
    </w:p>
    <w:p w14:paraId="34704137">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2.1、群体性案件：针对同一事实和理由、同一被申请人，5人以上（多人）分别提出行政复议申请或提起行政诉讼的群体性案件，按照每个供应商接收指派的案件量支付服务费用，每个供应商接收指派的第一件全额支付服务费用，第2-20件（含）每件费用按照原标准的50%支付，自第21件起，每件费用按照原标准的25%支付。</w:t>
      </w:r>
    </w:p>
    <w:p w14:paraId="14B6D324">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2.2、经审查决定不予受理行政复议申请的及行政复议申请人收到补正通知书后未在法定期限内提交补正材料、视为放弃行政复议申请的，给予补助，标准为：350元/件。</w:t>
      </w:r>
    </w:p>
    <w:p w14:paraId="04CF250B">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2.3、行政复议申请材料收到后，行政复议受理通知书作出前，申请人主动撤回行政复议申请的，不予支付服务费用。</w:t>
      </w:r>
    </w:p>
    <w:p w14:paraId="731141FE">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2.4、行政复议案件受理后，未经实质性审理（如未开展调查、听证、调解等），因申请人自愿撤回行政复议申请等原因终止的，给予补助，标准为：600元/件。</w:t>
      </w:r>
    </w:p>
    <w:p w14:paraId="4CF69F9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3、值班补贴：在指定窗口值班，按300元/天的标准发放值班补贴。</w:t>
      </w:r>
    </w:p>
    <w:p w14:paraId="07AF378C">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4、费用核减与责任追究</w:t>
      </w:r>
    </w:p>
    <w:p w14:paraId="55D887B3">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4.1、办案人员辅助审理行政复议、代理行政诉讼案件有下列情形之一的，酌情扣减该案件服务费用的50%-100%：</w:t>
      </w:r>
    </w:p>
    <w:p w14:paraId="6DE647A9">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（1）无正当理由拖延行政复议、行政诉讼案件办理的；</w:t>
      </w:r>
    </w:p>
    <w:p w14:paraId="4ACE5C66">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（2）办理行政复议、行政诉讼案件收受当事人财物或其他好处的；</w:t>
      </w:r>
    </w:p>
    <w:p w14:paraId="27EE86E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（3）违规泄露行政复议、行政诉讼案件信息，造成不良影响的；</w:t>
      </w:r>
    </w:p>
    <w:p w14:paraId="090AB50F">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（4））结案后未在30日内完成案卷移交，或不符合相关标准的；</w:t>
      </w:r>
    </w:p>
    <w:p w14:paraId="1AC08AE7">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（5）因故意或重大过失导致行政复议决定明显错误或行政诉讼案件被判决撤销、部分撤销、确认违法或无效、变更的；</w:t>
      </w:r>
    </w:p>
    <w:p w14:paraId="07C49E90">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（6）案件办理过程中引起当事人投诉或信访，因处理不当造成不良社会效果的；</w:t>
      </w:r>
    </w:p>
    <w:p w14:paraId="07F9BE24">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（7）根据行政复议辅助办案质量考核标准、行政诉讼案件质量考核标准，案件考核结果低于70分的；</w:t>
      </w:r>
    </w:p>
    <w:p w14:paraId="2F9A4B84">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（8）办案过程中存在其他不当或违法违规行为的。</w:t>
      </w:r>
    </w:p>
    <w:p w14:paraId="0BF0B829">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4.2、因办案人员故意或重大过失导致行政诉讼案件败诉并造成国家赔偿的，由供应商依法承担相应赔偿责任。</w:t>
      </w:r>
    </w:p>
    <w:p w14:paraId="06AB05C3">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（三）行政诉讼</w:t>
      </w:r>
    </w:p>
    <w:p w14:paraId="22CAD98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1、当事人不服行政复议决定向人民法院提起行政诉讼的，一审代理费用与该行政复议案件办理费用相同，二审、再审案件代理费用减半。</w:t>
      </w:r>
    </w:p>
    <w:p w14:paraId="6EA01D9C">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2、行政诉讼案件提交答辩材料后，原告/上诉人主动撤回起诉或上诉，已开庭审理的，标准为：一审600元/件，二审/再审300元/件；未经开庭审理的，标准为：一审400元/件，二审/再审200元/件。</w:t>
      </w:r>
    </w:p>
    <w:p w14:paraId="18DCCBA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（四）付款方式</w:t>
      </w:r>
    </w:p>
    <w:p w14:paraId="66323769">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1.案件登记与认定：采购方建立案件管理台账，详细记录案件编号、当事人、立案时间、结案方式、难易程度认定、调解情况等信息，作为费用计发依据。</w:t>
      </w:r>
    </w:p>
    <w:p w14:paraId="34239B47">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审核与发放：案件办结后，由承办人员报采购人处专人审核登记，重大复杂案件由案件承办人提出申请、附相关证明材料并说明理由，报采购方负责人审核，必要时可组织集体讨论确定。采购方制作案件费用明细表，经逐级审核后，按财务规定定期统一发放。</w:t>
      </w:r>
    </w:p>
    <w:p w14:paraId="70A68AD0">
      <w:pPr>
        <w:keepNext w:val="0"/>
        <w:keepLines w:val="0"/>
        <w:pageBreakBefore w:val="0"/>
        <w:widowControl w:val="0"/>
        <w:numPr>
          <w:ilvl w:val="0"/>
          <w:numId w:val="0"/>
        </w:numPr>
        <w:spacing w:after="0" w:line="360" w:lineRule="auto"/>
        <w:ind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六、双方权利和义务</w:t>
      </w:r>
    </w:p>
    <w:p w14:paraId="260E891E">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（一）甲方权利和义务</w:t>
      </w:r>
    </w:p>
    <w:p w14:paraId="690B7779">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1、甲方按照合同对乙方派出法律人员值班的，提供必要的工作场所、办公设施，保障正常开展工作。</w:t>
      </w:r>
    </w:p>
    <w:p w14:paraId="12411458">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2、甲方可以通过不定期抽查、征询驻在单位意见、回访当事人、查阅工作台账、出席旁听等多种方式掌握乙方工作情况。甲方可以提出改进工作方法的意见，乙方应及时落实，提高办案质量。</w:t>
      </w:r>
    </w:p>
    <w:p w14:paraId="211005CE">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乙方派驻法律人员在办案过程中，有违纪违规情况而被投诉的，甲方应查清事实，并及时向投诉人反馈信息；在行政复议、行政诉讼工作中违纪违规、严重不负责任，导致国家赔偿或造成其他严重后果的，甲方有权利追究乙方相应的法律责任。</w:t>
      </w:r>
    </w:p>
    <w:p w14:paraId="4D894866">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（二）乙方权利和义务</w:t>
      </w:r>
    </w:p>
    <w:p w14:paraId="7D1C3738">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1、乙方派驻法律人员应严格遵守甲方的各项规章制度、岗位职责，恪守职业道德和执业纪律，服从甲方的管理和考核，积极主动完成好交办的各项工作任务。</w:t>
      </w:r>
    </w:p>
    <w:p w14:paraId="2D49FF1A">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2、乙方派驻法律人员团队负责人有内部管理、督促、协调派驻法律援助人员工作以保障正常提供服务的义务，同时做好具体对接工作。</w:t>
      </w:r>
    </w:p>
    <w:p w14:paraId="733DBDC5">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3、协议期内，派驻法律人员仍保留与乙方的执业管理关系和劳动合同关系，根据规定在执业的乙方参加执业年度考核。</w:t>
      </w:r>
    </w:p>
    <w:p w14:paraId="3447B1BB">
      <w:pPr>
        <w:widowControl w:val="0"/>
        <w:spacing w:after="120" w:line="360" w:lineRule="auto"/>
        <w:ind w:left="0" w:leftChars="0"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4、乙方提供符合《行政复议法》《行政复议法实施条例》《行政诉讼法》及其他相关行政法律法规的行政复议/行政应诉法律服务。</w:t>
      </w:r>
    </w:p>
    <w:p w14:paraId="2CAB6197">
      <w:pPr>
        <w:widowControl w:val="0"/>
        <w:spacing w:after="120" w:line="360" w:lineRule="auto"/>
        <w:ind w:left="0" w:leftChars="0" w:firstLine="480"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5、律所应提供必要的研究审核等辅助工作，应诉案件由律所指派律所主任或合伙人承办并参与庭审活动（须提供指派律所主任或合伙人名单），以保质高效完成行政复议应诉等工作。</w:t>
      </w:r>
    </w:p>
    <w:p w14:paraId="5C4B1F7A">
      <w:pPr>
        <w:widowControl w:val="0"/>
        <w:spacing w:after="120" w:line="360" w:lineRule="auto"/>
        <w:ind w:left="0" w:leftChars="0" w:firstLine="482"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六、服务质效考核</w:t>
      </w:r>
    </w:p>
    <w:p w14:paraId="11CB33EE">
      <w:pPr>
        <w:keepNext w:val="0"/>
        <w:keepLines w:val="0"/>
        <w:pageBreakBefore w:val="0"/>
        <w:widowControl w:val="0"/>
        <w:spacing w:after="0" w:line="360" w:lineRule="auto"/>
        <w:ind w:firstLine="42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甲方可以定期对乙方提供的</w:t>
      </w:r>
      <w:r>
        <w:rPr>
          <w:rFonts w:hint="eastAsia" w:ascii="宋体" w:hAnsi="宋体" w:eastAsia="宋体" w:cs="宋体"/>
          <w:b/>
          <w:bCs/>
          <w:color w:val="auto"/>
          <w:kern w:val="2"/>
          <w:sz w:val="24"/>
          <w:szCs w:val="24"/>
          <w:highlight w:val="none"/>
          <w:lang w:val="en-US" w:eastAsia="zh-CN" w:bidi="ar-SA"/>
          <w14:ligatures w14:val="none"/>
        </w:rPr>
        <w:t>法律服务</w:t>
      </w:r>
      <w:r>
        <w:rPr>
          <w:rFonts w:hint="eastAsia" w:ascii="宋体" w:hAnsi="宋体" w:eastAsia="宋体" w:cs="宋体"/>
          <w:color w:val="auto"/>
          <w:kern w:val="2"/>
          <w:sz w:val="24"/>
          <w:szCs w:val="24"/>
          <w:highlight w:val="none"/>
          <w:lang w:val="en-US" w:eastAsia="zh-CN" w:bidi="ar-SA"/>
          <w14:ligatures w14:val="none"/>
        </w:rPr>
        <w:t>进行服务质效考核。</w:t>
      </w:r>
    </w:p>
    <w:p w14:paraId="33BC2C0F">
      <w:pPr>
        <w:keepNext w:val="0"/>
        <w:keepLines w:val="0"/>
        <w:pageBreakBefore w:val="0"/>
        <w:widowControl w:val="0"/>
        <w:numPr>
          <w:ilvl w:val="-1"/>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（一）值班质量考核</w:t>
      </w:r>
    </w:p>
    <w:p w14:paraId="78B2980D">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考勤情况。（1）乙方派驻人员无正当理由迟到早退的，出现一次予以警告并记录在案，同时下调当次值班补贴40%；出现二次以上，甲方可以要求乙方更换团队人员。因乙方派驻法律援助人员考勤执行不到位导致有效投诉等严重后果的（由甲方判定），甲方可以酌情减少值班次数安排或者提前解除合同。（2）乙方派驻人员确因特殊情况不能参加当天值班的，要提前向甲方履行请假手续，并由乙方团队负责人协商确定好替班人员；不得私自调换值班人员、顶班或擅自离岗等。</w:t>
      </w:r>
    </w:p>
    <w:p w14:paraId="1910385A">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工作态度。乙方派驻人员在值班期间，出现工作懈怠、不负责任的、对申请人态度差等不利于行政复议应诉工作有序开展的情形，甲方可以予以警告、记录在案，并下调当次值班补贴40％，导致有效投诉等严重后果的（由甲方判定），甲方可以要求乙方更换人员、酌情减少值班次数安排或提前解除合同。</w:t>
      </w:r>
    </w:p>
    <w:p w14:paraId="6522E48C">
      <w:pPr>
        <w:keepNext w:val="0"/>
        <w:keepLines w:val="0"/>
        <w:pageBreakBefore w:val="0"/>
        <w:widowControl w:val="0"/>
        <w:numPr>
          <w:ilvl w:val="-1"/>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（二）办案质量考核</w:t>
      </w:r>
    </w:p>
    <w:p w14:paraId="2DF88761">
      <w:pPr>
        <w:keepNext w:val="0"/>
        <w:keepLines w:val="0"/>
        <w:pageBreakBefore w:val="0"/>
        <w:widowControl w:val="0"/>
        <w:numPr>
          <w:ilvl w:val="-1"/>
          <w:numId w:val="0"/>
        </w:numPr>
        <w:spacing w:after="0" w:line="360" w:lineRule="auto"/>
        <w:ind w:firstLine="420"/>
        <w:jc w:val="both"/>
        <w:rPr>
          <w:rFonts w:hint="eastAsia" w:ascii="宋体" w:hAnsi="宋体" w:eastAsia="宋体" w:cs="宋体"/>
          <w:kern w:val="2"/>
          <w:sz w:val="24"/>
          <w:szCs w:val="24"/>
          <w14:ligatures w14:val="none"/>
        </w:rPr>
      </w:pPr>
      <w:r>
        <w:rPr>
          <w:rFonts w:hint="eastAsia" w:ascii="宋体" w:hAnsi="宋体" w:eastAsia="宋体" w:cs="宋体"/>
          <w:color w:val="auto"/>
          <w:kern w:val="2"/>
          <w:sz w:val="24"/>
          <w:szCs w:val="24"/>
          <w:highlight w:val="none"/>
          <w:lang w:val="en-US" w:eastAsia="zh-CN" w:bidi="ar-SA"/>
          <w14:ligatures w14:val="none"/>
        </w:rPr>
        <w:t>甲方结合乙方实际办案情况每季度对办理行政复议、行政诉讼案件的形式和内容质量进行考评，甲方实行百分制考核，评估结果分为：优秀、良好、合格、不合格。乙方有严重违反纪律情形或低于70分的，为不合格；70分及以上（包含70）为合格。对质量不合格的行政复议、行政诉讼案件不支付补贴，甲方可以要求更换人员、酌情减少案件指派数量或提前解除合同。合同解除后不影响采购方对剩余律所（法服所）办案的统一调度。</w:t>
      </w:r>
    </w:p>
    <w:p w14:paraId="75A6F4D6">
      <w:pPr>
        <w:pageBreakBefore w:val="0"/>
        <w:widowControl w:val="0"/>
        <w:kinsoku/>
        <w:wordWrap/>
        <w:overflowPunct/>
        <w:topLinePunct w:val="0"/>
        <w:autoSpaceDE/>
        <w:autoSpaceDN/>
        <w:bidi w:val="0"/>
        <w:adjustRightInd/>
        <w:snapToGrid/>
        <w:spacing w:after="120" w:line="540" w:lineRule="exact"/>
        <w:ind w:left="0" w:leftChars="0" w:firstLine="0" w:firstLineChars="0"/>
        <w:jc w:val="both"/>
        <w:textAlignment w:val="auto"/>
        <w:rPr>
          <w:rFonts w:hint="eastAsia" w:ascii="宋体" w:hAnsi="宋体" w:eastAsia="宋体" w:cs="宋体"/>
          <w:kern w:val="2"/>
          <w:sz w:val="24"/>
          <w:szCs w:val="24"/>
          <w:lang w:val="en-US" w:eastAsia="zh-CN" w:bidi="ar-SA"/>
          <w14:ligatures w14:val="none"/>
        </w:rPr>
      </w:pPr>
    </w:p>
    <w:p w14:paraId="1C938073">
      <w:pPr>
        <w:rPr>
          <w:rFonts w:hint="eastAsia" w:ascii="宋体" w:hAnsi="宋体" w:eastAsia="宋体" w:cs="宋体"/>
          <w:b/>
          <w:color w:val="auto"/>
          <w:kern w:val="2"/>
          <w:sz w:val="24"/>
          <w:szCs w:val="24"/>
          <w:highlight w:val="none"/>
          <w:lang w:val="en-US" w:eastAsia="zh-CN"/>
          <w14:ligatures w14:val="none"/>
        </w:rPr>
      </w:pPr>
      <w:r>
        <w:rPr>
          <w:rFonts w:hint="eastAsia" w:ascii="宋体" w:hAnsi="宋体" w:eastAsia="宋体" w:cs="宋体"/>
          <w:b/>
          <w:color w:val="auto"/>
          <w:kern w:val="2"/>
          <w:sz w:val="24"/>
          <w:szCs w:val="24"/>
          <w:highlight w:val="none"/>
          <w:lang w:val="en-US" w:eastAsia="zh-CN"/>
          <w14:ligatures w14:val="none"/>
        </w:rPr>
        <w:br w:type="page"/>
      </w:r>
    </w:p>
    <w:p w14:paraId="12ED7037">
      <w:pPr>
        <w:keepNext w:val="0"/>
        <w:keepLines w:val="0"/>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kern w:val="2"/>
          <w:sz w:val="24"/>
          <w:szCs w:val="24"/>
          <w14:ligatures w14:val="none"/>
        </w:rPr>
      </w:pPr>
      <w:r>
        <w:rPr>
          <w:rFonts w:hint="eastAsia" w:ascii="宋体" w:hAnsi="宋体" w:eastAsia="宋体" w:cs="宋体"/>
          <w:b/>
          <w:color w:val="auto"/>
          <w:kern w:val="2"/>
          <w:sz w:val="24"/>
          <w:szCs w:val="24"/>
          <w:highlight w:val="none"/>
          <w:lang w:val="en-US" w:eastAsia="zh-CN"/>
          <w14:ligatures w14:val="none"/>
        </w:rPr>
        <w:t>行政复议辅助办案质量考核标准</w:t>
      </w:r>
    </w:p>
    <w:tbl>
      <w:tblPr>
        <w:tblStyle w:val="10"/>
        <w:tblpPr w:leftFromText="180" w:rightFromText="180" w:vertAnchor="text" w:horzAnchor="page" w:tblpX="1172" w:tblpY="445"/>
        <w:tblOverlap w:val="never"/>
        <w:tblW w:w="10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770"/>
        <w:gridCol w:w="6899"/>
        <w:gridCol w:w="781"/>
      </w:tblGrid>
      <w:tr w14:paraId="009E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blHeader/>
        </w:trPr>
        <w:tc>
          <w:tcPr>
            <w:tcW w:w="825" w:type="dxa"/>
            <w:noWrap w:val="0"/>
            <w:vAlign w:val="center"/>
          </w:tcPr>
          <w:p w14:paraId="170F198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序号</w:t>
            </w:r>
          </w:p>
        </w:tc>
        <w:tc>
          <w:tcPr>
            <w:tcW w:w="1770" w:type="dxa"/>
            <w:noWrap w:val="0"/>
            <w:vAlign w:val="center"/>
          </w:tcPr>
          <w:p w14:paraId="0A849D3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项目</w:t>
            </w:r>
          </w:p>
        </w:tc>
        <w:tc>
          <w:tcPr>
            <w:tcW w:w="6899" w:type="dxa"/>
            <w:noWrap w:val="0"/>
            <w:vAlign w:val="center"/>
          </w:tcPr>
          <w:p w14:paraId="7B9AED4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标准</w:t>
            </w:r>
          </w:p>
        </w:tc>
        <w:tc>
          <w:tcPr>
            <w:tcW w:w="781" w:type="dxa"/>
            <w:noWrap w:val="0"/>
            <w:vAlign w:val="center"/>
          </w:tcPr>
          <w:p w14:paraId="59B0989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总分</w:t>
            </w:r>
          </w:p>
        </w:tc>
      </w:tr>
      <w:tr w14:paraId="77DC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825" w:type="dxa"/>
            <w:noWrap w:val="0"/>
            <w:vAlign w:val="center"/>
          </w:tcPr>
          <w:p w14:paraId="14B9A95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w:t>
            </w:r>
          </w:p>
        </w:tc>
        <w:tc>
          <w:tcPr>
            <w:tcW w:w="1770" w:type="dxa"/>
            <w:noWrap w:val="0"/>
            <w:vAlign w:val="center"/>
          </w:tcPr>
          <w:p w14:paraId="131370F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受理</w:t>
            </w:r>
          </w:p>
        </w:tc>
        <w:tc>
          <w:tcPr>
            <w:tcW w:w="6899" w:type="dxa"/>
            <w:noWrap w:val="0"/>
            <w:vAlign w:val="center"/>
          </w:tcPr>
          <w:p w14:paraId="53627D3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1.对当事人提交的申请材料予以接收并出具书面凭证。未按要求执行，扣5分。</w:t>
            </w:r>
          </w:p>
          <w:p w14:paraId="1DBCC75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2.协助行政复议员在收到申请材料后5日内进行审查，申请材料不齐全或表述不清的，5日内书面通知补正（一次性告知）。未按要求执行，扣5分。</w:t>
            </w:r>
          </w:p>
          <w:p w14:paraId="2FE6A0E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3.协助行政复议员在法定期限内送达受理通知书或《不予受理行政复议申请决定书》。未按要求执行，扣10分。</w:t>
            </w:r>
          </w:p>
        </w:tc>
        <w:tc>
          <w:tcPr>
            <w:tcW w:w="781" w:type="dxa"/>
            <w:noWrap w:val="0"/>
            <w:vAlign w:val="center"/>
          </w:tcPr>
          <w:p w14:paraId="6A4C050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03F5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4" w:hRule="atLeast"/>
        </w:trPr>
        <w:tc>
          <w:tcPr>
            <w:tcW w:w="825" w:type="dxa"/>
            <w:noWrap w:val="0"/>
            <w:vAlign w:val="center"/>
          </w:tcPr>
          <w:p w14:paraId="30D936D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w:t>
            </w:r>
          </w:p>
        </w:tc>
        <w:tc>
          <w:tcPr>
            <w:tcW w:w="1770" w:type="dxa"/>
            <w:noWrap w:val="0"/>
            <w:vAlign w:val="center"/>
          </w:tcPr>
          <w:p w14:paraId="1B15E6B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案件审理</w:t>
            </w:r>
          </w:p>
        </w:tc>
        <w:tc>
          <w:tcPr>
            <w:tcW w:w="6899" w:type="dxa"/>
            <w:noWrap w:val="0"/>
            <w:vAlign w:val="center"/>
          </w:tcPr>
          <w:p w14:paraId="2297951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1.根据案件审理情况，经审批履行通知答复、中止、延期等程序，并依法将相应文书有效送达当事人。未按要求执行，扣5分。</w:t>
            </w:r>
          </w:p>
          <w:p w14:paraId="11E6A3C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2.协助行政复议员对被申请人提交的证据、依据进行全面审查，必要时协助开展实地调查核实证据。未按要求执行，扣3分。</w:t>
            </w:r>
          </w:p>
          <w:p w14:paraId="204C8D5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3.协助听取当事人的意见，并将听取的意见记录在案，对重大复杂案件必要时组织听证，协助完成听证活动的记录、材料准备等工作。未按要求执行，扣10分。</w:t>
            </w:r>
          </w:p>
          <w:p w14:paraId="28671FF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4.协助开展调解、和解工作，实质化解行政争议，调解不成的，及时恢复审理。未按要求执行，扣2分。</w:t>
            </w:r>
          </w:p>
          <w:p w14:paraId="2BF4ACC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5.对须经行政复议委员会讨论的案件，及时形成书面汇报材料，提请行政复议委员会讨论，并记录在案。未按要求执行，扣10分。</w:t>
            </w:r>
          </w:p>
          <w:p w14:paraId="52726E4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6.在行政复议员指导下，在法定期限内提出行政复议法律意见，并送行政复议员审核。未按要求执行，扣10分。</w:t>
            </w:r>
          </w:p>
        </w:tc>
        <w:tc>
          <w:tcPr>
            <w:tcW w:w="781" w:type="dxa"/>
            <w:noWrap w:val="0"/>
            <w:vAlign w:val="center"/>
          </w:tcPr>
          <w:p w14:paraId="29A2E4C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40</w:t>
            </w:r>
          </w:p>
        </w:tc>
      </w:tr>
      <w:tr w14:paraId="5AED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4" w:hRule="atLeast"/>
        </w:trPr>
        <w:tc>
          <w:tcPr>
            <w:tcW w:w="825" w:type="dxa"/>
            <w:noWrap w:val="0"/>
            <w:vAlign w:val="center"/>
          </w:tcPr>
          <w:p w14:paraId="0EE1F30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w:t>
            </w:r>
          </w:p>
        </w:tc>
        <w:tc>
          <w:tcPr>
            <w:tcW w:w="1770" w:type="dxa"/>
            <w:noWrap w:val="0"/>
            <w:vAlign w:val="center"/>
          </w:tcPr>
          <w:p w14:paraId="703DC1B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行政复议决定</w:t>
            </w:r>
          </w:p>
        </w:tc>
        <w:tc>
          <w:tcPr>
            <w:tcW w:w="6899" w:type="dxa"/>
            <w:noWrap w:val="0"/>
            <w:vAlign w:val="center"/>
          </w:tcPr>
          <w:p w14:paraId="6412993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1.行政复议法律意见须事实认定清楚，证据确凿，适用依据正确，充分释法说理，针对争议焦点进行回应，逻辑严谨。未按要求执行，扣10分。</w:t>
            </w:r>
          </w:p>
          <w:p w14:paraId="2D83795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2.依法及时送达《行政复议决定书》，并告知诉权。未按要求执行，扣10分。</w:t>
            </w:r>
          </w:p>
        </w:tc>
        <w:tc>
          <w:tcPr>
            <w:tcW w:w="781" w:type="dxa"/>
            <w:noWrap w:val="0"/>
            <w:vAlign w:val="center"/>
          </w:tcPr>
          <w:p w14:paraId="0F42114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1B59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825" w:type="dxa"/>
            <w:noWrap w:val="0"/>
            <w:vAlign w:val="center"/>
          </w:tcPr>
          <w:p w14:paraId="2A16635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w:t>
            </w:r>
          </w:p>
        </w:tc>
        <w:tc>
          <w:tcPr>
            <w:tcW w:w="1770" w:type="dxa"/>
            <w:noWrap w:val="0"/>
            <w:vAlign w:val="center"/>
          </w:tcPr>
          <w:p w14:paraId="2E81742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投诉处理</w:t>
            </w:r>
          </w:p>
        </w:tc>
        <w:tc>
          <w:tcPr>
            <w:tcW w:w="6899" w:type="dxa"/>
            <w:noWrap w:val="0"/>
            <w:vAlign w:val="center"/>
          </w:tcPr>
          <w:p w14:paraId="749FEC3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1.妥善处理在辅助办理行政复议案件过程中引起的当事人投诉或信访，及时回应诉求，避免矛盾激化。未按要求执行，扣10分。</w:t>
            </w:r>
          </w:p>
        </w:tc>
        <w:tc>
          <w:tcPr>
            <w:tcW w:w="781" w:type="dxa"/>
            <w:noWrap w:val="0"/>
            <w:vAlign w:val="center"/>
          </w:tcPr>
          <w:p w14:paraId="79575A2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w:t>
            </w:r>
          </w:p>
        </w:tc>
      </w:tr>
      <w:tr w14:paraId="7E3C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825" w:type="dxa"/>
            <w:noWrap w:val="0"/>
            <w:vAlign w:val="center"/>
          </w:tcPr>
          <w:p w14:paraId="20DDA64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c>
          <w:tcPr>
            <w:tcW w:w="1770" w:type="dxa"/>
            <w:noWrap w:val="0"/>
            <w:vAlign w:val="center"/>
          </w:tcPr>
          <w:p w14:paraId="4E8C866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归档</w:t>
            </w:r>
          </w:p>
        </w:tc>
        <w:tc>
          <w:tcPr>
            <w:tcW w:w="6899" w:type="dxa"/>
            <w:noWrap w:val="0"/>
            <w:vAlign w:val="center"/>
          </w:tcPr>
          <w:p w14:paraId="78325FF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1.纸质案卷材料齐全、装订整洁规范，结案后30日内移交纸质案卷。未按要求执行，扣10分。</w:t>
            </w:r>
          </w:p>
        </w:tc>
        <w:tc>
          <w:tcPr>
            <w:tcW w:w="781" w:type="dxa"/>
            <w:noWrap w:val="0"/>
            <w:vAlign w:val="center"/>
          </w:tcPr>
          <w:p w14:paraId="00D792B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w:t>
            </w:r>
          </w:p>
        </w:tc>
      </w:tr>
      <w:tr w14:paraId="2080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5" w:type="dxa"/>
            <w:noWrap w:val="0"/>
            <w:vAlign w:val="center"/>
          </w:tcPr>
          <w:p w14:paraId="6EE5FC2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6</w:t>
            </w:r>
          </w:p>
        </w:tc>
        <w:tc>
          <w:tcPr>
            <w:tcW w:w="1770" w:type="dxa"/>
            <w:noWrap w:val="0"/>
            <w:vAlign w:val="center"/>
          </w:tcPr>
          <w:p w14:paraId="5CD0CC3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一票否决事项</w:t>
            </w:r>
          </w:p>
        </w:tc>
        <w:tc>
          <w:tcPr>
            <w:tcW w:w="6899" w:type="dxa"/>
            <w:noWrap w:val="0"/>
            <w:vAlign w:val="center"/>
          </w:tcPr>
          <w:p w14:paraId="5612565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对于因办案人员故意或重大过失导致国家赔偿或经人民法院审理被判决撤销、部分撤销、确认违法或无效、变更的，扣100分。</w:t>
            </w:r>
          </w:p>
        </w:tc>
        <w:tc>
          <w:tcPr>
            <w:tcW w:w="781" w:type="dxa"/>
            <w:noWrap w:val="0"/>
            <w:vAlign w:val="center"/>
          </w:tcPr>
          <w:p w14:paraId="5FE07C8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r>
      <w:tr w14:paraId="25F81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595" w:type="dxa"/>
            <w:gridSpan w:val="2"/>
            <w:noWrap w:val="0"/>
            <w:vAlign w:val="center"/>
          </w:tcPr>
          <w:p w14:paraId="3B62F3E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合计</w:t>
            </w:r>
          </w:p>
        </w:tc>
        <w:tc>
          <w:tcPr>
            <w:tcW w:w="6899" w:type="dxa"/>
            <w:noWrap w:val="0"/>
            <w:vAlign w:val="center"/>
          </w:tcPr>
          <w:p w14:paraId="1DE69F9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781" w:type="dxa"/>
            <w:noWrap w:val="0"/>
            <w:vAlign w:val="center"/>
          </w:tcPr>
          <w:p w14:paraId="34D6275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100</w:t>
            </w:r>
          </w:p>
        </w:tc>
      </w:tr>
    </w:tbl>
    <w:p w14:paraId="5D89746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p w14:paraId="2C6A4EF0">
      <w:pPr>
        <w:rPr>
          <w:rFonts w:hint="eastAsia" w:ascii="宋体" w:hAnsi="宋体" w:eastAsia="宋体" w:cs="宋体"/>
          <w:b/>
          <w:color w:val="auto"/>
          <w:kern w:val="2"/>
          <w:sz w:val="24"/>
          <w:szCs w:val="24"/>
          <w:highlight w:val="none"/>
          <w:lang w:val="en-US" w:eastAsia="zh-CN"/>
          <w14:ligatures w14:val="none"/>
        </w:rPr>
      </w:pPr>
      <w:r>
        <w:rPr>
          <w:rFonts w:hint="eastAsia" w:ascii="宋体" w:hAnsi="宋体" w:eastAsia="宋体" w:cs="宋体"/>
          <w:b/>
          <w:color w:val="auto"/>
          <w:kern w:val="2"/>
          <w:sz w:val="24"/>
          <w:szCs w:val="24"/>
          <w:highlight w:val="none"/>
          <w:lang w:val="en-US" w:eastAsia="zh-CN"/>
          <w14:ligatures w14:val="none"/>
        </w:rPr>
        <w:br w:type="page"/>
      </w:r>
    </w:p>
    <w:p w14:paraId="00C28051">
      <w:pPr>
        <w:keepNext w:val="0"/>
        <w:keepLines w:val="0"/>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b/>
          <w:color w:val="auto"/>
          <w:kern w:val="2"/>
          <w:sz w:val="24"/>
          <w:szCs w:val="24"/>
          <w:highlight w:val="none"/>
          <w:lang w:val="en-US" w:eastAsia="zh-CN"/>
          <w14:ligatures w14:val="none"/>
        </w:rPr>
      </w:pPr>
      <w:r>
        <w:rPr>
          <w:rFonts w:hint="eastAsia" w:ascii="宋体" w:hAnsi="宋体" w:eastAsia="宋体" w:cs="宋体"/>
          <w:b/>
          <w:color w:val="auto"/>
          <w:kern w:val="2"/>
          <w:sz w:val="24"/>
          <w:szCs w:val="24"/>
          <w:highlight w:val="none"/>
          <w:lang w:val="en-US" w:eastAsia="zh-CN"/>
          <w14:ligatures w14:val="none"/>
        </w:rPr>
        <w:t>行政应诉案件质量考核标准</w:t>
      </w:r>
    </w:p>
    <w:tbl>
      <w:tblPr>
        <w:tblStyle w:val="10"/>
        <w:tblpPr w:leftFromText="180" w:rightFromText="180" w:vertAnchor="text" w:horzAnchor="page" w:tblpX="1127" w:tblpY="610"/>
        <w:tblOverlap w:val="never"/>
        <w:tblW w:w="10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1410"/>
        <w:gridCol w:w="7493"/>
        <w:gridCol w:w="865"/>
      </w:tblGrid>
      <w:tr w14:paraId="7B52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blHeader/>
        </w:trPr>
        <w:tc>
          <w:tcPr>
            <w:tcW w:w="795" w:type="dxa"/>
            <w:noWrap w:val="0"/>
            <w:vAlign w:val="center"/>
          </w:tcPr>
          <w:p w14:paraId="3A78F5E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序号</w:t>
            </w:r>
          </w:p>
        </w:tc>
        <w:tc>
          <w:tcPr>
            <w:tcW w:w="1410" w:type="dxa"/>
            <w:noWrap w:val="0"/>
            <w:vAlign w:val="center"/>
          </w:tcPr>
          <w:p w14:paraId="1FEF6BC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项目</w:t>
            </w:r>
          </w:p>
        </w:tc>
        <w:tc>
          <w:tcPr>
            <w:tcW w:w="7493" w:type="dxa"/>
            <w:noWrap w:val="0"/>
            <w:vAlign w:val="center"/>
          </w:tcPr>
          <w:p w14:paraId="196B9B3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标准</w:t>
            </w:r>
          </w:p>
        </w:tc>
        <w:tc>
          <w:tcPr>
            <w:tcW w:w="865" w:type="dxa"/>
            <w:noWrap w:val="0"/>
            <w:vAlign w:val="center"/>
          </w:tcPr>
          <w:p w14:paraId="52AEF70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总分</w:t>
            </w:r>
          </w:p>
        </w:tc>
      </w:tr>
      <w:tr w14:paraId="0038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795" w:type="dxa"/>
            <w:noWrap w:val="0"/>
            <w:vAlign w:val="center"/>
          </w:tcPr>
          <w:p w14:paraId="4438C90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w:t>
            </w:r>
          </w:p>
        </w:tc>
        <w:tc>
          <w:tcPr>
            <w:tcW w:w="1410" w:type="dxa"/>
            <w:noWrap w:val="0"/>
            <w:vAlign w:val="center"/>
          </w:tcPr>
          <w:p w14:paraId="1C0B0B4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答辩举证</w:t>
            </w:r>
          </w:p>
        </w:tc>
        <w:tc>
          <w:tcPr>
            <w:tcW w:w="7493" w:type="dxa"/>
            <w:noWrap w:val="0"/>
            <w:vAlign w:val="center"/>
          </w:tcPr>
          <w:p w14:paraId="5C3947C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1.在人民法院指定答辩期限内提交答辩状，要求论证清晰、说理充分。未按要求执行，扣10分。</w:t>
            </w:r>
          </w:p>
          <w:p w14:paraId="1D9A532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2.在人民法院指定举证期限内提交作出行政行为的证据、依据并制作证据目录，要求全面、真实、准确。未按要求执行，扣10分。</w:t>
            </w:r>
          </w:p>
          <w:p w14:paraId="6331A68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865" w:type="dxa"/>
            <w:noWrap w:val="0"/>
            <w:vAlign w:val="center"/>
          </w:tcPr>
          <w:p w14:paraId="2D1AF68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6E63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4" w:hRule="atLeast"/>
        </w:trPr>
        <w:tc>
          <w:tcPr>
            <w:tcW w:w="795" w:type="dxa"/>
            <w:noWrap w:val="0"/>
            <w:vAlign w:val="center"/>
          </w:tcPr>
          <w:p w14:paraId="48C2C51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w:t>
            </w:r>
          </w:p>
        </w:tc>
        <w:tc>
          <w:tcPr>
            <w:tcW w:w="1410" w:type="dxa"/>
            <w:noWrap w:val="0"/>
            <w:vAlign w:val="center"/>
          </w:tcPr>
          <w:p w14:paraId="69C2000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出庭应诉</w:t>
            </w:r>
          </w:p>
        </w:tc>
        <w:tc>
          <w:tcPr>
            <w:tcW w:w="7493" w:type="dxa"/>
            <w:noWrap w:val="0"/>
            <w:vAlign w:val="center"/>
          </w:tcPr>
          <w:p w14:paraId="18CE8D9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1.收到人民法院传票后，及时告知采购人，做好开庭时间登记。未按要求执行，扣10分。</w:t>
            </w:r>
          </w:p>
          <w:p w14:paraId="25438CC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 按时到庭，遵守法庭纪律，尊重审判人员。未按要求执行，扣10分。</w:t>
            </w:r>
          </w:p>
          <w:p w14:paraId="6EE9DAF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 熟悉案情，围绕行政行为合法性、适当性进行质证和辩论，逻辑清晰，准确回答法庭询问。未按要求执行，扣10分。</w:t>
            </w:r>
          </w:p>
          <w:p w14:paraId="651C5EE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865" w:type="dxa"/>
            <w:noWrap w:val="0"/>
            <w:vAlign w:val="center"/>
          </w:tcPr>
          <w:p w14:paraId="124598D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30</w:t>
            </w:r>
          </w:p>
        </w:tc>
      </w:tr>
      <w:tr w14:paraId="6679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795" w:type="dxa"/>
            <w:noWrap w:val="0"/>
            <w:vAlign w:val="center"/>
          </w:tcPr>
          <w:p w14:paraId="22D987A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w:t>
            </w:r>
          </w:p>
        </w:tc>
        <w:tc>
          <w:tcPr>
            <w:tcW w:w="1410" w:type="dxa"/>
            <w:noWrap w:val="0"/>
            <w:vAlign w:val="center"/>
          </w:tcPr>
          <w:p w14:paraId="229E4C5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裁判履行</w:t>
            </w:r>
          </w:p>
        </w:tc>
        <w:tc>
          <w:tcPr>
            <w:tcW w:w="7493" w:type="dxa"/>
            <w:noWrap w:val="0"/>
            <w:vAlign w:val="center"/>
          </w:tcPr>
          <w:p w14:paraId="25FC81C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p w14:paraId="6B13E21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 认为人民法院裁判有误的，依法定程序在法定期限内提起上诉或申请再审。未按要求执行，扣</w:t>
            </w:r>
            <w:r>
              <w:rPr>
                <w:rFonts w:hint="eastAsia" w:ascii="宋体" w:hAnsi="宋体" w:cs="宋体"/>
                <w:color w:val="auto"/>
                <w:kern w:val="2"/>
                <w:sz w:val="24"/>
                <w:szCs w:val="24"/>
                <w:highlight w:val="none"/>
                <w:vertAlign w:val="baseline"/>
                <w:lang w:val="en-US" w:eastAsia="zh-CN" w:bidi="ar-SA"/>
                <w14:ligatures w14:val="none"/>
              </w:rPr>
              <w:t>20</w:t>
            </w:r>
            <w:r>
              <w:rPr>
                <w:rFonts w:hint="eastAsia" w:ascii="宋体" w:hAnsi="宋体" w:eastAsia="宋体" w:cs="宋体"/>
                <w:color w:val="auto"/>
                <w:kern w:val="2"/>
                <w:sz w:val="24"/>
                <w:szCs w:val="24"/>
                <w:highlight w:val="none"/>
                <w:vertAlign w:val="baseline"/>
                <w:lang w:val="en-US" w:eastAsia="zh-CN" w:bidi="ar-SA"/>
                <w14:ligatures w14:val="none"/>
              </w:rPr>
              <w:t>分。</w:t>
            </w:r>
          </w:p>
        </w:tc>
        <w:tc>
          <w:tcPr>
            <w:tcW w:w="865" w:type="dxa"/>
            <w:noWrap w:val="0"/>
            <w:vAlign w:val="center"/>
          </w:tcPr>
          <w:p w14:paraId="1C8A783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0209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795" w:type="dxa"/>
            <w:noWrap w:val="0"/>
            <w:vAlign w:val="center"/>
          </w:tcPr>
          <w:p w14:paraId="6A9B86C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w:t>
            </w:r>
          </w:p>
        </w:tc>
        <w:tc>
          <w:tcPr>
            <w:tcW w:w="1410" w:type="dxa"/>
            <w:noWrap w:val="0"/>
            <w:vAlign w:val="center"/>
          </w:tcPr>
          <w:p w14:paraId="043928C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协调化解</w:t>
            </w:r>
          </w:p>
        </w:tc>
        <w:tc>
          <w:tcPr>
            <w:tcW w:w="7493" w:type="dxa"/>
            <w:noWrap w:val="0"/>
            <w:vAlign w:val="center"/>
          </w:tcPr>
          <w:p w14:paraId="44ABB47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 协助参与法院组织的调解活动，实质性化解行政争议。未按要求执行，扣</w:t>
            </w:r>
            <w:r>
              <w:rPr>
                <w:rFonts w:hint="eastAsia" w:ascii="宋体" w:hAnsi="宋体" w:cs="宋体"/>
                <w:color w:val="auto"/>
                <w:kern w:val="2"/>
                <w:sz w:val="24"/>
                <w:szCs w:val="24"/>
                <w:highlight w:val="none"/>
                <w:vertAlign w:val="baseline"/>
                <w:lang w:val="en-US" w:eastAsia="zh-CN" w:bidi="ar-SA"/>
                <w14:ligatures w14:val="none"/>
              </w:rPr>
              <w:t>20</w:t>
            </w:r>
            <w:r>
              <w:rPr>
                <w:rFonts w:hint="eastAsia" w:ascii="宋体" w:hAnsi="宋体" w:eastAsia="宋体" w:cs="宋体"/>
                <w:color w:val="auto"/>
                <w:kern w:val="2"/>
                <w:sz w:val="24"/>
                <w:szCs w:val="24"/>
                <w:highlight w:val="none"/>
                <w:vertAlign w:val="baseline"/>
                <w:lang w:val="en-US" w:eastAsia="zh-CN" w:bidi="ar-SA"/>
                <w14:ligatures w14:val="none"/>
              </w:rPr>
              <w:t>分。</w:t>
            </w:r>
          </w:p>
        </w:tc>
        <w:tc>
          <w:tcPr>
            <w:tcW w:w="865" w:type="dxa"/>
            <w:noWrap w:val="0"/>
            <w:vAlign w:val="center"/>
          </w:tcPr>
          <w:p w14:paraId="6D8A37F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4523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795" w:type="dxa"/>
            <w:noWrap w:val="0"/>
            <w:vAlign w:val="center"/>
          </w:tcPr>
          <w:p w14:paraId="422087F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c>
          <w:tcPr>
            <w:tcW w:w="1410" w:type="dxa"/>
            <w:noWrap w:val="0"/>
            <w:vAlign w:val="center"/>
          </w:tcPr>
          <w:p w14:paraId="6EDC188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归档</w:t>
            </w:r>
          </w:p>
        </w:tc>
        <w:tc>
          <w:tcPr>
            <w:tcW w:w="7493" w:type="dxa"/>
            <w:noWrap w:val="0"/>
            <w:vAlign w:val="center"/>
          </w:tcPr>
          <w:p w14:paraId="106AD1D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1.纸质案卷材料齐全、装订整洁规范，结案后30日内移交纸质案卷。未按要求执行，扣10分。</w:t>
            </w:r>
          </w:p>
        </w:tc>
        <w:tc>
          <w:tcPr>
            <w:tcW w:w="865" w:type="dxa"/>
            <w:noWrap w:val="0"/>
            <w:vAlign w:val="center"/>
          </w:tcPr>
          <w:p w14:paraId="20920AF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w:t>
            </w:r>
          </w:p>
        </w:tc>
      </w:tr>
      <w:tr w14:paraId="03FB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795" w:type="dxa"/>
            <w:noWrap w:val="0"/>
            <w:vAlign w:val="center"/>
          </w:tcPr>
          <w:p w14:paraId="06F6FFA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6</w:t>
            </w:r>
          </w:p>
        </w:tc>
        <w:tc>
          <w:tcPr>
            <w:tcW w:w="1410" w:type="dxa"/>
            <w:noWrap w:val="0"/>
            <w:vAlign w:val="center"/>
          </w:tcPr>
          <w:p w14:paraId="77CD8B9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一票否决事项</w:t>
            </w:r>
          </w:p>
        </w:tc>
        <w:tc>
          <w:tcPr>
            <w:tcW w:w="7493" w:type="dxa"/>
            <w:noWrap w:val="0"/>
            <w:vAlign w:val="center"/>
          </w:tcPr>
          <w:p w14:paraId="7212495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对于因办案人员故意或重大过失导致国家赔偿或经人民法院审理被判决撤销、部分撤销、确认违法或无效、变更的，扣100分。</w:t>
            </w:r>
          </w:p>
        </w:tc>
        <w:tc>
          <w:tcPr>
            <w:tcW w:w="865" w:type="dxa"/>
            <w:noWrap w:val="0"/>
            <w:vAlign w:val="center"/>
          </w:tcPr>
          <w:p w14:paraId="4CC0119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r>
      <w:tr w14:paraId="4B27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5" w:type="dxa"/>
            <w:gridSpan w:val="2"/>
            <w:noWrap w:val="0"/>
            <w:vAlign w:val="center"/>
          </w:tcPr>
          <w:p w14:paraId="1012F42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合计</w:t>
            </w:r>
          </w:p>
        </w:tc>
        <w:tc>
          <w:tcPr>
            <w:tcW w:w="7493" w:type="dxa"/>
            <w:noWrap w:val="0"/>
            <w:vAlign w:val="center"/>
          </w:tcPr>
          <w:p w14:paraId="0CD0796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865" w:type="dxa"/>
            <w:noWrap w:val="0"/>
            <w:vAlign w:val="center"/>
          </w:tcPr>
          <w:p w14:paraId="734418E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100</w:t>
            </w:r>
          </w:p>
        </w:tc>
      </w:tr>
    </w:tbl>
    <w:p w14:paraId="4239E03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七、保密条款：乙方及派驻法律服务人员不得将在履行本合同中知悉的甲方任何信息随意泄露、擅自使用。如违反本条款规定，乙方及派驻法律服务人员应当承担相应的法律责任。</w:t>
      </w:r>
    </w:p>
    <w:p w14:paraId="60230265">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八、产权归属：在本项目中，项目的知识成果和产权归甲方所有，甲方或最终用户在项目过程中不受第三方关于侵犯知识产权的指控。</w:t>
      </w:r>
    </w:p>
    <w:p w14:paraId="4649F050">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九、协议变更与解除情形</w:t>
      </w:r>
    </w:p>
    <w:p w14:paraId="008EF8C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1、因工作内容调整，上级管理部门对甲方服务岗位、工作人员有新的管理、任用要求的，可以根据要求变更协议内容。</w:t>
      </w:r>
    </w:p>
    <w:p w14:paraId="198D0440">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乙方派驻法律服务人员违反甲方各项规章制度或因身体等原因不能胜任甲方工作需要，无法继续履行合同的，甲方通知乙方及时更换法律服务人员，乙方收到甲方更换法律服务人员通知5个工作日内应当安排符合采购要求的新任法律服务人员到岗，并确保做好工作交接。</w:t>
      </w:r>
    </w:p>
    <w:p w14:paraId="7A5D4F65">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3、除《民法典》规定的合同解除情形外，乙方派驻法律服务人员出现以下情况，甲方有权解除合同。合同自通知到达乙方时解除。</w:t>
      </w:r>
    </w:p>
    <w:p w14:paraId="1B991CD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3.1、乙方派驻法律服务人员在合同存续期间发生违法违规行为的；</w:t>
      </w:r>
    </w:p>
    <w:p w14:paraId="406B31D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3.2、受到</w:t>
      </w:r>
      <w:r>
        <w:rPr>
          <w:rFonts w:hint="eastAsia" w:ascii="宋体" w:hAnsi="宋体" w:cs="宋体"/>
          <w:color w:val="auto"/>
          <w:kern w:val="2"/>
          <w:sz w:val="24"/>
          <w:szCs w:val="24"/>
          <w:highlight w:val="none"/>
          <w:lang w:val="en-US" w:eastAsia="zh-CN" w:bidi="ar-SA"/>
          <w14:ligatures w14:val="none"/>
        </w:rPr>
        <w:t>申请人</w:t>
      </w:r>
      <w:r>
        <w:rPr>
          <w:rFonts w:hint="eastAsia" w:ascii="宋体" w:hAnsi="宋体" w:eastAsia="宋体" w:cs="宋体"/>
          <w:color w:val="auto"/>
          <w:kern w:val="2"/>
          <w:sz w:val="24"/>
          <w:szCs w:val="24"/>
          <w:highlight w:val="none"/>
          <w:lang w:val="en-US" w:eastAsia="zh-CN" w:bidi="ar-SA"/>
          <w14:ligatures w14:val="none"/>
        </w:rPr>
        <w:t>有效投诉的；</w:t>
      </w:r>
    </w:p>
    <w:p w14:paraId="223345A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3.3、无故不参加甲方安排的重大应急任务、公益宣传活动、业务培训活动的；</w:t>
      </w:r>
    </w:p>
    <w:p w14:paraId="76269026">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3.4、无故不参加</w:t>
      </w:r>
      <w:r>
        <w:rPr>
          <w:rFonts w:hint="eastAsia" w:ascii="宋体" w:hAnsi="宋体" w:cs="宋体"/>
          <w:color w:val="auto"/>
          <w:kern w:val="2"/>
          <w:sz w:val="24"/>
          <w:szCs w:val="24"/>
          <w:highlight w:val="none"/>
          <w:lang w:val="en-US" w:eastAsia="zh-CN" w:bidi="ar-SA"/>
          <w14:ligatures w14:val="none"/>
        </w:rPr>
        <w:t>行政复议</w:t>
      </w:r>
      <w:r>
        <w:rPr>
          <w:rFonts w:hint="eastAsia" w:ascii="宋体" w:hAnsi="宋体" w:eastAsia="宋体" w:cs="宋体"/>
          <w:color w:val="auto"/>
          <w:kern w:val="2"/>
          <w:sz w:val="24"/>
          <w:szCs w:val="24"/>
          <w:highlight w:val="none"/>
          <w:lang w:val="en-US" w:eastAsia="zh-CN" w:bidi="ar-SA"/>
          <w14:ligatures w14:val="none"/>
        </w:rPr>
        <w:t>值班或不接受法律服务工作安排的；</w:t>
      </w:r>
    </w:p>
    <w:p w14:paraId="144297DE">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3.5、办理法律服务案件质量不佳，经甲方办案考核不合格的；</w:t>
      </w:r>
    </w:p>
    <w:p w14:paraId="53458F1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3.6、未按要求完成</w:t>
      </w:r>
      <w:r>
        <w:rPr>
          <w:rFonts w:hint="eastAsia" w:ascii="宋体" w:hAnsi="宋体" w:cs="宋体"/>
          <w:color w:val="auto"/>
          <w:kern w:val="2"/>
          <w:sz w:val="24"/>
          <w:szCs w:val="24"/>
          <w:highlight w:val="none"/>
          <w:lang w:val="en-US" w:eastAsia="zh-CN" w:bidi="ar-SA"/>
          <w14:ligatures w14:val="none"/>
        </w:rPr>
        <w:t>甲</w:t>
      </w:r>
      <w:r>
        <w:rPr>
          <w:rFonts w:hint="eastAsia" w:ascii="宋体" w:hAnsi="宋体" w:eastAsia="宋体" w:cs="宋体"/>
          <w:color w:val="auto"/>
          <w:kern w:val="2"/>
          <w:sz w:val="24"/>
          <w:szCs w:val="24"/>
          <w:highlight w:val="none"/>
          <w:lang w:val="en-US" w:eastAsia="zh-CN" w:bidi="ar-SA"/>
          <w14:ligatures w14:val="none"/>
        </w:rPr>
        <w:t>方交办的其他相关工作。</w:t>
      </w:r>
    </w:p>
    <w:p w14:paraId="4D4CBB1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w:t>
      </w:r>
      <w:r>
        <w:rPr>
          <w:rFonts w:hint="eastAsia" w:ascii="宋体" w:hAnsi="宋体" w:cs="宋体"/>
          <w:color w:val="auto"/>
          <w:kern w:val="2"/>
          <w:sz w:val="24"/>
          <w:szCs w:val="24"/>
          <w:highlight w:val="none"/>
          <w:lang w:val="en-US" w:eastAsia="zh-CN" w:bidi="ar-SA"/>
          <w14:ligatures w14:val="none"/>
        </w:rPr>
        <w:t>合同</w:t>
      </w:r>
      <w:r>
        <w:rPr>
          <w:rFonts w:hint="eastAsia" w:ascii="宋体" w:hAnsi="宋体" w:eastAsia="宋体" w:cs="宋体"/>
          <w:color w:val="auto"/>
          <w:kern w:val="2"/>
          <w:sz w:val="24"/>
          <w:szCs w:val="24"/>
          <w:highlight w:val="none"/>
          <w:lang w:val="en-US" w:eastAsia="zh-CN" w:bidi="ar-SA"/>
          <w14:ligatures w14:val="none"/>
        </w:rPr>
        <w:t>变更或终止，均需提前30日通知对方。乙方应安排派驻法律服务人员在5个工作日内办理工作交接。</w:t>
      </w:r>
    </w:p>
    <w:p w14:paraId="0012C72C">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十、争议的解决方式</w:t>
      </w:r>
    </w:p>
    <w:p w14:paraId="39B3F798">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1、在结算或者执行本协议的过程中出现疑问或发生争议时，双方应通过协商方式解决。</w:t>
      </w:r>
    </w:p>
    <w:p w14:paraId="26D8109A">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2、因本合同引起的或与本合同有关的经协商不能解决的任何争议，由甲方所在地人民法院管辖。</w:t>
      </w:r>
    </w:p>
    <w:p w14:paraId="0DB2906E">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十一、合同生效：本合同</w:t>
      </w:r>
      <w:r>
        <w:rPr>
          <w:rFonts w:hint="eastAsia" w:ascii="宋体" w:hAnsi="宋体" w:cs="宋体"/>
          <w:color w:val="auto"/>
          <w:kern w:val="2"/>
          <w:sz w:val="24"/>
          <w:szCs w:val="24"/>
          <w:highlight w:val="none"/>
          <w:lang w:val="en-US" w:eastAsia="zh-CN" w:bidi="ar-SA"/>
          <w14:ligatures w14:val="none"/>
        </w:rPr>
        <w:t>一式两份，未尽事宜可以签订补充合同。本合同</w:t>
      </w:r>
      <w:r>
        <w:rPr>
          <w:rFonts w:hint="eastAsia" w:ascii="宋体" w:hAnsi="宋体" w:eastAsia="宋体" w:cs="宋体"/>
          <w:color w:val="auto"/>
          <w:kern w:val="2"/>
          <w:sz w:val="24"/>
          <w:szCs w:val="24"/>
          <w:highlight w:val="none"/>
          <w:lang w:val="en-US" w:eastAsia="zh-CN" w:bidi="ar-SA"/>
          <w14:ligatures w14:val="none"/>
        </w:rPr>
        <w:t>经甲乙双方法定（授权）代表人签署并加盖单位公章后生效。</w:t>
      </w:r>
    </w:p>
    <w:p w14:paraId="637CFA95">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甲方：南京市江宁区司法局（盖章）</w:t>
      </w:r>
      <w:r>
        <w:rPr>
          <w:rFonts w:hint="eastAsia" w:ascii="宋体" w:hAnsi="宋体" w:eastAsia="宋体" w:cs="宋体"/>
          <w:color w:val="auto"/>
          <w:kern w:val="2"/>
          <w:sz w:val="24"/>
          <w:szCs w:val="24"/>
          <w:highlight w:val="none"/>
          <w:lang w:val="en-US" w:eastAsia="zh-CN" w:bidi="ar-SA"/>
          <w14:ligatures w14:val="none"/>
        </w:rPr>
        <w:tab/>
      </w:r>
    </w:p>
    <w:p w14:paraId="4FC3B3A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地址：江宁区金箔路776号</w:t>
      </w:r>
      <w:r>
        <w:rPr>
          <w:rFonts w:hint="eastAsia" w:ascii="宋体" w:hAnsi="宋体" w:eastAsia="宋体" w:cs="宋体"/>
          <w:color w:val="auto"/>
          <w:kern w:val="2"/>
          <w:sz w:val="24"/>
          <w:szCs w:val="24"/>
          <w:highlight w:val="none"/>
          <w:lang w:val="en-US" w:eastAsia="zh-CN" w:bidi="ar-SA"/>
          <w14:ligatures w14:val="none"/>
        </w:rPr>
        <w:tab/>
      </w:r>
    </w:p>
    <w:p w14:paraId="09A1D43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法定（授权）代表人：</w:t>
      </w:r>
      <w:r>
        <w:rPr>
          <w:rFonts w:hint="eastAsia" w:ascii="宋体" w:hAnsi="宋体" w:eastAsia="宋体" w:cs="宋体"/>
          <w:color w:val="auto"/>
          <w:kern w:val="2"/>
          <w:sz w:val="24"/>
          <w:szCs w:val="24"/>
          <w:highlight w:val="none"/>
          <w:lang w:val="en-US" w:eastAsia="zh-CN" w:bidi="ar-SA"/>
          <w14:ligatures w14:val="none"/>
        </w:rPr>
        <w:tab/>
      </w:r>
    </w:p>
    <w:p w14:paraId="7B100A4A">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联系电话：025-51197969</w:t>
      </w:r>
      <w:r>
        <w:rPr>
          <w:rFonts w:hint="eastAsia" w:ascii="宋体" w:hAnsi="宋体" w:eastAsia="宋体" w:cs="宋体"/>
          <w:color w:val="auto"/>
          <w:kern w:val="2"/>
          <w:sz w:val="24"/>
          <w:szCs w:val="24"/>
          <w:highlight w:val="none"/>
          <w:lang w:val="en-US" w:eastAsia="zh-CN" w:bidi="ar-SA"/>
          <w14:ligatures w14:val="none"/>
        </w:rPr>
        <w:tab/>
      </w:r>
    </w:p>
    <w:p w14:paraId="6A67247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年   月   日</w:t>
      </w:r>
      <w:r>
        <w:rPr>
          <w:rFonts w:hint="eastAsia" w:ascii="宋体" w:hAnsi="宋体" w:eastAsia="宋体" w:cs="宋体"/>
          <w:color w:val="auto"/>
          <w:kern w:val="2"/>
          <w:sz w:val="24"/>
          <w:szCs w:val="24"/>
          <w:highlight w:val="none"/>
          <w:lang w:val="en-US" w:eastAsia="zh-CN" w:bidi="ar-SA"/>
          <w14:ligatures w14:val="none"/>
        </w:rPr>
        <w:tab/>
      </w:r>
    </w:p>
    <w:p w14:paraId="2B45982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 xml:space="preserve">乙方：                        （盖章） </w:t>
      </w:r>
      <w:r>
        <w:rPr>
          <w:rFonts w:hint="eastAsia" w:ascii="宋体" w:hAnsi="宋体" w:eastAsia="宋体" w:cs="宋体"/>
          <w:color w:val="auto"/>
          <w:kern w:val="2"/>
          <w:sz w:val="24"/>
          <w:szCs w:val="24"/>
          <w:highlight w:val="none"/>
          <w:lang w:val="en-US" w:eastAsia="zh-CN" w:bidi="ar-SA"/>
          <w14:ligatures w14:val="none"/>
        </w:rPr>
        <w:tab/>
      </w:r>
    </w:p>
    <w:p w14:paraId="35C66F48">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地址：</w:t>
      </w:r>
      <w:r>
        <w:rPr>
          <w:rFonts w:hint="eastAsia" w:ascii="宋体" w:hAnsi="宋体" w:eastAsia="宋体" w:cs="宋体"/>
          <w:color w:val="auto"/>
          <w:kern w:val="2"/>
          <w:sz w:val="24"/>
          <w:szCs w:val="24"/>
          <w:highlight w:val="none"/>
          <w:lang w:val="en-US" w:eastAsia="zh-CN" w:bidi="ar-SA"/>
          <w14:ligatures w14:val="none"/>
        </w:rPr>
        <w:tab/>
      </w:r>
    </w:p>
    <w:p w14:paraId="4A3A2D0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法定（授权）代表人：</w:t>
      </w:r>
      <w:r>
        <w:rPr>
          <w:rFonts w:hint="eastAsia" w:ascii="宋体" w:hAnsi="宋体" w:eastAsia="宋体" w:cs="宋体"/>
          <w:color w:val="auto"/>
          <w:kern w:val="2"/>
          <w:sz w:val="24"/>
          <w:szCs w:val="24"/>
          <w:highlight w:val="none"/>
          <w:lang w:val="en-US" w:eastAsia="zh-CN" w:bidi="ar-SA"/>
          <w14:ligatures w14:val="none"/>
        </w:rPr>
        <w:tab/>
      </w:r>
    </w:p>
    <w:p w14:paraId="47A90E8E">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户名：</w:t>
      </w:r>
      <w:r>
        <w:rPr>
          <w:rFonts w:hint="eastAsia" w:ascii="宋体" w:hAnsi="宋体" w:eastAsia="宋体" w:cs="宋体"/>
          <w:color w:val="auto"/>
          <w:kern w:val="2"/>
          <w:sz w:val="24"/>
          <w:szCs w:val="24"/>
          <w:highlight w:val="none"/>
          <w:lang w:val="en-US" w:eastAsia="zh-CN" w:bidi="ar-SA"/>
          <w14:ligatures w14:val="none"/>
        </w:rPr>
        <w:tab/>
      </w:r>
    </w:p>
    <w:p w14:paraId="5745ABEB">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开户银行：</w:t>
      </w:r>
      <w:r>
        <w:rPr>
          <w:rFonts w:hint="eastAsia" w:ascii="宋体" w:hAnsi="宋体" w:eastAsia="宋体" w:cs="宋体"/>
          <w:color w:val="auto"/>
          <w:kern w:val="2"/>
          <w:sz w:val="24"/>
          <w:szCs w:val="24"/>
          <w:highlight w:val="none"/>
          <w:lang w:val="en-US" w:eastAsia="zh-CN" w:bidi="ar-SA"/>
          <w14:ligatures w14:val="none"/>
        </w:rPr>
        <w:tab/>
      </w:r>
    </w:p>
    <w:p w14:paraId="2E69E89B">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 xml:space="preserve">账号： </w:t>
      </w:r>
      <w:r>
        <w:rPr>
          <w:rFonts w:hint="eastAsia" w:ascii="宋体" w:hAnsi="宋体" w:eastAsia="宋体" w:cs="宋体"/>
          <w:color w:val="auto"/>
          <w:kern w:val="2"/>
          <w:sz w:val="24"/>
          <w:szCs w:val="24"/>
          <w:highlight w:val="none"/>
          <w:lang w:val="en-US" w:eastAsia="zh-CN" w:bidi="ar-SA"/>
          <w14:ligatures w14:val="none"/>
        </w:rPr>
        <w:tab/>
      </w:r>
    </w:p>
    <w:p w14:paraId="2C5AC77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联系电话：</w:t>
      </w:r>
      <w:r>
        <w:rPr>
          <w:rFonts w:hint="eastAsia" w:ascii="宋体" w:hAnsi="宋体" w:eastAsia="宋体" w:cs="宋体"/>
          <w:color w:val="auto"/>
          <w:kern w:val="2"/>
          <w:sz w:val="24"/>
          <w:szCs w:val="24"/>
          <w:highlight w:val="none"/>
          <w:lang w:val="en-US" w:eastAsia="zh-CN" w:bidi="ar-SA"/>
          <w14:ligatures w14:val="none"/>
        </w:rPr>
        <w:tab/>
      </w:r>
    </w:p>
    <w:p w14:paraId="4C951EA6">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年   月  日</w:t>
      </w:r>
    </w:p>
    <w:p w14:paraId="46BE90FC">
      <w:pPr>
        <w:widowControl w:val="0"/>
        <w:numPr>
          <w:ilvl w:val="0"/>
          <w:numId w:val="0"/>
        </w:numPr>
        <w:spacing w:after="120" w:line="360" w:lineRule="auto"/>
        <w:ind w:left="840" w:leftChars="0" w:firstLine="420"/>
        <w:jc w:val="both"/>
        <w:rPr>
          <w:rFonts w:hint="default" w:ascii="方正仿宋简体" w:hAnsi="方正仿宋简体" w:eastAsia="方正仿宋简体" w:cs="方正仿宋简体"/>
          <w:kern w:val="2"/>
          <w:sz w:val="32"/>
          <w:szCs w:val="32"/>
          <w:lang w:val="en-US" w:eastAsia="zh-CN" w:bidi="ar-SA"/>
          <w14:ligatures w14:val="none"/>
        </w:rPr>
      </w:pPr>
    </w:p>
    <w:p w14:paraId="3BA4AF81">
      <w:pPr>
        <w:widowControl w:val="0"/>
        <w:spacing w:after="120" w:line="360" w:lineRule="auto"/>
        <w:ind w:left="0" w:leftChars="0" w:firstLine="480" w:firstLineChars="200"/>
        <w:jc w:val="both"/>
        <w:rPr>
          <w:rFonts w:hint="eastAsia" w:ascii="宋体" w:hAnsi="宋体" w:eastAsia="宋体" w:cs="宋体"/>
          <w:color w:val="auto"/>
          <w:kern w:val="2"/>
          <w:sz w:val="24"/>
          <w:szCs w:val="24"/>
          <w:highlight w:val="none"/>
          <w:lang w:val="en-US" w:eastAsia="zh-CN" w:bidi="ar-SA"/>
          <w14:ligatures w14:val="none"/>
        </w:rPr>
        <w:sectPr>
          <w:headerReference r:id="rId4" w:type="default"/>
          <w:footerReference r:id="rId5" w:type="default"/>
          <w:pgSz w:w="11906" w:h="16838"/>
          <w:pgMar w:top="1418" w:right="1081" w:bottom="1418" w:left="1365" w:header="851" w:footer="907" w:gutter="0"/>
          <w:pgNumType w:fmt="decimal"/>
          <w:cols w:space="720" w:num="1"/>
          <w:titlePg/>
          <w:docGrid w:linePitch="360" w:charSpace="0"/>
        </w:sectPr>
      </w:pPr>
    </w:p>
    <w:p w14:paraId="0B6C3019">
      <w:pPr>
        <w:spacing w:before="0" w:after="0" w:line="240" w:lineRule="auto"/>
        <w:jc w:val="center"/>
        <w:outlineLvl w:val="9"/>
        <w:rPr>
          <w:rFonts w:hint="default"/>
          <w:bCs/>
          <w:color w:val="auto"/>
          <w:kern w:val="2"/>
          <w:sz w:val="32"/>
          <w:szCs w:val="32"/>
          <w:highlight w:val="none"/>
          <w14:ligatures w14:val="none"/>
        </w:rPr>
      </w:pPr>
      <w:r>
        <w:rPr>
          <w:rFonts w:hint="eastAsia" w:ascii="宋体" w:hAnsi="宋体" w:eastAsia="宋体" w:cs="宋体"/>
          <w:b/>
          <w:bCs/>
          <w:color w:val="auto"/>
          <w:kern w:val="2"/>
          <w:sz w:val="32"/>
          <w:szCs w:val="32"/>
          <w:highlight w:val="none"/>
          <w14:ligatures w14:val="none"/>
        </w:rPr>
        <w:t>南京市江宁区司法局</w:t>
      </w:r>
      <w:r>
        <w:rPr>
          <w:rFonts w:hint="eastAsia" w:ascii="宋体" w:hAnsi="宋体" w:eastAsia="宋体" w:cs="宋体"/>
          <w:b/>
          <w:bCs/>
          <w:color w:val="auto"/>
          <w:kern w:val="2"/>
          <w:sz w:val="32"/>
          <w:szCs w:val="32"/>
          <w:highlight w:val="none"/>
          <w:lang w:val="en-US" w:eastAsia="zh-CN"/>
          <w14:ligatures w14:val="none"/>
        </w:rPr>
        <w:t>律师法律服务</w:t>
      </w:r>
      <w:r>
        <w:rPr>
          <w:rFonts w:hint="eastAsia" w:ascii="宋体" w:hAnsi="宋体" w:eastAsia="宋体" w:cs="宋体"/>
          <w:b/>
          <w:bCs/>
          <w:color w:val="auto"/>
          <w:kern w:val="2"/>
          <w:sz w:val="32"/>
          <w:szCs w:val="32"/>
          <w:highlight w:val="none"/>
          <w14:ligatures w14:val="none"/>
        </w:rPr>
        <w:t>项目采购合同</w:t>
      </w:r>
    </w:p>
    <w:p w14:paraId="78DF5B8C">
      <w:pPr>
        <w:keepNext w:val="0"/>
        <w:keepLines w:val="0"/>
        <w:pageBreakBefore w:val="0"/>
        <w:spacing w:after="0" w:line="360" w:lineRule="auto"/>
        <w:ind w:firstLine="420"/>
        <w:jc w:val="center"/>
        <w:rPr>
          <w:rFonts w:hint="eastAsia" w:ascii="宋体" w:hAnsi="宋体" w:eastAsia="宋体" w:cs="宋体"/>
          <w:color w:val="auto"/>
          <w:kern w:val="2"/>
          <w:sz w:val="24"/>
          <w:szCs w:val="24"/>
          <w:highlight w:val="none"/>
          <w:lang w:eastAsia="zh-CN"/>
          <w14:ligatures w14:val="none"/>
        </w:rPr>
      </w:pPr>
      <w:r>
        <w:rPr>
          <w:rFonts w:hint="eastAsia" w:ascii="宋体" w:hAnsi="宋体" w:eastAsia="宋体" w:cs="宋体"/>
          <w:color w:val="auto"/>
          <w:kern w:val="2"/>
          <w:sz w:val="24"/>
          <w:szCs w:val="24"/>
          <w:highlight w:val="none"/>
          <w:lang w:eastAsia="zh-CN"/>
          <w14:ligatures w14:val="none"/>
        </w:rPr>
        <w:t>（</w:t>
      </w:r>
      <w:r>
        <w:rPr>
          <w:rFonts w:hint="eastAsia" w:ascii="宋体" w:hAnsi="宋体" w:eastAsia="宋体" w:cs="宋体"/>
          <w:color w:val="auto"/>
          <w:kern w:val="2"/>
          <w:sz w:val="24"/>
          <w:szCs w:val="24"/>
          <w:highlight w:val="none"/>
          <w:lang w:val="en-US" w:eastAsia="zh-CN"/>
          <w14:ligatures w14:val="none"/>
        </w:rPr>
        <w:t>法律援助</w:t>
      </w:r>
      <w:r>
        <w:rPr>
          <w:rFonts w:hint="eastAsia" w:ascii="宋体" w:hAnsi="宋体" w:eastAsia="宋体" w:cs="宋体"/>
          <w:color w:val="auto"/>
          <w:kern w:val="2"/>
          <w:sz w:val="24"/>
          <w:szCs w:val="24"/>
          <w:highlight w:val="none"/>
          <w:lang w:eastAsia="zh-CN"/>
          <w14:ligatures w14:val="none"/>
        </w:rPr>
        <w:t>）</w:t>
      </w:r>
    </w:p>
    <w:p w14:paraId="532E7191">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lang w:eastAsia="zh-CN"/>
          <w14:ligatures w14:val="none"/>
        </w:rPr>
      </w:pPr>
      <w:r>
        <w:rPr>
          <w:rFonts w:hint="eastAsia" w:ascii="宋体" w:hAnsi="宋体" w:eastAsia="宋体" w:cs="宋体"/>
          <w:color w:val="auto"/>
          <w:kern w:val="2"/>
          <w:sz w:val="24"/>
          <w:szCs w:val="24"/>
          <w:highlight w:val="none"/>
          <w14:ligatures w14:val="none"/>
        </w:rPr>
        <w:t>甲方：</w:t>
      </w:r>
      <w:r>
        <w:rPr>
          <w:rFonts w:hint="eastAsia" w:ascii="宋体" w:hAnsi="宋体" w:eastAsia="宋体" w:cs="宋体"/>
          <w:color w:val="auto"/>
          <w:kern w:val="2"/>
          <w:sz w:val="24"/>
          <w:szCs w:val="24"/>
          <w:highlight w:val="none"/>
          <w:lang w:eastAsia="zh-CN"/>
          <w14:ligatures w14:val="none"/>
        </w:rPr>
        <w:t>南京市江宁区司法局</w:t>
      </w:r>
    </w:p>
    <w:p w14:paraId="2FAE5AC9">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14:ligatures w14:val="none"/>
        </w:rPr>
      </w:pPr>
      <w:r>
        <w:rPr>
          <w:rFonts w:hint="eastAsia" w:ascii="宋体" w:hAnsi="宋体" w:eastAsia="宋体" w:cs="宋体"/>
          <w:color w:val="auto"/>
          <w:kern w:val="2"/>
          <w:sz w:val="24"/>
          <w:szCs w:val="24"/>
          <w:highlight w:val="none"/>
          <w14:ligatures w14:val="none"/>
        </w:rPr>
        <w:t>乙方：</w:t>
      </w:r>
    </w:p>
    <w:p w14:paraId="21FB4ACE">
      <w:pPr>
        <w:keepNext w:val="0"/>
        <w:keepLines w:val="0"/>
        <w:pageBreakBefore w:val="0"/>
        <w:spacing w:after="0" w:line="360" w:lineRule="auto"/>
        <w:ind w:firstLine="420"/>
        <w:jc w:val="both"/>
        <w:rPr>
          <w:rFonts w:hint="eastAsia" w:ascii="宋体" w:hAnsi="宋体" w:eastAsia="宋体" w:cs="宋体"/>
          <w:color w:val="auto"/>
          <w:kern w:val="2"/>
          <w:sz w:val="24"/>
          <w:szCs w:val="24"/>
          <w:highlight w:val="none"/>
          <w14:ligatures w14:val="none"/>
        </w:rPr>
      </w:pPr>
      <w:r>
        <w:rPr>
          <w:rFonts w:hint="eastAsia" w:ascii="宋体" w:hAnsi="宋体" w:eastAsia="宋体" w:cs="宋体"/>
          <w:color w:val="auto"/>
          <w:kern w:val="2"/>
          <w:sz w:val="24"/>
          <w:szCs w:val="24"/>
          <w:highlight w:val="none"/>
          <w14:ligatures w14:val="none"/>
        </w:rPr>
        <w:t>为满足人民群众日益增长的法律</w:t>
      </w:r>
      <w:r>
        <w:rPr>
          <w:rFonts w:hint="eastAsia" w:ascii="宋体" w:hAnsi="宋体" w:eastAsia="宋体" w:cs="宋体"/>
          <w:color w:val="auto"/>
          <w:kern w:val="2"/>
          <w:sz w:val="24"/>
          <w:szCs w:val="24"/>
          <w:highlight w:val="none"/>
          <w:lang w:eastAsia="zh-CN"/>
          <w14:ligatures w14:val="none"/>
        </w:rPr>
        <w:t>援助</w:t>
      </w:r>
      <w:r>
        <w:rPr>
          <w:rFonts w:hint="eastAsia" w:ascii="宋体" w:hAnsi="宋体" w:eastAsia="宋体" w:cs="宋体"/>
          <w:color w:val="auto"/>
          <w:kern w:val="2"/>
          <w:sz w:val="24"/>
          <w:szCs w:val="24"/>
          <w:highlight w:val="none"/>
          <w14:ligatures w14:val="none"/>
        </w:rPr>
        <w:t>服务需求，全面提升甲方法律服务能力和服务水平</w:t>
      </w:r>
      <w:r>
        <w:rPr>
          <w:rFonts w:hint="eastAsia" w:ascii="宋体" w:hAnsi="宋体" w:eastAsia="宋体" w:cs="宋体"/>
          <w:color w:val="auto"/>
          <w:kern w:val="2"/>
          <w:sz w:val="24"/>
          <w:szCs w:val="24"/>
          <w:highlight w:val="none"/>
          <w:lang w:eastAsia="zh-CN"/>
          <w14:ligatures w14:val="none"/>
        </w:rPr>
        <w:t>，</w:t>
      </w:r>
      <w:r>
        <w:rPr>
          <w:rFonts w:hint="eastAsia" w:ascii="宋体" w:hAnsi="宋体" w:eastAsia="宋体" w:cs="宋体"/>
          <w:color w:val="auto"/>
          <w:kern w:val="2"/>
          <w:sz w:val="24"/>
          <w:szCs w:val="24"/>
          <w:highlight w:val="none"/>
          <w14:ligatures w14:val="none"/>
        </w:rPr>
        <w:t>推动我区法律</w:t>
      </w:r>
      <w:r>
        <w:rPr>
          <w:rFonts w:hint="eastAsia" w:ascii="宋体" w:hAnsi="宋体" w:eastAsia="宋体" w:cs="宋体"/>
          <w:color w:val="auto"/>
          <w:kern w:val="2"/>
          <w:sz w:val="24"/>
          <w:szCs w:val="24"/>
          <w:highlight w:val="none"/>
          <w:lang w:eastAsia="zh-CN"/>
          <w14:ligatures w14:val="none"/>
        </w:rPr>
        <w:t>援助</w:t>
      </w:r>
      <w:r>
        <w:rPr>
          <w:rFonts w:hint="eastAsia" w:ascii="宋体" w:hAnsi="宋体" w:eastAsia="宋体" w:cs="宋体"/>
          <w:color w:val="auto"/>
          <w:kern w:val="2"/>
          <w:sz w:val="24"/>
          <w:szCs w:val="24"/>
          <w:highlight w:val="none"/>
          <w14:ligatures w14:val="none"/>
        </w:rPr>
        <w:t>工作高质量发展，经</w:t>
      </w:r>
      <w:r>
        <w:rPr>
          <w:rFonts w:hint="eastAsia" w:ascii="宋体" w:hAnsi="宋体" w:eastAsia="宋体" w:cs="宋体"/>
          <w:color w:val="auto"/>
          <w:kern w:val="2"/>
          <w:sz w:val="24"/>
          <w:szCs w:val="24"/>
          <w:highlight w:val="none"/>
          <w:lang w:val="en-US" w:eastAsia="zh-CN"/>
          <w14:ligatures w14:val="none"/>
        </w:rPr>
        <w:t>甲乙双方</w:t>
      </w:r>
      <w:r>
        <w:rPr>
          <w:rFonts w:hint="eastAsia" w:ascii="宋体" w:hAnsi="宋体" w:eastAsia="宋体" w:cs="宋体"/>
          <w:color w:val="auto"/>
          <w:kern w:val="2"/>
          <w:sz w:val="24"/>
          <w:szCs w:val="24"/>
          <w:highlight w:val="none"/>
          <w14:ligatures w14:val="none"/>
        </w:rPr>
        <w:t>协商一致，签订如下协议</w:t>
      </w:r>
      <w:r>
        <w:rPr>
          <w:rFonts w:hint="eastAsia" w:ascii="宋体" w:hAnsi="宋体" w:eastAsia="宋体" w:cs="宋体"/>
          <w:color w:val="auto"/>
          <w:kern w:val="2"/>
          <w:sz w:val="24"/>
          <w:szCs w:val="24"/>
          <w:highlight w:val="none"/>
          <w:lang w:eastAsia="zh-CN"/>
          <w14:ligatures w14:val="none"/>
        </w:rPr>
        <w:t>：</w:t>
      </w:r>
    </w:p>
    <w:p w14:paraId="655605E9">
      <w:pPr>
        <w:keepNext w:val="0"/>
        <w:keepLines w:val="0"/>
        <w:pageBreakBefore w:val="0"/>
        <w:widowControl w:val="0"/>
        <w:spacing w:after="0" w:line="360" w:lineRule="auto"/>
        <w:ind w:left="0"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一、合同标的</w:t>
      </w:r>
    </w:p>
    <w:p w14:paraId="0EB5BA0A">
      <w:pPr>
        <w:keepNext w:val="0"/>
        <w:keepLines w:val="0"/>
        <w:pageBreakBefore w:val="0"/>
        <w:widowControl w:val="0"/>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甲方根据工作需要，采购法律服务，乙方派驻</w:t>
      </w:r>
      <w:r>
        <w:rPr>
          <w:rFonts w:hint="eastAsia" w:ascii="宋体" w:hAnsi="宋体" w:eastAsia="宋体" w:cs="宋体"/>
          <w:color w:val="auto"/>
          <w:kern w:val="2"/>
          <w:sz w:val="24"/>
          <w:szCs w:val="24"/>
          <w:highlight w:val="none"/>
          <w:u w:val="single"/>
          <w:lang w:val="en-US" w:eastAsia="zh-CN" w:bidi="ar-SA"/>
          <w14:ligatures w14:val="none"/>
        </w:rPr>
        <w:t xml:space="preserve">          </w:t>
      </w:r>
      <w:r>
        <w:rPr>
          <w:rFonts w:hint="eastAsia" w:ascii="宋体" w:hAnsi="宋体" w:eastAsia="宋体" w:cs="宋体"/>
          <w:color w:val="auto"/>
          <w:kern w:val="2"/>
          <w:sz w:val="24"/>
          <w:szCs w:val="24"/>
          <w:highlight w:val="none"/>
          <w:lang w:val="en-US" w:eastAsia="zh-CN" w:bidi="ar-SA"/>
          <w14:ligatures w14:val="none"/>
        </w:rPr>
        <w:t>法律服务人员团队（填写负责人姓名）参与并协助法律服务工作。法律服务团队人员以签订本合同时为准，团队人数可以大于或等于投标文件承诺人数，乙方应当同时提供法律服务人员团队名册（含个人信息和擅长法律领域）。甲方依据名册建立法律服务律师库，甲方在律师库里指派法律服务律师（基层法律服务工作者）参与法律服务相关工作。</w:t>
      </w:r>
    </w:p>
    <w:p w14:paraId="4D77A8F4">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cs="宋体"/>
          <w:color w:val="auto"/>
          <w:kern w:val="2"/>
          <w:sz w:val="24"/>
          <w:szCs w:val="24"/>
          <w:lang w:val="en-US" w:eastAsia="zh-CN" w:bidi="ar-SA"/>
          <w14:ligatures w14:val="none"/>
        </w:rPr>
        <w:t>二</w:t>
      </w:r>
      <w:r>
        <w:rPr>
          <w:rFonts w:hint="eastAsia" w:ascii="宋体" w:hAnsi="宋体" w:eastAsia="宋体" w:cs="宋体"/>
          <w:color w:val="auto"/>
          <w:kern w:val="2"/>
          <w:sz w:val="24"/>
          <w:szCs w:val="24"/>
          <w:lang w:val="en-US" w:eastAsia="zh-CN" w:bidi="ar-SA"/>
          <w14:ligatures w14:val="none"/>
        </w:rPr>
        <w:t>、</w:t>
      </w:r>
      <w:r>
        <w:rPr>
          <w:rFonts w:hint="eastAsia" w:ascii="宋体" w:hAnsi="宋体" w:eastAsia="宋体" w:cs="宋体"/>
          <w:color w:val="auto"/>
          <w:kern w:val="2"/>
          <w:sz w:val="24"/>
          <w:szCs w:val="24"/>
          <w:highlight w:val="none"/>
          <w:lang w:val="en-US" w:eastAsia="zh-CN" w:bidi="ar-SA"/>
          <w14:ligatures w14:val="none"/>
        </w:rPr>
        <w:t>合同价款：本项目投标报价优惠率</w:t>
      </w:r>
      <w:r>
        <w:rPr>
          <w:rFonts w:hint="eastAsia" w:ascii="宋体" w:hAnsi="宋体" w:eastAsia="宋体" w:cs="宋体"/>
          <w:color w:val="auto"/>
          <w:kern w:val="2"/>
          <w:sz w:val="24"/>
          <w:szCs w:val="24"/>
          <w:highlight w:val="none"/>
          <w:u w:val="single"/>
          <w:lang w:val="en-US" w:eastAsia="zh-CN" w:bidi="ar-SA"/>
          <w14:ligatures w14:val="none"/>
        </w:rPr>
        <w:t xml:space="preserve">         </w:t>
      </w:r>
      <w:r>
        <w:rPr>
          <w:rFonts w:hint="eastAsia" w:ascii="宋体" w:hAnsi="宋体" w:eastAsia="宋体" w:cs="宋体"/>
          <w:color w:val="auto"/>
          <w:kern w:val="2"/>
          <w:sz w:val="24"/>
          <w:szCs w:val="24"/>
          <w:highlight w:val="none"/>
          <w:u w:val="none"/>
          <w:lang w:val="en-US" w:eastAsia="zh-CN" w:bidi="ar-SA"/>
          <w14:ligatures w14:val="none"/>
        </w:rPr>
        <w:t>% ；优惠后本次合同金额</w:t>
      </w:r>
    </w:p>
    <w:p w14:paraId="73AE4898">
      <w:pPr>
        <w:keepNext w:val="0"/>
        <w:keepLines w:val="0"/>
        <w:pageBreakBefore w:val="0"/>
        <w:widowControl w:val="0"/>
        <w:numPr>
          <w:ilvl w:val="-1"/>
          <w:numId w:val="0"/>
        </w:numPr>
        <w:spacing w:after="0" w:line="360" w:lineRule="auto"/>
        <w:ind w:firstLine="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u w:val="single"/>
          <w:lang w:val="en-US" w:eastAsia="zh-CN" w:bidi="ar-SA"/>
          <w14:ligatures w14:val="none"/>
        </w:rPr>
        <w:t xml:space="preserve">               </w:t>
      </w:r>
      <w:r>
        <w:rPr>
          <w:rFonts w:hint="eastAsia" w:ascii="宋体" w:hAnsi="宋体" w:eastAsia="宋体" w:cs="宋体"/>
          <w:color w:val="auto"/>
          <w:kern w:val="2"/>
          <w:sz w:val="24"/>
          <w:szCs w:val="24"/>
          <w:highlight w:val="none"/>
          <w:u w:val="none"/>
          <w:lang w:val="en-US" w:eastAsia="zh-CN" w:bidi="ar-SA"/>
          <w14:ligatures w14:val="none"/>
        </w:rPr>
        <w:t xml:space="preserve">元,具体见附件。        </w:t>
      </w:r>
    </w:p>
    <w:p w14:paraId="47B15E81">
      <w:pPr>
        <w:keepNext w:val="0"/>
        <w:keepLines w:val="0"/>
        <w:pageBreakBefore w:val="0"/>
        <w:widowControl w:val="0"/>
        <w:numPr>
          <w:ilvl w:val="0"/>
          <w:numId w:val="0"/>
        </w:numPr>
        <w:spacing w:after="0" w:line="360" w:lineRule="auto"/>
        <w:ind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三、服务范围及要求</w:t>
      </w:r>
    </w:p>
    <w:p w14:paraId="21783999">
      <w:pPr>
        <w:pageBreakBefore w:val="0"/>
        <w:widowControl w:val="0"/>
        <w:numPr>
          <w:ilvl w:val="0"/>
          <w:numId w:val="0"/>
        </w:numPr>
        <w:spacing w:after="0" w:line="540" w:lineRule="exact"/>
        <w:ind w:firstLine="420"/>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项目的服务范围，包含但不限于以下内容：入围供应商派驻法律援助人员（律师、基层法律服务工作者）按照采购人下属事业单位江宁区法律援助中心的指派，在法律援助窗口、工作站点值班；提供接待法律咨询、代办法律援助申请、代书服务；完成办理案件、卷宗归档、质量评估等工作；配合区法律援助中心做好法律援助宣传及志愿等服务；完成与法律援助相关的其它工作。</w:t>
      </w:r>
    </w:p>
    <w:p w14:paraId="4FE81764">
      <w:pPr>
        <w:pageBreakBefore w:val="0"/>
        <w:widowControl w:val="0"/>
        <w:numPr>
          <w:ilvl w:val="0"/>
          <w:numId w:val="0"/>
        </w:numPr>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1、</w:t>
      </w:r>
      <w:r>
        <w:rPr>
          <w:rFonts w:hint="eastAsia" w:ascii="宋体" w:hAnsi="宋体" w:eastAsia="宋体" w:cs="宋体"/>
          <w:color w:val="auto"/>
          <w:kern w:val="2"/>
          <w:sz w:val="24"/>
          <w:szCs w:val="24"/>
          <w:highlight w:val="none"/>
          <w:lang w:eastAsia="zh-CN"/>
          <w14:ligatures w14:val="none"/>
        </w:rPr>
        <w:t>法律咨询。根据江宁区法律援助中心工作要求，</w:t>
      </w:r>
      <w:r>
        <w:rPr>
          <w:rFonts w:hint="eastAsia" w:ascii="宋体" w:hAnsi="宋体" w:eastAsia="宋体" w:cs="宋体"/>
          <w:color w:val="auto"/>
          <w:kern w:val="2"/>
          <w:sz w:val="24"/>
          <w:szCs w:val="24"/>
          <w:highlight w:val="none"/>
          <w14:ligatures w14:val="none"/>
        </w:rPr>
        <w:t>在法律援助窗口</w:t>
      </w:r>
      <w:r>
        <w:rPr>
          <w:rFonts w:hint="eastAsia" w:ascii="宋体" w:hAnsi="宋体" w:eastAsia="宋体" w:cs="宋体"/>
          <w:color w:val="auto"/>
          <w:kern w:val="2"/>
          <w:sz w:val="24"/>
          <w:szCs w:val="24"/>
          <w:highlight w:val="none"/>
          <w:lang w:val="en-US" w:eastAsia="zh-CN"/>
          <w14:ligatures w14:val="none"/>
        </w:rPr>
        <w:t>值班</w:t>
      </w:r>
      <w:r>
        <w:rPr>
          <w:rFonts w:hint="eastAsia" w:ascii="宋体" w:hAnsi="宋体" w:eastAsia="宋体" w:cs="宋体"/>
          <w:color w:val="auto"/>
          <w:kern w:val="2"/>
          <w:sz w:val="24"/>
          <w:szCs w:val="24"/>
          <w:highlight w:val="none"/>
          <w14:ligatures w14:val="none"/>
        </w:rPr>
        <w:t>、工作站点值班</w:t>
      </w:r>
      <w:r>
        <w:rPr>
          <w:rFonts w:hint="eastAsia" w:ascii="宋体" w:hAnsi="宋体" w:eastAsia="宋体" w:cs="宋体"/>
          <w:color w:val="auto"/>
          <w:kern w:val="2"/>
          <w:sz w:val="24"/>
          <w:szCs w:val="24"/>
          <w:highlight w:val="none"/>
          <w:lang w:eastAsia="zh-CN"/>
          <w14:ligatures w14:val="none"/>
        </w:rPr>
        <w:t>、参与其他各类法律援助公益活动等，</w:t>
      </w:r>
      <w:r>
        <w:rPr>
          <w:rFonts w:hint="eastAsia" w:ascii="宋体" w:hAnsi="宋体" w:eastAsia="宋体" w:cs="宋体"/>
          <w:color w:val="auto"/>
          <w:kern w:val="2"/>
          <w:sz w:val="24"/>
          <w:szCs w:val="24"/>
          <w:highlight w:val="none"/>
          <w:lang w:val="en-US" w:eastAsia="zh-CN"/>
          <w14:ligatures w14:val="none"/>
        </w:rPr>
        <w:t>具体由采购人指定。</w:t>
      </w:r>
    </w:p>
    <w:p w14:paraId="45D29F18">
      <w:pPr>
        <w:pageBreakBefore w:val="0"/>
        <w:widowControl w:val="0"/>
        <w:numPr>
          <w:ilvl w:val="0"/>
          <w:numId w:val="0"/>
        </w:numPr>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2、</w:t>
      </w:r>
      <w:r>
        <w:rPr>
          <w:rFonts w:hint="eastAsia" w:ascii="宋体" w:hAnsi="宋体" w:eastAsia="宋体" w:cs="宋体"/>
          <w:color w:val="auto"/>
          <w:kern w:val="2"/>
          <w:sz w:val="24"/>
          <w:szCs w:val="24"/>
          <w:highlight w:val="none"/>
          <w:lang w:eastAsia="zh-CN"/>
          <w14:ligatures w14:val="none"/>
        </w:rPr>
        <w:t>代</w:t>
      </w:r>
      <w:r>
        <w:rPr>
          <w:rFonts w:hint="eastAsia" w:ascii="宋体" w:hAnsi="宋体" w:eastAsia="宋体" w:cs="宋体"/>
          <w:color w:val="auto"/>
          <w:kern w:val="2"/>
          <w:sz w:val="24"/>
          <w:szCs w:val="24"/>
          <w:highlight w:val="none"/>
          <w14:ligatures w14:val="none"/>
        </w:rPr>
        <w:t>拟</w:t>
      </w:r>
      <w:r>
        <w:rPr>
          <w:rFonts w:hint="eastAsia" w:ascii="宋体" w:hAnsi="宋体" w:eastAsia="宋体" w:cs="宋体"/>
          <w:color w:val="auto"/>
          <w:kern w:val="2"/>
          <w:sz w:val="24"/>
          <w:szCs w:val="24"/>
          <w:highlight w:val="none"/>
          <w:lang w:eastAsia="zh-CN"/>
          <w14:ligatures w14:val="none"/>
        </w:rPr>
        <w:t>法律文书。经</w:t>
      </w:r>
      <w:r>
        <w:rPr>
          <w:rFonts w:hint="eastAsia" w:ascii="宋体" w:hAnsi="宋体" w:eastAsia="宋体" w:cs="宋体"/>
          <w:color w:val="auto"/>
          <w:kern w:val="2"/>
          <w:sz w:val="24"/>
          <w:szCs w:val="24"/>
          <w:highlight w:val="none"/>
          <w:lang w:val="en-US" w:eastAsia="zh-CN"/>
          <w14:ligatures w14:val="none"/>
        </w:rPr>
        <w:t>区</w:t>
      </w:r>
      <w:r>
        <w:rPr>
          <w:rFonts w:hint="eastAsia" w:ascii="宋体" w:hAnsi="宋体" w:eastAsia="宋体" w:cs="宋体"/>
          <w:color w:val="auto"/>
          <w:kern w:val="2"/>
          <w:sz w:val="24"/>
          <w:szCs w:val="24"/>
          <w:highlight w:val="none"/>
          <w:lang w:eastAsia="zh-CN"/>
          <w14:ligatures w14:val="none"/>
        </w:rPr>
        <w:t>法律援助中心工作人员审核后，为经济困难当事人代</w:t>
      </w:r>
      <w:r>
        <w:rPr>
          <w:rFonts w:hint="eastAsia" w:ascii="宋体" w:hAnsi="宋体" w:eastAsia="宋体" w:cs="宋体"/>
          <w:color w:val="auto"/>
          <w:kern w:val="2"/>
          <w:sz w:val="24"/>
          <w:szCs w:val="24"/>
          <w:highlight w:val="none"/>
          <w14:ligatures w14:val="none"/>
        </w:rPr>
        <w:t>拟</w:t>
      </w:r>
      <w:r>
        <w:rPr>
          <w:rFonts w:hint="eastAsia" w:ascii="宋体" w:hAnsi="宋体" w:eastAsia="宋体" w:cs="宋体"/>
          <w:color w:val="auto"/>
          <w:kern w:val="2"/>
          <w:sz w:val="24"/>
          <w:szCs w:val="24"/>
          <w:highlight w:val="none"/>
          <w:lang w:eastAsia="zh-CN"/>
          <w14:ligatures w14:val="none"/>
        </w:rPr>
        <w:t>法律文书。</w:t>
      </w:r>
    </w:p>
    <w:p w14:paraId="6440AE96">
      <w:pPr>
        <w:pageBreakBefore w:val="0"/>
        <w:widowControl w:val="0"/>
        <w:numPr>
          <w:ilvl w:val="0"/>
          <w:numId w:val="0"/>
        </w:numPr>
        <w:kinsoku/>
        <w:wordWrap/>
        <w:overflowPunct/>
        <w:topLinePunct w:val="0"/>
        <w:autoSpaceDE/>
        <w:autoSpaceDN/>
        <w:bidi w:val="0"/>
        <w:adjustRightInd/>
        <w:snapToGrid/>
        <w:spacing w:after="0" w:line="360" w:lineRule="auto"/>
        <w:ind w:firstLine="210"/>
        <w:textAlignment w:val="auto"/>
        <w:rPr>
          <w:rFonts w:hint="eastAsia" w:ascii="宋体" w:hAnsi="宋体" w:eastAsia="宋体" w:cs="宋体"/>
          <w:color w:val="auto"/>
          <w:kern w:val="2"/>
          <w:sz w:val="24"/>
          <w:szCs w:val="24"/>
          <w:highlight w:val="none"/>
          <w:lang w:val="zh-CN"/>
          <w14:ligatures w14:val="none"/>
        </w:rPr>
      </w:pPr>
      <w:r>
        <w:rPr>
          <w:rFonts w:hint="eastAsia" w:ascii="宋体" w:hAnsi="宋体" w:eastAsia="宋体" w:cs="宋体"/>
          <w:color w:val="auto"/>
          <w:kern w:val="2"/>
          <w:sz w:val="24"/>
          <w:szCs w:val="24"/>
          <w:highlight w:val="none"/>
          <w:lang w:val="en-US" w:eastAsia="zh-CN"/>
          <w14:ligatures w14:val="none"/>
        </w:rPr>
        <w:t xml:space="preserve">  3、</w:t>
      </w:r>
      <w:r>
        <w:rPr>
          <w:rFonts w:hint="eastAsia" w:ascii="宋体" w:hAnsi="宋体" w:eastAsia="宋体" w:cs="宋体"/>
          <w:color w:val="auto"/>
          <w:kern w:val="2"/>
          <w:sz w:val="24"/>
          <w:szCs w:val="24"/>
          <w:highlight w:val="none"/>
          <w:lang w:val="zh-CN" w:eastAsia="zh-CN"/>
          <w14:ligatures w14:val="none"/>
        </w:rPr>
        <w:t>办理法律援助</w:t>
      </w:r>
      <w:r>
        <w:rPr>
          <w:rFonts w:hint="eastAsia" w:ascii="宋体" w:hAnsi="宋体" w:eastAsia="宋体" w:cs="宋体"/>
          <w:color w:val="auto"/>
          <w:kern w:val="2"/>
          <w:sz w:val="24"/>
          <w:szCs w:val="24"/>
          <w:highlight w:val="none"/>
          <w:lang w:val="en-US" w:eastAsia="zh-CN"/>
          <w14:ligatures w14:val="none"/>
        </w:rPr>
        <w:t>(帮助)</w:t>
      </w:r>
      <w:r>
        <w:rPr>
          <w:rFonts w:hint="eastAsia" w:ascii="宋体" w:hAnsi="宋体" w:eastAsia="宋体" w:cs="宋体"/>
          <w:color w:val="auto"/>
          <w:kern w:val="2"/>
          <w:sz w:val="24"/>
          <w:szCs w:val="24"/>
          <w:highlight w:val="none"/>
          <w:lang w:val="zh-CN" w:eastAsia="zh-CN"/>
          <w14:ligatures w14:val="none"/>
        </w:rPr>
        <w:t>案件。</w:t>
      </w:r>
      <w:r>
        <w:rPr>
          <w:rFonts w:hint="eastAsia" w:ascii="宋体" w:hAnsi="宋体" w:eastAsia="宋体" w:cs="宋体"/>
          <w:color w:val="auto"/>
          <w:kern w:val="2"/>
          <w:sz w:val="24"/>
          <w:szCs w:val="24"/>
          <w:highlight w:val="none"/>
          <w:lang w:val="en-US" w:eastAsia="zh-CN"/>
          <w14:ligatures w14:val="none"/>
        </w:rPr>
        <w:t>接受区法律援助中心的指派，办理刑事案件、认罪认罚法律帮助案件；办理</w:t>
      </w:r>
      <w:r>
        <w:rPr>
          <w:rFonts w:hint="eastAsia" w:ascii="宋体" w:hAnsi="宋体" w:eastAsia="宋体" w:cs="宋体"/>
          <w:color w:val="auto"/>
          <w:kern w:val="2"/>
          <w:sz w:val="24"/>
          <w:szCs w:val="24"/>
          <w:highlight w:val="none"/>
          <w:lang w:val="zh-CN"/>
          <w14:ligatures w14:val="none"/>
        </w:rPr>
        <w:t>民事案件、行政案件、劳动争议仲裁案件以及国家赔偿案件。</w:t>
      </w:r>
    </w:p>
    <w:p w14:paraId="57989A9E">
      <w:pPr>
        <w:pageBreakBefore w:val="0"/>
        <w:widowControl w:val="0"/>
        <w:numPr>
          <w:ilvl w:val="0"/>
          <w:numId w:val="0"/>
        </w:numPr>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4、接听12348法律服务热线电话。在12348法律服务热线办公室接听群众来电，解答群众咨询的法律问题。同时做好12348法律服务事项相关工作。工作日9：00-18：00。</w:t>
      </w:r>
    </w:p>
    <w:p w14:paraId="4632269D">
      <w:pPr>
        <w:pageBreakBefore w:val="0"/>
        <w:widowControl w:val="0"/>
        <w:numPr>
          <w:ilvl w:val="0"/>
          <w:numId w:val="0"/>
        </w:numPr>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2"/>
          <w:sz w:val="24"/>
          <w:szCs w:val="24"/>
          <w:highlight w:val="none"/>
          <w:lang w:val="en-US" w:eastAsia="zh-CN"/>
          <w14:ligatures w14:val="none"/>
        </w:rPr>
      </w:pPr>
      <w:r>
        <w:rPr>
          <w:rFonts w:hint="eastAsia" w:ascii="宋体" w:hAnsi="宋体" w:eastAsia="宋体" w:cs="宋体"/>
          <w:color w:val="auto"/>
          <w:kern w:val="2"/>
          <w:sz w:val="24"/>
          <w:szCs w:val="24"/>
          <w:highlight w:val="none"/>
          <w:lang w:val="en-US" w:eastAsia="zh-CN"/>
          <w14:ligatures w14:val="none"/>
        </w:rPr>
        <w:t>5、零工市场法律援助工作站综合工作。在江苏省零工市场服务大厅法律咨询窗口值班，提供法律咨询和</w:t>
      </w:r>
      <w:r>
        <w:rPr>
          <w:rFonts w:hint="eastAsia" w:ascii="宋体" w:hAnsi="宋体" w:eastAsia="宋体" w:cs="宋体"/>
          <w:color w:val="auto"/>
          <w:kern w:val="2"/>
          <w:sz w:val="24"/>
          <w:szCs w:val="24"/>
          <w:highlight w:val="none"/>
          <w:lang w:eastAsia="zh-CN"/>
          <w14:ligatures w14:val="none"/>
        </w:rPr>
        <w:t>代</w:t>
      </w:r>
      <w:r>
        <w:rPr>
          <w:rFonts w:hint="eastAsia" w:ascii="宋体" w:hAnsi="宋体" w:eastAsia="宋体" w:cs="宋体"/>
          <w:color w:val="auto"/>
          <w:kern w:val="2"/>
          <w:sz w:val="24"/>
          <w:szCs w:val="24"/>
          <w:highlight w:val="none"/>
          <w14:ligatures w14:val="none"/>
        </w:rPr>
        <w:t>拟</w:t>
      </w:r>
      <w:r>
        <w:rPr>
          <w:rFonts w:hint="eastAsia" w:ascii="宋体" w:hAnsi="宋体" w:eastAsia="宋体" w:cs="宋体"/>
          <w:color w:val="auto"/>
          <w:kern w:val="2"/>
          <w:sz w:val="24"/>
          <w:szCs w:val="24"/>
          <w:highlight w:val="none"/>
          <w:lang w:eastAsia="zh-CN"/>
          <w14:ligatures w14:val="none"/>
        </w:rPr>
        <w:t>法律文书</w:t>
      </w:r>
      <w:r>
        <w:rPr>
          <w:rFonts w:hint="eastAsia" w:ascii="宋体" w:hAnsi="宋体" w:eastAsia="宋体" w:cs="宋体"/>
          <w:color w:val="auto"/>
          <w:kern w:val="2"/>
          <w:sz w:val="24"/>
          <w:szCs w:val="24"/>
          <w:highlight w:val="none"/>
          <w:lang w:val="en-US" w:eastAsia="zh-CN"/>
          <w14:ligatures w14:val="none"/>
        </w:rPr>
        <w:t>服务，如有特殊情况，值班次数相应增加。开展法治宣传或讲座10场次，同时做好代办转交法律援助申请材料、指引等相关工作。值班时间：周一、周四上午9：00--12：00。工作地点：江宁区菲尼克斯路70号。</w:t>
      </w:r>
    </w:p>
    <w:p w14:paraId="7BAD120C">
      <w:pPr>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14:ligatures w14:val="none"/>
        </w:rPr>
      </w:pPr>
      <w:r>
        <w:rPr>
          <w:rFonts w:hint="eastAsia" w:ascii="宋体" w:hAnsi="宋体" w:eastAsia="宋体" w:cs="宋体"/>
          <w:b w:val="0"/>
          <w:bCs w:val="0"/>
          <w:color w:val="auto"/>
          <w:kern w:val="2"/>
          <w:sz w:val="24"/>
          <w:szCs w:val="24"/>
          <w:highlight w:val="none"/>
          <w:lang w:val="en-US" w:eastAsia="zh-CN" w:bidi="ar-SA"/>
          <w14:ligatures w14:val="none"/>
        </w:rPr>
        <w:t>6、区劳动人事争议法律援助工作站综合工作。需要供应商能够派驻1名律师在区法律援助中心坐班，专门从事法律援助工作。遵守采购人的各项规章制度，按照区法律援助中心的安排或指派，在法律咨询窗口值班，提供法律咨询和代拟法律文书服务，每年办理民事法律援助案件400件（包括个案和群案，其中个案不少于30件），同时做好与法律援助相关的其它工作。</w:t>
      </w:r>
    </w:p>
    <w:p w14:paraId="11F71AB5">
      <w:pPr>
        <w:keepNext w:val="0"/>
        <w:keepLines w:val="0"/>
        <w:pageBreakBefore w:val="0"/>
        <w:widowControl w:val="0"/>
        <w:numPr>
          <w:ilvl w:val="0"/>
          <w:numId w:val="0"/>
        </w:numPr>
        <w:spacing w:after="0" w:line="360" w:lineRule="auto"/>
        <w:ind w:firstLine="480" w:firstLineChars="200"/>
        <w:jc w:val="both"/>
        <w:rPr>
          <w:rFonts w:hint="eastAsia" w:ascii="宋体" w:hAnsi="宋体" w:eastAsia="宋体" w:cs="宋体"/>
          <w:color w:val="auto"/>
          <w:kern w:val="2"/>
          <w:sz w:val="24"/>
          <w:szCs w:val="24"/>
          <w:highlight w:val="none"/>
          <w:lang w:eastAsia="zh-CN"/>
          <w14:ligatures w14:val="none"/>
        </w:rPr>
      </w:pPr>
      <w:r>
        <w:rPr>
          <w:rFonts w:hint="eastAsia" w:ascii="宋体" w:hAnsi="宋体" w:eastAsia="宋体" w:cs="宋体"/>
          <w:color w:val="auto"/>
          <w:kern w:val="2"/>
          <w:sz w:val="24"/>
          <w:szCs w:val="24"/>
          <w:highlight w:val="none"/>
          <w:lang w:val="en-US" w:eastAsia="zh-CN"/>
          <w14:ligatures w14:val="none"/>
        </w:rPr>
        <w:t>7、</w:t>
      </w:r>
      <w:r>
        <w:rPr>
          <w:rFonts w:hint="eastAsia" w:ascii="宋体" w:hAnsi="宋体" w:eastAsia="宋体" w:cs="宋体"/>
          <w:color w:val="auto"/>
          <w:kern w:val="2"/>
          <w:sz w:val="24"/>
          <w:szCs w:val="24"/>
          <w:highlight w:val="none"/>
          <w:lang w:eastAsia="zh-CN"/>
          <w14:ligatures w14:val="none"/>
        </w:rPr>
        <w:t>法律、法规、规章规定的其他事项。</w:t>
      </w:r>
    </w:p>
    <w:p w14:paraId="0B3EC1CB">
      <w:pPr>
        <w:keepNext w:val="0"/>
        <w:keepLines w:val="0"/>
        <w:pageBreakBefore w:val="0"/>
        <w:widowControl w:val="0"/>
        <w:numPr>
          <w:ilvl w:val="0"/>
          <w:numId w:val="0"/>
        </w:numPr>
        <w:spacing w:after="0" w:line="360" w:lineRule="auto"/>
        <w:ind w:firstLine="723" w:firstLineChars="30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四、服务期限</w:t>
      </w:r>
    </w:p>
    <w:p w14:paraId="0AD5DABC">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本项目服务期限为一年。本协议自 年 月 日至  年  月  日止。</w:t>
      </w:r>
    </w:p>
    <w:p w14:paraId="5BAA2B7A">
      <w:pPr>
        <w:keepNext w:val="0"/>
        <w:keepLines w:val="0"/>
        <w:pageBreakBefore w:val="0"/>
        <w:widowControl w:val="0"/>
        <w:numPr>
          <w:ilvl w:val="0"/>
          <w:numId w:val="0"/>
        </w:numPr>
        <w:spacing w:after="0" w:line="360" w:lineRule="auto"/>
        <w:ind w:firstLine="723" w:firstLineChars="30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五、费用支付标准</w:t>
      </w:r>
    </w:p>
    <w:p w14:paraId="172055F7">
      <w:pPr>
        <w:keepNext w:val="0"/>
        <w:keepLines w:val="0"/>
        <w:pageBreakBefore w:val="0"/>
        <w:widowControl w:val="0"/>
        <w:numPr>
          <w:ilvl w:val="0"/>
          <w:numId w:val="1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补贴费用支付标准：根据入围供应商统一的投标优惠率（例如10%），例如投标优惠率为10%，成交价格=最高限制单价*（1-10%）计算服务费。（优惠率四舍五入，保留至小数点后2位）；</w:t>
      </w:r>
    </w:p>
    <w:p w14:paraId="665F7D96">
      <w:pPr>
        <w:numPr>
          <w:ilvl w:val="1"/>
          <w:numId w:val="11"/>
        </w:numPr>
        <w:spacing w:after="0" w:line="360" w:lineRule="auto"/>
        <w:ind w:firstLine="420"/>
        <w:rPr>
          <w:rFonts w:hint="eastAsia" w:ascii="宋体" w:hAnsi="宋体" w:eastAsia="宋体" w:cs="宋体"/>
          <w:bCs/>
          <w:color w:val="auto"/>
          <w:kern w:val="2"/>
          <w:sz w:val="24"/>
          <w:szCs w:val="24"/>
          <w:highlight w:val="none"/>
          <w:lang w:val="en-US" w:eastAsia="zh-CN"/>
          <w14:ligatures w14:val="none"/>
        </w:rPr>
      </w:pPr>
      <w:r>
        <w:rPr>
          <w:rFonts w:hint="eastAsia" w:ascii="宋体" w:hAnsi="宋体" w:eastAsia="宋体" w:cs="宋体"/>
          <w:bCs/>
          <w:color w:val="auto"/>
          <w:kern w:val="2"/>
          <w:sz w:val="24"/>
          <w:szCs w:val="24"/>
          <w:highlight w:val="none"/>
          <w:lang w:val="en-US" w:eastAsia="zh-CN"/>
          <w14:ligatures w14:val="none"/>
        </w:rPr>
        <w:t>办理3人以上（含3人）的群体性法律援助案件， 第1件补贴按成交价格全额发放，其余每件按照补贴200元支付。受援对象涉及聋哑人、少数民族、外国人等需要翻译的，每件案件增加翻译费补贴200-300元，翻译费补贴不参与折扣，翻译费用不再报销。</w:t>
      </w:r>
    </w:p>
    <w:p w14:paraId="223332E7">
      <w:pPr>
        <w:pageBreakBefore w:val="0"/>
        <w:widowControl w:val="0"/>
        <w:numPr>
          <w:ilvl w:val="1"/>
          <w:numId w:val="11"/>
        </w:numPr>
        <w:kinsoku/>
        <w:wordWrap/>
        <w:overflowPunct/>
        <w:topLinePunct w:val="0"/>
        <w:autoSpaceDE/>
        <w:autoSpaceDN/>
        <w:bidi w:val="0"/>
        <w:adjustRightInd/>
        <w:snapToGrid/>
        <w:spacing w:after="120" w:line="360" w:lineRule="exact"/>
        <w:ind w:left="0" w:leftChars="0" w:firstLine="420" w:firstLineChars="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因申请人撤销申请、办案机关撤销通知辩护、法律援助机构终止法律援助等原因导致法律援助案件提前终止的，法律援助机构根据实际工作量适当支付办案补贴，补贴金额可以低于成交价格。</w:t>
      </w:r>
    </w:p>
    <w:p w14:paraId="3F792DB4">
      <w:pPr>
        <w:pageBreakBefore w:val="0"/>
        <w:widowControl w:val="0"/>
        <w:numPr>
          <w:ilvl w:val="0"/>
          <w:numId w:val="0"/>
        </w:numPr>
        <w:kinsoku/>
        <w:wordWrap/>
        <w:overflowPunct/>
        <w:topLinePunct w:val="0"/>
        <w:autoSpaceDE/>
        <w:autoSpaceDN/>
        <w:bidi w:val="0"/>
        <w:adjustRightInd/>
        <w:snapToGrid/>
        <w:spacing w:after="120" w:line="360" w:lineRule="exact"/>
        <w:ind w:left="420" w:firstLine="240" w:firstLineChars="10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1.2.1、 终止或撤销案件，已会见有会见笔录的，按200元支付；已写好诉状并立案的按400元支付；已完成办案流程的按成交价格支付。</w:t>
      </w:r>
    </w:p>
    <w:p w14:paraId="332CDCDD">
      <w:pPr>
        <w:pageBreakBefore w:val="0"/>
        <w:widowControl w:val="0"/>
        <w:kinsoku/>
        <w:wordWrap/>
        <w:overflowPunct/>
        <w:topLinePunct w:val="0"/>
        <w:autoSpaceDE/>
        <w:autoSpaceDN/>
        <w:bidi w:val="0"/>
        <w:adjustRightInd/>
        <w:snapToGrid/>
        <w:spacing w:after="120" w:line="360" w:lineRule="exact"/>
        <w:ind w:left="0" w:leftChars="0" w:firstLine="720" w:firstLineChars="30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1.2.2、撤诉案件，已会见有会见笔录的，按200元支付；已写好诉状并立案的按400元支付；已开庭有庭审笔录的按600元支付；已完成办案流程的按成交价格支付。</w:t>
      </w:r>
    </w:p>
    <w:p w14:paraId="441339AC">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1.2.3、移送案件，已会见有会见笔录的，按200元支付；民事案件已写好诉状并立案的按400元支付；已完成办案流程的按成交价格支付。</w:t>
      </w:r>
    </w:p>
    <w:p w14:paraId="225992D3">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1.2.4、劳动争议终结案件按400元支付。</w:t>
      </w:r>
    </w:p>
    <w:p w14:paraId="27B07420">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1.3、法律援助人员应当自结案之日起三十日内，向区法律援助中心提交完整规范的结案归档材料。对于未能在上述规定时限内提交结案归档材料的，按以下标准扣减其办案补贴：</w:t>
      </w:r>
    </w:p>
    <w:p w14:paraId="1CE46172">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1.3.1、超过30日，在60日内提交的，扣减本案办案补贴的10%；</w:t>
      </w:r>
    </w:p>
    <w:p w14:paraId="729292F2">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1.3.2、超过60日，在120日内提交的，扣减本案办案补贴的20%；</w:t>
      </w:r>
    </w:p>
    <w:p w14:paraId="26503751">
      <w:pPr>
        <w:pageBreakBefore w:val="0"/>
        <w:widowControl w:val="0"/>
        <w:kinsoku/>
        <w:wordWrap/>
        <w:overflowPunct/>
        <w:topLinePunct w:val="0"/>
        <w:autoSpaceDE/>
        <w:autoSpaceDN/>
        <w:bidi w:val="0"/>
        <w:adjustRightInd/>
        <w:snapToGrid/>
        <w:spacing w:after="120" w:line="360" w:lineRule="exact"/>
        <w:ind w:left="420" w:firstLine="420"/>
        <w:jc w:val="both"/>
        <w:textAlignment w:val="auto"/>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1.3.3、超过120日，在180日内提交的，扣减本案办案补贴的40%；</w:t>
      </w:r>
    </w:p>
    <w:p w14:paraId="71B1D89D">
      <w:pPr>
        <w:widowControl w:val="0"/>
        <w:numPr>
          <w:ilvl w:val="0"/>
          <w:numId w:val="0"/>
        </w:numPr>
        <w:spacing w:after="120" w:line="360" w:lineRule="auto"/>
        <w:ind w:left="420" w:firstLine="720" w:firstLineChars="300"/>
        <w:jc w:val="both"/>
        <w:rPr>
          <w:rFonts w:hint="eastAsia" w:ascii="宋体" w:hAnsi="宋体" w:eastAsia="宋体" w:cs="宋体"/>
          <w:bCs/>
          <w:color w:val="auto"/>
          <w:kern w:val="2"/>
          <w:sz w:val="24"/>
          <w:szCs w:val="24"/>
          <w:highlight w:val="none"/>
          <w:lang w:val="en-US" w:eastAsia="zh-CN" w:bidi="ar-SA"/>
          <w14:ligatures w14:val="none"/>
        </w:rPr>
      </w:pPr>
      <w:r>
        <w:rPr>
          <w:rFonts w:hint="eastAsia" w:ascii="宋体" w:hAnsi="宋体" w:eastAsia="宋体" w:cs="宋体"/>
          <w:bCs/>
          <w:color w:val="auto"/>
          <w:kern w:val="2"/>
          <w:sz w:val="24"/>
          <w:szCs w:val="24"/>
          <w:highlight w:val="none"/>
          <w:lang w:val="en-US" w:eastAsia="zh-CN" w:bidi="ar-SA"/>
          <w14:ligatures w14:val="none"/>
        </w:rPr>
        <w:t>1.3.4、超过180日提交的，扣减本案办案补贴的100%。</w:t>
      </w:r>
    </w:p>
    <w:p w14:paraId="74972EB6">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2、支付周期：</w:t>
      </w:r>
    </w:p>
    <w:p w14:paraId="5E9E52EB">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2.1、接听12348法律服务热线电话、零工市场法律援助工作站综合工作、区劳动人事争议法律援助工作站综合工作补贴于合同签订之日起30日内支付总价款的40%，剩余合同款根据考核结果支付。</w:t>
      </w:r>
    </w:p>
    <w:p w14:paraId="19245AB3">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2.2、其它法律援助案件补贴、值班补贴等费用按季度支付。</w:t>
      </w:r>
    </w:p>
    <w:p w14:paraId="347B8171">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3、法律援助人员有下列情形之一的，不予支付补贴：</w:t>
      </w:r>
    </w:p>
    <w:p w14:paraId="00DE784A">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3.1、无正当理由拖延或者终止实施法律援助的；</w:t>
      </w:r>
    </w:p>
    <w:p w14:paraId="5D5252EE">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3.2、办理法律援助事项收取受援人财物的；</w:t>
      </w:r>
    </w:p>
    <w:p w14:paraId="4834FE32">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3.3、经查实不依法履行职责而被更换的；</w:t>
      </w:r>
    </w:p>
    <w:p w14:paraId="2C073B23">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3.4、经法律援助中心或其他有关机构对法律援助事项监督检查，认为严重不负责任给受援人造成损失的；</w:t>
      </w:r>
    </w:p>
    <w:p w14:paraId="4BD3DDF7">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3.5、结案归档时所提交的材料不符合法律援助业务档案立卷归档要求，经整改仍不能达到要求的；</w:t>
      </w:r>
    </w:p>
    <w:p w14:paraId="571A36CA">
      <w:pPr>
        <w:pageBreakBefore w:val="0"/>
        <w:widowControl w:val="0"/>
        <w:kinsoku/>
        <w:wordWrap/>
        <w:overflowPunct/>
        <w:topLinePunct w:val="0"/>
        <w:autoSpaceDE/>
        <w:autoSpaceDN/>
        <w:bidi w:val="0"/>
        <w:adjustRightInd/>
        <w:snapToGrid/>
        <w:spacing w:after="0" w:line="360" w:lineRule="exact"/>
        <w:ind w:firstLine="420"/>
        <w:textAlignment w:val="auto"/>
        <w:rPr>
          <w:rFonts w:hint="eastAsia" w:ascii="宋体" w:hAnsi="宋体" w:eastAsia="宋体" w:cs="宋体"/>
          <w:b/>
          <w:bCs w:val="0"/>
          <w:color w:val="auto"/>
          <w:kern w:val="2"/>
          <w:sz w:val="24"/>
          <w:szCs w:val="24"/>
          <w:highlight w:val="none"/>
          <w:lang w:val="en-US" w:eastAsia="zh-CN"/>
          <w14:ligatures w14:val="none"/>
        </w:rPr>
      </w:pPr>
      <w:r>
        <w:rPr>
          <w:rFonts w:hint="eastAsia" w:ascii="宋体" w:hAnsi="宋体" w:eastAsia="宋体" w:cs="宋体"/>
          <w:b/>
          <w:bCs w:val="0"/>
          <w:color w:val="auto"/>
          <w:kern w:val="2"/>
          <w:sz w:val="24"/>
          <w:szCs w:val="24"/>
          <w:highlight w:val="none"/>
          <w:lang w:val="en-US" w:eastAsia="zh-CN"/>
          <w14:ligatures w14:val="none"/>
        </w:rPr>
        <w:t>3.6、结案归档按《江宁区法律援助案件结案归档时限管理办法》规定，超过180日的；</w:t>
      </w:r>
    </w:p>
    <w:p w14:paraId="6CD6545D">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3.7、考评不合格的。</w:t>
      </w:r>
    </w:p>
    <w:p w14:paraId="6CFFFD05">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4、区法律援助中心受理的法律援助案件原则上应在入围供应商中指派，个别案件因受援人要求（点援制）或者其他原因，可在入围供应商外指派；费用标准参照中标平均优惠率执行。</w:t>
      </w:r>
    </w:p>
    <w:p w14:paraId="0A51C9D7">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5、在甲方支付费用之前，乙方依法应开具合法发票，否则甲方有权顺延支付服务费且无须承担逾期付款的违约责任，乙方不得以此为由不履行合同。本合同执行中如产生相关税费，由乙方负担。</w:t>
      </w:r>
    </w:p>
    <w:p w14:paraId="7E1FDFB8">
      <w:pPr>
        <w:keepNext w:val="0"/>
        <w:keepLines w:val="0"/>
        <w:pageBreakBefore w:val="0"/>
        <w:widowControl w:val="0"/>
        <w:numPr>
          <w:ilvl w:val="0"/>
          <w:numId w:val="0"/>
        </w:numPr>
        <w:spacing w:after="0" w:line="360" w:lineRule="auto"/>
        <w:ind w:firstLine="422"/>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6、因乙方违约或过错产生的纠纷，甲方委托律师、调查取证等相关维权费用由乙方承担。</w:t>
      </w:r>
    </w:p>
    <w:p w14:paraId="20761B0C">
      <w:pPr>
        <w:keepNext w:val="0"/>
        <w:keepLines w:val="0"/>
        <w:pageBreakBefore w:val="0"/>
        <w:widowControl w:val="0"/>
        <w:numPr>
          <w:ilvl w:val="0"/>
          <w:numId w:val="0"/>
        </w:numPr>
        <w:spacing w:after="0" w:line="360" w:lineRule="auto"/>
        <w:ind w:firstLine="422"/>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五、双方权利和义务</w:t>
      </w:r>
    </w:p>
    <w:p w14:paraId="4E8AE6B9">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（一）甲方权利和义务</w:t>
      </w:r>
    </w:p>
    <w:p w14:paraId="468043CC">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1、甲方按照合同对乙方派出法律人员值班的，提供必要的工作场所、办公设施，保障正常开展工作。</w:t>
      </w:r>
    </w:p>
    <w:p w14:paraId="4575C290">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2、甲方可以通过不定期抽查、征询驻在单位意见、回访当事人、查阅工作台账、出席旁听等多种方式掌握乙方工作情况。甲方可以提出改进工作方法的意见，乙方应及时落实，提高办案质量。</w:t>
      </w:r>
    </w:p>
    <w:p w14:paraId="2374FB67">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乙方派驻法律人员在办案过程中，有违纪违规情况而被投诉的，甲方应查清事实，并及时向投诉人反馈信息；在法律援助工作中违纪违规、严重不负责任，使受援人遭受损失的，甲方有权利追究乙方相应的法律责任。</w:t>
      </w:r>
    </w:p>
    <w:p w14:paraId="7E277C04">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（二）乙方权利和义务</w:t>
      </w:r>
    </w:p>
    <w:p w14:paraId="5F665141">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1、乙方派驻法律人员应严格遵守甲方的各项规章制度、岗位职责，恪守职业道德和执业纪律，服从甲方的管理和考核，积极主动完成好交办的各项工作任务。</w:t>
      </w:r>
    </w:p>
    <w:p w14:paraId="7AAD3973">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2、乙方派驻法律人员团队负责人有内部管理、督促、协调派驻法律援助人员工作以保障正常提供服务的义务，同时做好具体对接工作。</w:t>
      </w:r>
    </w:p>
    <w:p w14:paraId="05C34294">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3、协议期内，派驻法律人员仍保留与乙方的执业管理关系和劳动合同关系，根据规定在执业的乙方参加执业年度考核。</w:t>
      </w:r>
    </w:p>
    <w:p w14:paraId="05FE6C4C">
      <w:pPr>
        <w:keepNext w:val="0"/>
        <w:keepLines w:val="0"/>
        <w:pageBreakBefore w:val="0"/>
        <w:widowControl w:val="0"/>
        <w:spacing w:after="0" w:line="360" w:lineRule="auto"/>
        <w:ind w:left="0"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4、乙方提供符合《法律援助法》、司法部的《办理法律援助案件程序规定》《民事行政法律援助案件质量同行评估规则》《刑事法律援助案件质量同行评估规则》要求的法律援助服务。</w:t>
      </w:r>
    </w:p>
    <w:p w14:paraId="69CCC6AA">
      <w:pPr>
        <w:widowControl w:val="0"/>
        <w:spacing w:after="120" w:line="360" w:lineRule="auto"/>
        <w:ind w:left="0" w:leftChars="0" w:firstLine="240" w:firstLineChars="100"/>
        <w:jc w:val="both"/>
        <w:rPr>
          <w:rFonts w:hint="eastAsia" w:ascii="宋体" w:hAnsi="宋体" w:eastAsia="宋体" w:cs="宋体"/>
          <w:color w:val="auto"/>
          <w:kern w:val="2"/>
          <w:sz w:val="24"/>
          <w:szCs w:val="24"/>
          <w:highlight w:val="none"/>
          <w:lang w:val="en-US" w:eastAsia="zh-CN" w:bidi="ar-SA"/>
          <w14:ligatures w14:val="none"/>
        </w:rPr>
      </w:pPr>
    </w:p>
    <w:p w14:paraId="69D92726">
      <w:pPr>
        <w:widowControl w:val="0"/>
        <w:spacing w:after="120" w:line="360" w:lineRule="auto"/>
        <w:ind w:left="0" w:leftChars="0" w:firstLine="482" w:firstLineChars="2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b/>
          <w:bCs/>
          <w:color w:val="auto"/>
          <w:kern w:val="2"/>
          <w:sz w:val="24"/>
          <w:szCs w:val="24"/>
          <w:highlight w:val="none"/>
          <w:lang w:val="en-US" w:eastAsia="zh-CN" w:bidi="ar-SA"/>
          <w14:ligatures w14:val="none"/>
        </w:rPr>
        <w:t>六、服务质效考核</w:t>
      </w:r>
    </w:p>
    <w:p w14:paraId="487002CE">
      <w:pPr>
        <w:keepNext w:val="0"/>
        <w:keepLines w:val="0"/>
        <w:pageBreakBefore w:val="0"/>
        <w:widowControl w:val="0"/>
        <w:spacing w:after="0" w:line="360" w:lineRule="auto"/>
        <w:ind w:firstLine="420"/>
        <w:jc w:val="both"/>
        <w:rPr>
          <w:rFonts w:hint="eastAsia" w:ascii="宋体" w:hAnsi="宋体" w:eastAsia="宋体" w:cs="宋体"/>
          <w:b/>
          <w:bCs/>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甲方可以定期对乙方提供的</w:t>
      </w:r>
      <w:r>
        <w:rPr>
          <w:rFonts w:hint="eastAsia" w:ascii="宋体" w:hAnsi="宋体" w:eastAsia="宋体" w:cs="宋体"/>
          <w:b/>
          <w:bCs/>
          <w:color w:val="auto"/>
          <w:kern w:val="2"/>
          <w:sz w:val="24"/>
          <w:szCs w:val="24"/>
          <w:highlight w:val="none"/>
          <w:lang w:val="en-US" w:eastAsia="zh-CN" w:bidi="ar-SA"/>
          <w14:ligatures w14:val="none"/>
        </w:rPr>
        <w:t>法律援助服务</w:t>
      </w:r>
      <w:r>
        <w:rPr>
          <w:rFonts w:hint="eastAsia" w:ascii="宋体" w:hAnsi="宋体" w:eastAsia="宋体" w:cs="宋体"/>
          <w:color w:val="auto"/>
          <w:kern w:val="2"/>
          <w:sz w:val="24"/>
          <w:szCs w:val="24"/>
          <w:highlight w:val="none"/>
          <w:lang w:val="en-US" w:eastAsia="zh-CN" w:bidi="ar-SA"/>
          <w14:ligatures w14:val="none"/>
        </w:rPr>
        <w:t>进行服务质效考核。</w:t>
      </w:r>
    </w:p>
    <w:p w14:paraId="61E9DD1A">
      <w:pPr>
        <w:keepNext w:val="0"/>
        <w:keepLines w:val="0"/>
        <w:pageBreakBefore w:val="0"/>
        <w:widowControl w:val="0"/>
        <w:numPr>
          <w:ilvl w:val="-1"/>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（一）值班质量考核</w:t>
      </w:r>
    </w:p>
    <w:p w14:paraId="07497EC6">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考勤情况。（1）乙方派驻法律援助人员无正当理由迟到早退的，出现一次予以警告并记录在案，同时下调当次值班补贴40%；出现二次以上，甲方可以要求乙方更换团队人员。因乙方派驻法律援助人员考勤执行不到位导致来访人有效投诉等严重后果的（由甲方判定），甲方可以酌情减少值班次数安排或者提前解除合同。（2）乙方派驻值班法律援助人员确因特殊情况不能参加当天值班的，要提前向甲方履行请假手续，并由乙方团队负责人协商确定好替班人员；不得私自调换值班人员、顶班或擅自离岗等。</w:t>
      </w:r>
    </w:p>
    <w:p w14:paraId="2345E6F0">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工作态度。乙方派驻法律援助人员在值班期间，出现工作懈怠、不负责任的、对来访人态度差、教唆来访人违法违纪等不利于法律援助工作有序开展的情形，甲方可以予以警告、记录在案，并下调当次值班补贴40％，导致来访人有效投诉等严重后果的（由甲方判定），甲方可以要求乙方更换人员、酌情减少值班次数安排或提前解除合同。</w:t>
      </w:r>
    </w:p>
    <w:p w14:paraId="06AB5ECB">
      <w:pPr>
        <w:keepNext w:val="0"/>
        <w:keepLines w:val="0"/>
        <w:pageBreakBefore w:val="0"/>
        <w:widowControl w:val="0"/>
        <w:numPr>
          <w:ilvl w:val="0"/>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3、值班期间甲方交办的法律援助志愿服务、宣传等相关法律援助工作，乙方派驻值班人员无故不参加或者拒绝参加的，甲方可以不支付当次值班补贴，要求乙方更换人员并记录在案。</w:t>
      </w:r>
    </w:p>
    <w:p w14:paraId="7FFDD3A2">
      <w:pPr>
        <w:keepNext w:val="0"/>
        <w:keepLines w:val="0"/>
        <w:pageBreakBefore w:val="0"/>
        <w:widowControl w:val="0"/>
        <w:numPr>
          <w:ilvl w:val="-1"/>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（二）办案质量考核</w:t>
      </w:r>
    </w:p>
    <w:p w14:paraId="6EA08E0E">
      <w:pPr>
        <w:numPr>
          <w:ilvl w:val="-1"/>
          <w:numId w:val="0"/>
        </w:numPr>
        <w:spacing w:after="0" w:line="360" w:lineRule="auto"/>
        <w:ind w:firstLine="420"/>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1、乙方出现以下行为，甲方可以视情要求更换人员、酌情减少案件指派数量、酌情减少补贴或提前解除合同。合同解除后不影响采购方对剩余律所（法服所）办案的统一调度。</w:t>
      </w:r>
    </w:p>
    <w:p w14:paraId="29C637F6">
      <w:pPr>
        <w:keepNext w:val="0"/>
        <w:keepLines w:val="0"/>
        <w:pageBreakBefore w:val="0"/>
        <w:widowControl w:val="0"/>
        <w:numPr>
          <w:ilvl w:val="0"/>
          <w:numId w:val="0"/>
        </w:numPr>
        <w:spacing w:after="0" w:line="360" w:lineRule="auto"/>
        <w:ind w:left="420" w:leftChars="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A、未按时完成办理法律援助案件所必需的程序；</w:t>
      </w:r>
    </w:p>
    <w:p w14:paraId="28F6A45B">
      <w:pPr>
        <w:keepNext w:val="0"/>
        <w:keepLines w:val="0"/>
        <w:pageBreakBefore w:val="0"/>
        <w:widowControl w:val="0"/>
        <w:numPr>
          <w:ilvl w:val="0"/>
          <w:numId w:val="0"/>
        </w:numPr>
        <w:spacing w:after="0" w:line="360" w:lineRule="auto"/>
        <w:ind w:left="420" w:leftChars="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B、因不尽职责而导致出现延误出庭、错过诉讼时效或没有及时送达裁判文书给受援人等技术性疏漏或失误，给法律援助受援人造成损失的；</w:t>
      </w:r>
    </w:p>
    <w:p w14:paraId="70A348E0">
      <w:pPr>
        <w:keepNext w:val="0"/>
        <w:keepLines w:val="0"/>
        <w:pageBreakBefore w:val="0"/>
        <w:widowControl w:val="0"/>
        <w:numPr>
          <w:ilvl w:val="0"/>
          <w:numId w:val="0"/>
        </w:numPr>
        <w:spacing w:after="0" w:line="360" w:lineRule="auto"/>
        <w:ind w:left="420" w:leftChars="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C、办案中收取当事人财物的；</w:t>
      </w:r>
    </w:p>
    <w:p w14:paraId="1C68EB30">
      <w:pPr>
        <w:keepNext w:val="0"/>
        <w:keepLines w:val="0"/>
        <w:pageBreakBefore w:val="0"/>
        <w:widowControl w:val="0"/>
        <w:numPr>
          <w:ilvl w:val="0"/>
          <w:numId w:val="0"/>
        </w:numPr>
        <w:spacing w:after="0" w:line="360" w:lineRule="auto"/>
        <w:ind w:left="420" w:leftChars="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D、有拒绝、拖延或无故终止法律援助等其他违反职业道德和执业纪律的行为的；</w:t>
      </w:r>
    </w:p>
    <w:p w14:paraId="6EA9F075">
      <w:pPr>
        <w:keepNext w:val="0"/>
        <w:keepLines w:val="0"/>
        <w:pageBreakBefore w:val="0"/>
        <w:widowControl w:val="0"/>
        <w:numPr>
          <w:ilvl w:val="0"/>
          <w:numId w:val="0"/>
        </w:numPr>
        <w:spacing w:after="0" w:line="360" w:lineRule="auto"/>
        <w:ind w:left="420" w:leftChars="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E、被投诉并被证实有过错的；</w:t>
      </w:r>
    </w:p>
    <w:p w14:paraId="1A7EDA5C">
      <w:pPr>
        <w:widowControl w:val="0"/>
        <w:numPr>
          <w:ilvl w:val="0"/>
          <w:numId w:val="0"/>
        </w:numPr>
        <w:spacing w:after="120" w:line="240" w:lineRule="auto"/>
        <w:ind w:firstLine="240" w:firstLineChars="1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F、因提交不符合要求的结案报告和案件卷宗多次被退回的；</w:t>
      </w:r>
    </w:p>
    <w:p w14:paraId="107F8E5D">
      <w:pPr>
        <w:widowControl w:val="0"/>
        <w:numPr>
          <w:ilvl w:val="0"/>
          <w:numId w:val="0"/>
        </w:numPr>
        <w:spacing w:after="120" w:line="240" w:lineRule="auto"/>
        <w:ind w:firstLine="240" w:firstLineChars="10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G、未能根据甲方要求，积极配合并及时完成交办的其他工作的。</w:t>
      </w:r>
    </w:p>
    <w:p w14:paraId="722854A6">
      <w:pPr>
        <w:keepNext w:val="0"/>
        <w:keepLines w:val="0"/>
        <w:pageBreakBefore w:val="0"/>
        <w:widowControl w:val="0"/>
        <w:numPr>
          <w:ilvl w:val="-1"/>
          <w:numId w:val="0"/>
        </w:numPr>
        <w:spacing w:after="0" w:line="360" w:lineRule="auto"/>
        <w:ind w:firstLine="420"/>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甲方结合乙方实际办案情况每季度对办理法律援助案件的形式和内容质量进行考评，甲方实行百分制考核：低于70分的为不合格案件，不支付补贴；70分及以上（包含70）为合格案件，按中标价格支付补贴。对质量不合格的法律援助案件甲方可以要求更换人员、酌情减少案件指派数量或提前解除合同。合同解除后不影响采购方对剩余律所（法服所）办案的统一调度。</w:t>
      </w:r>
    </w:p>
    <w:p w14:paraId="7E9AA57B">
      <w:pPr>
        <w:rPr>
          <w:rFonts w:hint="eastAsia"/>
          <w:color w:val="auto"/>
        </w:rPr>
      </w:pPr>
      <w:r>
        <w:rPr>
          <w:rFonts w:hint="eastAsia" w:ascii="宋体" w:hAnsi="宋体" w:eastAsia="宋体" w:cs="宋体"/>
          <w:color w:val="auto"/>
          <w:kern w:val="2"/>
          <w:sz w:val="24"/>
          <w:szCs w:val="24"/>
          <w14:ligatures w14:val="none"/>
        </w:rPr>
        <w:br w:type="page"/>
      </w:r>
    </w:p>
    <w:p w14:paraId="1C85063D">
      <w:pPr>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lang w:eastAsia="zh-CN"/>
          <w14:ligatures w14:val="none"/>
        </w:rPr>
      </w:pPr>
      <w:r>
        <w:rPr>
          <w:rFonts w:hint="eastAsia" w:ascii="宋体" w:hAnsi="宋体" w:eastAsia="宋体" w:cs="宋体"/>
          <w:b/>
          <w:color w:val="auto"/>
          <w:kern w:val="2"/>
          <w:sz w:val="24"/>
          <w:szCs w:val="24"/>
          <w:highlight w:val="none"/>
          <w:lang w:eastAsia="zh-CN"/>
          <w14:ligatures w14:val="none"/>
        </w:rPr>
        <w:t>通</w:t>
      </w:r>
      <w:r>
        <w:rPr>
          <w:rFonts w:hint="eastAsia" w:ascii="宋体" w:hAnsi="宋体" w:eastAsia="宋体" w:cs="宋体"/>
          <w:b/>
          <w:color w:val="auto"/>
          <w:kern w:val="2"/>
          <w:sz w:val="24"/>
          <w:szCs w:val="24"/>
          <w:highlight w:val="none"/>
          <w14:ligatures w14:val="none"/>
        </w:rPr>
        <w:t>知类法律援助案件质量</w:t>
      </w:r>
      <w:r>
        <w:rPr>
          <w:rFonts w:hint="eastAsia" w:ascii="宋体" w:hAnsi="宋体" w:eastAsia="宋体" w:cs="宋体"/>
          <w:b/>
          <w:color w:val="auto"/>
          <w:kern w:val="2"/>
          <w:sz w:val="24"/>
          <w:szCs w:val="24"/>
          <w:highlight w:val="none"/>
          <w:lang w:eastAsia="zh-CN"/>
          <w14:ligatures w14:val="none"/>
        </w:rPr>
        <w:t>考核标准</w:t>
      </w:r>
    </w:p>
    <w:tbl>
      <w:tblPr>
        <w:tblStyle w:val="10"/>
        <w:tblW w:w="98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060"/>
        <w:gridCol w:w="7278"/>
        <w:gridCol w:w="849"/>
      </w:tblGrid>
      <w:tr w14:paraId="3A42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367208E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序号</w:t>
            </w:r>
          </w:p>
        </w:tc>
        <w:tc>
          <w:tcPr>
            <w:tcW w:w="1060" w:type="dxa"/>
            <w:noWrap w:val="0"/>
            <w:vAlign w:val="top"/>
          </w:tcPr>
          <w:p w14:paraId="46828A4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项目</w:t>
            </w:r>
          </w:p>
        </w:tc>
        <w:tc>
          <w:tcPr>
            <w:tcW w:w="7278" w:type="dxa"/>
            <w:noWrap w:val="0"/>
            <w:vAlign w:val="top"/>
          </w:tcPr>
          <w:p w14:paraId="3726B9A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标准</w:t>
            </w:r>
          </w:p>
        </w:tc>
        <w:tc>
          <w:tcPr>
            <w:tcW w:w="849" w:type="dxa"/>
            <w:noWrap w:val="0"/>
            <w:vAlign w:val="top"/>
          </w:tcPr>
          <w:p w14:paraId="26F84B3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总分</w:t>
            </w:r>
          </w:p>
        </w:tc>
      </w:tr>
      <w:tr w14:paraId="7F74A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25DC57D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w:t>
            </w:r>
          </w:p>
        </w:tc>
        <w:tc>
          <w:tcPr>
            <w:tcW w:w="1060" w:type="dxa"/>
            <w:noWrap w:val="0"/>
            <w:vAlign w:val="top"/>
          </w:tcPr>
          <w:p w14:paraId="3196A66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及时有效会见</w:t>
            </w:r>
          </w:p>
        </w:tc>
        <w:tc>
          <w:tcPr>
            <w:tcW w:w="7278" w:type="dxa"/>
            <w:noWrap w:val="0"/>
            <w:vAlign w:val="top"/>
          </w:tcPr>
          <w:p w14:paraId="36AB4917">
            <w:pPr>
              <w:keepNext w:val="0"/>
              <w:keepLines w:val="0"/>
              <w:pageBreakBefore w:val="0"/>
              <w:widowControl w:val="0"/>
              <w:numPr>
                <w:ilvl w:val="0"/>
                <w:numId w:val="12"/>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每个阶段至少会见受援人一次，会见内容包括法律咨询，听取受援人的陈述和辩解，提供法律帮助，核实案件事实，和有关证据材料的矛盾和疑点，核实是否有刑讯逼供等非法取证情况；沟通辩护方案，征询辩护意见；告知诉讼程序、权利义务和风险及应注意的事项等。（具体内容根据案件所属阶段不同予以区分。），未按要求执行，扣5分；</w:t>
            </w:r>
          </w:p>
          <w:p w14:paraId="67580E27">
            <w:pPr>
              <w:keepNext w:val="0"/>
              <w:keepLines w:val="0"/>
              <w:pageBreakBefore w:val="0"/>
              <w:widowControl w:val="0"/>
              <w:numPr>
                <w:ilvl w:val="0"/>
                <w:numId w:val="12"/>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会见笔录能完整反应会见的时间地点等内容情况，并经会见人签名或按印确认。受援人无阅读能力的应向其宣读笔录，并在笔录上载明。未按要求执行，扣10分；</w:t>
            </w:r>
          </w:p>
        </w:tc>
        <w:tc>
          <w:tcPr>
            <w:tcW w:w="849" w:type="dxa"/>
            <w:noWrap w:val="0"/>
            <w:vAlign w:val="top"/>
          </w:tcPr>
          <w:p w14:paraId="1622F37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15</w:t>
            </w:r>
          </w:p>
        </w:tc>
      </w:tr>
      <w:tr w14:paraId="0BCC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2E4A255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w:t>
            </w:r>
          </w:p>
        </w:tc>
        <w:tc>
          <w:tcPr>
            <w:tcW w:w="1060" w:type="dxa"/>
            <w:noWrap w:val="0"/>
            <w:vAlign w:val="top"/>
          </w:tcPr>
          <w:p w14:paraId="36B992C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及时有效阅卷</w:t>
            </w:r>
          </w:p>
        </w:tc>
        <w:tc>
          <w:tcPr>
            <w:tcW w:w="7278" w:type="dxa"/>
            <w:noWrap w:val="0"/>
            <w:vAlign w:val="top"/>
          </w:tcPr>
          <w:p w14:paraId="3F74F490">
            <w:pPr>
              <w:keepNext w:val="0"/>
              <w:keepLines w:val="0"/>
              <w:pageBreakBefore w:val="0"/>
              <w:widowControl w:val="0"/>
              <w:numPr>
                <w:ilvl w:val="0"/>
                <w:numId w:val="13"/>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及时查阅、摘抄、复制案卷材料，并制作阅卷笔录。未按要求执行，扣10分；</w:t>
            </w:r>
          </w:p>
          <w:p w14:paraId="3F2525A0">
            <w:pPr>
              <w:keepNext w:val="0"/>
              <w:keepLines w:val="0"/>
              <w:pageBreakBefore w:val="0"/>
              <w:widowControl w:val="0"/>
              <w:numPr>
                <w:ilvl w:val="0"/>
                <w:numId w:val="13"/>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保证查阅、摘抄、复制案卷材料的确性、完整性。未按要求执行，扣5分；</w:t>
            </w:r>
          </w:p>
        </w:tc>
        <w:tc>
          <w:tcPr>
            <w:tcW w:w="849" w:type="dxa"/>
            <w:noWrap w:val="0"/>
            <w:vAlign w:val="top"/>
          </w:tcPr>
          <w:p w14:paraId="5ECC21D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15</w:t>
            </w:r>
          </w:p>
        </w:tc>
      </w:tr>
      <w:tr w14:paraId="5B77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4" w:type="dxa"/>
            <w:noWrap w:val="0"/>
            <w:vAlign w:val="top"/>
          </w:tcPr>
          <w:p w14:paraId="64B6311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w:t>
            </w:r>
          </w:p>
        </w:tc>
        <w:tc>
          <w:tcPr>
            <w:tcW w:w="1060" w:type="dxa"/>
            <w:noWrap w:val="0"/>
            <w:vAlign w:val="top"/>
          </w:tcPr>
          <w:p w14:paraId="13FB09A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依法调查取证</w:t>
            </w:r>
          </w:p>
        </w:tc>
        <w:tc>
          <w:tcPr>
            <w:tcW w:w="7278" w:type="dxa"/>
            <w:noWrap w:val="0"/>
            <w:vAlign w:val="top"/>
          </w:tcPr>
          <w:p w14:paraId="5F8BC17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0"/>
                <w:sz w:val="24"/>
                <w:szCs w:val="24"/>
                <w:highlight w:val="none"/>
                <w:lang w:eastAsia="zh-CN"/>
                <w14:ligatures w14:val="none"/>
              </w:rPr>
              <w:t>根据案件情况依法</w:t>
            </w:r>
            <w:r>
              <w:rPr>
                <w:rFonts w:hint="eastAsia" w:ascii="宋体" w:hAnsi="宋体" w:eastAsia="宋体" w:cs="宋体"/>
                <w:color w:val="auto"/>
                <w:kern w:val="0"/>
                <w:sz w:val="24"/>
                <w:szCs w:val="24"/>
                <w:highlight w:val="none"/>
                <w14:ligatures w14:val="none"/>
              </w:rPr>
              <w:t>调查取证，必要时申请人民检察院，人民法院收集、调取相关证据，申请人民法院通知证人出庭作证，申请鉴定人出庭作证，申请重新鉴定或勘验等。如有明显疏漏</w:t>
            </w:r>
            <w:r>
              <w:rPr>
                <w:rFonts w:hint="eastAsia" w:ascii="宋体" w:hAnsi="宋体" w:eastAsia="宋体" w:cs="宋体"/>
                <w:color w:val="auto"/>
                <w:kern w:val="0"/>
                <w:sz w:val="24"/>
                <w:szCs w:val="24"/>
                <w:highlight w:val="none"/>
                <w:lang w:eastAsia="zh-CN"/>
                <w14:ligatures w14:val="none"/>
              </w:rPr>
              <w:t>，例</w:t>
            </w:r>
            <w:r>
              <w:rPr>
                <w:rFonts w:hint="eastAsia" w:ascii="宋体" w:hAnsi="宋体" w:eastAsia="宋体" w:cs="宋体"/>
                <w:color w:val="auto"/>
                <w:kern w:val="0"/>
                <w:sz w:val="24"/>
                <w:szCs w:val="24"/>
                <w:highlight w:val="none"/>
                <w14:ligatures w14:val="none"/>
              </w:rPr>
              <w:t>如收集有关犯罪嫌疑人不在犯罪现场、未达刑事责任年龄、属于依法不负责任的精神病人的证据，而没告知办案机关等的情况，</w:t>
            </w:r>
            <w:r>
              <w:rPr>
                <w:rFonts w:hint="eastAsia" w:ascii="宋体" w:hAnsi="宋体" w:eastAsia="宋体" w:cs="宋体"/>
                <w:color w:val="auto"/>
                <w:kern w:val="0"/>
                <w:sz w:val="24"/>
                <w:szCs w:val="24"/>
                <w:highlight w:val="none"/>
                <w:lang w:eastAsia="zh-CN"/>
                <w14:ligatures w14:val="none"/>
              </w:rPr>
              <w:t>该项扣</w:t>
            </w:r>
            <w:r>
              <w:rPr>
                <w:rFonts w:hint="eastAsia" w:ascii="宋体" w:hAnsi="宋体" w:eastAsia="宋体" w:cs="宋体"/>
                <w:color w:val="auto"/>
                <w:kern w:val="0"/>
                <w:sz w:val="24"/>
                <w:szCs w:val="24"/>
                <w:highlight w:val="none"/>
                <w:lang w:val="en-US" w:eastAsia="zh-CN"/>
                <w14:ligatures w14:val="none"/>
              </w:rPr>
              <w:t>5分；</w:t>
            </w:r>
          </w:p>
        </w:tc>
        <w:tc>
          <w:tcPr>
            <w:tcW w:w="849" w:type="dxa"/>
            <w:noWrap w:val="0"/>
            <w:vAlign w:val="top"/>
          </w:tcPr>
          <w:p w14:paraId="61D4091D">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16B8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64BEF27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w:t>
            </w:r>
          </w:p>
        </w:tc>
        <w:tc>
          <w:tcPr>
            <w:tcW w:w="1060" w:type="dxa"/>
            <w:noWrap w:val="0"/>
            <w:vAlign w:val="top"/>
          </w:tcPr>
          <w:p w14:paraId="54B29F9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有效提出法律意见</w:t>
            </w:r>
          </w:p>
        </w:tc>
        <w:tc>
          <w:tcPr>
            <w:tcW w:w="7278" w:type="dxa"/>
            <w:noWrap w:val="0"/>
            <w:vAlign w:val="top"/>
          </w:tcPr>
          <w:p w14:paraId="2268E7A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0"/>
                <w:sz w:val="24"/>
                <w:szCs w:val="24"/>
                <w:highlight w:val="none"/>
                <w14:ligatures w14:val="none"/>
              </w:rPr>
              <w:t>及时提交书面意见；</w:t>
            </w:r>
            <w:r>
              <w:rPr>
                <w:rFonts w:hint="eastAsia" w:ascii="宋体" w:hAnsi="宋体" w:eastAsia="宋体" w:cs="宋体"/>
                <w:color w:val="auto"/>
                <w:kern w:val="2"/>
                <w:sz w:val="24"/>
                <w:szCs w:val="24"/>
                <w:highlight w:val="none"/>
                <w14:ligatures w14:val="none"/>
              </w:rPr>
              <w:t>所提法律意见有从事实、证据和法律等方面进行的分析论证，认为有非法证据应当提交相应证据线索，并提出排除非法证据的意见；根据案件情况，</w:t>
            </w:r>
            <w:r>
              <w:rPr>
                <w:rFonts w:hint="eastAsia" w:ascii="宋体" w:hAnsi="宋体" w:eastAsia="宋体" w:cs="宋体"/>
                <w:color w:val="auto"/>
                <w:kern w:val="0"/>
                <w:sz w:val="24"/>
                <w:szCs w:val="24"/>
                <w:highlight w:val="none"/>
                <w14:ligatures w14:val="none"/>
              </w:rPr>
              <w:t>代理申诉、控告，</w:t>
            </w:r>
            <w:r>
              <w:rPr>
                <w:rFonts w:hint="eastAsia" w:ascii="宋体" w:hAnsi="宋体" w:eastAsia="宋体" w:cs="宋体"/>
                <w:color w:val="auto"/>
                <w:kern w:val="2"/>
                <w:sz w:val="24"/>
                <w:szCs w:val="24"/>
                <w:highlight w:val="none"/>
                <w14:ligatures w14:val="none"/>
              </w:rPr>
              <w:t>申请变更或解除强制措施，建议办案机关作出不批捕决定、申请羁押必要性审查；针对指控罪名和事实提出犯罪嫌疑人或被告人无罪、罪轻或者减轻、免除刑事责任等辩护意见。</w:t>
            </w:r>
            <w:r>
              <w:rPr>
                <w:rFonts w:hint="eastAsia" w:ascii="宋体" w:hAnsi="宋体" w:eastAsia="宋体" w:cs="宋体"/>
                <w:color w:val="auto"/>
                <w:kern w:val="2"/>
                <w:sz w:val="24"/>
                <w:szCs w:val="24"/>
                <w:highlight w:val="none"/>
                <w:lang w:eastAsia="zh-CN"/>
                <w14:ligatures w14:val="none"/>
              </w:rPr>
              <w:t>辩护词过于简单，套模板，缺乏分析论证的，酌情扣</w:t>
            </w:r>
            <w:r>
              <w:rPr>
                <w:rFonts w:hint="eastAsia" w:ascii="宋体" w:hAnsi="宋体" w:eastAsia="宋体" w:cs="宋体"/>
                <w:color w:val="auto"/>
                <w:kern w:val="2"/>
                <w:sz w:val="24"/>
                <w:szCs w:val="24"/>
                <w:highlight w:val="none"/>
                <w:lang w:val="en-US" w:eastAsia="zh-CN"/>
                <w14:ligatures w14:val="none"/>
              </w:rPr>
              <w:t>5-20分；</w:t>
            </w:r>
          </w:p>
        </w:tc>
        <w:tc>
          <w:tcPr>
            <w:tcW w:w="849" w:type="dxa"/>
            <w:noWrap w:val="0"/>
            <w:vAlign w:val="top"/>
          </w:tcPr>
          <w:p w14:paraId="7F6DC2B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6EE7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6CB726C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c>
          <w:tcPr>
            <w:tcW w:w="1060" w:type="dxa"/>
            <w:noWrap w:val="0"/>
            <w:vAlign w:val="top"/>
          </w:tcPr>
          <w:p w14:paraId="0419512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依法参加庭审活动</w:t>
            </w:r>
          </w:p>
        </w:tc>
        <w:tc>
          <w:tcPr>
            <w:tcW w:w="7278" w:type="dxa"/>
            <w:noWrap w:val="0"/>
            <w:vAlign w:val="top"/>
          </w:tcPr>
          <w:p w14:paraId="55267B0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做好开庭准备，参加法庭调查、法庭辩论，有庭审记录或法庭笔录，字迹清晰；围绕证据的真实性、关联性和合法性等发表质证意见；从事实、证据、适用法律、诉讼程序等方面进行分析认证，提出案件定罪量刑的意见和理由。（侦查和审查起诉阶段不作要求），未按要求执行，酌情扣1-5分；</w:t>
            </w:r>
          </w:p>
        </w:tc>
        <w:tc>
          <w:tcPr>
            <w:tcW w:w="849" w:type="dxa"/>
            <w:noWrap w:val="0"/>
            <w:vAlign w:val="top"/>
          </w:tcPr>
          <w:p w14:paraId="5272E61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2482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0A854F1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6</w:t>
            </w:r>
          </w:p>
        </w:tc>
        <w:tc>
          <w:tcPr>
            <w:tcW w:w="1060" w:type="dxa"/>
            <w:noWrap w:val="0"/>
            <w:vAlign w:val="top"/>
          </w:tcPr>
          <w:p w14:paraId="0786FC7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全面履行告知义务</w:t>
            </w:r>
          </w:p>
        </w:tc>
        <w:tc>
          <w:tcPr>
            <w:tcW w:w="7278" w:type="dxa"/>
            <w:noWrap w:val="0"/>
            <w:vAlign w:val="top"/>
          </w:tcPr>
          <w:p w14:paraId="3716420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告知承办律师身份、责任、工作任务及参与诉讼的权利义务，且询问是否同意为其辩护；询问受援人基本情况；听取受援人陈述申辩，询问是否存在自首、立功或其他对定罪量刑有利的信息；询问受援人能否提供新的证据或证据线索；告知受援人程序和实体上权利义务及诉讼程序规定；向受援人解释所涉罪名的犯罪构成及量刑幅度；犯罪嫌疑人认罪认罚的，及时告知其各项诉讼权利和认罪认罚的法律规定；有被会见人签名或捺印确认；受援人不同意承办律师为其辩护，要书面告知法律援助中心；未按要求执行，酌情扣1-5分；</w:t>
            </w:r>
          </w:p>
        </w:tc>
        <w:tc>
          <w:tcPr>
            <w:tcW w:w="849" w:type="dxa"/>
            <w:noWrap w:val="0"/>
            <w:vAlign w:val="top"/>
          </w:tcPr>
          <w:p w14:paraId="1C7F8CE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3D40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55B9D6B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7</w:t>
            </w:r>
          </w:p>
        </w:tc>
        <w:tc>
          <w:tcPr>
            <w:tcW w:w="1060" w:type="dxa"/>
            <w:noWrap w:val="0"/>
            <w:vAlign w:val="top"/>
          </w:tcPr>
          <w:p w14:paraId="0FAF0756">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履行报告义务</w:t>
            </w:r>
          </w:p>
        </w:tc>
        <w:tc>
          <w:tcPr>
            <w:tcW w:w="7278" w:type="dxa"/>
            <w:noWrap w:val="0"/>
            <w:vAlign w:val="top"/>
          </w:tcPr>
          <w:p w14:paraId="746572BD">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四类案件：A主要证据或案件事实的认定、法律适用、罪与非罪等方面存在重大疑义的；B涉及群体性事件的；C具有重大社会影响的；D其他疑难复杂情形的案件；</w:t>
            </w:r>
          </w:p>
          <w:p w14:paraId="4F8A3E9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遇到四类重大疑难复杂刑事案件之一，向律所报告，提请集体讨论研究辩护意见，并及时向法援机构报告承办情况，并在法律援助案件承办情况通报/报告记录中有记录。遇到导致终止法律援助的4种情形之一，向法援机构报告。未按要求执行5分；</w:t>
            </w:r>
          </w:p>
        </w:tc>
        <w:tc>
          <w:tcPr>
            <w:tcW w:w="849" w:type="dxa"/>
            <w:noWrap w:val="0"/>
            <w:vAlign w:val="top"/>
          </w:tcPr>
          <w:p w14:paraId="3328F13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4895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noWrap w:val="0"/>
            <w:vAlign w:val="top"/>
          </w:tcPr>
          <w:p w14:paraId="02783A3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8</w:t>
            </w:r>
          </w:p>
        </w:tc>
        <w:tc>
          <w:tcPr>
            <w:tcW w:w="1060" w:type="dxa"/>
            <w:noWrap w:val="0"/>
            <w:vAlign w:val="top"/>
          </w:tcPr>
          <w:p w14:paraId="1A7799F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规范整理提交承办材料</w:t>
            </w:r>
          </w:p>
        </w:tc>
        <w:tc>
          <w:tcPr>
            <w:tcW w:w="7278" w:type="dxa"/>
            <w:noWrap w:val="0"/>
            <w:vAlign w:val="top"/>
          </w:tcPr>
          <w:p w14:paraId="3A9C149A">
            <w:pPr>
              <w:keepNext w:val="0"/>
              <w:keepLines w:val="0"/>
              <w:pageBreakBefore w:val="0"/>
              <w:widowControl w:val="0"/>
              <w:numPr>
                <w:ilvl w:val="0"/>
                <w:numId w:val="14"/>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有判决书、裁定书等结案文书，程序完整，受援人合法权益基本得到维护。</w:t>
            </w:r>
          </w:p>
          <w:p w14:paraId="50EF592A">
            <w:pPr>
              <w:keepNext w:val="0"/>
              <w:keepLines w:val="0"/>
              <w:pageBreakBefore w:val="0"/>
              <w:widowControl w:val="0"/>
              <w:numPr>
                <w:ilvl w:val="0"/>
                <w:numId w:val="14"/>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有《案件承办情况通报/报告》，将承办案件过程按时间顺序记录详细。</w:t>
            </w:r>
          </w:p>
          <w:p w14:paraId="33B59975">
            <w:pPr>
              <w:keepNext w:val="0"/>
              <w:keepLines w:val="0"/>
              <w:pageBreakBefore w:val="0"/>
              <w:widowControl w:val="0"/>
              <w:numPr>
                <w:ilvl w:val="0"/>
                <w:numId w:val="14"/>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有《结案报告》，内容填写规范完整。办案小结有基本案情、办案经过简述、辩护意见、援助结果、办案思路方法和经验体会等。主要证据或案件事实的认定、法律适用、罪与非罪等方面存在重大疑义、涉及群体性事件、具有重大社会影响等疑难复杂情形应记录。</w:t>
            </w:r>
          </w:p>
          <w:p w14:paraId="0BC73987">
            <w:pPr>
              <w:keepNext w:val="0"/>
              <w:keepLines w:val="0"/>
              <w:pageBreakBefore w:val="0"/>
              <w:widowControl w:val="0"/>
              <w:numPr>
                <w:ilvl w:val="0"/>
                <w:numId w:val="14"/>
              </w:numPr>
              <w:kinsoku/>
              <w:wordWrap/>
              <w:overflowPunct/>
              <w:topLinePunct w:val="0"/>
              <w:autoSpaceDE/>
              <w:autoSpaceDN/>
              <w:bidi w:val="0"/>
              <w:adjustRightInd/>
              <w:snapToGrid/>
              <w:spacing w:after="0" w:line="540" w:lineRule="exact"/>
              <w:ind w:left="0" w:leftChars="0" w:firstLine="0" w:firstLineChars="0"/>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卷宗规范整洁，卷宗与信息系统一致；案卷卷面填写规范无误；指派和办理流程时间逻辑相符；自结案之日起30日内向法律援助机构提交纸质档案。</w:t>
            </w:r>
          </w:p>
          <w:p w14:paraId="1A6153F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ind w:leftChars="0"/>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未按要求执行，酌情扣5-30分；</w:t>
            </w:r>
          </w:p>
        </w:tc>
        <w:tc>
          <w:tcPr>
            <w:tcW w:w="849" w:type="dxa"/>
            <w:noWrap w:val="0"/>
            <w:vAlign w:val="top"/>
          </w:tcPr>
          <w:p w14:paraId="0BA2B21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30</w:t>
            </w:r>
          </w:p>
        </w:tc>
      </w:tr>
      <w:tr w14:paraId="2BA5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4" w:type="dxa"/>
            <w:gridSpan w:val="2"/>
            <w:noWrap w:val="0"/>
            <w:vAlign w:val="top"/>
          </w:tcPr>
          <w:p w14:paraId="03A9C10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合计</w:t>
            </w:r>
          </w:p>
        </w:tc>
        <w:tc>
          <w:tcPr>
            <w:tcW w:w="7278" w:type="dxa"/>
            <w:noWrap w:val="0"/>
            <w:vAlign w:val="top"/>
          </w:tcPr>
          <w:p w14:paraId="1C2306A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849" w:type="dxa"/>
            <w:noWrap w:val="0"/>
            <w:vAlign w:val="top"/>
          </w:tcPr>
          <w:p w14:paraId="7B22D3CB">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100</w:t>
            </w:r>
          </w:p>
        </w:tc>
      </w:tr>
    </w:tbl>
    <w:p w14:paraId="6D25F9BD">
      <w:pPr>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b/>
          <w:color w:val="auto"/>
          <w:kern w:val="2"/>
          <w:sz w:val="24"/>
          <w:szCs w:val="24"/>
          <w:highlight w:val="none"/>
          <w:lang w:eastAsia="zh-CN"/>
          <w14:ligatures w14:val="none"/>
        </w:rPr>
      </w:pPr>
    </w:p>
    <w:p w14:paraId="5970F6F2">
      <w:pPr>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b/>
          <w:color w:val="auto"/>
          <w:kern w:val="2"/>
          <w:sz w:val="24"/>
          <w:szCs w:val="24"/>
          <w:highlight w:val="none"/>
          <w:lang w:eastAsia="zh-CN"/>
          <w14:ligatures w14:val="none"/>
        </w:rPr>
      </w:pPr>
    </w:p>
    <w:p w14:paraId="07BAF110">
      <w:pPr>
        <w:rPr>
          <w:rFonts w:hint="eastAsia" w:ascii="宋体" w:hAnsi="宋体" w:eastAsia="宋体" w:cs="宋体"/>
          <w:b/>
          <w:color w:val="auto"/>
          <w:kern w:val="2"/>
          <w:sz w:val="24"/>
          <w:szCs w:val="24"/>
          <w:highlight w:val="none"/>
          <w:lang w:eastAsia="zh-CN"/>
          <w14:ligatures w14:val="none"/>
        </w:rPr>
      </w:pPr>
      <w:r>
        <w:rPr>
          <w:rFonts w:hint="eastAsia" w:ascii="宋体" w:hAnsi="宋体" w:eastAsia="宋体" w:cs="宋体"/>
          <w:b/>
          <w:color w:val="auto"/>
          <w:kern w:val="2"/>
          <w:sz w:val="24"/>
          <w:szCs w:val="24"/>
          <w:highlight w:val="none"/>
          <w:lang w:eastAsia="zh-CN"/>
          <w14:ligatures w14:val="none"/>
        </w:rPr>
        <w:br w:type="page"/>
      </w:r>
    </w:p>
    <w:p w14:paraId="0E9D7D13">
      <w:pPr>
        <w:pageBreakBefore w:val="0"/>
        <w:widowControl w:val="0"/>
        <w:tabs>
          <w:tab w:val="left" w:pos="6620"/>
          <w:tab w:val="left" w:pos="7140"/>
        </w:tabs>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b/>
          <w:color w:val="auto"/>
          <w:kern w:val="2"/>
          <w:sz w:val="24"/>
          <w:szCs w:val="24"/>
          <w:highlight w:val="none"/>
          <w:lang w:eastAsia="zh-CN"/>
          <w14:ligatures w14:val="none"/>
        </w:rPr>
      </w:pPr>
      <w:r>
        <w:rPr>
          <w:rFonts w:hint="eastAsia" w:ascii="宋体" w:hAnsi="宋体" w:eastAsia="宋体" w:cs="宋体"/>
          <w:b/>
          <w:color w:val="auto"/>
          <w:kern w:val="2"/>
          <w:sz w:val="24"/>
          <w:szCs w:val="24"/>
          <w:highlight w:val="none"/>
          <w:lang w:eastAsia="zh-CN"/>
          <w14:ligatures w14:val="none"/>
        </w:rPr>
        <w:t>申请</w:t>
      </w:r>
      <w:r>
        <w:rPr>
          <w:rFonts w:hint="eastAsia" w:ascii="宋体" w:hAnsi="宋体" w:eastAsia="宋体" w:cs="宋体"/>
          <w:b/>
          <w:color w:val="auto"/>
          <w:kern w:val="2"/>
          <w:sz w:val="24"/>
          <w:szCs w:val="24"/>
          <w:highlight w:val="none"/>
          <w14:ligatures w14:val="none"/>
        </w:rPr>
        <w:t>类法律援助案件质量</w:t>
      </w:r>
      <w:r>
        <w:rPr>
          <w:rFonts w:hint="eastAsia" w:ascii="宋体" w:hAnsi="宋体" w:eastAsia="宋体" w:cs="宋体"/>
          <w:b/>
          <w:color w:val="auto"/>
          <w:kern w:val="2"/>
          <w:sz w:val="24"/>
          <w:szCs w:val="24"/>
          <w:highlight w:val="none"/>
          <w:lang w:eastAsia="zh-CN"/>
          <w14:ligatures w14:val="none"/>
        </w:rPr>
        <w:t>考核标准</w:t>
      </w:r>
    </w:p>
    <w:tbl>
      <w:tblPr>
        <w:tblStyle w:val="10"/>
        <w:tblW w:w="9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786"/>
        <w:gridCol w:w="6467"/>
        <w:gridCol w:w="910"/>
      </w:tblGrid>
      <w:tr w14:paraId="0386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1D96645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序号</w:t>
            </w:r>
          </w:p>
        </w:tc>
        <w:tc>
          <w:tcPr>
            <w:tcW w:w="1786" w:type="dxa"/>
            <w:noWrap w:val="0"/>
            <w:vAlign w:val="top"/>
          </w:tcPr>
          <w:p w14:paraId="4E2EA64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项目</w:t>
            </w:r>
          </w:p>
        </w:tc>
        <w:tc>
          <w:tcPr>
            <w:tcW w:w="6467" w:type="dxa"/>
            <w:noWrap w:val="0"/>
            <w:vAlign w:val="top"/>
          </w:tcPr>
          <w:p w14:paraId="3A30FD0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标准</w:t>
            </w:r>
          </w:p>
        </w:tc>
        <w:tc>
          <w:tcPr>
            <w:tcW w:w="910" w:type="dxa"/>
            <w:noWrap w:val="0"/>
            <w:vAlign w:val="top"/>
          </w:tcPr>
          <w:p w14:paraId="05B36EA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总分</w:t>
            </w:r>
          </w:p>
        </w:tc>
      </w:tr>
      <w:tr w14:paraId="3C83D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148C333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w:t>
            </w:r>
          </w:p>
        </w:tc>
        <w:tc>
          <w:tcPr>
            <w:tcW w:w="1786" w:type="dxa"/>
            <w:noWrap w:val="0"/>
            <w:vAlign w:val="top"/>
          </w:tcPr>
          <w:p w14:paraId="3B7413D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依法确立委托代理关系</w:t>
            </w:r>
          </w:p>
        </w:tc>
        <w:tc>
          <w:tcPr>
            <w:tcW w:w="6467" w:type="dxa"/>
            <w:noWrap w:val="0"/>
            <w:vAlign w:val="top"/>
          </w:tcPr>
          <w:p w14:paraId="5422ADD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1、有委托代理协议，收到指派通知书之日起5日内与受援人或者其法定代理人、近亲属签订委托代理协议，未按要求执行，扣2分；</w:t>
            </w:r>
          </w:p>
          <w:p w14:paraId="30729AC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2、授权委托书，并经受援人或其代理人签名或者盖章，授权委托书应载明委托事项和权限，仅表述为“一般代理”或在某些权限后加“等”字，属于约定不明；扣3分</w:t>
            </w:r>
          </w:p>
        </w:tc>
        <w:tc>
          <w:tcPr>
            <w:tcW w:w="910" w:type="dxa"/>
            <w:noWrap w:val="0"/>
            <w:vAlign w:val="top"/>
          </w:tcPr>
          <w:p w14:paraId="27103BB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055A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8" w:type="dxa"/>
            <w:noWrap w:val="0"/>
            <w:vAlign w:val="top"/>
          </w:tcPr>
          <w:p w14:paraId="39E3FD1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w:t>
            </w:r>
          </w:p>
        </w:tc>
        <w:tc>
          <w:tcPr>
            <w:tcW w:w="1786" w:type="dxa"/>
            <w:noWrap w:val="0"/>
            <w:vAlign w:val="top"/>
          </w:tcPr>
          <w:p w14:paraId="775B5BF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及时有效约见受援人</w:t>
            </w:r>
          </w:p>
        </w:tc>
        <w:tc>
          <w:tcPr>
            <w:tcW w:w="6467" w:type="dxa"/>
            <w:noWrap w:val="0"/>
            <w:vAlign w:val="top"/>
          </w:tcPr>
          <w:p w14:paraId="2C6D2D8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1、及时约见受援人或者其法定代理人、近亲属。未按要求执行，扣5分</w:t>
            </w:r>
          </w:p>
          <w:p w14:paraId="1EB8956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约见内容：包括了解案件基本情况、受援人的诉求、案件相关证据材料及证据线索，诉讼主体、诉讼情节、诉讼请求发生变更事项，通报案件办理情况，商定代理意见和解决方案等，可以多次约见。未按要求执行，扣10分；</w:t>
            </w:r>
          </w:p>
        </w:tc>
        <w:tc>
          <w:tcPr>
            <w:tcW w:w="910" w:type="dxa"/>
            <w:noWrap w:val="0"/>
            <w:vAlign w:val="top"/>
          </w:tcPr>
          <w:p w14:paraId="1BEC2D9F">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15</w:t>
            </w:r>
          </w:p>
        </w:tc>
      </w:tr>
      <w:tr w14:paraId="4F1E8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337C150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w:t>
            </w:r>
          </w:p>
        </w:tc>
        <w:tc>
          <w:tcPr>
            <w:tcW w:w="1786" w:type="dxa"/>
            <w:noWrap w:val="0"/>
            <w:vAlign w:val="top"/>
          </w:tcPr>
          <w:p w14:paraId="7475DF7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依法调查取证</w:t>
            </w:r>
          </w:p>
        </w:tc>
        <w:tc>
          <w:tcPr>
            <w:tcW w:w="6467" w:type="dxa"/>
            <w:noWrap w:val="0"/>
            <w:vAlign w:val="top"/>
          </w:tcPr>
          <w:p w14:paraId="067CF0F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审查受援人提供的证据材料，必要时到法院查阅卷宗，摘抄、复制必要的证据材料，且制作阅卷笔录；依法调查、收集与案件有关的证据材料，必要时申请法院调查取证、证据保全或申请证人出庭作证；制作证据目录且说明来源、要证明的对象与目的。未按要求执行，酌情扣5-15分；</w:t>
            </w:r>
          </w:p>
        </w:tc>
        <w:tc>
          <w:tcPr>
            <w:tcW w:w="910" w:type="dxa"/>
            <w:noWrap w:val="0"/>
            <w:vAlign w:val="top"/>
          </w:tcPr>
          <w:p w14:paraId="431B844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15</w:t>
            </w:r>
          </w:p>
        </w:tc>
      </w:tr>
      <w:tr w14:paraId="3B56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0DDF835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w:t>
            </w:r>
          </w:p>
        </w:tc>
        <w:tc>
          <w:tcPr>
            <w:tcW w:w="1786" w:type="dxa"/>
            <w:noWrap w:val="0"/>
            <w:vAlign w:val="top"/>
          </w:tcPr>
          <w:p w14:paraId="0C36454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有效提出法律意见</w:t>
            </w:r>
          </w:p>
        </w:tc>
        <w:tc>
          <w:tcPr>
            <w:tcW w:w="6467" w:type="dxa"/>
            <w:noWrap w:val="0"/>
            <w:vAlign w:val="top"/>
          </w:tcPr>
          <w:p w14:paraId="558900AD">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所提法律意见在受援人授权范围内，运用法律法规准确，文书格式规范。代理意见；内容包括案件事实、主要证据、双方争议焦点、具体法律适用等；观点鲜明，论述有理有据；及时将意见书提交法院；书写规整清晰。未按要求执行，酌情扣5-20分；</w:t>
            </w:r>
          </w:p>
        </w:tc>
        <w:tc>
          <w:tcPr>
            <w:tcW w:w="910" w:type="dxa"/>
            <w:noWrap w:val="0"/>
            <w:vAlign w:val="top"/>
          </w:tcPr>
          <w:p w14:paraId="274E4744">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20</w:t>
            </w:r>
          </w:p>
        </w:tc>
      </w:tr>
      <w:tr w14:paraId="048E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355CF21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c>
          <w:tcPr>
            <w:tcW w:w="1786" w:type="dxa"/>
            <w:noWrap w:val="0"/>
            <w:vAlign w:val="top"/>
          </w:tcPr>
          <w:p w14:paraId="125414B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依法参加庭审活动</w:t>
            </w:r>
          </w:p>
        </w:tc>
        <w:tc>
          <w:tcPr>
            <w:tcW w:w="6467" w:type="dxa"/>
            <w:noWrap w:val="0"/>
            <w:vAlign w:val="top"/>
          </w:tcPr>
          <w:p w14:paraId="7BA9824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应做好开庭准备，按时出庭，依法参加法庭调查，参与法庭辩论，有庭审/仲裁书面记录，内容包括对方意见、辩论焦点和其他庭审要点等（或有法院/仲裁的庭审记录复件）。未按要求执行，酌情扣1-5分；</w:t>
            </w:r>
          </w:p>
        </w:tc>
        <w:tc>
          <w:tcPr>
            <w:tcW w:w="910" w:type="dxa"/>
            <w:noWrap w:val="0"/>
            <w:vAlign w:val="top"/>
          </w:tcPr>
          <w:p w14:paraId="50FB34AA">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01C3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5DDDA2E8">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6</w:t>
            </w:r>
          </w:p>
        </w:tc>
        <w:tc>
          <w:tcPr>
            <w:tcW w:w="1786" w:type="dxa"/>
            <w:noWrap w:val="0"/>
            <w:vAlign w:val="top"/>
          </w:tcPr>
          <w:p w14:paraId="2601C69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全面履行告知义务</w:t>
            </w:r>
          </w:p>
        </w:tc>
        <w:tc>
          <w:tcPr>
            <w:tcW w:w="6467" w:type="dxa"/>
            <w:noWrap w:val="0"/>
            <w:vAlign w:val="top"/>
          </w:tcPr>
          <w:p w14:paraId="4C1883B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告知承办人员的代理职责；告知受援人可以向法院申请减、免、缓交诉讼费用；告知主要诉讼风险及法律后果；告知受援人在诉讼中的权利义务；了解案件事实经过、经司法程序处理背景、争议焦点和诉讼时效等基本情况；了解受援人诉求和案件相关材料及证据收集情况；向受援人通报案件办理情况，与其商定代理方案、合解或者调解方案及申请财产保全、证据保全、先予执行等（有需要的可以制作多次谈话笔录或电话记录）；有受援人签名。未按要求执行，酌情扣1-5分；</w:t>
            </w:r>
          </w:p>
        </w:tc>
        <w:tc>
          <w:tcPr>
            <w:tcW w:w="910" w:type="dxa"/>
            <w:noWrap w:val="0"/>
            <w:vAlign w:val="top"/>
          </w:tcPr>
          <w:p w14:paraId="53207D0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2F18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72C5D747">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7</w:t>
            </w:r>
          </w:p>
        </w:tc>
        <w:tc>
          <w:tcPr>
            <w:tcW w:w="1786" w:type="dxa"/>
            <w:noWrap w:val="0"/>
            <w:vAlign w:val="top"/>
          </w:tcPr>
          <w:p w14:paraId="7CA6A79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履行报告义务</w:t>
            </w:r>
          </w:p>
        </w:tc>
        <w:tc>
          <w:tcPr>
            <w:tcW w:w="6467" w:type="dxa"/>
            <w:noWrap w:val="0"/>
            <w:vAlign w:val="top"/>
          </w:tcPr>
          <w:p w14:paraId="76563A6C">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四类案件：A主要证据或案件事实的认定、法律适用等方面存在重大疑义的；B涉及群体性事件的，C具有重大社会影响的；D其他疑难复杂情形的案件。</w:t>
            </w:r>
          </w:p>
          <w:p w14:paraId="7582211D">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案件属于四类案件中的任一种的，应向承办机构报告，提请集体讨论研究代理意见，同时应及时向指派案件的法律援助机构报告承办情况，并在法律援助案件承办情况通报/报告记录中有记录。未按要求执行，扣5分；</w:t>
            </w:r>
          </w:p>
        </w:tc>
        <w:tc>
          <w:tcPr>
            <w:tcW w:w="910" w:type="dxa"/>
            <w:noWrap w:val="0"/>
            <w:vAlign w:val="top"/>
          </w:tcPr>
          <w:p w14:paraId="04E1AB8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5</w:t>
            </w:r>
          </w:p>
        </w:tc>
      </w:tr>
      <w:tr w14:paraId="445D1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noWrap w:val="0"/>
            <w:vAlign w:val="top"/>
          </w:tcPr>
          <w:p w14:paraId="094F05A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8</w:t>
            </w:r>
          </w:p>
        </w:tc>
        <w:tc>
          <w:tcPr>
            <w:tcW w:w="1786" w:type="dxa"/>
            <w:noWrap w:val="0"/>
            <w:vAlign w:val="top"/>
          </w:tcPr>
          <w:p w14:paraId="7306B139">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规范整理提交承办材料</w:t>
            </w:r>
          </w:p>
        </w:tc>
        <w:tc>
          <w:tcPr>
            <w:tcW w:w="6467" w:type="dxa"/>
            <w:noWrap w:val="0"/>
            <w:vAlign w:val="top"/>
          </w:tcPr>
          <w:p w14:paraId="6B310B9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1、有判决书、裁定书或和解协议等结案文书，程序完整，受援人合法权益基本得到维护。</w:t>
            </w:r>
          </w:p>
          <w:p w14:paraId="51E2404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2、有《案件承办情况通报/报告》，向援助机构和受援人通报案件办理情况，答复受援人询问等工作，按时间顺序记录详细。</w:t>
            </w:r>
          </w:p>
          <w:p w14:paraId="796B8005">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3、有《结案报告》，内容填写规范完整。有主要证据或法律适用等方面存在重大疑义、涉及群体性事件、具有重大社会影响等疑难复杂情形应记录。</w:t>
            </w:r>
          </w:p>
          <w:p w14:paraId="6101C79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4、卷宗规范整洁，卷宗与信息系统一致；案卷卷面填写规范无误；指派和办理流程时间逻辑相符；自结案之日起30日内向法律援助机构提交纸质案件档案。未按要求执行，酌情扣5-30分；</w:t>
            </w:r>
          </w:p>
        </w:tc>
        <w:tc>
          <w:tcPr>
            <w:tcW w:w="910" w:type="dxa"/>
            <w:noWrap w:val="0"/>
            <w:vAlign w:val="top"/>
          </w:tcPr>
          <w:p w14:paraId="4DD13ED3">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30</w:t>
            </w:r>
          </w:p>
        </w:tc>
      </w:tr>
      <w:tr w14:paraId="1C0F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gridSpan w:val="2"/>
            <w:noWrap w:val="0"/>
            <w:vAlign w:val="top"/>
          </w:tcPr>
          <w:p w14:paraId="0ABAB351">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center"/>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合计</w:t>
            </w:r>
          </w:p>
        </w:tc>
        <w:tc>
          <w:tcPr>
            <w:tcW w:w="6467" w:type="dxa"/>
            <w:noWrap w:val="0"/>
            <w:vAlign w:val="top"/>
          </w:tcPr>
          <w:p w14:paraId="49EC129E">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p>
        </w:tc>
        <w:tc>
          <w:tcPr>
            <w:tcW w:w="910" w:type="dxa"/>
            <w:noWrap w:val="0"/>
            <w:vAlign w:val="top"/>
          </w:tcPr>
          <w:p w14:paraId="7C9786D0">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jc w:val="both"/>
              <w:textAlignment w:val="auto"/>
              <w:rPr>
                <w:rFonts w:hint="eastAsia" w:ascii="宋体" w:hAnsi="宋体" w:eastAsia="宋体" w:cs="宋体"/>
                <w:color w:val="auto"/>
                <w:kern w:val="2"/>
                <w:sz w:val="24"/>
                <w:szCs w:val="24"/>
                <w:highlight w:val="none"/>
                <w:vertAlign w:val="baseline"/>
                <w:lang w:val="en-US" w:eastAsia="zh-CN" w:bidi="ar-SA"/>
                <w14:ligatures w14:val="none"/>
              </w:rPr>
            </w:pPr>
            <w:r>
              <w:rPr>
                <w:rFonts w:hint="eastAsia" w:ascii="宋体" w:hAnsi="宋体" w:eastAsia="宋体" w:cs="宋体"/>
                <w:color w:val="auto"/>
                <w:kern w:val="2"/>
                <w:sz w:val="24"/>
                <w:szCs w:val="24"/>
                <w:highlight w:val="none"/>
                <w:vertAlign w:val="baseline"/>
                <w:lang w:val="en-US" w:eastAsia="zh-CN" w:bidi="ar-SA"/>
                <w14:ligatures w14:val="none"/>
              </w:rPr>
              <w:t>100</w:t>
            </w:r>
          </w:p>
        </w:tc>
      </w:tr>
    </w:tbl>
    <w:p w14:paraId="5BAE189F">
      <w:pPr>
        <w:pageBreakBefore w:val="0"/>
        <w:widowControl w:val="0"/>
        <w:kinsoku/>
        <w:wordWrap/>
        <w:overflowPunct/>
        <w:topLinePunct w:val="0"/>
        <w:autoSpaceDE/>
        <w:autoSpaceDN/>
        <w:bidi w:val="0"/>
        <w:adjustRightInd/>
        <w:snapToGrid/>
        <w:spacing w:after="0" w:line="540" w:lineRule="exact"/>
        <w:textAlignment w:val="auto"/>
        <w:rPr>
          <w:rFonts w:hint="eastAsia" w:ascii="宋体" w:hAnsi="宋体" w:eastAsia="宋体" w:cs="宋体"/>
          <w:kern w:val="2"/>
          <w:sz w:val="24"/>
          <w:szCs w:val="24"/>
          <w14:ligatures w14:val="none"/>
        </w:rPr>
      </w:pPr>
    </w:p>
    <w:p w14:paraId="726EA48E">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七、保密条款：乙方及派驻法律服务人员不得将在履行本合同中知悉的甲方任何信息随意泄露、擅自使用。如违反本条款规定，乙方及派驻法律服务人员应当承担相应的法律责任。</w:t>
      </w:r>
    </w:p>
    <w:p w14:paraId="286B2DDA">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八、产权归属：在本项目中，项目的知识成果和产权归甲方所有，甲方或最终用户在项目过程中不受第三方关于侵犯知识产权的指控。</w:t>
      </w:r>
    </w:p>
    <w:p w14:paraId="014E720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九、协议变更与解除情形</w:t>
      </w:r>
    </w:p>
    <w:p w14:paraId="2CA81FBF">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1、因工作内容调整，上级管理部门对甲方服务岗位、工作人员有新的管理、任用要求的，可以根据要求变更协议内容。</w:t>
      </w:r>
    </w:p>
    <w:p w14:paraId="195CE4B5">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乙方派驻法律服务人员违反甲方各项规章制度或因身体等原因不能胜任甲方工作需要，无法继续履行合同的，甲方通知乙方及时更换法律服务人员，乙方收到甲方更换法律服务人员通知5个工作日内应当安排符合采购要求的新任法律服务人员到岗，并确保做好工作交接。</w:t>
      </w:r>
    </w:p>
    <w:p w14:paraId="48685AAA">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3、除《民法典》规定的合同解除情形外，乙方派驻法律服务人员出现以下情况，甲方有权解除合同。合同自通知到达乙方时解除。</w:t>
      </w:r>
    </w:p>
    <w:p w14:paraId="489C9CD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3.1、乙方派驻法律服务人员在合同存续期间发生违法违规行为的；</w:t>
      </w:r>
    </w:p>
    <w:p w14:paraId="2E75EB93">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3.2、受到来访人、受援人或公检法等相关部门有效投诉的；</w:t>
      </w:r>
    </w:p>
    <w:p w14:paraId="5FC36C5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3.3、无故不参加甲方安排的重大应急任务、公益宣传活动、业务培训活动的；</w:t>
      </w:r>
    </w:p>
    <w:p w14:paraId="4D7F216A">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3.4、无故不参加法律援助值班或不接受法律服务工作安排的；</w:t>
      </w:r>
    </w:p>
    <w:p w14:paraId="088E87F0">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3.5、办理法律服务案件质量不佳，经甲方办案考核不合格或经同行评估卷宗为不合格的；</w:t>
      </w:r>
    </w:p>
    <w:p w14:paraId="77BABAAB">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3.6、未按要求完成</w:t>
      </w:r>
      <w:r>
        <w:rPr>
          <w:rFonts w:hint="eastAsia" w:ascii="宋体" w:hAnsi="宋体" w:cs="宋体"/>
          <w:color w:val="auto"/>
          <w:kern w:val="2"/>
          <w:sz w:val="24"/>
          <w:szCs w:val="24"/>
          <w:highlight w:val="none"/>
          <w:lang w:val="en-US" w:eastAsia="zh-CN" w:bidi="ar-SA"/>
          <w14:ligatures w14:val="none"/>
        </w:rPr>
        <w:t>甲</w:t>
      </w:r>
      <w:r>
        <w:rPr>
          <w:rFonts w:hint="eastAsia" w:ascii="宋体" w:hAnsi="宋体" w:eastAsia="宋体" w:cs="宋体"/>
          <w:color w:val="auto"/>
          <w:kern w:val="2"/>
          <w:sz w:val="24"/>
          <w:szCs w:val="24"/>
          <w:highlight w:val="none"/>
          <w:lang w:val="en-US" w:eastAsia="zh-CN" w:bidi="ar-SA"/>
          <w14:ligatures w14:val="none"/>
        </w:rPr>
        <w:t>方交办的其他相关工作。</w:t>
      </w:r>
    </w:p>
    <w:p w14:paraId="26147C97">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本</w:t>
      </w:r>
      <w:r>
        <w:rPr>
          <w:rFonts w:hint="eastAsia" w:ascii="宋体" w:hAnsi="宋体" w:cs="宋体"/>
          <w:color w:val="auto"/>
          <w:kern w:val="2"/>
          <w:sz w:val="24"/>
          <w:szCs w:val="24"/>
          <w:highlight w:val="none"/>
          <w:lang w:val="en-US" w:eastAsia="zh-CN" w:bidi="ar-SA"/>
          <w14:ligatures w14:val="none"/>
        </w:rPr>
        <w:t>合同</w:t>
      </w:r>
      <w:r>
        <w:rPr>
          <w:rFonts w:hint="eastAsia" w:ascii="宋体" w:hAnsi="宋体" w:eastAsia="宋体" w:cs="宋体"/>
          <w:color w:val="auto"/>
          <w:kern w:val="2"/>
          <w:sz w:val="24"/>
          <w:szCs w:val="24"/>
          <w:highlight w:val="none"/>
          <w:lang w:val="en-US" w:eastAsia="zh-CN" w:bidi="ar-SA"/>
          <w14:ligatures w14:val="none"/>
        </w:rPr>
        <w:t>变更或终止，均需提前30日通知对方。乙方应安排派驻法律服务人员在5个工作日内办理工作交接。</w:t>
      </w:r>
    </w:p>
    <w:p w14:paraId="7BC9C63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十、争议的解决方式</w:t>
      </w:r>
    </w:p>
    <w:p w14:paraId="30E0AAA0">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1、在结算或者执行本协议的过程中出现疑问或发生争议时，双方应通过协商方式解决。</w:t>
      </w:r>
    </w:p>
    <w:p w14:paraId="0F49F8D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2、因本合同引起的或与本合同有关的经协商不能解决的任何争议，由甲方所在地人民法院管辖。</w:t>
      </w:r>
    </w:p>
    <w:p w14:paraId="7661F96B">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十一、合同生效：本合同</w:t>
      </w:r>
      <w:r>
        <w:rPr>
          <w:rFonts w:hint="eastAsia" w:ascii="宋体" w:hAnsi="宋体" w:cs="宋体"/>
          <w:color w:val="auto"/>
          <w:kern w:val="2"/>
          <w:sz w:val="24"/>
          <w:szCs w:val="24"/>
          <w:highlight w:val="none"/>
          <w:lang w:val="en-US" w:eastAsia="zh-CN" w:bidi="ar-SA"/>
          <w14:ligatures w14:val="none"/>
        </w:rPr>
        <w:t>一式两份，未尽事宜可以签订补充合同。本合同</w:t>
      </w:r>
      <w:r>
        <w:rPr>
          <w:rFonts w:hint="eastAsia" w:ascii="宋体" w:hAnsi="宋体" w:eastAsia="宋体" w:cs="宋体"/>
          <w:color w:val="auto"/>
          <w:kern w:val="2"/>
          <w:sz w:val="24"/>
          <w:szCs w:val="24"/>
          <w:highlight w:val="none"/>
          <w:lang w:val="en-US" w:eastAsia="zh-CN" w:bidi="ar-SA"/>
          <w14:ligatures w14:val="none"/>
        </w:rPr>
        <w:t>经甲乙双方法定（授权）代表人签署并加盖单位公章后生效。</w:t>
      </w:r>
    </w:p>
    <w:p w14:paraId="20568EE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甲方：南京市江宁区司法局（盖章）</w:t>
      </w:r>
      <w:r>
        <w:rPr>
          <w:rFonts w:hint="eastAsia" w:ascii="宋体" w:hAnsi="宋体" w:eastAsia="宋体" w:cs="宋体"/>
          <w:color w:val="auto"/>
          <w:kern w:val="2"/>
          <w:sz w:val="24"/>
          <w:szCs w:val="24"/>
          <w:highlight w:val="none"/>
          <w:lang w:val="en-US" w:eastAsia="zh-CN" w:bidi="ar-SA"/>
          <w14:ligatures w14:val="none"/>
        </w:rPr>
        <w:tab/>
      </w:r>
    </w:p>
    <w:p w14:paraId="160CCD53">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地址：江宁区金箔路776号</w:t>
      </w:r>
      <w:r>
        <w:rPr>
          <w:rFonts w:hint="eastAsia" w:ascii="宋体" w:hAnsi="宋体" w:eastAsia="宋体" w:cs="宋体"/>
          <w:color w:val="auto"/>
          <w:kern w:val="2"/>
          <w:sz w:val="24"/>
          <w:szCs w:val="24"/>
          <w:highlight w:val="none"/>
          <w:lang w:val="en-US" w:eastAsia="zh-CN" w:bidi="ar-SA"/>
          <w14:ligatures w14:val="none"/>
        </w:rPr>
        <w:tab/>
      </w:r>
    </w:p>
    <w:p w14:paraId="41E8EF3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法定（授权）代表人：</w:t>
      </w:r>
      <w:r>
        <w:rPr>
          <w:rFonts w:hint="eastAsia" w:ascii="宋体" w:hAnsi="宋体" w:eastAsia="宋体" w:cs="宋体"/>
          <w:color w:val="auto"/>
          <w:kern w:val="2"/>
          <w:sz w:val="24"/>
          <w:szCs w:val="24"/>
          <w:highlight w:val="none"/>
          <w:lang w:val="en-US" w:eastAsia="zh-CN" w:bidi="ar-SA"/>
          <w14:ligatures w14:val="none"/>
        </w:rPr>
        <w:tab/>
      </w:r>
    </w:p>
    <w:p w14:paraId="7AAE2ACF">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联系电话：025-51197969</w:t>
      </w:r>
      <w:r>
        <w:rPr>
          <w:rFonts w:hint="eastAsia" w:ascii="宋体" w:hAnsi="宋体" w:eastAsia="宋体" w:cs="宋体"/>
          <w:color w:val="auto"/>
          <w:kern w:val="2"/>
          <w:sz w:val="24"/>
          <w:szCs w:val="24"/>
          <w:highlight w:val="none"/>
          <w:lang w:val="en-US" w:eastAsia="zh-CN" w:bidi="ar-SA"/>
          <w14:ligatures w14:val="none"/>
        </w:rPr>
        <w:tab/>
      </w:r>
    </w:p>
    <w:p w14:paraId="4A1D9F4C">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年   月   日</w:t>
      </w:r>
      <w:r>
        <w:rPr>
          <w:rFonts w:hint="eastAsia" w:ascii="宋体" w:hAnsi="宋体" w:eastAsia="宋体" w:cs="宋体"/>
          <w:color w:val="auto"/>
          <w:kern w:val="2"/>
          <w:sz w:val="24"/>
          <w:szCs w:val="24"/>
          <w:highlight w:val="none"/>
          <w:lang w:val="en-US" w:eastAsia="zh-CN" w:bidi="ar-SA"/>
          <w14:ligatures w14:val="none"/>
        </w:rPr>
        <w:tab/>
      </w:r>
    </w:p>
    <w:p w14:paraId="45372202">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 xml:space="preserve">乙方：                        （盖章） </w:t>
      </w:r>
      <w:r>
        <w:rPr>
          <w:rFonts w:hint="eastAsia" w:ascii="宋体" w:hAnsi="宋体" w:eastAsia="宋体" w:cs="宋体"/>
          <w:color w:val="auto"/>
          <w:kern w:val="2"/>
          <w:sz w:val="24"/>
          <w:szCs w:val="24"/>
          <w:highlight w:val="none"/>
          <w:lang w:val="en-US" w:eastAsia="zh-CN" w:bidi="ar-SA"/>
          <w14:ligatures w14:val="none"/>
        </w:rPr>
        <w:tab/>
      </w:r>
    </w:p>
    <w:p w14:paraId="735FA6C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地址：</w:t>
      </w:r>
      <w:r>
        <w:rPr>
          <w:rFonts w:hint="eastAsia" w:ascii="宋体" w:hAnsi="宋体" w:eastAsia="宋体" w:cs="宋体"/>
          <w:color w:val="auto"/>
          <w:kern w:val="2"/>
          <w:sz w:val="24"/>
          <w:szCs w:val="24"/>
          <w:highlight w:val="none"/>
          <w:lang w:val="en-US" w:eastAsia="zh-CN" w:bidi="ar-SA"/>
          <w14:ligatures w14:val="none"/>
        </w:rPr>
        <w:tab/>
      </w:r>
    </w:p>
    <w:p w14:paraId="64C9F6E9">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法定（授权）代表人：</w:t>
      </w:r>
      <w:r>
        <w:rPr>
          <w:rFonts w:hint="eastAsia" w:ascii="宋体" w:hAnsi="宋体" w:eastAsia="宋体" w:cs="宋体"/>
          <w:color w:val="auto"/>
          <w:kern w:val="2"/>
          <w:sz w:val="24"/>
          <w:szCs w:val="24"/>
          <w:highlight w:val="none"/>
          <w:lang w:val="en-US" w:eastAsia="zh-CN" w:bidi="ar-SA"/>
          <w14:ligatures w14:val="none"/>
        </w:rPr>
        <w:tab/>
      </w:r>
    </w:p>
    <w:p w14:paraId="245BE8B0">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户名：</w:t>
      </w:r>
      <w:r>
        <w:rPr>
          <w:rFonts w:hint="eastAsia" w:ascii="宋体" w:hAnsi="宋体" w:eastAsia="宋体" w:cs="宋体"/>
          <w:color w:val="auto"/>
          <w:kern w:val="2"/>
          <w:sz w:val="24"/>
          <w:szCs w:val="24"/>
          <w:highlight w:val="none"/>
          <w:lang w:val="en-US" w:eastAsia="zh-CN" w:bidi="ar-SA"/>
          <w14:ligatures w14:val="none"/>
        </w:rPr>
        <w:tab/>
      </w:r>
    </w:p>
    <w:p w14:paraId="7BBDD8CB">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开户银行：</w:t>
      </w:r>
      <w:r>
        <w:rPr>
          <w:rFonts w:hint="eastAsia" w:ascii="宋体" w:hAnsi="宋体" w:eastAsia="宋体" w:cs="宋体"/>
          <w:color w:val="auto"/>
          <w:kern w:val="2"/>
          <w:sz w:val="24"/>
          <w:szCs w:val="24"/>
          <w:highlight w:val="none"/>
          <w:lang w:val="en-US" w:eastAsia="zh-CN" w:bidi="ar-SA"/>
          <w14:ligatures w14:val="none"/>
        </w:rPr>
        <w:tab/>
      </w:r>
    </w:p>
    <w:p w14:paraId="5520C2E3">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 xml:space="preserve">账号： </w:t>
      </w:r>
      <w:r>
        <w:rPr>
          <w:rFonts w:hint="eastAsia" w:ascii="宋体" w:hAnsi="宋体" w:eastAsia="宋体" w:cs="宋体"/>
          <w:color w:val="auto"/>
          <w:kern w:val="2"/>
          <w:sz w:val="24"/>
          <w:szCs w:val="24"/>
          <w:highlight w:val="none"/>
          <w:lang w:val="en-US" w:eastAsia="zh-CN" w:bidi="ar-SA"/>
          <w14:ligatures w14:val="none"/>
        </w:rPr>
        <w:tab/>
      </w:r>
    </w:p>
    <w:p w14:paraId="72425C0D">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联系电话：</w:t>
      </w:r>
      <w:r>
        <w:rPr>
          <w:rFonts w:hint="eastAsia" w:ascii="宋体" w:hAnsi="宋体" w:eastAsia="宋体" w:cs="宋体"/>
          <w:color w:val="auto"/>
          <w:kern w:val="2"/>
          <w:sz w:val="24"/>
          <w:szCs w:val="24"/>
          <w:highlight w:val="none"/>
          <w:lang w:val="en-US" w:eastAsia="zh-CN" w:bidi="ar-SA"/>
          <w14:ligatures w14:val="none"/>
        </w:rPr>
        <w:tab/>
      </w:r>
    </w:p>
    <w:p w14:paraId="68A46F54">
      <w:pPr>
        <w:widowControl w:val="0"/>
        <w:spacing w:after="120" w:line="360" w:lineRule="auto"/>
        <w:jc w:val="both"/>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eastAsia="宋体" w:cs="宋体"/>
          <w:color w:val="auto"/>
          <w:kern w:val="2"/>
          <w:sz w:val="24"/>
          <w:szCs w:val="24"/>
          <w:highlight w:val="none"/>
          <w:lang w:val="en-US" w:eastAsia="zh-CN" w:bidi="ar-SA"/>
          <w14:ligatures w14:val="none"/>
        </w:rPr>
        <w:t>年   月  日</w:t>
      </w:r>
    </w:p>
    <w:p w14:paraId="094C50D9">
      <w:pPr>
        <w:widowControl w:val="0"/>
        <w:numPr>
          <w:ilvl w:val="0"/>
          <w:numId w:val="0"/>
        </w:numPr>
        <w:spacing w:after="120" w:line="360" w:lineRule="auto"/>
        <w:ind w:left="840" w:leftChars="0" w:firstLine="420"/>
        <w:jc w:val="both"/>
        <w:rPr>
          <w:rFonts w:hint="default" w:ascii="方正仿宋简体" w:hAnsi="方正仿宋简体" w:eastAsia="方正仿宋简体" w:cs="方正仿宋简体"/>
          <w:kern w:val="2"/>
          <w:sz w:val="32"/>
          <w:szCs w:val="32"/>
          <w:lang w:val="en-US" w:eastAsia="zh-CN" w:bidi="ar-SA"/>
          <w14:ligatures w14:val="none"/>
        </w:rPr>
      </w:pPr>
    </w:p>
    <w:p w14:paraId="661C5273">
      <w:pPr>
        <w:widowControl w:val="0"/>
        <w:spacing w:before="120" w:after="120" w:line="0" w:lineRule="atLeast"/>
        <w:ind w:firstLine="480"/>
        <w:jc w:val="both"/>
        <w:rPr>
          <w:rFonts w:hint="eastAsia" w:ascii="宋体" w:hAnsi="宋体" w:eastAsia="宋体" w:cs="Times New Roman"/>
          <w:color w:val="auto"/>
          <w:sz w:val="24"/>
          <w:szCs w:val="24"/>
          <w:highlight w:val="none"/>
          <w:lang w:val="en-US" w:eastAsia="en-US" w:bidi="ar-SA"/>
        </w:rPr>
      </w:pPr>
    </w:p>
    <w:p w14:paraId="44B12F30">
      <w:pPr>
        <w:spacing w:line="288" w:lineRule="auto"/>
        <w:ind w:firstLine="482"/>
        <w:jc w:val="left"/>
        <w:rPr>
          <w:rFonts w:hint="eastAsia" w:ascii="宋体" w:hAnsi="宋体" w:cs="宋体"/>
          <w:b/>
          <w:bCs/>
          <w:color w:val="auto"/>
          <w:sz w:val="24"/>
          <w:szCs w:val="24"/>
          <w:highlight w:val="none"/>
        </w:rPr>
      </w:pPr>
      <w:r>
        <w:rPr>
          <w:rFonts w:ascii="黑体" w:eastAsia="黑体"/>
          <w:color w:val="auto"/>
          <w:sz w:val="44"/>
          <w:highlight w:val="none"/>
        </w:rPr>
        <w:br w:type="page" w:clear="all"/>
      </w:r>
      <w:bookmarkEnd w:id="160"/>
      <w:bookmarkEnd w:id="161"/>
      <w:bookmarkEnd w:id="162"/>
      <w:bookmarkEnd w:id="163"/>
      <w:bookmarkStart w:id="172" w:name="_Toc26554093"/>
      <w:bookmarkStart w:id="173" w:name="_Toc49090575"/>
    </w:p>
    <w:p w14:paraId="0BE47C89">
      <w:pPr>
        <w:jc w:val="center"/>
        <w:rPr>
          <w:rFonts w:hint="eastAsia" w:ascii="黑体" w:eastAsia="黑体"/>
          <w:color w:val="auto"/>
          <w:sz w:val="44"/>
          <w:szCs w:val="44"/>
          <w:highlight w:val="none"/>
        </w:rPr>
      </w:pPr>
      <w:bookmarkStart w:id="174" w:name="_Toc120614281"/>
      <w:r>
        <w:rPr>
          <w:rFonts w:hint="eastAsia" w:ascii="黑体" w:eastAsia="黑体"/>
          <w:color w:val="auto"/>
          <w:sz w:val="44"/>
          <w:szCs w:val="44"/>
          <w:highlight w:val="none"/>
        </w:rPr>
        <w:t xml:space="preserve">第六章  </w:t>
      </w:r>
      <w:bookmarkEnd w:id="172"/>
      <w:bookmarkEnd w:id="173"/>
      <w:bookmarkEnd w:id="174"/>
      <w:r>
        <w:rPr>
          <w:rFonts w:hint="eastAsia" w:ascii="黑体" w:eastAsia="黑体"/>
          <w:color w:val="auto"/>
          <w:sz w:val="44"/>
          <w:szCs w:val="44"/>
          <w:highlight w:val="none"/>
        </w:rPr>
        <w:t xml:space="preserve">响应文件格式 </w:t>
      </w:r>
    </w:p>
    <w:p w14:paraId="64E8DC3D">
      <w:pPr>
        <w:jc w:val="center"/>
        <w:rPr>
          <w:rFonts w:hint="eastAsia" w:ascii="宋体" w:hAnsi="宋体"/>
          <w:color w:val="auto"/>
          <w:sz w:val="72"/>
          <w:highlight w:val="none"/>
        </w:rPr>
      </w:pPr>
      <w:bookmarkStart w:id="175" w:name="_Hlt26671244"/>
      <w:bookmarkEnd w:id="175"/>
      <w:bookmarkStart w:id="176" w:name="_Hlt26955039"/>
      <w:bookmarkEnd w:id="176"/>
      <w:bookmarkStart w:id="177" w:name="_Toc49090576"/>
      <w:bookmarkStart w:id="178" w:name="_Toc26554094"/>
      <w:bookmarkStart w:id="179" w:name="_Toc120614282"/>
    </w:p>
    <w:p w14:paraId="7E998AA1">
      <w:pPr>
        <w:jc w:val="center"/>
        <w:rPr>
          <w:rFonts w:hint="eastAsia" w:ascii="宋体" w:hAnsi="宋体"/>
          <w:color w:val="auto"/>
          <w:sz w:val="72"/>
          <w:highlight w:val="none"/>
        </w:rPr>
      </w:pPr>
      <w:r>
        <w:rPr>
          <w:rFonts w:hint="eastAsia" w:ascii="宋体" w:hAnsi="宋体"/>
          <w:color w:val="auto"/>
          <w:sz w:val="72"/>
          <w:highlight w:val="none"/>
        </w:rPr>
        <w:t>响  应  文  件</w:t>
      </w:r>
    </w:p>
    <w:p w14:paraId="4EE17E69">
      <w:pPr>
        <w:jc w:val="center"/>
        <w:rPr>
          <w:rFonts w:hint="eastAsia" w:ascii="宋体" w:hAnsi="宋体"/>
          <w:color w:val="auto"/>
          <w:sz w:val="72"/>
          <w:highlight w:val="none"/>
        </w:rPr>
      </w:pPr>
    </w:p>
    <w:p w14:paraId="1BAC9864">
      <w:pPr>
        <w:jc w:val="center"/>
        <w:rPr>
          <w:rFonts w:hint="eastAsia" w:ascii="宋体" w:hAnsi="宋体"/>
          <w:color w:val="auto"/>
          <w:sz w:val="72"/>
          <w:highlight w:val="none"/>
        </w:rPr>
      </w:pPr>
    </w:p>
    <w:p w14:paraId="24128A84">
      <w:pPr>
        <w:jc w:val="center"/>
        <w:rPr>
          <w:rFonts w:hint="eastAsia" w:ascii="宋体" w:hAnsi="宋体"/>
          <w:color w:val="auto"/>
          <w:sz w:val="36"/>
          <w:highlight w:val="none"/>
        </w:rPr>
      </w:pPr>
    </w:p>
    <w:p w14:paraId="3A6A26BC">
      <w:pPr>
        <w:jc w:val="center"/>
        <w:rPr>
          <w:rFonts w:hint="eastAsia" w:ascii="宋体" w:hAnsi="宋体"/>
          <w:color w:val="auto"/>
          <w:sz w:val="36"/>
          <w:highlight w:val="none"/>
        </w:rPr>
      </w:pPr>
    </w:p>
    <w:p w14:paraId="4A4592C8">
      <w:pPr>
        <w:jc w:val="center"/>
        <w:rPr>
          <w:rFonts w:hint="eastAsia" w:ascii="宋体" w:hAnsi="宋体"/>
          <w:color w:val="auto"/>
          <w:sz w:val="36"/>
          <w:highlight w:val="none"/>
        </w:rPr>
      </w:pPr>
    </w:p>
    <w:p w14:paraId="55C4B249">
      <w:pPr>
        <w:ind w:firstLine="1080"/>
        <w:rPr>
          <w:rFonts w:ascii="宋体" w:hAnsi="宋体"/>
          <w:color w:val="auto"/>
          <w:sz w:val="36"/>
          <w:highlight w:val="none"/>
        </w:rPr>
      </w:pPr>
      <w:r>
        <w:rPr>
          <w:rFonts w:hint="eastAsia" w:ascii="宋体" w:hAnsi="宋体"/>
          <w:color w:val="auto"/>
          <w:sz w:val="36"/>
          <w:highlight w:val="none"/>
        </w:rPr>
        <w:t>项 目 名 称：</w:t>
      </w:r>
      <w:r>
        <w:rPr>
          <w:rFonts w:hint="eastAsia" w:ascii="宋体" w:hAnsi="宋体"/>
          <w:color w:val="auto"/>
          <w:sz w:val="36"/>
          <w:highlight w:val="none"/>
          <w:u w:val="single"/>
        </w:rPr>
        <w:t xml:space="preserve">                   </w:t>
      </w:r>
    </w:p>
    <w:p w14:paraId="52AD7E5D">
      <w:pPr>
        <w:ind w:firstLine="1080"/>
        <w:rPr>
          <w:rFonts w:ascii="宋体" w:hAnsi="宋体"/>
          <w:color w:val="auto"/>
          <w:sz w:val="36"/>
          <w:highlight w:val="none"/>
          <w:u w:val="single"/>
        </w:rPr>
      </w:pPr>
      <w:r>
        <w:rPr>
          <w:rFonts w:hint="eastAsia" w:ascii="宋体" w:hAnsi="宋体"/>
          <w:color w:val="auto"/>
          <w:sz w:val="36"/>
          <w:highlight w:val="none"/>
        </w:rPr>
        <w:t>项 目 编 号：</w:t>
      </w:r>
      <w:r>
        <w:rPr>
          <w:rFonts w:hint="eastAsia" w:ascii="宋体" w:hAnsi="宋体"/>
          <w:color w:val="auto"/>
          <w:sz w:val="36"/>
          <w:highlight w:val="none"/>
          <w:u w:val="single"/>
        </w:rPr>
        <w:t xml:space="preserve">                   </w:t>
      </w:r>
    </w:p>
    <w:p w14:paraId="45BAE13F">
      <w:pPr>
        <w:rPr>
          <w:rFonts w:hint="eastAsia" w:ascii="宋体" w:hAnsi="宋体"/>
          <w:color w:val="auto"/>
          <w:sz w:val="36"/>
          <w:highlight w:val="none"/>
          <w:u w:val="single"/>
        </w:rPr>
      </w:pPr>
      <w:r>
        <w:rPr>
          <w:rFonts w:hint="eastAsia" w:ascii="宋体" w:hAnsi="宋体"/>
          <w:color w:val="auto"/>
          <w:sz w:val="36"/>
          <w:highlight w:val="none"/>
        </w:rPr>
        <w:t xml:space="preserve">      供应商名称 ：</w:t>
      </w:r>
      <w:r>
        <w:rPr>
          <w:rFonts w:hint="eastAsia" w:ascii="宋体" w:hAnsi="宋体"/>
          <w:color w:val="auto"/>
          <w:sz w:val="36"/>
          <w:highlight w:val="none"/>
          <w:u w:val="single"/>
        </w:rPr>
        <w:t>（加盖CA电子公章）</w:t>
      </w:r>
    </w:p>
    <w:p w14:paraId="0DEC8B27">
      <w:pPr>
        <w:rPr>
          <w:rFonts w:ascii="宋体" w:hAnsi="宋体"/>
          <w:color w:val="auto"/>
          <w:sz w:val="36"/>
          <w:highlight w:val="none"/>
          <w:u w:val="single"/>
        </w:rPr>
      </w:pPr>
      <w:r>
        <w:rPr>
          <w:rFonts w:hint="eastAsia" w:ascii="宋体" w:hAnsi="宋体"/>
          <w:color w:val="auto"/>
          <w:sz w:val="36"/>
          <w:highlight w:val="none"/>
        </w:rPr>
        <w:t xml:space="preserve">      日      期 ：</w:t>
      </w:r>
      <w:r>
        <w:rPr>
          <w:rFonts w:hint="eastAsia" w:ascii="宋体" w:hAnsi="宋体"/>
          <w:color w:val="auto"/>
          <w:sz w:val="36"/>
          <w:highlight w:val="none"/>
          <w:u w:val="single"/>
        </w:rPr>
        <w:t xml:space="preserve">                   </w:t>
      </w:r>
    </w:p>
    <w:p w14:paraId="3F3C7AAB">
      <w:pPr>
        <w:spacing w:line="440" w:lineRule="exact"/>
        <w:jc w:val="center"/>
        <w:rPr>
          <w:rFonts w:hint="eastAsia" w:ascii="宋体" w:hAnsi="宋体"/>
          <w:color w:val="auto"/>
          <w:sz w:val="32"/>
          <w:szCs w:val="32"/>
          <w:highlight w:val="none"/>
        </w:rPr>
      </w:pPr>
    </w:p>
    <w:p w14:paraId="1F21BB03">
      <w:pPr>
        <w:spacing w:line="440" w:lineRule="exact"/>
        <w:rPr>
          <w:rFonts w:ascii="宋体" w:hAnsi="宋体"/>
          <w:color w:val="auto"/>
          <w:highlight w:val="none"/>
        </w:rPr>
      </w:pPr>
    </w:p>
    <w:p w14:paraId="7FA5D8C8">
      <w:pPr>
        <w:jc w:val="center"/>
        <w:rPr>
          <w:rFonts w:hint="eastAsia" w:ascii="宋体" w:hAnsi="宋体"/>
          <w:color w:val="auto"/>
          <w:sz w:val="32"/>
          <w:szCs w:val="32"/>
          <w:highlight w:val="none"/>
        </w:rPr>
      </w:pPr>
      <w:r>
        <w:rPr>
          <w:rFonts w:ascii="宋体" w:hAnsi="宋体"/>
          <w:color w:val="auto"/>
          <w:sz w:val="36"/>
          <w:highlight w:val="none"/>
          <w:u w:val="single"/>
        </w:rPr>
        <w:br w:type="page" w:clear="all"/>
      </w:r>
      <w:r>
        <w:rPr>
          <w:rFonts w:hint="eastAsia" w:ascii="宋体" w:hAnsi="宋体"/>
          <w:color w:val="auto"/>
          <w:sz w:val="32"/>
          <w:szCs w:val="32"/>
          <w:highlight w:val="none"/>
        </w:rPr>
        <w:t>响应文件目录</w:t>
      </w:r>
    </w:p>
    <w:p w14:paraId="4FF408C8">
      <w:pPr>
        <w:spacing w:line="440" w:lineRule="exact"/>
        <w:jc w:val="center"/>
        <w:rPr>
          <w:rFonts w:hint="eastAsia" w:ascii="宋体" w:hAnsi="宋体"/>
          <w:color w:val="auto"/>
          <w:sz w:val="32"/>
          <w:szCs w:val="32"/>
          <w:highlight w:val="none"/>
        </w:rPr>
      </w:pPr>
    </w:p>
    <w:p w14:paraId="719F4517">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一、征集活动响应函</w:t>
      </w:r>
    </w:p>
    <w:p w14:paraId="50938D8D">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二、法定代表人授权委托书格式</w:t>
      </w:r>
    </w:p>
    <w:p w14:paraId="43112ECA">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三、报价一览表</w:t>
      </w:r>
    </w:p>
    <w:p w14:paraId="2E39269D">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四、分项报价表格式</w:t>
      </w:r>
    </w:p>
    <w:p w14:paraId="51EF2254">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五、南京市政府采购供应商信用记录表暨信用承诺书</w:t>
      </w:r>
    </w:p>
    <w:p w14:paraId="71FABBD4">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六、特定资格条件证明文件</w:t>
      </w:r>
    </w:p>
    <w:p w14:paraId="5BC296E5">
      <w:pPr>
        <w:widowControl w:val="0"/>
        <w:bidi w:val="0"/>
        <w:spacing w:after="120"/>
        <w:jc w:val="both"/>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七、实质性响应条款证明材料</w:t>
      </w:r>
    </w:p>
    <w:p w14:paraId="08E71EE8">
      <w:pPr>
        <w:widowControl w:val="0"/>
        <w:spacing w:after="120" w:line="360" w:lineRule="auto"/>
        <w:ind w:left="0" w:leftChars="0" w:firstLine="480" w:firstLineChars="200"/>
        <w:jc w:val="both"/>
        <w:rPr>
          <w:rFonts w:hint="eastAsia" w:ascii="宋体" w:hAnsi="宋体" w:eastAsia="宋体" w:cs="Times New Roman"/>
          <w:color w:val="auto"/>
          <w:sz w:val="24"/>
          <w:szCs w:val="24"/>
          <w:highlight w:val="none"/>
          <w:lang w:val="en-US" w:eastAsia="zh-CN" w:bidi="ar-SA"/>
        </w:rPr>
      </w:pPr>
    </w:p>
    <w:p w14:paraId="70D5FC9C">
      <w:pPr>
        <w:spacing w:line="440" w:lineRule="exact"/>
        <w:ind w:firstLine="480"/>
        <w:rPr>
          <w:rFonts w:ascii="宋体" w:hAnsi="宋体"/>
          <w:color w:val="auto"/>
          <w:sz w:val="24"/>
          <w:highlight w:val="none"/>
        </w:rPr>
      </w:pPr>
    </w:p>
    <w:p w14:paraId="7283FBBC">
      <w:pPr>
        <w:spacing w:line="440" w:lineRule="exact"/>
        <w:ind w:firstLine="480"/>
        <w:rPr>
          <w:rFonts w:ascii="宋体" w:hAnsi="宋体"/>
          <w:color w:val="auto"/>
          <w:sz w:val="24"/>
          <w:highlight w:val="none"/>
        </w:rPr>
      </w:pPr>
    </w:p>
    <w:p w14:paraId="1E2FB243">
      <w:pPr>
        <w:spacing w:line="440" w:lineRule="exact"/>
        <w:rPr>
          <w:rFonts w:hint="eastAsia" w:ascii="黑体" w:eastAsia="黑体"/>
          <w:color w:val="auto"/>
          <w:sz w:val="32"/>
          <w:szCs w:val="32"/>
          <w:highlight w:val="none"/>
          <w:lang w:val="zh-CN" w:eastAsia="zh-CN"/>
        </w:rPr>
      </w:pPr>
      <w:r>
        <w:rPr>
          <w:rFonts w:ascii="宋体" w:hAnsi="宋体"/>
          <w:color w:val="auto"/>
          <w:sz w:val="24"/>
          <w:highlight w:val="none"/>
        </w:rPr>
        <w:br w:type="page" w:clear="all"/>
      </w:r>
      <w:r>
        <w:rPr>
          <w:rFonts w:hint="eastAsia" w:ascii="黑体" w:eastAsia="黑体"/>
          <w:color w:val="auto"/>
          <w:sz w:val="32"/>
          <w:szCs w:val="32"/>
          <w:highlight w:val="none"/>
        </w:rPr>
        <w:t>一、</w:t>
      </w:r>
      <w:r>
        <w:rPr>
          <w:rFonts w:hint="eastAsia" w:ascii="黑体" w:eastAsia="黑体"/>
          <w:color w:val="auto"/>
          <w:sz w:val="32"/>
          <w:szCs w:val="32"/>
          <w:highlight w:val="none"/>
          <w:lang w:eastAsia="zh-CN"/>
        </w:rPr>
        <w:t>征集活动响应函</w:t>
      </w:r>
    </w:p>
    <w:p w14:paraId="3F00662F">
      <w:pPr>
        <w:spacing w:line="360" w:lineRule="auto"/>
        <w:jc w:val="center"/>
        <w:outlineLvl w:val="0"/>
        <w:rPr>
          <w:rFonts w:ascii="黑体" w:eastAsia="黑体"/>
          <w:color w:val="auto"/>
          <w:sz w:val="32"/>
          <w:szCs w:val="32"/>
          <w:highlight w:val="none"/>
          <w:lang w:val="zh-CN"/>
        </w:rPr>
      </w:pPr>
      <w:r>
        <w:rPr>
          <w:rFonts w:hint="eastAsia" w:ascii="黑体" w:eastAsia="黑体"/>
          <w:color w:val="auto"/>
          <w:sz w:val="32"/>
          <w:szCs w:val="32"/>
          <w:highlight w:val="none"/>
          <w:lang w:val="zh-CN"/>
        </w:rPr>
        <w:t>征集活动响应函</w:t>
      </w:r>
    </w:p>
    <w:p w14:paraId="351DAF8D">
      <w:pPr>
        <w:widowControl/>
        <w:shd w:val="clear" w:color="auto" w:fill="FFFFFF"/>
        <w:spacing w:line="360" w:lineRule="auto"/>
        <w:rPr>
          <w:rFonts w:hint="eastAsia" w:ascii="宋体" w:hAnsi="宋体" w:eastAsia="宋体" w:cs="Arial"/>
          <w:color w:val="auto"/>
          <w:szCs w:val="21"/>
          <w:highlight w:val="none"/>
          <w:lang w:eastAsia="zh-CN"/>
        </w:rPr>
      </w:pPr>
      <w:r>
        <w:rPr>
          <w:rFonts w:hint="eastAsia" w:ascii="宋体" w:hAnsi="宋体" w:eastAsia="宋体" w:cs="Arial"/>
          <w:color w:val="auto"/>
          <w:szCs w:val="21"/>
          <w:highlight w:val="none"/>
        </w:rPr>
        <w:t>致：</w:t>
      </w:r>
      <w:r>
        <w:rPr>
          <w:rFonts w:hint="eastAsia" w:ascii="宋体" w:hAnsi="宋体" w:eastAsia="宋体" w:cs="Arial"/>
          <w:color w:val="auto"/>
          <w:szCs w:val="21"/>
          <w:highlight w:val="none"/>
          <w:lang w:eastAsia="zh-CN"/>
        </w:rPr>
        <w:t>南京市江宁区司法局</w:t>
      </w:r>
    </w:p>
    <w:p w14:paraId="582C14BD">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根据贵方</w:t>
      </w:r>
      <w:r>
        <w:rPr>
          <w:rFonts w:hint="eastAsia" w:ascii="宋体" w:hAnsi="宋体" w:eastAsia="宋体" w:cs="Arial"/>
          <w:color w:val="auto"/>
          <w:szCs w:val="21"/>
          <w:highlight w:val="none"/>
          <w:u w:val="single"/>
        </w:rPr>
        <w:t>           </w:t>
      </w:r>
      <w:r>
        <w:rPr>
          <w:rFonts w:hint="eastAsia" w:ascii="宋体" w:hAnsi="宋体" w:eastAsia="宋体" w:cs="Arial"/>
          <w:b/>
          <w:bCs/>
          <w:color w:val="auto"/>
          <w:szCs w:val="21"/>
          <w:highlight w:val="none"/>
          <w:u w:val="single"/>
        </w:rPr>
        <w:t>（</w:t>
      </w:r>
      <w:r>
        <w:rPr>
          <w:rFonts w:hint="eastAsia" w:ascii="宋体" w:hAnsi="宋体" w:eastAsia="宋体" w:cs="Arial"/>
          <w:color w:val="auto"/>
          <w:szCs w:val="21"/>
          <w:highlight w:val="none"/>
        </w:rPr>
        <w:t>项目名称） </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（项目编号）投标邀请，正式授权下述签字人</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(姓名和职务)代表供应商</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（供应商名称），提交响应文件。</w:t>
      </w:r>
    </w:p>
    <w:p w14:paraId="2B38981B">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据此函，签字人兹宣布声明和承诺如下：</w:t>
      </w:r>
    </w:p>
    <w:p w14:paraId="7AD13CAE">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1、</w:t>
      </w:r>
      <w:r>
        <w:rPr>
          <w:rFonts w:hint="eastAsia" w:ascii="宋体" w:hAnsi="宋体" w:eastAsia="宋体" w:cs="Arial"/>
          <w:b/>
          <w:bCs/>
          <w:color w:val="auto"/>
          <w:szCs w:val="21"/>
          <w:highlight w:val="none"/>
        </w:rPr>
        <w:t>我们的资格条件完全符合政府采购法和本次征集要求</w:t>
      </w:r>
      <w:r>
        <w:rPr>
          <w:rFonts w:hint="eastAsia" w:ascii="宋体" w:hAnsi="宋体" w:eastAsia="宋体" w:cs="Arial"/>
          <w:color w:val="auto"/>
          <w:szCs w:val="21"/>
          <w:highlight w:val="none"/>
        </w:rPr>
        <w:t>，我们同意并向贵方提供了与投标有关的所有证据和资料。</w:t>
      </w:r>
    </w:p>
    <w:p w14:paraId="6C576CD8">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2</w:t>
      </w:r>
      <w:r>
        <w:rPr>
          <w:rFonts w:hint="eastAsia" w:ascii="宋体" w:hAnsi="宋体" w:eastAsia="宋体" w:cs="Arial"/>
          <w:color w:val="auto"/>
          <w:szCs w:val="21"/>
          <w:highlight w:val="none"/>
        </w:rPr>
        <w:t>、本项目服务时间/交付使用时间为：</w:t>
      </w:r>
      <w:r>
        <w:rPr>
          <w:rFonts w:hint="eastAsia" w:ascii="宋体" w:hAnsi="宋体" w:eastAsia="宋体" w:cs="Arial"/>
          <w:color w:val="auto"/>
          <w:szCs w:val="21"/>
          <w:highlight w:val="none"/>
          <w:u w:val="single"/>
        </w:rPr>
        <w:t>满足征集文件要求</w:t>
      </w:r>
      <w:r>
        <w:rPr>
          <w:rFonts w:hint="eastAsia" w:ascii="宋体" w:hAnsi="宋体" w:eastAsia="宋体" w:cs="Arial"/>
          <w:color w:val="auto"/>
          <w:szCs w:val="21"/>
          <w:highlight w:val="none"/>
        </w:rPr>
        <w:t>。</w:t>
      </w:r>
    </w:p>
    <w:p w14:paraId="5D9B1138">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3</w:t>
      </w:r>
      <w:r>
        <w:rPr>
          <w:rFonts w:hint="eastAsia" w:ascii="宋体" w:hAnsi="宋体" w:eastAsia="宋体" w:cs="Arial"/>
          <w:color w:val="auto"/>
          <w:szCs w:val="21"/>
          <w:highlight w:val="none"/>
        </w:rPr>
        <w:t>、我们已详细阅读全部征集文件及其有效补充文件，我们放弃对征集文件任何误解的权利，提交响应文件后，</w:t>
      </w:r>
      <w:r>
        <w:rPr>
          <w:rFonts w:hint="eastAsia" w:ascii="宋体" w:hAnsi="宋体" w:eastAsia="宋体" w:cs="Arial"/>
          <w:b/>
          <w:bCs/>
          <w:color w:val="auto"/>
          <w:szCs w:val="21"/>
          <w:highlight w:val="none"/>
        </w:rPr>
        <w:t>不对征集文件本身提出质疑</w:t>
      </w:r>
      <w:r>
        <w:rPr>
          <w:rFonts w:hint="eastAsia" w:ascii="宋体" w:hAnsi="宋体" w:eastAsia="宋体" w:cs="Arial"/>
          <w:color w:val="auto"/>
          <w:szCs w:val="21"/>
          <w:highlight w:val="none"/>
        </w:rPr>
        <w:t>。</w:t>
      </w:r>
    </w:p>
    <w:p w14:paraId="00543E92">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4</w:t>
      </w:r>
      <w:r>
        <w:rPr>
          <w:rFonts w:hint="eastAsia" w:ascii="宋体" w:hAnsi="宋体" w:eastAsia="宋体" w:cs="Arial"/>
          <w:color w:val="auto"/>
          <w:szCs w:val="21"/>
          <w:highlight w:val="none"/>
        </w:rPr>
        <w:t>、我们同意从规定的响应文件开启日期起遵循本响应文件，并在规定的响应文件有效期期满之前均具有约束力。</w:t>
      </w:r>
    </w:p>
    <w:p w14:paraId="593E9AEB">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5</w:t>
      </w:r>
      <w:r>
        <w:rPr>
          <w:rFonts w:hint="eastAsia" w:ascii="宋体" w:hAnsi="宋体" w:eastAsia="宋体" w:cs="Arial"/>
          <w:color w:val="auto"/>
          <w:szCs w:val="21"/>
          <w:highlight w:val="none"/>
        </w:rPr>
        <w:t>、一旦我方</w:t>
      </w:r>
      <w:r>
        <w:rPr>
          <w:rFonts w:hint="eastAsia" w:ascii="宋体" w:hAnsi="宋体" w:eastAsia="宋体" w:cs="Arial"/>
          <w:color w:val="auto"/>
          <w:szCs w:val="21"/>
          <w:highlight w:val="none"/>
          <w:lang w:val="en-US" w:eastAsia="zh-CN"/>
        </w:rPr>
        <w:t>成为入围供应商</w:t>
      </w:r>
      <w:r>
        <w:rPr>
          <w:rFonts w:hint="eastAsia" w:ascii="宋体" w:hAnsi="宋体" w:eastAsia="宋体" w:cs="Arial"/>
          <w:color w:val="auto"/>
          <w:szCs w:val="21"/>
          <w:highlight w:val="none"/>
        </w:rPr>
        <w:t>，我方将根据征集文件的规定严格履行合同的责任和义务,并保证在征集文件规定的时间完成项目，交付采购人验收、使用。</w:t>
      </w:r>
    </w:p>
    <w:p w14:paraId="2A513CFE">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6</w:t>
      </w:r>
      <w:r>
        <w:rPr>
          <w:rFonts w:hint="eastAsia" w:ascii="宋体" w:hAnsi="宋体" w:eastAsia="宋体" w:cs="Arial"/>
          <w:color w:val="auto"/>
          <w:szCs w:val="21"/>
          <w:highlight w:val="none"/>
        </w:rPr>
        <w:t>、我方决不提供虚假材料谋取中标、决不采取不正当手段诋毁、排挤其他供应商、决不与征集人、其它供应商或者代理机构恶意串通、决不向征集人、代理机构工作人员和</w:t>
      </w:r>
      <w:r>
        <w:rPr>
          <w:rFonts w:hint="eastAsia" w:ascii="宋体" w:hAnsi="宋体" w:eastAsia="宋体" w:cs="Arial"/>
          <w:color w:val="auto"/>
          <w:szCs w:val="21"/>
          <w:highlight w:val="none"/>
          <w:lang w:val="en-US" w:eastAsia="zh-CN"/>
        </w:rPr>
        <w:t>评审小组人员</w:t>
      </w:r>
      <w:r>
        <w:rPr>
          <w:rFonts w:hint="eastAsia" w:ascii="宋体" w:hAnsi="宋体" w:eastAsia="宋体" w:cs="Arial"/>
          <w:color w:val="auto"/>
          <w:szCs w:val="21"/>
          <w:highlight w:val="none"/>
        </w:rPr>
        <w:t>进行商业贿赂、决不在采购过程中与征集人、采购人进行协商谈判、决不拒绝有关部门监督检查或提供虚假情况，如有违反，无条件接受贵方及相关管理部门的处罚。</w:t>
      </w:r>
    </w:p>
    <w:p w14:paraId="7DFBB374">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lang w:val="en-US" w:eastAsia="zh-CN"/>
        </w:rPr>
        <w:t>7</w:t>
      </w:r>
      <w:r>
        <w:rPr>
          <w:rFonts w:hint="eastAsia" w:ascii="宋体" w:hAnsi="宋体" w:eastAsia="宋体" w:cs="Arial"/>
          <w:color w:val="auto"/>
          <w:szCs w:val="21"/>
          <w:highlight w:val="none"/>
        </w:rPr>
        <w:t>、与本</w:t>
      </w:r>
      <w:r>
        <w:rPr>
          <w:rFonts w:hint="eastAsia" w:ascii="宋体" w:hAnsi="宋体" w:eastAsia="宋体" w:cs="Arial"/>
          <w:color w:val="auto"/>
          <w:szCs w:val="21"/>
          <w:highlight w:val="none"/>
          <w:lang w:val="en-US" w:eastAsia="zh-CN"/>
        </w:rPr>
        <w:t>次征集</w:t>
      </w:r>
      <w:r>
        <w:rPr>
          <w:rFonts w:hint="eastAsia" w:ascii="宋体" w:hAnsi="宋体" w:eastAsia="宋体" w:cs="Arial"/>
          <w:color w:val="auto"/>
          <w:szCs w:val="21"/>
          <w:highlight w:val="none"/>
        </w:rPr>
        <w:t>有关的正式联系方式为：</w:t>
      </w:r>
    </w:p>
    <w:p w14:paraId="1137A001">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地   址：</w:t>
      </w:r>
      <w:r>
        <w:rPr>
          <w:rFonts w:hint="eastAsia" w:ascii="宋体" w:hAnsi="宋体" w:eastAsia="宋体" w:cs="Arial"/>
          <w:color w:val="auto"/>
          <w:szCs w:val="21"/>
          <w:highlight w:val="none"/>
          <w:u w:val="single"/>
        </w:rPr>
        <w:t>                      </w:t>
      </w:r>
    </w:p>
    <w:p w14:paraId="25B77200">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电   话：</w:t>
      </w:r>
      <w:r>
        <w:rPr>
          <w:rFonts w:hint="eastAsia" w:ascii="宋体" w:hAnsi="宋体" w:eastAsia="宋体" w:cs="Arial"/>
          <w:color w:val="auto"/>
          <w:szCs w:val="21"/>
          <w:highlight w:val="none"/>
          <w:u w:val="single"/>
        </w:rPr>
        <w:t>                      </w:t>
      </w:r>
    </w:p>
    <w:p w14:paraId="28E58C6B">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传   真：</w:t>
      </w:r>
      <w:r>
        <w:rPr>
          <w:rFonts w:hint="eastAsia" w:ascii="宋体" w:hAnsi="宋体" w:eastAsia="宋体" w:cs="Arial"/>
          <w:color w:val="auto"/>
          <w:szCs w:val="21"/>
          <w:highlight w:val="none"/>
          <w:u w:val="single"/>
        </w:rPr>
        <w:t>                      </w:t>
      </w:r>
    </w:p>
    <w:p w14:paraId="513D6FC5">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开户银行：</w:t>
      </w:r>
    </w:p>
    <w:p w14:paraId="325CFCE7">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银行账号：</w:t>
      </w:r>
    </w:p>
    <w:p w14:paraId="47FF8379">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供应商授权代表姓名（签字）：</w:t>
      </w:r>
      <w:r>
        <w:rPr>
          <w:rFonts w:hint="eastAsia" w:ascii="宋体" w:hAnsi="宋体" w:eastAsia="宋体" w:cs="Arial"/>
          <w:color w:val="auto"/>
          <w:szCs w:val="21"/>
          <w:highlight w:val="none"/>
          <w:u w:val="single"/>
        </w:rPr>
        <w:t>        </w:t>
      </w:r>
    </w:p>
    <w:p w14:paraId="267DBFA7">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供应商名称：</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（盖章）</w:t>
      </w:r>
    </w:p>
    <w:p w14:paraId="1D42D06C">
      <w:pPr>
        <w:widowControl/>
        <w:shd w:val="clear" w:color="auto" w:fill="FFFFFF"/>
        <w:spacing w:line="360" w:lineRule="auto"/>
        <w:ind w:firstLine="420"/>
        <w:rPr>
          <w:rFonts w:ascii="宋体" w:hAnsi="宋体" w:eastAsia="宋体" w:cs="Arial"/>
          <w:color w:val="auto"/>
          <w:szCs w:val="21"/>
          <w:highlight w:val="none"/>
        </w:rPr>
      </w:pPr>
      <w:r>
        <w:rPr>
          <w:rFonts w:hint="eastAsia" w:ascii="宋体" w:hAnsi="宋体" w:eastAsia="宋体" w:cs="Arial"/>
          <w:color w:val="auto"/>
          <w:szCs w:val="21"/>
          <w:highlight w:val="none"/>
        </w:rPr>
        <w:t>日    期：</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年</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月</w:t>
      </w:r>
      <w:r>
        <w:rPr>
          <w:rFonts w:hint="eastAsia" w:ascii="宋体" w:hAnsi="宋体" w:eastAsia="宋体" w:cs="Arial"/>
          <w:color w:val="auto"/>
          <w:szCs w:val="21"/>
          <w:highlight w:val="none"/>
          <w:u w:val="single"/>
        </w:rPr>
        <w:t>    </w:t>
      </w:r>
      <w:r>
        <w:rPr>
          <w:rFonts w:hint="eastAsia" w:ascii="宋体" w:hAnsi="宋体" w:eastAsia="宋体" w:cs="Arial"/>
          <w:color w:val="auto"/>
          <w:szCs w:val="21"/>
          <w:highlight w:val="none"/>
        </w:rPr>
        <w:t>日</w:t>
      </w:r>
    </w:p>
    <w:p w14:paraId="450BECB4">
      <w:pPr>
        <w:spacing w:line="440" w:lineRule="exact"/>
        <w:rPr>
          <w:rFonts w:hint="eastAsia" w:ascii="宋体" w:hAnsi="宋体"/>
          <w:color w:val="auto"/>
          <w:highlight w:val="none"/>
        </w:rPr>
      </w:pPr>
    </w:p>
    <w:p w14:paraId="4F88C31E">
      <w:pPr>
        <w:spacing w:line="440" w:lineRule="exact"/>
        <w:rPr>
          <w:rFonts w:hint="eastAsia" w:ascii="宋体" w:hAnsi="宋体"/>
          <w:color w:val="auto"/>
          <w:highlight w:val="none"/>
        </w:rPr>
      </w:pPr>
    </w:p>
    <w:p w14:paraId="76FD2C03">
      <w:pPr>
        <w:spacing w:line="460" w:lineRule="exact"/>
        <w:rPr>
          <w:rFonts w:hint="eastAsia" w:ascii="黑体" w:eastAsia="黑体"/>
          <w:color w:val="auto"/>
          <w:sz w:val="32"/>
          <w:szCs w:val="32"/>
          <w:highlight w:val="none"/>
        </w:rPr>
      </w:pPr>
    </w:p>
    <w:p w14:paraId="0BE26B02">
      <w:pPr>
        <w:spacing w:line="460" w:lineRule="exact"/>
        <w:rPr>
          <w:rFonts w:hint="eastAsia" w:ascii="黑体" w:eastAsia="黑体"/>
          <w:color w:val="auto"/>
          <w:sz w:val="32"/>
          <w:szCs w:val="32"/>
          <w:highlight w:val="none"/>
        </w:rPr>
      </w:pPr>
    </w:p>
    <w:p w14:paraId="18AA5F39">
      <w:pPr>
        <w:keepNext/>
        <w:keepLines/>
        <w:widowControl w:val="0"/>
        <w:spacing w:before="360" w:after="200"/>
        <w:jc w:val="both"/>
        <w:outlineLvl w:val="1"/>
        <w:rPr>
          <w:rFonts w:hint="eastAsia" w:ascii="黑体" w:hAnsi="Times New Roman" w:eastAsia="黑体" w:cs="Times New Roman"/>
          <w:color w:val="auto"/>
          <w:sz w:val="32"/>
          <w:szCs w:val="32"/>
          <w:highlight w:val="none"/>
          <w:lang w:val="en-US" w:eastAsia="zh-CN" w:bidi="ar-SA"/>
        </w:rPr>
      </w:pPr>
      <w:r>
        <w:rPr>
          <w:rFonts w:hint="eastAsia" w:ascii="黑体" w:hAnsi="Times New Roman" w:eastAsia="黑体" w:cs="Times New Roman"/>
          <w:color w:val="auto"/>
          <w:sz w:val="32"/>
          <w:szCs w:val="32"/>
          <w:highlight w:val="none"/>
          <w:lang w:val="en-US" w:eastAsia="zh-CN" w:bidi="ar-SA"/>
        </w:rPr>
        <w:t>二、法定代表人授权委托书格式</w:t>
      </w:r>
    </w:p>
    <w:p w14:paraId="099C8548">
      <w:pPr>
        <w:widowControl/>
        <w:shd w:val="clear" w:color="auto" w:fill="FFFFFF"/>
        <w:spacing w:line="360" w:lineRule="auto"/>
        <w:ind w:firstLine="720"/>
        <w:jc w:val="center"/>
        <w:rPr>
          <w:rFonts w:ascii="宋体" w:hAnsi="宋体" w:eastAsia="宋体" w:cs="Arial"/>
          <w:color w:val="auto"/>
          <w:sz w:val="36"/>
          <w:szCs w:val="36"/>
          <w:highlight w:val="none"/>
        </w:rPr>
      </w:pPr>
    </w:p>
    <w:p w14:paraId="2234DD46">
      <w:pPr>
        <w:widowControl/>
        <w:shd w:val="clear" w:color="auto" w:fill="FFFFFF"/>
        <w:spacing w:line="360" w:lineRule="auto"/>
        <w:ind w:firstLine="720"/>
        <w:jc w:val="center"/>
        <w:rPr>
          <w:rFonts w:ascii="宋体" w:hAnsi="宋体" w:eastAsia="宋体" w:cs="Arial"/>
          <w:b/>
          <w:color w:val="auto"/>
          <w:szCs w:val="21"/>
          <w:highlight w:val="none"/>
        </w:rPr>
      </w:pPr>
      <w:r>
        <w:rPr>
          <w:rFonts w:hint="eastAsia" w:ascii="宋体" w:hAnsi="宋体" w:eastAsia="宋体" w:cs="Arial"/>
          <w:b/>
          <w:color w:val="auto"/>
          <w:sz w:val="36"/>
          <w:szCs w:val="36"/>
          <w:highlight w:val="none"/>
        </w:rPr>
        <w:t>法定代表人授权委托书</w:t>
      </w:r>
    </w:p>
    <w:p w14:paraId="571C76F0">
      <w:pPr>
        <w:widowControl/>
        <w:shd w:val="clear" w:color="auto" w:fill="FFFFFF"/>
        <w:spacing w:line="360" w:lineRule="auto"/>
        <w:jc w:val="left"/>
        <w:rPr>
          <w:rFonts w:ascii="宋体" w:hAnsi="宋体" w:eastAsia="宋体" w:cs="Arial"/>
          <w:color w:val="auto"/>
          <w:szCs w:val="21"/>
          <w:highlight w:val="none"/>
        </w:rPr>
      </w:pPr>
    </w:p>
    <w:p w14:paraId="1EAF8D96">
      <w:pPr>
        <w:widowControl/>
        <w:shd w:val="clear" w:color="auto" w:fill="FFFFFF"/>
        <w:spacing w:line="480" w:lineRule="auto"/>
        <w:jc w:val="left"/>
        <w:rPr>
          <w:rFonts w:hint="eastAsia" w:ascii="宋体" w:hAnsi="宋体" w:eastAsia="宋体" w:cs="Arial"/>
          <w:color w:val="auto"/>
          <w:szCs w:val="21"/>
          <w:highlight w:val="none"/>
          <w:lang w:eastAsia="zh-CN"/>
        </w:rPr>
      </w:pPr>
      <w:r>
        <w:rPr>
          <w:rFonts w:hint="eastAsia" w:ascii="宋体" w:hAnsi="宋体" w:eastAsia="宋体" w:cs="Arial"/>
          <w:color w:val="auto"/>
          <w:szCs w:val="21"/>
          <w:highlight w:val="none"/>
        </w:rPr>
        <w:t>致：</w:t>
      </w:r>
      <w:r>
        <w:rPr>
          <w:rFonts w:hint="eastAsia" w:ascii="宋体" w:hAnsi="宋体" w:eastAsia="宋体" w:cs="Arial"/>
          <w:color w:val="auto"/>
          <w:szCs w:val="21"/>
          <w:highlight w:val="none"/>
          <w:lang w:eastAsia="zh-CN"/>
        </w:rPr>
        <w:t>南京市江宁区司法局</w:t>
      </w:r>
    </w:p>
    <w:p w14:paraId="2F806047">
      <w:pPr>
        <w:widowControl w:val="0"/>
        <w:tabs>
          <w:tab w:val="left" w:pos="360"/>
        </w:tabs>
        <w:spacing w:line="480" w:lineRule="auto"/>
        <w:ind w:firstLine="480"/>
        <w:jc w:val="both"/>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本授权书声明：____________（供应商名称）授权________________（被授权人的姓名）为我方就</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2026年度南京市江宁区司法局律师法律服务框架协议采购</w:t>
      </w:r>
      <w:r>
        <w:rPr>
          <w:rFonts w:hint="eastAsia" w:ascii="Times New Roman" w:hAnsi="Times New Roman" w:eastAsia="宋体" w:cs="Times New Roman"/>
          <w:color w:val="auto"/>
          <w:sz w:val="24"/>
          <w:szCs w:val="24"/>
          <w:highlight w:val="none"/>
          <w:u w:val="single"/>
          <w:lang w:val="en-US" w:eastAsia="zh-CN" w:bidi="ar-SA"/>
        </w:rPr>
        <w:t xml:space="preserve">(项目编号：) </w:t>
      </w:r>
      <w:r>
        <w:rPr>
          <w:rFonts w:hint="eastAsia" w:ascii="Times New Roman" w:hAnsi="Times New Roman" w:eastAsia="宋体" w:cs="Times New Roman"/>
          <w:color w:val="auto"/>
          <w:sz w:val="24"/>
          <w:szCs w:val="24"/>
          <w:highlight w:val="none"/>
          <w:lang w:val="en-US" w:eastAsia="zh-CN" w:bidi="ar-SA"/>
        </w:rPr>
        <w:t>框架</w:t>
      </w:r>
      <w:r>
        <w:rPr>
          <w:rFonts w:hint="default" w:ascii="Times New Roman" w:hAnsi="Times New Roman" w:eastAsia="宋体" w:cs="Times New Roman"/>
          <w:color w:val="auto"/>
          <w:sz w:val="24"/>
          <w:szCs w:val="24"/>
          <w:highlight w:val="none"/>
          <w:lang w:val="en-US" w:eastAsia="zh-CN" w:bidi="ar-SA"/>
        </w:rPr>
        <w:t>协议</w:t>
      </w:r>
      <w:r>
        <w:rPr>
          <w:rFonts w:hint="eastAsia" w:ascii="Times New Roman" w:hAnsi="Times New Roman" w:eastAsia="宋体" w:cs="Times New Roman"/>
          <w:color w:val="auto"/>
          <w:sz w:val="24"/>
          <w:szCs w:val="24"/>
          <w:highlight w:val="none"/>
          <w:lang w:val="en-US" w:eastAsia="zh-CN" w:bidi="ar-SA"/>
        </w:rPr>
        <w:t>采购活动的合法代理人，以本单位名义全权处理一切与该项目采购有关的事务。</w:t>
      </w:r>
    </w:p>
    <w:p w14:paraId="538EA282">
      <w:pPr>
        <w:widowControl w:val="0"/>
        <w:tabs>
          <w:tab w:val="left" w:pos="360"/>
        </w:tabs>
        <w:spacing w:line="480" w:lineRule="auto"/>
        <w:ind w:firstLine="480"/>
        <w:jc w:val="both"/>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本授权书于______年____月____日起生效，特此声明。</w:t>
      </w:r>
    </w:p>
    <w:p w14:paraId="41A022D4">
      <w:pPr>
        <w:widowControl w:val="0"/>
        <w:tabs>
          <w:tab w:val="left" w:pos="360"/>
        </w:tabs>
        <w:spacing w:line="480" w:lineRule="auto"/>
        <w:ind w:firstLine="0"/>
        <w:jc w:val="both"/>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p>
    <w:p w14:paraId="6EB4F6B3">
      <w:pPr>
        <w:widowControl w:val="0"/>
        <w:tabs>
          <w:tab w:val="left" w:pos="360"/>
        </w:tabs>
        <w:spacing w:line="480" w:lineRule="auto"/>
        <w:ind w:firstLine="0"/>
        <w:jc w:val="both"/>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p>
    <w:p w14:paraId="2B4B8D05">
      <w:pPr>
        <w:widowControl w:val="0"/>
        <w:tabs>
          <w:tab w:val="left" w:pos="360"/>
        </w:tabs>
        <w:spacing w:line="480" w:lineRule="auto"/>
        <w:ind w:firstLine="1200"/>
        <w:jc w:val="both"/>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授权单位名称：</w:t>
      </w:r>
      <w:r>
        <w:rPr>
          <w:rFonts w:hint="eastAsia" w:ascii="Times New Roman" w:hAnsi="Times New Roman" w:eastAsia="宋体" w:cs="Times New Roman"/>
          <w:color w:val="auto"/>
          <w:sz w:val="24"/>
          <w:szCs w:val="24"/>
          <w:highlight w:val="none"/>
          <w:u w:val="single"/>
          <w:lang w:val="en-US" w:eastAsia="zh-CN" w:bidi="ar-SA"/>
        </w:rPr>
        <w:t>（加盖CA电子公章）</w:t>
      </w:r>
    </w:p>
    <w:p w14:paraId="0CBCA87D">
      <w:pPr>
        <w:widowControl w:val="0"/>
        <w:tabs>
          <w:tab w:val="left" w:pos="360"/>
        </w:tabs>
        <w:spacing w:line="480" w:lineRule="auto"/>
        <w:ind w:firstLine="480"/>
        <w:jc w:val="both"/>
        <w:rPr>
          <w:rFonts w:hint="eastAsia"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单位地址：</w:t>
      </w:r>
      <w:r>
        <w:rPr>
          <w:rFonts w:hint="eastAsia" w:ascii="Times New Roman" w:hAnsi="Times New Roman" w:eastAsia="宋体" w:cs="Times New Roman"/>
          <w:color w:val="auto"/>
          <w:sz w:val="24"/>
          <w:szCs w:val="24"/>
          <w:highlight w:val="none"/>
          <w:u w:val="single"/>
          <w:lang w:val="en-US" w:eastAsia="zh-CN" w:bidi="ar-SA"/>
        </w:rPr>
        <w:t xml:space="preserve">                                         </w:t>
      </w:r>
    </w:p>
    <w:p w14:paraId="4DCCDE7C">
      <w:pPr>
        <w:widowControl w:val="0"/>
        <w:tabs>
          <w:tab w:val="left" w:pos="360"/>
        </w:tabs>
        <w:spacing w:line="480" w:lineRule="auto"/>
        <w:ind w:firstLine="480"/>
        <w:jc w:val="both"/>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日    期：</w:t>
      </w:r>
      <w:r>
        <w:rPr>
          <w:rFonts w:hint="eastAsia" w:ascii="Times New Roman" w:hAnsi="Times New Roman" w:eastAsia="宋体" w:cs="Times New Roman"/>
          <w:color w:val="auto"/>
          <w:sz w:val="24"/>
          <w:szCs w:val="24"/>
          <w:highlight w:val="none"/>
          <w:u w:val="single"/>
          <w:lang w:val="en-US" w:eastAsia="zh-CN" w:bidi="ar-SA"/>
        </w:rPr>
        <w:t xml:space="preserve">                                         </w:t>
      </w:r>
    </w:p>
    <w:p w14:paraId="311B7F36">
      <w:pPr>
        <w:widowControl/>
        <w:shd w:val="clear" w:color="auto" w:fill="FFFFFF"/>
        <w:spacing w:line="480" w:lineRule="auto"/>
        <w:ind w:firstLine="840"/>
        <w:jc w:val="left"/>
        <w:rPr>
          <w:rFonts w:ascii="宋体" w:hAnsi="宋体" w:eastAsia="宋体" w:cs="Arial"/>
          <w:color w:val="auto"/>
          <w:szCs w:val="21"/>
          <w:highlight w:val="none"/>
        </w:rPr>
      </w:pPr>
    </w:p>
    <w:p w14:paraId="48417919">
      <w:pPr>
        <w:widowControl/>
        <w:shd w:val="clear" w:color="auto" w:fill="FFFFFF"/>
        <w:spacing w:line="360" w:lineRule="auto"/>
        <w:ind w:firstLine="840"/>
        <w:jc w:val="left"/>
        <w:rPr>
          <w:rFonts w:ascii="宋体" w:hAnsi="宋体" w:eastAsia="宋体" w:cs="Arial"/>
          <w:color w:val="auto"/>
          <w:szCs w:val="21"/>
          <w:highlight w:val="none"/>
        </w:rPr>
      </w:pPr>
    </w:p>
    <w:p w14:paraId="7CCDDE1E">
      <w:pPr>
        <w:widowControl/>
        <w:shd w:val="clear" w:color="auto" w:fill="FFFFFF"/>
        <w:spacing w:line="360" w:lineRule="auto"/>
        <w:jc w:val="left"/>
        <w:rPr>
          <w:rFonts w:hint="eastAsia" w:ascii="宋体" w:hAnsi="宋体" w:eastAsia="宋体" w:cs="Arial"/>
          <w:color w:val="auto"/>
          <w:szCs w:val="21"/>
          <w:highlight w:val="none"/>
        </w:rPr>
      </w:pPr>
      <w:bookmarkStart w:id="180" w:name="_Hlk45291991"/>
      <w:r>
        <w:rPr>
          <w:rFonts w:hint="eastAsia" w:ascii="宋体" w:hAnsi="宋体" w:eastAsia="宋体" w:cs="Arial"/>
          <w:color w:val="auto"/>
          <w:szCs w:val="21"/>
          <w:highlight w:val="none"/>
        </w:rPr>
        <w:t>法定代表人身份证的复印件:</w:t>
      </w:r>
      <w:bookmarkEnd w:id="180"/>
    </w:p>
    <w:p w14:paraId="75E4D4E8">
      <w:pPr>
        <w:widowControl/>
        <w:shd w:val="clear" w:color="auto" w:fill="FFFFFF"/>
        <w:spacing w:line="360" w:lineRule="auto"/>
        <w:jc w:val="left"/>
        <w:rPr>
          <w:rFonts w:hint="eastAsia" w:ascii="宋体" w:hAnsi="宋体" w:eastAsia="宋体" w:cs="Arial"/>
          <w:color w:val="auto"/>
          <w:szCs w:val="21"/>
          <w:highlight w:val="none"/>
        </w:rPr>
      </w:pPr>
    </w:p>
    <w:p w14:paraId="395D21E3">
      <w:pPr>
        <w:widowControl/>
        <w:shd w:val="clear" w:color="auto" w:fill="FFFFFF"/>
        <w:spacing w:line="360" w:lineRule="auto"/>
        <w:jc w:val="left"/>
        <w:rPr>
          <w:rFonts w:hint="eastAsia" w:ascii="宋体" w:hAnsi="宋体" w:eastAsia="宋体" w:cs="Arial"/>
          <w:color w:val="auto"/>
          <w:szCs w:val="21"/>
          <w:highlight w:val="none"/>
        </w:rPr>
      </w:pPr>
    </w:p>
    <w:p w14:paraId="5E0361C8">
      <w:pPr>
        <w:spacing w:line="460" w:lineRule="exact"/>
        <w:rPr>
          <w:rFonts w:hint="eastAsia" w:ascii="黑体" w:eastAsia="黑体"/>
          <w:color w:val="auto"/>
          <w:sz w:val="32"/>
          <w:szCs w:val="32"/>
          <w:highlight w:val="none"/>
        </w:rPr>
      </w:pPr>
      <w:r>
        <w:rPr>
          <w:rFonts w:hint="eastAsia" w:ascii="宋体" w:hAnsi="宋体" w:eastAsia="宋体" w:cs="Arial"/>
          <w:color w:val="auto"/>
          <w:szCs w:val="21"/>
          <w:highlight w:val="none"/>
        </w:rPr>
        <w:t>委托代理人的身份证的复印件:</w:t>
      </w:r>
    </w:p>
    <w:p w14:paraId="78F800B9">
      <w:pPr>
        <w:spacing w:line="460" w:lineRule="exact"/>
        <w:rPr>
          <w:rFonts w:hint="eastAsia" w:ascii="黑体" w:eastAsia="黑体"/>
          <w:color w:val="auto"/>
          <w:sz w:val="32"/>
          <w:szCs w:val="32"/>
          <w:highlight w:val="none"/>
        </w:rPr>
      </w:pPr>
    </w:p>
    <w:p w14:paraId="748452E3">
      <w:pPr>
        <w:spacing w:line="460" w:lineRule="exact"/>
        <w:rPr>
          <w:rFonts w:hint="eastAsia" w:ascii="黑体" w:eastAsia="黑体"/>
          <w:color w:val="auto"/>
          <w:sz w:val="32"/>
          <w:szCs w:val="32"/>
          <w:highlight w:val="none"/>
        </w:rPr>
      </w:pPr>
    </w:p>
    <w:p w14:paraId="09C27239">
      <w:pPr>
        <w:widowControl w:val="0"/>
        <w:spacing w:after="120" w:line="360" w:lineRule="auto"/>
        <w:ind w:left="420" w:firstLine="420"/>
        <w:jc w:val="both"/>
        <w:rPr>
          <w:rFonts w:hint="eastAsia" w:ascii="黑体" w:hAnsi="宋体" w:eastAsia="黑体" w:cs="Times New Roman"/>
          <w:color w:val="auto"/>
          <w:sz w:val="32"/>
          <w:szCs w:val="32"/>
          <w:highlight w:val="none"/>
          <w:lang w:val="en-US" w:eastAsia="zh-CN" w:bidi="ar-SA"/>
        </w:rPr>
      </w:pPr>
    </w:p>
    <w:p w14:paraId="3896E47E">
      <w:pPr>
        <w:widowControl w:val="0"/>
        <w:spacing w:after="120" w:line="360" w:lineRule="auto"/>
        <w:ind w:left="420" w:firstLine="420"/>
        <w:jc w:val="both"/>
        <w:rPr>
          <w:rFonts w:hint="eastAsia" w:ascii="黑体" w:hAnsi="宋体" w:eastAsia="黑体" w:cs="Times New Roman"/>
          <w:color w:val="auto"/>
          <w:sz w:val="32"/>
          <w:szCs w:val="32"/>
          <w:highlight w:val="none"/>
          <w:lang w:val="en-US" w:eastAsia="zh-CN" w:bidi="ar-SA"/>
        </w:rPr>
      </w:pPr>
    </w:p>
    <w:p w14:paraId="38923F28">
      <w:pPr>
        <w:widowControl w:val="0"/>
        <w:spacing w:after="120" w:line="360" w:lineRule="auto"/>
        <w:ind w:left="0" w:leftChars="0" w:firstLine="0" w:firstLineChars="0"/>
        <w:jc w:val="both"/>
        <w:rPr>
          <w:rFonts w:hint="eastAsia" w:ascii="黑体" w:hAnsi="宋体" w:eastAsia="黑体" w:cs="Times New Roman"/>
          <w:color w:val="auto"/>
          <w:sz w:val="32"/>
          <w:szCs w:val="32"/>
          <w:highlight w:val="none"/>
          <w:lang w:val="en-US" w:eastAsia="zh-CN" w:bidi="ar-SA"/>
        </w:rPr>
      </w:pPr>
      <w:r>
        <w:rPr>
          <w:rFonts w:hint="eastAsia" w:ascii="黑体" w:hAnsi="宋体" w:eastAsia="黑体" w:cs="Times New Roman"/>
          <w:color w:val="auto"/>
          <w:sz w:val="32"/>
          <w:szCs w:val="32"/>
          <w:highlight w:val="none"/>
          <w:lang w:val="en-US" w:eastAsia="zh-CN" w:bidi="ar-SA"/>
        </w:rPr>
        <w:t>三、报价一览表</w:t>
      </w:r>
    </w:p>
    <w:p w14:paraId="470837AC">
      <w:pPr>
        <w:spacing w:line="440" w:lineRule="exact"/>
        <w:ind w:right="-756"/>
        <w:jc w:val="center"/>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报价一览表</w:t>
      </w:r>
    </w:p>
    <w:tbl>
      <w:tblPr>
        <w:tblStyle w:val="9"/>
        <w:tblpPr w:leftFromText="180" w:rightFromText="180" w:vertAnchor="text" w:horzAnchor="page" w:tblpX="1890" w:tblpY="488"/>
        <w:tblOverlap w:val="never"/>
        <w:tblW w:w="9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4"/>
        <w:gridCol w:w="6159"/>
        <w:gridCol w:w="1302"/>
      </w:tblGrid>
      <w:tr w14:paraId="219E5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4" w:hRule="atLeast"/>
        </w:trPr>
        <w:tc>
          <w:tcPr>
            <w:tcW w:w="1674" w:type="dxa"/>
            <w:vMerge w:val="restart"/>
            <w:noWrap w:val="0"/>
            <w:vAlign w:val="center"/>
          </w:tcPr>
          <w:p w14:paraId="7A21C420">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投标报价优惠率</w:t>
            </w:r>
          </w:p>
        </w:tc>
        <w:tc>
          <w:tcPr>
            <w:tcW w:w="6159" w:type="dxa"/>
            <w:noWrap w:val="0"/>
            <w:vAlign w:val="center"/>
          </w:tcPr>
          <w:p w14:paraId="7F191A74">
            <w:pPr>
              <w:widowControl w:val="0"/>
              <w:jc w:val="both"/>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大写：  </w:t>
            </w:r>
            <w:r>
              <w:rPr>
                <w:rFonts w:hint="eastAsia" w:ascii="宋体" w:hAnsi="宋体" w:eastAsia="宋体" w:cs="宋体"/>
                <w:bCs/>
                <w:color w:val="auto"/>
                <w:sz w:val="24"/>
                <w:szCs w:val="24"/>
                <w:highlight w:val="none"/>
                <w:u w:val="single"/>
                <w:lang w:val="en-US" w:eastAsia="zh-CN" w:bidi="ar-SA"/>
              </w:rPr>
              <w:t xml:space="preserve">                %</w:t>
            </w:r>
          </w:p>
          <w:p w14:paraId="20D80468">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p>
        </w:tc>
        <w:tc>
          <w:tcPr>
            <w:tcW w:w="1302" w:type="dxa"/>
            <w:vMerge w:val="restart"/>
            <w:noWrap w:val="0"/>
            <w:vAlign w:val="center"/>
          </w:tcPr>
          <w:p w14:paraId="6766A5BE">
            <w:pPr>
              <w:widowControl w:val="0"/>
              <w:jc w:val="both"/>
              <w:rPr>
                <w:rFonts w:hint="eastAsia" w:ascii="宋体" w:hAnsi="宋体" w:eastAsia="楷体_GB2312" w:cs="宋体"/>
                <w:color w:val="auto"/>
                <w:sz w:val="21"/>
                <w:szCs w:val="21"/>
                <w:highlight w:val="none"/>
                <w:lang w:val="en-US" w:eastAsia="zh-CN" w:bidi="ar-SA"/>
              </w:rPr>
            </w:pPr>
          </w:p>
        </w:tc>
      </w:tr>
      <w:tr w14:paraId="3EB7A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7" w:hRule="atLeast"/>
        </w:trPr>
        <w:tc>
          <w:tcPr>
            <w:tcW w:w="1674" w:type="dxa"/>
            <w:vMerge w:val="continue"/>
            <w:noWrap w:val="0"/>
            <w:vAlign w:val="center"/>
          </w:tcPr>
          <w:p w14:paraId="5473A861">
            <w:pPr>
              <w:widowControl w:val="0"/>
              <w:jc w:val="both"/>
              <w:rPr>
                <w:rFonts w:hint="eastAsia" w:ascii="宋体" w:hAnsi="宋体" w:eastAsia="宋体" w:cs="宋体"/>
                <w:bCs/>
                <w:color w:val="auto"/>
                <w:sz w:val="24"/>
                <w:szCs w:val="24"/>
                <w:highlight w:val="none"/>
                <w:lang w:val="en-US" w:eastAsia="zh-CN" w:bidi="ar-SA"/>
              </w:rPr>
            </w:pPr>
          </w:p>
        </w:tc>
        <w:tc>
          <w:tcPr>
            <w:tcW w:w="6159" w:type="dxa"/>
            <w:noWrap w:val="0"/>
            <w:vAlign w:val="center"/>
          </w:tcPr>
          <w:p w14:paraId="07854FAA">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小写：  </w:t>
            </w:r>
            <w:r>
              <w:rPr>
                <w:rFonts w:hint="eastAsia" w:ascii="宋体" w:hAnsi="宋体" w:eastAsia="宋体" w:cs="宋体"/>
                <w:bCs/>
                <w:color w:val="auto"/>
                <w:sz w:val="24"/>
                <w:szCs w:val="24"/>
                <w:highlight w:val="none"/>
                <w:u w:val="single"/>
                <w:lang w:val="en-US" w:eastAsia="zh-CN" w:bidi="ar-SA"/>
              </w:rPr>
              <w:t xml:space="preserve">                %</w:t>
            </w:r>
          </w:p>
        </w:tc>
        <w:tc>
          <w:tcPr>
            <w:tcW w:w="1302" w:type="dxa"/>
            <w:vMerge w:val="continue"/>
            <w:noWrap w:val="0"/>
            <w:vAlign w:val="center"/>
          </w:tcPr>
          <w:p w14:paraId="5B1E6BFE">
            <w:pPr>
              <w:widowControl w:val="0"/>
              <w:jc w:val="both"/>
              <w:rPr>
                <w:rFonts w:hint="eastAsia" w:ascii="宋体" w:hAnsi="宋体" w:eastAsia="楷体_GB2312" w:cs="宋体"/>
                <w:color w:val="auto"/>
                <w:sz w:val="21"/>
                <w:szCs w:val="21"/>
                <w:highlight w:val="none"/>
                <w:lang w:val="en-US" w:eastAsia="zh-CN" w:bidi="ar-SA"/>
              </w:rPr>
            </w:pPr>
          </w:p>
        </w:tc>
      </w:tr>
      <w:tr w14:paraId="0D8A6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1674" w:type="dxa"/>
            <w:noWrap w:val="0"/>
            <w:vAlign w:val="center"/>
          </w:tcPr>
          <w:p w14:paraId="3FC713D2">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费用核算标准</w:t>
            </w:r>
          </w:p>
        </w:tc>
        <w:tc>
          <w:tcPr>
            <w:tcW w:w="6159" w:type="dxa"/>
            <w:noWrap w:val="0"/>
            <w:vAlign w:val="center"/>
          </w:tcPr>
          <w:p w14:paraId="03A92BD5">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费用核算标准：根据入围供应商统一的优惠率报价（例如10%），例如优惠率为10%，成交价格=最高限制单价*（1-10%）计算服务费。（优惠率四舍五入，保留至小数点后2位）；（</w:t>
            </w:r>
            <w:r>
              <w:rPr>
                <w:rFonts w:hint="eastAsia" w:ascii="宋体" w:hAnsi="宋体" w:eastAsia="宋体" w:cs="宋体"/>
                <w:bCs/>
                <w:color w:val="auto"/>
                <w:sz w:val="24"/>
                <w:szCs w:val="24"/>
                <w:highlight w:val="none"/>
                <w:lang w:val="en-US" w:eastAsia="zh-CN" w:bidi="ar-SA"/>
              </w:rPr>
              <w:t>请充分理解费用核算标准后填报优惠率</w:t>
            </w:r>
            <w:r>
              <w:rPr>
                <w:rFonts w:hint="eastAsia" w:ascii="宋体" w:hAnsi="宋体" w:eastAsia="宋体" w:cs="宋体"/>
                <w:bCs/>
                <w:color w:val="auto"/>
                <w:sz w:val="24"/>
                <w:szCs w:val="24"/>
                <w:highlight w:val="none"/>
                <w:lang w:val="zh-CN" w:eastAsia="zh-CN" w:bidi="ar-SA"/>
              </w:rPr>
              <w:t>）</w:t>
            </w:r>
          </w:p>
        </w:tc>
        <w:tc>
          <w:tcPr>
            <w:tcW w:w="1302" w:type="dxa"/>
            <w:noWrap w:val="0"/>
            <w:vAlign w:val="center"/>
          </w:tcPr>
          <w:p w14:paraId="39F43F40">
            <w:pPr>
              <w:widowControl w:val="0"/>
              <w:jc w:val="both"/>
              <w:rPr>
                <w:rFonts w:hint="eastAsia" w:ascii="宋体" w:hAnsi="宋体" w:eastAsia="楷体_GB2312" w:cs="宋体"/>
                <w:color w:val="auto"/>
                <w:sz w:val="21"/>
                <w:szCs w:val="21"/>
                <w:highlight w:val="none"/>
                <w:lang w:val="en-US" w:eastAsia="zh-CN" w:bidi="ar-SA"/>
              </w:rPr>
            </w:pPr>
          </w:p>
        </w:tc>
      </w:tr>
      <w:tr w14:paraId="6D25A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5" w:hRule="atLeast"/>
        </w:trPr>
        <w:tc>
          <w:tcPr>
            <w:tcW w:w="1674" w:type="dxa"/>
            <w:noWrap w:val="0"/>
            <w:vAlign w:val="center"/>
          </w:tcPr>
          <w:p w14:paraId="4E076578">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其它</w:t>
            </w:r>
          </w:p>
        </w:tc>
        <w:tc>
          <w:tcPr>
            <w:tcW w:w="6159" w:type="dxa"/>
            <w:noWrap w:val="0"/>
            <w:vAlign w:val="center"/>
          </w:tcPr>
          <w:p w14:paraId="47A34444">
            <w:pPr>
              <w:widowControl w:val="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（如有优惠条件须在此注明）</w:t>
            </w:r>
          </w:p>
        </w:tc>
        <w:tc>
          <w:tcPr>
            <w:tcW w:w="1302" w:type="dxa"/>
            <w:noWrap w:val="0"/>
            <w:vAlign w:val="center"/>
          </w:tcPr>
          <w:p w14:paraId="6327C79E">
            <w:pPr>
              <w:widowControl w:val="0"/>
              <w:jc w:val="both"/>
              <w:rPr>
                <w:rFonts w:hint="eastAsia" w:ascii="宋体" w:hAnsi="宋体" w:eastAsia="楷体_GB2312" w:cs="宋体"/>
                <w:color w:val="auto"/>
                <w:sz w:val="21"/>
                <w:szCs w:val="21"/>
                <w:highlight w:val="none"/>
                <w:lang w:val="en-US" w:eastAsia="zh-CN" w:bidi="ar-SA"/>
              </w:rPr>
            </w:pPr>
          </w:p>
        </w:tc>
      </w:tr>
    </w:tbl>
    <w:p w14:paraId="34831A4E">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6581A764">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50208B58">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02362396">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205462CA">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59A350CD">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6AB88877">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611ED657">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7426B2A3">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31C5C53D">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6FF526BB">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6731A1A8">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p>
    <w:p w14:paraId="55D68ED4">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r>
        <w:rPr>
          <w:rFonts w:hint="eastAsia" w:ascii="宋体" w:hAnsi="宋体" w:eastAsia="宋体" w:cs="Arial"/>
          <w:color w:val="auto"/>
          <w:sz w:val="24"/>
          <w:szCs w:val="21"/>
          <w:highlight w:val="none"/>
          <w:lang w:val="en-US" w:eastAsia="zh-CN" w:bidi="ar-SA"/>
        </w:rPr>
        <w:t>（加盖CA电子公章）</w:t>
      </w:r>
    </w:p>
    <w:p w14:paraId="66AC1297">
      <w:pPr>
        <w:keepNext w:val="0"/>
        <w:keepLines w:val="0"/>
        <w:widowControl/>
        <w:suppressLineNumbers w:val="0"/>
        <w:spacing w:before="100" w:beforeAutospacing="1" w:after="100" w:afterAutospacing="1"/>
        <w:ind w:left="0" w:firstLine="0"/>
        <w:jc w:val="righ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lang w:val="en-US" w:eastAsia="zh-CN" w:bidi="ar-SA"/>
        </w:rPr>
        <w:t>日 期：   年   月   日</w:t>
      </w:r>
    </w:p>
    <w:p w14:paraId="5D2E7D2E">
      <w:pPr>
        <w:widowControl w:val="0"/>
        <w:spacing w:after="120" w:line="360" w:lineRule="auto"/>
        <w:ind w:left="0" w:leftChars="0" w:firstLine="0" w:firstLineChars="0"/>
        <w:jc w:val="both"/>
        <w:rPr>
          <w:rFonts w:hint="eastAsia" w:ascii="黑体" w:hAnsi="宋体" w:eastAsia="黑体" w:cs="Times New Roman"/>
          <w:color w:val="auto"/>
          <w:sz w:val="32"/>
          <w:szCs w:val="32"/>
          <w:highlight w:val="none"/>
          <w:lang w:val="en-US" w:eastAsia="zh-CN" w:bidi="ar-SA"/>
        </w:rPr>
      </w:pPr>
      <w:bookmarkStart w:id="181" w:name="OLE_LINK5"/>
      <w:bookmarkStart w:id="183" w:name="_GoBack"/>
      <w:r>
        <w:rPr>
          <w:rFonts w:hint="eastAsia" w:ascii="黑体" w:hAnsi="宋体" w:eastAsia="黑体" w:cs="Times New Roman"/>
          <w:color w:val="auto"/>
          <w:sz w:val="32"/>
          <w:szCs w:val="32"/>
          <w:highlight w:val="none"/>
          <w:lang w:val="en-US" w:eastAsia="zh-CN" w:bidi="ar-SA"/>
        </w:rPr>
        <w:t>四、分项报价表格式</w:t>
      </w:r>
      <w:bookmarkEnd w:id="181"/>
      <w:bookmarkEnd w:id="183"/>
    </w:p>
    <w:tbl>
      <w:tblPr>
        <w:tblStyle w:val="18"/>
        <w:tblW w:w="9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1"/>
        <w:gridCol w:w="4340"/>
        <w:gridCol w:w="1646"/>
        <w:gridCol w:w="1044"/>
        <w:gridCol w:w="1647"/>
      </w:tblGrid>
      <w:tr w14:paraId="5C26C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721" w:type="dxa"/>
            <w:noWrap w:val="0"/>
            <w:vAlign w:val="center"/>
          </w:tcPr>
          <w:p w14:paraId="5D5C9D5B">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序号</w:t>
            </w:r>
          </w:p>
        </w:tc>
        <w:tc>
          <w:tcPr>
            <w:tcW w:w="4340" w:type="dxa"/>
            <w:noWrap w:val="0"/>
            <w:vAlign w:val="center"/>
          </w:tcPr>
          <w:p w14:paraId="6E070923">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类别</w:t>
            </w:r>
          </w:p>
        </w:tc>
        <w:tc>
          <w:tcPr>
            <w:tcW w:w="1646" w:type="dxa"/>
            <w:noWrap w:val="0"/>
            <w:vAlign w:val="center"/>
          </w:tcPr>
          <w:p w14:paraId="23F6EBCB">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最高限制单价</w:t>
            </w:r>
          </w:p>
        </w:tc>
        <w:tc>
          <w:tcPr>
            <w:tcW w:w="1044" w:type="dxa"/>
            <w:noWrap w:val="0"/>
            <w:vAlign w:val="center"/>
          </w:tcPr>
          <w:p w14:paraId="6C51B81E">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highlight w:val="none"/>
                <w:lang w:val="en-US" w:eastAsia="zh-CN"/>
              </w:rPr>
              <w:t>单位</w:t>
            </w:r>
          </w:p>
        </w:tc>
        <w:tc>
          <w:tcPr>
            <w:tcW w:w="1647" w:type="dxa"/>
            <w:noWrap w:val="0"/>
            <w:vAlign w:val="center"/>
          </w:tcPr>
          <w:p w14:paraId="6B078B90">
            <w:pPr>
              <w:pageBreakBefore w:val="0"/>
              <w:widowControl w:val="0"/>
              <w:spacing w:line="240" w:lineRule="auto"/>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供应商投标报价综合</w:t>
            </w:r>
            <w:r>
              <w:rPr>
                <w:rFonts w:hint="eastAsia" w:ascii="宋体" w:hAnsi="宋体" w:cs="宋体"/>
                <w:color w:val="auto"/>
                <w:kern w:val="0"/>
                <w:sz w:val="24"/>
                <w:szCs w:val="24"/>
                <w:vertAlign w:val="baseline"/>
                <w:lang w:val="en-US" w:eastAsia="zh-CN"/>
              </w:rPr>
              <w:t>优惠率</w:t>
            </w:r>
          </w:p>
        </w:tc>
      </w:tr>
      <w:tr w14:paraId="3FA6D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721" w:type="dxa"/>
            <w:noWrap w:val="0"/>
            <w:vAlign w:val="center"/>
          </w:tcPr>
          <w:p w14:paraId="3B0A23AF">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w:t>
            </w:r>
          </w:p>
        </w:tc>
        <w:tc>
          <w:tcPr>
            <w:tcW w:w="4340" w:type="dxa"/>
            <w:noWrap w:val="0"/>
            <w:vAlign w:val="center"/>
          </w:tcPr>
          <w:p w14:paraId="5005CF54">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刑事案件侦查阶段</w:t>
            </w:r>
          </w:p>
        </w:tc>
        <w:tc>
          <w:tcPr>
            <w:tcW w:w="1646" w:type="dxa"/>
            <w:noWrap w:val="0"/>
            <w:vAlign w:val="center"/>
          </w:tcPr>
          <w:p w14:paraId="1F588859">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1000</w:t>
            </w:r>
          </w:p>
        </w:tc>
        <w:tc>
          <w:tcPr>
            <w:tcW w:w="1044" w:type="dxa"/>
            <w:noWrap w:val="0"/>
            <w:vAlign w:val="center"/>
          </w:tcPr>
          <w:p w14:paraId="68512E7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元/件</w:t>
            </w:r>
          </w:p>
        </w:tc>
        <w:tc>
          <w:tcPr>
            <w:tcW w:w="1647" w:type="dxa"/>
            <w:vMerge w:val="restart"/>
            <w:noWrap w:val="0"/>
            <w:vAlign w:val="center"/>
          </w:tcPr>
          <w:p w14:paraId="149F31CC">
            <w:pPr>
              <w:pageBreakBefore w:val="0"/>
              <w:widowControl w:val="0"/>
              <w:spacing w:line="540" w:lineRule="exact"/>
              <w:jc w:val="center"/>
              <w:rPr>
                <w:rFonts w:hint="eastAsia" w:ascii="宋体" w:hAnsi="宋体" w:eastAsia="宋体" w:cs="宋体"/>
                <w:color w:val="auto"/>
                <w:kern w:val="0"/>
                <w:sz w:val="24"/>
                <w:szCs w:val="24"/>
                <w:u w:val="single"/>
                <w:vertAlign w:val="baseline"/>
                <w:lang w:val="en-US" w:eastAsia="zh-CN"/>
              </w:rPr>
            </w:pPr>
            <w:r>
              <w:rPr>
                <w:rFonts w:hint="eastAsia" w:ascii="宋体" w:hAnsi="宋体" w:eastAsia="宋体" w:cs="宋体"/>
                <w:color w:val="auto"/>
                <w:kern w:val="0"/>
                <w:sz w:val="24"/>
                <w:szCs w:val="24"/>
                <w:u w:val="single"/>
                <w:vertAlign w:val="baseline"/>
                <w:lang w:val="en-US" w:eastAsia="zh-CN"/>
              </w:rPr>
              <w:t xml:space="preserve">     %</w:t>
            </w:r>
          </w:p>
          <w:p w14:paraId="2B48B9D4">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116C5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721" w:type="dxa"/>
            <w:noWrap w:val="0"/>
            <w:vAlign w:val="center"/>
          </w:tcPr>
          <w:p w14:paraId="01A7C864">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w:t>
            </w:r>
          </w:p>
        </w:tc>
        <w:tc>
          <w:tcPr>
            <w:tcW w:w="4340" w:type="dxa"/>
            <w:noWrap w:val="0"/>
            <w:vAlign w:val="center"/>
          </w:tcPr>
          <w:p w14:paraId="13C86BAD">
            <w:pPr>
              <w:pageBreakBefore w:val="0"/>
              <w:widowControl w:val="0"/>
              <w:spacing w:line="540" w:lineRule="exact"/>
              <w:jc w:val="center"/>
              <w:rPr>
                <w:rFonts w:hint="eastAsia" w:ascii="宋体" w:hAnsi="宋体" w:eastAsia="宋体" w:cs="宋体"/>
                <w:color w:val="auto"/>
                <w:kern w:val="0"/>
                <w:sz w:val="24"/>
                <w:szCs w:val="24"/>
                <w:vertAlign w:val="baseline"/>
                <w:lang w:val="en-US"/>
              </w:rPr>
            </w:pPr>
            <w:r>
              <w:rPr>
                <w:rFonts w:hint="eastAsia" w:ascii="宋体" w:hAnsi="宋体" w:eastAsia="宋体" w:cs="宋体"/>
                <w:bCs/>
                <w:color w:val="auto"/>
                <w:kern w:val="0"/>
                <w:sz w:val="24"/>
                <w:szCs w:val="24"/>
                <w:highlight w:val="none"/>
                <w:lang w:val="en-US" w:eastAsia="zh-CN"/>
              </w:rPr>
              <w:t>刑事案件审查起诉阶段</w:t>
            </w:r>
          </w:p>
        </w:tc>
        <w:tc>
          <w:tcPr>
            <w:tcW w:w="1646" w:type="dxa"/>
            <w:noWrap w:val="0"/>
            <w:vAlign w:val="center"/>
          </w:tcPr>
          <w:p w14:paraId="420D174B">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1600</w:t>
            </w:r>
          </w:p>
        </w:tc>
        <w:tc>
          <w:tcPr>
            <w:tcW w:w="1044" w:type="dxa"/>
            <w:noWrap w:val="0"/>
            <w:vAlign w:val="center"/>
          </w:tcPr>
          <w:p w14:paraId="4C4293D8">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4983A88C">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30BF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721" w:type="dxa"/>
            <w:noWrap w:val="0"/>
            <w:vAlign w:val="center"/>
          </w:tcPr>
          <w:p w14:paraId="76C4B0B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w:t>
            </w:r>
          </w:p>
        </w:tc>
        <w:tc>
          <w:tcPr>
            <w:tcW w:w="4340" w:type="dxa"/>
            <w:noWrap w:val="0"/>
            <w:vAlign w:val="center"/>
          </w:tcPr>
          <w:p w14:paraId="6BD2372C">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刑事案件审判阶段</w:t>
            </w:r>
          </w:p>
        </w:tc>
        <w:tc>
          <w:tcPr>
            <w:tcW w:w="1646" w:type="dxa"/>
            <w:noWrap w:val="0"/>
            <w:vAlign w:val="center"/>
          </w:tcPr>
          <w:p w14:paraId="0877CEB6">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2000</w:t>
            </w:r>
          </w:p>
        </w:tc>
        <w:tc>
          <w:tcPr>
            <w:tcW w:w="1044" w:type="dxa"/>
            <w:noWrap w:val="0"/>
            <w:vAlign w:val="center"/>
          </w:tcPr>
          <w:p w14:paraId="03140AD3">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510848C1">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6A7ED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721" w:type="dxa"/>
            <w:noWrap w:val="0"/>
            <w:vAlign w:val="center"/>
          </w:tcPr>
          <w:p w14:paraId="2353481B">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w:t>
            </w:r>
          </w:p>
        </w:tc>
        <w:tc>
          <w:tcPr>
            <w:tcW w:w="4340" w:type="dxa"/>
            <w:noWrap w:val="0"/>
            <w:vAlign w:val="center"/>
          </w:tcPr>
          <w:p w14:paraId="53A7E092">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办理认罪认罚法律帮助案件</w:t>
            </w:r>
          </w:p>
        </w:tc>
        <w:tc>
          <w:tcPr>
            <w:tcW w:w="1646" w:type="dxa"/>
            <w:noWrap w:val="0"/>
            <w:vAlign w:val="center"/>
          </w:tcPr>
          <w:p w14:paraId="52DB6DC0">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350</w:t>
            </w:r>
          </w:p>
        </w:tc>
        <w:tc>
          <w:tcPr>
            <w:tcW w:w="1044" w:type="dxa"/>
            <w:noWrap w:val="0"/>
            <w:vAlign w:val="center"/>
          </w:tcPr>
          <w:p w14:paraId="7E7681C1">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42667AB4">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0F7B0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721" w:type="dxa"/>
            <w:noWrap w:val="0"/>
            <w:vAlign w:val="center"/>
          </w:tcPr>
          <w:p w14:paraId="040183E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5</w:t>
            </w:r>
          </w:p>
        </w:tc>
        <w:tc>
          <w:tcPr>
            <w:tcW w:w="4340" w:type="dxa"/>
            <w:noWrap w:val="0"/>
            <w:vAlign w:val="center"/>
          </w:tcPr>
          <w:p w14:paraId="1F09397A">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民事诉讼案件、行政诉讼案件、仲裁案件以及国家赔偿案件</w:t>
            </w:r>
          </w:p>
        </w:tc>
        <w:tc>
          <w:tcPr>
            <w:tcW w:w="1646" w:type="dxa"/>
            <w:noWrap w:val="0"/>
            <w:vAlign w:val="center"/>
          </w:tcPr>
          <w:p w14:paraId="01093544">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2500</w:t>
            </w:r>
          </w:p>
        </w:tc>
        <w:tc>
          <w:tcPr>
            <w:tcW w:w="1044" w:type="dxa"/>
            <w:noWrap w:val="0"/>
            <w:vAlign w:val="center"/>
          </w:tcPr>
          <w:p w14:paraId="42D0C43A">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325FC0C0">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4AAD6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 w:hRule="atLeast"/>
        </w:trPr>
        <w:tc>
          <w:tcPr>
            <w:tcW w:w="721" w:type="dxa"/>
            <w:noWrap w:val="0"/>
            <w:vAlign w:val="center"/>
          </w:tcPr>
          <w:p w14:paraId="479DD12A">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6</w:t>
            </w:r>
          </w:p>
        </w:tc>
        <w:tc>
          <w:tcPr>
            <w:tcW w:w="4340" w:type="dxa"/>
            <w:noWrap w:val="0"/>
            <w:vAlign w:val="center"/>
          </w:tcPr>
          <w:p w14:paraId="2F4D13C9">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司法鉴定法律援助</w:t>
            </w:r>
          </w:p>
        </w:tc>
        <w:tc>
          <w:tcPr>
            <w:tcW w:w="1646" w:type="dxa"/>
            <w:noWrap w:val="0"/>
            <w:vAlign w:val="center"/>
          </w:tcPr>
          <w:p w14:paraId="6A6A6C2F">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44" w:type="dxa"/>
            <w:noWrap w:val="0"/>
            <w:vAlign w:val="center"/>
          </w:tcPr>
          <w:p w14:paraId="0FF35B51">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149B1F41">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41B5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721" w:type="dxa"/>
            <w:noWrap w:val="0"/>
            <w:vAlign w:val="center"/>
          </w:tcPr>
          <w:p w14:paraId="7ABD34EC">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7</w:t>
            </w:r>
          </w:p>
        </w:tc>
        <w:tc>
          <w:tcPr>
            <w:tcW w:w="4340" w:type="dxa"/>
            <w:noWrap w:val="0"/>
            <w:vAlign w:val="center"/>
          </w:tcPr>
          <w:p w14:paraId="055C8FC5">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其他非诉讼案件或法律援助协助执行案件</w:t>
            </w:r>
          </w:p>
        </w:tc>
        <w:tc>
          <w:tcPr>
            <w:tcW w:w="1646" w:type="dxa"/>
            <w:noWrap w:val="0"/>
            <w:vAlign w:val="center"/>
          </w:tcPr>
          <w:p w14:paraId="5D4308DC">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1000</w:t>
            </w:r>
          </w:p>
        </w:tc>
        <w:tc>
          <w:tcPr>
            <w:tcW w:w="1044" w:type="dxa"/>
            <w:noWrap w:val="0"/>
            <w:vAlign w:val="center"/>
          </w:tcPr>
          <w:p w14:paraId="6D2006B4">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75DB3045">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40701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trPr>
        <w:tc>
          <w:tcPr>
            <w:tcW w:w="721" w:type="dxa"/>
            <w:noWrap w:val="0"/>
            <w:vAlign w:val="center"/>
          </w:tcPr>
          <w:p w14:paraId="6FA52887">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8</w:t>
            </w:r>
          </w:p>
        </w:tc>
        <w:tc>
          <w:tcPr>
            <w:tcW w:w="4340" w:type="dxa"/>
            <w:noWrap w:val="0"/>
            <w:vAlign w:val="center"/>
          </w:tcPr>
          <w:p w14:paraId="50D0BE2E">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接听12348法律服务热线电话</w:t>
            </w:r>
          </w:p>
        </w:tc>
        <w:tc>
          <w:tcPr>
            <w:tcW w:w="1646" w:type="dxa"/>
            <w:noWrap w:val="0"/>
            <w:vAlign w:val="center"/>
          </w:tcPr>
          <w:p w14:paraId="25957DF8">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110000</w:t>
            </w:r>
          </w:p>
        </w:tc>
        <w:tc>
          <w:tcPr>
            <w:tcW w:w="1044" w:type="dxa"/>
            <w:noWrap w:val="0"/>
            <w:vAlign w:val="center"/>
          </w:tcPr>
          <w:p w14:paraId="71DDE170">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元/年</w:t>
            </w:r>
          </w:p>
        </w:tc>
        <w:tc>
          <w:tcPr>
            <w:tcW w:w="1647" w:type="dxa"/>
            <w:vMerge w:val="continue"/>
            <w:noWrap w:val="0"/>
            <w:vAlign w:val="center"/>
          </w:tcPr>
          <w:p w14:paraId="5EA69315">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3484E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721" w:type="dxa"/>
            <w:noWrap w:val="0"/>
            <w:vAlign w:val="center"/>
          </w:tcPr>
          <w:p w14:paraId="268894F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9</w:t>
            </w:r>
          </w:p>
        </w:tc>
        <w:tc>
          <w:tcPr>
            <w:tcW w:w="4340" w:type="dxa"/>
            <w:noWrap w:val="0"/>
            <w:vAlign w:val="center"/>
          </w:tcPr>
          <w:p w14:paraId="31981C0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零工市场法律援助工作站综合工作</w:t>
            </w:r>
          </w:p>
        </w:tc>
        <w:tc>
          <w:tcPr>
            <w:tcW w:w="1646" w:type="dxa"/>
            <w:noWrap w:val="0"/>
            <w:vAlign w:val="center"/>
          </w:tcPr>
          <w:p w14:paraId="2683690E">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45000</w:t>
            </w:r>
          </w:p>
        </w:tc>
        <w:tc>
          <w:tcPr>
            <w:tcW w:w="1044" w:type="dxa"/>
            <w:noWrap w:val="0"/>
            <w:vAlign w:val="center"/>
          </w:tcPr>
          <w:p w14:paraId="4572369E">
            <w:pPr>
              <w:pageBreakBefore w:val="0"/>
              <w:widowControl w:val="0"/>
              <w:spacing w:line="540" w:lineRule="exact"/>
              <w:jc w:val="center"/>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元/年</w:t>
            </w:r>
          </w:p>
        </w:tc>
        <w:tc>
          <w:tcPr>
            <w:tcW w:w="1647" w:type="dxa"/>
            <w:vMerge w:val="continue"/>
            <w:noWrap w:val="0"/>
            <w:vAlign w:val="center"/>
          </w:tcPr>
          <w:p w14:paraId="105BD6DF">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24CCC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rPr>
        <w:tc>
          <w:tcPr>
            <w:tcW w:w="721" w:type="dxa"/>
            <w:noWrap w:val="0"/>
            <w:vAlign w:val="center"/>
          </w:tcPr>
          <w:p w14:paraId="2A99F8E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10</w:t>
            </w:r>
          </w:p>
        </w:tc>
        <w:tc>
          <w:tcPr>
            <w:tcW w:w="4340" w:type="dxa"/>
            <w:noWrap w:val="0"/>
            <w:vAlign w:val="center"/>
          </w:tcPr>
          <w:p w14:paraId="1D7B5B9E">
            <w:pPr>
              <w:pageBreakBefore w:val="0"/>
              <w:widowControl w:val="0"/>
              <w:spacing w:line="540" w:lineRule="exact"/>
              <w:jc w:val="center"/>
              <w:rPr>
                <w:rFonts w:hint="eastAsia" w:ascii="宋体" w:hAnsi="宋体" w:eastAsia="宋体" w:cs="宋体"/>
                <w:b/>
                <w:bCs/>
                <w:color w:val="auto"/>
                <w:kern w:val="0"/>
                <w:sz w:val="24"/>
                <w:szCs w:val="24"/>
                <w:vertAlign w:val="baseline"/>
              </w:rPr>
            </w:pPr>
            <w:r>
              <w:rPr>
                <w:rFonts w:hint="eastAsia" w:ascii="宋体" w:hAnsi="宋体" w:eastAsia="宋体" w:cs="宋体"/>
                <w:bCs/>
                <w:color w:val="auto"/>
                <w:kern w:val="0"/>
                <w:sz w:val="24"/>
                <w:szCs w:val="24"/>
                <w:highlight w:val="none"/>
                <w:lang w:val="en-US" w:eastAsia="zh-CN"/>
              </w:rPr>
              <w:t>区劳动人事争议法律援助工作站综合工作</w:t>
            </w:r>
          </w:p>
        </w:tc>
        <w:tc>
          <w:tcPr>
            <w:tcW w:w="1646" w:type="dxa"/>
            <w:noWrap w:val="0"/>
            <w:vAlign w:val="center"/>
          </w:tcPr>
          <w:p w14:paraId="5E6D98D4">
            <w:pPr>
              <w:pageBreakBefore w:val="0"/>
              <w:widowControl w:val="0"/>
              <w:spacing w:line="540" w:lineRule="exact"/>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220000</w:t>
            </w:r>
          </w:p>
        </w:tc>
        <w:tc>
          <w:tcPr>
            <w:tcW w:w="1044" w:type="dxa"/>
            <w:noWrap w:val="0"/>
            <w:vAlign w:val="center"/>
          </w:tcPr>
          <w:p w14:paraId="48B6D83D">
            <w:pPr>
              <w:pageBreakBefore w:val="0"/>
              <w:widowControl w:val="0"/>
              <w:spacing w:line="540" w:lineRule="exact"/>
              <w:jc w:val="center"/>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元/年/所</w:t>
            </w:r>
          </w:p>
        </w:tc>
        <w:tc>
          <w:tcPr>
            <w:tcW w:w="1647" w:type="dxa"/>
            <w:vMerge w:val="continue"/>
            <w:noWrap w:val="0"/>
            <w:vAlign w:val="center"/>
          </w:tcPr>
          <w:p w14:paraId="1FB70C57">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CEA7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435E1775">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11</w:t>
            </w:r>
          </w:p>
        </w:tc>
        <w:tc>
          <w:tcPr>
            <w:tcW w:w="4340" w:type="dxa"/>
            <w:noWrap w:val="0"/>
            <w:vAlign w:val="center"/>
          </w:tcPr>
          <w:p w14:paraId="4C52EBA0">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从事来访接待、法律咨询</w:t>
            </w:r>
          </w:p>
        </w:tc>
        <w:tc>
          <w:tcPr>
            <w:tcW w:w="1646" w:type="dxa"/>
            <w:noWrap w:val="0"/>
            <w:vAlign w:val="center"/>
          </w:tcPr>
          <w:p w14:paraId="0EB04BA5">
            <w:pPr>
              <w:pageBreakBefore w:val="0"/>
              <w:widowControl w:val="0"/>
              <w:spacing w:line="540" w:lineRule="exact"/>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300</w:t>
            </w:r>
          </w:p>
        </w:tc>
        <w:tc>
          <w:tcPr>
            <w:tcW w:w="1044" w:type="dxa"/>
            <w:noWrap w:val="0"/>
            <w:vAlign w:val="center"/>
          </w:tcPr>
          <w:p w14:paraId="5BD0700C">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元/天</w:t>
            </w:r>
          </w:p>
        </w:tc>
        <w:tc>
          <w:tcPr>
            <w:tcW w:w="1647" w:type="dxa"/>
            <w:vMerge w:val="continue"/>
            <w:noWrap w:val="0"/>
            <w:vAlign w:val="center"/>
          </w:tcPr>
          <w:p w14:paraId="6B388C30">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71F37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721" w:type="dxa"/>
            <w:noWrap w:val="0"/>
            <w:vAlign w:val="center"/>
          </w:tcPr>
          <w:p w14:paraId="34A13F16">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12</w:t>
            </w:r>
          </w:p>
        </w:tc>
        <w:tc>
          <w:tcPr>
            <w:tcW w:w="4340" w:type="dxa"/>
            <w:noWrap w:val="0"/>
            <w:vAlign w:val="center"/>
          </w:tcPr>
          <w:p w14:paraId="316970A8">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按照规定提供代书</w:t>
            </w:r>
          </w:p>
        </w:tc>
        <w:tc>
          <w:tcPr>
            <w:tcW w:w="1646" w:type="dxa"/>
            <w:noWrap w:val="0"/>
            <w:vAlign w:val="center"/>
          </w:tcPr>
          <w:p w14:paraId="2229A9A1">
            <w:pPr>
              <w:pageBreakBefore w:val="0"/>
              <w:widowControl w:val="0"/>
              <w:spacing w:line="540" w:lineRule="exact"/>
              <w:jc w:val="center"/>
              <w:rPr>
                <w:rFonts w:hint="eastAsia" w:ascii="宋体" w:hAnsi="宋体" w:eastAsia="宋体" w:cs="宋体"/>
                <w:b/>
                <w:bCs/>
                <w:color w:val="auto"/>
                <w:kern w:val="0"/>
                <w:sz w:val="24"/>
                <w:szCs w:val="24"/>
                <w:vertAlign w:val="baseline"/>
                <w:lang w:val="en-US" w:eastAsia="zh-CN" w:bidi="ar-SA"/>
              </w:rPr>
            </w:pPr>
            <w:r>
              <w:rPr>
                <w:rFonts w:hint="eastAsia" w:ascii="宋体" w:hAnsi="宋体" w:eastAsia="宋体" w:cs="宋体"/>
                <w:b w:val="0"/>
                <w:bCs w:val="0"/>
                <w:color w:val="auto"/>
                <w:kern w:val="0"/>
                <w:sz w:val="24"/>
                <w:szCs w:val="24"/>
                <w:vertAlign w:val="baseline"/>
                <w:lang w:val="en-US" w:eastAsia="zh-CN"/>
              </w:rPr>
              <w:t>200</w:t>
            </w:r>
          </w:p>
        </w:tc>
        <w:tc>
          <w:tcPr>
            <w:tcW w:w="1044" w:type="dxa"/>
            <w:noWrap w:val="0"/>
            <w:vAlign w:val="center"/>
          </w:tcPr>
          <w:p w14:paraId="142F73F9">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元/（次）</w:t>
            </w:r>
          </w:p>
        </w:tc>
        <w:tc>
          <w:tcPr>
            <w:tcW w:w="1647" w:type="dxa"/>
            <w:vMerge w:val="continue"/>
            <w:noWrap w:val="0"/>
            <w:vAlign w:val="center"/>
          </w:tcPr>
          <w:p w14:paraId="4ECECA92">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5B8C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7F9A321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13</w:t>
            </w:r>
          </w:p>
        </w:tc>
        <w:tc>
          <w:tcPr>
            <w:tcW w:w="4340" w:type="dxa"/>
            <w:noWrap w:val="0"/>
            <w:vAlign w:val="center"/>
          </w:tcPr>
          <w:p w14:paraId="7E4D343D">
            <w:pPr>
              <w:pageBreakBefore w:val="0"/>
              <w:widowControl w:val="0"/>
              <w:spacing w:line="540" w:lineRule="exact"/>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rPr>
              <w:t>办理案件或案例荣获荣誉奖励</w:t>
            </w:r>
          </w:p>
        </w:tc>
        <w:tc>
          <w:tcPr>
            <w:tcW w:w="1646" w:type="dxa"/>
            <w:noWrap w:val="0"/>
            <w:vAlign w:val="center"/>
          </w:tcPr>
          <w:p w14:paraId="4717539D">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市级</w:t>
            </w:r>
            <w:r>
              <w:rPr>
                <w:rFonts w:hint="eastAsia" w:ascii="宋体" w:hAnsi="宋体" w:eastAsia="宋体" w:cs="宋体"/>
                <w:color w:val="auto"/>
                <w:kern w:val="0"/>
                <w:sz w:val="24"/>
                <w:szCs w:val="24"/>
                <w:vertAlign w:val="baseline"/>
                <w:lang w:val="en-US" w:eastAsia="zh-CN"/>
              </w:rPr>
              <w:t>1000</w:t>
            </w:r>
          </w:p>
          <w:p w14:paraId="7D5FA5C8">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bCs/>
                <w:color w:val="auto"/>
                <w:kern w:val="0"/>
                <w:sz w:val="24"/>
                <w:szCs w:val="24"/>
                <w:highlight w:val="none"/>
                <w:lang w:val="en-US" w:eastAsia="zh-CN"/>
              </w:rPr>
              <w:t>省级</w:t>
            </w:r>
            <w:r>
              <w:rPr>
                <w:rFonts w:hint="eastAsia" w:ascii="宋体" w:hAnsi="宋体" w:eastAsia="宋体" w:cs="宋体"/>
                <w:color w:val="auto"/>
                <w:kern w:val="0"/>
                <w:sz w:val="24"/>
                <w:szCs w:val="24"/>
                <w:vertAlign w:val="baseline"/>
                <w:lang w:val="en-US" w:eastAsia="zh-CN"/>
              </w:rPr>
              <w:t>1500</w:t>
            </w:r>
          </w:p>
          <w:p w14:paraId="4EF4FF12">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bCs/>
                <w:color w:val="auto"/>
                <w:kern w:val="0"/>
                <w:sz w:val="24"/>
                <w:szCs w:val="24"/>
                <w:highlight w:val="none"/>
                <w:lang w:val="en-US" w:eastAsia="zh-CN"/>
              </w:rPr>
              <w:t>司法部</w:t>
            </w:r>
            <w:r>
              <w:rPr>
                <w:rFonts w:hint="eastAsia" w:ascii="宋体" w:hAnsi="宋体" w:eastAsia="宋体" w:cs="宋体"/>
                <w:color w:val="auto"/>
                <w:kern w:val="0"/>
                <w:sz w:val="24"/>
                <w:szCs w:val="24"/>
                <w:vertAlign w:val="baseline"/>
                <w:lang w:val="en-US" w:eastAsia="zh-CN"/>
              </w:rPr>
              <w:t>2000</w:t>
            </w:r>
          </w:p>
        </w:tc>
        <w:tc>
          <w:tcPr>
            <w:tcW w:w="1044" w:type="dxa"/>
            <w:noWrap w:val="0"/>
            <w:vAlign w:val="center"/>
          </w:tcPr>
          <w:p w14:paraId="27614567">
            <w:pPr>
              <w:pageBreakBefore w:val="0"/>
              <w:widowControl w:val="0"/>
              <w:spacing w:line="540" w:lineRule="exact"/>
              <w:jc w:val="center"/>
              <w:rPr>
                <w:rFonts w:hint="eastAsia" w:ascii="宋体" w:hAnsi="宋体" w:eastAsia="宋体" w:cs="宋体"/>
                <w:color w:val="auto"/>
                <w:kern w:val="0"/>
                <w:sz w:val="24"/>
                <w:szCs w:val="24"/>
                <w:vertAlign w:val="baseline"/>
                <w:lang w:val="en-US" w:eastAsia="zh-CN" w:bidi="ar-SA"/>
              </w:rPr>
            </w:pPr>
            <w:r>
              <w:rPr>
                <w:rFonts w:hint="eastAsia" w:ascii="宋体" w:hAnsi="宋体" w:eastAsia="宋体" w:cs="宋体"/>
                <w:color w:val="auto"/>
                <w:kern w:val="0"/>
                <w:sz w:val="24"/>
                <w:szCs w:val="24"/>
                <w:vertAlign w:val="baseline"/>
                <w:lang w:val="en-US" w:eastAsia="zh-CN"/>
              </w:rPr>
              <w:t>元/件</w:t>
            </w:r>
          </w:p>
        </w:tc>
        <w:tc>
          <w:tcPr>
            <w:tcW w:w="1647" w:type="dxa"/>
            <w:vMerge w:val="continue"/>
            <w:noWrap w:val="0"/>
            <w:vAlign w:val="center"/>
          </w:tcPr>
          <w:p w14:paraId="0E60B356">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3232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21" w:type="dxa"/>
            <w:noWrap w:val="0"/>
            <w:vAlign w:val="center"/>
          </w:tcPr>
          <w:p w14:paraId="2B4A738E">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w:t>
            </w:r>
          </w:p>
        </w:tc>
        <w:tc>
          <w:tcPr>
            <w:tcW w:w="4340" w:type="dxa"/>
            <w:noWrap w:val="0"/>
            <w:vAlign w:val="center"/>
          </w:tcPr>
          <w:p w14:paraId="22F5AB1D">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行政复议案件/行政诉讼（简易）</w:t>
            </w:r>
          </w:p>
        </w:tc>
        <w:tc>
          <w:tcPr>
            <w:tcW w:w="1646" w:type="dxa"/>
            <w:noWrap w:val="0"/>
            <w:vAlign w:val="center"/>
          </w:tcPr>
          <w:p w14:paraId="3143EB11">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1400</w:t>
            </w:r>
          </w:p>
        </w:tc>
        <w:tc>
          <w:tcPr>
            <w:tcW w:w="1044" w:type="dxa"/>
            <w:noWrap w:val="0"/>
            <w:vAlign w:val="center"/>
          </w:tcPr>
          <w:p w14:paraId="53800EEA">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7411A41B">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3B592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00D50CA3">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15</w:t>
            </w:r>
          </w:p>
        </w:tc>
        <w:tc>
          <w:tcPr>
            <w:tcW w:w="4340" w:type="dxa"/>
            <w:noWrap w:val="0"/>
            <w:vAlign w:val="center"/>
          </w:tcPr>
          <w:p w14:paraId="0EC00FF3">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行政复议案件/行政诉讼（普通）</w:t>
            </w:r>
          </w:p>
        </w:tc>
        <w:tc>
          <w:tcPr>
            <w:tcW w:w="1646" w:type="dxa"/>
            <w:noWrap w:val="0"/>
            <w:vAlign w:val="center"/>
          </w:tcPr>
          <w:p w14:paraId="05122E92">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1800</w:t>
            </w:r>
          </w:p>
        </w:tc>
        <w:tc>
          <w:tcPr>
            <w:tcW w:w="1044" w:type="dxa"/>
            <w:noWrap w:val="0"/>
            <w:vAlign w:val="center"/>
          </w:tcPr>
          <w:p w14:paraId="76BDDC96">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57A49440">
            <w:pPr>
              <w:pageBreakBefore w:val="0"/>
              <w:widowControl w:val="0"/>
              <w:spacing w:line="540" w:lineRule="exact"/>
              <w:jc w:val="center"/>
              <w:rPr>
                <w:rFonts w:hint="eastAsia" w:ascii="宋体" w:hAnsi="宋体" w:eastAsia="宋体" w:cs="宋体"/>
                <w:color w:val="auto"/>
                <w:kern w:val="0"/>
                <w:sz w:val="24"/>
                <w:szCs w:val="24"/>
                <w:vertAlign w:val="baseline"/>
              </w:rPr>
            </w:pPr>
          </w:p>
        </w:tc>
      </w:tr>
      <w:tr w14:paraId="58BE2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185C36BE">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16</w:t>
            </w:r>
          </w:p>
        </w:tc>
        <w:tc>
          <w:tcPr>
            <w:tcW w:w="4340" w:type="dxa"/>
            <w:noWrap w:val="0"/>
            <w:vAlign w:val="center"/>
          </w:tcPr>
          <w:p w14:paraId="217C00E1">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行政复议案件/行政诉讼（重大复杂）</w:t>
            </w:r>
          </w:p>
        </w:tc>
        <w:tc>
          <w:tcPr>
            <w:tcW w:w="1646" w:type="dxa"/>
            <w:noWrap w:val="0"/>
            <w:vAlign w:val="center"/>
          </w:tcPr>
          <w:p w14:paraId="7813F8EA">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2200</w:t>
            </w:r>
          </w:p>
        </w:tc>
        <w:tc>
          <w:tcPr>
            <w:tcW w:w="1044" w:type="dxa"/>
            <w:noWrap w:val="0"/>
            <w:vAlign w:val="center"/>
          </w:tcPr>
          <w:p w14:paraId="00EEBD7E">
            <w:pPr>
              <w:pageBreakBefore w:val="0"/>
              <w:widowControl w:val="0"/>
              <w:spacing w:line="54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元/件</w:t>
            </w:r>
          </w:p>
        </w:tc>
        <w:tc>
          <w:tcPr>
            <w:tcW w:w="1647" w:type="dxa"/>
            <w:vMerge w:val="continue"/>
            <w:noWrap w:val="0"/>
            <w:vAlign w:val="center"/>
          </w:tcPr>
          <w:p w14:paraId="72F3B894">
            <w:pPr>
              <w:pageBreakBefore w:val="0"/>
              <w:widowControl w:val="0"/>
              <w:spacing w:line="540" w:lineRule="exact"/>
              <w:jc w:val="center"/>
              <w:rPr>
                <w:rFonts w:hint="eastAsia" w:ascii="宋体" w:hAnsi="宋体" w:eastAsia="宋体" w:cs="宋体"/>
                <w:color w:val="auto"/>
                <w:kern w:val="0"/>
                <w:sz w:val="24"/>
                <w:szCs w:val="24"/>
                <w:vertAlign w:val="baseline"/>
              </w:rPr>
            </w:pPr>
          </w:p>
        </w:tc>
      </w:tr>
    </w:tbl>
    <w:p w14:paraId="0F6FBC7E">
      <w:pPr>
        <w:widowControl w:val="0"/>
        <w:spacing w:after="120" w:line="360" w:lineRule="auto"/>
        <w:ind w:left="0" w:leftChars="0" w:firstLine="0" w:firstLineChars="0"/>
        <w:jc w:val="both"/>
        <w:rPr>
          <w:rFonts w:hint="default" w:ascii="黑体" w:hAnsi="宋体" w:eastAsia="黑体" w:cs="Times New Roman"/>
          <w:color w:val="auto"/>
          <w:sz w:val="32"/>
          <w:szCs w:val="32"/>
          <w:highlight w:val="none"/>
          <w:lang w:val="en-US" w:eastAsia="zh-CN" w:bidi="ar-SA"/>
        </w:rPr>
      </w:pPr>
    </w:p>
    <w:p w14:paraId="33517ACC">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核算标准：根据入围供应商统一的优惠率报价（例如10%），例如优惠率为10%，成交价格=最高限制单价*（1-10%）计算服务费。（优惠率四舍五入，保留至小数点后2位）；（请充分理解费用核算标准后填报优惠率）</w:t>
      </w:r>
    </w:p>
    <w:p w14:paraId="6A07A18C">
      <w:pPr>
        <w:keepNext w:val="0"/>
        <w:keepLines w:val="0"/>
        <w:widowControl/>
        <w:suppressLineNumbers w:val="0"/>
        <w:spacing w:before="100" w:beforeAutospacing="1" w:after="100" w:afterAutospacing="1"/>
        <w:ind w:left="0" w:firstLine="0"/>
        <w:jc w:val="right"/>
        <w:rPr>
          <w:rFonts w:hint="eastAsia" w:ascii="宋体" w:hAnsi="宋体" w:eastAsia="宋体" w:cs="Arial"/>
          <w:color w:val="auto"/>
          <w:sz w:val="24"/>
          <w:szCs w:val="21"/>
          <w:highlight w:val="none"/>
          <w:lang w:val="en-US" w:eastAsia="zh-CN" w:bidi="ar-SA"/>
        </w:rPr>
      </w:pPr>
      <w:r>
        <w:rPr>
          <w:rFonts w:hint="eastAsia" w:ascii="宋体" w:hAnsi="宋体" w:eastAsia="宋体" w:cs="Arial"/>
          <w:color w:val="auto"/>
          <w:sz w:val="24"/>
          <w:szCs w:val="21"/>
          <w:highlight w:val="none"/>
          <w:lang w:val="en-US" w:eastAsia="zh-CN" w:bidi="ar-SA"/>
        </w:rPr>
        <w:t>（加盖CA电子公章）</w:t>
      </w:r>
    </w:p>
    <w:p w14:paraId="2464CADB">
      <w:pPr>
        <w:keepNext w:val="0"/>
        <w:keepLines w:val="0"/>
        <w:widowControl/>
        <w:suppressLineNumbers w:val="0"/>
        <w:spacing w:before="100" w:beforeAutospacing="1" w:after="100" w:afterAutospacing="1"/>
        <w:ind w:left="0" w:firstLine="0"/>
        <w:jc w:val="righ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lang w:val="en-US" w:eastAsia="zh-CN" w:bidi="ar-SA"/>
        </w:rPr>
        <w:t>日 期：   年   月   日</w:t>
      </w:r>
    </w:p>
    <w:p w14:paraId="17487F39">
      <w:pPr>
        <w:widowControl w:val="0"/>
        <w:spacing w:after="120" w:line="360" w:lineRule="auto"/>
        <w:ind w:left="420" w:firstLine="420"/>
        <w:jc w:val="both"/>
        <w:rPr>
          <w:rFonts w:hint="eastAsia" w:ascii="黑体" w:hAnsi="宋体" w:eastAsia="黑体" w:cs="Times New Roman"/>
          <w:color w:val="auto"/>
          <w:sz w:val="32"/>
          <w:szCs w:val="32"/>
          <w:highlight w:val="none"/>
          <w:lang w:val="en-US" w:eastAsia="zh-CN" w:bidi="ar-SA"/>
        </w:rPr>
      </w:pPr>
    </w:p>
    <w:p w14:paraId="68876B6D">
      <w:pPr>
        <w:numPr>
          <w:ilvl w:val="0"/>
          <w:numId w:val="15"/>
        </w:numPr>
        <w:spacing w:line="460" w:lineRule="exact"/>
        <w:rPr>
          <w:rFonts w:hint="eastAsia" w:ascii="黑体" w:eastAsia="黑体"/>
          <w:color w:val="auto"/>
          <w:sz w:val="32"/>
          <w:szCs w:val="32"/>
          <w:highlight w:val="none"/>
        </w:rPr>
      </w:pPr>
      <w:r>
        <w:rPr>
          <w:rFonts w:hint="eastAsia" w:ascii="黑体" w:eastAsia="黑体"/>
          <w:color w:val="auto"/>
          <w:sz w:val="32"/>
          <w:szCs w:val="32"/>
          <w:highlight w:val="none"/>
        </w:rPr>
        <w:t>南京市政府采购供应商信用记录表暨信用承诺书</w:t>
      </w:r>
    </w:p>
    <w:p w14:paraId="6A67469A">
      <w:pPr>
        <w:spacing w:line="460" w:lineRule="exact"/>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（通过“南京市政府采购供应商诚信档案管理系统”在线打印，供应商盖章和法定代表人签字</w:t>
      </w:r>
      <w:r>
        <w:rPr>
          <w:rFonts w:hint="eastAsia" w:ascii="宋体" w:hAnsi="宋体" w:cs="宋体"/>
          <w:b/>
          <w:bCs/>
          <w:color w:val="FF0000"/>
          <w:sz w:val="24"/>
          <w:szCs w:val="24"/>
          <w:highlight w:val="none"/>
          <w:lang w:val="en-US" w:eastAsia="zh-CN"/>
        </w:rPr>
        <w:t>或盖章</w:t>
      </w:r>
      <w:r>
        <w:rPr>
          <w:rFonts w:hint="eastAsia" w:ascii="宋体" w:hAnsi="宋体" w:eastAsia="宋体" w:cs="宋体"/>
          <w:b/>
          <w:bCs/>
          <w:color w:val="FF0000"/>
          <w:sz w:val="24"/>
          <w:szCs w:val="24"/>
          <w:highlight w:val="none"/>
          <w:lang w:val="en-US" w:eastAsia="zh-CN"/>
        </w:rPr>
        <w:t>后扫描上传）</w:t>
      </w:r>
    </w:p>
    <w:p w14:paraId="4E19AF44">
      <w:pPr>
        <w:spacing w:line="460" w:lineRule="exact"/>
        <w:rPr>
          <w:rFonts w:hint="eastAsia" w:ascii="黑体" w:eastAsia="黑体"/>
          <w:color w:val="auto"/>
          <w:sz w:val="32"/>
          <w:szCs w:val="32"/>
          <w:highlight w:val="none"/>
          <w:lang w:val="en-US" w:eastAsia="zh-CN"/>
        </w:rPr>
      </w:pPr>
    </w:p>
    <w:p w14:paraId="2971E2CF">
      <w:pPr>
        <w:spacing w:line="460" w:lineRule="exact"/>
        <w:rPr>
          <w:rFonts w:hint="eastAsia" w:ascii="黑体" w:eastAsia="黑体"/>
          <w:color w:val="auto"/>
          <w:sz w:val="32"/>
          <w:szCs w:val="32"/>
          <w:highlight w:val="none"/>
          <w:lang w:val="en-US" w:eastAsia="zh-CN"/>
        </w:rPr>
      </w:pPr>
    </w:p>
    <w:p w14:paraId="7FFECFC4">
      <w:pP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lang w:val="en-US" w:eastAsia="zh-CN"/>
        </w:rPr>
        <w:t>六、</w:t>
      </w:r>
      <w:r>
        <w:rPr>
          <w:rFonts w:hint="eastAsia" w:ascii="黑体" w:eastAsia="黑体"/>
          <w:color w:val="auto"/>
          <w:sz w:val="32"/>
          <w:szCs w:val="32"/>
          <w:highlight w:val="none"/>
        </w:rPr>
        <w:t>特定资格要求的证明文件</w:t>
      </w:r>
    </w:p>
    <w:bookmarkEnd w:id="177"/>
    <w:bookmarkEnd w:id="178"/>
    <w:bookmarkEnd w:id="179"/>
    <w:p w14:paraId="794D06B1">
      <w:pPr>
        <w:widowControl w:val="0"/>
        <w:spacing w:line="360" w:lineRule="auto"/>
        <w:ind w:left="0"/>
        <w:jc w:val="both"/>
        <w:rPr>
          <w:rFonts w:hint="eastAsia" w:ascii="宋体" w:hAnsi="宋体" w:eastAsia="宋体" w:cs="宋体"/>
          <w:b/>
          <w:bCs/>
          <w:color w:val="FF0000"/>
          <w:sz w:val="24"/>
          <w:szCs w:val="21"/>
          <w:highlight w:val="none"/>
          <w:lang w:val="zh-CN" w:eastAsia="zh-CN" w:bidi="zh-CN"/>
        </w:rPr>
      </w:pPr>
      <w:bookmarkStart w:id="182" w:name="_Toc120614284"/>
      <w:r>
        <w:rPr>
          <w:rFonts w:hint="eastAsia" w:ascii="宋体" w:hAnsi="宋体" w:eastAsia="宋体" w:cs="宋体"/>
          <w:color w:val="auto"/>
          <w:sz w:val="24"/>
          <w:szCs w:val="21"/>
          <w:highlight w:val="none"/>
          <w:lang w:val="zh-CN" w:eastAsia="zh-CN" w:bidi="zh-CN"/>
        </w:rPr>
        <w:t>依法设立，</w:t>
      </w:r>
      <w:bookmarkEnd w:id="164"/>
      <w:bookmarkEnd w:id="165"/>
      <w:bookmarkEnd w:id="182"/>
      <w:r>
        <w:rPr>
          <w:rFonts w:hint="eastAsia" w:ascii="宋体" w:hAnsi="宋体" w:eastAsia="宋体" w:cs="宋体"/>
          <w:color w:val="auto"/>
          <w:sz w:val="24"/>
          <w:szCs w:val="21"/>
          <w:highlight w:val="none"/>
          <w:lang w:val="zh-CN" w:eastAsia="zh-CN" w:bidi="zh-CN"/>
        </w:rPr>
        <w:t>具有有效期内的律师事务所执业许可证且年度检查考核结果为“合格”或者具有有效期内基层法律服务所执业许可证且年度检查考核结果为“合格”，</w:t>
      </w:r>
      <w:r>
        <w:rPr>
          <w:rFonts w:hint="eastAsia" w:ascii="宋体" w:hAnsi="宋体" w:eastAsia="宋体" w:cs="宋体"/>
          <w:b/>
          <w:bCs/>
          <w:color w:val="FF0000"/>
          <w:sz w:val="24"/>
          <w:szCs w:val="21"/>
          <w:highlight w:val="none"/>
          <w:lang w:val="zh-CN" w:eastAsia="zh-CN" w:bidi="zh-CN"/>
        </w:rPr>
        <w:t>（提供证书复印件并加盖供应商单位公章）</w:t>
      </w:r>
    </w:p>
    <w:p w14:paraId="74F1571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拒绝下述供应商参加本次采购活动：</w:t>
      </w:r>
    </w:p>
    <w:p w14:paraId="55CEB657">
      <w:pPr>
        <w:spacing w:line="360" w:lineRule="auto"/>
        <w:ind w:firstLine="6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1.单位负责人为同一人或者存在直接控股、管理关系的不同供应商，不得参加同一合同项下的政府采购活动；</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提供承诺书并加盖</w:t>
      </w:r>
      <w:r>
        <w:rPr>
          <w:rFonts w:hint="eastAsia" w:ascii="宋体" w:hAnsi="宋体"/>
          <w:b/>
          <w:bCs/>
          <w:color w:val="FF0000"/>
          <w:sz w:val="24"/>
          <w:szCs w:val="24"/>
          <w:highlight w:val="none"/>
          <w:lang w:eastAsia="zh-CN"/>
        </w:rPr>
        <w:t>供应商单位公章）</w:t>
      </w:r>
    </w:p>
    <w:p w14:paraId="6B512032">
      <w:pPr>
        <w:spacing w:line="360" w:lineRule="auto"/>
        <w:ind w:firstLine="600"/>
        <w:rPr>
          <w:rFonts w:hint="eastAsia" w:ascii="宋体" w:hAnsi="宋体"/>
          <w:b/>
          <w:bCs/>
          <w:color w:val="FF0000"/>
          <w:sz w:val="24"/>
          <w:szCs w:val="24"/>
          <w:highlight w:val="none"/>
        </w:rPr>
      </w:pPr>
      <w:r>
        <w:rPr>
          <w:rFonts w:hint="eastAsia" w:ascii="宋体" w:hAnsi="宋体"/>
          <w:color w:val="auto"/>
          <w:sz w:val="24"/>
          <w:szCs w:val="24"/>
          <w:highlight w:val="none"/>
        </w:rPr>
        <w:t>2.为采购项目提供整体设计、规范编制或者项目管理、监理、检测等服务的供应商，不得参加本项目的采购活动；</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提供承诺书并加盖</w:t>
      </w:r>
      <w:r>
        <w:rPr>
          <w:rFonts w:hint="eastAsia" w:ascii="宋体" w:hAnsi="宋体"/>
          <w:b/>
          <w:bCs/>
          <w:color w:val="FF0000"/>
          <w:sz w:val="24"/>
          <w:szCs w:val="24"/>
          <w:highlight w:val="none"/>
          <w:lang w:eastAsia="zh-CN"/>
        </w:rPr>
        <w:t>供应商单位公章）</w:t>
      </w:r>
    </w:p>
    <w:p w14:paraId="5A276B37">
      <w:pPr>
        <w:spacing w:line="360" w:lineRule="auto"/>
        <w:ind w:firstLine="6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3.供应商被“信用中国”网站（www.creditchina.gov.cn）、“中国政府采购网”(www.ccgp.gov.cn)列入失信被执行人、重大税收违法案件当事人名单、政府采购严重违法失信行为记录名单；</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lang w:val="en-US" w:eastAsia="zh-CN"/>
        </w:rPr>
        <w:t>提供</w:t>
      </w:r>
      <w:r>
        <w:rPr>
          <w:rFonts w:hint="eastAsia" w:ascii="宋体" w:hAnsi="宋体"/>
          <w:b/>
          <w:bCs/>
          <w:color w:val="FF0000"/>
          <w:sz w:val="24"/>
          <w:szCs w:val="24"/>
          <w:highlight w:val="none"/>
        </w:rPr>
        <w:t>“信用中国”网站</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rPr>
        <w:t>“中国政府采购网”</w:t>
      </w:r>
      <w:r>
        <w:rPr>
          <w:rFonts w:hint="eastAsia" w:ascii="宋体" w:hAnsi="宋体"/>
          <w:b/>
          <w:bCs/>
          <w:color w:val="FF0000"/>
          <w:sz w:val="24"/>
          <w:szCs w:val="24"/>
          <w:highlight w:val="none"/>
          <w:lang w:val="en-US" w:eastAsia="zh-CN"/>
        </w:rPr>
        <w:t>截图加盖</w:t>
      </w:r>
      <w:r>
        <w:rPr>
          <w:rFonts w:hint="eastAsia" w:ascii="宋体" w:hAnsi="宋体"/>
          <w:b/>
          <w:bCs/>
          <w:color w:val="FF0000"/>
          <w:sz w:val="24"/>
          <w:szCs w:val="24"/>
          <w:highlight w:val="none"/>
          <w:lang w:eastAsia="zh-CN"/>
        </w:rPr>
        <w:t>供应商单位公章）</w:t>
      </w:r>
    </w:p>
    <w:p w14:paraId="1075BAFB">
      <w:pPr>
        <w:widowControl w:val="0"/>
        <w:spacing w:line="360" w:lineRule="auto"/>
        <w:ind w:left="0"/>
        <w:jc w:val="both"/>
        <w:rPr>
          <w:rFonts w:hint="eastAsia" w:ascii="宋体" w:hAnsi="宋体" w:eastAsia="宋体" w:cs="宋体"/>
          <w:color w:val="auto"/>
          <w:sz w:val="24"/>
          <w:szCs w:val="21"/>
          <w:highlight w:val="none"/>
          <w:lang w:val="en-US" w:eastAsia="zh-CN" w:bidi="zh-CN"/>
        </w:rPr>
      </w:pPr>
    </w:p>
    <w:p w14:paraId="0339A68B">
      <w:pPr>
        <w:widowControl w:val="0"/>
        <w:ind w:left="0"/>
        <w:jc w:val="both"/>
        <w:rPr>
          <w:rFonts w:hint="eastAsia" w:ascii="黑体" w:hAnsi="Times New Roman" w:eastAsia="黑体" w:cs="Times New Roman"/>
          <w:color w:val="auto"/>
          <w:sz w:val="32"/>
          <w:szCs w:val="32"/>
          <w:highlight w:val="none"/>
          <w:lang w:val="en-US" w:eastAsia="zh-CN" w:bidi="ar-SA"/>
        </w:rPr>
      </w:pPr>
    </w:p>
    <w:p w14:paraId="48526CF1">
      <w:pPr>
        <w:widowControl w:val="0"/>
        <w:spacing w:line="360" w:lineRule="auto"/>
        <w:ind w:left="0"/>
        <w:jc w:val="both"/>
        <w:rPr>
          <w:rFonts w:hint="eastAsia" w:ascii="黑体" w:hAnsi="Times New Roman" w:eastAsia="黑体" w:cs="Times New Roman"/>
          <w:color w:val="auto"/>
          <w:sz w:val="32"/>
          <w:szCs w:val="32"/>
          <w:highlight w:val="none"/>
          <w:lang w:val="en-US" w:eastAsia="zh-CN" w:bidi="ar-SA"/>
        </w:rPr>
      </w:pPr>
    </w:p>
    <w:p w14:paraId="5C08CCCF">
      <w:pPr>
        <w:widowControl w:val="0"/>
        <w:spacing w:line="360" w:lineRule="auto"/>
        <w:ind w:left="0"/>
        <w:jc w:val="both"/>
        <w:rPr>
          <w:rFonts w:hint="default" w:ascii="黑体" w:hAnsi="Times New Roman" w:eastAsia="黑体" w:cs="Times New Roman"/>
          <w:color w:val="auto"/>
          <w:sz w:val="32"/>
          <w:szCs w:val="32"/>
          <w:highlight w:val="none"/>
          <w:lang w:val="en-US" w:eastAsia="zh-CN" w:bidi="ar-SA"/>
        </w:rPr>
      </w:pPr>
      <w:r>
        <w:rPr>
          <w:rFonts w:hint="eastAsia" w:ascii="黑体" w:hAnsi="Times New Roman" w:eastAsia="黑体" w:cs="Times New Roman"/>
          <w:color w:val="auto"/>
          <w:sz w:val="32"/>
          <w:szCs w:val="32"/>
          <w:highlight w:val="none"/>
          <w:lang w:val="en-US" w:eastAsia="zh-CN" w:bidi="ar-SA"/>
        </w:rPr>
        <w:t>七、实质性条款证明材料</w:t>
      </w:r>
    </w:p>
    <w:p w14:paraId="72566CE2">
      <w:pPr>
        <w:keepNext w:val="0"/>
        <w:keepLines w:val="0"/>
        <w:pageBreakBefore w:val="0"/>
        <w:widowControl w:val="0"/>
        <w:numPr>
          <w:ilvl w:val="0"/>
          <w:numId w:val="0"/>
        </w:numPr>
        <w:kinsoku/>
        <w:wordWrap/>
        <w:overflowPunct/>
        <w:topLinePunct w:val="0"/>
        <w:autoSpaceDE/>
        <w:autoSpaceDN/>
        <w:bidi w:val="0"/>
        <w:adjustRightInd/>
        <w:snapToGrid/>
        <w:spacing w:after="0" w:line="540" w:lineRule="exact"/>
        <w:ind w:firstLine="240" w:firstLineChars="1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lang w:val="en-US" w:eastAsia="zh-CN" w:bidi="ar-SA"/>
        </w:rPr>
        <w:t>*1.1法律服务能力证明：供应商需提供至少2个，</w:t>
      </w:r>
      <w:r>
        <w:rPr>
          <w:rFonts w:hint="eastAsia" w:ascii="宋体" w:hAnsi="宋体" w:eastAsia="宋体" w:cs="宋体"/>
          <w:color w:val="auto"/>
          <w:sz w:val="24"/>
          <w:szCs w:val="24"/>
          <w:highlight w:val="none"/>
          <w:lang w:val="en-US" w:eastAsia="zh-CN" w:bidi="ar-SA"/>
        </w:rPr>
        <w:t>自2023年1月1日（含）以来，承担的法律援助公益类项目、办理的法律援助案件或行政复议或行政诉讼案件。（</w:t>
      </w:r>
      <w:r>
        <w:rPr>
          <w:rFonts w:hint="eastAsia" w:ascii="宋体" w:hAnsi="宋体" w:eastAsia="宋体" w:cs="Times New Roman"/>
          <w:b/>
          <w:bCs/>
          <w:color w:val="FF0000"/>
          <w:sz w:val="24"/>
          <w:szCs w:val="24"/>
          <w:highlight w:val="none"/>
          <w:lang w:val="en-US" w:eastAsia="zh-CN" w:bidi="ar-SA"/>
        </w:rPr>
        <w:t>提供项目合同（案件法律文书）或任务书（如无，也可提供相关主体出具的证明）或表彰牌照片或网络截图或行政复议决定书或人民法院裁判文书以及无否定性评价承诺书并加盖供应商单位公章，原件备查。所提供的证明材料需能体现相关要求，否则视为未提供），不接受负偏离，否则投标无效</w:t>
      </w:r>
      <w:r>
        <w:rPr>
          <w:rFonts w:hint="eastAsia" w:ascii="宋体" w:hAnsi="宋体" w:eastAsia="宋体" w:cs="宋体"/>
          <w:color w:val="auto"/>
          <w:sz w:val="24"/>
          <w:szCs w:val="24"/>
          <w:highlight w:val="none"/>
          <w:lang w:val="en-US" w:eastAsia="zh-CN" w:bidi="ar-SA"/>
        </w:rPr>
        <w:t>；</w:t>
      </w:r>
    </w:p>
    <w:p w14:paraId="4F58CFD9">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*1.2服务承诺：采购人提出需求后，承诺24小时内响应，并能及时增派律师（基层法律服务工作者）为采购人提供服务；（</w:t>
      </w:r>
      <w:r>
        <w:rPr>
          <w:rFonts w:hint="eastAsia" w:ascii="宋体" w:hAnsi="宋体" w:eastAsia="宋体" w:cs="Times New Roman"/>
          <w:b/>
          <w:bCs/>
          <w:color w:val="FF0000"/>
          <w:kern w:val="0"/>
          <w:sz w:val="24"/>
          <w:szCs w:val="24"/>
          <w:highlight w:val="none"/>
          <w:lang w:val="en-US" w:eastAsia="zh-CN"/>
        </w:rPr>
        <w:t>提供承诺书加盖公章，格式自拟。不接受负偏离，否则投标无效</w:t>
      </w:r>
      <w:r>
        <w:rPr>
          <w:rFonts w:hint="eastAsia" w:ascii="宋体" w:hAnsi="宋体" w:eastAsia="宋体" w:cs="宋体"/>
          <w:color w:val="auto"/>
          <w:kern w:val="0"/>
          <w:sz w:val="24"/>
          <w:szCs w:val="24"/>
          <w:lang w:val="en-US" w:eastAsia="zh-CN"/>
        </w:rPr>
        <w:t>）；</w:t>
      </w:r>
    </w:p>
    <w:p w14:paraId="54D9914F">
      <w:pPr>
        <w:pageBreakBefore w:val="0"/>
        <w:widowControl w:val="0"/>
        <w:spacing w:line="540" w:lineRule="exact"/>
        <w:ind w:firstLine="42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eastAsia="zh-CN"/>
        </w:rPr>
        <w:t>、项目负责人：响应供应商拟投入本项目的项目负责人具有法学专业本科及以上学历，且执业年限满5年以上。（</w:t>
      </w:r>
      <w:r>
        <w:rPr>
          <w:rFonts w:hint="eastAsia" w:ascii="宋体" w:hAnsi="宋体" w:eastAsia="宋体" w:cs="Times New Roman"/>
          <w:b/>
          <w:bCs/>
          <w:color w:val="FF0000"/>
          <w:kern w:val="0"/>
          <w:sz w:val="24"/>
          <w:szCs w:val="24"/>
          <w:highlight w:val="none"/>
          <w:lang w:val="en-US" w:eastAsia="zh-CN"/>
        </w:rPr>
        <w:t>提供法律执业资格证书（或者执业年限证明）、毕业证书扫描件加盖响应供应商公章），不接受负偏离，否则投标无效</w:t>
      </w:r>
      <w:r>
        <w:rPr>
          <w:rFonts w:hint="eastAsia" w:ascii="宋体" w:hAnsi="宋体" w:eastAsia="宋体" w:cs="宋体"/>
          <w:color w:val="auto"/>
          <w:kern w:val="0"/>
          <w:sz w:val="24"/>
          <w:szCs w:val="24"/>
          <w:lang w:val="en-US" w:eastAsia="zh-CN"/>
        </w:rPr>
        <w:t>；</w:t>
      </w:r>
    </w:p>
    <w:p w14:paraId="76DF587A">
      <w:pPr>
        <w:widowControl w:val="0"/>
        <w:numPr>
          <w:ilvl w:val="0"/>
          <w:numId w:val="0"/>
        </w:numPr>
        <w:spacing w:after="120" w:line="360" w:lineRule="auto"/>
        <w:ind w:left="420" w:leftChars="0" w:firstLine="420"/>
        <w:jc w:val="both"/>
        <w:rPr>
          <w:rFonts w:hint="default" w:ascii="宋体" w:hAnsi="宋体" w:eastAsia="宋体" w:cs="宋体"/>
          <w:b w:val="0"/>
          <w:bCs w:val="0"/>
          <w:color w:val="auto"/>
          <w:sz w:val="24"/>
          <w:szCs w:val="24"/>
          <w:highlight w:val="none"/>
          <w:lang w:val="en-US" w:eastAsia="zh-CN" w:bidi="ar-SA"/>
        </w:rPr>
      </w:pPr>
    </w:p>
    <w:p w14:paraId="581941A7">
      <w:pPr>
        <w:widowControl w:val="0"/>
        <w:numPr>
          <w:ilvl w:val="0"/>
          <w:numId w:val="0"/>
        </w:numPr>
        <w:spacing w:after="120" w:line="360" w:lineRule="auto"/>
        <w:ind w:left="420" w:leftChars="0" w:firstLine="420"/>
        <w:jc w:val="both"/>
        <w:rPr>
          <w:rFonts w:hint="default" w:ascii="宋体" w:hAnsi="宋体" w:eastAsia="宋体" w:cs="宋体"/>
          <w:b w:val="0"/>
          <w:bCs w:val="0"/>
          <w:color w:val="auto"/>
          <w:sz w:val="24"/>
          <w:szCs w:val="24"/>
          <w:highlight w:val="none"/>
          <w:lang w:val="en-US" w:eastAsia="zh-CN" w:bidi="ar-SA"/>
        </w:rPr>
      </w:pPr>
    </w:p>
    <w:p w14:paraId="71B9B4C1"/>
    <w:sectPr>
      <w:headerReference r:id="rId6" w:type="default"/>
      <w:footerReference r:id="rId7" w:type="default"/>
      <w:pgSz w:w="11906" w:h="16838"/>
      <w:pgMar w:top="1418" w:right="1081" w:bottom="1418" w:left="1365" w:header="851" w:footer="907"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方正仿宋简体">
    <w:altName w:val="Arial Unicode MS"/>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C94FF">
    <w:pPr>
      <w:widowControl w:val="0"/>
      <w:snapToGrid w:val="0"/>
      <w:jc w:val="lef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22E3A1">
                          <w:pPr>
                            <w:widowControl w:val="0"/>
                            <w:tabs>
                              <w:tab w:val="center" w:pos="7143"/>
                              <w:tab w:val="right" w:pos="14287"/>
                            </w:tabs>
                            <w:spacing w:after="0" w:line="240" w:lineRule="auto"/>
                            <w:jc w:val="both"/>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422E3A1">
                    <w:pPr>
                      <w:widowControl w:val="0"/>
                      <w:tabs>
                        <w:tab w:val="center" w:pos="7143"/>
                        <w:tab w:val="right" w:pos="14287"/>
                      </w:tabs>
                      <w:spacing w:after="0" w:line="240" w:lineRule="auto"/>
                      <w:jc w:val="both"/>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1</w:t>
                    </w:r>
                    <w:r>
                      <w:rPr>
                        <w:rFonts w:hint="default" w:ascii="Times New Roman" w:hAnsi="Times New Roman" w:eastAsia="宋体" w:cs="Times New Roman"/>
                        <w:sz w:val="21"/>
                        <w:szCs w:val="21"/>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6DD10">
    <w:pPr>
      <w:widowControl w:val="0"/>
      <w:tabs>
        <w:tab w:val="center" w:pos="4153"/>
        <w:tab w:val="right" w:pos="8306"/>
      </w:tabs>
      <w:jc w:val="center"/>
      <w:rPr>
        <w:rFonts w:hint="eastAsia" w:ascii="Times New Roman" w:hAnsi="Times New Roman" w:eastAsia="宋体" w:cs="Times New Roman"/>
        <w:b/>
        <w:i/>
        <w:sz w:val="18"/>
        <w:szCs w:val="18"/>
        <w:lang w:val="en-US" w:eastAsia="zh-CN" w:bidi="ar-SA"/>
      </w:rPr>
    </w:pPr>
    <w:r>
      <w:rPr>
        <w:rFonts w:hint="default" w:ascii="Times New Roman" w:hAnsi="Times New Roman" w:eastAsia="宋体" w:cs="Times New Roman"/>
        <w:sz w:val="20"/>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D5BC63">
                          <w:pPr>
                            <w:widowControl w:val="0"/>
                            <w:tabs>
                              <w:tab w:val="center" w:pos="7143"/>
                              <w:tab w:val="right" w:pos="14287"/>
                            </w:tabs>
                            <w:spacing w:after="0" w:line="240" w:lineRule="auto"/>
                            <w:jc w:val="both"/>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36</w:t>
                          </w:r>
                          <w:r>
                            <w:rPr>
                              <w:rFonts w:hint="default" w:ascii="Times New Roman" w:hAnsi="Times New Roman" w:eastAsia="宋体" w:cs="Times New Roman"/>
                              <w:sz w:val="21"/>
                              <w:szCs w:val="21"/>
                              <w:lang w:val="en-US" w:eastAsia="zh-CN" w:bidi="ar-SA"/>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14:paraId="43D5BC63">
                    <w:pPr>
                      <w:widowControl w:val="0"/>
                      <w:tabs>
                        <w:tab w:val="center" w:pos="7143"/>
                        <w:tab w:val="right" w:pos="14287"/>
                      </w:tabs>
                      <w:spacing w:after="0" w:line="240" w:lineRule="auto"/>
                      <w:jc w:val="both"/>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36</w:t>
                    </w:r>
                    <w:r>
                      <w:rPr>
                        <w:rFonts w:hint="default" w:ascii="Times New Roman" w:hAnsi="Times New Roman" w:eastAsia="宋体" w:cs="Times New Roman"/>
                        <w:sz w:val="21"/>
                        <w:szCs w:val="21"/>
                        <w:lang w:val="en-US" w:eastAsia="zh-CN" w:bidi="ar-SA"/>
                      </w:rPr>
                      <w:fldChar w:fldCharType="end"/>
                    </w:r>
                  </w:p>
                </w:txbxContent>
              </v:textbox>
            </v:shape>
          </w:pict>
        </mc:Fallback>
      </mc:AlternateContent>
    </w:r>
    <w:r>
      <w:rPr>
        <w:rFonts w:hint="default" w:ascii="Times New Roman" w:hAnsi="Times New Roman" w:eastAsia="宋体" w:cs="Times New Roman"/>
        <w:b/>
        <w:i/>
        <w:sz w:val="20"/>
        <w:szCs w:val="18"/>
        <w:lang w:val="en-US" w:eastAsia="zh-CN" w:bidi="ar-S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EC405">
    <w:pPr>
      <w:pStyle w:val="24"/>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01ADA0">
                          <w:pPr>
                            <w:pStyle w:val="6"/>
                          </w:pPr>
                          <w:r>
                            <w:fldChar w:fldCharType="begin"/>
                          </w:r>
                          <w:r>
                            <w:instrText xml:space="preserve"> PAGE  \* MERGEFORMAT </w:instrText>
                          </w:r>
                          <w:r>
                            <w:fldChar w:fldCharType="separate"/>
                          </w:r>
                          <w:r>
                            <w:t>36</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2B01ADA0">
                    <w:pPr>
                      <w:pStyle w:val="6"/>
                    </w:pPr>
                    <w:r>
                      <w:fldChar w:fldCharType="begin"/>
                    </w:r>
                    <w:r>
                      <w:instrText xml:space="preserve"> PAGE  \* MERGEFORMAT </w:instrText>
                    </w:r>
                    <w:r>
                      <w:fldChar w:fldCharType="separate"/>
                    </w:r>
                    <w:r>
                      <w:t>36</w:t>
                    </w:r>
                    <w:r>
                      <w:fldChar w:fldCharType="end"/>
                    </w: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5E75C">
    <w:pPr>
      <w:widowControl w:val="0"/>
      <w:pBdr>
        <w:bottom w:val="none" w:color="000000" w:sz="0" w:space="0"/>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E1A15">
    <w:pPr>
      <w:pStyle w:val="2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BE100F0"/>
    <w:multiLevelType w:val="singleLevel"/>
    <w:tmpl w:val="CBE100F0"/>
    <w:lvl w:ilvl="0" w:tentative="0">
      <w:start w:val="1"/>
      <w:numFmt w:val="decimal"/>
      <w:suff w:val="nothing"/>
      <w:lvlText w:val="%1、"/>
      <w:lvlJc w:val="left"/>
    </w:lvl>
  </w:abstractNum>
  <w:abstractNum w:abstractNumId="4">
    <w:nsid w:val="E48C9611"/>
    <w:multiLevelType w:val="singleLevel"/>
    <w:tmpl w:val="E48C9611"/>
    <w:lvl w:ilvl="0" w:tentative="0">
      <w:start w:val="5"/>
      <w:numFmt w:val="chineseCounting"/>
      <w:suff w:val="nothing"/>
      <w:lvlText w:val="%1、"/>
      <w:lvlJc w:val="left"/>
      <w:rPr>
        <w:rFonts w:hint="eastAsia"/>
      </w:rPr>
    </w:lvl>
  </w:abstractNum>
  <w:abstractNum w:abstractNumId="5">
    <w:nsid w:val="F13EC420"/>
    <w:multiLevelType w:val="singleLevel"/>
    <w:tmpl w:val="F13EC420"/>
    <w:lvl w:ilvl="0" w:tentative="0">
      <w:start w:val="1"/>
      <w:numFmt w:val="decimal"/>
      <w:suff w:val="nothing"/>
      <w:lvlText w:val="%1、"/>
      <w:lvlJc w:val="left"/>
    </w:lvl>
  </w:abstractNum>
  <w:abstractNum w:abstractNumId="6">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8431FE0"/>
    <w:multiLevelType w:val="singleLevel"/>
    <w:tmpl w:val="08431FE0"/>
    <w:lvl w:ilvl="0" w:tentative="0">
      <w:start w:val="3"/>
      <w:numFmt w:val="decimal"/>
      <w:lvlText w:val="%1."/>
      <w:lvlJc w:val="left"/>
      <w:pPr>
        <w:tabs>
          <w:tab w:val="left" w:pos="312"/>
        </w:tabs>
      </w:pPr>
    </w:lvl>
  </w:abstractNum>
  <w:abstractNum w:abstractNumId="8">
    <w:nsid w:val="0A728DE7"/>
    <w:multiLevelType w:val="singleLevel"/>
    <w:tmpl w:val="0A728DE7"/>
    <w:lvl w:ilvl="0" w:tentative="0">
      <w:start w:val="1"/>
      <w:numFmt w:val="decimal"/>
      <w:suff w:val="nothing"/>
      <w:lvlText w:val="%1、"/>
      <w:lvlJc w:val="left"/>
    </w:lvl>
  </w:abstractNum>
  <w:abstractNum w:abstractNumId="9">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B2313D5"/>
    <w:multiLevelType w:val="singleLevel"/>
    <w:tmpl w:val="5B2313D5"/>
    <w:lvl w:ilvl="0" w:tentative="0">
      <w:start w:val="1"/>
      <w:numFmt w:val="decimal"/>
      <w:suff w:val="nothing"/>
      <w:lvlText w:val="%1、"/>
      <w:lvlJc w:val="left"/>
    </w:lvl>
  </w:abstractNum>
  <w:abstractNum w:abstractNumId="11">
    <w:nsid w:val="6BCC0A43"/>
    <w:multiLevelType w:val="singleLevel"/>
    <w:tmpl w:val="6BCC0A43"/>
    <w:lvl w:ilvl="0" w:tentative="0">
      <w:start w:val="1"/>
      <w:numFmt w:val="decimal"/>
      <w:suff w:val="nothing"/>
      <w:lvlText w:val="%1、"/>
      <w:lvlJc w:val="left"/>
    </w:lvl>
  </w:abstractNum>
  <w:abstractNum w:abstractNumId="12">
    <w:nsid w:val="6F2D1298"/>
    <w:multiLevelType w:val="singleLevel"/>
    <w:tmpl w:val="6F2D1298"/>
    <w:lvl w:ilvl="0" w:tentative="0">
      <w:start w:val="6"/>
      <w:numFmt w:val="chineseCounting"/>
      <w:suff w:val="nothing"/>
      <w:lvlText w:val="%1、"/>
      <w:lvlJc w:val="left"/>
      <w:rPr>
        <w:rFonts w:hint="eastAsia"/>
      </w:rPr>
    </w:lvl>
  </w:abstractNum>
  <w:abstractNum w:abstractNumId="13">
    <w:nsid w:val="72183CF9"/>
    <w:multiLevelType w:val="multilevel"/>
    <w:tmpl w:val="72183CF9"/>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51F4D7C"/>
    <w:multiLevelType w:val="multilevel"/>
    <w:tmpl w:val="751F4D7C"/>
    <w:lvl w:ilvl="0" w:tentative="0">
      <w:start w:val="1"/>
      <w:numFmt w:val="decimal"/>
      <w:suff w:val="nothing"/>
      <w:lvlText w:val="%1、"/>
      <w:lvlJc w:val="left"/>
      <w:pPr>
        <w:ind w:left="0" w:leftChars="0" w:firstLine="0" w:firstLineChars="0"/>
      </w:pPr>
      <w:rPr>
        <w:rFonts w:hint="default"/>
      </w:rPr>
    </w:lvl>
    <w:lvl w:ilvl="1" w:tentative="0">
      <w:start w:val="1"/>
      <w:numFmt w:val="decimal"/>
      <w:suff w:val="nothing"/>
      <w:lvlText w:val="%1.%2、"/>
      <w:lvlJc w:val="left"/>
      <w:pPr>
        <w:ind w:left="0" w:leftChars="0" w:firstLine="0" w:firstLineChars="0"/>
      </w:pPr>
      <w:rPr>
        <w:rFonts w:hint="default"/>
      </w:rPr>
    </w:lvl>
    <w:lvl w:ilvl="2" w:tentative="0">
      <w:start w:val="1"/>
      <w:numFmt w:val="decimal"/>
      <w:suff w:val="nothing"/>
      <w:lvlText w:val="%1.%2.%3、"/>
      <w:lvlJc w:val="left"/>
      <w:pPr>
        <w:ind w:left="0" w:leftChars="0" w:firstLine="0" w:firstLineChars="0"/>
      </w:pPr>
      <w:rPr>
        <w:rFonts w:hint="default"/>
      </w:rPr>
    </w:lvl>
    <w:lvl w:ilvl="3" w:tentative="0">
      <w:start w:val="1"/>
      <w:numFmt w:val="decimal"/>
      <w:suff w:val="nothing"/>
      <w:lvlText w:val="%1.%2.%3.%4、"/>
      <w:lvlJc w:val="left"/>
      <w:pPr>
        <w:ind w:left="0" w:leftChars="0" w:firstLine="0" w:firstLineChars="0"/>
      </w:pPr>
      <w:rPr>
        <w:rFonts w:hint="default"/>
      </w:rPr>
    </w:lvl>
    <w:lvl w:ilvl="4" w:tentative="0">
      <w:start w:val="1"/>
      <w:numFmt w:val="decimal"/>
      <w:suff w:val="nothing"/>
      <w:lvlText w:val="%1.%2.%3.%4.%5、"/>
      <w:lvlJc w:val="left"/>
      <w:pPr>
        <w:ind w:left="0" w:leftChars="0" w:firstLine="0" w:firstLineChars="0"/>
      </w:pPr>
      <w:rPr>
        <w:rFonts w:hint="default"/>
      </w:rPr>
    </w:lvl>
    <w:lvl w:ilvl="5" w:tentative="0">
      <w:start w:val="1"/>
      <w:numFmt w:val="decimal"/>
      <w:suff w:val="nothing"/>
      <w:lvlText w:val="%1.%2.%3.%4.%5.%6、"/>
      <w:lvlJc w:val="left"/>
      <w:pPr>
        <w:ind w:left="0" w:leftChars="0" w:firstLine="0" w:firstLineChars="0"/>
      </w:pPr>
      <w:rPr>
        <w:rFonts w:hint="default"/>
      </w:rPr>
    </w:lvl>
    <w:lvl w:ilvl="6" w:tentative="0">
      <w:start w:val="1"/>
      <w:numFmt w:val="decimal"/>
      <w:suff w:val="nothing"/>
      <w:lvlText w:val="%1.%2.%3.%4.%5.%6.%7、"/>
      <w:lvlJc w:val="left"/>
      <w:pPr>
        <w:ind w:left="0" w:leftChars="0" w:firstLine="0" w:firstLineChars="0"/>
      </w:pPr>
      <w:rPr>
        <w:rFonts w:hint="default"/>
      </w:rPr>
    </w:lvl>
    <w:lvl w:ilvl="7" w:tentative="0">
      <w:start w:val="1"/>
      <w:numFmt w:val="decimal"/>
      <w:suff w:val="nothing"/>
      <w:lvlText w:val="%1.%2.%3.%4.%5.%6.%7.%8、"/>
      <w:lvlJc w:val="left"/>
      <w:pPr>
        <w:ind w:left="0" w:leftChars="0" w:firstLine="0" w:firstLineChars="0"/>
      </w:pPr>
      <w:rPr>
        <w:rFonts w:hint="default"/>
      </w:rPr>
    </w:lvl>
    <w:lvl w:ilvl="8" w:tentative="0">
      <w:start w:val="1"/>
      <w:numFmt w:val="decimal"/>
      <w:suff w:val="nothing"/>
      <w:lvlText w:val="%1.%2.%3.%4.%5.%6.%7.%8.%9、"/>
      <w:lvlJc w:val="left"/>
      <w:pPr>
        <w:ind w:left="0" w:leftChars="0" w:firstLine="0" w:firstLineChars="0"/>
      </w:pPr>
      <w:rPr>
        <w:rFonts w:hint="default"/>
      </w:rPr>
    </w:lvl>
  </w:abstractNum>
  <w:num w:numId="1">
    <w:abstractNumId w:val="2"/>
  </w:num>
  <w:num w:numId="2">
    <w:abstractNumId w:val="1"/>
  </w:num>
  <w:num w:numId="3">
    <w:abstractNumId w:val="12"/>
  </w:num>
  <w:num w:numId="4">
    <w:abstractNumId w:val="5"/>
  </w:num>
  <w:num w:numId="5">
    <w:abstractNumId w:val="7"/>
  </w:num>
  <w:num w:numId="6">
    <w:abstractNumId w:val="13"/>
  </w:num>
  <w:num w:numId="7">
    <w:abstractNumId w:val="6"/>
  </w:num>
  <w:num w:numId="8">
    <w:abstractNumId w:val="0"/>
  </w:num>
  <w:num w:numId="9">
    <w:abstractNumId w:val="9"/>
  </w:num>
  <w:num w:numId="10">
    <w:abstractNumId w:val="3"/>
  </w:num>
  <w:num w:numId="11">
    <w:abstractNumId w:val="14"/>
  </w:num>
  <w:num w:numId="12">
    <w:abstractNumId w:val="10"/>
  </w:num>
  <w:num w:numId="13">
    <w:abstractNumId w:val="11"/>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mYjM1ZTViNGQ3MTliNjQxNmJiZTk0ZmM1NjlkODMifQ=="/>
  </w:docVars>
  <w:rsids>
    <w:rsidRoot w:val="0C5A1F43"/>
    <w:rsid w:val="0C5A1F43"/>
    <w:rsid w:val="1ADE3924"/>
    <w:rsid w:val="68040F41"/>
    <w:rsid w:val="6B097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customStyle="1" w:styleId="2">
    <w:name w:val="正文首行缩进 21"/>
    <w:basedOn w:val="3"/>
    <w:qFormat/>
    <w:uiPriority w:val="0"/>
    <w:pPr>
      <w:spacing w:line="360" w:lineRule="auto"/>
      <w:ind w:firstLine="420"/>
    </w:pPr>
    <w:rPr>
      <w:rFonts w:ascii="宋体" w:hAnsi="宋体" w:eastAsia="宋体"/>
      <w:sz w:val="21"/>
      <w:szCs w:val="20"/>
    </w:rPr>
  </w:style>
  <w:style w:type="paragraph" w:customStyle="1" w:styleId="3">
    <w:name w:val="正文文本缩进11"/>
    <w:basedOn w:val="1"/>
    <w:next w:val="1"/>
    <w:qFormat/>
    <w:uiPriority w:val="99"/>
    <w:pPr>
      <w:spacing w:after="120"/>
      <w:ind w:left="420"/>
    </w:pPr>
    <w:rPr>
      <w:sz w:val="24"/>
    </w:rPr>
  </w:style>
  <w:style w:type="paragraph" w:styleId="5">
    <w:name w:val="Body Text"/>
    <w:basedOn w:val="1"/>
    <w:next w:val="1"/>
    <w:unhideWhenUsed/>
    <w:qFormat/>
    <w:uiPriority w:val="99"/>
    <w:pPr>
      <w:spacing w:after="120"/>
    </w:p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8">
    <w:name w:val="Body Text First Indent"/>
    <w:basedOn w:val="5"/>
    <w:unhideWhenUsed/>
    <w:qFormat/>
    <w:uiPriority w:val="0"/>
    <w:pPr>
      <w:ind w:firstLine="420"/>
    </w:pPr>
    <w:rPr>
      <w:rFonts w:eastAsia="宋体"/>
    </w:rPr>
  </w:style>
  <w:style w:type="table" w:styleId="1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2">
    <w:name w:val="普通正文"/>
    <w:basedOn w:val="1"/>
    <w:qFormat/>
    <w:uiPriority w:val="0"/>
    <w:pPr>
      <w:spacing w:before="120" w:after="120" w:line="360" w:lineRule="auto"/>
      <w:ind w:firstLine="480"/>
      <w:jc w:val="left"/>
    </w:pPr>
    <w:rPr>
      <w:rFonts w:ascii="Arial" w:hAnsi="Arial"/>
      <w:sz w:val="24"/>
      <w:szCs w:val="24"/>
      <w:lang w:val="en-US" w:eastAsia="en-US"/>
    </w:rPr>
  </w:style>
  <w:style w:type="paragraph" w:customStyle="1" w:styleId="13">
    <w:name w:val="标题 11"/>
    <w:basedOn w:val="1"/>
    <w:next w:val="1"/>
    <w:qFormat/>
    <w:uiPriority w:val="0"/>
    <w:pPr>
      <w:keepNext/>
      <w:jc w:val="center"/>
      <w:outlineLvl w:val="0"/>
    </w:pPr>
    <w:rPr>
      <w:rFonts w:ascii="楷体_GB2312" w:eastAsia="楷体_GB2312"/>
      <w:sz w:val="28"/>
      <w:szCs w:val="28"/>
    </w:rPr>
  </w:style>
  <w:style w:type="paragraph" w:customStyle="1" w:styleId="14">
    <w:name w:val="标题 31"/>
    <w:basedOn w:val="1"/>
    <w:next w:val="15"/>
    <w:qFormat/>
    <w:uiPriority w:val="0"/>
    <w:pPr>
      <w:keepNext/>
      <w:keepLines/>
      <w:spacing w:before="260" w:after="260" w:line="416" w:lineRule="auto"/>
      <w:outlineLvl w:val="2"/>
    </w:pPr>
    <w:rPr>
      <w:b/>
      <w:bCs/>
      <w:sz w:val="32"/>
      <w:szCs w:val="32"/>
    </w:rPr>
  </w:style>
  <w:style w:type="paragraph" w:customStyle="1" w:styleId="15">
    <w:name w:val="正文缩进1"/>
    <w:basedOn w:val="1"/>
    <w:qFormat/>
    <w:uiPriority w:val="0"/>
    <w:pPr>
      <w:ind w:firstLine="420"/>
    </w:pPr>
    <w:rPr>
      <w:rFonts w:ascii="Calibri" w:hAnsi="Calibri"/>
      <w:lang w:val="en-US" w:eastAsia="en-US"/>
    </w:rPr>
  </w:style>
  <w:style w:type="paragraph" w:customStyle="1" w:styleId="16">
    <w:name w:val="正文文本12"/>
    <w:basedOn w:val="1"/>
    <w:qFormat/>
    <w:uiPriority w:val="1"/>
    <w:pPr>
      <w:ind w:left="120"/>
    </w:pPr>
    <w:rPr>
      <w:rFonts w:ascii="宋体" w:hAnsi="宋体" w:eastAsia="宋体" w:cs="宋体"/>
      <w:sz w:val="21"/>
      <w:szCs w:val="21"/>
      <w:lang w:val="zh-CN" w:eastAsia="zh-CN" w:bidi="zh-CN"/>
    </w:rPr>
  </w:style>
  <w:style w:type="paragraph" w:customStyle="1" w:styleId="17">
    <w:name w:val="标题 41"/>
    <w:basedOn w:val="1"/>
    <w:next w:val="15"/>
    <w:qFormat/>
    <w:uiPriority w:val="0"/>
    <w:pPr>
      <w:keepNext/>
      <w:keepLines/>
      <w:spacing w:before="280" w:after="290" w:line="376" w:lineRule="auto"/>
      <w:outlineLvl w:val="3"/>
    </w:pPr>
    <w:rPr>
      <w:rFonts w:ascii="Arial" w:hAnsi="Arial" w:eastAsia="黑体" w:cs="Arial"/>
      <w:b/>
      <w:bCs/>
      <w:sz w:val="28"/>
      <w:szCs w:val="28"/>
    </w:rPr>
  </w:style>
  <w:style w:type="table" w:customStyle="1" w:styleId="18">
    <w:name w:val="网格型1"/>
    <w:basedOn w:val="19"/>
    <w:qFormat/>
    <w:uiPriority w:val="0"/>
    <w:pPr>
      <w:widowControl w:val="0"/>
      <w:jc w:val="both"/>
    </w:pPr>
  </w:style>
  <w:style w:type="table" w:customStyle="1" w:styleId="19">
    <w:name w:val="普通表格1"/>
    <w:semiHidden/>
    <w:qFormat/>
    <w:uiPriority w:val="0"/>
    <w:rPr>
      <w:lang w:val="en-US" w:eastAsia="zh-CN" w:bidi="ar-SA"/>
    </w:rPr>
  </w:style>
  <w:style w:type="paragraph" w:customStyle="1" w:styleId="20">
    <w:name w:val="纯文本1"/>
    <w:basedOn w:val="1"/>
    <w:qFormat/>
    <w:uiPriority w:val="0"/>
    <w:rPr>
      <w:rFonts w:ascii="宋体" w:hAnsi="Courier New"/>
      <w:lang w:val="en-US" w:eastAsia="en-US"/>
    </w:rPr>
  </w:style>
  <w:style w:type="paragraph" w:customStyle="1" w:styleId="21">
    <w:name w:val="Char"/>
    <w:basedOn w:val="1"/>
    <w:qFormat/>
    <w:uiPriority w:val="0"/>
    <w:pPr>
      <w:tabs>
        <w:tab w:val="left" w:pos="360"/>
      </w:tabs>
      <w:ind w:firstLine="200"/>
    </w:pPr>
    <w:rPr>
      <w:sz w:val="28"/>
      <w:szCs w:val="30"/>
    </w:rPr>
  </w:style>
  <w:style w:type="paragraph" w:customStyle="1" w:styleId="22">
    <w:name w:val="正文文本1"/>
    <w:basedOn w:val="1"/>
    <w:next w:val="15"/>
    <w:qFormat/>
    <w:uiPriority w:val="0"/>
    <w:rPr>
      <w:rFonts w:ascii="楷体_GB2312" w:hAnsi="Arial" w:eastAsia="楷体_GB2312"/>
      <w:sz w:val="28"/>
      <w:szCs w:val="28"/>
    </w:rPr>
  </w:style>
  <w:style w:type="paragraph" w:customStyle="1" w:styleId="2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39404</Words>
  <Characters>41373</Characters>
  <Lines>0</Lines>
  <Paragraphs>0</Paragraphs>
  <TotalTime>41</TotalTime>
  <ScaleCrop>false</ScaleCrop>
  <LinksUpToDate>false</LinksUpToDate>
  <CharactersWithSpaces>42437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2026-04-08T01:47:00Z</dcterms:created>
  <dc:creator>111</dc:creator>
  <cp:lastModifiedBy>111</cp:lastModifiedBy>
  <dcterms:modified xsi:type="dcterms:W3CDTF">2026-04-08T02:47:31Z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B754169F57734536BD06A0E14FD97E3D_11</vt:lpwstr>
  </property>
</Properties>
</file>