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color w:val="auto"/>
          <w:sz w:val="32"/>
          <w:szCs w:val="32"/>
          <w:highlight w:val="none"/>
        </w:rPr>
      </w:pPr>
      <w:r>
        <w:rPr>
          <w:rFonts w:hint="eastAsia"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w:t>
      </w:r>
      <w:bookmarkStart w:id="917" w:name="_GoBack"/>
      <w:r/>
      <w:bookmarkEnd w:id="917"/>
      <w:r>
        <w:rPr>
          <w:rFonts w:ascii="宋体" w:hAnsi="宋体"/>
          <w:b/>
          <w:bCs/>
          <w:color w:val="auto"/>
          <w:sz w:val="60"/>
          <w:szCs w:val="60"/>
          <w:highlight w:val="none"/>
        </w:rPr>
        <w:t xml:space="preserve">采购项目</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32" w:hanging="1900"/>
        <w:jc w:val="left"/>
        <w:spacing w:line="360" w:lineRule="auto"/>
        <w:tabs>
          <w:tab w:val="left" w:pos="3240" w:leader="none"/>
          <w:tab w:val="left" w:pos="3420" w:leader="none"/>
        </w:tabs>
        <w:rPr>
          <w:rFonts w:hint="eastAsia" w:ascii="宋体" w:hAnsi="宋体"/>
          <w:bCs/>
          <w:color w:val="auto"/>
          <w:sz w:val="36"/>
          <w:szCs w:val="36"/>
          <w:highlight w:val="none"/>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rPr>
        <w:t xml:space="preserve">常州市第三人民医院公共卫生临床救治中心（含常州市医疗急救中心）二代测序仪采购项目</w:t>
      </w:r>
      <w:r/>
    </w:p>
    <w:p>
      <w:pPr>
        <w:ind w:left="2832" w:hanging="1900"/>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r>
        <w:rPr>
          <w:rFonts w:hint="eastAsia" w:ascii="宋体" w:hAnsi="宋体"/>
          <w:bCs/>
          <w:color w:val="auto"/>
          <w:sz w:val="36"/>
          <w:szCs w:val="36"/>
          <w:highlight w:val="none"/>
        </w:rPr>
        <w:t xml:space="preserve">JSZC-320400-CTZB-G2026-0032</w:t>
      </w:r>
      <w:r/>
    </w:p>
    <w:p>
      <w:pPr>
        <w:ind w:left="2832" w:hanging="1900"/>
        <w:jc w:val="left"/>
        <w:spacing w:line="360" w:lineRule="auto"/>
        <w:tabs>
          <w:tab w:val="left" w:pos="3240" w:leader="none"/>
          <w:tab w:val="left" w:pos="3420" w:leader="none"/>
        </w:tabs>
        <w:rPr>
          <w:rFonts w:hint="eastAsia" w:ascii="宋体" w:hAnsi="宋体"/>
          <w:bCs/>
          <w:color w:val="auto"/>
          <w:sz w:val="36"/>
          <w:szCs w:val="36"/>
          <w:highlight w:val="none"/>
        </w:rPr>
      </w:pPr>
      <w:r>
        <w:rPr>
          <w:rFonts w:ascii="宋体" w:hAnsi="宋体"/>
          <w:bCs/>
          <w:color w:val="auto"/>
          <w:sz w:val="36"/>
          <w:szCs w:val="36"/>
          <w:highlight w:val="none"/>
        </w:rPr>
        <w:t xml:space="preserve">采 购 人：</w:t>
      </w:r>
      <w:r>
        <w:rPr>
          <w:rFonts w:hint="eastAsia" w:ascii="宋体" w:hAnsi="宋体"/>
          <w:bCs/>
          <w:color w:val="auto"/>
          <w:sz w:val="36"/>
          <w:szCs w:val="36"/>
          <w:highlight w:val="none"/>
        </w:rPr>
        <w:t xml:space="preserve">常州市第三人民医院</w:t>
      </w:r>
      <w:r/>
    </w:p>
    <w:p>
      <w:pPr>
        <w:ind w:left="2832" w:hanging="1900"/>
        <w:jc w:val="left"/>
        <w:spacing w:line="360" w:lineRule="auto"/>
        <w:tabs>
          <w:tab w:val="left" w:pos="3240" w:leader="none"/>
          <w:tab w:val="left" w:pos="3420" w:leader="none"/>
        </w:tabs>
        <w:rPr>
          <w:rFonts w:ascii="宋体" w:hAnsi="宋体"/>
          <w:b/>
          <w:color w:val="auto"/>
          <w:sz w:val="72"/>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常州市城投建设工程招标有限公司</w:t>
      </w:r>
      <w:r/>
    </w:p>
    <w:p>
      <w:pPr>
        <w:jc w:val="center"/>
        <w:spacing w:line="360" w:lineRule="auto"/>
        <w:rPr>
          <w:rFonts w:hint="eastAsia" w:ascii="宋体" w:hAnsi="宋体"/>
          <w:b/>
          <w:color w:val="auto"/>
          <w:sz w:val="36"/>
          <w:szCs w:val="36"/>
          <w:highlight w:val="none"/>
        </w:rPr>
        <w:outlineLvl w:val="0"/>
      </w:pPr>
      <w:r/>
      <w:bookmarkStart w:id="0" w:name="_Toc99301418"/>
      <w:r/>
      <w:r/>
    </w:p>
    <w:p>
      <w:pPr>
        <w:jc w:val="center"/>
        <w:spacing w:line="360" w:lineRule="auto"/>
        <w:rPr>
          <w:rFonts w:ascii="宋体" w:hAnsi="宋体"/>
          <w:b/>
          <w:color w:val="auto"/>
          <w:sz w:val="44"/>
          <w:szCs w:val="44"/>
          <w:highlight w:val="none"/>
        </w:rPr>
        <w:outlineLvl w:val="0"/>
      </w:pPr>
      <w:r>
        <w:rPr>
          <w:rFonts w:ascii="宋体" w:hAnsi="宋体"/>
          <w:b/>
          <w:color w:val="auto"/>
          <w:sz w:val="44"/>
          <w:szCs w:val="44"/>
          <w:highlight w:val="none"/>
        </w:rPr>
        <w:t xml:space="preserve">目      录</w:t>
      </w:r>
      <w:bookmarkEnd w:id="0"/>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896"/>
        <w:spacing w:line="720" w:lineRule="auto"/>
        <w:rPr>
          <w:b w:val="0"/>
          <w:color w:val="auto"/>
          <w:sz w:val="32"/>
          <w:szCs w:val="32"/>
          <w:highlight w:val="none"/>
          <w:lang w:val="en-US" w:eastAsia="zh-CN"/>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p>
    <w:p>
      <w:pPr>
        <w:pStyle w:val="896"/>
        <w:spacing w:line="720" w:lineRule="auto"/>
        <w:rPr>
          <w:b w:val="0"/>
          <w:color w:val="auto"/>
          <w:sz w:val="32"/>
          <w:szCs w:val="32"/>
          <w:highlight w:val="none"/>
          <w:lang w:val="en-US" w:eastAsia="zh-CN"/>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914"/>
          <w:color w:val="auto"/>
          <w:sz w:val="32"/>
          <w:szCs w:val="32"/>
          <w:highlight w:val="none"/>
          <w:lang w:val="en-US" w:eastAsia="zh-CN"/>
        </w:rPr>
        <w:t xml:space="preserve">第一章   投标邀请</w:t>
      </w:r>
      <w:r>
        <w:rPr>
          <w:color w:val="auto"/>
          <w:sz w:val="32"/>
          <w:szCs w:val="32"/>
          <w:highlight w:val="none"/>
          <w:lang w:val="en-US" w:eastAsia="zh-CN"/>
        </w:rPr>
        <w:tab/>
      </w:r>
      <w:r>
        <w:rPr>
          <w:color w:val="auto"/>
          <w:sz w:val="32"/>
          <w:szCs w:val="32"/>
          <w:highlight w:val="none"/>
          <w:lang w:val="en-US" w:eastAsia="zh-CN"/>
        </w:rPr>
        <w:fldChar w:fldCharType="begin"/>
      </w:r>
      <w:r>
        <w:rPr>
          <w:color w:val="auto"/>
          <w:sz w:val="32"/>
          <w:szCs w:val="32"/>
          <w:highlight w:val="none"/>
          <w:lang w:val="en-US" w:eastAsia="zh-CN"/>
        </w:rPr>
        <w:instrText xml:space="preserve"> PAGEREF _Toc99301419 \h </w:instrText>
      </w:r>
      <w:r>
        <w:rPr>
          <w:color w:val="auto"/>
          <w:sz w:val="32"/>
          <w:szCs w:val="32"/>
          <w:highlight w:val="none"/>
          <w:lang w:val="en-US" w:eastAsia="zh-CN"/>
        </w:rPr>
        <w:fldChar w:fldCharType="separate"/>
      </w:r>
      <w:r>
        <w:rPr>
          <w:color w:val="auto"/>
          <w:sz w:val="32"/>
          <w:szCs w:val="32"/>
          <w:highlight w:val="none"/>
          <w:lang w:val="en-US" w:eastAsia="zh-CN"/>
        </w:rPr>
        <w:t xml:space="preserve">1</w:t>
      </w:r>
      <w:r>
        <w:rPr>
          <w:color w:val="auto"/>
          <w:sz w:val="32"/>
          <w:szCs w:val="32"/>
          <w:highlight w:val="none"/>
          <w:lang w:val="en-US" w:eastAsia="zh-CN"/>
        </w:rPr>
        <w:fldChar w:fldCharType="end"/>
      </w:r>
      <w:r>
        <w:rPr>
          <w:color w:val="auto"/>
          <w:sz w:val="32"/>
          <w:szCs w:val="32"/>
          <w:highlight w:val="none"/>
          <w:lang w:val="en-US" w:eastAsia="zh-CN"/>
        </w:rPr>
        <w:fldChar w:fldCharType="end"/>
      </w:r>
      <w:r/>
    </w:p>
    <w:p>
      <w:pPr>
        <w:pStyle w:val="896"/>
        <w:spacing w:line="720" w:lineRule="auto"/>
        <w:rPr>
          <w:b w:val="0"/>
          <w:color w:val="auto"/>
          <w:sz w:val="32"/>
          <w:szCs w:val="32"/>
          <w:highlight w:val="none"/>
          <w:lang w:val="en-US" w:eastAsia="zh-CN"/>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914"/>
          <w:color w:val="auto"/>
          <w:sz w:val="32"/>
          <w:szCs w:val="32"/>
          <w:highlight w:val="none"/>
          <w:lang w:val="en-US" w:eastAsia="zh-CN"/>
        </w:rPr>
        <w:t xml:space="preserve">第二章   投标人须知</w:t>
      </w:r>
      <w:r>
        <w:rPr>
          <w:color w:val="auto"/>
          <w:sz w:val="32"/>
          <w:szCs w:val="32"/>
          <w:highlight w:val="none"/>
          <w:lang w:val="en-US" w:eastAsia="zh-CN"/>
        </w:rPr>
        <w:tab/>
      </w:r>
      <w:r>
        <w:rPr>
          <w:color w:val="auto"/>
          <w:sz w:val="32"/>
          <w:szCs w:val="32"/>
          <w:highlight w:val="none"/>
          <w:lang w:val="en-US" w:eastAsia="zh-CN"/>
        </w:rPr>
        <w:fldChar w:fldCharType="begin"/>
      </w:r>
      <w:r>
        <w:rPr>
          <w:color w:val="auto"/>
          <w:sz w:val="32"/>
          <w:szCs w:val="32"/>
          <w:highlight w:val="none"/>
          <w:lang w:val="en-US" w:eastAsia="zh-CN"/>
        </w:rPr>
        <w:instrText xml:space="preserve"> PAGEREF _Toc99301420 \h </w:instrText>
      </w:r>
      <w:r>
        <w:rPr>
          <w:color w:val="auto"/>
          <w:sz w:val="32"/>
          <w:szCs w:val="32"/>
          <w:highlight w:val="none"/>
          <w:lang w:val="en-US" w:eastAsia="zh-CN"/>
        </w:rPr>
        <w:fldChar w:fldCharType="separate"/>
      </w:r>
      <w:r>
        <w:rPr>
          <w:color w:val="auto"/>
          <w:sz w:val="32"/>
          <w:szCs w:val="32"/>
          <w:highlight w:val="none"/>
          <w:lang w:val="en-US" w:eastAsia="zh-CN"/>
        </w:rPr>
        <w:t xml:space="preserve">6</w:t>
      </w:r>
      <w:r>
        <w:rPr>
          <w:color w:val="auto"/>
          <w:sz w:val="32"/>
          <w:szCs w:val="32"/>
          <w:highlight w:val="none"/>
          <w:lang w:val="en-US" w:eastAsia="zh-CN"/>
        </w:rPr>
        <w:fldChar w:fldCharType="end"/>
      </w:r>
      <w:r>
        <w:rPr>
          <w:color w:val="auto"/>
          <w:sz w:val="32"/>
          <w:szCs w:val="32"/>
          <w:highlight w:val="none"/>
          <w:lang w:val="en-US" w:eastAsia="zh-CN"/>
        </w:rPr>
        <w:fldChar w:fldCharType="end"/>
      </w:r>
      <w:r/>
    </w:p>
    <w:p>
      <w:pPr>
        <w:pStyle w:val="896"/>
        <w:spacing w:line="720" w:lineRule="auto"/>
        <w:rPr>
          <w:b w:val="0"/>
          <w:color w:val="auto"/>
          <w:sz w:val="32"/>
          <w:szCs w:val="32"/>
          <w:highlight w:val="none"/>
          <w:lang w:val="en-US" w:eastAsia="zh-CN"/>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914"/>
          <w:color w:val="auto"/>
          <w:sz w:val="32"/>
          <w:szCs w:val="32"/>
          <w:highlight w:val="none"/>
          <w:lang w:val="en-US" w:eastAsia="zh-CN"/>
        </w:rPr>
        <w:t xml:space="preserve">第三章   资</w:t>
      </w:r>
      <w:bookmarkStart w:id="1" w:name="_Hlt100754117"/>
      <w:r>
        <w:rPr>
          <w:rStyle w:val="914"/>
          <w:color w:val="auto"/>
          <w:sz w:val="32"/>
          <w:szCs w:val="32"/>
          <w:highlight w:val="none"/>
          <w:lang w:val="en-US" w:eastAsia="zh-CN"/>
        </w:rPr>
        <w:t xml:space="preserve">格</w:t>
      </w:r>
      <w:bookmarkEnd w:id="1"/>
      <w:r>
        <w:rPr>
          <w:rStyle w:val="914"/>
          <w:color w:val="auto"/>
          <w:sz w:val="32"/>
          <w:szCs w:val="32"/>
          <w:highlight w:val="none"/>
          <w:lang w:val="en-US" w:eastAsia="zh-CN"/>
        </w:rPr>
        <w:t xml:space="preserve">审查</w:t>
      </w:r>
      <w:r>
        <w:rPr>
          <w:color w:val="auto"/>
          <w:sz w:val="32"/>
          <w:szCs w:val="32"/>
          <w:highlight w:val="none"/>
          <w:lang w:val="en-US" w:eastAsia="zh-CN"/>
        </w:rPr>
        <w:tab/>
      </w:r>
      <w:r>
        <w:rPr>
          <w:color w:val="auto"/>
          <w:sz w:val="32"/>
          <w:szCs w:val="32"/>
          <w:highlight w:val="none"/>
          <w:lang w:val="en-US" w:eastAsia="zh-CN"/>
        </w:rPr>
        <w:fldChar w:fldCharType="begin"/>
      </w:r>
      <w:r>
        <w:rPr>
          <w:color w:val="auto"/>
          <w:sz w:val="32"/>
          <w:szCs w:val="32"/>
          <w:highlight w:val="none"/>
          <w:lang w:val="en-US" w:eastAsia="zh-CN"/>
        </w:rPr>
        <w:instrText xml:space="preserve"> PAGEREF _Toc99301421 \h </w:instrText>
      </w:r>
      <w:r>
        <w:rPr>
          <w:color w:val="auto"/>
          <w:sz w:val="32"/>
          <w:szCs w:val="32"/>
          <w:highlight w:val="none"/>
          <w:lang w:val="en-US" w:eastAsia="zh-CN"/>
        </w:rPr>
        <w:fldChar w:fldCharType="separate"/>
      </w:r>
      <w:r>
        <w:rPr>
          <w:color w:val="auto"/>
          <w:sz w:val="32"/>
          <w:szCs w:val="32"/>
          <w:highlight w:val="none"/>
          <w:lang w:val="en-US" w:eastAsia="zh-CN"/>
        </w:rPr>
        <w:t xml:space="preserve">20</w:t>
      </w:r>
      <w:r>
        <w:rPr>
          <w:color w:val="auto"/>
          <w:sz w:val="32"/>
          <w:szCs w:val="32"/>
          <w:highlight w:val="none"/>
          <w:lang w:val="en-US" w:eastAsia="zh-CN"/>
        </w:rPr>
        <w:fldChar w:fldCharType="end"/>
      </w:r>
      <w:r>
        <w:rPr>
          <w:color w:val="auto"/>
          <w:sz w:val="32"/>
          <w:szCs w:val="32"/>
          <w:highlight w:val="none"/>
          <w:lang w:val="en-US" w:eastAsia="zh-CN"/>
        </w:rPr>
        <w:fldChar w:fldCharType="end"/>
      </w:r>
      <w:r/>
    </w:p>
    <w:p>
      <w:pPr>
        <w:pStyle w:val="896"/>
        <w:spacing w:line="720" w:lineRule="auto"/>
        <w:rPr>
          <w:b w:val="0"/>
          <w:color w:val="auto"/>
          <w:sz w:val="32"/>
          <w:szCs w:val="32"/>
          <w:highlight w:val="none"/>
          <w:lang w:val="en-US" w:eastAsia="zh-CN"/>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914"/>
          <w:color w:val="auto"/>
          <w:sz w:val="32"/>
          <w:szCs w:val="32"/>
          <w:highlight w:val="none"/>
          <w:lang w:val="en-US" w:eastAsia="zh-CN"/>
        </w:rPr>
        <w:t xml:space="preserve">第四章   评标程序、评标方法和评标标准</w:t>
      </w:r>
      <w:r>
        <w:rPr>
          <w:color w:val="auto"/>
          <w:sz w:val="32"/>
          <w:szCs w:val="32"/>
          <w:highlight w:val="none"/>
          <w:lang w:val="en-US" w:eastAsia="zh-CN"/>
        </w:rPr>
        <w:tab/>
      </w:r>
      <w:r>
        <w:rPr>
          <w:color w:val="auto"/>
          <w:sz w:val="32"/>
          <w:szCs w:val="32"/>
          <w:highlight w:val="none"/>
          <w:lang w:val="en-US" w:eastAsia="zh-CN"/>
        </w:rPr>
        <w:fldChar w:fldCharType="begin"/>
      </w:r>
      <w:r>
        <w:rPr>
          <w:color w:val="auto"/>
          <w:sz w:val="32"/>
          <w:szCs w:val="32"/>
          <w:highlight w:val="none"/>
          <w:lang w:val="en-US" w:eastAsia="zh-CN"/>
        </w:rPr>
        <w:instrText xml:space="preserve"> PAGEREF _Toc99301423 \h </w:instrText>
      </w:r>
      <w:r>
        <w:rPr>
          <w:color w:val="auto"/>
          <w:sz w:val="32"/>
          <w:szCs w:val="32"/>
          <w:highlight w:val="none"/>
          <w:lang w:val="en-US" w:eastAsia="zh-CN"/>
        </w:rPr>
        <w:fldChar w:fldCharType="separate"/>
      </w:r>
      <w:r>
        <w:rPr>
          <w:color w:val="auto"/>
          <w:sz w:val="32"/>
          <w:szCs w:val="32"/>
          <w:highlight w:val="none"/>
          <w:lang w:val="en-US" w:eastAsia="zh-CN"/>
        </w:rPr>
        <w:t xml:space="preserve">22</w:t>
      </w:r>
      <w:r>
        <w:rPr>
          <w:color w:val="auto"/>
          <w:sz w:val="32"/>
          <w:szCs w:val="32"/>
          <w:highlight w:val="none"/>
          <w:lang w:val="en-US" w:eastAsia="zh-CN"/>
        </w:rPr>
        <w:fldChar w:fldCharType="end"/>
      </w:r>
      <w:r>
        <w:rPr>
          <w:color w:val="auto"/>
          <w:sz w:val="32"/>
          <w:szCs w:val="32"/>
          <w:highlight w:val="none"/>
          <w:lang w:val="en-US" w:eastAsia="zh-CN"/>
        </w:rPr>
        <w:fldChar w:fldCharType="end"/>
      </w:r>
      <w:r/>
    </w:p>
    <w:p>
      <w:pPr>
        <w:pStyle w:val="896"/>
        <w:spacing w:line="720" w:lineRule="auto"/>
        <w:rPr>
          <w:b w:val="0"/>
          <w:color w:val="auto"/>
          <w:sz w:val="32"/>
          <w:szCs w:val="32"/>
          <w:highlight w:val="none"/>
          <w:lang w:val="en-US" w:eastAsia="zh-CN"/>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914"/>
          <w:color w:val="auto"/>
          <w:sz w:val="32"/>
          <w:szCs w:val="32"/>
          <w:highlight w:val="none"/>
          <w:lang w:val="en-US" w:eastAsia="zh-CN"/>
        </w:rPr>
        <w:t xml:space="preserve">第五章   采购</w:t>
      </w:r>
      <w:bookmarkStart w:id="2" w:name="_Hlt100754102"/>
      <w:r/>
      <w:bookmarkStart w:id="3" w:name="_Hlt100754103"/>
      <w:r>
        <w:rPr>
          <w:rStyle w:val="914"/>
          <w:color w:val="auto"/>
          <w:sz w:val="32"/>
          <w:szCs w:val="32"/>
          <w:highlight w:val="none"/>
          <w:lang w:val="en-US" w:eastAsia="zh-CN"/>
        </w:rPr>
        <w:t xml:space="preserve">需</w:t>
      </w:r>
      <w:bookmarkEnd w:id="2"/>
      <w:r/>
      <w:bookmarkEnd w:id="3"/>
      <w:r>
        <w:rPr>
          <w:rStyle w:val="914"/>
          <w:color w:val="auto"/>
          <w:sz w:val="32"/>
          <w:szCs w:val="32"/>
          <w:highlight w:val="none"/>
          <w:lang w:val="en-US" w:eastAsia="zh-CN"/>
        </w:rPr>
        <w:t xml:space="preserve">求</w:t>
      </w:r>
      <w:r>
        <w:rPr>
          <w:color w:val="auto"/>
          <w:sz w:val="32"/>
          <w:szCs w:val="32"/>
          <w:highlight w:val="none"/>
          <w:lang w:val="en-US" w:eastAsia="zh-CN"/>
        </w:rPr>
        <w:tab/>
      </w:r>
      <w:r>
        <w:rPr>
          <w:color w:val="auto"/>
          <w:sz w:val="32"/>
          <w:szCs w:val="32"/>
          <w:highlight w:val="none"/>
          <w:lang w:val="en-US" w:eastAsia="zh-CN"/>
        </w:rPr>
        <w:fldChar w:fldCharType="begin"/>
      </w:r>
      <w:r>
        <w:rPr>
          <w:color w:val="auto"/>
          <w:sz w:val="32"/>
          <w:szCs w:val="32"/>
          <w:highlight w:val="none"/>
          <w:lang w:val="en-US" w:eastAsia="zh-CN"/>
        </w:rPr>
        <w:instrText xml:space="preserve"> PAGEREF _Toc99301424 \h </w:instrText>
      </w:r>
      <w:r>
        <w:rPr>
          <w:color w:val="auto"/>
          <w:sz w:val="32"/>
          <w:szCs w:val="32"/>
          <w:highlight w:val="none"/>
          <w:lang w:val="en-US" w:eastAsia="zh-CN"/>
        </w:rPr>
        <w:fldChar w:fldCharType="separate"/>
      </w:r>
      <w:r>
        <w:rPr>
          <w:color w:val="auto"/>
          <w:sz w:val="32"/>
          <w:szCs w:val="32"/>
          <w:highlight w:val="none"/>
          <w:lang w:val="en-US" w:eastAsia="zh-CN"/>
        </w:rPr>
        <w:t xml:space="preserve">33</w:t>
      </w:r>
      <w:r>
        <w:rPr>
          <w:color w:val="auto"/>
          <w:sz w:val="32"/>
          <w:szCs w:val="32"/>
          <w:highlight w:val="none"/>
          <w:lang w:val="en-US" w:eastAsia="zh-CN"/>
        </w:rPr>
        <w:fldChar w:fldCharType="end"/>
      </w:r>
      <w:r>
        <w:rPr>
          <w:color w:val="auto"/>
          <w:sz w:val="32"/>
          <w:szCs w:val="32"/>
          <w:highlight w:val="none"/>
          <w:lang w:val="en-US" w:eastAsia="zh-CN"/>
        </w:rPr>
        <w:fldChar w:fldCharType="end"/>
      </w:r>
      <w:r/>
    </w:p>
    <w:p>
      <w:pPr>
        <w:pStyle w:val="896"/>
        <w:spacing w:line="720" w:lineRule="auto"/>
        <w:rPr>
          <w:b w:val="0"/>
          <w:color w:val="auto"/>
          <w:sz w:val="32"/>
          <w:szCs w:val="32"/>
          <w:highlight w:val="none"/>
          <w:lang w:val="en-US" w:eastAsia="zh-CN"/>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914"/>
          <w:color w:val="auto"/>
          <w:sz w:val="32"/>
          <w:szCs w:val="32"/>
          <w:highlight w:val="none"/>
          <w:lang w:val="en-US" w:eastAsia="zh-CN"/>
        </w:rPr>
        <w:t xml:space="preserve">第六章   拟签订的合同文本</w:t>
      </w:r>
      <w:r>
        <w:rPr>
          <w:color w:val="auto"/>
          <w:sz w:val="32"/>
          <w:szCs w:val="32"/>
          <w:highlight w:val="none"/>
          <w:lang w:val="en-US" w:eastAsia="zh-CN"/>
        </w:rPr>
        <w:tab/>
      </w:r>
      <w:r>
        <w:rPr>
          <w:color w:val="auto"/>
          <w:sz w:val="32"/>
          <w:szCs w:val="32"/>
          <w:highlight w:val="none"/>
          <w:lang w:val="en-US" w:eastAsia="zh-CN"/>
        </w:rPr>
        <w:fldChar w:fldCharType="begin"/>
      </w:r>
      <w:r>
        <w:rPr>
          <w:color w:val="auto"/>
          <w:sz w:val="32"/>
          <w:szCs w:val="32"/>
          <w:highlight w:val="none"/>
          <w:lang w:val="en-US" w:eastAsia="zh-CN"/>
        </w:rPr>
        <w:instrText xml:space="preserve"> PAGEREF _Toc99301425 \h </w:instrText>
      </w:r>
      <w:r>
        <w:rPr>
          <w:color w:val="auto"/>
          <w:sz w:val="32"/>
          <w:szCs w:val="32"/>
          <w:highlight w:val="none"/>
          <w:lang w:val="en-US" w:eastAsia="zh-CN"/>
        </w:rPr>
        <w:fldChar w:fldCharType="separate"/>
      </w:r>
      <w:r>
        <w:rPr>
          <w:color w:val="auto"/>
          <w:sz w:val="32"/>
          <w:szCs w:val="32"/>
          <w:highlight w:val="none"/>
          <w:lang w:val="en-US" w:eastAsia="zh-CN"/>
        </w:rPr>
        <w:t xml:space="preserve">37</w:t>
      </w:r>
      <w:r>
        <w:rPr>
          <w:color w:val="auto"/>
          <w:sz w:val="32"/>
          <w:szCs w:val="32"/>
          <w:highlight w:val="none"/>
          <w:lang w:val="en-US" w:eastAsia="zh-CN"/>
        </w:rPr>
        <w:fldChar w:fldCharType="end"/>
      </w:r>
      <w:r>
        <w:rPr>
          <w:color w:val="auto"/>
          <w:sz w:val="32"/>
          <w:szCs w:val="32"/>
          <w:highlight w:val="none"/>
          <w:lang w:val="en-US" w:eastAsia="zh-CN"/>
        </w:rPr>
        <w:fldChar w:fldCharType="end"/>
      </w:r>
      <w:r/>
    </w:p>
    <w:p>
      <w:pPr>
        <w:pStyle w:val="896"/>
        <w:spacing w:line="720" w:lineRule="auto"/>
        <w:rPr>
          <w:b w:val="0"/>
          <w:color w:val="auto"/>
          <w:sz w:val="32"/>
          <w:szCs w:val="32"/>
          <w:highlight w:val="none"/>
          <w:lang w:val="en-US" w:eastAsia="zh-CN"/>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914"/>
          <w:color w:val="auto"/>
          <w:sz w:val="32"/>
          <w:szCs w:val="32"/>
          <w:highlight w:val="none"/>
          <w:lang w:val="en-US" w:eastAsia="zh-CN"/>
        </w:rPr>
        <w:t xml:space="preserve">第七章   投标文件格式</w:t>
      </w:r>
      <w:r>
        <w:rPr>
          <w:color w:val="auto"/>
          <w:sz w:val="32"/>
          <w:szCs w:val="32"/>
          <w:highlight w:val="none"/>
          <w:lang w:val="en-US" w:eastAsia="zh-CN"/>
        </w:rPr>
        <w:tab/>
      </w:r>
      <w:r>
        <w:rPr>
          <w:color w:val="auto"/>
          <w:sz w:val="32"/>
          <w:szCs w:val="32"/>
          <w:highlight w:val="none"/>
          <w:lang w:val="en-US" w:eastAsia="zh-CN"/>
        </w:rPr>
        <w:fldChar w:fldCharType="begin"/>
      </w:r>
      <w:r>
        <w:rPr>
          <w:color w:val="auto"/>
          <w:sz w:val="32"/>
          <w:szCs w:val="32"/>
          <w:highlight w:val="none"/>
          <w:lang w:val="en-US" w:eastAsia="zh-CN"/>
        </w:rPr>
        <w:instrText xml:space="preserve"> PAGEREF _Toc99301426 \h </w:instrText>
      </w:r>
      <w:r>
        <w:rPr>
          <w:color w:val="auto"/>
          <w:sz w:val="32"/>
          <w:szCs w:val="32"/>
          <w:highlight w:val="none"/>
          <w:lang w:val="en-US" w:eastAsia="zh-CN"/>
        </w:rPr>
        <w:fldChar w:fldCharType="separate"/>
      </w:r>
      <w:r>
        <w:rPr>
          <w:color w:val="auto"/>
          <w:sz w:val="32"/>
          <w:szCs w:val="32"/>
          <w:highlight w:val="none"/>
          <w:lang w:val="en-US" w:eastAsia="zh-CN"/>
        </w:rPr>
        <w:t xml:space="preserve">41</w:t>
      </w:r>
      <w:r>
        <w:rPr>
          <w:color w:val="auto"/>
          <w:sz w:val="32"/>
          <w:szCs w:val="32"/>
          <w:highlight w:val="none"/>
          <w:lang w:val="en-US" w:eastAsia="zh-CN"/>
        </w:rPr>
        <w:fldChar w:fldCharType="end"/>
      </w:r>
      <w:r>
        <w:rPr>
          <w:color w:val="auto"/>
          <w:sz w:val="32"/>
          <w:szCs w:val="32"/>
          <w:highlight w:val="none"/>
          <w:lang w:val="en-US" w:eastAsia="zh-CN"/>
        </w:rPr>
        <w:fldChar w:fldCharType="end"/>
      </w:r>
      <w:r/>
    </w:p>
    <w:p>
      <w:pPr>
        <w:pStyle w:val="896"/>
        <w:spacing w:line="720" w:lineRule="auto"/>
        <w:rPr>
          <w:b w:val="0"/>
          <w:color w:val="auto"/>
          <w:highlight w:val="none"/>
        </w:rPr>
      </w:pPr>
      <w:r>
        <w:rPr>
          <w:b w:val="0"/>
          <w:color w:val="auto"/>
          <w:sz w:val="32"/>
          <w:szCs w:val="32"/>
          <w:highlight w:val="none"/>
        </w:rPr>
        <w:fldChar w:fldCharType="end"/>
      </w:r>
      <w:r/>
    </w:p>
    <w:p>
      <w:pPr>
        <w:jc w:val="center"/>
        <w:spacing w:line="360" w:lineRule="auto"/>
        <w:rPr>
          <w:rFonts w:ascii="宋体" w:hAnsi="宋体"/>
          <w:b/>
          <w:color w:val="auto"/>
          <w:sz w:val="36"/>
          <w:szCs w:val="36"/>
          <w:highlight w:val="none"/>
        </w:rPr>
        <w:outlineLvl w:val="0"/>
      </w:pPr>
      <w:r>
        <w:rPr>
          <w:rFonts w:ascii="宋体" w:hAnsi="宋体"/>
          <w:color w:val="auto"/>
          <w:sz w:val="24"/>
          <w:highlight w:val="none"/>
        </w:rPr>
        <w:br w:type="page" w:clear="all"/>
      </w:r>
      <w:bookmarkStart w:id="4" w:name="_Toc99301419"/>
      <w:r>
        <w:rPr>
          <w:rFonts w:ascii="宋体" w:hAnsi="宋体"/>
          <w:b/>
          <w:color w:val="auto"/>
          <w:sz w:val="36"/>
          <w:szCs w:val="36"/>
          <w:highlight w:val="none"/>
        </w:rPr>
        <w:t xml:space="preserve">第一章   投标邀请</w:t>
      </w:r>
      <w:bookmarkEnd w:id="4"/>
      <w:r/>
      <w:r/>
    </w:p>
    <w:p>
      <w:pPr>
        <w:ind w:firstLine="640"/>
        <w:spacing w:line="360" w:lineRule="auto"/>
        <w:rPr>
          <w:rFonts w:ascii="仿宋" w:hAnsi="仿宋" w:eastAsia="仿宋"/>
          <w:color w:val="auto"/>
          <w:sz w:val="32"/>
          <w:szCs w:val="32"/>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olor w:val="auto"/>
          <w:sz w:val="32"/>
          <w:szCs w:val="32"/>
          <w:highlight w:val="none"/>
        </w:rPr>
        <w:t xml:space="preserve">项目概况</w:t>
      </w:r>
      <w:r/>
    </w:p>
    <w:p>
      <w:pPr>
        <w:ind w:firstLine="640"/>
        <w:spacing w:line="360" w:lineRule="auto"/>
        <w:rPr>
          <w:rFonts w:ascii="仿宋" w:hAnsi="仿宋" w:eastAsia="仿宋"/>
          <w:color w:val="auto"/>
          <w:sz w:val="32"/>
          <w:szCs w:val="32"/>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olor w:val="auto"/>
          <w:sz w:val="32"/>
          <w:szCs w:val="32"/>
          <w:highlight w:val="none"/>
        </w:rPr>
        <w:t xml:space="preserve">常州市第三人民医院公共卫生临床救治中心（含常州市医疗急救中心）二代测序仪采购项目的潜在投标人应在“苏采云”政府采购一体化平台获取招标文件，并于</w:t>
      </w:r>
      <w:r>
        <w:rPr>
          <w:rFonts w:hint="eastAsia" w:ascii="仿宋" w:hAnsi="仿宋" w:eastAsia="仿宋"/>
          <w:b/>
          <w:bCs/>
          <w:color w:val="auto"/>
          <w:sz w:val="32"/>
          <w:szCs w:val="32"/>
          <w:highlight w:val="none"/>
        </w:rPr>
        <w:t xml:space="preserve">2026年0</w:t>
      </w:r>
      <w:r>
        <w:rPr>
          <w:rFonts w:hint="eastAsia" w:ascii="仿宋" w:hAnsi="仿宋" w:eastAsia="仿宋"/>
          <w:b/>
          <w:bCs/>
          <w:color w:val="auto"/>
          <w:sz w:val="32"/>
          <w:szCs w:val="32"/>
          <w:highlight w:val="none"/>
          <w:lang w:val="en-US" w:eastAsia="zh-CN"/>
        </w:rPr>
        <w:t xml:space="preserve">4</w:t>
      </w:r>
      <w:r>
        <w:rPr>
          <w:rFonts w:hint="eastAsia" w:ascii="仿宋" w:hAnsi="仿宋" w:eastAsia="仿宋"/>
          <w:b/>
          <w:bCs/>
          <w:color w:val="auto"/>
          <w:sz w:val="32"/>
          <w:szCs w:val="32"/>
          <w:highlight w:val="none"/>
        </w:rPr>
        <w:t xml:space="preserve">月1</w:t>
      </w:r>
      <w:r>
        <w:rPr>
          <w:rFonts w:hint="eastAsia" w:ascii="仿宋" w:hAnsi="仿宋" w:eastAsia="仿宋"/>
          <w:b/>
          <w:bCs/>
          <w:color w:val="auto"/>
          <w:sz w:val="32"/>
          <w:szCs w:val="32"/>
          <w:highlight w:val="none"/>
          <w:lang w:val="en-US" w:eastAsia="zh-CN"/>
        </w:rPr>
        <w:t xml:space="preserve">6</w:t>
      </w:r>
      <w:r>
        <w:rPr>
          <w:rFonts w:hint="eastAsia" w:ascii="仿宋" w:hAnsi="仿宋" w:eastAsia="仿宋"/>
          <w:b/>
          <w:bCs/>
          <w:color w:val="auto"/>
          <w:sz w:val="32"/>
          <w:szCs w:val="32"/>
          <w:highlight w:val="none"/>
        </w:rPr>
        <w:t xml:space="preserve">日14点00分</w:t>
      </w:r>
      <w:r>
        <w:rPr>
          <w:rFonts w:hint="eastAsia" w:ascii="仿宋" w:hAnsi="仿宋" w:eastAsia="仿宋" w:cs="宋体"/>
          <w:b/>
          <w:bCs/>
          <w:color w:val="auto"/>
          <w:sz w:val="32"/>
          <w:szCs w:val="32"/>
          <w:highlight w:val="none"/>
        </w:rPr>
        <w:t xml:space="preserve">（北京时间）</w:t>
      </w:r>
      <w:r>
        <w:rPr>
          <w:rFonts w:hint="eastAsia" w:ascii="仿宋" w:hAnsi="仿宋" w:eastAsia="仿宋"/>
          <w:bCs/>
          <w:color w:val="auto"/>
          <w:sz w:val="32"/>
          <w:szCs w:val="32"/>
          <w:highlight w:val="none"/>
        </w:rPr>
        <w:t xml:space="preserve">前递交投标</w:t>
      </w:r>
      <w:r>
        <w:rPr>
          <w:rFonts w:ascii="仿宋" w:hAnsi="仿宋" w:eastAsia="仿宋"/>
          <w:bCs/>
          <w:color w:val="auto"/>
          <w:sz w:val="32"/>
          <w:szCs w:val="32"/>
          <w:highlight w:val="none"/>
        </w:rPr>
        <w:t xml:space="preserve">文件</w:t>
      </w:r>
      <w:r>
        <w:rPr>
          <w:rFonts w:hint="eastAsia" w:ascii="仿宋" w:hAnsi="仿宋" w:eastAsia="仿宋"/>
          <w:color w:val="auto"/>
          <w:sz w:val="32"/>
          <w:szCs w:val="32"/>
          <w:highlight w:val="none"/>
        </w:rPr>
        <w:t xml:space="preserve">。</w:t>
      </w:r>
      <w:r/>
    </w:p>
    <w:p>
      <w:pPr>
        <w:pStyle w:val="867"/>
        <w:ind w:firstLine="643"/>
        <w:jc w:val="left"/>
        <w:spacing w:line="360" w:lineRule="auto"/>
        <w:rPr>
          <w:rFonts w:ascii="仿宋" w:hAnsi="仿宋" w:eastAsia="仿宋"/>
          <w:color w:val="auto"/>
          <w:sz w:val="32"/>
          <w:szCs w:val="32"/>
          <w:highlight w:val="none"/>
        </w:rPr>
      </w:pPr>
      <w:r/>
      <w:bookmarkStart w:id="5" w:name="_Toc28359079"/>
      <w:r/>
      <w:bookmarkStart w:id="6" w:name="_Toc35393790"/>
      <w:r/>
      <w:bookmarkStart w:id="7" w:name="_Toc35393621"/>
      <w:r/>
      <w:bookmarkStart w:id="8" w:name="_Toc28359002"/>
      <w:r/>
      <w:bookmarkStart w:id="9" w:name="_Hlk24379207"/>
      <w:r>
        <w:rPr>
          <w:rFonts w:ascii="仿宋" w:hAnsi="仿宋" w:eastAsia="仿宋"/>
          <w:color w:val="auto"/>
          <w:sz w:val="32"/>
          <w:szCs w:val="32"/>
          <w:highlight w:val="none"/>
        </w:rPr>
        <w:t xml:space="preserve">一、项目基本情况</w:t>
      </w:r>
      <w:bookmarkEnd w:id="5"/>
      <w:r/>
      <w:bookmarkEnd w:id="6"/>
      <w:r/>
      <w:bookmarkEnd w:id="7"/>
      <w:r/>
      <w:bookmarkEnd w:id="8"/>
      <w:r/>
      <w:r/>
    </w:p>
    <w:p>
      <w:pPr>
        <w:ind w:firstLine="640"/>
        <w:spacing w:line="360" w:lineRule="auto"/>
        <w:rPr>
          <w:rFonts w:hint="eastAsia" w:ascii="仿宋" w:hAnsi="仿宋" w:eastAsia="仿宋"/>
          <w:color w:val="auto"/>
          <w:sz w:val="32"/>
          <w:szCs w:val="32"/>
          <w:highlight w:val="none"/>
          <w:lang w:eastAsia="zh-CN"/>
        </w:rPr>
      </w:pPr>
      <w:r>
        <w:rPr>
          <w:rFonts w:ascii="仿宋" w:hAnsi="仿宋" w:eastAsia="仿宋"/>
          <w:color w:val="auto"/>
          <w:sz w:val="32"/>
          <w:szCs w:val="32"/>
          <w:highlight w:val="none"/>
        </w:rPr>
        <w:t xml:space="preserve">1.项目编号：</w:t>
      </w:r>
      <w:r>
        <w:rPr>
          <w:rFonts w:hint="eastAsia" w:ascii="仿宋" w:hAnsi="仿宋" w:eastAsia="仿宋"/>
          <w:color w:val="auto"/>
          <w:sz w:val="32"/>
          <w:szCs w:val="32"/>
          <w:highlight w:val="none"/>
        </w:rPr>
        <w:t xml:space="preserve">JSZC-320400-CTZB-G2026-0032</w:t>
      </w:r>
      <w:r/>
    </w:p>
    <w:p>
      <w:pPr>
        <w:ind w:firstLine="640"/>
        <w:spacing w:line="360" w:lineRule="auto"/>
        <w:rPr>
          <w:rFonts w:hint="eastAsia" w:ascii="仿宋" w:hAnsi="仿宋" w:eastAsia="仿宋"/>
          <w:color w:val="auto"/>
          <w:sz w:val="32"/>
          <w:szCs w:val="32"/>
          <w:highlight w:val="none"/>
        </w:rPr>
      </w:pPr>
      <w:r>
        <w:rPr>
          <w:rFonts w:ascii="仿宋" w:hAnsi="仿宋" w:eastAsia="仿宋"/>
          <w:color w:val="auto"/>
          <w:sz w:val="32"/>
          <w:szCs w:val="32"/>
          <w:highlight w:val="none"/>
        </w:rPr>
        <w:t xml:space="preserve">2.项目名称：</w:t>
      </w:r>
      <w:r>
        <w:rPr>
          <w:rFonts w:hint="eastAsia" w:ascii="仿宋" w:hAnsi="仿宋" w:eastAsia="仿宋"/>
          <w:color w:val="auto"/>
          <w:sz w:val="32"/>
          <w:szCs w:val="32"/>
          <w:highlight w:val="none"/>
        </w:rPr>
        <w:t xml:space="preserve">常州市第三人民医院公共卫生临床救治中心（含常州市医疗急救中心）二代测序仪采购项目</w:t>
      </w:r>
      <w:bookmarkEnd w:id="9"/>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3.项目预算金额：</w:t>
      </w:r>
      <w:r>
        <w:rPr>
          <w:rFonts w:hint="eastAsia" w:ascii="仿宋" w:hAnsi="仿宋" w:eastAsia="仿宋"/>
          <w:color w:val="auto"/>
          <w:sz w:val="32"/>
          <w:szCs w:val="32"/>
          <w:highlight w:val="none"/>
        </w:rPr>
        <w:t xml:space="preserve">420</w:t>
      </w:r>
      <w:r>
        <w:rPr>
          <w:rFonts w:ascii="仿宋" w:hAnsi="仿宋" w:eastAsia="仿宋"/>
          <w:color w:val="auto"/>
          <w:sz w:val="32"/>
          <w:szCs w:val="32"/>
          <w:highlight w:val="none"/>
        </w:rPr>
        <w:t xml:space="preserve">万元</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4.</w:t>
      </w:r>
      <w:r>
        <w:rPr>
          <w:rFonts w:ascii="仿宋" w:hAnsi="仿宋" w:eastAsia="仿宋"/>
          <w:color w:val="auto"/>
          <w:sz w:val="32"/>
          <w:szCs w:val="32"/>
          <w:highlight w:val="none"/>
        </w:rPr>
        <w:t xml:space="preserve">项目最高限价：</w:t>
      </w:r>
      <w:r>
        <w:rPr>
          <w:rFonts w:hint="eastAsia" w:ascii="仿宋" w:hAnsi="仿宋" w:eastAsia="仿宋"/>
          <w:color w:val="auto"/>
          <w:sz w:val="32"/>
          <w:szCs w:val="32"/>
          <w:highlight w:val="none"/>
        </w:rPr>
        <w:t xml:space="preserve">20</w:t>
      </w:r>
      <w:r>
        <w:rPr>
          <w:rFonts w:ascii="仿宋" w:hAnsi="仿宋" w:eastAsia="仿宋"/>
          <w:color w:val="auto"/>
          <w:sz w:val="32"/>
          <w:szCs w:val="32"/>
          <w:highlight w:val="none"/>
        </w:rPr>
        <w:t xml:space="preserve">万元</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5</w:t>
      </w:r>
      <w:r>
        <w:rPr>
          <w:rFonts w:ascii="仿宋" w:hAnsi="仿宋" w:eastAsia="仿宋"/>
          <w:color w:val="auto"/>
          <w:sz w:val="32"/>
          <w:szCs w:val="32"/>
          <w:highlight w:val="none"/>
        </w:rPr>
        <w:t xml:space="preserve">.采购需求：</w:t>
      </w:r>
      <w:r/>
    </w:p>
    <w:tbl>
      <w:tblPr>
        <w:tblStyle w:val="876"/>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包号</w:t>
            </w:r>
            <w:r/>
          </w:p>
        </w:tc>
        <w:tc>
          <w:tcPr>
            <w:tcW w:w="842"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标的名称</w:t>
            </w:r>
            <w:r/>
          </w:p>
        </w:tc>
        <w:tc>
          <w:tcPr>
            <w:tcW w:w="920"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采购包预算金额</w:t>
            </w:r>
            <w:r/>
          </w:p>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（万元）</w:t>
            </w:r>
            <w:r/>
          </w:p>
        </w:tc>
        <w:tc>
          <w:tcPr>
            <w:tcW w:w="539"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数量</w:t>
            </w:r>
            <w:r/>
          </w:p>
        </w:tc>
        <w:tc>
          <w:tcPr>
            <w:tcW w:w="2315" w:type="pct"/>
            <w:vAlign w:val="center"/>
            <w:textDirection w:val="lrTb"/>
            <w:noWrap w:val="false"/>
          </w:tcPr>
          <w:p>
            <w:pPr>
              <w:jc w:val="center"/>
              <w:rPr>
                <w:rFonts w:ascii="仿宋" w:hAnsi="仿宋" w:eastAsia="仿宋"/>
                <w:color w:val="auto"/>
                <w:sz w:val="32"/>
                <w:szCs w:val="32"/>
                <w:highlight w:val="none"/>
              </w:rPr>
            </w:pPr>
            <w:r>
              <w:rPr>
                <w:rFonts w:ascii="仿宋" w:hAnsi="仿宋" w:eastAsia="仿宋"/>
                <w:color w:val="auto"/>
                <w:sz w:val="32"/>
                <w:szCs w:val="32"/>
                <w:highlight w:val="none"/>
              </w:rPr>
              <w:t xml:space="preserve">简要技术需求或服务要求</w:t>
            </w:r>
            <w:r/>
          </w:p>
        </w:tc>
      </w:tr>
      <w:tr>
        <w:trPr>
          <w:trHeight w:val="454"/>
        </w:trPr>
        <w:tc>
          <w:tcPr>
            <w:tcW w:w="382"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01</w:t>
            </w:r>
            <w:r/>
          </w:p>
        </w:tc>
        <w:tc>
          <w:tcPr>
            <w:tcW w:w="842" w:type="pct"/>
            <w:vAlign w:val="center"/>
            <w:textDirection w:val="lrTb"/>
            <w:noWrap w:val="false"/>
          </w:tcPr>
          <w:p>
            <w:pPr>
              <w:jc w:val="center"/>
              <w:rPr>
                <w:rFonts w:hint="eastAsia" w:ascii="仿宋" w:hAnsi="仿宋" w:eastAsia="仿宋"/>
                <w:bCs/>
                <w:color w:val="auto"/>
                <w:sz w:val="32"/>
                <w:szCs w:val="32"/>
                <w:highlight w:val="none"/>
              </w:rPr>
            </w:pPr>
            <w:r>
              <w:rPr>
                <w:rFonts w:hint="eastAsia" w:ascii="仿宋" w:hAnsi="仿宋" w:eastAsia="仿宋"/>
                <w:color w:val="auto"/>
                <w:sz w:val="32"/>
                <w:szCs w:val="32"/>
                <w:highlight w:val="none"/>
              </w:rPr>
              <w:t xml:space="preserve">二代测序仪</w:t>
            </w:r>
            <w:r/>
          </w:p>
        </w:tc>
        <w:tc>
          <w:tcPr>
            <w:tcW w:w="920" w:type="pct"/>
            <w:vAlign w:val="center"/>
            <w:textDirection w:val="lrTb"/>
            <w:noWrap w:val="false"/>
          </w:tcPr>
          <w:p>
            <w:pPr>
              <w:jc w:val="center"/>
              <w:rPr>
                <w:rFonts w:ascii="仿宋" w:hAnsi="仿宋" w:eastAsia="仿宋"/>
                <w:bCs/>
                <w:color w:val="auto"/>
                <w:sz w:val="32"/>
                <w:szCs w:val="32"/>
                <w:highlight w:val="none"/>
              </w:rPr>
            </w:pPr>
            <w:r>
              <w:rPr>
                <w:rFonts w:hint="eastAsia" w:ascii="仿宋" w:hAnsi="仿宋" w:eastAsia="仿宋"/>
                <w:color w:val="auto"/>
                <w:sz w:val="32"/>
                <w:szCs w:val="32"/>
                <w:highlight w:val="none"/>
              </w:rPr>
              <w:t xml:space="preserve">420</w:t>
            </w:r>
            <w:r/>
          </w:p>
        </w:tc>
        <w:tc>
          <w:tcPr>
            <w:tcW w:w="539" w:type="pct"/>
            <w:vAlign w:val="center"/>
            <w:textDirection w:val="lrTb"/>
            <w:noWrap w:val="false"/>
          </w:tcPr>
          <w:p>
            <w:pPr>
              <w:jc w:val="center"/>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1套</w:t>
            </w:r>
            <w:r/>
          </w:p>
        </w:tc>
        <w:tc>
          <w:tcPr>
            <w:tcW w:w="2315" w:type="pct"/>
            <w:vAlign w:val="center"/>
            <w:textDirection w:val="lrTb"/>
            <w:noWrap w:val="false"/>
          </w:tcPr>
          <w:p>
            <w:pPr>
              <w:jc w:val="center"/>
              <w:rPr>
                <w:rFonts w:hint="eastAsia"/>
                <w:color w:val="auto"/>
                <w:highlight w:val="none"/>
              </w:rPr>
            </w:pPr>
            <w:r>
              <w:rPr>
                <w:rFonts w:hint="eastAsia" w:ascii="仿宋" w:hAnsi="仿宋" w:eastAsia="仿宋"/>
                <w:color w:val="auto"/>
                <w:sz w:val="32"/>
                <w:szCs w:val="32"/>
                <w:highlight w:val="none"/>
              </w:rPr>
              <w:t xml:space="preserve">具体内容包括：设备的制造（采购）、运输、装卸、安装、调试、测试、售后服务、技术培训等，直至通过采购单位及其他相关部门的验收以及质量保修、免费维保等全部工作。</w:t>
            </w:r>
            <w:r/>
          </w:p>
        </w:tc>
      </w:tr>
    </w:tbl>
    <w:p>
      <w:pPr>
        <w:ind w:firstLine="640"/>
        <w:spacing w:line="360" w:lineRule="auto"/>
        <w:rPr>
          <w:rFonts w:hint="eastAsia"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6</w:t>
      </w:r>
      <w:r>
        <w:rPr>
          <w:rFonts w:ascii="仿宋" w:hAnsi="仿宋" w:eastAsia="仿宋"/>
          <w:color w:val="auto"/>
          <w:sz w:val="32"/>
          <w:szCs w:val="32"/>
          <w:highlight w:val="none"/>
        </w:rPr>
        <w:t xml:space="preserve">.</w:t>
      </w:r>
      <w:r>
        <w:rPr>
          <w:rFonts w:hint="eastAsia" w:ascii="仿宋" w:hAnsi="仿宋" w:eastAsia="仿宋"/>
          <w:color w:val="auto"/>
          <w:sz w:val="32"/>
          <w:szCs w:val="32"/>
          <w:highlight w:val="none"/>
        </w:rPr>
        <w:t xml:space="preserve">合同履行期限：</w:t>
      </w:r>
      <w:r>
        <w:rPr>
          <w:rFonts w:hint="eastAsia" w:ascii="仿宋" w:hAnsi="仿宋" w:eastAsia="仿宋" w:cs="宋体"/>
          <w:color w:val="auto"/>
          <w:sz w:val="32"/>
          <w:szCs w:val="32"/>
          <w:highlight w:val="none"/>
        </w:rPr>
        <w:t xml:space="preserve">合同签订后30天内完成供货、安装、调试、培训，并通过采购人验收。</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7</w:t>
      </w:r>
      <w:r>
        <w:rPr>
          <w:rFonts w:ascii="仿宋" w:hAnsi="仿宋" w:eastAsia="仿宋"/>
          <w:color w:val="auto"/>
          <w:sz w:val="32"/>
          <w:szCs w:val="32"/>
          <w:highlight w:val="none"/>
        </w:rPr>
        <w:t xml:space="preserve">.本项目是否接受联合体投标：□是  ■否。</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8.</w:t>
      </w:r>
      <w:r>
        <w:rPr>
          <w:rFonts w:ascii="仿宋" w:hAnsi="仿宋" w:eastAsia="仿宋"/>
          <w:color w:val="auto"/>
          <w:sz w:val="32"/>
          <w:szCs w:val="32"/>
          <w:highlight w:val="none"/>
        </w:rPr>
        <w:t xml:space="preserve">本项目是否接受</w:t>
      </w:r>
      <w:r>
        <w:rPr>
          <w:rFonts w:hint="eastAsia" w:ascii="仿宋" w:hAnsi="仿宋" w:eastAsia="仿宋"/>
          <w:color w:val="auto"/>
          <w:sz w:val="32"/>
          <w:szCs w:val="32"/>
          <w:highlight w:val="none"/>
        </w:rPr>
        <w:t xml:space="preserve">进口产品</w:t>
      </w:r>
      <w:r>
        <w:rPr>
          <w:rFonts w:ascii="仿宋" w:hAnsi="仿宋" w:eastAsia="仿宋"/>
          <w:color w:val="auto"/>
          <w:sz w:val="32"/>
          <w:szCs w:val="32"/>
          <w:highlight w:val="none"/>
        </w:rPr>
        <w:t xml:space="preserve">投标：■是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pStyle w:val="867"/>
        <w:ind w:firstLine="643"/>
        <w:jc w:val="left"/>
        <w:spacing w:before="0" w:line="360" w:lineRule="auto"/>
        <w:rPr>
          <w:rFonts w:ascii="仿宋" w:hAnsi="仿宋" w:eastAsia="仿宋"/>
          <w:color w:val="auto"/>
          <w:sz w:val="32"/>
          <w:szCs w:val="32"/>
          <w:highlight w:val="none"/>
        </w:rPr>
      </w:pPr>
      <w:r/>
      <w:bookmarkStart w:id="10" w:name="_Toc28359080"/>
      <w:r/>
      <w:bookmarkStart w:id="11" w:name="_Toc35393791"/>
      <w:r/>
      <w:bookmarkStart w:id="12" w:name="_Toc28359003"/>
      <w:r/>
      <w:bookmarkStart w:id="13" w:name="_Toc35393622"/>
      <w:r>
        <w:rPr>
          <w:rFonts w:ascii="仿宋" w:hAnsi="仿宋" w:eastAsia="仿宋"/>
          <w:color w:val="auto"/>
          <w:sz w:val="32"/>
          <w:szCs w:val="32"/>
          <w:highlight w:val="none"/>
        </w:rPr>
        <w:t xml:space="preserve">二、申请人的资格要求（须同时满足）</w:t>
      </w:r>
      <w:bookmarkEnd w:id="10"/>
      <w:r/>
      <w:bookmarkEnd w:id="11"/>
      <w:r/>
      <w:bookmarkEnd w:id="12"/>
      <w:r/>
      <w:bookmarkEnd w:id="13"/>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1.满足《中华人民共和国政府采购法》第二十二条规定</w:t>
      </w:r>
      <w:r>
        <w:rPr>
          <w:rFonts w:hint="eastAsia" w:ascii="仿宋" w:hAnsi="仿宋" w:eastAsia="仿宋"/>
          <w:color w:val="auto"/>
          <w:sz w:val="32"/>
          <w:szCs w:val="32"/>
          <w:highlight w:val="none"/>
        </w:rPr>
        <w:t xml:space="preserve">以及下列情形：</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rPr>
          <w:rFonts w:ascii="仿宋" w:hAnsi="仿宋" w:eastAsia="仿宋"/>
          <w:color w:val="auto"/>
          <w:sz w:val="32"/>
          <w:szCs w:val="32"/>
          <w:highlight w:val="none"/>
        </w:rPr>
      </w:pPr>
      <w:r/>
      <w:bookmarkStart w:id="14" w:name="_Toc28359081"/>
      <w:r/>
      <w:bookmarkStart w:id="15" w:name="_Toc28359004"/>
      <w:r>
        <w:rPr>
          <w:rFonts w:ascii="仿宋" w:hAnsi="仿宋" w:eastAsia="仿宋"/>
          <w:color w:val="auto"/>
          <w:sz w:val="32"/>
          <w:szCs w:val="32"/>
          <w:highlight w:val="none"/>
        </w:rPr>
        <w:t xml:space="preserve">2.落实政府采购政策需满足的资格要求：</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2.1 中小企业政策</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本项目不专门面向中小企业预留采购份额。</w:t>
      </w:r>
      <w:r/>
    </w:p>
    <w:p>
      <w:pPr>
        <w:ind w:firstLine="640"/>
        <w:spacing w:line="360" w:lineRule="auto"/>
        <w:rPr>
          <w:rFonts w:ascii="仿宋" w:hAnsi="仿宋" w:eastAsia="仿宋"/>
          <w:b/>
          <w:color w:val="auto"/>
          <w:sz w:val="32"/>
          <w:szCs w:val="32"/>
          <w:highlight w:val="none"/>
        </w:rPr>
      </w:pPr>
      <w:r>
        <w:rPr>
          <w:rFonts w:ascii="仿宋" w:hAnsi="仿宋" w:eastAsia="仿宋"/>
          <w:color w:val="auto"/>
          <w:sz w:val="32"/>
          <w:szCs w:val="32"/>
          <w:highlight w:val="none"/>
        </w:rPr>
        <w:t xml:space="preserve">□本项目专门面向  □中小 □小微企业  采购。即：</w:t>
      </w:r>
      <w:r>
        <w:rPr>
          <w:rFonts w:ascii="仿宋" w:hAnsi="仿宋" w:eastAsia="仿宋"/>
          <w:b/>
          <w:color w:val="auto"/>
          <w:sz w:val="32"/>
          <w:szCs w:val="32"/>
          <w:highlight w:val="none"/>
        </w:rPr>
        <w:t xml:space="preserve">提供的货物全部由符合政策要求的中小/小微企业制造。</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□本项目预留部分采购项目预算专门面向中小企业采购。</w:t>
      </w:r>
      <w:r>
        <w:rPr>
          <w:rFonts w:ascii="仿宋" w:hAnsi="仿宋" w:eastAsia="仿宋"/>
          <w:b/>
          <w:color w:val="auto"/>
          <w:sz w:val="32"/>
          <w:szCs w:val="32"/>
          <w:highlight w:val="none"/>
        </w:rPr>
        <w:t xml:space="preserve">对于预留份额，提供的货物由符合政策要求的中小企业制造、服务由符合政策要求的中小企业承接。</w:t>
      </w:r>
      <w:r>
        <w:rPr>
          <w:rFonts w:ascii="仿宋" w:hAnsi="仿宋" w:eastAsia="仿宋"/>
          <w:color w:val="auto"/>
          <w:sz w:val="32"/>
          <w:szCs w:val="32"/>
          <w:highlight w:val="none"/>
        </w:rPr>
        <w:t xml:space="preserve">预留份额通过以下措施进行：</w:t>
      </w:r>
      <w:r>
        <w:rPr>
          <w:rFonts w:hint="eastAsia" w:ascii="仿宋" w:hAnsi="仿宋" w:eastAsia="仿宋"/>
          <w:b/>
          <w:color w:val="auto"/>
          <w:sz w:val="32"/>
          <w:szCs w:val="32"/>
          <w:highlight w:val="none"/>
        </w:rPr>
        <w:t xml:space="preserve">获得采购合同的投标人应承诺将采购项目中不低于40%的金额分包给一家或多家中小企业。</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2.2 其它落实政府采购政策的资格要求（如有）：</w:t>
      </w:r>
      <w:r>
        <w:rPr>
          <w:rFonts w:hint="eastAsia" w:ascii="仿宋" w:hAnsi="仿宋" w:eastAsia="仿宋"/>
          <w:color w:val="auto"/>
          <w:sz w:val="32"/>
          <w:szCs w:val="32"/>
          <w:highlight w:val="none"/>
          <w:u w:val="single"/>
        </w:rPr>
        <w:t xml:space="preserve">/</w:t>
      </w:r>
      <w:r>
        <w:rPr>
          <w:rFonts w:hint="eastAsia" w:ascii="仿宋" w:hAnsi="仿宋" w:eastAsia="仿宋"/>
          <w:color w:val="auto"/>
          <w:sz w:val="32"/>
          <w:szCs w:val="32"/>
          <w:highlight w:val="none"/>
        </w:rPr>
        <w:t xml:space="preserve">。</w:t>
      </w:r>
      <w:r/>
    </w:p>
    <w:p>
      <w:pPr>
        <w:ind w:firstLine="640"/>
        <w:spacing w:line="360" w:lineRule="auto"/>
        <w:rPr>
          <w:rFonts w:ascii="仿宋" w:hAnsi="仿宋" w:eastAsia="仿宋"/>
          <w:i/>
          <w:iCs/>
          <w:color w:val="auto"/>
          <w:sz w:val="32"/>
          <w:szCs w:val="32"/>
          <w:highlight w:val="none"/>
          <w:u w:val="single"/>
        </w:rPr>
      </w:pPr>
      <w:r>
        <w:rPr>
          <w:rFonts w:ascii="仿宋" w:hAnsi="仿宋" w:eastAsia="仿宋"/>
          <w:color w:val="auto"/>
          <w:sz w:val="32"/>
          <w:szCs w:val="32"/>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3.1本项目是否接受分支机构参与投标：□是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ascii="仿宋" w:hAnsi="仿宋" w:eastAsia="仿宋"/>
          <w:i/>
          <w:iCs/>
          <w:color w:val="auto"/>
          <w:sz w:val="32"/>
          <w:szCs w:val="32"/>
          <w:highlight w:val="none"/>
          <w:u w:val="single"/>
        </w:rPr>
      </w:pPr>
      <w:r>
        <w:rPr>
          <w:rFonts w:ascii="仿宋" w:hAnsi="仿宋" w:eastAsia="仿宋"/>
          <w:color w:val="auto"/>
          <w:sz w:val="32"/>
          <w:szCs w:val="32"/>
          <w:highlight w:val="none"/>
        </w:rPr>
        <w:t xml:space="preserve">3.3其他特定资格要求：</w:t>
      </w:r>
      <w:bookmarkEnd w:id="14"/>
      <w:bookmarkEnd w:id="15"/>
      <w:r/>
    </w:p>
    <w:p>
      <w:pPr>
        <w:pStyle w:val="867"/>
        <w:ind w:firstLine="643"/>
        <w:jc w:val="left"/>
        <w:spacing w:before="0" w:line="360" w:lineRule="auto"/>
        <w:widowControl/>
        <w:rPr>
          <w:rFonts w:hint="eastAsia" w:ascii="仿宋" w:hAnsi="仿宋" w:eastAsia="仿宋"/>
          <w:color w:val="auto"/>
          <w:sz w:val="32"/>
          <w:szCs w:val="32"/>
          <w:highlight w:val="none"/>
        </w:rPr>
      </w:pPr>
      <w:r/>
      <w:bookmarkStart w:id="16" w:name="_Toc35393623"/>
      <w:r/>
      <w:bookmarkStart w:id="17" w:name="_Toc35393792"/>
      <w:r>
        <w:rPr>
          <w:rFonts w:hint="eastAsia" w:ascii="仿宋" w:hAnsi="仿宋" w:eastAsia="仿宋"/>
          <w:color w:val="auto"/>
          <w:sz w:val="32"/>
          <w:szCs w:val="32"/>
          <w:highlight w:val="none"/>
        </w:rPr>
        <w:t xml:space="preserve">（1）满足以下两项中任意一项要求：</w:t>
      </w:r>
      <w:r/>
    </w:p>
    <w:p>
      <w:pPr>
        <w:pStyle w:val="867"/>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①投标人为所投产品制造商：具有有效期内的医疗器械生产许可证；</w:t>
      </w:r>
      <w:r/>
    </w:p>
    <w:p>
      <w:pPr>
        <w:pStyle w:val="867"/>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②投标人为所投产品经销商：具有有效期内的医疗器械经营许可证；</w:t>
      </w:r>
      <w:r/>
    </w:p>
    <w:p>
      <w:pPr>
        <w:pStyle w:val="867"/>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（2）提供所投产品的有效医疗器械注册证；</w:t>
      </w:r>
      <w:r/>
    </w:p>
    <w:p>
      <w:pPr>
        <w:pStyle w:val="867"/>
        <w:ind w:firstLine="643"/>
        <w:jc w:val="left"/>
        <w:spacing w:before="0" w:line="360" w:lineRule="auto"/>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p>
    <w:p>
      <w:pPr>
        <w:pStyle w:val="867"/>
        <w:ind w:firstLine="643"/>
        <w:jc w:val="left"/>
        <w:spacing w:before="0"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rPr>
        <w:t xml:space="preserve">三、获取招标文件</w:t>
      </w:r>
      <w:bookmarkEnd w:id="16"/>
      <w:r/>
      <w:bookmarkEnd w:id="17"/>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1.时间：</w:t>
      </w:r>
      <w:r>
        <w:rPr>
          <w:rFonts w:hint="eastAsia" w:ascii="仿宋" w:hAnsi="仿宋" w:eastAsia="仿宋"/>
          <w:color w:val="auto"/>
          <w:sz w:val="32"/>
          <w:szCs w:val="32"/>
          <w:highlight w:val="none"/>
        </w:rPr>
        <w:t xml:space="preserve">2026年0</w:t>
      </w:r>
      <w:r>
        <w:rPr>
          <w:rFonts w:hint="eastAsia" w:ascii="仿宋" w:hAnsi="仿宋" w:eastAsia="仿宋"/>
          <w:color w:val="auto"/>
          <w:sz w:val="32"/>
          <w:szCs w:val="32"/>
          <w:highlight w:val="none"/>
          <w:lang w:val="en-US" w:eastAsia="zh-CN"/>
        </w:rPr>
        <w:t xml:space="preserve">3</w:t>
      </w:r>
      <w:r>
        <w:rPr>
          <w:rFonts w:hint="eastAsia" w:ascii="仿宋" w:hAnsi="仿宋" w:eastAsia="仿宋"/>
          <w:color w:val="auto"/>
          <w:sz w:val="32"/>
          <w:szCs w:val="32"/>
          <w:highlight w:val="none"/>
        </w:rPr>
        <w:t xml:space="preserve">月</w:t>
      </w:r>
      <w:r>
        <w:rPr>
          <w:rFonts w:hint="eastAsia" w:ascii="仿宋" w:hAnsi="仿宋" w:eastAsia="仿宋"/>
          <w:color w:val="auto"/>
          <w:sz w:val="32"/>
          <w:szCs w:val="32"/>
          <w:highlight w:val="none"/>
          <w:lang w:val="en-US" w:eastAsia="zh-CN"/>
        </w:rPr>
        <w:t xml:space="preserve">26</w:t>
      </w:r>
      <w:r>
        <w:rPr>
          <w:rFonts w:hint="eastAsia" w:ascii="仿宋" w:hAnsi="仿宋" w:eastAsia="仿宋"/>
          <w:color w:val="auto"/>
          <w:sz w:val="32"/>
          <w:szCs w:val="32"/>
          <w:highlight w:val="none"/>
        </w:rPr>
        <w:t xml:space="preserve">日至2026年0</w:t>
      </w:r>
      <w:r>
        <w:rPr>
          <w:rFonts w:hint="eastAsia" w:ascii="仿宋" w:hAnsi="仿宋" w:eastAsia="仿宋"/>
          <w:color w:val="auto"/>
          <w:sz w:val="32"/>
          <w:szCs w:val="32"/>
          <w:highlight w:val="none"/>
          <w:lang w:val="en-US" w:eastAsia="zh-CN"/>
        </w:rPr>
        <w:t xml:space="preserve">4</w:t>
      </w:r>
      <w:r>
        <w:rPr>
          <w:rFonts w:hint="eastAsia" w:ascii="仿宋" w:hAnsi="仿宋" w:eastAsia="仿宋"/>
          <w:color w:val="auto"/>
          <w:sz w:val="32"/>
          <w:szCs w:val="32"/>
          <w:highlight w:val="none"/>
        </w:rPr>
        <w:t xml:space="preserve">月</w:t>
      </w:r>
      <w:r>
        <w:rPr>
          <w:rFonts w:hint="eastAsia" w:ascii="仿宋" w:hAnsi="仿宋" w:eastAsia="仿宋"/>
          <w:color w:val="auto"/>
          <w:sz w:val="32"/>
          <w:szCs w:val="32"/>
          <w:highlight w:val="none"/>
          <w:lang w:val="en-US" w:eastAsia="zh-CN"/>
        </w:rPr>
        <w:t xml:space="preserve">02</w:t>
      </w:r>
      <w:r>
        <w:rPr>
          <w:rFonts w:hint="eastAsia" w:ascii="仿宋" w:hAnsi="仿宋" w:eastAsia="仿宋"/>
          <w:color w:val="auto"/>
          <w:sz w:val="32"/>
          <w:szCs w:val="32"/>
          <w:highlight w:val="none"/>
        </w:rPr>
        <w:t xml:space="preserve">日（北京时间）。</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2.地点：</w:t>
      </w:r>
      <w:r>
        <w:rPr>
          <w:rFonts w:hint="eastAsia" w:ascii="仿宋" w:hAnsi="仿宋" w:eastAsia="仿宋"/>
          <w:color w:val="auto"/>
          <w:sz w:val="32"/>
          <w:szCs w:val="32"/>
          <w:highlight w:val="none"/>
        </w:rPr>
        <w:t xml:space="preserve">“苏采云”政府采购一体化平台。</w:t>
      </w:r>
      <w:r/>
    </w:p>
    <w:p>
      <w:pPr>
        <w:ind w:firstLine="640"/>
        <w:jc w:val="left"/>
        <w:spacing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rPr>
        <w:t xml:space="preserve">3.方式：</w:t>
      </w:r>
      <w:r>
        <w:rPr>
          <w:rFonts w:hint="eastAsia" w:ascii="仿宋" w:hAnsi="仿宋" w:eastAsia="仿宋"/>
          <w:color w:val="auto"/>
          <w:sz w:val="32"/>
          <w:szCs w:val="32"/>
          <w:highlight w:val="none"/>
        </w:rPr>
        <w:t xml:space="preserve">“苏采云”政府采购一体化平台自行免费下载</w:t>
      </w:r>
      <w:r>
        <w:rPr>
          <w:rFonts w:ascii="Calibri" w:hAnsi="Calibri" w:eastAsia="仿宋" w:cs="Calibri"/>
          <w:color w:val="auto"/>
          <w:sz w:val="32"/>
          <w:szCs w:val="32"/>
          <w:highlight w:val="none"/>
        </w:rPr>
        <w:t xml:space="preserve"> </w:t>
      </w:r>
      <w:r>
        <w:rPr>
          <w:rFonts w:hint="eastAsia" w:ascii="Calibri" w:hAnsi="Calibri" w:eastAsia="仿宋" w:cs="Calibri"/>
          <w:color w:val="auto"/>
          <w:sz w:val="32"/>
          <w:szCs w:val="32"/>
          <w:highlight w:val="none"/>
        </w:rPr>
        <w:t xml:space="preserve">。</w:t>
      </w:r>
      <w:r/>
    </w:p>
    <w:p>
      <w:pPr>
        <w:ind w:firstLine="640"/>
        <w:jc w:val="left"/>
        <w:spacing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rPr>
        <w:t xml:space="preserve">4.售价：</w:t>
      </w:r>
      <w:r>
        <w:rPr>
          <w:rFonts w:hint="eastAsia" w:ascii="仿宋" w:hAnsi="仿宋" w:eastAsia="仿宋"/>
          <w:color w:val="auto"/>
          <w:sz w:val="32"/>
          <w:szCs w:val="32"/>
          <w:highlight w:val="none"/>
        </w:rPr>
        <w:t xml:space="preserve">0元</w:t>
      </w:r>
      <w:r>
        <w:rPr>
          <w:rFonts w:ascii="仿宋" w:hAnsi="仿宋" w:eastAsia="仿宋"/>
          <w:color w:val="auto"/>
          <w:sz w:val="32"/>
          <w:szCs w:val="32"/>
          <w:highlight w:val="none"/>
        </w:rPr>
        <w:t xml:space="preserve">。</w:t>
      </w:r>
      <w:r/>
    </w:p>
    <w:p>
      <w:pPr>
        <w:pStyle w:val="867"/>
        <w:ind w:firstLine="643"/>
        <w:jc w:val="left"/>
        <w:spacing w:before="0" w:line="360" w:lineRule="auto"/>
        <w:widowControl/>
        <w:rPr>
          <w:rFonts w:ascii="仿宋" w:hAnsi="仿宋" w:eastAsia="仿宋"/>
          <w:color w:val="auto"/>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auto"/>
          <w:sz w:val="32"/>
          <w:szCs w:val="32"/>
          <w:highlight w:val="none"/>
        </w:rPr>
        <w:t xml:space="preserve">四、提交投标文件</w:t>
      </w:r>
      <w:bookmarkEnd w:id="18"/>
      <w:r/>
      <w:bookmarkEnd w:id="19"/>
      <w:r>
        <w:rPr>
          <w:rFonts w:ascii="仿宋" w:hAnsi="仿宋" w:eastAsia="仿宋"/>
          <w:color w:val="auto"/>
          <w:sz w:val="32"/>
          <w:szCs w:val="32"/>
          <w:highlight w:val="none"/>
        </w:rPr>
        <w:t xml:space="preserve">截止时间、开标时间和地点</w:t>
      </w:r>
      <w:bookmarkEnd w:id="20"/>
      <w:r/>
      <w:bookmarkEnd w:id="21"/>
      <w:r/>
      <w:r/>
    </w:p>
    <w:p>
      <w:pPr>
        <w:ind w:firstLine="640"/>
        <w:spacing w:line="360" w:lineRule="auto"/>
        <w:rPr>
          <w:rFonts w:ascii="仿宋" w:hAnsi="仿宋" w:eastAsia="仿宋"/>
          <w:bCs/>
          <w:color w:val="auto"/>
          <w:sz w:val="32"/>
          <w:szCs w:val="32"/>
          <w:highlight w:val="none"/>
          <w:u w:val="single"/>
        </w:rPr>
      </w:pPr>
      <w:r>
        <w:rPr>
          <w:rFonts w:ascii="仿宋" w:hAnsi="仿宋" w:eastAsia="仿宋"/>
          <w:color w:val="auto"/>
          <w:sz w:val="32"/>
          <w:szCs w:val="32"/>
          <w:highlight w:val="none"/>
        </w:rPr>
        <w:t xml:space="preserve">投标截止时间、开标时间：</w:t>
      </w:r>
      <w:r>
        <w:rPr>
          <w:rFonts w:hint="eastAsia" w:ascii="仿宋" w:hAnsi="仿宋" w:eastAsia="仿宋"/>
          <w:b/>
          <w:bCs/>
          <w:color w:val="auto"/>
          <w:sz w:val="32"/>
          <w:szCs w:val="32"/>
          <w:highlight w:val="none"/>
        </w:rPr>
        <w:t xml:space="preserve">2026年</w:t>
      </w:r>
      <w:r>
        <w:rPr>
          <w:rFonts w:hint="eastAsia" w:ascii="仿宋" w:hAnsi="仿宋" w:eastAsia="仿宋"/>
          <w:b/>
          <w:bCs/>
          <w:color w:val="auto"/>
          <w:sz w:val="32"/>
          <w:szCs w:val="32"/>
          <w:highlight w:val="none"/>
          <w:lang w:val="en-US" w:eastAsia="zh-CN"/>
        </w:rPr>
        <w:t xml:space="preserve">04</w:t>
      </w:r>
      <w:r>
        <w:rPr>
          <w:rFonts w:hint="eastAsia" w:ascii="仿宋" w:hAnsi="仿宋" w:eastAsia="仿宋"/>
          <w:b/>
          <w:bCs/>
          <w:color w:val="auto"/>
          <w:sz w:val="32"/>
          <w:szCs w:val="32"/>
          <w:highlight w:val="none"/>
        </w:rPr>
        <w:t xml:space="preserve">月</w:t>
      </w:r>
      <w:r>
        <w:rPr>
          <w:rFonts w:hint="eastAsia" w:ascii="仿宋" w:hAnsi="仿宋" w:eastAsia="仿宋"/>
          <w:b/>
          <w:bCs/>
          <w:color w:val="auto"/>
          <w:sz w:val="32"/>
          <w:szCs w:val="32"/>
          <w:highlight w:val="none"/>
          <w:lang w:val="en-US" w:eastAsia="zh-CN"/>
        </w:rPr>
        <w:t xml:space="preserve">16</w:t>
      </w:r>
      <w:r>
        <w:rPr>
          <w:rFonts w:hint="eastAsia" w:ascii="仿宋" w:hAnsi="仿宋" w:eastAsia="仿宋"/>
          <w:b/>
          <w:bCs/>
          <w:color w:val="auto"/>
          <w:sz w:val="32"/>
          <w:szCs w:val="32"/>
          <w:highlight w:val="none"/>
        </w:rPr>
        <w:t xml:space="preserve">日14点00分</w:t>
      </w:r>
      <w:r>
        <w:rPr>
          <w:rFonts w:hint="eastAsia" w:ascii="仿宋" w:hAnsi="仿宋" w:eastAsia="仿宋" w:cs="宋体"/>
          <w:b/>
          <w:bCs/>
          <w:color w:val="auto"/>
          <w:sz w:val="32"/>
          <w:szCs w:val="32"/>
          <w:highlight w:val="none"/>
        </w:rPr>
        <w:t xml:space="preserve">（北京时间）</w:t>
      </w:r>
      <w:r>
        <w:rPr>
          <w:rFonts w:ascii="仿宋" w:hAnsi="仿宋" w:eastAsia="仿宋"/>
          <w:iCs/>
          <w:color w:val="auto"/>
          <w:sz w:val="32"/>
          <w:szCs w:val="32"/>
          <w:highlight w:val="none"/>
        </w:rPr>
        <w:t xml:space="preserve">。</w:t>
      </w:r>
      <w:r/>
    </w:p>
    <w:p>
      <w:pPr>
        <w:ind w:firstLine="640"/>
        <w:spacing w:line="360" w:lineRule="auto"/>
        <w:rPr>
          <w:rFonts w:ascii="仿宋" w:hAnsi="仿宋" w:eastAsia="仿宋"/>
          <w:b/>
          <w:bCs/>
          <w:color w:val="auto"/>
          <w:sz w:val="32"/>
          <w:szCs w:val="32"/>
          <w:highlight w:val="none"/>
        </w:rPr>
      </w:pPr>
      <w:r>
        <w:rPr>
          <w:rFonts w:ascii="仿宋" w:hAnsi="仿宋" w:eastAsia="仿宋"/>
          <w:color w:val="auto"/>
          <w:sz w:val="32"/>
          <w:szCs w:val="32"/>
          <w:highlight w:val="none"/>
        </w:rPr>
        <w:t xml:space="preserve">地点：</w:t>
      </w:r>
      <w:r>
        <w:rPr>
          <w:rFonts w:hint="eastAsia" w:ascii="仿宋" w:hAnsi="仿宋" w:eastAsia="仿宋"/>
          <w:color w:val="auto"/>
          <w:sz w:val="32"/>
          <w:szCs w:val="32"/>
          <w:highlight w:val="none"/>
        </w:rPr>
        <w:t xml:space="preserve">“苏采云”政府采购一体化平台。</w:t>
      </w:r>
      <w:r/>
    </w:p>
    <w:p>
      <w:pPr>
        <w:pStyle w:val="867"/>
        <w:ind w:firstLine="643"/>
        <w:jc w:val="left"/>
        <w:spacing w:before="0" w:line="360" w:lineRule="auto"/>
        <w:rPr>
          <w:rFonts w:ascii="仿宋" w:hAnsi="仿宋" w:eastAsia="仿宋"/>
          <w:color w:val="auto"/>
          <w:sz w:val="32"/>
          <w:szCs w:val="32"/>
          <w:highlight w:val="none"/>
        </w:rPr>
      </w:pPr>
      <w:r/>
      <w:bookmarkStart w:id="22" w:name="_Toc35393625"/>
      <w:r/>
      <w:bookmarkStart w:id="23" w:name="_Toc35393794"/>
      <w:r/>
      <w:bookmarkStart w:id="24" w:name="_Toc28359084"/>
      <w:r/>
      <w:bookmarkStart w:id="25" w:name="_Toc28359007"/>
      <w:r>
        <w:rPr>
          <w:rFonts w:ascii="仿宋" w:hAnsi="仿宋" w:eastAsia="仿宋"/>
          <w:color w:val="auto"/>
          <w:sz w:val="32"/>
          <w:szCs w:val="32"/>
          <w:highlight w:val="none"/>
        </w:rPr>
        <w:t xml:space="preserve">五、公告期限</w:t>
      </w:r>
      <w:bookmarkEnd w:id="22"/>
      <w:r/>
      <w:bookmarkEnd w:id="23"/>
      <w:r/>
      <w:bookmarkEnd w:id="24"/>
      <w:r/>
      <w:bookmarkEnd w:id="25"/>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自本公告发布之日起5个工作日。</w:t>
      </w:r>
      <w:r/>
    </w:p>
    <w:p>
      <w:pPr>
        <w:pStyle w:val="867"/>
        <w:ind w:firstLine="643"/>
        <w:jc w:val="left"/>
        <w:spacing w:before="0" w:line="360" w:lineRule="auto"/>
        <w:rPr>
          <w:rFonts w:ascii="仿宋" w:hAnsi="仿宋" w:eastAsia="仿宋"/>
          <w:color w:val="auto"/>
          <w:sz w:val="32"/>
          <w:szCs w:val="32"/>
          <w:highlight w:val="none"/>
        </w:rPr>
      </w:pPr>
      <w:r/>
      <w:bookmarkStart w:id="26" w:name="_Toc35393626"/>
      <w:r/>
      <w:bookmarkStart w:id="27" w:name="_Toc35393795"/>
      <w:r>
        <w:rPr>
          <w:rFonts w:ascii="仿宋" w:hAnsi="仿宋" w:eastAsia="仿宋"/>
          <w:color w:val="auto"/>
          <w:sz w:val="32"/>
          <w:szCs w:val="32"/>
          <w:highlight w:val="none"/>
        </w:rPr>
        <w:t xml:space="preserve">六、其他补充事宜</w:t>
      </w:r>
      <w:bookmarkEnd w:id="26"/>
      <w:r/>
      <w:bookmarkEnd w:id="27"/>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1.本项目需要落实的政府采购政策：</w:t>
      </w:r>
      <w:r>
        <w:rPr>
          <w:rFonts w:hint="eastAsia" w:ascii="仿宋" w:hAnsi="仿宋" w:eastAsia="仿宋"/>
          <w:color w:val="auto"/>
          <w:sz w:val="32"/>
          <w:szCs w:val="32"/>
          <w:highlight w:val="none"/>
          <w:u w:val="single"/>
        </w:rPr>
        <w:t xml:space="preserve">/</w:t>
      </w:r>
      <w:r>
        <w:rPr>
          <w:rFonts w:ascii="仿宋" w:hAnsi="仿宋" w:eastAsia="仿宋"/>
          <w:color w:val="auto"/>
          <w:sz w:val="32"/>
          <w:szCs w:val="32"/>
          <w:highlight w:val="none"/>
        </w:rPr>
        <w:t xml:space="preserve">。 </w:t>
      </w:r>
      <w:r/>
    </w:p>
    <w:p>
      <w:pPr>
        <w:ind w:firstLine="640"/>
        <w:jc w:val="left"/>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2.根据省财政厅《关</w:t>
      </w:r>
      <w:r>
        <w:rPr>
          <w:rFonts w:hint="eastAsia" w:ascii="仿宋" w:hAnsi="仿宋" w:eastAsia="仿宋"/>
          <w:color w:val="auto"/>
          <w:sz w:val="32"/>
          <w:szCs w:val="3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ascii="仿宋" w:hAnsi="仿宋" w:eastAsia="仿宋"/>
          <w:color w:val="auto"/>
          <w:sz w:val="32"/>
          <w:szCs w:val="32"/>
          <w:highlight w:val="none"/>
          <w:lang w:val="zh-TW"/>
        </w:rPr>
      </w:pPr>
      <w:r>
        <w:rPr>
          <w:rFonts w:hint="eastAsia" w:ascii="仿宋" w:hAnsi="仿宋" w:eastAsia="仿宋"/>
          <w:color w:val="auto"/>
          <w:sz w:val="32"/>
          <w:szCs w:val="32"/>
          <w:highlight w:val="none"/>
        </w:rPr>
        <w:t xml:space="preserve">3</w:t>
      </w:r>
      <w:r>
        <w:rPr>
          <w:rFonts w:hint="eastAsia" w:ascii="仿宋" w:hAnsi="仿宋" w:eastAsia="仿宋"/>
          <w:color w:val="auto"/>
          <w:sz w:val="32"/>
          <w:szCs w:val="32"/>
          <w:highlight w:val="none"/>
          <w:lang w:val="zh-TW"/>
        </w:rPr>
        <w:t xml:space="preserve">.关于常州市中小企业政府采购信用融资：</w:t>
      </w:r>
      <w:r/>
    </w:p>
    <w:p>
      <w:pPr>
        <w:ind w:firstLine="640"/>
        <w:spacing w:line="360" w:lineRule="auto"/>
        <w:rPr>
          <w:rFonts w:ascii="仿宋" w:hAnsi="仿宋" w:eastAsia="仿宋"/>
          <w:color w:val="auto"/>
          <w:sz w:val="32"/>
          <w:szCs w:val="32"/>
          <w:highlight w:val="none"/>
          <w:lang w:val="zh-TW"/>
        </w:rPr>
      </w:pPr>
      <w:r>
        <w:rPr>
          <w:rFonts w:hint="eastAsia" w:ascii="仿宋" w:hAnsi="仿宋" w:eastAsia="仿宋"/>
          <w:color w:val="auto"/>
          <w:sz w:val="32"/>
          <w:szCs w:val="32"/>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867"/>
        <w:ind w:firstLine="643"/>
        <w:jc w:val="left"/>
        <w:spacing w:before="0" w:line="360" w:lineRule="auto"/>
        <w:rPr>
          <w:rFonts w:ascii="仿宋" w:hAnsi="仿宋" w:eastAsia="仿宋"/>
          <w:color w:val="auto"/>
          <w:sz w:val="32"/>
          <w:szCs w:val="32"/>
          <w:highlight w:val="none"/>
        </w:rPr>
      </w:pPr>
      <w:r/>
      <w:bookmarkStart w:id="28" w:name="_Toc28359008"/>
      <w:r/>
      <w:bookmarkStart w:id="29" w:name="_Toc35393796"/>
      <w:r/>
      <w:bookmarkStart w:id="30" w:name="_Toc35393627"/>
      <w:r/>
      <w:bookmarkStart w:id="31" w:name="_Toc28359085"/>
      <w:r>
        <w:rPr>
          <w:rFonts w:ascii="仿宋" w:hAnsi="仿宋" w:eastAsia="仿宋"/>
          <w:color w:val="auto"/>
          <w:sz w:val="32"/>
          <w:szCs w:val="32"/>
          <w:highlight w:val="none"/>
        </w:rPr>
        <w:t xml:space="preserve">七、对本次招标提出询问，请按以下方式联系。</w:t>
      </w:r>
      <w:bookmarkEnd w:id="28"/>
      <w:r/>
      <w:bookmarkEnd w:id="29"/>
      <w:r/>
      <w:bookmarkEnd w:id="30"/>
      <w:r/>
      <w:bookmarkEnd w:id="31"/>
      <w:r/>
      <w:r/>
    </w:p>
    <w:p>
      <w:pPr>
        <w:ind w:firstLine="643"/>
        <w:jc w:val="left"/>
        <w:spacing w:line="360" w:lineRule="auto"/>
        <w:widowControl/>
        <w:rPr>
          <w:rFonts w:ascii="仿宋" w:hAnsi="仿宋" w:eastAsia="仿宋"/>
          <w:b/>
          <w:color w:val="auto"/>
          <w:sz w:val="32"/>
          <w:szCs w:val="32"/>
          <w:highlight w:val="none"/>
        </w:rPr>
      </w:pPr>
      <w:r>
        <w:rPr>
          <w:rFonts w:ascii="仿宋" w:hAnsi="仿宋" w:eastAsia="仿宋"/>
          <w:b/>
          <w:color w:val="auto"/>
          <w:sz w:val="32"/>
          <w:szCs w:val="32"/>
          <w:highlight w:val="none"/>
        </w:rPr>
        <w:t xml:space="preserve">1.采购人信息</w:t>
      </w:r>
      <w:r/>
    </w:p>
    <w:p>
      <w:pPr>
        <w:ind w:firstLine="640"/>
        <w:spacing w:line="360" w:lineRule="auto"/>
        <w:rPr>
          <w:rFonts w:hint="eastAsia" w:ascii="仿宋" w:hAnsi="仿宋" w:eastAsia="仿宋"/>
          <w:color w:val="auto"/>
          <w:sz w:val="32"/>
          <w:szCs w:val="32"/>
          <w:highlight w:val="none"/>
        </w:rPr>
      </w:pPr>
      <w:r/>
      <w:bookmarkStart w:id="32" w:name="_Toc28359086"/>
      <w:r/>
      <w:bookmarkStart w:id="33" w:name="_Toc28359009"/>
      <w:r>
        <w:rPr>
          <w:rFonts w:hint="eastAsia" w:ascii="仿宋" w:hAnsi="仿宋" w:eastAsia="仿宋"/>
          <w:color w:val="auto"/>
          <w:sz w:val="32"/>
          <w:szCs w:val="32"/>
          <w:highlight w:val="none"/>
        </w:rPr>
        <w:t xml:space="preserve">名    称：常州市第三人民医院</w:t>
      </w:r>
      <w:r/>
    </w:p>
    <w:p>
      <w:pPr>
        <w:ind w:firstLine="640"/>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地    址：常州市兰陵北路300号</w:t>
      </w:r>
      <w:r/>
    </w:p>
    <w:p>
      <w:pPr>
        <w:ind w:firstLine="640"/>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联系方式：戴圳0519-82009712</w:t>
      </w:r>
      <w:r/>
    </w:p>
    <w:p>
      <w:pPr>
        <w:ind w:firstLine="643"/>
        <w:jc w:val="left"/>
        <w:spacing w:line="360" w:lineRule="auto"/>
        <w:rPr>
          <w:rFonts w:ascii="仿宋" w:hAnsi="仿宋" w:eastAsia="仿宋"/>
          <w:b/>
          <w:color w:val="auto"/>
          <w:sz w:val="32"/>
          <w:szCs w:val="32"/>
          <w:highlight w:val="none"/>
        </w:rPr>
      </w:pPr>
      <w:r>
        <w:rPr>
          <w:rFonts w:ascii="仿宋" w:hAnsi="仿宋" w:eastAsia="仿宋"/>
          <w:b/>
          <w:color w:val="auto"/>
          <w:sz w:val="32"/>
          <w:szCs w:val="32"/>
          <w:highlight w:val="none"/>
        </w:rPr>
        <w:t xml:space="preserve">2.采购代理机构信息</w:t>
      </w:r>
      <w:bookmarkEnd w:id="32"/>
      <w:r/>
      <w:bookmarkEnd w:id="33"/>
      <w:r/>
      <w:r/>
    </w:p>
    <w:p>
      <w:pPr>
        <w:ind w:firstLine="640"/>
        <w:spacing w:line="360" w:lineRule="auto"/>
        <w:rPr>
          <w:rFonts w:hint="eastAsia" w:ascii="仿宋" w:hAnsi="仿宋" w:eastAsia="仿宋"/>
          <w:color w:val="auto"/>
          <w:sz w:val="32"/>
          <w:szCs w:val="32"/>
          <w:highlight w:val="none"/>
        </w:rPr>
      </w:pPr>
      <w:r/>
      <w:bookmarkStart w:id="34" w:name="_Toc28359010"/>
      <w:r/>
      <w:bookmarkStart w:id="35" w:name="_Toc28359087"/>
      <w:r>
        <w:rPr>
          <w:rFonts w:hint="eastAsia" w:ascii="仿宋" w:hAnsi="仿宋" w:eastAsia="仿宋"/>
          <w:color w:val="auto"/>
          <w:sz w:val="32"/>
          <w:szCs w:val="32"/>
          <w:highlight w:val="none"/>
        </w:rPr>
        <w:t xml:space="preserve">名    称：常州市城投建设工程招标有限公司</w:t>
      </w:r>
      <w:r/>
    </w:p>
    <w:p>
      <w:pPr>
        <w:ind w:firstLine="640"/>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地    址：常州市新北区通江中路396号中创大厦4楼</w:t>
      </w:r>
      <w:r/>
    </w:p>
    <w:p>
      <w:pPr>
        <w:ind w:firstLine="640"/>
        <w:spacing w:line="360" w:lineRule="auto"/>
        <w:rPr>
          <w:rFonts w:hint="eastAsia" w:ascii="仿宋" w:hAnsi="仿宋" w:eastAsia="仿宋"/>
          <w:b/>
          <w:color w:val="auto"/>
          <w:sz w:val="32"/>
          <w:szCs w:val="32"/>
          <w:highlight w:val="none"/>
        </w:rPr>
      </w:pPr>
      <w:r>
        <w:rPr>
          <w:rFonts w:hint="eastAsia" w:ascii="仿宋" w:hAnsi="仿宋" w:eastAsia="仿宋"/>
          <w:color w:val="auto"/>
          <w:sz w:val="32"/>
          <w:szCs w:val="32"/>
          <w:highlight w:val="none"/>
        </w:rPr>
        <w:t xml:space="preserve">联系方式：0519-81580101</w:t>
      </w:r>
      <w:r>
        <w:rPr>
          <w:rFonts w:ascii="仿宋" w:hAnsi="仿宋" w:eastAsia="仿宋"/>
          <w:b/>
          <w:color w:val="auto"/>
          <w:sz w:val="32"/>
          <w:szCs w:val="32"/>
          <w:highlight w:val="none"/>
        </w:rPr>
        <w:t xml:space="preserve"> </w:t>
      </w:r>
      <w:r/>
    </w:p>
    <w:p>
      <w:pPr>
        <w:ind w:firstLine="643"/>
        <w:spacing w:line="360" w:lineRule="auto"/>
        <w:rPr>
          <w:rFonts w:hint="eastAsia" w:ascii="仿宋" w:hAnsi="仿宋" w:eastAsia="仿宋"/>
          <w:b/>
          <w:color w:val="auto"/>
          <w:sz w:val="32"/>
          <w:szCs w:val="32"/>
          <w:highlight w:val="none"/>
        </w:rPr>
      </w:pPr>
      <w:r>
        <w:rPr>
          <w:rFonts w:ascii="仿宋" w:hAnsi="仿宋" w:eastAsia="仿宋"/>
          <w:b/>
          <w:color w:val="auto"/>
          <w:sz w:val="32"/>
          <w:szCs w:val="32"/>
          <w:highlight w:val="none"/>
        </w:rPr>
        <w:t xml:space="preserve">3.项目联系方式</w:t>
      </w:r>
      <w:bookmarkEnd w:id="34"/>
      <w:r/>
      <w:bookmarkEnd w:id="35"/>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项目联系人：彭艳</w:t>
      </w:r>
      <w:r/>
    </w:p>
    <w:p>
      <w:pPr>
        <w:ind w:firstLine="640"/>
        <w:spacing w:line="360" w:lineRule="auto"/>
        <w:rPr>
          <w:rFonts w:ascii="仿宋" w:hAnsi="仿宋" w:eastAsia="仿宋"/>
          <w:color w:val="auto"/>
          <w:sz w:val="24"/>
          <w:highlight w:val="none"/>
        </w:rPr>
      </w:pPr>
      <w:r>
        <w:rPr>
          <w:rFonts w:hint="eastAsia" w:ascii="仿宋" w:hAnsi="仿宋" w:eastAsia="仿宋"/>
          <w:color w:val="auto"/>
          <w:sz w:val="32"/>
          <w:szCs w:val="32"/>
          <w:highlight w:val="none"/>
        </w:rPr>
        <w:t xml:space="preserve">电      话：0519-81580152  81580191  81580192（转分机号6034）</w:t>
      </w:r>
      <w:r/>
    </w:p>
    <w:p>
      <w:pPr>
        <w:jc w:val="center"/>
        <w:spacing w:line="360" w:lineRule="auto"/>
        <w:rPr>
          <w:rFonts w:ascii="宋体" w:hAnsi="宋体"/>
          <w:b/>
          <w:color w:val="auto"/>
          <w:sz w:val="32"/>
          <w:szCs w:val="32"/>
          <w:highlight w:val="none"/>
        </w:rPr>
        <w:outlineLvl w:val="0"/>
      </w:pPr>
      <w:r>
        <w:rPr>
          <w:rFonts w:ascii="宋体" w:hAnsi="宋体"/>
          <w:color w:val="auto"/>
          <w:sz w:val="24"/>
          <w:highlight w:val="none"/>
        </w:rPr>
        <w:br w:type="page" w:clear="all"/>
      </w:r>
      <w:bookmarkStart w:id="36" w:name="_Toc99301420"/>
      <w:r/>
      <w:bookmarkStart w:id="37" w:name="_Toc195842950"/>
      <w:r/>
      <w:bookmarkStart w:id="38" w:name="_Toc226965856"/>
      <w:r/>
      <w:bookmarkStart w:id="39" w:name="_Toc150774783"/>
      <w:r/>
      <w:bookmarkStart w:id="40" w:name="_Toc305158854"/>
      <w:r/>
      <w:bookmarkStart w:id="41" w:name="_Toc127161488"/>
      <w:r/>
      <w:bookmarkStart w:id="42" w:name="_Toc264969275"/>
      <w:r/>
      <w:bookmarkStart w:id="43" w:name="_Toc353873938"/>
      <w:r/>
      <w:bookmarkStart w:id="44" w:name="_Toc127151777"/>
      <w:r/>
      <w:bookmarkStart w:id="45" w:name="_Toc353825548"/>
      <w:r/>
      <w:bookmarkStart w:id="46" w:name="_Toc512937850"/>
      <w:r/>
      <w:bookmarkStart w:id="47" w:name="_Toc265228423"/>
      <w:r/>
      <w:bookmarkStart w:id="48" w:name="_Toc305158928"/>
      <w:r>
        <w:rPr>
          <w:rFonts w:ascii="宋体" w:hAnsi="宋体"/>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867"/>
        <w:spacing w:before="0" w:line="360" w:lineRule="auto"/>
        <w:tabs>
          <w:tab w:val="center" w:pos="4592" w:leader="none"/>
          <w:tab w:val="left" w:pos="7860" w:leader="none"/>
        </w:tabs>
        <w:rPr>
          <w:rFonts w:ascii="宋体" w:hAnsi="宋体" w:eastAsia="宋体"/>
          <w:color w:val="auto"/>
          <w:sz w:val="28"/>
          <w:highlight w:val="none"/>
        </w:rPr>
      </w:pPr>
      <w:r/>
      <w:bookmarkStart w:id="49" w:name="_Toc151193833"/>
      <w:r/>
      <w:bookmarkStart w:id="50" w:name="_Toc151193617"/>
      <w:r/>
      <w:bookmarkStart w:id="51" w:name="_Toc151193689"/>
      <w:r/>
      <w:bookmarkStart w:id="52" w:name="_Toc226965709"/>
      <w:r/>
      <w:bookmarkStart w:id="53" w:name="_Toc164608633"/>
      <w:r/>
      <w:bookmarkStart w:id="54" w:name="_Toc150480757"/>
      <w:r/>
      <w:bookmarkStart w:id="55" w:name="_Toc142311021"/>
      <w:r/>
      <w:bookmarkStart w:id="56" w:name="_Toc127161433"/>
      <w:r/>
      <w:bookmarkStart w:id="57" w:name="_Toc226965792"/>
      <w:r/>
      <w:bookmarkStart w:id="58" w:name="_Toc164608788"/>
      <w:r/>
      <w:bookmarkStart w:id="59" w:name="_Toc151193907"/>
      <w:r/>
      <w:bookmarkStart w:id="60" w:name="_Toc164229214"/>
      <w:r/>
      <w:bookmarkStart w:id="61" w:name="_Toc164229360"/>
      <w:r/>
      <w:bookmarkStart w:id="62" w:name="_Toc150509270"/>
      <w:r/>
      <w:bookmarkStart w:id="63" w:name="_Toc127151720"/>
      <w:r/>
      <w:bookmarkStart w:id="64" w:name="_Toc151190146"/>
      <w:r/>
      <w:bookmarkStart w:id="65" w:name="_Toc226337215"/>
      <w:r/>
      <w:bookmarkStart w:id="66" w:name="_Toc520356144"/>
      <w:r/>
      <w:bookmarkStart w:id="67" w:name="_Toc127151519"/>
      <w:r/>
      <w:bookmarkStart w:id="68" w:name="_Toc150774724"/>
      <w:r/>
      <w:bookmarkStart w:id="69" w:name="_Toc226309763"/>
      <w:r/>
      <w:bookmarkStart w:id="70" w:name="_Toc151193761"/>
      <w:r/>
      <w:bookmarkStart w:id="71" w:name="_Toc150774619"/>
      <w:r/>
      <w:bookmarkStart w:id="72" w:name="_Toc149720812"/>
      <w:r/>
      <w:bookmarkStart w:id="73" w:name="_Toc164351613"/>
      <w:r/>
      <w:bookmarkStart w:id="74" w:name="_Toc195842884"/>
      <w:r>
        <w:rPr>
          <w:rFonts w:ascii="宋体" w:hAnsi="宋体" w:eastAsia="宋体"/>
          <w:color w:val="auto"/>
          <w:sz w:val="28"/>
          <w:highlight w:val="none"/>
        </w:rPr>
        <w:t xml:space="preserve">投标人须知资料表</w:t>
      </w:r>
      <w:r/>
    </w:p>
    <w:p>
      <w:pPr>
        <w:jc w:val="center"/>
        <w:rPr>
          <w:rFonts w:ascii="宋体" w:hAnsi="宋体"/>
          <w:b/>
          <w:color w:val="auto"/>
          <w:sz w:val="28"/>
          <w:szCs w:val="28"/>
          <w:highlight w:val="none"/>
        </w:rPr>
      </w:pPr>
      <w:r>
        <w:rPr>
          <w:rFonts w:ascii="宋体" w:hAnsi="宋体"/>
          <w:b/>
          <w:color w:val="auto"/>
          <w:sz w:val="28"/>
          <w:szCs w:val="28"/>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本表是对投标人须知的具体补充和修改，如有矛盾，均以本资料表为准。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”的选项意为适用于本项目，标记“□”的选项意为不适用于本项目。</w:t>
      </w:r>
      <w:r/>
    </w:p>
    <w:tbl>
      <w:tblPr>
        <w:tblStyle w:val="87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54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■货物</w:t>
            </w:r>
            <w:r/>
          </w:p>
        </w:tc>
      </w:tr>
      <w:tr>
        <w:trPr>
          <w:jc w:val="center"/>
          <w:trHeight w:val="20"/>
        </w:trPr>
        <w:tc>
          <w:tcPr>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2.3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20"/>
        </w:trPr>
        <w:tc>
          <w:tcPr>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2.4</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核心产品</w:t>
            </w:r>
            <w:r/>
          </w:p>
        </w:tc>
        <w:tc>
          <w:tcPr>
            <w:tcW w:w="7540" w:type="dxa"/>
            <w:vAlign w:val="center"/>
            <w:textDirection w:val="lrTb"/>
            <w:noWrap w:val="false"/>
          </w:tcPr>
          <w:p>
            <w:pPr>
              <w:pStyle w:val="889"/>
              <w:spacing w:line="360" w:lineRule="exac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关于核心产品</w:t>
            </w:r>
            <w:r>
              <w:rPr>
                <w:rFonts w:ascii="Times New Roman" w:hAnsi="Times New Roman"/>
                <w:color w:val="auto"/>
                <w:sz w:val="24"/>
                <w:szCs w:val="24"/>
                <w:highlight w:val="none"/>
              </w:rPr>
              <w:t xml:space="preserve">，</w:t>
            </w:r>
            <w:r>
              <w:rPr>
                <w:rFonts w:hint="default" w:ascii="Times New Roman" w:hAnsi="Times New Roman"/>
                <w:color w:val="auto"/>
                <w:sz w:val="24"/>
                <w:szCs w:val="24"/>
                <w:highlight w:val="none"/>
              </w:rPr>
              <w:t xml:space="preserve">本项目</w:t>
            </w:r>
            <w:r>
              <w:rPr>
                <w:rFonts w:ascii="Times New Roman" w:hAnsi="Times New Roman"/>
                <w:color w:val="auto"/>
                <w:sz w:val="24"/>
                <w:szCs w:val="24"/>
                <w:highlight w:val="none"/>
              </w:rPr>
              <w:t xml:space="preserve">：</w:t>
            </w:r>
            <w:r>
              <w:rPr>
                <w:rFonts w:ascii="Wingdings 2" w:hAnsi="Wingdings 2" w:eastAsia="Wingdings 2" w:cs="Wingdings 2"/>
                <w:color w:val="auto"/>
                <w:sz w:val="24"/>
                <w:szCs w:val="24"/>
                <w:highlight w:val="none"/>
              </w:rPr>
              <w:t xml:space="preserve">R</w:t>
            </w:r>
            <w:r>
              <w:rPr>
                <w:rFonts w:hint="default" w:ascii="Times New Roman" w:hAnsi="Times New Roman"/>
                <w:color w:val="auto"/>
                <w:sz w:val="24"/>
                <w:szCs w:val="24"/>
                <w:highlight w:val="none"/>
              </w:rPr>
              <w:t xml:space="preserve">适用</w:t>
            </w:r>
            <w:r>
              <w:rPr>
                <w:color w:val="auto"/>
                <w:sz w:val="24"/>
                <w:highlight w:val="none"/>
              </w:rPr>
              <w:fldChar w:fldCharType="begin"/>
            </w:r>
            <w:r>
              <w:rPr>
                <w:color w:val="auto"/>
                <w:sz w:val="24"/>
                <w:highlight w:val="none"/>
              </w:rPr>
              <w:instrText xml:space="preserve"> eq \o \ac(□)</w:instrText>
            </w:r>
            <w:r>
              <w:rPr>
                <w:color w:val="auto"/>
                <w:sz w:val="24"/>
                <w:highlight w:val="none"/>
              </w:rPr>
              <w:fldChar w:fldCharType="end"/>
            </w:r>
            <w:r>
              <w:rPr>
                <w:rFonts w:hint="default" w:ascii="Times New Roman" w:hAnsi="Times New Roman"/>
                <w:color w:val="auto"/>
                <w:sz w:val="24"/>
                <w:szCs w:val="24"/>
                <w:highlight w:val="none"/>
              </w:rPr>
              <w:t xml:space="preserve">不适用。</w:t>
            </w:r>
            <w:r/>
          </w:p>
          <w:p>
            <w:pPr>
              <w:pStyle w:val="889"/>
              <w:spacing w:line="360" w:lineRule="exact"/>
              <w:rPr>
                <w:rFonts w:hint="default" w:ascii="Times New Roman" w:hAnsi="Times New Roman"/>
                <w:color w:val="auto"/>
                <w:sz w:val="24"/>
                <w:szCs w:val="24"/>
                <w:highlight w:val="none"/>
              </w:rPr>
            </w:pPr>
            <w:r>
              <w:rPr>
                <w:rFonts w:ascii="Wingdings 2" w:hAnsi="Wingdings 2" w:eastAsia="Wingdings 2" w:cs="Wingdings 2"/>
                <w:color w:val="auto"/>
                <w:sz w:val="24"/>
                <w:szCs w:val="24"/>
                <w:highlight w:val="none"/>
              </w:rPr>
              <w:t xml:space="preserve">R</w:t>
            </w:r>
            <w:r>
              <w:rPr>
                <w:rFonts w:hint="default" w:ascii="Times New Roman" w:hAnsi="Times New Roman"/>
                <w:color w:val="auto"/>
                <w:sz w:val="24"/>
                <w:szCs w:val="24"/>
                <w:highlight w:val="none"/>
              </w:rPr>
              <w:t xml:space="preserve">本项目为单一产品采购项目。</w:t>
            </w:r>
            <w:r/>
          </w:p>
          <w:p>
            <w:pPr>
              <w:jc w:val="left"/>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color w:val="auto"/>
                <w:sz w:val="24"/>
                <w:highlight w:val="none"/>
              </w:rPr>
              <w:t xml:space="preserve">本项目为非单一产品采购项目，核心产品为：</w:t>
            </w:r>
            <w:r>
              <w:rPr>
                <w:color w:val="auto"/>
                <w:sz w:val="24"/>
                <w:highlight w:val="none"/>
                <w:u w:val="single"/>
              </w:rPr>
              <w:t xml:space="preserve">        </w:t>
            </w:r>
            <w:r>
              <w:rPr>
                <w:color w:val="auto"/>
                <w:sz w:val="24"/>
                <w:highlight w:val="none"/>
              </w:rPr>
              <w:t xml:space="preserve">。</w:t>
            </w:r>
            <w:r/>
          </w:p>
        </w:tc>
      </w:tr>
      <w:tr>
        <w:trPr>
          <w:jc w:val="center"/>
          <w:trHeight w:val="20"/>
        </w:trPr>
        <w:tc>
          <w:tcPr>
            <w:tcW w:w="988" w:type="dxa"/>
            <w:vAlign w:val="center"/>
            <w:vMerge w:val="restart"/>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现场考察</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hint="eastAsia"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分</w:t>
            </w:r>
            <w:r/>
          </w:p>
          <w:p>
            <w:pPr>
              <w:pStyle w:val="889"/>
              <w:rPr>
                <w:rFonts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highlight w:val="none"/>
                <w:u w:val="single"/>
              </w:rPr>
              <w:t xml:space="preserve">/</w:t>
            </w:r>
            <w:r>
              <w:rPr>
                <w:rFonts w:hAnsi="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4.1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样品</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投标样品递交：</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■不需要</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□需要</w:t>
            </w:r>
            <w:r/>
          </w:p>
        </w:tc>
      </w:tr>
      <w:tr>
        <w:trPr>
          <w:jc w:val="center"/>
          <w:trHeight w:val="517"/>
        </w:trPr>
        <w:tc>
          <w:tcPr>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5.2.5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
                <w:bCs/>
                <w:color w:val="auto"/>
                <w:sz w:val="24"/>
                <w:highlight w:val="none"/>
              </w:rPr>
              <w:t xml:space="preserve">工业</w:t>
            </w:r>
            <w:r>
              <w:rPr>
                <w:rFonts w:hint="eastAsia" w:ascii="宋体" w:hAnsi="宋体" w:cs="宋体"/>
                <w:color w:val="auto"/>
                <w:sz w:val="24"/>
                <w:highlight w:val="none"/>
              </w:rPr>
              <w:t xml:space="preserve">。</w:t>
            </w:r>
            <w:r/>
          </w:p>
        </w:tc>
      </w:tr>
      <w:tr>
        <w:trPr>
          <w:jc w:val="center"/>
          <w:trHeight w:val="517"/>
        </w:trPr>
        <w:tc>
          <w:tcPr>
            <w:tcW w:w="988" w:type="dxa"/>
            <w:vAlign w:val="center"/>
            <w:textDirection w:val="lrTb"/>
            <w:noWrap w:val="false"/>
          </w:tcPr>
          <w:p>
            <w:pPr>
              <w:pStyle w:val="889"/>
              <w:jc w:val="center"/>
              <w:rPr>
                <w:rFonts w:hint="default" w:hAnsi="宋体" w:cs="宋体"/>
                <w:color w:val="auto"/>
                <w:sz w:val="24"/>
                <w:szCs w:val="24"/>
                <w:highlight w:val="none"/>
              </w:rPr>
            </w:pPr>
            <w:r>
              <w:rPr>
                <w:rFonts w:hAnsi="宋体" w:cs="宋体"/>
                <w:color w:val="auto"/>
                <w:sz w:val="24"/>
                <w:szCs w:val="24"/>
                <w:highlight w:val="none"/>
              </w:rPr>
              <w:t xml:space="preserve">5.9</w:t>
            </w:r>
            <w:r/>
          </w:p>
        </w:tc>
        <w:tc>
          <w:tcPr>
            <w:tcW w:w="1701"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rFonts w:ascii="Wingdings 2" w:hAnsi="Wingdings 2" w:eastAsia="Wingdings 2" w:cs="Wingdings 2"/>
                <w:color w:val="auto"/>
                <w:sz w:val="24"/>
                <w:highlight w:val="none"/>
              </w:rPr>
              <w:t xml:space="preserve">R</w:t>
            </w:r>
            <w:r>
              <w:rPr>
                <w:rFonts w:hint="eastAsia"/>
                <w:color w:val="auto"/>
                <w:sz w:val="24"/>
                <w:highlight w:val="none"/>
              </w:rPr>
              <w:t xml:space="preserve">适用 </w:t>
            </w:r>
            <w:r>
              <w:rPr>
                <w:rFonts w:hint="eastAsia"/>
                <w:color w:val="auto"/>
                <w:sz w:val="24"/>
                <w:highlight w:val="none"/>
              </w:rPr>
              <w:fldChar w:fldCharType="begin"/>
            </w:r>
            <w:r>
              <w:rPr>
                <w:rFonts w:hint="eastAsia"/>
                <w:color w:val="auto"/>
                <w:sz w:val="24"/>
                <w:highlight w:val="none"/>
              </w:rPr>
              <w:instrText xml:space="preserve"> eq \o \ac(□)</w:instrText>
            </w:r>
            <w:r>
              <w:rPr>
                <w:rFonts w:hint="eastAsia"/>
                <w:color w:val="auto"/>
                <w:sz w:val="24"/>
                <w:highlight w:val="none"/>
              </w:rPr>
              <w:fldChar w:fldCharType="end"/>
            </w:r>
            <w:r>
              <w:rPr>
                <w:rFonts w:hint="eastAsia"/>
                <w:color w:val="auto"/>
                <w:sz w:val="24"/>
                <w:highlight w:val="none"/>
              </w:rPr>
              <w:t xml:space="preserve">不适用。</w:t>
            </w:r>
            <w:r/>
          </w:p>
          <w:p>
            <w:pPr>
              <w:pStyle w:val="867"/>
              <w:jc w:val="both"/>
              <w:keepLines w:val="0"/>
              <w:keepNext w:val="0"/>
              <w:spacing w:before="0" w:line="360" w:lineRule="exact"/>
              <w:shd w:val="clear" w:color="auto" w:fill="ffffff"/>
              <w:widowControl/>
              <w:rPr>
                <w:rFonts w:hint="eastAsia" w:ascii="宋体" w:hAnsi="宋体" w:cs="宋体"/>
                <w:color w:val="auto"/>
                <w:sz w:val="24"/>
                <w:highlight w:val="non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br w:type="page" w:clear="all"/>
            </w:r>
            <w:r>
              <w:rPr>
                <w:rFonts w:hAnsi="宋体" w:cs="宋体"/>
                <w:color w:val="auto"/>
                <w:sz w:val="24"/>
                <w:szCs w:val="24"/>
                <w:highlight w:val="none"/>
              </w:rPr>
              <w:t xml:space="preserve">11.2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□有，具体情形：_____。</w:t>
            </w:r>
            <w:r/>
          </w:p>
        </w:tc>
      </w:tr>
      <w:tr>
        <w:trPr>
          <w:jc w:val="center"/>
          <w:trHeight w:val="20"/>
        </w:trPr>
        <w:tc>
          <w:tcPr>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12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投标保证金</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20"/>
        </w:trPr>
        <w:tc>
          <w:tcPr>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13.1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25.5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分包</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26.1.1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询问</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询问送达形式：投标人对招标文件如有疑问，请将疑问于</w:t>
            </w:r>
            <w:r>
              <w:rPr>
                <w:rFonts w:hint="eastAsia" w:ascii="宋体" w:hAnsi="宋体" w:cs="宋体"/>
                <w:b/>
                <w:bCs/>
                <w:color w:val="auto"/>
                <w:sz w:val="24"/>
                <w:highlight w:val="none"/>
              </w:rPr>
              <w:t xml:space="preserve">2026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03</w:t>
            </w:r>
            <w:r>
              <w:rPr>
                <w:rFonts w:hint="eastAsia" w:ascii="宋体" w:hAnsi="宋体" w:cs="宋体"/>
                <w:b/>
                <w:color w:val="auto"/>
                <w:sz w:val="24"/>
                <w:highlight w:val="none"/>
              </w:rPr>
              <w:t xml:space="preserve">日11点00分</w:t>
            </w:r>
            <w:r>
              <w:rPr>
                <w:rFonts w:hint="eastAsia" w:ascii="宋体" w:hAnsi="宋体" w:cs="宋体"/>
                <w:color w:val="auto"/>
                <w:sz w:val="24"/>
                <w:highlight w:val="none"/>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26.3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联系部门：技术部；</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联系电话：0519-81580152  81580191  81580192（转分机号6034）；</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通讯地址：常州市城投建设工程招标有限公司（常州市新北区通江中路396号中创大厦4楼）。</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89"/>
              <w:jc w:val="center"/>
              <w:rPr>
                <w:rFonts w:hAnsi="宋体" w:cs="宋体"/>
                <w:color w:val="auto"/>
                <w:sz w:val="24"/>
                <w:szCs w:val="24"/>
                <w:highlight w:val="none"/>
              </w:rPr>
            </w:pPr>
            <w:r>
              <w:rPr>
                <w:rFonts w:hAnsi="宋体" w:cs="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（一）收费对象：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■中标人</w:t>
            </w:r>
            <w:r/>
          </w:p>
          <w:p>
            <w:pPr>
              <w:jc w:val="left"/>
              <w:rPr>
                <w:rFonts w:hint="eastAsia" w:ascii="宋体" w:hAnsi="宋体" w:cs="宋体"/>
                <w:bCs/>
                <w:color w:val="auto"/>
                <w:sz w:val="24"/>
                <w:highlight w:val="none"/>
              </w:rPr>
            </w:pPr>
            <w:r>
              <w:rPr>
                <w:rFonts w:hint="eastAsia" w:ascii="宋体" w:hAnsi="宋体" w:cs="宋体"/>
                <w:b/>
                <w:color w:val="auto"/>
                <w:sz w:val="24"/>
                <w:highlight w:val="none"/>
              </w:rPr>
              <w:t xml:space="preserve">（二）收费标准：</w:t>
            </w:r>
            <w:r>
              <w:rPr>
                <w:rFonts w:hint="eastAsia" w:ascii="宋体" w:hAnsi="宋体" w:cs="宋体"/>
                <w:bCs/>
                <w:color w:val="auto"/>
                <w:sz w:val="24"/>
                <w:highlight w:val="none"/>
              </w:rPr>
              <w:t xml:space="preserve">成交供应商须按其成交金额的0.8%计算并支付代理费。代理费按上述计算方法不足人民币3000元的，按人民币3000元收取。</w: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（三）缴纳时间：</w:t>
            </w:r>
            <w:r>
              <w:rPr>
                <w:rFonts w:hint="eastAsia" w:ascii="宋体" w:hAnsi="宋体" w:cs="宋体"/>
                <w:color w:val="auto"/>
                <w:sz w:val="24"/>
                <w:highlight w:val="none"/>
              </w:rPr>
              <w:t xml:space="preserve">中标人应在领取中标通知书时将代理费支付至常州市城投建设工程招标有限公司账户。</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收款单位：常州市城投建设工程招标有限公司</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开户银行：中国建设银行常州大成苑支行</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银行账号：32001624236052500905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89"/>
              <w:jc w:val="center"/>
              <w:rPr>
                <w:rFonts w:hAnsi="宋体" w:cs="宋体"/>
                <w:color w:val="auto"/>
                <w:sz w:val="24"/>
                <w:szCs w:val="24"/>
                <w:highlight w:val="none"/>
              </w:rPr>
            </w:pPr>
            <w:r>
              <w:rPr>
                <w:rFonts w:hAnsi="宋体"/>
                <w:color w:val="auto"/>
                <w:sz w:val="24"/>
                <w:szCs w:val="24"/>
                <w:highlight w:val="none"/>
              </w:rPr>
              <w:t xml:space="preserve">2</w:t>
            </w:r>
            <w:r>
              <w:rPr>
                <w:rFonts w:hint="default" w:hAnsi="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ind w:firstLine="472"/>
              <w:jc w:val="left"/>
              <w:rPr>
                <w:rFonts w:hint="eastAsia" w:ascii="宋体" w:hAnsi="宋体" w:cs="宋体"/>
                <w:b/>
                <w:color w:val="auto"/>
                <w:sz w:val="24"/>
                <w:highlight w:val="none"/>
              </w:rPr>
            </w:pPr>
            <w:r>
              <w:rPr>
                <w:rFonts w:hint="eastAsia"/>
                <w:color w:val="auto"/>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auto"/>
                <w:sz w:val="24"/>
                <w:highlight w:val="none"/>
              </w:rPr>
              <w:t xml:space="preserve">建设工程招标有限公司</w:t>
            </w:r>
            <w:r>
              <w:rPr>
                <w:rFonts w:hint="eastAsia"/>
                <w:color w:val="auto"/>
                <w:sz w:val="24"/>
                <w:highlight w:val="none"/>
              </w:rPr>
              <w:t xml:space="preserve">，联系方式见《第一章 投标邀请》）</w:t>
            </w:r>
            <w:r/>
          </w:p>
        </w:tc>
      </w:tr>
    </w:tbl>
    <w:p>
      <w:pPr>
        <w:jc w:val="both"/>
        <w:spacing w:line="360" w:lineRule="auto"/>
        <w:tabs>
          <w:tab w:val="left" w:pos="5580" w:leader="none"/>
        </w:tabs>
        <w:rPr>
          <w:rFonts w:hint="eastAsia" w:ascii="宋体" w:hAnsi="宋体" w:cs="宋体"/>
          <w:color w:val="auto"/>
          <w:sz w:val="24"/>
          <w:highlight w:val="none"/>
        </w:rPr>
        <w:sectPr>
          <w:headerReference w:type="first" r:id="rId12"/>
          <w:footerReference w:type="default" r:id="rId20"/>
          <w:footnotePr/>
          <w:endnotePr/>
          <w:type w:val="nextColumn"/>
          <w:pgSz w:w="11907" w:h="16840" w:orient="portrait"/>
          <w:pgMar w:top="1418" w:right="1134" w:bottom="1418" w:left="1701" w:header="851" w:footer="851" w:gutter="0"/>
          <w:pgNumType w:start="0"/>
          <w:cols w:num="1" w:sep="0" w:space="720" w:equalWidth="1"/>
          <w:docGrid w:linePitch="360"/>
          <w:titlePg/>
        </w:sectPr>
      </w:pPr>
      <w:r>
        <w:rPr>
          <w:rFonts w:hint="eastAsia" w:ascii="宋体" w:hAnsi="宋体" w:cs="宋体"/>
          <w:color w:val="auto"/>
          <w:sz w:val="24"/>
          <w:highlight w:val="none"/>
        </w:rPr>
      </w:r>
      <w:r/>
    </w:p>
    <w:p>
      <w:pPr>
        <w:jc w:val="center"/>
        <w:rPr>
          <w:rFonts w:hint="eastAsia" w:ascii="宋体" w:hAnsi="宋体" w:cs="宋体"/>
          <w:b/>
          <w:color w:val="auto"/>
          <w:sz w:val="28"/>
          <w:szCs w:val="28"/>
          <w:highlight w:val="none"/>
        </w:rPr>
      </w:pPr>
      <w:r/>
      <w:bookmarkStart w:id="75" w:name="_Toc353873662"/>
      <w:r/>
      <w:bookmarkStart w:id="76" w:name="_Toc353873932"/>
      <w:r/>
      <w:bookmarkStart w:id="77" w:name="_Toc127151517"/>
      <w:r/>
      <w:bookmarkStart w:id="78" w:name="_Toc305158785"/>
      <w:r/>
      <w:bookmarkStart w:id="79" w:name="_Toc142311019"/>
      <w:r/>
      <w:bookmarkStart w:id="80" w:name="_Toc265228355"/>
      <w:r/>
      <w:bookmarkStart w:id="81" w:name="_Toc305158859"/>
      <w:r/>
      <w:bookmarkStart w:id="82" w:name="_Toc150774722"/>
      <w:r/>
      <w:bookmarkStart w:id="83" w:name="_Toc195842882"/>
      <w:r/>
      <w:bookmarkStart w:id="84" w:name="_Toc353825542"/>
      <w:r/>
      <w:bookmarkStart w:id="85" w:name="_Toc226965790"/>
      <w:r/>
      <w:bookmarkStart w:id="86" w:name="_Toc264969207"/>
      <w:r/>
      <w:bookmarkStart w:id="87" w:name="_Toc150480755"/>
      <w:r/>
      <w:bookmarkStart w:id="88" w:name="_Toc226337213"/>
      <w:r>
        <w:rPr>
          <w:rFonts w:hint="eastAsia" w:ascii="宋体" w:hAnsi="宋体" w:cs="宋体"/>
          <w:b/>
          <w:color w:val="auto"/>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867"/>
        <w:jc w:val="left"/>
        <w:spacing w:before="0" w:line="360" w:lineRule="auto"/>
        <w:tabs>
          <w:tab w:val="center" w:pos="4592" w:leader="none"/>
          <w:tab w:val="left" w:pos="7860" w:leader="none"/>
        </w:tabs>
        <w:rPr>
          <w:rFonts w:hint="eastAsia" w:ascii="宋体" w:hAnsi="宋体" w:eastAsia="宋体" w:cs="宋体"/>
          <w:color w:val="auto"/>
          <w:sz w:val="28"/>
          <w:highlight w:val="none"/>
        </w:rPr>
      </w:pPr>
      <w:r/>
      <w:bookmarkStart w:id="89" w:name="_Toc520356143"/>
      <w:r/>
      <w:bookmarkStart w:id="90" w:name="_Toc127151518"/>
      <w:r>
        <w:rPr>
          <w:rFonts w:hint="eastAsia" w:ascii="宋体" w:hAnsi="宋体" w:eastAsia="宋体" w:cs="宋体"/>
          <w:color w:val="auto"/>
          <w:sz w:val="28"/>
          <w:highlight w:val="none"/>
        </w:rPr>
        <w:tab/>
      </w:r>
      <w:bookmarkStart w:id="91" w:name="_Toc150774618"/>
      <w:r/>
      <w:bookmarkStart w:id="92" w:name="_Toc226309762"/>
      <w:r/>
      <w:bookmarkStart w:id="93" w:name="_Toc142311020"/>
      <w:r/>
      <w:bookmarkStart w:id="94" w:name="_Toc265228356"/>
      <w:r/>
      <w:bookmarkStart w:id="95" w:name="_Toc151193832"/>
      <w:r/>
      <w:bookmarkStart w:id="96" w:name="_Toc195842883"/>
      <w:r/>
      <w:bookmarkStart w:id="97" w:name="_Toc264969208"/>
      <w:r/>
      <w:bookmarkStart w:id="98" w:name="_Toc305158860"/>
      <w:r/>
      <w:bookmarkStart w:id="99" w:name="_Toc305158786"/>
      <w:r/>
      <w:bookmarkStart w:id="100" w:name="_Toc151193906"/>
      <w:r/>
      <w:bookmarkStart w:id="101" w:name="_Toc150509269"/>
      <w:r/>
      <w:bookmarkStart w:id="102" w:name="_Toc151190145"/>
      <w:r/>
      <w:bookmarkStart w:id="103" w:name="_Toc150480756"/>
      <w:r/>
      <w:bookmarkStart w:id="104" w:name="_Toc150774723"/>
      <w:r/>
      <w:bookmarkStart w:id="105" w:name="_Toc151193616"/>
      <w:r/>
      <w:bookmarkStart w:id="106" w:name="_Toc226965791"/>
      <w:r/>
      <w:bookmarkStart w:id="107" w:name="_Toc151193760"/>
      <w:r/>
      <w:bookmarkStart w:id="108" w:name="_Toc226965708"/>
      <w:r/>
      <w:bookmarkStart w:id="109" w:name="_Toc226337214"/>
      <w:r/>
      <w:bookmarkStart w:id="110" w:name="_Toc151193688"/>
      <w:r>
        <w:rPr>
          <w:rFonts w:hint="eastAsia" w:ascii="宋体" w:hAnsi="宋体" w:eastAsia="宋体" w:cs="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auto"/>
          <w:sz w:val="28"/>
          <w:highlight w:val="none"/>
        </w:rPr>
        <w:tab/>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bookmarkStart w:id="111" w:name="_Toc264969209"/>
      <w:r/>
      <w:bookmarkStart w:id="112" w:name="_Toc305158861"/>
      <w:r/>
      <w:bookmarkStart w:id="113" w:name="_Toc305158787"/>
      <w:r/>
      <w:bookmarkStart w:id="114" w:name="_Toc265228357"/>
      <w:r>
        <w:rPr>
          <w:rFonts w:hint="eastAsia" w:ascii="宋体" w:hAnsi="宋体" w:cs="宋体"/>
          <w:b/>
          <w:color w:val="auto"/>
          <w:sz w:val="24"/>
          <w:highlight w:val="none"/>
        </w:rPr>
        <w:t xml:space="preserve">采购人、采购代理机构、投标人</w:t>
      </w:r>
      <w:bookmarkEnd w:id="111"/>
      <w:r/>
      <w:bookmarkEnd w:id="112"/>
      <w:r/>
      <w:bookmarkEnd w:id="113"/>
      <w:r/>
      <w:bookmarkEnd w:id="114"/>
      <w:r>
        <w:rPr>
          <w:rFonts w:hint="eastAsia" w:ascii="宋体" w:hAnsi="宋体" w:cs="宋体"/>
          <w:b/>
          <w:color w:val="auto"/>
          <w:sz w:val="24"/>
          <w:highlight w:val="none"/>
        </w:rPr>
        <w:t xml:space="preserve">、联合体</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bookmarkStart w:id="115" w:name="_Toc226309764"/>
      <w:r/>
      <w:bookmarkStart w:id="116" w:name="_Toc226965793"/>
      <w:r/>
      <w:bookmarkStart w:id="117" w:name="_Toc151193690"/>
      <w:r/>
      <w:bookmarkStart w:id="118" w:name="_Toc164608634"/>
      <w:r/>
      <w:bookmarkStart w:id="119" w:name="_Toc151193908"/>
      <w:r/>
      <w:bookmarkStart w:id="120" w:name="_Toc305158788"/>
      <w:r/>
      <w:bookmarkStart w:id="121" w:name="_Toc164351614"/>
      <w:r/>
      <w:bookmarkStart w:id="122" w:name="_Toc195842885"/>
      <w:r/>
      <w:bookmarkStart w:id="123" w:name="_Toc127151520"/>
      <w:r/>
      <w:bookmarkStart w:id="124" w:name="_Toc164229361"/>
      <w:r/>
      <w:bookmarkStart w:id="125" w:name="_Toc164608789"/>
      <w:r/>
      <w:bookmarkStart w:id="126" w:name="_Toc150509271"/>
      <w:r/>
      <w:bookmarkStart w:id="127" w:name="_Toc265228358"/>
      <w:r/>
      <w:bookmarkStart w:id="128" w:name="_Toc151190147"/>
      <w:r/>
      <w:bookmarkStart w:id="129" w:name="_Toc127151721"/>
      <w:r/>
      <w:bookmarkStart w:id="130" w:name="_Toc164229215"/>
      <w:r/>
      <w:bookmarkStart w:id="131" w:name="_Toc127161434"/>
      <w:r/>
      <w:bookmarkStart w:id="132" w:name="_Toc149720813"/>
      <w:r/>
      <w:bookmarkStart w:id="133" w:name="_Toc142311022"/>
      <w:r/>
      <w:bookmarkStart w:id="134" w:name="_Toc305158862"/>
      <w:r/>
      <w:bookmarkStart w:id="135" w:name="_Toc150480758"/>
      <w:r/>
      <w:bookmarkStart w:id="136" w:name="_Toc264969210"/>
      <w:r/>
      <w:bookmarkStart w:id="137" w:name="_Toc226337216"/>
      <w:r/>
      <w:bookmarkStart w:id="138" w:name="_Toc151193618"/>
      <w:r/>
      <w:bookmarkStart w:id="139" w:name="_Toc226965710"/>
      <w:r/>
      <w:bookmarkStart w:id="140" w:name="_Toc151193762"/>
      <w:r/>
      <w:bookmarkStart w:id="141" w:name="_Toc150774620"/>
      <w:r/>
      <w:bookmarkStart w:id="142" w:name="_Toc150774725"/>
      <w:r/>
      <w:bookmarkStart w:id="143" w:name="_Toc151193834"/>
      <w:r>
        <w:rPr>
          <w:rFonts w:hint="eastAsia" w:ascii="宋体" w:hAnsi="宋体" w:cs="宋体"/>
          <w:b/>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auto"/>
          <w:sz w:val="24"/>
          <w:highlight w:val="none"/>
        </w:rPr>
        <w:t xml:space="preserve">、项目属性、科研仪器设备采购、核心产品</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核心产品见《投标人须知资料表》。</w:t>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现场考察、开标前答疑会</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8"/>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44" w:name="_Toc305158790"/>
      <w:r/>
      <w:bookmarkStart w:id="145" w:name="_Toc150509273"/>
      <w:r/>
      <w:bookmarkStart w:id="146" w:name="_Toc142311024"/>
      <w:r/>
      <w:bookmarkStart w:id="147" w:name="_Toc305158864"/>
      <w:r/>
      <w:bookmarkStart w:id="148" w:name="_Toc151190149"/>
      <w:r/>
      <w:bookmarkStart w:id="149" w:name="_Toc195842887"/>
      <w:r/>
      <w:bookmarkStart w:id="150" w:name="_Toc226965795"/>
      <w:r/>
      <w:bookmarkStart w:id="151" w:name="_Toc226965712"/>
      <w:r/>
      <w:bookmarkStart w:id="152" w:name="_Toc265228360"/>
      <w:r/>
      <w:bookmarkStart w:id="153" w:name="_Toc150774727"/>
      <w:r/>
      <w:bookmarkStart w:id="154" w:name="_Toc151193692"/>
      <w:r/>
      <w:bookmarkStart w:id="155" w:name="_Toc127151522"/>
      <w:r/>
      <w:bookmarkStart w:id="156" w:name="_Toc150774622"/>
      <w:r/>
      <w:bookmarkStart w:id="157" w:name="_Toc226337218"/>
      <w:r/>
      <w:bookmarkStart w:id="158" w:name="_Toc520356146"/>
      <w:r/>
      <w:bookmarkStart w:id="159" w:name="_Toc151193910"/>
      <w:r/>
      <w:bookmarkStart w:id="160" w:name="_Toc151193764"/>
      <w:r/>
      <w:bookmarkStart w:id="161" w:name="_Toc151193836"/>
      <w:r/>
      <w:bookmarkStart w:id="162" w:name="_Toc150480760"/>
      <w:r/>
      <w:bookmarkStart w:id="163" w:name="_Toc226309766"/>
      <w:r/>
      <w:bookmarkStart w:id="164" w:name="_Toc151193620"/>
      <w:r/>
      <w:bookmarkStart w:id="165" w:name="_Toc264969212"/>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样品</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p>
    <w:p>
      <w:pPr>
        <w:numPr>
          <w:ilvl w:val="0"/>
          <w:numId w:val="8"/>
        </w:numPr>
        <w:ind w:left="0" w:firstLine="482"/>
        <w:spacing w:line="360" w:lineRule="auto"/>
        <w:tabs>
          <w:tab w:val="left" w:pos="360" w:leader="none"/>
          <w:tab w:val="clear" w:pos="900" w:leader="none"/>
        </w:tabs>
        <w:rPr>
          <w:rFonts w:hint="eastAsia" w:ascii="宋体" w:hAnsi="宋体" w:cs="宋体"/>
          <w:color w:val="auto"/>
          <w:sz w:val="24"/>
          <w:highlight w:val="none"/>
        </w:rPr>
        <w:outlineLvl w:val="1"/>
      </w:pPr>
      <w:r>
        <w:rPr>
          <w:rFonts w:hint="eastAsia" w:ascii="宋体" w:hAnsi="宋体" w:cs="宋体"/>
          <w:b/>
          <w:color w:val="auto"/>
          <w:sz w:val="24"/>
          <w:highlight w:val="none"/>
        </w:rPr>
        <w:t xml:space="preserve">政府采购政策</w:t>
      </w:r>
      <w:r>
        <w:rPr>
          <w:rFonts w:hint="eastAsia" w:ascii="宋体" w:hAnsi="宋体" w:cs="宋体"/>
          <w:color w:val="auto"/>
          <w:sz w:val="24"/>
          <w:highlight w:val="none"/>
        </w:rPr>
        <w:t xml:space="preserve">（包括但不限于下列具体政策要求）</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进口产品</w:t>
      </w:r>
      <w:r/>
    </w:p>
    <w:p>
      <w:pPr>
        <w:numPr>
          <w:ilvl w:val="2"/>
          <w:numId w:val="8"/>
        </w:numPr>
        <w:ind w:left="0" w:firstLine="480"/>
        <w:spacing w:line="360" w:lineRule="auto"/>
        <w:tabs>
          <w:tab w:val="left" w:pos="1276"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中小企业、监狱企业及残疾人福利性单位</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中小企业定义：</w:t>
      </w:r>
      <w:r/>
    </w:p>
    <w:p>
      <w:pPr>
        <w:pStyle w:val="959"/>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959"/>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959"/>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959"/>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959"/>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959"/>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959"/>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959"/>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560" w:leader="none"/>
        </w:tabs>
        <w:rPr>
          <w:rFonts w:hint="eastAsia"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560" w:leader="none"/>
        </w:tabs>
        <w:rPr>
          <w:rFonts w:hint="eastAsia"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pStyle w:val="959"/>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959"/>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政府采购节能产品、环境标志产品</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支持乡村产业振兴管理</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正版软件</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信息安全产品</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具体详见国家互联网信息办公室、工业和信息化部、公安部、财政部和国家认证认可监督管理委员会关于调整网络安全专用产品安全管理有关事项的公告(2023年第1号)。</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政府采购创新产品政策</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绿色采购政策</w:t>
      </w:r>
      <w:r/>
    </w:p>
    <w:p>
      <w:pPr>
        <w:numPr>
          <w:ilvl w:val="2"/>
          <w:numId w:val="8"/>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s>
        <w:rPr>
          <w:rFonts w:ascii="宋体" w:hAnsi="宋体"/>
          <w:color w:val="auto"/>
          <w:sz w:val="24"/>
          <w:highlight w:val="none"/>
        </w:rPr>
      </w:pPr>
      <w:r>
        <w:rPr>
          <w:rFonts w:hint="eastAsia" w:ascii="宋体" w:hAnsi="宋体" w:cs="宋体"/>
          <w:color w:val="auto"/>
          <w:sz w:val="24"/>
          <w:highlight w:val="none"/>
        </w:rPr>
        <w:t xml:space="preserve">优先使用低挥发性有机化合物产品</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5.9采购本国产品的支持政策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投标费用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cs="宋体"/>
          <w:color w:val="auto"/>
          <w:sz w:val="28"/>
          <w:highlight w:val="none"/>
        </w:rPr>
      </w:pPr>
      <w:r/>
      <w:bookmarkStart w:id="166" w:name="_1.8_计量单位"/>
      <w:r/>
      <w:bookmarkEnd w:id="166"/>
      <w:r/>
      <w:r/>
    </w:p>
    <w:p>
      <w:pPr>
        <w:pStyle w:val="867"/>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167" w:name="_Toc127151523"/>
      <w:r/>
      <w:bookmarkStart w:id="168" w:name="_Toc264969213"/>
      <w:r/>
      <w:bookmarkStart w:id="169" w:name="_Toc150774623"/>
      <w:r/>
      <w:bookmarkStart w:id="170" w:name="_Toc151193621"/>
      <w:r/>
      <w:bookmarkStart w:id="171" w:name="_Toc151190150"/>
      <w:r/>
      <w:bookmarkStart w:id="172" w:name="_Toc151193837"/>
      <w:r/>
      <w:bookmarkStart w:id="173" w:name="_Toc164608792"/>
      <w:r/>
      <w:bookmarkStart w:id="174" w:name="_Toc226965796"/>
      <w:r/>
      <w:bookmarkStart w:id="175" w:name="_Toc164351617"/>
      <w:r/>
      <w:bookmarkStart w:id="176" w:name="_Toc226337219"/>
      <w:r/>
      <w:bookmarkStart w:id="177" w:name="_Toc150509274"/>
      <w:r/>
      <w:bookmarkStart w:id="178" w:name="_Toc151193911"/>
      <w:r/>
      <w:bookmarkStart w:id="179" w:name="_Toc164608637"/>
      <w:r/>
      <w:bookmarkStart w:id="180" w:name="_Toc226309767"/>
      <w:r/>
      <w:bookmarkStart w:id="181" w:name="_Toc305158791"/>
      <w:r/>
      <w:bookmarkStart w:id="182" w:name="_Toc226965713"/>
      <w:r/>
      <w:bookmarkStart w:id="183" w:name="_Toc164229218"/>
      <w:r/>
      <w:bookmarkStart w:id="184" w:name="_Toc305158865"/>
      <w:r/>
      <w:bookmarkStart w:id="185" w:name="_Toc195842888"/>
      <w:r/>
      <w:bookmarkStart w:id="186" w:name="_Toc265228361"/>
      <w:r/>
      <w:bookmarkStart w:id="187" w:name="_Toc149720816"/>
      <w:r/>
      <w:bookmarkStart w:id="188" w:name="_Toc127151724"/>
      <w:r/>
      <w:bookmarkStart w:id="189" w:name="_Toc127161437"/>
      <w:r/>
      <w:bookmarkStart w:id="190" w:name="_Toc151193693"/>
      <w:r/>
      <w:bookmarkStart w:id="191" w:name="_Toc151193765"/>
      <w:r/>
      <w:bookmarkStart w:id="192" w:name="_Toc142311025"/>
      <w:r/>
      <w:bookmarkStart w:id="193" w:name="_Toc164229364"/>
      <w:r/>
      <w:bookmarkStart w:id="194" w:name="_Toc520356147"/>
      <w:r/>
      <w:bookmarkStart w:id="195" w:name="_Toc150774728"/>
      <w:r/>
      <w:bookmarkStart w:id="196" w:name="_Toc150480761"/>
      <w:r>
        <w:rPr>
          <w:rFonts w:hint="eastAsia" w:ascii="宋体" w:hAnsi="宋体" w:cs="宋体"/>
          <w:b/>
          <w:color w:val="auto"/>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auto"/>
          <w:sz w:val="24"/>
          <w:highlight w:val="none"/>
        </w:rPr>
        <w:t xml:space="preserve">成</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招标文件包括以下部分：</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拟签订的合同文本</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对招标文件的澄清或修改</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67"/>
        <w:ind w:firstLine="562"/>
        <w:spacing w:before="0" w:line="360" w:lineRule="auto"/>
        <w:rPr>
          <w:rFonts w:hint="eastAsia" w:ascii="宋体" w:hAnsi="宋体" w:eastAsia="宋体" w:cs="宋体"/>
          <w:color w:val="auto"/>
          <w:sz w:val="28"/>
          <w:highlight w:val="none"/>
        </w:rPr>
      </w:pPr>
      <w:r/>
      <w:bookmarkStart w:id="197" w:name="_Toc516367020"/>
      <w:r/>
      <w:bookmarkStart w:id="198" w:name="_Toc305158868"/>
      <w:r/>
      <w:bookmarkStart w:id="199" w:name="_Toc226309770"/>
      <w:r/>
      <w:bookmarkStart w:id="200" w:name="_Toc195842891"/>
      <w:r/>
      <w:bookmarkStart w:id="201" w:name="_Toc150509277"/>
      <w:r/>
      <w:bookmarkStart w:id="202" w:name="_Toc151190153"/>
      <w:r/>
      <w:bookmarkStart w:id="203" w:name="_Toc151193840"/>
      <w:r/>
      <w:bookmarkStart w:id="204" w:name="_Toc151193624"/>
      <w:r/>
      <w:bookmarkStart w:id="205" w:name="_Toc151193768"/>
      <w:r/>
      <w:bookmarkStart w:id="206" w:name="_Toc150480764"/>
      <w:r/>
      <w:bookmarkStart w:id="207" w:name="_Toc142311028"/>
      <w:r/>
      <w:bookmarkStart w:id="208" w:name="_Toc150774626"/>
      <w:r/>
      <w:bookmarkStart w:id="209" w:name="_Toc264969216"/>
      <w:r/>
      <w:bookmarkStart w:id="210" w:name="_Toc151193696"/>
      <w:r/>
      <w:bookmarkStart w:id="211" w:name="_Toc305158794"/>
      <w:r/>
      <w:bookmarkStart w:id="212" w:name="_Toc127151526"/>
      <w:r/>
      <w:bookmarkStart w:id="213" w:name="_Toc265228364"/>
      <w:r/>
      <w:bookmarkStart w:id="214" w:name="_Toc151193914"/>
      <w:r/>
      <w:bookmarkStart w:id="215" w:name="_Toc150774731"/>
      <w:r/>
      <w:bookmarkStart w:id="216" w:name="_Toc226965799"/>
      <w:r/>
      <w:bookmarkStart w:id="217" w:name="_Toc520356150"/>
      <w:r/>
      <w:bookmarkStart w:id="218" w:name="_Toc226337222"/>
      <w:r/>
      <w:bookmarkStart w:id="219" w:name="_Toc226965716"/>
      <w:r>
        <w:rPr>
          <w:rFonts w:hint="eastAsia" w:ascii="宋体" w:hAnsi="宋体" w:eastAsia="宋体" w:cs="宋体"/>
          <w:color w:val="auto"/>
          <w:sz w:val="28"/>
          <w:highlight w:val="none"/>
        </w:rPr>
        <w:t xml:space="preserve">三   投标文件</w:t>
      </w:r>
      <w:bookmarkEnd w:id="197"/>
      <w:r>
        <w:rPr>
          <w:rFonts w:hint="eastAsia" w:ascii="宋体" w:hAnsi="宋体" w:eastAsia="宋体" w:cs="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20" w:name="_Toc151193769"/>
      <w:r/>
      <w:bookmarkStart w:id="221" w:name="_Toc150509278"/>
      <w:r/>
      <w:bookmarkStart w:id="222" w:name="_Toc142311029"/>
      <w:r/>
      <w:bookmarkStart w:id="223" w:name="_Toc164608796"/>
      <w:r/>
      <w:bookmarkStart w:id="224" w:name="_Toc516367021"/>
      <w:r/>
      <w:bookmarkStart w:id="225" w:name="_Toc305158795"/>
      <w:r/>
      <w:bookmarkStart w:id="226" w:name="_Toc226337223"/>
      <w:r/>
      <w:bookmarkStart w:id="227" w:name="_Toc520356151"/>
      <w:r/>
      <w:bookmarkStart w:id="228" w:name="_Toc164351621"/>
      <w:r/>
      <w:bookmarkStart w:id="229" w:name="_Toc149720820"/>
      <w:r/>
      <w:bookmarkStart w:id="230" w:name="_Toc150480765"/>
      <w:r/>
      <w:bookmarkStart w:id="231" w:name="_Toc264969217"/>
      <w:r/>
      <w:bookmarkStart w:id="232" w:name="_Toc226965717"/>
      <w:r/>
      <w:bookmarkStart w:id="233" w:name="_Toc151193697"/>
      <w:r/>
      <w:bookmarkStart w:id="234" w:name="_Toc226309771"/>
      <w:r/>
      <w:bookmarkStart w:id="235" w:name="_Toc265228365"/>
      <w:r/>
      <w:bookmarkStart w:id="236" w:name="_Toc226965800"/>
      <w:r/>
      <w:bookmarkStart w:id="237" w:name="_Toc164608641"/>
      <w:r/>
      <w:bookmarkStart w:id="238" w:name="_Toc127161441"/>
      <w:r/>
      <w:bookmarkStart w:id="239" w:name="_Toc151193841"/>
      <w:r/>
      <w:bookmarkStart w:id="240" w:name="_Toc150774627"/>
      <w:r/>
      <w:bookmarkStart w:id="241" w:name="_Toc305158869"/>
      <w:r/>
      <w:bookmarkStart w:id="242" w:name="_Toc151193625"/>
      <w:r/>
      <w:bookmarkStart w:id="243" w:name="_Toc164229368"/>
      <w:r/>
      <w:bookmarkStart w:id="244" w:name="_Toc150774732"/>
      <w:r/>
      <w:bookmarkStart w:id="245" w:name="_Toc151193915"/>
      <w:r/>
      <w:bookmarkStart w:id="246" w:name="_Toc164229222"/>
      <w:r/>
      <w:bookmarkStart w:id="247" w:name="_Toc151190154"/>
      <w:r/>
      <w:bookmarkStart w:id="248" w:name="_Toc127151527"/>
      <w:r/>
      <w:bookmarkStart w:id="249" w:name="_Toc195842892"/>
      <w:r/>
      <w:bookmarkStart w:id="250" w:name="_Toc127151728"/>
      <w:r>
        <w:rPr>
          <w:rFonts w:hint="eastAsia" w:ascii="宋体" w:hAnsi="宋体" w:cs="宋体"/>
          <w:b/>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auto"/>
          <w:sz w:val="24"/>
          <w:highlight w:val="none"/>
        </w:rPr>
        <w:t xml:space="preserve">及投标语言</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51" w:name="_Toc516367022"/>
      <w:r/>
      <w:bookmarkStart w:id="252" w:name="_Ref467306195"/>
      <w:r/>
      <w:bookmarkStart w:id="253" w:name="_Ref467306676"/>
      <w:r/>
      <w:bookmarkStart w:id="254" w:name="_Toc164608642"/>
      <w:r/>
      <w:bookmarkStart w:id="255" w:name="_Toc195842893"/>
      <w:r/>
      <w:bookmarkStart w:id="256" w:name="_Toc151193626"/>
      <w:r/>
      <w:bookmarkStart w:id="257" w:name="_Toc305158870"/>
      <w:r/>
      <w:bookmarkStart w:id="258" w:name="_Toc149720821"/>
      <w:r/>
      <w:bookmarkStart w:id="259" w:name="_Toc226309772"/>
      <w:r/>
      <w:bookmarkStart w:id="260" w:name="_Toc127151729"/>
      <w:r/>
      <w:bookmarkStart w:id="261" w:name="_Toc142311030"/>
      <w:r/>
      <w:bookmarkStart w:id="262" w:name="_Toc150774733"/>
      <w:r/>
      <w:bookmarkStart w:id="263" w:name="_Toc164351622"/>
      <w:r/>
      <w:bookmarkStart w:id="264" w:name="_Toc164608797"/>
      <w:r/>
      <w:bookmarkStart w:id="265" w:name="_Toc127151528"/>
      <w:r/>
      <w:bookmarkStart w:id="266" w:name="_Toc164229223"/>
      <w:r/>
      <w:bookmarkStart w:id="267" w:name="_Toc127161442"/>
      <w:r/>
      <w:bookmarkStart w:id="268" w:name="_Toc520356152"/>
      <w:r/>
      <w:bookmarkStart w:id="269" w:name="_Toc151193770"/>
      <w:r/>
      <w:bookmarkStart w:id="270" w:name="_Toc151193698"/>
      <w:r/>
      <w:bookmarkStart w:id="271" w:name="_Toc151193916"/>
      <w:r/>
      <w:bookmarkStart w:id="272" w:name="_Toc226965801"/>
      <w:r/>
      <w:bookmarkStart w:id="273" w:name="_Toc150774628"/>
      <w:r/>
      <w:bookmarkStart w:id="274" w:name="_Toc151190155"/>
      <w:r/>
      <w:bookmarkStart w:id="275" w:name="_Toc150480766"/>
      <w:r/>
      <w:bookmarkStart w:id="276" w:name="_Toc151193842"/>
      <w:r/>
      <w:bookmarkStart w:id="277" w:name="_Toc164229369"/>
      <w:r/>
      <w:bookmarkStart w:id="278" w:name="_Toc264969218"/>
      <w:r/>
      <w:bookmarkStart w:id="279" w:name="_Toc226965718"/>
      <w:r/>
      <w:bookmarkStart w:id="280" w:name="_Toc150509279"/>
      <w:r/>
      <w:bookmarkStart w:id="281" w:name="_Toc265228366"/>
      <w:r/>
      <w:bookmarkStart w:id="282" w:name="_Toc305158796"/>
      <w:r/>
      <w:bookmarkStart w:id="283" w:name="_Toc226337224"/>
      <w:r>
        <w:rPr>
          <w:rFonts w:hint="eastAsia" w:ascii="宋体" w:hAnsi="宋体" w:cs="宋体"/>
          <w:b/>
          <w:color w:val="auto"/>
          <w:sz w:val="24"/>
          <w:highlight w:val="none"/>
        </w:rPr>
        <w:t xml:space="preserve">投标文件</w:t>
      </w:r>
      <w:bookmarkEnd w:id="251"/>
      <w:r/>
      <w:bookmarkEnd w:id="252"/>
      <w:r/>
      <w:bookmarkEnd w:id="253"/>
      <w:r>
        <w:rPr>
          <w:rFonts w:hint="eastAsia" w:ascii="宋体" w:hAnsi="宋体" w:cs="宋体"/>
          <w:b/>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284" w:name="_Ref467052588"/>
      <w:r>
        <w:rPr>
          <w:rFonts w:hint="eastAsia" w:ascii="宋体" w:hAnsi="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对于招标文件中标记了“实质性格式”文件的，</w:t>
      </w:r>
      <w:r>
        <w:rPr>
          <w:rFonts w:hint="eastAsia" w:ascii="宋体" w:hAnsi="宋体" w:cs="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第四章《评标程序、评标方法和评标标准》中涉及的证明文件。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投标人认为应附的其他材料。</w:t>
      </w:r>
      <w:bookmarkEnd w:id="284"/>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85" w:name="_Toc127151530"/>
      <w:r/>
      <w:bookmarkStart w:id="286" w:name="_Toc150509281"/>
      <w:r/>
      <w:bookmarkStart w:id="287" w:name="_Toc164608644"/>
      <w:r/>
      <w:bookmarkStart w:id="288" w:name="_Toc164229225"/>
      <w:r/>
      <w:bookmarkStart w:id="289" w:name="_Toc151193628"/>
      <w:r/>
      <w:bookmarkStart w:id="290" w:name="_Toc127151731"/>
      <w:r/>
      <w:bookmarkStart w:id="291" w:name="_Toc195842895"/>
      <w:r/>
      <w:bookmarkStart w:id="292" w:name="_Toc149720823"/>
      <w:r/>
      <w:bookmarkStart w:id="293" w:name="_Toc151190157"/>
      <w:r/>
      <w:bookmarkStart w:id="294" w:name="_Toc151193700"/>
      <w:r/>
      <w:bookmarkStart w:id="295" w:name="_Toc142311032"/>
      <w:r/>
      <w:bookmarkStart w:id="296" w:name="_Toc127161444"/>
      <w:r/>
      <w:bookmarkStart w:id="297" w:name="_Toc164229371"/>
      <w:r/>
      <w:bookmarkStart w:id="298" w:name="_Toc150774630"/>
      <w:r/>
      <w:bookmarkStart w:id="299" w:name="_Toc151193772"/>
      <w:r/>
      <w:bookmarkStart w:id="300" w:name="_Toc150774735"/>
      <w:r/>
      <w:bookmarkStart w:id="301" w:name="_Toc151193918"/>
      <w:r/>
      <w:bookmarkStart w:id="302" w:name="_Toc520356155"/>
      <w:r/>
      <w:bookmarkStart w:id="303" w:name="_Toc150480768"/>
      <w:r/>
      <w:bookmarkStart w:id="304" w:name="_Toc151193844"/>
      <w:r/>
      <w:bookmarkStart w:id="305" w:name="_Toc164608799"/>
      <w:r/>
      <w:bookmarkStart w:id="306" w:name="_Toc164351624"/>
      <w:r>
        <w:rPr>
          <w:rFonts w:hint="eastAsia" w:ascii="宋体" w:hAnsi="宋体" w:cs="宋体"/>
          <w:b/>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所有投标均以人民币报价。</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07" w:name="_Toc305158799"/>
      <w:r/>
      <w:bookmarkStart w:id="308" w:name="_Toc149720824"/>
      <w:r/>
      <w:bookmarkStart w:id="309" w:name="_Toc164608645"/>
      <w:r/>
      <w:bookmarkStart w:id="310" w:name="_Toc127151732"/>
      <w:r/>
      <w:bookmarkStart w:id="311" w:name="_Toc226337227"/>
      <w:r/>
      <w:bookmarkStart w:id="312" w:name="_Toc164608800"/>
      <w:r/>
      <w:bookmarkStart w:id="313" w:name="_Toc164229226"/>
      <w:r/>
      <w:bookmarkStart w:id="314" w:name="_Toc195842896"/>
      <w:r/>
      <w:bookmarkStart w:id="315" w:name="_Toc151193629"/>
      <w:r/>
      <w:bookmarkStart w:id="316" w:name="_Toc226965804"/>
      <w:r/>
      <w:bookmarkStart w:id="317" w:name="_Toc127161445"/>
      <w:r/>
      <w:bookmarkStart w:id="318" w:name="_Toc226309775"/>
      <w:r/>
      <w:bookmarkStart w:id="319" w:name="_Toc151190158"/>
      <w:r/>
      <w:bookmarkStart w:id="320" w:name="_Toc265228369"/>
      <w:r/>
      <w:bookmarkStart w:id="321" w:name="_Toc151193919"/>
      <w:r/>
      <w:bookmarkStart w:id="322" w:name="_Toc305158873"/>
      <w:r/>
      <w:bookmarkStart w:id="323" w:name="_Toc164229372"/>
      <w:r/>
      <w:bookmarkStart w:id="324" w:name="_Toc264969221"/>
      <w:r/>
      <w:bookmarkStart w:id="325" w:name="_Toc127151531"/>
      <w:r/>
      <w:bookmarkStart w:id="326" w:name="_Toc142311033"/>
      <w:r/>
      <w:bookmarkStart w:id="327" w:name="_Toc226965721"/>
      <w:r/>
      <w:bookmarkStart w:id="328" w:name="_Toc164351625"/>
      <w:r/>
      <w:bookmarkStart w:id="329" w:name="_Toc151193845"/>
      <w:r/>
      <w:bookmarkStart w:id="330" w:name="_Toc151193701"/>
      <w:r/>
      <w:bookmarkStart w:id="331" w:name="_Toc150774736"/>
      <w:r/>
      <w:bookmarkStart w:id="332" w:name="_Toc150774631"/>
      <w:r/>
      <w:bookmarkStart w:id="333" w:name="_Ref467306513"/>
      <w:r/>
      <w:bookmarkStart w:id="334" w:name="_Toc150480769"/>
      <w:r/>
      <w:bookmarkStart w:id="335" w:name="_Toc151193773"/>
      <w:r/>
      <w:bookmarkStart w:id="336" w:name="_Toc150509282"/>
      <w:r/>
      <w:bookmarkStart w:id="337" w:name="_Toc520356156"/>
      <w:r>
        <w:rPr>
          <w:rFonts w:hint="eastAsia" w:ascii="宋体" w:hAnsi="宋体" w:cs="宋体"/>
          <w:b/>
          <w:color w:val="auto"/>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根据江苏省和常州市的相关文件规定，免收投标保证金。</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38" w:name="_Toc127151532"/>
      <w:r/>
      <w:bookmarkStart w:id="339" w:name="_Toc226337228"/>
      <w:r/>
      <w:bookmarkStart w:id="340" w:name="_Toc305158874"/>
      <w:r/>
      <w:bookmarkStart w:id="341" w:name="_Toc150480770"/>
      <w:r/>
      <w:bookmarkStart w:id="342" w:name="_Toc151190159"/>
      <w:r/>
      <w:bookmarkStart w:id="343" w:name="_Toc226309776"/>
      <w:r/>
      <w:bookmarkStart w:id="344" w:name="_Toc164351626"/>
      <w:r/>
      <w:bookmarkStart w:id="345" w:name="_Toc150509283"/>
      <w:r/>
      <w:bookmarkStart w:id="346" w:name="_Toc149720825"/>
      <w:r/>
      <w:bookmarkStart w:id="347" w:name="_Toc151193846"/>
      <w:r/>
      <w:bookmarkStart w:id="348" w:name="_Toc127161446"/>
      <w:r/>
      <w:bookmarkStart w:id="349" w:name="_Toc151193702"/>
      <w:r/>
      <w:bookmarkStart w:id="350" w:name="_Toc164229227"/>
      <w:r/>
      <w:bookmarkStart w:id="351" w:name="_Toc150774737"/>
      <w:r/>
      <w:bookmarkStart w:id="352" w:name="_Toc305158800"/>
      <w:r/>
      <w:bookmarkStart w:id="353" w:name="_Toc164229373"/>
      <w:r/>
      <w:bookmarkStart w:id="354" w:name="_Toc226965722"/>
      <w:r/>
      <w:bookmarkStart w:id="355" w:name="_Toc265228370"/>
      <w:r/>
      <w:bookmarkStart w:id="356" w:name="_Toc164608646"/>
      <w:r/>
      <w:bookmarkStart w:id="357" w:name="_Toc164608801"/>
      <w:r/>
      <w:bookmarkStart w:id="358" w:name="_Toc142311034"/>
      <w:r/>
      <w:bookmarkStart w:id="359" w:name="_Toc151193774"/>
      <w:r/>
      <w:bookmarkStart w:id="360" w:name="_Toc264969222"/>
      <w:r/>
      <w:bookmarkStart w:id="361" w:name="_Toc226965805"/>
      <w:r/>
      <w:bookmarkStart w:id="362" w:name="_Toc151193630"/>
      <w:r/>
      <w:bookmarkStart w:id="363" w:name="_Toc151193920"/>
      <w:r/>
      <w:bookmarkStart w:id="364" w:name="_Toc195842897"/>
      <w:r/>
      <w:bookmarkStart w:id="365" w:name="_Toc127151733"/>
      <w:r/>
      <w:bookmarkStart w:id="366" w:name="_Toc150774632"/>
      <w:r/>
      <w:bookmarkStart w:id="367" w:name="_Toc520356157"/>
      <w:r>
        <w:rPr>
          <w:rFonts w:hint="eastAsia" w:ascii="宋体" w:hAnsi="宋体" w:cs="宋体"/>
          <w:b/>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68" w:name="_Toc127161447"/>
      <w:r/>
      <w:bookmarkStart w:id="369" w:name="_Toc149720826"/>
      <w:r/>
      <w:bookmarkStart w:id="370" w:name="_Toc226309777"/>
      <w:r/>
      <w:bookmarkStart w:id="371" w:name="_Toc520356158"/>
      <w:r/>
      <w:bookmarkStart w:id="372" w:name="_Toc226965806"/>
      <w:r/>
      <w:bookmarkStart w:id="373" w:name="_Toc305158801"/>
      <w:r/>
      <w:bookmarkStart w:id="374" w:name="_Toc164229374"/>
      <w:r/>
      <w:bookmarkStart w:id="375" w:name="_Toc150774738"/>
      <w:r/>
      <w:bookmarkStart w:id="376" w:name="_Toc151193847"/>
      <w:r/>
      <w:bookmarkStart w:id="377" w:name="_Toc195842898"/>
      <w:r/>
      <w:bookmarkStart w:id="378" w:name="_Toc164351627"/>
      <w:r/>
      <w:bookmarkStart w:id="379" w:name="_Toc305158875"/>
      <w:r/>
      <w:bookmarkStart w:id="380" w:name="_Toc127151734"/>
      <w:r/>
      <w:bookmarkStart w:id="381" w:name="_Toc151193631"/>
      <w:r/>
      <w:bookmarkStart w:id="382" w:name="_Toc226965723"/>
      <w:r/>
      <w:bookmarkStart w:id="383" w:name="_Toc264969223"/>
      <w:r/>
      <w:bookmarkStart w:id="384" w:name="_Toc150480771"/>
      <w:r/>
      <w:bookmarkStart w:id="385" w:name="_Toc142311035"/>
      <w:r/>
      <w:bookmarkStart w:id="386" w:name="_Toc150774633"/>
      <w:r/>
      <w:bookmarkStart w:id="387" w:name="_Toc127151533"/>
      <w:r/>
      <w:bookmarkStart w:id="388" w:name="_Toc150509284"/>
      <w:r/>
      <w:bookmarkStart w:id="389" w:name="_Toc151193921"/>
      <w:r/>
      <w:bookmarkStart w:id="390" w:name="_Toc151193775"/>
      <w:r/>
      <w:bookmarkStart w:id="391" w:name="_Toc164608647"/>
      <w:r/>
      <w:bookmarkStart w:id="392" w:name="_Toc164229228"/>
      <w:r/>
      <w:bookmarkStart w:id="393" w:name="_Toc265228371"/>
      <w:r/>
      <w:bookmarkStart w:id="394" w:name="_Toc226337229"/>
      <w:r/>
      <w:bookmarkStart w:id="395" w:name="_Toc164608802"/>
      <w:r/>
      <w:bookmarkStart w:id="396" w:name="_Toc151190160"/>
      <w:r/>
      <w:bookmarkStart w:id="397" w:name="_Toc151193703"/>
      <w:r>
        <w:rPr>
          <w:rFonts w:hint="eastAsia" w:ascii="宋体" w:hAnsi="宋体" w:cs="宋体"/>
          <w:b/>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auto"/>
          <w:sz w:val="24"/>
          <w:highlight w:val="none"/>
        </w:rPr>
        <w:t xml:space="preserve">、加盖公章</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398" w:name="_Toc195842899"/>
      <w:r/>
      <w:bookmarkStart w:id="399" w:name="_Toc150774739"/>
      <w:r/>
      <w:bookmarkStart w:id="400" w:name="_Toc265228372"/>
      <w:r/>
      <w:bookmarkStart w:id="401" w:name="_Toc151193922"/>
      <w:r/>
      <w:bookmarkStart w:id="402" w:name="_Toc151193632"/>
      <w:r/>
      <w:bookmarkStart w:id="403" w:name="_Toc226965724"/>
      <w:r/>
      <w:bookmarkStart w:id="404" w:name="_Toc226309778"/>
      <w:r/>
      <w:bookmarkStart w:id="405" w:name="_Toc150480772"/>
      <w:r/>
      <w:bookmarkStart w:id="406" w:name="_Toc151193704"/>
      <w:r/>
      <w:bookmarkStart w:id="407" w:name="_Toc142311036"/>
      <w:r/>
      <w:bookmarkStart w:id="408" w:name="_Toc151190161"/>
      <w:r/>
      <w:bookmarkStart w:id="409" w:name="_Toc150774634"/>
      <w:r/>
      <w:bookmarkStart w:id="410" w:name="_Toc150509285"/>
      <w:r/>
      <w:bookmarkStart w:id="411" w:name="_Toc226965807"/>
      <w:r/>
      <w:bookmarkStart w:id="412" w:name="_Toc305158802"/>
      <w:r/>
      <w:bookmarkStart w:id="413" w:name="_Toc151193776"/>
      <w:r/>
      <w:bookmarkStart w:id="414" w:name="_Toc127151534"/>
      <w:r/>
      <w:bookmarkStart w:id="415" w:name="_Toc226337230"/>
      <w:r/>
      <w:bookmarkStart w:id="416" w:name="_Toc305158876"/>
      <w:r/>
      <w:bookmarkStart w:id="417" w:name="_Toc264969224"/>
      <w:r/>
      <w:bookmarkStart w:id="418" w:name="_Toc151193848"/>
      <w:r/>
      <w:bookmarkStart w:id="419" w:name="_Toc520356159"/>
      <w:r>
        <w:rPr>
          <w:rFonts w:hint="eastAsia" w:ascii="宋体" w:hAnsi="宋体" w:cs="宋体"/>
          <w:color w:val="auto"/>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color w:val="auto"/>
          <w:highlight w:val="none"/>
        </w:rPr>
      </w:pPr>
      <w:r>
        <w:rPr>
          <w:rFonts w:hint="eastAsia" w:ascii="宋体" w:hAnsi="宋体" w:cs="宋体"/>
          <w:color w:val="auto"/>
          <w:highlight w:val="none"/>
        </w:rPr>
      </w:r>
      <w:r/>
    </w:p>
    <w:p>
      <w:pPr>
        <w:pStyle w:val="867"/>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20" w:name="_Toc127151736"/>
      <w:r/>
      <w:bookmarkStart w:id="421" w:name="_Toc151193705"/>
      <w:r/>
      <w:bookmarkStart w:id="422" w:name="_Toc150774635"/>
      <w:r/>
      <w:bookmarkStart w:id="423" w:name="_Toc151190162"/>
      <w:r/>
      <w:bookmarkStart w:id="424" w:name="_Toc151193777"/>
      <w:r/>
      <w:bookmarkStart w:id="425" w:name="_Toc127151535"/>
      <w:r/>
      <w:bookmarkStart w:id="426" w:name="_Toc149720828"/>
      <w:r/>
      <w:bookmarkStart w:id="427" w:name="_Toc226337231"/>
      <w:r/>
      <w:bookmarkStart w:id="428" w:name="_Toc305158803"/>
      <w:r/>
      <w:bookmarkStart w:id="429" w:name="_Toc127161449"/>
      <w:r/>
      <w:bookmarkStart w:id="430" w:name="_Toc164608804"/>
      <w:r/>
      <w:bookmarkStart w:id="431" w:name="_Toc195842900"/>
      <w:r/>
      <w:bookmarkStart w:id="432" w:name="_Toc265228373"/>
      <w:r/>
      <w:bookmarkStart w:id="433" w:name="_Toc164229376"/>
      <w:r/>
      <w:bookmarkStart w:id="434" w:name="_Toc150774740"/>
      <w:r/>
      <w:bookmarkStart w:id="435" w:name="_Toc305158877"/>
      <w:r/>
      <w:bookmarkStart w:id="436" w:name="_Toc520356160"/>
      <w:r/>
      <w:bookmarkStart w:id="437" w:name="_Toc151193849"/>
      <w:r/>
      <w:bookmarkStart w:id="438" w:name="_Toc226965725"/>
      <w:r/>
      <w:bookmarkStart w:id="439" w:name="_Toc150509286"/>
      <w:r/>
      <w:bookmarkStart w:id="440" w:name="_Toc226965808"/>
      <w:r/>
      <w:bookmarkStart w:id="441" w:name="_Toc226309779"/>
      <w:r/>
      <w:bookmarkStart w:id="442" w:name="_Toc164351629"/>
      <w:r/>
      <w:bookmarkStart w:id="443" w:name="_Toc151193633"/>
      <w:r/>
      <w:bookmarkStart w:id="444" w:name="_Toc164608649"/>
      <w:r/>
      <w:bookmarkStart w:id="445" w:name="_Toc142311037"/>
      <w:r/>
      <w:bookmarkStart w:id="446" w:name="_Toc164229230"/>
      <w:r/>
      <w:bookmarkStart w:id="447" w:name="_Toc264969225"/>
      <w:r/>
      <w:bookmarkStart w:id="448" w:name="_Toc151193923"/>
      <w:r/>
      <w:bookmarkStart w:id="449" w:name="_Toc150480773"/>
      <w:r>
        <w:rPr>
          <w:rFonts w:hint="eastAsia" w:ascii="宋体" w:hAnsi="宋体" w:cs="宋体"/>
          <w:b/>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auto"/>
          <w:sz w:val="24"/>
          <w:highlight w:val="none"/>
        </w:rPr>
        <w:t xml:space="preserve">提交</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本项目使用政府采购一体化平台“苏采云”。投标人根据招标文件及政府采购一体化平台“苏采云”供应商操作手册要求编制、生成并提交电子投标文件。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50" w:name="_Toc164229377"/>
      <w:r/>
      <w:bookmarkStart w:id="451" w:name="_Toc164229231"/>
      <w:r/>
      <w:bookmarkStart w:id="452" w:name="_Toc150774741"/>
      <w:r/>
      <w:bookmarkStart w:id="453" w:name="_Toc226309780"/>
      <w:r/>
      <w:bookmarkStart w:id="454" w:name="_Toc150480774"/>
      <w:r/>
      <w:bookmarkStart w:id="455" w:name="_Toc151193634"/>
      <w:r/>
      <w:bookmarkStart w:id="456" w:name="_Toc150774636"/>
      <w:r/>
      <w:bookmarkStart w:id="457" w:name="_Toc151190163"/>
      <w:r/>
      <w:bookmarkStart w:id="458" w:name="_Toc151193924"/>
      <w:r/>
      <w:bookmarkStart w:id="459" w:name="_Toc164608650"/>
      <w:r/>
      <w:bookmarkStart w:id="460" w:name="_Toc127151536"/>
      <w:r/>
      <w:bookmarkStart w:id="461" w:name="_Toc127151737"/>
      <w:r/>
      <w:bookmarkStart w:id="462" w:name="_Toc226965809"/>
      <w:r/>
      <w:bookmarkStart w:id="463" w:name="_Toc520356161"/>
      <w:r/>
      <w:bookmarkStart w:id="464" w:name="_Toc151193850"/>
      <w:r/>
      <w:bookmarkStart w:id="465" w:name="_Toc149720829"/>
      <w:r/>
      <w:bookmarkStart w:id="466" w:name="_Toc150509287"/>
      <w:r/>
      <w:bookmarkStart w:id="467" w:name="_Toc142311038"/>
      <w:r/>
      <w:bookmarkStart w:id="468" w:name="_Toc127161450"/>
      <w:r/>
      <w:bookmarkStart w:id="469" w:name="_Toc305158878"/>
      <w:r/>
      <w:bookmarkStart w:id="470" w:name="_Toc151193706"/>
      <w:r/>
      <w:bookmarkStart w:id="471" w:name="_Toc226337232"/>
      <w:r/>
      <w:bookmarkStart w:id="472" w:name="_Toc265228374"/>
      <w:r/>
      <w:bookmarkStart w:id="473" w:name="_Toc164608805"/>
      <w:r/>
      <w:bookmarkStart w:id="474" w:name="_Toc151193778"/>
      <w:r/>
      <w:bookmarkStart w:id="475" w:name="_Toc305158804"/>
      <w:r/>
      <w:bookmarkStart w:id="476" w:name="_Toc164351630"/>
      <w:r/>
      <w:bookmarkStart w:id="477" w:name="_Toc195842901"/>
      <w:r/>
      <w:bookmarkStart w:id="478" w:name="_Toc226965726"/>
      <w:r/>
      <w:bookmarkStart w:id="479" w:name="_Toc264969226"/>
      <w:r>
        <w:rPr>
          <w:rFonts w:hint="eastAsia" w:ascii="宋体" w:hAnsi="宋体" w:cs="宋体"/>
          <w:b/>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auto"/>
          <w:sz w:val="24"/>
          <w:highlight w:val="none"/>
        </w:rPr>
        <w:t xml:space="preserve">时间</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投标人应在招标文件要求提交投标文件截止时间前，将电子投标文件提交至政府采购一体化平台“苏采云”。</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80" w:name="_Toc142311039"/>
      <w:r/>
      <w:bookmarkStart w:id="481" w:name="_Toc150509288"/>
      <w:r/>
      <w:bookmarkStart w:id="482" w:name="_Toc305158805"/>
      <w:r/>
      <w:bookmarkStart w:id="483" w:name="_Toc164608806"/>
      <w:r/>
      <w:bookmarkStart w:id="484" w:name="_Toc151193635"/>
      <w:r/>
      <w:bookmarkStart w:id="485" w:name="_Toc164229232"/>
      <w:r/>
      <w:bookmarkStart w:id="486" w:name="_Toc151193779"/>
      <w:r/>
      <w:bookmarkStart w:id="487" w:name="_Toc151193707"/>
      <w:r/>
      <w:bookmarkStart w:id="488" w:name="_Toc151193851"/>
      <w:r/>
      <w:bookmarkStart w:id="489" w:name="_Toc151193925"/>
      <w:r/>
      <w:bookmarkStart w:id="490" w:name="_Toc226309781"/>
      <w:r/>
      <w:bookmarkStart w:id="491" w:name="_Toc195842902"/>
      <w:r/>
      <w:bookmarkStart w:id="492" w:name="_Toc127151537"/>
      <w:r/>
      <w:bookmarkStart w:id="493" w:name="_Toc226337233"/>
      <w:r/>
      <w:bookmarkStart w:id="494" w:name="_Toc264969227"/>
      <w:r/>
      <w:bookmarkStart w:id="495" w:name="_Toc127161451"/>
      <w:r/>
      <w:bookmarkStart w:id="496" w:name="_Toc164229378"/>
      <w:r/>
      <w:bookmarkStart w:id="497" w:name="_Toc127151738"/>
      <w:r/>
      <w:bookmarkStart w:id="498" w:name="_Toc226965810"/>
      <w:r/>
      <w:bookmarkStart w:id="499" w:name="_Toc150774742"/>
      <w:r/>
      <w:bookmarkStart w:id="500" w:name="_Toc150480775"/>
      <w:r/>
      <w:bookmarkStart w:id="501" w:name="_Toc265228375"/>
      <w:r/>
      <w:bookmarkStart w:id="502" w:name="_Toc520356162"/>
      <w:r/>
      <w:bookmarkStart w:id="503" w:name="_Toc149720830"/>
      <w:r/>
      <w:bookmarkStart w:id="504" w:name="_Toc226965727"/>
      <w:r/>
      <w:bookmarkStart w:id="505" w:name="_Toc150774637"/>
      <w:r/>
      <w:bookmarkStart w:id="506" w:name="_Toc164351631"/>
      <w:r/>
      <w:bookmarkStart w:id="507" w:name="_Toc151190164"/>
      <w:r/>
      <w:bookmarkStart w:id="508" w:name="_Toc305158879"/>
      <w:r/>
      <w:bookmarkStart w:id="509" w:name="_Toc164608651"/>
      <w:r>
        <w:rPr>
          <w:rFonts w:hint="eastAsia" w:ascii="宋体" w:hAnsi="宋体" w:cs="宋体"/>
          <w:b/>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67"/>
        <w:ind w:firstLine="562"/>
        <w:spacing w:before="0" w:line="360" w:lineRule="auto"/>
        <w:rPr>
          <w:rFonts w:hint="eastAsia" w:ascii="宋体" w:hAnsi="宋体" w:eastAsia="宋体" w:cs="宋体"/>
          <w:color w:val="auto"/>
          <w:sz w:val="28"/>
          <w:highlight w:val="none"/>
        </w:rPr>
      </w:pPr>
      <w:r/>
      <w:bookmarkStart w:id="510" w:name="_Toc151193926"/>
      <w:r/>
      <w:bookmarkStart w:id="511" w:name="_Toc151190165"/>
      <w:r/>
      <w:bookmarkStart w:id="512" w:name="_Toc520356163"/>
      <w:r/>
      <w:bookmarkStart w:id="513" w:name="_Toc265228376"/>
      <w:r/>
      <w:bookmarkStart w:id="514" w:name="_Toc151193636"/>
      <w:r/>
      <w:bookmarkStart w:id="515" w:name="_Toc150509289"/>
      <w:r/>
      <w:bookmarkStart w:id="516" w:name="_Toc150480776"/>
      <w:r/>
      <w:bookmarkStart w:id="517" w:name="_Toc226965728"/>
      <w:r/>
      <w:bookmarkStart w:id="518" w:name="_Toc142311040"/>
      <w:r/>
      <w:bookmarkStart w:id="519" w:name="_Toc151193708"/>
      <w:r/>
      <w:bookmarkStart w:id="520" w:name="_Toc305158880"/>
      <w:r/>
      <w:bookmarkStart w:id="521" w:name="_Toc127151538"/>
      <w:r/>
      <w:bookmarkStart w:id="522" w:name="_Toc151193852"/>
      <w:r/>
      <w:bookmarkStart w:id="523" w:name="_Toc226965811"/>
      <w:r/>
      <w:bookmarkStart w:id="524" w:name="_Toc150774743"/>
      <w:r/>
      <w:bookmarkStart w:id="525" w:name="_Toc226337234"/>
      <w:r/>
      <w:bookmarkStart w:id="526" w:name="_Toc151193780"/>
      <w:r/>
      <w:bookmarkStart w:id="527" w:name="_Toc195842903"/>
      <w:r/>
      <w:bookmarkStart w:id="528" w:name="_Toc264969228"/>
      <w:r/>
      <w:bookmarkStart w:id="529" w:name="_Toc305158806"/>
      <w:r/>
      <w:bookmarkStart w:id="530" w:name="_Toc150774638"/>
      <w:r/>
      <w:bookmarkStart w:id="531" w:name="_Toc226309782"/>
      <w:r>
        <w:rPr>
          <w:rFonts w:hint="eastAsia" w:ascii="宋体" w:hAnsi="宋体" w:eastAsia="宋体" w:cs="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532" w:name="_Toc226309783"/>
      <w:r/>
      <w:bookmarkStart w:id="533" w:name="_Toc142311041"/>
      <w:r/>
      <w:bookmarkStart w:id="534" w:name="_Toc151193781"/>
      <w:r/>
      <w:bookmarkStart w:id="535" w:name="_Toc127161453"/>
      <w:r/>
      <w:bookmarkStart w:id="536" w:name="_Toc127151539"/>
      <w:r/>
      <w:bookmarkStart w:id="537" w:name="_Toc164229234"/>
      <w:r/>
      <w:bookmarkStart w:id="538" w:name="_Toc127151740"/>
      <w:r/>
      <w:bookmarkStart w:id="539" w:name="_Toc150480777"/>
      <w:r/>
      <w:bookmarkStart w:id="540" w:name="_Toc520356164"/>
      <w:r/>
      <w:bookmarkStart w:id="541" w:name="_Toc164229380"/>
      <w:r/>
      <w:bookmarkStart w:id="542" w:name="_Toc149720832"/>
      <w:r/>
      <w:bookmarkStart w:id="543" w:name="_Toc226965812"/>
      <w:r/>
      <w:bookmarkStart w:id="544" w:name="_Toc151193709"/>
      <w:r/>
      <w:bookmarkStart w:id="545" w:name="_Toc164608808"/>
      <w:r/>
      <w:bookmarkStart w:id="546" w:name="_Toc150774744"/>
      <w:r/>
      <w:bookmarkStart w:id="547" w:name="_Toc151193927"/>
      <w:r/>
      <w:bookmarkStart w:id="548" w:name="_Toc265228377"/>
      <w:r/>
      <w:bookmarkStart w:id="549" w:name="_Toc150509290"/>
      <w:r/>
      <w:bookmarkStart w:id="550" w:name="_Toc305158881"/>
      <w:r/>
      <w:bookmarkStart w:id="551" w:name="_Toc164608653"/>
      <w:r/>
      <w:bookmarkStart w:id="552" w:name="_Toc264969229"/>
      <w:r/>
      <w:bookmarkStart w:id="553" w:name="_Toc151190166"/>
      <w:r/>
      <w:bookmarkStart w:id="554" w:name="_Toc151193637"/>
      <w:r/>
      <w:bookmarkStart w:id="555" w:name="_Toc150774639"/>
      <w:r/>
      <w:bookmarkStart w:id="556" w:name="_Toc226337235"/>
      <w:r/>
      <w:bookmarkStart w:id="557" w:name="_Toc164351633"/>
      <w:r/>
      <w:bookmarkStart w:id="558" w:name="_Toc151193853"/>
      <w:r/>
      <w:bookmarkStart w:id="559" w:name="_Toc195842904"/>
      <w:r/>
      <w:bookmarkStart w:id="560" w:name="_Toc305158807"/>
      <w:r/>
      <w:bookmarkStart w:id="561" w:name="_Toc226965729"/>
      <w:r>
        <w:rPr>
          <w:rFonts w:hint="eastAsia" w:ascii="宋体" w:hAnsi="宋体" w:cs="宋体"/>
          <w:b/>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auto"/>
          <w:sz w:val="24"/>
          <w:highlight w:val="none"/>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投标人不足3家的，不予开标。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 1)平台系统发生故障而无法登录访问的；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资格审查</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见第三章《资格审查》。</w:t>
      </w:r>
      <w:bookmarkEnd w:id="562"/>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563" w:name="_Toc164351634"/>
      <w:r/>
      <w:bookmarkStart w:id="564" w:name="_Toc226965813"/>
      <w:r/>
      <w:bookmarkStart w:id="565" w:name="_Toc264969230"/>
      <w:r/>
      <w:bookmarkStart w:id="566" w:name="_Toc164229381"/>
      <w:r/>
      <w:bookmarkStart w:id="567" w:name="_Toc164608809"/>
      <w:r/>
      <w:bookmarkStart w:id="568" w:name="_Toc164229235"/>
      <w:r/>
      <w:bookmarkStart w:id="569" w:name="_Toc305158808"/>
      <w:r/>
      <w:bookmarkStart w:id="570" w:name="_Toc127151540"/>
      <w:r/>
      <w:bookmarkStart w:id="571" w:name="_Toc142311042"/>
      <w:r/>
      <w:bookmarkStart w:id="572" w:name="_Toc151193854"/>
      <w:r/>
      <w:bookmarkStart w:id="573" w:name="_Toc151190167"/>
      <w:r/>
      <w:bookmarkStart w:id="574" w:name="_Toc226309784"/>
      <w:r/>
      <w:bookmarkStart w:id="575" w:name="_Toc265228378"/>
      <w:r/>
      <w:bookmarkStart w:id="576" w:name="_Toc151193782"/>
      <w:r/>
      <w:bookmarkStart w:id="577" w:name="_Toc150480778"/>
      <w:r/>
      <w:bookmarkStart w:id="578" w:name="_Toc305158882"/>
      <w:r/>
      <w:bookmarkStart w:id="579" w:name="_Toc150774745"/>
      <w:r/>
      <w:bookmarkStart w:id="580" w:name="_Toc150509291"/>
      <w:r/>
      <w:bookmarkStart w:id="581" w:name="_Toc127161454"/>
      <w:r/>
      <w:bookmarkStart w:id="582" w:name="_Toc151193638"/>
      <w:r/>
      <w:bookmarkStart w:id="583" w:name="_Toc149720833"/>
      <w:r/>
      <w:bookmarkStart w:id="584" w:name="_Toc226337236"/>
      <w:r/>
      <w:bookmarkStart w:id="585" w:name="_Toc195842905"/>
      <w:r/>
      <w:bookmarkStart w:id="586" w:name="_Toc151193928"/>
      <w:r/>
      <w:bookmarkStart w:id="587" w:name="_Toc226965730"/>
      <w:r/>
      <w:bookmarkStart w:id="588" w:name="_Toc127151741"/>
      <w:r/>
      <w:bookmarkStart w:id="589" w:name="_Toc164608654"/>
      <w:r/>
      <w:bookmarkStart w:id="590" w:name="_Toc150774640"/>
      <w:r/>
      <w:bookmarkStart w:id="591" w:name="_Toc151193710"/>
      <w:r>
        <w:rPr>
          <w:rFonts w:hint="eastAsia" w:ascii="宋体" w:hAnsi="宋体" w:cs="宋体"/>
          <w:b/>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评标程序、评标方法和评标标准</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867"/>
        <w:ind w:firstLine="562"/>
        <w:spacing w:before="0" w:line="360" w:lineRule="auto"/>
        <w:rPr>
          <w:rFonts w:hint="eastAsia" w:ascii="宋体" w:hAnsi="宋体" w:eastAsia="宋体" w:cs="宋体"/>
          <w:color w:val="auto"/>
          <w:sz w:val="28"/>
          <w:highlight w:val="none"/>
        </w:rPr>
      </w:pPr>
      <w:r/>
      <w:bookmarkStart w:id="594" w:name="_Toc150774750"/>
      <w:r/>
      <w:bookmarkStart w:id="595" w:name="_Toc226337241"/>
      <w:r/>
      <w:bookmarkStart w:id="596" w:name="_Toc151193643"/>
      <w:r/>
      <w:bookmarkStart w:id="597" w:name="_Toc151193859"/>
      <w:r/>
      <w:bookmarkStart w:id="598" w:name="_Toc265228383"/>
      <w:r/>
      <w:bookmarkStart w:id="599" w:name="_Toc226965735"/>
      <w:r/>
      <w:bookmarkStart w:id="600" w:name="_Toc151193933"/>
      <w:r/>
      <w:bookmarkStart w:id="601" w:name="_Toc150509296"/>
      <w:r/>
      <w:bookmarkStart w:id="602" w:name="_Toc151190172"/>
      <w:r/>
      <w:bookmarkStart w:id="603" w:name="_Toc226309789"/>
      <w:r/>
      <w:bookmarkStart w:id="604" w:name="_Toc151193715"/>
      <w:r/>
      <w:bookmarkStart w:id="605" w:name="_Toc150774645"/>
      <w:r/>
      <w:bookmarkStart w:id="606" w:name="_Toc151193787"/>
      <w:r/>
      <w:bookmarkStart w:id="607" w:name="_Toc127151545"/>
      <w:r/>
      <w:bookmarkStart w:id="608" w:name="_Toc150480783"/>
      <w:r/>
      <w:bookmarkStart w:id="609" w:name="_Toc305158887"/>
      <w:r/>
      <w:bookmarkStart w:id="610" w:name="_Toc226965818"/>
      <w:r/>
      <w:bookmarkStart w:id="611" w:name="_Toc305158813"/>
      <w:r/>
      <w:bookmarkStart w:id="612" w:name="_Toc142311047"/>
      <w:r/>
      <w:bookmarkStart w:id="613" w:name="_Toc195842910"/>
      <w:r/>
      <w:bookmarkStart w:id="614" w:name="_Toc264969235"/>
      <w:r>
        <w:rPr>
          <w:rFonts w:hint="eastAsia" w:ascii="宋体" w:hAnsi="宋体" w:eastAsia="宋体" w:cs="宋体"/>
          <w:color w:val="auto"/>
          <w:sz w:val="28"/>
          <w:highlight w:val="none"/>
        </w:rPr>
        <w:t xml:space="preserve">六   </w:t>
      </w:r>
      <w:bookmarkEnd w:id="593"/>
      <w:r>
        <w:rPr>
          <w:rFonts w:hint="eastAsia" w:ascii="宋体" w:hAnsi="宋体" w:eastAsia="宋体" w:cs="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27161461"/>
      <w:r/>
      <w:bookmarkStart w:id="616" w:name="_Toc164229388"/>
      <w:r/>
      <w:bookmarkStart w:id="617" w:name="_Toc150480785"/>
      <w:r/>
      <w:bookmarkStart w:id="618" w:name="_Toc127151748"/>
      <w:r/>
      <w:bookmarkStart w:id="619" w:name="_Toc164351641"/>
      <w:r/>
      <w:bookmarkStart w:id="620" w:name="_Toc164608816"/>
      <w:r/>
      <w:bookmarkStart w:id="621" w:name="_Toc151193861"/>
      <w:r/>
      <w:bookmarkStart w:id="622" w:name="_Toc265228385"/>
      <w:r/>
      <w:bookmarkStart w:id="623" w:name="_Toc127151547"/>
      <w:r/>
      <w:bookmarkStart w:id="624" w:name="_Toc149720840"/>
      <w:r/>
      <w:bookmarkStart w:id="625" w:name="_Toc226965820"/>
      <w:r/>
      <w:bookmarkStart w:id="626" w:name="_Toc305158815"/>
      <w:r/>
      <w:bookmarkStart w:id="627" w:name="_Toc151190174"/>
      <w:r/>
      <w:bookmarkStart w:id="628" w:name="_Toc150774647"/>
      <w:r/>
      <w:bookmarkStart w:id="629" w:name="_Toc226965737"/>
      <w:r/>
      <w:bookmarkStart w:id="630" w:name="_Toc151193935"/>
      <w:r/>
      <w:bookmarkStart w:id="631" w:name="_Toc150774752"/>
      <w:r/>
      <w:bookmarkStart w:id="632" w:name="_Toc164229242"/>
      <w:r/>
      <w:bookmarkStart w:id="633" w:name="_Toc305158889"/>
      <w:r/>
      <w:bookmarkStart w:id="634" w:name="_Toc164608661"/>
      <w:r/>
      <w:bookmarkStart w:id="635" w:name="_Toc151193789"/>
      <w:r/>
      <w:bookmarkStart w:id="636" w:name="_Toc142311049"/>
      <w:r/>
      <w:bookmarkStart w:id="637" w:name="_Toc226337243"/>
      <w:r/>
      <w:bookmarkStart w:id="638" w:name="_Toc151193717"/>
      <w:r/>
      <w:bookmarkStart w:id="639" w:name="_Toc195842912"/>
      <w:r/>
      <w:bookmarkStart w:id="640" w:name="_Toc226309791"/>
      <w:r/>
      <w:bookmarkStart w:id="641" w:name="_Toc151193645"/>
      <w:r/>
      <w:bookmarkStart w:id="642" w:name="_Toc264969237"/>
      <w:r/>
      <w:bookmarkStart w:id="643" w:name="_Toc150509298"/>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644" w:name="_Toc305158817"/>
      <w:r/>
      <w:bookmarkStart w:id="645" w:name="_Toc305158891"/>
      <w:r/>
      <w:bookmarkStart w:id="646" w:name="_Toc142311051"/>
      <w:r/>
      <w:bookmarkStart w:id="647" w:name="_Toc150480787"/>
      <w:r/>
      <w:bookmarkStart w:id="648" w:name="_Toc127151549"/>
      <w:r/>
      <w:bookmarkStart w:id="649" w:name="_Toc226965739"/>
      <w:r/>
      <w:bookmarkStart w:id="650" w:name="_Toc164608818"/>
      <w:r/>
      <w:bookmarkStart w:id="651" w:name="_Toc151193647"/>
      <w:r/>
      <w:bookmarkStart w:id="652" w:name="_Toc127161463"/>
      <w:r/>
      <w:bookmarkStart w:id="653" w:name="_Toc264969239"/>
      <w:r/>
      <w:bookmarkStart w:id="654" w:name="_Toc127151750"/>
      <w:r/>
      <w:bookmarkStart w:id="655" w:name="_Toc151193791"/>
      <w:r/>
      <w:bookmarkStart w:id="656" w:name="_Toc164608663"/>
      <w:r/>
      <w:bookmarkStart w:id="657" w:name="_Toc151193937"/>
      <w:r/>
      <w:bookmarkStart w:id="658" w:name="_Toc164229244"/>
      <w:r/>
      <w:bookmarkStart w:id="659" w:name="_Toc226965822"/>
      <w:r/>
      <w:bookmarkStart w:id="660" w:name="_Toc265228387"/>
      <w:r/>
      <w:bookmarkStart w:id="661" w:name="_Toc151190176"/>
      <w:r/>
      <w:bookmarkStart w:id="662" w:name="_Toc150509300"/>
      <w:r/>
      <w:bookmarkStart w:id="663" w:name="_Toc226337245"/>
      <w:r/>
      <w:bookmarkStart w:id="664" w:name="_Toc164351643"/>
      <w:r/>
      <w:bookmarkStart w:id="665" w:name="_Toc151193719"/>
      <w:r/>
      <w:bookmarkStart w:id="666" w:name="_Toc164229390"/>
      <w:r/>
      <w:bookmarkStart w:id="667" w:name="_Toc226309793"/>
      <w:r/>
      <w:bookmarkStart w:id="668" w:name="_Toc151193863"/>
      <w:r/>
      <w:bookmarkStart w:id="669" w:name="_Toc195842914"/>
      <w:r/>
      <w:bookmarkStart w:id="670" w:name="_Toc150774649"/>
      <w:r/>
      <w:bookmarkStart w:id="671" w:name="_Toc150774754"/>
      <w:r/>
      <w:bookmarkStart w:id="672" w:name="_Toc149720842"/>
      <w:r/>
      <w:bookmarkStart w:id="673" w:name="_Ref467306425"/>
      <w:r/>
      <w:bookmarkStart w:id="674" w:name="_Toc520356176"/>
      <w:r/>
      <w:bookmarkStart w:id="675" w:name="_Ref467307090"/>
      <w:r>
        <w:rPr>
          <w:rFonts w:hint="eastAsia" w:ascii="宋体" w:hAnsi="宋体" w:cs="宋体"/>
          <w:b/>
          <w:color w:val="auto"/>
          <w:sz w:val="24"/>
          <w:highlight w:val="none"/>
        </w:rPr>
        <w:t xml:space="preserve">中标公告与中标通知书</w:t>
      </w:r>
      <w:bookmarkEnd w:id="644"/>
      <w:r/>
      <w:bookmarkEnd w:id="645"/>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采购人或采购代理机构自中标人确定之日起2个工作日内，</w:t>
      </w:r>
      <w:r>
        <w:rPr>
          <w:rFonts w:hint="eastAsia" w:ascii="宋体" w:hAnsi="宋体" w:cs="宋体"/>
          <w:color w:val="auto"/>
          <w:sz w:val="24"/>
          <w:highlight w:val="none"/>
        </w:rPr>
        <w:t xml:space="preserve">在常州市政府采购网公告中标结果</w:t>
      </w:r>
      <w:r>
        <w:rPr>
          <w:rFonts w:hint="eastAsia" w:ascii="宋体" w:hAnsi="宋体" w:cs="宋体"/>
          <w:color w:val="auto"/>
          <w:sz w:val="24"/>
          <w:highlight w:val="none"/>
        </w:rPr>
        <w:t xml:space="preserve">，同时向中标人发出中标通知书，中标公告期限为1个工作日。</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废标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在招标采购中，出现下列情形之一的，应予废标：</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投标人的报价均超过了采购预算，采购人不能支付的；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因重大变故，采购任务取消的。</w:t>
      </w:r>
      <w:r/>
    </w:p>
    <w:p>
      <w:pPr>
        <w:numPr>
          <w:ilvl w:val="2"/>
          <w:numId w:val="8"/>
        </w:numPr>
        <w:ind w:left="0" w:firstLine="488"/>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676" w:name="_Ref467306377"/>
      <w:r/>
      <w:bookmarkStart w:id="677" w:name="_Toc164229245"/>
      <w:r/>
      <w:bookmarkStart w:id="678" w:name="_Toc151193864"/>
      <w:r/>
      <w:bookmarkStart w:id="679" w:name="_Toc520356175"/>
      <w:r/>
      <w:bookmarkStart w:id="680" w:name="_Toc195842915"/>
      <w:r/>
      <w:bookmarkStart w:id="681" w:name="_Toc226965823"/>
      <w:r/>
      <w:bookmarkStart w:id="682" w:name="_Ref467306978"/>
      <w:r/>
      <w:bookmarkStart w:id="683" w:name="_Toc150509301"/>
      <w:r/>
      <w:bookmarkStart w:id="684" w:name="_Toc150774755"/>
      <w:r/>
      <w:bookmarkStart w:id="685" w:name="_Toc149720843"/>
      <w:r/>
      <w:bookmarkStart w:id="686" w:name="_Toc150774650"/>
      <w:r/>
      <w:bookmarkStart w:id="687" w:name="_Toc150480788"/>
      <w:r/>
      <w:bookmarkStart w:id="688" w:name="_Toc264969240"/>
      <w:r/>
      <w:bookmarkStart w:id="689" w:name="_Toc142311052"/>
      <w:r/>
      <w:bookmarkStart w:id="690" w:name="_Toc151193648"/>
      <w:r/>
      <w:bookmarkStart w:id="691" w:name="_Toc151193938"/>
      <w:r/>
      <w:bookmarkStart w:id="692" w:name="_Toc164608819"/>
      <w:r/>
      <w:bookmarkStart w:id="693" w:name="_Toc164608664"/>
      <w:r/>
      <w:bookmarkStart w:id="694" w:name="_Toc151193720"/>
      <w:r/>
      <w:bookmarkStart w:id="695" w:name="_Toc151190177"/>
      <w:r/>
      <w:bookmarkStart w:id="696" w:name="_Toc305158892"/>
      <w:r/>
      <w:bookmarkStart w:id="697" w:name="_Toc226309794"/>
      <w:r/>
      <w:bookmarkStart w:id="698" w:name="_Toc265228388"/>
      <w:r/>
      <w:bookmarkStart w:id="699" w:name="_Toc151193792"/>
      <w:r/>
      <w:bookmarkStart w:id="700" w:name="_Toc127151550"/>
      <w:r/>
      <w:bookmarkStart w:id="701" w:name="_Toc226965740"/>
      <w:r/>
      <w:bookmarkStart w:id="702" w:name="_Toc127161464"/>
      <w:r/>
      <w:bookmarkStart w:id="703" w:name="_Toc226337246"/>
      <w:r/>
      <w:bookmarkStart w:id="704" w:name="_Toc164229391"/>
      <w:r/>
      <w:bookmarkStart w:id="705" w:name="_Ref467307062"/>
      <w:r/>
      <w:bookmarkStart w:id="706" w:name="_Ref467307204"/>
      <w:r/>
      <w:bookmarkStart w:id="707" w:name="_Toc164351644"/>
      <w:r/>
      <w:bookmarkStart w:id="708" w:name="_Toc305158818"/>
      <w:r/>
      <w:bookmarkStart w:id="709" w:name="_Toc127151751"/>
      <w:r>
        <w:rPr>
          <w:rFonts w:hint="eastAsia" w:ascii="宋体" w:hAnsi="宋体" w:cs="宋体"/>
          <w:b/>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。中标人就采购项目和分包项目向采购人负责，分包供应商就分包项目承担责任。</w:t>
      </w:r>
      <w:bookmarkEnd w:id="673"/>
      <w:bookmarkEnd w:id="674"/>
      <w:bookmarkEnd w:id="675"/>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询问与质疑</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0" w:firstLine="480"/>
        <w:spacing w:line="360" w:lineRule="auto"/>
        <w:tabs>
          <w:tab w:val="left" w:pos="1080" w:leader="none"/>
          <w:tab w:val="left" w:pos="1276"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1276"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14"/>
          <w:rFonts w:hint="eastAsia" w:ascii="宋体" w:hAnsi="宋体" w:cs="宋体"/>
          <w:color w:val="auto"/>
          <w:highlight w:val="none"/>
        </w:rPr>
        <w:t xml:space="preserve">http://gk</w:t>
      </w:r>
      <w:bookmarkStart w:id="710" w:name="_Hlt100654014"/>
      <w:r>
        <w:rPr>
          <w:rStyle w:val="914"/>
          <w:rFonts w:hint="eastAsia" w:ascii="宋体" w:hAnsi="宋体" w:cs="宋体"/>
          <w:color w:val="auto"/>
          <w:highlight w:val="none"/>
        </w:rPr>
        <w:t xml:space="preserve">s</w:t>
      </w:r>
      <w:bookmarkEnd w:id="710"/>
      <w:r>
        <w:rPr>
          <w:rStyle w:val="914"/>
          <w:rFonts w:hint="eastAsia" w:ascii="宋体" w:hAnsi="宋体" w:cs="宋体"/>
          <w:color w:val="auto"/>
          <w:highlight w:val="none"/>
        </w:rPr>
        <w:t xml:space="preserve">.m</w:t>
      </w:r>
      <w:bookmarkStart w:id="711" w:name="_Hlt100653994"/>
      <w:r/>
      <w:bookmarkStart w:id="712" w:name="_Hlt100653993"/>
      <w:r>
        <w:rPr>
          <w:rStyle w:val="914"/>
          <w:rFonts w:hint="eastAsia" w:ascii="宋体" w:hAnsi="宋体" w:cs="宋体"/>
          <w:color w:val="auto"/>
          <w:highlight w:val="none"/>
        </w:rPr>
        <w:t xml:space="preserve">o</w:t>
      </w:r>
      <w:bookmarkEnd w:id="711"/>
      <w:r/>
      <w:bookmarkEnd w:id="712"/>
      <w:r>
        <w:rPr>
          <w:rStyle w:val="914"/>
          <w:rFonts w:hint="eastAsia" w:ascii="宋体" w:hAnsi="宋体" w:cs="宋体"/>
          <w:color w:val="auto"/>
          <w:highlight w:val="none"/>
        </w:rPr>
        <w:t xml:space="preserve">f.gov.cn/ztztz/zhengfucaigouguanli/201802/t20180201_2804589.htm</w:t>
      </w:r>
      <w:r>
        <w:rPr>
          <w:rStyle w:val="914"/>
          <w:rFonts w:hint="eastAsia" w:ascii="宋体" w:hAnsi="宋体" w:cs="宋体"/>
          <w:color w:val="auto"/>
          <w:highlight w:val="none"/>
        </w:rPr>
        <w:fldChar w:fldCharType="end"/>
      </w:r>
      <w:r>
        <w:rPr>
          <w:rFonts w:hint="eastAsia" w:ascii="宋体" w:hAnsi="宋体" w:cs="宋体"/>
          <w:color w:val="auto"/>
          <w:highlight w:val="none"/>
        </w:rPr>
        <w:t xml:space="preserve">）</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接收询问和质疑的联系部门、联系电话和通讯地址见《投标人须知资料表》。</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代理费</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36"/>
          <w:szCs w:val="36"/>
          <w:highlight w:val="none"/>
        </w:rPr>
        <w:outlineLvl w:val="0"/>
      </w:pPr>
      <w:r/>
      <w:bookmarkStart w:id="713" w:name="_Toc150774759"/>
      <w:r/>
      <w:bookmarkStart w:id="714" w:name="_Toc150480792"/>
      <w:r/>
      <w:bookmarkStart w:id="715" w:name="_Toc226965827"/>
      <w:r/>
      <w:bookmarkStart w:id="716" w:name="_Toc305158822"/>
      <w:r/>
      <w:bookmarkStart w:id="717" w:name="_Toc353873934"/>
      <w:r/>
      <w:bookmarkStart w:id="718" w:name="_Toc142311056"/>
      <w:r/>
      <w:bookmarkStart w:id="719" w:name="_Toc353873664"/>
      <w:r/>
      <w:bookmarkStart w:id="720" w:name="_Toc353825544"/>
      <w:r/>
      <w:bookmarkStart w:id="721" w:name="_Toc264969244"/>
      <w:r/>
      <w:bookmarkStart w:id="722" w:name="_Toc226337250"/>
      <w:r/>
      <w:bookmarkStart w:id="723" w:name="_Toc305158896"/>
      <w:r/>
      <w:bookmarkStart w:id="724" w:name="_Toc127151554"/>
      <w:r/>
      <w:bookmarkStart w:id="725" w:name="_Toc265228392"/>
      <w:r>
        <w:rPr>
          <w:rFonts w:hint="eastAsia" w:ascii="宋体" w:hAnsi="宋体" w:cs="宋体"/>
          <w:color w:val="auto"/>
          <w:sz w:val="24"/>
          <w:highlight w:val="none"/>
        </w:rPr>
        <w:br w:type="page" w:clear="all"/>
      </w:r>
      <w:bookmarkStart w:id="726" w:name="_Toc99301421"/>
      <w:r>
        <w:rPr>
          <w:rFonts w:hint="eastAsia" w:ascii="宋体" w:hAnsi="宋体" w:cs="宋体"/>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bookmarkStart w:id="728" w:name="_Toc99301422"/>
      <w:r>
        <w:rPr>
          <w:rFonts w:hint="eastAsia" w:ascii="宋体" w:hAnsi="宋体" w:cs="宋体"/>
          <w:b/>
          <w:color w:val="auto"/>
          <w:sz w:val="24"/>
          <w:highlight w:val="none"/>
        </w:rPr>
        <w:t xml:space="preserve">一、资格审查程序</w:t>
      </w:r>
      <w:bookmarkEnd w:id="728"/>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资格审查合格的投标人不足3家的，不进行评标。</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二、资格审查要求</w:t>
      </w:r>
      <w:r/>
    </w:p>
    <w:tbl>
      <w:tblPr>
        <w:tblStyle w:val="87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cs="宋体"/>
                <w:b/>
                <w:color w:val="auto"/>
                <w:sz w:val="24"/>
                <w:highlight w:val="none"/>
              </w:rPr>
            </w:pPr>
            <w:r/>
            <w:bookmarkStart w:id="729" w:name="_Hlt487972895"/>
            <w:r/>
            <w:bookmarkEnd w:id="729"/>
            <w:r>
              <w:rPr>
                <w:rFonts w:hint="eastAsia" w:ascii="宋体" w:hAnsi="宋体" w:cs="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595" w:type="pct"/>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881" w:type="pct"/>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投标人资格声明函</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t>
            </w:r>
            <w:r>
              <w:rPr>
                <w:rFonts w:hint="eastAsia" w:ascii="宋体" w:hAnsi="宋体" w:cs="宋体"/>
                <w:color w:val="auto"/>
                <w:highlight w:val="none"/>
              </w:rPr>
              <w:t xml:space="preserve">www.creditchina.gov.cn</w:t>
            </w:r>
            <w:r>
              <w:rPr>
                <w:rFonts w:hint="eastAsia" w:ascii="宋体" w:hAnsi="宋体" w:cs="宋体"/>
                <w:color w:val="auto"/>
                <w:sz w:val="24"/>
                <w:highlight w:val="none"/>
              </w:rPr>
              <w:t xml:space="preserve">、</w:t>
            </w:r>
            <w:r>
              <w:rPr>
                <w:rFonts w:hint="eastAsia" w:ascii="宋体" w:hAnsi="宋体" w:cs="宋体"/>
                <w:color w:val="auto"/>
                <w:highlight w:val="none"/>
              </w:rPr>
              <w:t xml:space="preserve">www.ccgp.gov.cn</w:t>
            </w:r>
            <w:r>
              <w:rPr>
                <w:rFonts w:hint="eastAsia" w:ascii="宋体" w:hAnsi="宋体" w:cs="宋体"/>
                <w:color w:val="auto"/>
                <w:sz w:val="24"/>
                <w:highlight w:val="none"/>
              </w:rPr>
              <w:t xml:space="preserve">）；</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2-3</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3-2</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rFonts w:hint="eastAsia" w:ascii="宋体" w:hAnsi="宋体" w:cs="宋体"/>
          <w:color w:val="auto"/>
          <w:sz w:val="24"/>
          <w:highlight w:val="none"/>
        </w:rPr>
      </w:pPr>
      <w:r/>
      <w:bookmarkStart w:id="730" w:name="_Toc353825550"/>
      <w:r/>
      <w:bookmarkStart w:id="731" w:name="_Toc353873940"/>
      <w:r/>
      <w:bookmarkStart w:id="732" w:name="_Toc127161490"/>
      <w:r/>
      <w:bookmarkStart w:id="733" w:name="_Toc127151779"/>
      <w:r/>
      <w:bookmarkStart w:id="734" w:name="_Toc226965858"/>
      <w:r>
        <w:rPr>
          <w:rFonts w:hint="eastAsia" w:ascii="宋体" w:hAnsi="宋体" w:cs="宋体"/>
          <w:color w:val="auto"/>
          <w:sz w:val="24"/>
          <w:highlight w:val="none"/>
        </w:rPr>
        <w:br w:type="page" w:clear="all"/>
      </w:r>
      <w:r/>
    </w:p>
    <w:p>
      <w:pPr>
        <w:jc w:val="center"/>
        <w:spacing w:line="360" w:lineRule="auto"/>
        <w:rPr>
          <w:rFonts w:hint="eastAsia" w:ascii="宋体" w:hAnsi="宋体" w:cs="宋体"/>
          <w:b/>
          <w:color w:val="auto"/>
          <w:sz w:val="36"/>
          <w:szCs w:val="36"/>
          <w:highlight w:val="none"/>
        </w:rPr>
        <w:outlineLvl w:val="0"/>
      </w:pPr>
      <w:r/>
      <w:bookmarkStart w:id="735" w:name="_Toc99301423"/>
      <w:r>
        <w:rPr>
          <w:rFonts w:hint="eastAsia" w:ascii="宋体" w:hAnsi="宋体" w:cs="宋体"/>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cs="宋体"/>
          <w:b/>
          <w:color w:val="auto"/>
          <w:highlight w:val="none"/>
        </w:rPr>
        <w:outlineLvl w:val="1"/>
      </w:pPr>
      <w:r>
        <w:rPr>
          <w:rFonts w:hint="eastAsia" w:ascii="宋体" w:hAnsi="宋体" w:cs="宋体"/>
          <w:b/>
          <w:color w:val="auto"/>
          <w:sz w:val="24"/>
          <w:highlight w:val="none"/>
        </w:rPr>
        <w:t xml:space="preserve">一、评标程序</w:t>
      </w:r>
      <w:r/>
    </w:p>
    <w:p>
      <w:pPr>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color w:val="auto"/>
          <w:sz w:val="24"/>
          <w:highlight w:val="none"/>
        </w:rPr>
        <w:outlineLvl w:val="1"/>
      </w:pPr>
      <w:r/>
      <w:bookmarkStart w:id="737" w:name="_Toc151193855"/>
      <w:r/>
      <w:bookmarkStart w:id="738" w:name="_Toc151193783"/>
      <w:r/>
      <w:bookmarkStart w:id="739" w:name="_Toc149720834"/>
      <w:r/>
      <w:bookmarkStart w:id="740" w:name="_Toc151190168"/>
      <w:r/>
      <w:bookmarkStart w:id="741" w:name="_Toc150774641"/>
      <w:r/>
      <w:bookmarkStart w:id="742" w:name="_Toc164229382"/>
      <w:r/>
      <w:bookmarkStart w:id="743" w:name="_Toc164229236"/>
      <w:r/>
      <w:bookmarkStart w:id="744" w:name="_Toc127151541"/>
      <w:r/>
      <w:bookmarkStart w:id="745" w:name="_Toc151193929"/>
      <w:r/>
      <w:bookmarkStart w:id="746" w:name="_Toc150509292"/>
      <w:r/>
      <w:bookmarkStart w:id="747" w:name="_Toc151193711"/>
      <w:r/>
      <w:bookmarkStart w:id="748" w:name="_Toc150480779"/>
      <w:r/>
      <w:bookmarkStart w:id="749" w:name="_Toc164608810"/>
      <w:r/>
      <w:bookmarkStart w:id="750" w:name="_Toc305158809"/>
      <w:r/>
      <w:bookmarkStart w:id="751" w:name="_Toc226965814"/>
      <w:r/>
      <w:bookmarkStart w:id="752" w:name="_Toc195842906"/>
      <w:r/>
      <w:bookmarkStart w:id="753" w:name="_Toc226309785"/>
      <w:r/>
      <w:bookmarkStart w:id="754" w:name="_Toc305158883"/>
      <w:r/>
      <w:bookmarkStart w:id="755" w:name="_Toc150774746"/>
      <w:r/>
      <w:bookmarkStart w:id="756" w:name="_Toc127161455"/>
      <w:r/>
      <w:bookmarkStart w:id="757" w:name="_Toc264969231"/>
      <w:r/>
      <w:bookmarkStart w:id="758" w:name="_Toc151193639"/>
      <w:r/>
      <w:bookmarkStart w:id="759" w:name="_Toc164608655"/>
      <w:r/>
      <w:bookmarkStart w:id="760" w:name="_Toc226337237"/>
      <w:r/>
      <w:bookmarkStart w:id="761" w:name="_Toc265228379"/>
      <w:r/>
      <w:bookmarkStart w:id="762" w:name="_Toc226965731"/>
      <w:r/>
      <w:bookmarkStart w:id="763" w:name="_Toc164351635"/>
      <w:r/>
      <w:bookmarkStart w:id="764" w:name="_Toc142311043"/>
      <w:r/>
      <w:bookmarkStart w:id="765" w:name="_Toc127151742"/>
      <w:r/>
      <w:bookmarkStart w:id="766" w:name="_Toc353873941"/>
      <w:r/>
      <w:bookmarkStart w:id="767" w:name="_Toc353825551"/>
      <w:r/>
      <w:bookmarkStart w:id="768" w:name="_Toc150774760"/>
      <w:r/>
      <w:bookmarkStart w:id="769" w:name="_Toc353873935"/>
      <w:r/>
      <w:bookmarkStart w:id="770" w:name="_Toc142311057"/>
      <w:r/>
      <w:bookmarkStart w:id="771" w:name="_Toc226337251"/>
      <w:r/>
      <w:bookmarkStart w:id="772" w:name="_Toc265228393"/>
      <w:r/>
      <w:bookmarkStart w:id="773" w:name="_Toc195842920"/>
      <w:r/>
      <w:bookmarkStart w:id="774" w:name="_Toc264969245"/>
      <w:r/>
      <w:bookmarkStart w:id="775" w:name="_Toc150480793"/>
      <w:r/>
      <w:bookmarkStart w:id="776" w:name="_Toc127151555"/>
      <w:r/>
      <w:bookmarkStart w:id="777" w:name="_Toc305158823"/>
      <w:r/>
      <w:bookmarkStart w:id="778" w:name="_Toc226965828"/>
      <w:r/>
      <w:bookmarkStart w:id="779" w:name="_Toc353825545"/>
      <w:r/>
      <w:bookmarkStart w:id="780" w:name="_Toc353873665"/>
      <w:r/>
      <w:bookmarkStart w:id="781" w:name="_Toc305158897"/>
      <w:r>
        <w:rPr>
          <w:rFonts w:hint="eastAsia" w:ascii="宋体" w:hAnsi="宋体" w:cs="宋体"/>
          <w:b/>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0" w:firstLine="480"/>
        <w:spacing w:line="360" w:lineRule="auto"/>
        <w:tabs>
          <w:tab w:val="left" w:pos="993" w:leader="none"/>
          <w:tab w:val="clear"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0" w:firstLine="480"/>
        <w:spacing w:line="360" w:lineRule="auto"/>
        <w:tabs>
          <w:tab w:val="left" w:pos="993" w:leader="none"/>
          <w:tab w:val="clear"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auto"/>
          <w:sz w:val="24"/>
          <w:highlight w:val="none"/>
        </w:rPr>
        <w:t xml:space="preserve">要求的，</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8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976"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20"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投标函、</w:t>
            </w:r>
            <w:r>
              <w:rPr>
                <w:rFonts w:hint="eastAsia" w:ascii="宋体" w:hAnsi="宋体" w:cs="宋体"/>
                <w:color w:val="auto"/>
                <w:sz w:val="24"/>
                <w:highlight w:val="none"/>
              </w:rPr>
              <w:t xml:space="preserve">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按招标文件要求提供投标函、</w:t>
            </w:r>
            <w:r>
              <w:rPr>
                <w:rFonts w:hint="eastAsia" w:ascii="宋体" w:hAnsi="宋体" w:cs="宋体"/>
                <w:color w:val="auto"/>
                <w:sz w:val="24"/>
                <w:highlight w:val="none"/>
              </w:rPr>
              <w:t xml:space="preserve">法定代表人资格证明书、授权委托书和政府采购供应商信用承诺书</w:t>
            </w:r>
            <w:r>
              <w:rPr>
                <w:rFonts w:hint="eastAsia" w:ascii="宋体" w:hAnsi="宋体" w:cs="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投标完整性</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投标报价未</w:t>
            </w:r>
            <w:r>
              <w:rPr>
                <w:rFonts w:hint="eastAsia" w:ascii="宋体" w:hAnsi="宋体" w:cs="宋体"/>
                <w:color w:val="auto"/>
                <w:sz w:val="24"/>
                <w:highlight w:val="none"/>
              </w:rPr>
              <w:t xml:space="preserve">超过招标文件中规定的项目/采购包预算金额或者项目/采购包最高限价</w:t>
            </w:r>
            <w:r>
              <w:rPr>
                <w:rFonts w:hint="eastAsia" w:ascii="宋体" w:hAnsi="宋体" w:cs="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w:t>
            </w:r>
            <w:r>
              <w:rPr>
                <w:rFonts w:hint="eastAsia" w:ascii="宋体" w:hAnsi="宋体" w:cs="宋体"/>
                <w:color w:val="auto"/>
                <w:sz w:val="24"/>
                <w:highlight w:val="none"/>
              </w:rPr>
              <w:t xml:space="preserve">出现可选择性或可调整的报价（招标文件另有规定的除外）</w:t>
            </w:r>
            <w:r>
              <w:rPr>
                <w:rFonts w:hint="eastAsia" w:ascii="宋体" w:hAnsi="宋体" w:cs="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投标文件满足招标文件</w:t>
            </w:r>
            <w:r>
              <w:rPr>
                <w:rFonts w:hint="eastAsia" w:ascii="宋体" w:hAnsi="宋体" w:cs="宋体"/>
                <w:color w:val="auto"/>
                <w:sz w:val="24"/>
                <w:highlight w:val="none"/>
              </w:rPr>
              <w:t xml:space="preserve">第五章《采购需求》</w:t>
            </w:r>
            <w:r>
              <w:rPr>
                <w:rFonts w:hint="eastAsia" w:ascii="宋体" w:hAnsi="宋体" w:cs="宋体"/>
                <w:color w:val="auto"/>
                <w:sz w:val="24"/>
                <w:highlight w:val="none"/>
              </w:rPr>
              <w:t xml:space="preserve">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分包意向协议</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按招标文件规定签订并提供分包意向协议原件的电子件的；</w:t>
            </w:r>
            <w:r>
              <w:rPr>
                <w:rFonts w:hint="eastAsia" w:ascii="宋体" w:hAnsi="宋体" w:cs="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不涉及报价修正，或投标文件报价出现前后不一致时，投标人对修正后的报价予以确认；（如有）</w:t>
            </w:r>
            <w:r/>
          </w:p>
        </w:tc>
      </w:tr>
      <w:tr>
        <w:trPr>
          <w:jc w:val="center"/>
          <w:trHeight w:val="685"/>
        </w:trPr>
        <w:tc>
          <w:tcPr>
            <w:tcW w:w="7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181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672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报价合理，或</w:t>
            </w:r>
            <w:r>
              <w:rPr>
                <w:rFonts w:hint="eastAsia" w:ascii="宋体" w:hAnsi="宋体" w:cs="宋体"/>
                <w:color w:val="auto"/>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181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进口产品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672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招标文件不接受进口产品投标的内容时，投标人所投产品非进口产品的；</w:t>
            </w:r>
            <w:r/>
          </w:p>
        </w:tc>
      </w:tr>
      <w:tr>
        <w:trPr>
          <w:jc w:val="center"/>
          <w:trHeight w:val="685"/>
        </w:trPr>
        <w:tc>
          <w:tcPr>
            <w:tcW w:w="7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181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w:t>
            </w:r>
            <w:r/>
          </w:p>
        </w:tc>
        <w:tc>
          <w:tcPr>
            <w:tcW w:w="672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公平竞争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16</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串通投标</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不存在《政府采购货物和服务招标投标管理办法》视为投标人串通投标的情形：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（一）不同投标人的投标文件由同一单位或者个人编制（包含使用同一MAC地址的计算机制作电子响应文件的情形）；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（三）不同投标人的投标文件载明的项目管理成员或者联系人员为同一人；</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（四）不同投标人的投标文件异常一致或者投标报价呈规律 性差异；</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（五）不同投标人的投标文件相互混装；</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（六）不同投标人的投标保证金从同一单位或者个人的账户转出；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17</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18</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p>
        </w:tc>
      </w:tr>
    </w:tbl>
    <w:p>
      <w:pPr>
        <w:numPr>
          <w:ilvl w:val="0"/>
          <w:numId w:val="13"/>
        </w:numPr>
        <w:spacing w:line="360" w:lineRule="auto"/>
        <w:tabs>
          <w:tab w:val="left" w:pos="1080" w:leader="none"/>
          <w:tab w:val="left" w:pos="1589" w:leader="none"/>
        </w:tabs>
        <w:rPr>
          <w:rFonts w:hint="eastAsia" w:ascii="宋体" w:hAnsi="宋体" w:cs="宋体"/>
          <w:color w:val="auto"/>
          <w:sz w:val="24"/>
          <w:highlight w:val="none"/>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color w:val="auto"/>
          <w:sz w:val="24"/>
          <w:highlight w:val="none"/>
        </w:rPr>
      </w:r>
      <w:bookmarkEnd w:id="766"/>
      <w:bookmarkEnd w:id="767"/>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投标文件有关事项的澄清或者说明</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评审过程中出现下列情形之一的，评标委员会应当启动异常低价投标审查程序：</w:t>
      </w:r>
      <w:r/>
    </w:p>
    <w:p>
      <w:pPr>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投标（响应）报价低于采购项目最高限价45%的，即投标（响应）报价&lt;采购项目最高限价×45%；</w:t>
      </w:r>
      <w:r/>
    </w:p>
    <w:p>
      <w:pPr>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评审委员会基于专业判断，认为供应商报价过低，有可能影响产品质量或者不能诚信履约的其他情形。 </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0" w:firstLine="482"/>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落实政府采购政策的价格调整</w:t>
      </w:r>
      <w:r>
        <w:rPr>
          <w:rFonts w:hint="eastAsia" w:ascii="宋体" w:hAnsi="宋体" w:cs="宋体"/>
          <w:color w:val="auto"/>
          <w:sz w:val="24"/>
          <w:highlight w:val="none"/>
        </w:rPr>
        <w:t xml:space="preserve">：只有符合第二章《投标人须知》5.2、5.9条规定情形的，可以享受政府采购价格扶持政策，用扣除后的价格参加评审；否则，评标时价格不予扣除。</w:t>
      </w:r>
      <w:r/>
    </w:p>
    <w:p>
      <w:pPr>
        <w:numPr>
          <w:ilvl w:val="2"/>
          <w:numId w:val="12"/>
        </w:numPr>
        <w:ind w:left="0"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b/>
          <w:bCs/>
          <w:color w:val="auto"/>
          <w:sz w:val="24"/>
          <w:highlight w:val="none"/>
        </w:rPr>
      </w:pPr>
      <w:r>
        <w:rPr>
          <w:rFonts w:hint="eastAsia" w:ascii="宋体" w:hAnsi="宋体" w:cs="宋体"/>
          <w:b/>
          <w:color w:val="auto"/>
          <w:sz w:val="24"/>
          <w:highlight w:val="none"/>
        </w:rPr>
        <w:t xml:space="preserve">小微企业</w:t>
      </w:r>
      <w:r>
        <w:rPr>
          <w:rFonts w:hint="eastAsia" w:ascii="宋体" w:hAnsi="宋体" w:cs="宋体"/>
          <w:b/>
          <w:bCs/>
          <w:color w:val="auto"/>
          <w:sz w:val="24"/>
          <w:highlight w:val="none"/>
        </w:rPr>
        <w:t xml:space="preserve">价格扣除</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%的扣除，用扣除后的价格参加评审。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%的扣除，用扣除后的价格参加评审。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价格扣除比例对小型企业和微型企业同等对待，不作区分。</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中小企业参加政府采购活动，应当按照招标文件给定的格式出具《中小企业声明函》，否则不得享受相关中小企业扶持政策。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残疾人福利性单位按招标文件要求提供了《残疾人福利性单位声明函》（见附件）的，视同小微企业。</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若投标人同时属于小型或微型企业、监狱企业、残疾人福利性单位中的两种及以上，将不重复享受小微企业价格扣减的优惠政策。</w:t>
      </w:r>
      <w:r/>
    </w:p>
    <w:p>
      <w:pPr>
        <w:numPr>
          <w:ilvl w:val="2"/>
          <w:numId w:val="12"/>
        </w:numPr>
        <w:ind w:left="0"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b/>
          <w:bCs/>
          <w:color w:val="auto"/>
          <w:sz w:val="24"/>
          <w:highlight w:val="none"/>
        </w:rPr>
      </w:pPr>
      <w:r>
        <w:rPr>
          <w:rFonts w:hint="eastAsia" w:ascii="宋体" w:hAnsi="宋体"/>
          <w:b/>
          <w:bCs/>
          <w:color w:val="auto"/>
          <w:sz w:val="24"/>
          <w:highlight w:val="none"/>
        </w:rPr>
        <w:t xml:space="preserve">采购本国产品的支持政策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auto"/>
          <w:sz w:val="24"/>
          <w:highlight w:val="none"/>
        </w:rPr>
        <w:t xml:space="preserve">20%</w:t>
      </w:r>
      <w:r>
        <w:rPr>
          <w:rFonts w:hint="eastAsia" w:ascii="宋体" w:hAnsi="宋体"/>
          <w:color w:val="auto"/>
          <w:sz w:val="24"/>
          <w:highlight w:val="none"/>
        </w:rPr>
        <w:t xml:space="preserve">的价格扣除，用扣除后的价格参与评审。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投标人需按照招标文件的要求提供《关于符合本国产品标准的声明函》（以下简称《声明函》），如不提供将不享受本国产品价格评审优惠。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投标文件的比较和评价</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评标方法和评标标准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□其他方式，具体要求：</w:t>
      </w:r>
      <w:r>
        <w:rPr>
          <w:rFonts w:hint="eastAsia" w:ascii="宋体" w:hAnsi="宋体" w:cs="宋体"/>
          <w:color w:val="auto"/>
          <w:sz w:val="24"/>
          <w:highlight w:val="none"/>
          <w:u w:val="singl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确定</w:t>
      </w:r>
      <w:bookmarkStart w:id="783" w:name="_Toc164608660"/>
      <w:r/>
      <w:bookmarkStart w:id="784" w:name="_Toc150774646"/>
      <w:r/>
      <w:bookmarkStart w:id="785" w:name="_Toc226965736"/>
      <w:r/>
      <w:bookmarkStart w:id="786" w:name="_Ref467307010"/>
      <w:r/>
      <w:bookmarkStart w:id="787" w:name="_Toc151193860"/>
      <w:r/>
      <w:bookmarkStart w:id="788" w:name="_Toc151193716"/>
      <w:r/>
      <w:bookmarkStart w:id="789" w:name="_Toc164229241"/>
      <w:r/>
      <w:bookmarkStart w:id="790" w:name="_Toc520356170"/>
      <w:r/>
      <w:bookmarkStart w:id="791" w:name="_Toc305158814"/>
      <w:r/>
      <w:bookmarkStart w:id="792" w:name="_Toc226965819"/>
      <w:r/>
      <w:bookmarkStart w:id="793" w:name="_Toc151193934"/>
      <w:r/>
      <w:bookmarkStart w:id="794" w:name="_Toc164351640"/>
      <w:r/>
      <w:bookmarkStart w:id="795" w:name="_Toc226337242"/>
      <w:r/>
      <w:bookmarkStart w:id="796" w:name="_Toc127151546"/>
      <w:r/>
      <w:bookmarkStart w:id="797" w:name="_Toc265228384"/>
      <w:r/>
      <w:bookmarkStart w:id="798" w:name="_Toc151193788"/>
      <w:r/>
      <w:bookmarkStart w:id="799" w:name="_Toc226309790"/>
      <w:r/>
      <w:bookmarkStart w:id="800" w:name="_Toc305158888"/>
      <w:r/>
      <w:bookmarkStart w:id="801" w:name="_Toc195842911"/>
      <w:r/>
      <w:bookmarkStart w:id="802" w:name="_Toc264969236"/>
      <w:r/>
      <w:bookmarkStart w:id="803" w:name="_Toc142311048"/>
      <w:r/>
      <w:bookmarkStart w:id="804" w:name="_Toc149720839"/>
      <w:r/>
      <w:bookmarkStart w:id="805" w:name="_Toc150480784"/>
      <w:r/>
      <w:bookmarkStart w:id="806" w:name="_Toc164608815"/>
      <w:r/>
      <w:bookmarkStart w:id="807" w:name="_Toc164229387"/>
      <w:r/>
      <w:bookmarkStart w:id="808" w:name="_Toc150774751"/>
      <w:r/>
      <w:bookmarkStart w:id="809" w:name="_Toc127161460"/>
      <w:r/>
      <w:bookmarkStart w:id="810" w:name="_Toc127151747"/>
      <w:r/>
      <w:bookmarkStart w:id="811" w:name="_Toc151193644"/>
      <w:r/>
      <w:bookmarkStart w:id="812" w:name="_Toc151190173"/>
      <w:r/>
      <w:bookmarkStart w:id="813" w:name="_Toc150509297"/>
      <w:r>
        <w:rPr>
          <w:rFonts w:hint="eastAsia" w:ascii="宋体" w:hAnsi="宋体" w:cs="宋体"/>
          <w:b/>
          <w:color w:val="auto"/>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89"/>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highlight w:val="none"/>
        </w:rPr>
        <w:t xml:space="preserve">■</w:t>
      </w:r>
      <w:r>
        <w:rPr>
          <w:rFonts w:hAnsi="宋体" w:cs="宋体"/>
          <w:color w:val="auto"/>
          <w:sz w:val="24"/>
          <w:szCs w:val="24"/>
          <w:highlight w:val="none"/>
        </w:rPr>
        <w:t xml:space="preserve">随机抽取</w:t>
      </w:r>
      <w:r/>
    </w:p>
    <w:p>
      <w:pPr>
        <w:pStyle w:val="889"/>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szCs w:val="24"/>
          <w:highlight w:val="none"/>
        </w:rPr>
        <w:t xml:space="preserve">□其他方式，具体要求：</w:t>
      </w:r>
      <w:r>
        <w:rPr>
          <w:rFonts w:hAnsi="宋体" w:cs="宋体"/>
          <w:color w:val="auto"/>
          <w:sz w:val="24"/>
          <w:highlight w:val="none"/>
          <w:u w:val="singl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评标委员会要对评分汇总情况进行复核，特别是对排名第一的、报价最低的、投标或响应文件被认定为无效的情形进行重点复核。</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报告违法行为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tabs>
          <w:tab w:val="left" w:pos="0" w:leader="none"/>
          <w:tab w:val="left" w:pos="567" w:leader="none"/>
        </w:tabs>
        <w:rPr>
          <w:rFonts w:ascii="宋体" w:hAnsi="宋体"/>
          <w:b/>
          <w:color w:val="auto"/>
          <w:sz w:val="24"/>
          <w:highlight w:val="none"/>
        </w:rPr>
      </w:pPr>
      <w:r>
        <w:rPr>
          <w:rFonts w:ascii="宋体" w:hAnsi="宋体"/>
          <w:b/>
          <w:color w:val="auto"/>
          <w:sz w:val="24"/>
          <w:highlight w:val="none"/>
        </w:rPr>
        <w:br w:type="page" w:clear="all"/>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二、评标标准</w:t>
      </w:r>
      <w:r/>
    </w:p>
    <w:p>
      <w:pPr>
        <w:spacing w:line="360" w:lineRule="auto"/>
        <w:tabs>
          <w:tab w:val="left" w:pos="360" w:leader="none"/>
          <w:tab w:val="left" w:pos="900"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r>
      <w:r/>
    </w:p>
    <w:tbl>
      <w:tblPr>
        <w:tblStyle w:val="876"/>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1263"/>
        <w:gridCol w:w="883"/>
        <w:gridCol w:w="3289"/>
        <w:gridCol w:w="2911"/>
      </w:tblGrid>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pStyle w:val="903"/>
              <w:jc w:val="center"/>
              <w:spacing w:before="0" w:beforeAutospacing="0" w:after="0" w:afterAutospacing="0"/>
              <w:widowControl w:val="off"/>
              <w:rPr>
                <w:rFonts w:hint="eastAsia"/>
                <w:color w:val="auto"/>
                <w:highlight w:val="none"/>
              </w:rPr>
            </w:pPr>
            <w:r>
              <w:rPr>
                <w:rFonts w:hint="eastAsia"/>
                <w:b/>
                <w:color w:val="auto"/>
                <w:highlight w:val="none"/>
              </w:rPr>
              <w:t xml:space="preserve">说明</w:t>
            </w:r>
            <w:r/>
          </w:p>
        </w:tc>
      </w:tr>
      <w:tr>
        <w:trPr>
          <w:trHeight w:val="170"/>
        </w:trPr>
        <w:tc>
          <w:tcPr>
            <w:tcBorders>
              <w:top w:val="single" w:color="auto" w:sz="4" w:space="0"/>
              <w:left w:val="single" w:color="auto" w:sz="4" w:space="0"/>
              <w:right w:val="single" w:color="auto" w:sz="4" w:space="0"/>
            </w:tcBorders>
            <w:tcW w:w="507" w:type="pct"/>
            <w:vAlign w:val="center"/>
            <w:vMerge w:val="restart"/>
            <w:textDirection w:val="lrTb"/>
            <w:noWrap w:val="false"/>
          </w:tcPr>
          <w:p>
            <w:pPr>
              <w:ind w:firstLine="28"/>
              <w:jc w:val="center"/>
              <w:rPr>
                <w:rFonts w:hint="eastAsia" w:ascii="宋体" w:hAnsi="宋体" w:cs="宋体"/>
                <w:b/>
                <w:color w:val="auto"/>
                <w:sz w:val="24"/>
                <w:highlight w:val="none"/>
              </w:rPr>
            </w:pPr>
            <w:r/>
            <w:bookmarkStart w:id="814" w:name="_Hlk194326212"/>
            <w:r>
              <w:rPr>
                <w:rFonts w:hint="eastAsia" w:ascii="宋体" w:hAnsi="宋体" w:cs="宋体"/>
                <w:bCs/>
                <w:color w:val="auto"/>
                <w:sz w:val="24"/>
                <w:highlight w:val="none"/>
              </w:rPr>
              <w:t xml:space="preserve">1</w:t>
            </w:r>
            <w:r/>
          </w:p>
        </w:tc>
        <w:tc>
          <w:tcPr>
            <w:tcBorders>
              <w:top w:val="single" w:color="auto" w:sz="4" w:space="0"/>
              <w:left w:val="single" w:color="auto" w:sz="4" w:space="0"/>
              <w:right w:val="single" w:color="auto" w:sz="4" w:space="0"/>
            </w:tcBorders>
            <w:tcW w:w="679" w:type="pct"/>
            <w:vAlign w:val="center"/>
            <w:vMerge w:val="restart"/>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spacing w:line="360" w:lineRule="exact"/>
              <w:rPr>
                <w:rFonts w:hint="eastAsia" w:ascii="宋体" w:hAnsi="宋体" w:cs="宋体"/>
                <w:color w:val="auto"/>
                <w:sz w:val="24"/>
                <w:highlight w:val="none"/>
              </w:rPr>
            </w:pPr>
            <w:r/>
            <w:bookmarkStart w:id="815" w:name="OLE_LINK17"/>
            <w:r>
              <w:rPr>
                <w:rFonts w:hint="eastAsia" w:ascii="宋体" w:hAnsi="宋体" w:cs="宋体"/>
                <w:color w:val="auto"/>
                <w:sz w:val="24"/>
                <w:highlight w:val="none"/>
              </w:rPr>
              <w:t xml:space="preserve">设备价格分：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spacing w:line="360" w:lineRule="exact"/>
              <w:rPr>
                <w:rFonts w:ascii="宋体" w:hAnsi="宋体" w:cs="宋体"/>
                <w:b/>
                <w:color w:val="auto"/>
                <w:sz w:val="24"/>
                <w:highlight w:val="none"/>
              </w:rPr>
            </w:pPr>
            <w:r>
              <w:rPr>
                <w:rFonts w:hint="eastAsia" w:ascii="宋体" w:hAnsi="宋体" w:cs="宋体"/>
                <w:color w:val="auto"/>
                <w:sz w:val="24"/>
                <w:highlight w:val="none"/>
              </w:rPr>
              <w:t xml:space="preserve">投标报价得分=（评标基准价/投标报价）*</w:t>
            </w:r>
            <w:bookmarkEnd w:id="815"/>
            <w:r>
              <w:rPr>
                <w:rFonts w:hint="eastAsia" w:ascii="宋体" w:hAnsi="宋体" w:cs="宋体"/>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此处投标报价指经过报价修正，及因落实政府采购政策进行价格调整后的报价，详见第三章《评标方法和评标标准》。</w:t>
            </w:r>
            <w:r/>
          </w:p>
        </w:tc>
      </w:tr>
      <w:tr>
        <w:trPr>
          <w:trHeight w:val="170"/>
        </w:trPr>
        <w:tc>
          <w:tcPr>
            <w:tcBorders>
              <w:left w:val="single" w:color="auto" w:sz="4" w:space="0"/>
              <w:bottom w:val="single" w:color="auto" w:sz="4" w:space="0"/>
              <w:right w:val="single" w:color="auto" w:sz="4" w:space="0"/>
            </w:tcBorders>
            <w:tcW w:w="507" w:type="pct"/>
            <w:vAlign w:val="center"/>
            <w:vMerge w:val="continue"/>
            <w:textDirection w:val="lrTb"/>
            <w:noWrap w:val="false"/>
          </w:tcPr>
          <w:p>
            <w:pPr>
              <w:ind w:firstLine="28"/>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left w:val="single" w:color="auto" w:sz="4" w:space="0"/>
              <w:bottom w:val="single" w:color="auto" w:sz="4" w:space="0"/>
              <w:right w:val="single" w:color="auto" w:sz="4" w:space="0"/>
            </w:tcBorders>
            <w:tcW w:w="679" w:type="pct"/>
            <w:vAlign w:val="center"/>
            <w:vMerge w:val="continue"/>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配套试剂价格分：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价格分采用低价优先法计算，即满足招标文件要求且投标折扣最低的投标折扣为评标基准价，其价格分为满分。其他投标人的价格分统一按照下列公式计算（计算结果四舍五入保留两位小数）：</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投标报价得分=（评标基准价/投标折扣）*15</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bookmarkEnd w:id="814"/>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客观分</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35</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2.1</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ind w:firstLine="28"/>
              <w:jc w:val="center"/>
              <w:rPr>
                <w:rFonts w:hint="eastAsia" w:ascii="宋体" w:hAnsi="宋体" w:cs="宋体"/>
                <w:color w:val="auto"/>
                <w:sz w:val="24"/>
                <w:highlight w:val="none"/>
              </w:rPr>
            </w:pPr>
            <w:r/>
            <w:bookmarkStart w:id="816" w:name="OLE_LINK18"/>
            <w:r/>
            <w:bookmarkStart w:id="817" w:name="OLE_LINK40"/>
            <w:r>
              <w:rPr>
                <w:rFonts w:hint="eastAsia" w:ascii="宋体" w:hAnsi="宋体" w:cs="宋体"/>
                <w:color w:val="auto"/>
                <w:sz w:val="24"/>
                <w:highlight w:val="none"/>
              </w:rPr>
              <w:t xml:space="preserve">技术部分</w:t>
            </w:r>
            <w:bookmarkEnd w:id="816"/>
            <w:r/>
            <w:bookmarkEnd w:id="817"/>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30</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技术要求的符合性，即对提供货物的技术参数、配置、性能是否符合或优于招标文件要求进行评价。符合技术要求的得30分；每有一项负偏离的，扣</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分；扣完为止。</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spacing w:line="360" w:lineRule="auto"/>
              <w:widowControl/>
              <w:tabs>
                <w:tab w:val="left" w:pos="120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p>
          <w:p>
            <w:pP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备注2：完全复制招标文件技术参数要求的，评标委员会有权视为所有技术参数负偏离，文字描述、国标、定制尺寸的技术指标除外。</w:t>
            </w:r>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2.2</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ind w:firstLine="28"/>
              <w:jc w:val="center"/>
              <w:rPr>
                <w:rFonts w:hint="eastAsia" w:ascii="宋体" w:hAnsi="宋体" w:cs="宋体"/>
                <w:color w:val="auto"/>
                <w:sz w:val="24"/>
                <w:highlight w:val="none"/>
              </w:rPr>
            </w:pPr>
            <w:r/>
            <w:bookmarkStart w:id="818" w:name="OLE_LINK21"/>
            <w:r>
              <w:rPr>
                <w:rFonts w:hint="eastAsia" w:ascii="宋体" w:hAnsi="宋体" w:cs="宋体"/>
                <w:color w:val="auto"/>
                <w:sz w:val="24"/>
                <w:highlight w:val="none"/>
              </w:rPr>
              <w:t xml:space="preserve">业绩</w:t>
            </w:r>
            <w:bookmarkEnd w:id="818"/>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pStyle w:val="903"/>
              <w:spacing w:before="0" w:beforeAutospacing="0" w:after="0" w:afterAutospacing="0" w:line="360" w:lineRule="exact"/>
              <w:widowControl w:val="off"/>
              <w:rPr>
                <w:rFonts w:hint="eastAsia"/>
                <w:b/>
                <w:color w:val="auto"/>
                <w:highlight w:val="none"/>
              </w:rPr>
            </w:pPr>
            <w:r>
              <w:rPr>
                <w:rFonts w:hint="eastAsia"/>
                <w:bCs/>
                <w:color w:val="auto"/>
                <w:highlight w:val="none"/>
              </w:rPr>
              <w:t xml:space="preserve">提供投标人或者制造商(含制造商其他代理商)自2023年1月1日以来在国内的销售合同（</w:t>
            </w:r>
            <w:r>
              <w:rPr>
                <w:rFonts w:hint="eastAsia"/>
                <w:b/>
                <w:color w:val="auto"/>
                <w:highlight w:val="none"/>
              </w:rPr>
              <w:t xml:space="preserve">合同内产品必须与所投产品为同品牌同型号</w:t>
            </w:r>
            <w:r>
              <w:rPr>
                <w:rFonts w:hint="eastAsia"/>
                <w:bCs/>
                <w:color w:val="auto"/>
                <w:highlight w:val="none"/>
              </w:rPr>
              <w:t xml:space="preserve">），每提供一份有效合同得1分，最多得4分。</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1、提供合同复印件；</w:t>
            </w:r>
            <w:r/>
          </w:p>
          <w:p>
            <w:pPr>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2、时间以合同签订时间为准；</w:t>
            </w:r>
            <w:r/>
          </w:p>
          <w:p>
            <w:pPr>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3、合同甲方应为最终实际使用合同标的的一方。</w:t>
            </w:r>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2.3</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ind w:firstLine="28"/>
              <w:jc w:val="center"/>
              <w:rPr>
                <w:rFonts w:hint="eastAsia" w:ascii="宋体" w:hAnsi="宋体" w:cs="宋体"/>
                <w:color w:val="auto"/>
                <w:sz w:val="24"/>
                <w:highlight w:val="none"/>
              </w:rPr>
            </w:pPr>
            <w:r/>
            <w:bookmarkStart w:id="819" w:name="OLE_LINK27"/>
            <w:r>
              <w:rPr>
                <w:rFonts w:hint="eastAsia" w:ascii="宋体" w:hAnsi="宋体" w:cs="宋体"/>
                <w:color w:val="auto"/>
                <w:sz w:val="24"/>
                <w:highlight w:val="none"/>
              </w:rPr>
              <w:t xml:space="preserve">政府采购政策功能性得分</w:t>
            </w:r>
            <w:bookmarkEnd w:id="819"/>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pStyle w:val="903"/>
              <w:spacing w:before="0" w:beforeAutospacing="0" w:after="0" w:afterAutospacing="0" w:line="360" w:lineRule="exact"/>
              <w:widowControl w:val="off"/>
              <w:rPr>
                <w:rFonts w:hint="eastAsia"/>
                <w:color w:val="auto"/>
                <w:highlight w:val="none"/>
              </w:rPr>
            </w:pPr>
            <w:r/>
            <w:bookmarkStart w:id="820" w:name="OLE_LINK28"/>
            <w:r>
              <w:rPr>
                <w:rFonts w:hint="eastAsia"/>
                <w:color w:val="auto"/>
                <w:highlight w:val="none"/>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0"/>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主观分</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35</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3.1</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投标人提供项目实施方案，包括但不限于项目整体管理方案、人员组织管理及架构设置、项目整体实施进度计划及推进方案等。</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方案内容全面，详细合理，针对性强，技术保障措施完善，得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方案内容较全面合理，针对性一般，技术保障措施较为完善，得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方案内容简单，未突出重点，技术保障措施一般，得1分；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3.2</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运输安装调试方案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提供针对本项目的运输安装调试方案，包括但不限于设备出库、运输及货物保障、设备安装及初始化调试、设备验收检查流程等。</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方案内容全面，详细合理，针对性强，技术保障措施完善，得5分；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方案内容较全面合理，针对性一般，技术保障措施较为完善，得3分；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方案内容简单，未突出重点，技术保障措施一般，得1分；</w:t>
            </w:r>
            <w:r/>
          </w:p>
          <w:p>
            <w:pPr>
              <w:spacing w:line="360" w:lineRule="exact"/>
              <w:rPr>
                <w:rFonts w:ascii="仿宋" w:hAnsi="仿宋" w:eastAsia="仿宋" w:cs="宋体"/>
                <w:color w:val="auto"/>
                <w:sz w:val="28"/>
                <w:szCs w:val="28"/>
                <w:highlight w:val="none"/>
              </w:rPr>
            </w:pPr>
            <w:r>
              <w:rPr>
                <w:rFonts w:hint="eastAsia" w:ascii="宋体" w:hAnsi="宋体" w:cs="宋体"/>
                <w:color w:val="auto"/>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3.3</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left"/>
              <w:spacing w:line="360" w:lineRule="exact"/>
              <w:widowControl/>
              <w:tabs>
                <w:tab w:val="left" w:pos="1200" w:leader="none"/>
              </w:tabs>
              <w:rPr>
                <w:rFonts w:hint="eastAsia"/>
                <w:color w:val="auto"/>
                <w:highlight w:val="none"/>
              </w:rPr>
            </w:pPr>
            <w:r>
              <w:rPr>
                <w:rFonts w:hint="eastAsia" w:ascii="宋体" w:hAnsi="宋体" w:cs="宋体"/>
                <w:color w:val="auto"/>
                <w:sz w:val="24"/>
                <w:highlight w:val="none"/>
              </w:rPr>
              <w:t xml:space="preserve">产品质量保障方案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投标人提供产品质量保障方案，包括货物质量保证、货物检验标准、货物来源渠道等。</w:t>
            </w:r>
            <w:r/>
          </w:p>
          <w:p>
            <w:pPr>
              <w:spacing w:line="360" w:lineRule="exact"/>
              <w:rPr>
                <w:rFonts w:hint="eastAsia"/>
                <w:color w:val="auto"/>
                <w:highlight w:val="none"/>
              </w:rPr>
            </w:pPr>
            <w:r>
              <w:rPr>
                <w:rFonts w:hint="eastAsia" w:ascii="宋体" w:hAnsi="宋体" w:cs="宋体"/>
                <w:color w:val="auto"/>
                <w:sz w:val="24"/>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3.4</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pStyle w:val="903"/>
              <w:jc w:val="center"/>
              <w:spacing w:before="0" w:beforeAutospacing="0" w:after="0" w:afterAutospacing="0" w:line="360" w:lineRule="exact"/>
              <w:widowControl w:val="off"/>
              <w:rPr>
                <w:rFonts w:hint="eastAsia"/>
                <w:color w:val="auto"/>
                <w:highlight w:val="none"/>
              </w:rPr>
            </w:pPr>
            <w:r>
              <w:rPr>
                <w:rFonts w:hint="eastAsia"/>
                <w:color w:val="auto"/>
                <w:highlight w:val="none"/>
              </w:rPr>
              <w:t xml:space="preserve">培训方案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pStyle w:val="903"/>
              <w:spacing w:before="0" w:beforeAutospacing="0" w:after="0" w:afterAutospacing="0" w:line="360" w:lineRule="exact"/>
              <w:widowControl w:val="off"/>
              <w:rPr>
                <w:rFonts w:hint="eastAsia"/>
                <w:color w:val="auto"/>
                <w:highlight w:val="none"/>
              </w:rPr>
            </w:pPr>
            <w:r>
              <w:rPr>
                <w:rFonts w:hint="eastAsia"/>
                <w:color w:val="auto"/>
                <w:highlight w:val="none"/>
              </w:rPr>
              <w:t xml:space="preserve">投标人培训方案情况比较：包括</w:t>
            </w:r>
            <w:r>
              <w:rPr>
                <w:rFonts w:hint="eastAsia"/>
                <w:bCs/>
                <w:color w:val="auto"/>
                <w:highlight w:val="none"/>
              </w:rPr>
              <w:t xml:space="preserve">培训计划的内容、方式、时间、人次数等</w:t>
            </w:r>
            <w:r>
              <w:rPr>
                <w:rFonts w:hint="eastAsia"/>
                <w:color w:val="auto"/>
                <w:highlight w:val="none"/>
              </w:rPr>
              <w:t xml:space="preserve">。</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rPr>
              <w:t xml:space="preserve">培训方案详细具体，可行性高，优于项目需求的得5分；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rPr>
              <w:t xml:space="preserve">培训方案较为详细具体，可行性较高，满足项目需求的得3分；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rPr>
              <w:t xml:space="preserve">培训方案不够详细具体，可行性较低，不能完全满足项目需求的得1分；</w:t>
            </w:r>
            <w:r/>
          </w:p>
          <w:p>
            <w:pPr>
              <w:pStyle w:val="903"/>
              <w:spacing w:before="0" w:beforeAutospacing="0" w:after="0" w:afterAutospacing="0" w:line="360" w:lineRule="exact"/>
              <w:widowControl w:val="off"/>
              <w:rPr>
                <w:rFonts w:hint="eastAsia"/>
                <w:color w:val="auto"/>
                <w:highlight w:val="none"/>
              </w:rPr>
            </w:pPr>
            <w:r>
              <w:rPr>
                <w:rFonts w:hint="eastAsia"/>
                <w:color w:val="auto"/>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3.5</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售后服务管理体系方案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spacing w:line="30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供应商针对本项目制定售后服务管理体系方案，包括售后服务人员、服务机制、响应时间、故障解决等。</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方案详细，可操作性强，完全满足项目需要的，得5分；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方案较详细，可操作性较强，基本满足项目需求，略有欠缺需要完善的，得3分；</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方案不够详细，可操作性一般，不能较好满足项目需要的</w:t>
            </w:r>
            <w:r/>
          </w:p>
          <w:p>
            <w:pPr>
              <w:spacing w:line="300" w:lineRule="exact"/>
              <w:rPr>
                <w:rFonts w:hint="eastAsia" w:ascii="宋体" w:hAnsi="宋体" w:cs="宋体"/>
                <w:color w:val="auto"/>
                <w:sz w:val="24"/>
                <w:highlight w:val="none"/>
              </w:rPr>
            </w:pPr>
            <w:r>
              <w:rPr>
                <w:rFonts w:hint="eastAsia" w:ascii="宋体" w:hAnsi="宋体" w:cs="宋体"/>
                <w:color w:val="auto"/>
                <w:sz w:val="24"/>
                <w:highlight w:val="none"/>
              </w:rPr>
              <w:t xml:space="preserve">得1分；</w:t>
            </w:r>
            <w:r/>
          </w:p>
          <w:p>
            <w:pPr>
              <w:pStyle w:val="903"/>
              <w:spacing w:before="0" w:beforeAutospacing="0" w:after="0" w:afterAutospacing="0" w:line="360" w:lineRule="exact"/>
              <w:widowControl w:val="off"/>
              <w:rPr>
                <w:rFonts w:hint="eastAsia"/>
                <w:color w:val="auto"/>
                <w:highlight w:val="none"/>
              </w:rPr>
            </w:pPr>
            <w:r>
              <w:rPr>
                <w:rFonts w:hint="eastAsia"/>
                <w:color w:val="auto"/>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3.6</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left"/>
              <w:widowControl/>
              <w:rPr>
                <w:rFonts w:hint="eastAsia"/>
                <w:color w:val="auto"/>
                <w:highlight w:val="none"/>
                <w:lang w:val="zh-CN"/>
              </w:rPr>
            </w:pPr>
            <w:r>
              <w:rPr>
                <w:rFonts w:hint="eastAsia" w:ascii="宋体" w:hAnsi="宋体" w:cs="宋体"/>
                <w:color w:val="auto"/>
                <w:sz w:val="24"/>
                <w:highlight w:val="none"/>
              </w:rPr>
              <w:t xml:space="preserve">质保期满后的</w:t>
            </w:r>
            <w:r>
              <w:rPr>
                <w:rFonts w:hint="eastAsia" w:ascii="宋体" w:hAnsi="宋体" w:cs="宋体"/>
                <w:b/>
                <w:bCs/>
                <w:color w:val="auto"/>
                <w:sz w:val="24"/>
                <w:highlight w:val="none"/>
              </w:rPr>
              <w:t xml:space="preserve">维修成本方案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pStyle w:val="903"/>
              <w:spacing w:before="0" w:beforeAutospacing="0" w:after="0" w:afterAutospacing="0" w:line="360" w:lineRule="exact"/>
              <w:widowControl w:val="off"/>
              <w:rPr>
                <w:rFonts w:hint="eastAsia"/>
                <w:color w:val="auto"/>
                <w:highlight w:val="none"/>
              </w:rPr>
            </w:pPr>
            <w:r>
              <w:rPr>
                <w:rFonts w:hint="eastAsia"/>
                <w:color w:val="auto"/>
                <w:highlight w:val="none"/>
              </w:rPr>
              <w:t xml:space="preserve">质保期满后的</w:t>
            </w:r>
            <w:r>
              <w:rPr>
                <w:rFonts w:hint="eastAsia"/>
                <w:b/>
                <w:bCs/>
                <w:color w:val="auto"/>
                <w:highlight w:val="none"/>
              </w:rPr>
              <w:t xml:space="preserve">维修成本方案</w:t>
            </w:r>
            <w:r>
              <w:rPr>
                <w:rFonts w:hint="eastAsia"/>
                <w:color w:val="auto"/>
                <w:highlight w:val="none"/>
              </w:rPr>
              <w:t xml:space="preserve">，包括</w:t>
            </w:r>
            <w:r>
              <w:rPr>
                <w:rFonts w:hint="eastAsia"/>
                <w:b/>
                <w:bCs/>
                <w:color w:val="auto"/>
                <w:highlight w:val="none"/>
              </w:rPr>
              <w:t xml:space="preserve">出保后全保的价格、设备配件价格、维修（技术）服务费、维修完成时间、维修质量的保障措施等</w:t>
            </w:r>
            <w:r>
              <w:rPr>
                <w:rFonts w:hint="eastAsia"/>
                <w:color w:val="auto"/>
                <w:highlight w:val="none"/>
              </w:rPr>
              <w:t xml:space="preserve">：</w:t>
            </w:r>
            <w:r/>
          </w:p>
          <w:p>
            <w:pPr>
              <w:pStyle w:val="903"/>
              <w:spacing w:before="0" w:beforeAutospacing="0" w:after="0" w:afterAutospacing="0" w:line="360" w:lineRule="exact"/>
              <w:widowControl w:val="off"/>
              <w:rPr>
                <w:rFonts w:hint="eastAsia"/>
                <w:color w:val="auto"/>
                <w:highlight w:val="none"/>
                <w:lang w:val="zh-CN"/>
              </w:rPr>
            </w:pPr>
            <w:r>
              <w:rPr>
                <w:rFonts w:hint="eastAsia"/>
                <w:color w:val="auto"/>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3.7</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pStyle w:val="903"/>
              <w:jc w:val="center"/>
              <w:spacing w:before="0" w:beforeAutospacing="0" w:after="0" w:afterAutospacing="0" w:line="360" w:lineRule="exact"/>
              <w:widowControl w:val="off"/>
              <w:rPr>
                <w:rFonts w:hint="eastAsia"/>
                <w:color w:val="auto"/>
                <w:highlight w:val="none"/>
                <w:lang w:val="zh-CN"/>
              </w:rPr>
            </w:pPr>
            <w:r>
              <w:rPr>
                <w:rFonts w:hint="eastAsia"/>
                <w:color w:val="auto"/>
                <w:highlight w:val="none"/>
                <w:lang w:val="zh-CN"/>
              </w:rPr>
              <w:t xml:space="preserve">投标设备整体配置</w:t>
            </w:r>
            <w:r/>
          </w:p>
          <w:p>
            <w:pPr>
              <w:pStyle w:val="903"/>
              <w:jc w:val="center"/>
              <w:spacing w:before="0" w:beforeAutospacing="0" w:after="0" w:afterAutospacing="0" w:line="360" w:lineRule="exact"/>
              <w:widowControl w:val="off"/>
              <w:rPr>
                <w:rFonts w:hint="eastAsia"/>
                <w:color w:val="auto"/>
                <w:highlight w:val="none"/>
              </w:rPr>
            </w:pPr>
            <w:r>
              <w:rPr>
                <w:rFonts w:hint="eastAsia"/>
                <w:color w:val="auto"/>
                <w:highlight w:val="none"/>
                <w:lang w:val="zh-CN"/>
              </w:rPr>
              <w:t xml:space="preserve">情况比较</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根据所投标产品性能稳定性、质量可靠性等方面进行综合 </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评审：</w:t>
            </w:r>
            <w:r/>
          </w:p>
          <w:p>
            <w:pPr>
              <w:pStyle w:val="903"/>
              <w:spacing w:before="0" w:beforeAutospacing="0" w:after="0" w:afterAutospacing="0" w:line="360" w:lineRule="exact"/>
              <w:widowControl w:val="off"/>
              <w:rPr>
                <w:rFonts w:hint="eastAsia"/>
                <w:color w:val="auto"/>
                <w:highlight w:val="none"/>
              </w:rPr>
            </w:pPr>
            <w:r>
              <w:rPr>
                <w:rFonts w:hint="eastAsia"/>
                <w:color w:val="auto"/>
                <w:highlight w:val="none"/>
              </w:rPr>
              <w:t xml:space="preserve">投标产品性能稳定、质量可靠的，得5分；性能稳定性、质量可靠性较高的，得3分；性能稳定性差、质量可靠性低的，得1分。</w:t>
            </w:r>
            <w:r/>
          </w:p>
        </w:tc>
        <w:tc>
          <w:tcPr>
            <w:tcBorders>
              <w:top w:val="single" w:color="auto" w:sz="4" w:space="0"/>
              <w:left w:val="single" w:color="auto" w:sz="4" w:space="0"/>
              <w:bottom w:val="single" w:color="auto" w:sz="4" w:space="0"/>
              <w:right w:val="single" w:color="auto" w:sz="4" w:space="0"/>
            </w:tcBorders>
            <w:tcW w:w="1567"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gridSpan w:val="2"/>
            <w:tcBorders>
              <w:top w:val="single" w:color="auto" w:sz="4" w:space="0"/>
              <w:left w:val="single" w:color="auto" w:sz="4" w:space="0"/>
              <w:bottom w:val="single" w:color="auto" w:sz="4" w:space="0"/>
              <w:right w:val="single" w:color="auto" w:sz="4" w:space="0"/>
            </w:tcBorders>
            <w:tcW w:w="1187"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100</w:t>
            </w:r>
            <w:r/>
          </w:p>
        </w:tc>
        <w:tc>
          <w:tcPr>
            <w:gridSpan w:val="2"/>
            <w:tcBorders>
              <w:top w:val="single" w:color="auto" w:sz="4" w:space="0"/>
              <w:left w:val="single" w:color="auto" w:sz="4" w:space="0"/>
              <w:bottom w:val="single" w:color="auto" w:sz="4" w:space="0"/>
              <w:right w:val="single" w:color="auto" w:sz="4" w:space="0"/>
            </w:tcBorders>
            <w:tcW w:w="3337"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1" w:name="_Toc99301424"/>
      <w:r>
        <w:rPr>
          <w:rFonts w:ascii="宋体" w:hAnsi="宋体"/>
          <w:b/>
          <w:color w:val="auto"/>
          <w:sz w:val="36"/>
          <w:szCs w:val="36"/>
          <w:highlight w:val="none"/>
        </w:rPr>
        <w:t xml:space="preserve">第五章   采购需求</w:t>
      </w:r>
      <w:bookmarkEnd w:id="821"/>
      <w:r/>
      <w:r/>
    </w:p>
    <w:p>
      <w:pPr>
        <w:pStyle w:val="959"/>
        <w:contextualSpacing/>
        <w:ind w:left="-2" w:firstLine="482"/>
        <w:spacing w:line="360" w:lineRule="auto"/>
        <w:tabs>
          <w:tab w:val="left" w:pos="567" w:leader="none"/>
        </w:tabs>
        <w:rPr>
          <w:rFonts w:ascii="宋体" w:hAnsi="宋体"/>
          <w:b/>
          <w:color w:val="auto"/>
          <w:sz w:val="24"/>
          <w:szCs w:val="24"/>
          <w:highlight w:val="none"/>
        </w:rPr>
      </w:pPr>
      <w:r>
        <w:rPr>
          <w:rFonts w:ascii="宋体" w:hAnsi="宋体"/>
          <w:b/>
          <w:color w:val="auto"/>
          <w:sz w:val="24"/>
          <w:szCs w:val="24"/>
          <w:highlight w:val="none"/>
        </w:rPr>
        <w:t xml:space="preserve">一、</w:t>
      </w:r>
      <w:r>
        <w:rPr>
          <w:rFonts w:hint="eastAsia" w:ascii="宋体" w:hAnsi="宋体" w:cs="宋体"/>
          <w:b/>
          <w:color w:val="auto"/>
          <w:sz w:val="24"/>
          <w:highlight w:val="none"/>
        </w:rPr>
        <w:t xml:space="preserve">项目概况</w:t>
      </w:r>
      <w:r/>
    </w:p>
    <w:p>
      <w:pPr>
        <w:contextualSpacing/>
        <w:ind w:left="-2" w:firstLine="480"/>
        <w:spacing w:line="360" w:lineRule="auto"/>
        <w:tabs>
          <w:tab w:val="left" w:pos="567" w:leader="none"/>
        </w:tabs>
        <w:rPr>
          <w:rFonts w:ascii="宋体" w:hAnsi="宋体"/>
          <w:bCs/>
          <w:color w:val="auto"/>
          <w:sz w:val="24"/>
          <w:highlight w:val="none"/>
        </w:rPr>
      </w:pPr>
      <w:r>
        <w:rPr>
          <w:rFonts w:hint="eastAsia" w:ascii="宋体" w:hAnsi="宋体"/>
          <w:bCs/>
          <w:color w:val="auto"/>
          <w:sz w:val="24"/>
          <w:highlight w:val="none"/>
        </w:rPr>
        <w:t xml:space="preserve">本项目为常州市第三人民医院公共卫生临床救治中心（含常州市医疗急救中心）二代测序仪采购项目，具体内容包括：设备的制造（采购）、运输、装卸、安装、调试、测试、售后服务、技术培训等，直至通过采购单位及其他相关部门的验收以及质量保修、免费维保等全部工作。</w:t>
      </w:r>
      <w:r/>
    </w:p>
    <w:p>
      <w:pPr>
        <w:pStyle w:val="959"/>
        <w:contextualSpacing/>
        <w:ind w:left="-2" w:firstLine="482"/>
        <w:spacing w:line="360" w:lineRule="auto"/>
        <w:tabs>
          <w:tab w:val="left" w:pos="567" w:leader="none"/>
        </w:tabs>
        <w:rPr>
          <w:rFonts w:ascii="宋体" w:hAnsi="宋体"/>
          <w:b/>
          <w:color w:val="auto"/>
          <w:sz w:val="24"/>
          <w:szCs w:val="24"/>
          <w:highlight w:val="none"/>
        </w:rPr>
      </w:pPr>
      <w:r>
        <w:rPr>
          <w:rFonts w:ascii="宋体" w:hAnsi="宋体"/>
          <w:b/>
          <w:color w:val="auto"/>
          <w:sz w:val="24"/>
          <w:szCs w:val="24"/>
          <w:highlight w:val="none"/>
        </w:rPr>
        <w:t xml:space="preserve">二、</w:t>
      </w:r>
      <w:r>
        <w:rPr>
          <w:rFonts w:hint="eastAsia" w:ascii="宋体" w:hAnsi="宋体"/>
          <w:b/>
          <w:color w:val="auto"/>
          <w:sz w:val="24"/>
          <w:szCs w:val="24"/>
          <w:highlight w:val="none"/>
        </w:rPr>
        <w:t xml:space="preserve">基本要求</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959"/>
        <w:contextualSpacing/>
        <w:ind w:left="-2" w:firstLine="482"/>
        <w:spacing w:line="360" w:lineRule="auto"/>
        <w:tabs>
          <w:tab w:val="left" w:pos="567" w:leader="none"/>
        </w:tabs>
        <w:rPr>
          <w:rFonts w:hint="eastAsia" w:ascii="宋体" w:hAnsi="宋体" w:eastAsia="宋体"/>
          <w:b/>
          <w:i/>
          <w:iCs/>
          <w:color w:val="auto"/>
          <w:sz w:val="24"/>
          <w:szCs w:val="24"/>
          <w:highlight w:val="none"/>
          <w:lang w:eastAsia="zh-CN"/>
        </w:rPr>
      </w:pPr>
      <w:r>
        <w:rPr>
          <w:rFonts w:hint="eastAsia" w:ascii="宋体" w:hAnsi="宋体"/>
          <w:b/>
          <w:i/>
          <w:iCs/>
          <w:color w:val="auto"/>
          <w:sz w:val="24"/>
          <w:szCs w:val="24"/>
          <w:highlight w:val="none"/>
        </w:rPr>
        <w:t xml:space="preserve">★</w:t>
      </w:r>
      <w:r>
        <w:rPr>
          <w:rFonts w:ascii="宋体" w:hAnsi="宋体"/>
          <w:b/>
          <w:i/>
          <w:iCs/>
          <w:color w:val="auto"/>
          <w:sz w:val="24"/>
          <w:szCs w:val="24"/>
          <w:highlight w:val="none"/>
        </w:rPr>
        <w:t xml:space="preserve">三、</w:t>
      </w:r>
      <w:r>
        <w:rPr>
          <w:rFonts w:hint="eastAsia" w:ascii="宋体" w:hAnsi="宋体" w:cs="宋体"/>
          <w:b/>
          <w:i/>
          <w:iCs/>
          <w:color w:val="auto"/>
          <w:sz w:val="24"/>
          <w:highlight w:val="none"/>
        </w:rPr>
        <w:t xml:space="preserve">采购清单</w:t>
      </w:r>
      <w:r>
        <w:rPr>
          <w:rFonts w:hint="eastAsia" w:ascii="宋体" w:hAnsi="宋体" w:cs="宋体"/>
          <w:b/>
          <w:i/>
          <w:iCs/>
          <w:color w:val="auto"/>
          <w:sz w:val="24"/>
          <w:highlight w:val="none"/>
          <w:lang w:eastAsia="zh-CN"/>
        </w:rPr>
        <w:t xml:space="preserve">（</w:t>
      </w:r>
      <w:r>
        <w:rPr>
          <w:rFonts w:hint="eastAsia" w:ascii="宋体" w:hAnsi="宋体" w:cs="宋体"/>
          <w:b/>
          <w:i/>
          <w:iCs/>
          <w:color w:val="auto"/>
          <w:sz w:val="24"/>
          <w:highlight w:val="none"/>
          <w:lang w:val="en-US" w:eastAsia="zh-CN"/>
        </w:rPr>
        <w:t xml:space="preserve">本项为实质性要求，必须响应并满足，否则投标无效</w:t>
      </w:r>
      <w:r>
        <w:rPr>
          <w:rFonts w:hint="eastAsia" w:ascii="宋体" w:hAnsi="宋体" w:cs="宋体"/>
          <w:b/>
          <w:i/>
          <w:iCs/>
          <w:color w:val="auto"/>
          <w:sz w:val="24"/>
          <w:highlight w:val="none"/>
          <w:lang w:eastAsia="zh-CN"/>
        </w:rPr>
        <w:t xml:space="preserve">）</w:t>
      </w:r>
      <w:r/>
    </w:p>
    <w:tbl>
      <w:tblPr>
        <w:tblStyle w:val="87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6032"/>
        <w:gridCol w:w="1778"/>
      </w:tblGrid>
      <w:tr>
        <w:trPr>
          <w:trHeight w:val="454"/>
        </w:trPr>
        <w:tc>
          <w:tcPr>
            <w:tcW w:w="795"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3247"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标的名称</w:t>
            </w:r>
            <w:r/>
          </w:p>
        </w:tc>
        <w:tc>
          <w:tcPr>
            <w:tcW w:w="957"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数量</w:t>
            </w:r>
            <w:r/>
          </w:p>
        </w:tc>
      </w:tr>
      <w:tr>
        <w:trPr>
          <w:trHeight w:val="534"/>
        </w:trPr>
        <w:tc>
          <w:tcPr>
            <w:tcW w:w="795"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01</w:t>
            </w:r>
            <w:r/>
          </w:p>
        </w:tc>
        <w:tc>
          <w:tcPr>
            <w:tcW w:w="3247"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bCs/>
                <w:color w:val="auto"/>
                <w:sz w:val="24"/>
                <w:highlight w:val="none"/>
              </w:rPr>
              <w:t xml:space="preserve">二代测序仪</w:t>
            </w:r>
            <w:r/>
          </w:p>
        </w:tc>
        <w:tc>
          <w:tcPr>
            <w:tcW w:w="957"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1套</w:t>
            </w:r>
            <w:r/>
          </w:p>
        </w:tc>
      </w:tr>
      <w:tr>
        <w:trPr>
          <w:trHeight w:val="534"/>
        </w:trPr>
        <w:tc>
          <w:tcPr>
            <w:tcW w:w="795" w:type="pct"/>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02</w:t>
            </w:r>
            <w:r/>
          </w:p>
        </w:tc>
        <w:tc>
          <w:tcPr>
            <w:tcW w:w="3247" w:type="pct"/>
            <w:vAlign w:val="center"/>
            <w:textDirection w:val="lrTb"/>
            <w:noWrap w:val="false"/>
          </w:tcPr>
          <w:p>
            <w:pPr>
              <w:jc w:val="center"/>
              <w:rPr>
                <w:rFonts w:ascii="宋体" w:hAnsi="宋体"/>
                <w:bCs/>
                <w:color w:val="auto"/>
                <w:sz w:val="24"/>
                <w:highlight w:val="none"/>
              </w:rPr>
            </w:pPr>
            <w:r>
              <w:rPr>
                <w:rFonts w:ascii="宋体" w:hAnsi="宋体"/>
                <w:bCs/>
                <w:color w:val="auto"/>
                <w:sz w:val="24"/>
                <w:highlight w:val="none"/>
              </w:rPr>
              <w:t xml:space="preserve">配套辅助设备</w:t>
            </w:r>
            <w:r/>
          </w:p>
        </w:tc>
        <w:tc>
          <w:tcPr>
            <w:tcW w:w="957" w:type="pct"/>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1批</w:t>
            </w:r>
            <w:r/>
          </w:p>
        </w:tc>
      </w:tr>
    </w:tbl>
    <w:p>
      <w:pPr>
        <w:pStyle w:val="959"/>
        <w:contextualSpacing/>
        <w:ind w:left="-2" w:firstLine="480"/>
        <w:jc w:val="left"/>
        <w:spacing w:line="360" w:lineRule="auto"/>
        <w:tabs>
          <w:tab w:val="left" w:pos="567" w:leader="none"/>
        </w:tabs>
        <w:rPr>
          <w:rFonts w:hint="eastAsia" w:ascii="宋体" w:hAnsi="宋体"/>
          <w:bCs/>
          <w:color w:val="auto"/>
          <w:sz w:val="24"/>
          <w:highlight w:val="none"/>
        </w:rPr>
      </w:pPr>
      <w:r>
        <w:rPr>
          <w:rFonts w:ascii="宋体" w:hAnsi="宋体"/>
          <w:bCs/>
          <w:color w:val="auto"/>
          <w:sz w:val="24"/>
          <w:highlight w:val="none"/>
        </w:rPr>
        <w:t xml:space="preserve">配套辅助设备</w:t>
      </w:r>
      <w:r>
        <w:rPr>
          <w:rFonts w:hint="eastAsia" w:ascii="宋体" w:hAnsi="宋体"/>
          <w:bCs/>
          <w:color w:val="auto"/>
          <w:sz w:val="24"/>
          <w:highlight w:val="none"/>
        </w:rPr>
        <w:t xml:space="preserve">清单：</w:t>
      </w:r>
      <w:r/>
    </w:p>
    <w:tbl>
      <w:tblPr>
        <w:tblStyle w:val="876"/>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64"/>
        <w:gridCol w:w="3701"/>
        <w:gridCol w:w="2856"/>
        <w:gridCol w:w="1365"/>
      </w:tblGrid>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用途</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单道移液器</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吸液打液使用</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八道移液器</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吸液打液使用</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漩涡振荡器</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振荡混匀</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掌式离心机</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短速离心</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恒温水浴锅</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提取专用</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PCR扩增仪</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样本扩增</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磁力架</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磁珠纯化</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96孔磁力架（八排管）</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文库纯化使用</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封膜仪</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封膜</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微孔板离心机</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Style w:val="1119"/>
                <w:rFonts w:hint="eastAsia" w:ascii="宋体" w:hAnsi="宋体" w:eastAsia="宋体" w:cs="宋体"/>
                <w:color w:val="auto"/>
                <w:sz w:val="24"/>
                <w:szCs w:val="24"/>
                <w:highlight w:val="none"/>
              </w:rPr>
              <w:t xml:space="preserve">板式离心</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破壁仪</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样本破壁</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恒温混匀仪</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提取用</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荧光定量仪</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定量检测</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生信分析仪</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测序分析使用</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9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抽湿机</w:t>
            </w:r>
            <w:r/>
          </w:p>
        </w:tc>
        <w:tc>
          <w:tcPr>
            <w:shd w:val="clear" w:color="auto" w:fill="ffffff"/>
            <w:tcBorders>
              <w:top w:val="single" w:color="000000" w:sz="4" w:space="0"/>
              <w:left w:val="single" w:color="000000" w:sz="4" w:space="0"/>
              <w:bottom w:val="single" w:color="000000" w:sz="4" w:space="0"/>
              <w:right w:val="single" w:color="000000" w:sz="4" w:space="0"/>
            </w:tcBorders>
            <w:tcW w:w="152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处理环境湿度过高的问题</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bl>
    <w:p>
      <w:pPr>
        <w:pStyle w:val="959"/>
        <w:contextualSpacing/>
        <w:ind w:left="-2" w:firstLine="482"/>
        <w:jc w:val="left"/>
        <w:spacing w:line="360" w:lineRule="auto"/>
        <w:tabs>
          <w:tab w:val="left" w:pos="567" w:leader="none"/>
        </w:tabs>
        <w:rPr>
          <w:rFonts w:hint="eastAsia" w:ascii="宋体" w:hAnsi="宋体"/>
          <w:color w:val="auto"/>
          <w:sz w:val="24"/>
          <w:szCs w:val="24"/>
          <w:highlight w:val="none"/>
        </w:rPr>
      </w:pPr>
      <w:r>
        <w:rPr>
          <w:rFonts w:hint="eastAsia" w:ascii="宋体" w:hAnsi="宋体"/>
          <w:b/>
          <w:bCs/>
          <w:color w:val="auto"/>
          <w:sz w:val="24"/>
          <w:szCs w:val="24"/>
          <w:highlight w:val="none"/>
        </w:rPr>
        <w:t xml:space="preserve">四、</w:t>
      </w:r>
      <w:r>
        <w:rPr>
          <w:rFonts w:hint="eastAsia" w:ascii="宋体" w:hAnsi="宋体" w:cs="宋体"/>
          <w:b/>
          <w:color w:val="auto"/>
          <w:sz w:val="24"/>
          <w:highlight w:val="none"/>
        </w:rPr>
        <w:t xml:space="preserve">技术要求</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1)设备用途：可开展全基因组测序、宏基因组测序、多重扩增或杂交捕获等靶向测序等科研应用。可以用于获得全血、血浆、细胞、拭子等不同类型和来源样本中的基因组或靶向区域信息。</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2)测序控制软件界面需支持中文。</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3)使用测序仪主机即可独立完成测序载片的样本加载，无需额外设备、装置、配件等进行样本加载、孵育等过程。</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4)数据读长：自动化单端和自动化双端读取序列，读长≥300bp；可支持1*100bp、2*150bp等多种读长，并支持在1-150bp范围内自定义读取长度。</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5)数据通量与测序时长：单端读长：≥50bp ；双端读长：≥150bp（PE150），单次运行数据量≥25M reads（单端模式）；常规测序运行时间：≤40小时（PE150），支持较短读长的快速测序模式。</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6)</w:t>
      </w:r>
      <w:bookmarkStart w:id="822" w:name="OLE_LINK1"/>
      <w:r>
        <w:rPr>
          <w:rFonts w:hint="eastAsia" w:ascii="宋体" w:hAnsi="宋体"/>
          <w:bCs/>
          <w:color w:val="auto"/>
          <w:sz w:val="24"/>
          <w:highlight w:val="none"/>
        </w:rPr>
        <w:t xml:space="preserve">数据准确性：测序结果给出严格的Q30数据质量评判，SE100读长下，标准文库的测序Q30值≥80%。</w:t>
      </w:r>
      <w:bookmarkEnd w:id="822"/>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7)测序原理：测序平台应采用当前主流的高通量测序技术原理（如边合成边测序或联合锚定测序等其他等效技术）。</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8)所有扩增反应（包括文库拷贝数扩增）均需在测序载片加载文库操作之前，测序载片加载文库后，不进行任何扩增操作，有效减少文库之间的交叉污染。</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9)测序仪内置硬盘空间应足够容纳至少10次测序(读长PE150等同)的完整原始数据，同时具备选择数据进行删除或直接导出的功能界面。</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10)测序仪配套相应工作软件，测序结束后自动生成测序下机报告，汇报测序运行情况及下机数据质量参数。</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11)支持客户分子标签序列列表导入，并能在测序结束后自动生成按照不同分子标签拆分的测序数据及相应的质控指标。</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12)测序仪下机数据为压缩好的FastQ文件格式，可直接用于主流生信分析软件进行数据分析；测序仪主机应具备直接导出FastQ文件的功能。</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13)可在</w:t>
      </w:r>
      <w:r>
        <w:rPr>
          <w:rFonts w:hint="eastAsia" w:ascii="宋体" w:hAnsi="宋体"/>
          <w:bCs/>
          <w:color w:val="auto"/>
          <w:sz w:val="24"/>
          <w:highlight w:val="none"/>
          <w:lang w:val="en-US" w:eastAsia="zh-CN"/>
        </w:rPr>
        <w:t xml:space="preserve">PCR实验室环境下</w:t>
      </w:r>
      <w:r>
        <w:rPr>
          <w:rFonts w:hint="eastAsia" w:ascii="宋体" w:hAnsi="宋体"/>
          <w:bCs/>
          <w:color w:val="auto"/>
          <w:sz w:val="24"/>
          <w:highlight w:val="none"/>
        </w:rPr>
        <w:t xml:space="preserve">运行。</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14)耗材供应：配套耗材为江苏省招采子系统挂网中标可公开采购产品。</w:t>
      </w:r>
      <w:r/>
    </w:p>
    <w:p>
      <w:pPr>
        <w:contextualSpacing/>
        <w:ind w:left="-2" w:firstLine="480"/>
        <w:spacing w:line="360" w:lineRule="auto"/>
        <w:tabs>
          <w:tab w:val="left" w:pos="567" w:leader="none"/>
        </w:tabs>
        <w:rPr>
          <w:rFonts w:hint="eastAsia" w:ascii="宋体" w:hAnsi="宋体"/>
          <w:bCs/>
          <w:color w:val="auto"/>
          <w:sz w:val="24"/>
          <w:highlight w:val="none"/>
        </w:rPr>
      </w:pPr>
      <w:r>
        <w:rPr>
          <w:rFonts w:hint="eastAsia" w:ascii="宋体" w:hAnsi="宋体"/>
          <w:bCs/>
          <w:color w:val="auto"/>
          <w:sz w:val="24"/>
          <w:highlight w:val="none"/>
        </w:rPr>
        <w:t xml:space="preserve">15)可进行感染病原微生物靶向高通量基因检测(tNGS)检测，检测涵盖＞230种感染病原微生物，＞30 种耐药基因（提供临床真实的检测报告加盖厂家公章）。</w:t>
      </w:r>
      <w:r/>
    </w:p>
    <w:p>
      <w:pPr>
        <w:contextualSpacing/>
        <w:ind w:left="-2" w:firstLine="482"/>
        <w:spacing w:line="360" w:lineRule="auto"/>
        <w:tabs>
          <w:tab w:val="left" w:pos="567" w:leader="none"/>
        </w:tabs>
        <w:rPr>
          <w:rFonts w:hint="eastAsia" w:ascii="宋体" w:hAnsi="宋体"/>
          <w:b/>
          <w:bCs/>
          <w:i/>
          <w:iCs/>
          <w:color w:val="auto"/>
          <w:sz w:val="24"/>
          <w:highlight w:val="none"/>
        </w:rPr>
      </w:pPr>
      <w:r>
        <w:rPr>
          <w:rFonts w:hint="eastAsia" w:ascii="宋体" w:hAnsi="宋体" w:cs="宋体"/>
          <w:b/>
          <w:bCs/>
          <w:i/>
          <w:iCs/>
          <w:color w:val="auto"/>
          <w:sz w:val="24"/>
          <w:highlight w:val="none"/>
        </w:rPr>
        <w:t xml:space="preserve">★</w:t>
      </w:r>
      <w:r>
        <w:rPr>
          <w:rFonts w:hint="eastAsia" w:ascii="宋体" w:hAnsi="宋体"/>
          <w:b/>
          <w:bCs/>
          <w:i/>
          <w:iCs/>
          <w:color w:val="auto"/>
          <w:sz w:val="24"/>
          <w:highlight w:val="none"/>
        </w:rPr>
        <w:t xml:space="preserve">（三）配套试剂报价（</w:t>
      </w:r>
      <w:r>
        <w:rPr>
          <w:rFonts w:hint="eastAsia" w:ascii="宋体" w:hAnsi="宋体"/>
          <w:b/>
          <w:bCs/>
          <w:i/>
          <w:iCs/>
          <w:color w:val="auto"/>
          <w:sz w:val="24"/>
          <w:highlight w:val="none"/>
          <w:lang w:val="en-US" w:eastAsia="zh-CN"/>
        </w:rPr>
        <w:t xml:space="preserve">本项为实质性要求，必须响应并满足，否则投标无效</w:t>
      </w:r>
      <w:r>
        <w:rPr>
          <w:rFonts w:hint="eastAsia" w:ascii="宋体" w:hAnsi="宋体"/>
          <w:b/>
          <w:bCs/>
          <w:i/>
          <w:iCs/>
          <w:color w:val="auto"/>
          <w:sz w:val="24"/>
          <w:highlight w:val="none"/>
        </w:rPr>
        <w:t xml:space="preserve">）</w:t>
      </w:r>
      <w:r/>
    </w:p>
    <w:tbl>
      <w:tblPr>
        <w:tblStyle w:val="9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850"/>
        <w:gridCol w:w="2569"/>
        <w:gridCol w:w="3269"/>
      </w:tblGrid>
      <w:tr>
        <w:trPr/>
        <w:tc>
          <w:tcPr>
            <w:tcW w:w="1833" w:type="dxa"/>
            <w:vAlign w:val="center"/>
            <w:textDirection w:val="lrTb"/>
            <w:noWrap w:val="false"/>
          </w:tcPr>
          <w:p>
            <w:pPr>
              <w:pStyle w:val="1056"/>
              <w:jc w:val="center"/>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t xml:space="preserve">测序项目</w:t>
            </w:r>
            <w:r/>
          </w:p>
        </w:tc>
        <w:tc>
          <w:tcPr>
            <w:tcW w:w="850" w:type="dxa"/>
            <w:vAlign w:val="center"/>
            <w:textDirection w:val="lrTb"/>
            <w:noWrap w:val="false"/>
          </w:tcPr>
          <w:p>
            <w:pPr>
              <w:pStyle w:val="1056"/>
              <w:jc w:val="center"/>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t xml:space="preserve">单位</w:t>
            </w:r>
            <w:r/>
          </w:p>
        </w:tc>
        <w:tc>
          <w:tcPr>
            <w:tcW w:w="2569" w:type="dxa"/>
            <w:vAlign w:val="center"/>
            <w:textDirection w:val="lrTb"/>
            <w:noWrap w:val="false"/>
          </w:tcPr>
          <w:p>
            <w:pPr>
              <w:pStyle w:val="1056"/>
              <w:jc w:val="center"/>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t xml:space="preserve">全部试剂及耗材</w:t>
            </w:r>
            <w:r>
              <w:rPr>
                <w:rFonts w:hint="eastAsia" w:ascii="宋体" w:hAnsi="宋体" w:cs="宋体"/>
                <w:b/>
                <w:bCs/>
                <w:i/>
                <w:iCs/>
                <w:color w:val="auto"/>
                <w:sz w:val="24"/>
                <w:highlight w:val="none"/>
              </w:rPr>
              <w:t xml:space="preserve">折扣</w:t>
            </w:r>
            <w:r/>
          </w:p>
        </w:tc>
        <w:tc>
          <w:tcPr>
            <w:tcW w:w="3269" w:type="dxa"/>
            <w:vAlign w:val="center"/>
            <w:textDirection w:val="lrTb"/>
            <w:noWrap w:val="false"/>
          </w:tcPr>
          <w:p>
            <w:pPr>
              <w:pStyle w:val="1056"/>
              <w:jc w:val="center"/>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t xml:space="preserve">备注</w:t>
            </w:r>
            <w:r/>
          </w:p>
        </w:tc>
      </w:tr>
      <w:tr>
        <w:trPr>
          <w:trHeight w:val="1212"/>
        </w:trPr>
        <w:tc>
          <w:tcPr>
            <w:tcW w:w="1833" w:type="dxa"/>
            <w:vAlign w:val="center"/>
            <w:textDirection w:val="lrTb"/>
            <w:noWrap w:val="false"/>
          </w:tcPr>
          <w:p>
            <w:pPr>
              <w:pStyle w:val="1056"/>
              <w:jc w:val="center"/>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t xml:space="preserve">感染病原微生物靶向基因检测</w:t>
            </w:r>
            <w:r/>
          </w:p>
        </w:tc>
        <w:tc>
          <w:tcPr>
            <w:tcW w:w="850" w:type="dxa"/>
            <w:vAlign w:val="center"/>
            <w:textDirection w:val="lrTb"/>
            <w:noWrap w:val="false"/>
          </w:tcPr>
          <w:p>
            <w:pPr>
              <w:pStyle w:val="1056"/>
              <w:jc w:val="center"/>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t xml:space="preserve">每人份</w:t>
            </w:r>
            <w:r/>
          </w:p>
        </w:tc>
        <w:tc>
          <w:tcPr>
            <w:tcW w:w="2569" w:type="dxa"/>
            <w:vAlign w:val="center"/>
            <w:vMerge w:val="restart"/>
            <w:textDirection w:val="lrTb"/>
            <w:noWrap w:val="false"/>
          </w:tcPr>
          <w:p>
            <w:pPr>
              <w:pStyle w:val="1056"/>
              <w:jc w:val="left"/>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t xml:space="preserve">不高于</w:t>
            </w:r>
            <w:r>
              <w:rPr>
                <w:rFonts w:hint="eastAsia" w:ascii="宋体" w:hAnsi="宋体" w:cs="宋体"/>
                <w:b/>
                <w:bCs/>
                <w:i/>
                <w:iCs/>
                <w:color w:val="auto"/>
                <w:sz w:val="24"/>
                <w:highlight w:val="none"/>
                <w:lang w:val="en-US" w:eastAsia="zh-CN"/>
              </w:rPr>
              <w:t xml:space="preserve">30</w:t>
            </w:r>
            <w:r>
              <w:rPr>
                <w:rFonts w:hint="eastAsia" w:ascii="宋体" w:hAnsi="宋体" w:cs="宋体"/>
                <w:b/>
                <w:bCs/>
                <w:i/>
                <w:iCs/>
                <w:color w:val="auto"/>
                <w:sz w:val="24"/>
                <w:highlight w:val="none"/>
              </w:rPr>
              <w:t xml:space="preserve">%，即折扣报价范围0-</w:t>
            </w:r>
            <w:r>
              <w:rPr>
                <w:rFonts w:hint="eastAsia" w:ascii="宋体" w:hAnsi="宋体" w:cs="宋体"/>
                <w:b/>
                <w:bCs/>
                <w:i/>
                <w:iCs/>
                <w:color w:val="auto"/>
                <w:sz w:val="24"/>
                <w:highlight w:val="none"/>
                <w:lang w:val="en-US" w:eastAsia="zh-CN"/>
              </w:rPr>
              <w:t xml:space="preserve">30</w:t>
            </w:r>
            <w:r>
              <w:rPr>
                <w:rFonts w:hint="eastAsia" w:ascii="宋体" w:hAnsi="宋体" w:cs="宋体"/>
                <w:b/>
                <w:bCs/>
                <w:i/>
                <w:iCs/>
                <w:color w:val="auto"/>
                <w:sz w:val="24"/>
                <w:highlight w:val="none"/>
              </w:rPr>
              <w:t xml:space="preserve">%。</w:t>
            </w:r>
            <w:r/>
          </w:p>
        </w:tc>
        <w:tc>
          <w:tcPr>
            <w:tcW w:w="3269" w:type="dxa"/>
            <w:vAlign w:val="center"/>
            <w:vMerge w:val="restart"/>
            <w:textDirection w:val="lrTb"/>
            <w:noWrap w:val="false"/>
          </w:tcPr>
          <w:p>
            <w:pPr>
              <w:pStyle w:val="1056"/>
              <w:jc w:val="center"/>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t xml:space="preserve">全部试剂及耗材结算价=测序项目单项收费价*</w:t>
            </w:r>
            <w:r>
              <w:rPr>
                <w:rFonts w:hint="eastAsia" w:ascii="宋体" w:hAnsi="宋体" w:cs="宋体"/>
                <w:b/>
                <w:bCs/>
                <w:i/>
                <w:iCs/>
                <w:color w:val="auto"/>
                <w:sz w:val="24"/>
                <w:highlight w:val="none"/>
              </w:rPr>
              <w:t xml:space="preserve">折扣</w:t>
            </w:r>
            <w:r/>
          </w:p>
        </w:tc>
      </w:tr>
      <w:tr>
        <w:trPr>
          <w:trHeight w:val="959"/>
        </w:trPr>
        <w:tc>
          <w:tcPr>
            <w:tcW w:w="1833" w:type="dxa"/>
            <w:vAlign w:val="center"/>
            <w:textDirection w:val="lrTb"/>
            <w:noWrap w:val="false"/>
          </w:tcPr>
          <w:p>
            <w:pPr>
              <w:pStyle w:val="1056"/>
              <w:jc w:val="center"/>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t xml:space="preserve">分枝杆菌与耐药基因检测</w:t>
            </w:r>
            <w:r/>
          </w:p>
        </w:tc>
        <w:tc>
          <w:tcPr>
            <w:tcW w:w="850" w:type="dxa"/>
            <w:vAlign w:val="center"/>
            <w:textDirection w:val="lrTb"/>
            <w:noWrap w:val="false"/>
          </w:tcPr>
          <w:p>
            <w:pPr>
              <w:pStyle w:val="1056"/>
              <w:jc w:val="center"/>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t xml:space="preserve">每人份</w:t>
            </w:r>
            <w:r/>
          </w:p>
        </w:tc>
        <w:tc>
          <w:tcPr>
            <w:tcW w:w="2569" w:type="dxa"/>
            <w:vAlign w:val="center"/>
            <w:vMerge w:val="continue"/>
            <w:textDirection w:val="lrTb"/>
            <w:noWrap w:val="false"/>
          </w:tcPr>
          <w:p>
            <w:pPr>
              <w:pStyle w:val="1056"/>
              <w:jc w:val="center"/>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r>
            <w:r/>
          </w:p>
        </w:tc>
        <w:tc>
          <w:tcPr>
            <w:tcW w:w="3269" w:type="dxa"/>
            <w:vAlign w:val="center"/>
            <w:vMerge w:val="continue"/>
            <w:textDirection w:val="lrTb"/>
            <w:noWrap w:val="false"/>
          </w:tcPr>
          <w:p>
            <w:pPr>
              <w:pStyle w:val="1056"/>
              <w:jc w:val="center"/>
              <w:spacing w:line="360" w:lineRule="atLeast"/>
              <w:rPr>
                <w:rFonts w:hint="eastAsia" w:ascii="宋体" w:hAnsi="宋体" w:cs="宋体"/>
                <w:b/>
                <w:bCs/>
                <w:i/>
                <w:iCs/>
                <w:color w:val="auto"/>
                <w:sz w:val="24"/>
                <w:highlight w:val="none"/>
              </w:rPr>
            </w:pPr>
            <w:r>
              <w:rPr>
                <w:rFonts w:hint="eastAsia" w:ascii="宋体" w:hAnsi="宋体" w:cs="宋体"/>
                <w:b/>
                <w:bCs/>
                <w:i/>
                <w:iCs/>
                <w:color w:val="auto"/>
                <w:sz w:val="24"/>
                <w:highlight w:val="none"/>
              </w:rPr>
            </w:r>
            <w:r/>
          </w:p>
        </w:tc>
      </w:tr>
    </w:tbl>
    <w:p>
      <w:pPr>
        <w:ind w:firstLine="482"/>
        <w:jc w:val="left"/>
        <w:spacing w:line="360" w:lineRule="auto"/>
        <w:rPr>
          <w:rFonts w:hint="eastAsia" w:ascii="宋体" w:hAnsi="宋体" w:eastAsia="宋体" w:cs="宋体"/>
          <w:b/>
          <w:bCs/>
          <w:i/>
          <w:iCs/>
          <w:color w:val="auto"/>
          <w:sz w:val="24"/>
          <w:highlight w:val="none"/>
          <w:lang w:val="en-US" w:eastAsia="zh-CN"/>
        </w:rPr>
      </w:pPr>
      <w:r>
        <w:rPr>
          <w:rFonts w:hint="eastAsia" w:ascii="宋体" w:hAnsi="宋体" w:cs="宋体"/>
          <w:b/>
          <w:bCs/>
          <w:i/>
          <w:iCs/>
          <w:color w:val="auto"/>
          <w:sz w:val="24"/>
          <w:highlight w:val="none"/>
        </w:rPr>
        <w:t xml:space="preserve">注：</w:t>
      </w:r>
      <w:r>
        <w:rPr>
          <w:rFonts w:hint="eastAsia" w:ascii="宋体" w:hAnsi="宋体" w:cs="宋体"/>
          <w:b/>
          <w:bCs/>
          <w:i/>
          <w:iCs/>
          <w:color w:val="auto"/>
          <w:sz w:val="24"/>
          <w:highlight w:val="none"/>
          <w:lang w:val="en-US" w:eastAsia="zh-CN"/>
        </w:rPr>
        <w:t xml:space="preserve">1.</w:t>
      </w:r>
      <w:r>
        <w:rPr>
          <w:rFonts w:hint="eastAsia" w:ascii="宋体" w:hAnsi="宋体"/>
          <w:b/>
          <w:bCs/>
          <w:i/>
          <w:iCs/>
          <w:color w:val="auto"/>
          <w:sz w:val="24"/>
          <w:highlight w:val="none"/>
        </w:rPr>
        <w:t xml:space="preserve">配套</w:t>
      </w:r>
      <w:r>
        <w:rPr>
          <w:rFonts w:hint="eastAsia" w:ascii="宋体" w:hAnsi="宋体"/>
          <w:b/>
          <w:bCs/>
          <w:i/>
          <w:iCs/>
          <w:color w:val="auto"/>
          <w:sz w:val="24"/>
          <w:highlight w:val="none"/>
          <w:lang w:val="en-US" w:eastAsia="zh-CN"/>
        </w:rPr>
        <w:t xml:space="preserve">试剂报价</w:t>
      </w:r>
      <w:r>
        <w:rPr>
          <w:rFonts w:hint="eastAsia" w:ascii="宋体" w:hAnsi="宋体"/>
          <w:b/>
          <w:bCs/>
          <w:i/>
          <w:iCs/>
          <w:color w:val="auto"/>
          <w:sz w:val="24"/>
          <w:highlight w:val="none"/>
        </w:rPr>
        <w:t xml:space="preserve">包含开展该项目的全部试剂及耗材</w:t>
      </w:r>
      <w:r>
        <w:rPr>
          <w:rFonts w:hint="eastAsia" w:ascii="宋体" w:hAnsi="宋体"/>
          <w:b/>
          <w:bCs/>
          <w:i/>
          <w:iCs/>
          <w:color w:val="auto"/>
          <w:sz w:val="24"/>
          <w:highlight w:val="none"/>
          <w:lang w:eastAsia="zh-CN"/>
        </w:rPr>
        <w:t xml:space="preserve">；</w:t>
      </w:r>
      <w:r/>
    </w:p>
    <w:p>
      <w:pPr>
        <w:ind w:firstLine="482"/>
        <w:jc w:val="left"/>
        <w:spacing w:line="360" w:lineRule="auto"/>
        <w:rPr>
          <w:rFonts w:hint="eastAsia" w:ascii="宋体" w:hAnsi="宋体" w:cs="宋体"/>
          <w:b/>
          <w:bCs/>
          <w:i/>
          <w:iCs/>
          <w:color w:val="auto"/>
          <w:sz w:val="24"/>
          <w:highlight w:val="none"/>
        </w:rPr>
      </w:pPr>
      <w:r>
        <w:rPr>
          <w:rFonts w:hint="eastAsia" w:ascii="宋体" w:hAnsi="宋体" w:cs="宋体"/>
          <w:b/>
          <w:bCs/>
          <w:i/>
          <w:iCs/>
          <w:color w:val="auto"/>
          <w:sz w:val="24"/>
          <w:highlight w:val="none"/>
          <w:lang w:val="en-US" w:eastAsia="zh-CN"/>
        </w:rPr>
        <w:t xml:space="preserve">2.</w:t>
      </w:r>
      <w:r>
        <w:rPr>
          <w:rFonts w:hint="eastAsia" w:ascii="宋体" w:hAnsi="宋体" w:cs="宋体"/>
          <w:b/>
          <w:bCs/>
          <w:i/>
          <w:iCs/>
          <w:color w:val="auto"/>
          <w:sz w:val="24"/>
          <w:highlight w:val="none"/>
        </w:rPr>
        <w:t xml:space="preserve">上述测序项目实行统一折扣政策，不接受差异化折扣报价。</w:t>
      </w:r>
      <w:r/>
    </w:p>
    <w:p>
      <w:pPr>
        <w:contextualSpacing/>
        <w:ind w:left="-2"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五、报价方式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1、本项目投标报价为</w:t>
      </w:r>
      <w:r>
        <w:rPr>
          <w:rFonts w:hint="eastAsia" w:ascii="宋体" w:hAnsi="宋体" w:cs="宋体"/>
          <w:b/>
          <w:color w:val="auto"/>
          <w:sz w:val="24"/>
          <w:highlight w:val="none"/>
          <w:u w:val="single"/>
        </w:rPr>
        <w:t xml:space="preserve">固定总价</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2、投标人对配套试剂（包含开展检测所需的全部试剂及耗材）进行报价，报价方式为固定折扣，配套试剂结算价=检测项目单项收费价*折扣。</w:t>
      </w:r>
      <w:r/>
    </w:p>
    <w:p>
      <w:pPr>
        <w:ind w:firstLine="422"/>
        <w:jc w:val="left"/>
        <w:spacing w:line="360" w:lineRule="auto"/>
        <w:rPr>
          <w:rFonts w:ascii="宋体" w:hAnsi="宋体" w:cs="宋体"/>
          <w:b/>
          <w:bCs/>
          <w:i/>
          <w:iCs/>
          <w:color w:val="auto"/>
          <w:sz w:val="24"/>
          <w:highlight w:val="none"/>
        </w:rPr>
      </w:pPr>
      <w:r>
        <w:rPr>
          <w:rFonts w:hint="eastAsia" w:ascii="宋体" w:hAnsi="宋体" w:cs="宋体"/>
          <w:b/>
          <w:bCs/>
          <w:i/>
          <w:iCs/>
          <w:color w:val="auto"/>
          <w:szCs w:val="21"/>
          <w:highlight w:val="none"/>
        </w:rPr>
        <w:t xml:space="preserve">★</w:t>
      </w:r>
      <w:r>
        <w:rPr>
          <w:rFonts w:hint="eastAsia" w:ascii="宋体" w:hAnsi="宋体" w:cs="宋体"/>
          <w:b/>
          <w:bCs/>
          <w:i/>
          <w:iCs/>
          <w:color w:val="auto"/>
          <w:sz w:val="24"/>
          <w:highlight w:val="none"/>
        </w:rPr>
        <w:t xml:space="preserve">3、设备使用期间，投标人提供驻场服务，驻场人员要求：不少于1人，具备设备操作能力，服从医院上下班制度。（提供承诺函并加盖公章。本项为实质性要求，如</w:t>
      </w:r>
      <w:r>
        <w:rPr>
          <w:rFonts w:hint="eastAsia" w:ascii="宋体" w:hAnsi="宋体"/>
          <w:b/>
          <w:bCs/>
          <w:i/>
          <w:iCs/>
          <w:color w:val="auto"/>
          <w:sz w:val="24"/>
          <w:highlight w:val="none"/>
          <w:lang w:val="en-US" w:eastAsia="zh-CN"/>
        </w:rPr>
        <w:t xml:space="preserve">必须响应并满足，否则投标无效</w:t>
      </w:r>
      <w:r>
        <w:rPr>
          <w:rFonts w:hint="eastAsia" w:ascii="宋体" w:hAnsi="宋体" w:cs="宋体"/>
          <w:b/>
          <w:bCs/>
          <w:i/>
          <w:iCs/>
          <w:color w:val="auto"/>
          <w:sz w:val="24"/>
          <w:highlight w:val="none"/>
        </w:rPr>
        <w:t xml:space="preserve">）</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六、交货期及交货地点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1、交货日期：合同签订后30天内完成供货、安装、调试、培训，并通过采购人验收。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负责将货物运到采购人指定地点和楼层，由投标人负责办理运输和装卸等，费用由投标人负责，由采购人组织验收，检验不合格或不符合质量要求，投标人除无条件退货、返工外，还应承担采购人的一切损失。</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七、验收标准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3.对于实际使用人和采购人分离的项目，采购人可邀请实际使用人参与验收。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4.如有必要，采购人有权邀请参加本项目的其他供应商或第三方专业机构及专家参与验收，相关意见将作为验收书的参考资料。</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5.如中标人提供的设备设有维修软件密码，中标人应保证无条件的为采购人永久免费打开。</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6.设备安装、调试结束后，采购人对设备试用后进行验收（时间由双方商定），中标人免费派工程师到达现场协助验收工作，双方共同填写验收报告。</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w:t>
      </w:r>
      <w:r>
        <w:rPr>
          <w:rFonts w:hint="eastAsia" w:ascii="宋体" w:hAnsi="宋体" w:cs="宋体"/>
          <w:b/>
          <w:color w:val="auto"/>
          <w:sz w:val="24"/>
          <w:highlight w:val="none"/>
        </w:rPr>
        <w:t xml:space="preserve">、免费</w:t>
      </w:r>
      <w:r>
        <w:rPr>
          <w:rFonts w:hint="eastAsia" w:ascii="宋体" w:hAnsi="宋体" w:cs="宋体"/>
          <w:b/>
          <w:color w:val="auto"/>
          <w:sz w:val="24"/>
          <w:highlight w:val="none"/>
        </w:rPr>
        <w:t xml:space="preserve">质保期</w:t>
      </w:r>
      <w:r>
        <w:rPr>
          <w:rFonts w:hint="eastAsia" w:ascii="宋体" w:hAnsi="宋体" w:cs="宋体"/>
          <w:b/>
          <w:color w:val="auto"/>
          <w:sz w:val="24"/>
          <w:highlight w:val="none"/>
        </w:rPr>
        <w:t xml:space="preserve">及售后服务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（一）质保期：投标人报价时须承诺所供货物原厂免费质保期不少于5年（自验收报告签字确认日起，开始进入质保期）。中标人对质保期内所发生的设备维护、维修、更换等一切费用负责。</w:t>
      </w:r>
      <w:r/>
    </w:p>
    <w:p>
      <w:pPr>
        <w:ind w:firstLine="482"/>
        <w:jc w:val="left"/>
        <w:spacing w:line="360" w:lineRule="auto"/>
        <w:rPr>
          <w:rFonts w:hint="eastAsia" w:ascii="宋体" w:hAnsi="宋体" w:cs="宋体"/>
          <w:b/>
          <w:bCs/>
          <w:i/>
          <w:iCs/>
          <w:color w:val="auto"/>
          <w:sz w:val="24"/>
          <w:highlight w:val="none"/>
        </w:rPr>
      </w:pPr>
      <w:r>
        <w:rPr>
          <w:rFonts w:hint="eastAsia" w:ascii="宋体" w:hAnsi="宋体" w:cs="宋体"/>
          <w:b/>
          <w:bCs/>
          <w:i/>
          <w:iCs/>
          <w:color w:val="auto"/>
          <w:sz w:val="24"/>
          <w:highlight w:val="none"/>
        </w:rPr>
        <w:t xml:space="preserve">★投标时提供设备厂家出具的售后质保函</w:t>
      </w:r>
      <w:r>
        <w:rPr>
          <w:rFonts w:hint="eastAsia" w:ascii="宋体" w:hAnsi="宋体"/>
          <w:b/>
          <w:bCs/>
          <w:i/>
          <w:iCs/>
          <w:color w:val="auto"/>
          <w:sz w:val="24"/>
          <w:highlight w:val="none"/>
        </w:rPr>
        <w:t xml:space="preserve">（</w:t>
      </w:r>
      <w:r>
        <w:rPr>
          <w:rFonts w:hint="eastAsia" w:ascii="宋体" w:hAnsi="宋体"/>
          <w:b/>
          <w:bCs/>
          <w:i/>
          <w:iCs/>
          <w:color w:val="auto"/>
          <w:sz w:val="24"/>
          <w:highlight w:val="none"/>
          <w:lang w:val="en-US" w:eastAsia="zh-CN"/>
        </w:rPr>
        <w:t xml:space="preserve">本项为实质性要求，必须响应并满足，否则投标无效</w:t>
      </w:r>
      <w:r>
        <w:rPr>
          <w:rFonts w:hint="eastAsia" w:ascii="宋体" w:hAnsi="宋体"/>
          <w:b/>
          <w:bCs/>
          <w:i/>
          <w:iCs/>
          <w:color w:val="auto"/>
          <w:sz w:val="24"/>
          <w:highlight w:val="none"/>
        </w:rPr>
        <w:t xml:space="preserve">）</w:t>
      </w:r>
      <w:r>
        <w:rPr>
          <w:rFonts w:hint="eastAsia" w:ascii="宋体" w:hAnsi="宋体" w:cs="宋体"/>
          <w:b/>
          <w:bCs/>
          <w:i/>
          <w:iCs/>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（二）售后服务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3.投标人应按照国家有关法律法规和“三包”规定以及响应文件中的“售后服务承诺”提供服务。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4.因投标人所提供的产品，造成采购人设备损坏或其他损失，以及其他第三方损失的，一经核实，投标人必须赔偿采购人或第三方因此造成的所有损失。</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5.投标人所提供货物必须是全新未使用的并符合国家有关技术标准。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8.终身提供应用技术服务，设备出现故障时保证24小时内服务维修响应。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9.备件要求：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（1）投标人应设置备件库，存入所有必须的备件，保证必要时可以及时供应技术及维修服务。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（2）投标人应配置工程技术人员，随时提供开箱验货、安装、调试或维修等服务。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（三）人员培训</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2.对采购人员工进行设备安全培训。</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3.中标人应免费提供一定数量的培训资料。</w:t>
      </w:r>
      <w:r/>
    </w:p>
    <w:p>
      <w:pPr>
        <w:ind w:firstLine="482"/>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九、付款方式：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（1）设备安装、调试、验收合格，并培训指导完成后，甲方支付合同款项的30%。</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（2）验收合格3个月后，甲方付至合同款项的90%。</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（3）余款在验收合格一年后一次性付清（无息）。</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注：支付方式为银行转账或承兑汇票。</w:t>
      </w:r>
      <w:r/>
    </w:p>
    <w:p>
      <w:pPr>
        <w:jc w:val="left"/>
        <w:widowControl/>
        <w:rPr>
          <w:rFonts w:ascii="宋体" w:hAnsi="宋体"/>
          <w:b/>
          <w:color w:val="auto"/>
          <w:sz w:val="36"/>
          <w:szCs w:val="36"/>
          <w:highlight w:val="none"/>
        </w:rPr>
      </w:pPr>
      <w:r>
        <w:rPr>
          <w:rFonts w:ascii="宋体" w:hAnsi="宋体"/>
          <w:b/>
          <w:color w:val="auto"/>
          <w:sz w:val="36"/>
          <w:szCs w:val="36"/>
          <w:highlight w:val="none"/>
        </w:rPr>
        <w:br w:type="page" w:clear="all"/>
      </w:r>
      <w:r/>
    </w:p>
    <w:p>
      <w:pPr>
        <w:pStyle w:val="889"/>
        <w:numPr>
          <w:ilvl w:val="0"/>
          <w:numId w:val="14"/>
        </w:numPr>
        <w:jc w:val="center"/>
        <w:spacing w:line="360" w:lineRule="auto"/>
        <w:rPr>
          <w:rFonts w:hAnsi="宋体"/>
          <w:b/>
          <w:color w:val="auto"/>
          <w:sz w:val="36"/>
          <w:szCs w:val="36"/>
          <w:highlight w:val="none"/>
        </w:rPr>
      </w:pPr>
      <w:r/>
      <w:bookmarkStart w:id="823" w:name="_Toc99301425"/>
      <w:r>
        <w:rPr>
          <w:rFonts w:hAnsi="宋体"/>
          <w:b/>
          <w:color w:val="auto"/>
          <w:sz w:val="36"/>
          <w:szCs w:val="36"/>
          <w:highlight w:val="none"/>
        </w:rPr>
        <w:t xml:space="preserve">拟签订的合同文本</w:t>
      </w:r>
      <w:bookmarkEnd w:id="823"/>
      <w:r/>
      <w:r/>
    </w:p>
    <w:p>
      <w:pPr>
        <w:pStyle w:val="889"/>
        <w:spacing w:line="400" w:lineRule="exact"/>
        <w:rPr>
          <w:rFonts w:cs="宋体"/>
          <w:color w:val="auto"/>
          <w:szCs w:val="21"/>
          <w:highlight w:val="none"/>
        </w:rPr>
      </w:pPr>
      <w:r/>
      <w:bookmarkStart w:id="824" w:name="_Toc99301426"/>
      <w:r>
        <w:rPr>
          <w:rFonts w:cs="宋体"/>
          <w:b/>
          <w:color w:val="auto"/>
          <w:szCs w:val="21"/>
          <w:highlight w:val="none"/>
          <w:lang w:val="zh-CN"/>
        </w:rPr>
        <w:t xml:space="preserve">采购人（以下称甲</w:t>
      </w:r>
      <w:r>
        <w:rPr>
          <w:rFonts w:cs="宋体"/>
          <w:b/>
          <w:color w:val="auto"/>
          <w:szCs w:val="21"/>
          <w:highlight w:val="none"/>
        </w:rPr>
        <w:t xml:space="preserve">方）:                       </w:t>
      </w:r>
      <w:r>
        <w:rPr>
          <w:rFonts w:cs="宋体"/>
          <w:color w:val="auto"/>
          <w:szCs w:val="21"/>
          <w:highlight w:val="none"/>
        </w:rPr>
        <w:t xml:space="preserve">合同编号：</w:t>
      </w:r>
      <w:r/>
    </w:p>
    <w:p>
      <w:pPr>
        <w:pStyle w:val="889"/>
        <w:spacing w:line="400" w:lineRule="exact"/>
        <w:rPr>
          <w:rFonts w:cs="宋体"/>
          <w:color w:val="auto"/>
          <w:szCs w:val="21"/>
          <w:highlight w:val="none"/>
          <w:u w:val="single"/>
        </w:rPr>
      </w:pPr>
      <w:r>
        <w:rPr>
          <w:rFonts w:cs="宋体"/>
          <w:b/>
          <w:color w:val="auto"/>
          <w:szCs w:val="21"/>
          <w:highlight w:val="none"/>
        </w:rPr>
        <w:t xml:space="preserve">供应商（</w:t>
      </w:r>
      <w:r>
        <w:rPr>
          <w:rFonts w:cs="宋体"/>
          <w:b/>
          <w:color w:val="auto"/>
          <w:szCs w:val="21"/>
          <w:highlight w:val="none"/>
          <w:lang w:val="zh-CN"/>
        </w:rPr>
        <w:t xml:space="preserve">以下称</w:t>
      </w:r>
      <w:r>
        <w:rPr>
          <w:rFonts w:cs="宋体"/>
          <w:b/>
          <w:color w:val="auto"/>
          <w:szCs w:val="21"/>
          <w:highlight w:val="none"/>
        </w:rPr>
        <w:t xml:space="preserve">乙方）:                       </w:t>
      </w:r>
      <w:r>
        <w:rPr>
          <w:rFonts w:cs="宋体"/>
          <w:color w:val="auto"/>
          <w:szCs w:val="21"/>
          <w:highlight w:val="none"/>
        </w:rPr>
        <w:t xml:space="preserve">签订地点：</w:t>
      </w:r>
      <w:r/>
    </w:p>
    <w:p>
      <w:pPr>
        <w:pStyle w:val="877"/>
        <w:ind w:firstLine="4620"/>
        <w:spacing w:line="400" w:lineRule="exact"/>
        <w:rPr>
          <w:rFonts w:hAnsi="宋体" w:cs="宋体"/>
          <w:b/>
          <w:color w:val="auto"/>
          <w:sz w:val="21"/>
          <w:szCs w:val="21"/>
          <w:highlight w:val="none"/>
        </w:rPr>
      </w:pPr>
      <w:r>
        <w:rPr>
          <w:rFonts w:hint="eastAsia" w:hAnsi="宋体" w:cs="宋体"/>
          <w:color w:val="auto"/>
          <w:sz w:val="21"/>
          <w:szCs w:val="21"/>
          <w:highlight w:val="none"/>
        </w:rPr>
        <w:t xml:space="preserve">合同时间: </w:t>
      </w:r>
      <w:r>
        <w:rPr>
          <w:rFonts w:hint="eastAsia" w:hAnsi="宋体" w:cs="宋体"/>
          <w:color w:val="auto"/>
          <w:sz w:val="21"/>
          <w:szCs w:val="21"/>
          <w:highlight w:val="none"/>
          <w:u w:val="single"/>
        </w:rPr>
        <w:t xml:space="preserve">    年   月   日</w:t>
      </w:r>
      <w:r/>
    </w:p>
    <w:p>
      <w:pPr>
        <w:pStyle w:val="889"/>
        <w:ind w:firstLine="420"/>
        <w:spacing w:line="360" w:lineRule="exact"/>
        <w:rPr>
          <w:rFonts w:cs="宋体"/>
          <w:color w:val="auto"/>
          <w:szCs w:val="21"/>
          <w:highlight w:val="none"/>
        </w:rPr>
      </w:pPr>
      <w:r>
        <w:rPr>
          <w:rFonts w:cs="宋体"/>
          <w:color w:val="auto"/>
          <w:szCs w:val="21"/>
          <w:highlight w:val="none"/>
        </w:rPr>
        <w:t xml:space="preserve">甲乙双方依据《中华人民共和国民法典》以及有关法律、法规的规定，经协商一致，订立本合同，以便共同遵守。</w:t>
      </w:r>
      <w:r/>
    </w:p>
    <w:p>
      <w:pPr>
        <w:pStyle w:val="889"/>
        <w:ind w:firstLine="424"/>
        <w:spacing w:line="360" w:lineRule="exact"/>
        <w:rPr>
          <w:rFonts w:cs="宋体"/>
          <w:b/>
          <w:color w:val="auto"/>
          <w:szCs w:val="21"/>
          <w:highlight w:val="none"/>
        </w:rPr>
      </w:pPr>
      <w:r>
        <w:rPr>
          <w:rFonts w:cs="宋体"/>
          <w:b/>
          <w:color w:val="auto"/>
          <w:szCs w:val="21"/>
          <w:highlight w:val="none"/>
        </w:rPr>
        <w:t xml:space="preserve">第一条 合同标的</w:t>
      </w:r>
      <w:r/>
    </w:p>
    <w:tbl>
      <w:tblPr>
        <w:tblStyle w:val="876"/>
        <w:tblW w:w="85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6"/>
        <w:gridCol w:w="1016"/>
        <w:gridCol w:w="1489"/>
        <w:gridCol w:w="1098"/>
        <w:gridCol w:w="1307"/>
        <w:gridCol w:w="1714"/>
      </w:tblGrid>
      <w:tr>
        <w:trPr/>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60" w:lineRule="exact"/>
              <w:rPr>
                <w:rFonts w:ascii="宋体" w:hAnsi="宋体"/>
                <w:color w:val="auto"/>
                <w:highlight w:val="none"/>
              </w:rPr>
            </w:pPr>
            <w:r>
              <w:rPr>
                <w:rFonts w:hint="eastAsia" w:ascii="宋体" w:hAnsi="宋体"/>
                <w:color w:val="auto"/>
                <w:highlight w:val="none"/>
              </w:rPr>
              <w:t xml:space="preserve">设备名称</w:t>
            </w:r>
            <w:r/>
          </w:p>
        </w:tc>
        <w:tc>
          <w:tcPr>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spacing w:line="360" w:lineRule="exact"/>
              <w:rPr>
                <w:rFonts w:ascii="宋体" w:hAnsi="宋体"/>
                <w:color w:val="auto"/>
                <w:highlight w:val="none"/>
              </w:rPr>
            </w:pPr>
            <w:r>
              <w:rPr>
                <w:rFonts w:hint="eastAsia" w:ascii="宋体" w:hAnsi="宋体"/>
                <w:color w:val="auto"/>
                <w:highlight w:val="none"/>
              </w:rPr>
              <w:t xml:space="preserve">品牌</w:t>
            </w:r>
            <w:r/>
          </w:p>
        </w:tc>
        <w:tc>
          <w:tcPr>
            <w:tcBorders>
              <w:top w:val="single" w:color="auto" w:sz="4" w:space="0"/>
              <w:left w:val="none" w:color="000000" w:sz="4" w:space="0"/>
              <w:bottom w:val="single" w:color="auto" w:sz="4" w:space="0"/>
              <w:right w:val="single" w:color="auto" w:sz="4" w:space="0"/>
            </w:tcBorders>
            <w:tcW w:w="1489" w:type="dxa"/>
            <w:vAlign w:val="center"/>
            <w:textDirection w:val="lrTb"/>
            <w:noWrap w:val="false"/>
          </w:tcPr>
          <w:p>
            <w:pPr>
              <w:jc w:val="center"/>
              <w:spacing w:line="360" w:lineRule="exact"/>
              <w:rPr>
                <w:rFonts w:ascii="宋体" w:hAnsi="宋体"/>
                <w:color w:val="auto"/>
                <w:highlight w:val="none"/>
              </w:rPr>
            </w:pPr>
            <w:r>
              <w:rPr>
                <w:rFonts w:hint="eastAsia" w:ascii="宋体" w:hAnsi="宋体"/>
                <w:color w:val="auto"/>
                <w:highlight w:val="none"/>
              </w:rPr>
              <w:t xml:space="preserve">规格型号</w:t>
            </w:r>
            <w:r/>
          </w:p>
        </w:tc>
        <w:tc>
          <w:tcPr>
            <w:tcBorders>
              <w:top w:val="single" w:color="auto" w:sz="4" w:space="0"/>
              <w:left w:val="none" w:color="000000" w:sz="4" w:space="0"/>
              <w:bottom w:val="single" w:color="auto" w:sz="4" w:space="0"/>
              <w:right w:val="single" w:color="auto" w:sz="4" w:space="0"/>
            </w:tcBorders>
            <w:tcW w:w="1098" w:type="dxa"/>
            <w:vAlign w:val="center"/>
            <w:textDirection w:val="lrTb"/>
            <w:noWrap w:val="false"/>
          </w:tcPr>
          <w:p>
            <w:pPr>
              <w:jc w:val="center"/>
              <w:spacing w:line="360" w:lineRule="exact"/>
              <w:rPr>
                <w:rFonts w:ascii="宋体" w:hAnsi="宋体"/>
                <w:color w:val="auto"/>
                <w:highlight w:val="none"/>
              </w:rPr>
            </w:pPr>
            <w:r>
              <w:rPr>
                <w:rFonts w:hint="eastAsia" w:ascii="宋体" w:hAnsi="宋体"/>
                <w:color w:val="auto"/>
                <w:highlight w:val="none"/>
              </w:rPr>
              <w:t xml:space="preserve">数  量</w:t>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exact"/>
              <w:rPr>
                <w:rFonts w:ascii="宋体" w:hAnsi="宋体"/>
                <w:color w:val="auto"/>
                <w:highlight w:val="none"/>
              </w:rPr>
            </w:pPr>
            <w:r>
              <w:rPr>
                <w:rFonts w:hint="eastAsia" w:ascii="宋体" w:hAnsi="宋体"/>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714" w:type="dxa"/>
            <w:vAlign w:val="center"/>
            <w:textDirection w:val="lrTb"/>
            <w:noWrap w:val="false"/>
          </w:tcPr>
          <w:p>
            <w:pPr>
              <w:jc w:val="center"/>
              <w:spacing w:line="360" w:lineRule="exact"/>
              <w:rPr>
                <w:rFonts w:ascii="宋体" w:hAnsi="宋体"/>
                <w:color w:val="auto"/>
                <w:highlight w:val="none"/>
              </w:rPr>
            </w:pPr>
            <w:r>
              <w:rPr>
                <w:rFonts w:hint="eastAsia" w:ascii="宋体" w:hAnsi="宋体"/>
                <w:color w:val="auto"/>
                <w:highlight w:val="none"/>
              </w:rPr>
              <w:t xml:space="preserve">成交总价（元）</w:t>
            </w:r>
            <w:r/>
          </w:p>
        </w:tc>
      </w:tr>
      <w:tr>
        <w:trPr>
          <w:trHeight w:val="600"/>
        </w:trPr>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60" w:lineRule="exact"/>
              <w:rPr>
                <w:rFonts w:ascii="宋体" w:hAnsi="宋体"/>
                <w:b/>
                <w:color w:val="auto"/>
                <w:highlight w:val="none"/>
              </w:rPr>
            </w:pPr>
            <w:r>
              <w:rPr>
                <w:rFonts w:ascii="宋体" w:hAnsi="宋体"/>
                <w:b/>
                <w:color w:val="auto"/>
                <w:highlight w:val="none"/>
              </w:rPr>
            </w:r>
            <w:r/>
          </w:p>
        </w:tc>
        <w:tc>
          <w:tcPr>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spacing w:line="360" w:lineRule="exact"/>
              <w:rPr>
                <w:rFonts w:ascii="宋体" w:hAnsi="宋体"/>
                <w:b/>
                <w:color w:val="auto"/>
                <w:highlight w:val="none"/>
              </w:rPr>
            </w:pPr>
            <w:r>
              <w:rPr>
                <w:rFonts w:ascii="宋体" w:hAnsi="宋体"/>
                <w:b/>
                <w:color w:val="auto"/>
                <w:highlight w:val="none"/>
              </w:rPr>
            </w:r>
            <w:r/>
          </w:p>
        </w:tc>
        <w:tc>
          <w:tcPr>
            <w:tcBorders>
              <w:top w:val="single" w:color="auto" w:sz="4" w:space="0"/>
              <w:left w:val="none" w:color="000000" w:sz="4" w:space="0"/>
              <w:bottom w:val="single" w:color="auto" w:sz="4" w:space="0"/>
              <w:right w:val="single" w:color="auto" w:sz="4" w:space="0"/>
            </w:tcBorders>
            <w:tcW w:w="1489" w:type="dxa"/>
            <w:vAlign w:val="center"/>
            <w:textDirection w:val="lrTb"/>
            <w:noWrap w:val="false"/>
          </w:tcPr>
          <w:p>
            <w:pPr>
              <w:jc w:val="center"/>
              <w:spacing w:line="360" w:lineRule="exact"/>
              <w:rPr>
                <w:rFonts w:ascii="宋体" w:hAnsi="宋体"/>
                <w:b/>
                <w:color w:val="auto"/>
                <w:highlight w:val="none"/>
              </w:rPr>
            </w:pPr>
            <w:r>
              <w:rPr>
                <w:rFonts w:ascii="宋体" w:hAnsi="宋体"/>
                <w:b/>
                <w:color w:val="auto"/>
                <w:highlight w:val="none"/>
              </w:rPr>
            </w:r>
            <w:r/>
          </w:p>
        </w:tc>
        <w:tc>
          <w:tcPr>
            <w:tcBorders>
              <w:top w:val="single" w:color="auto" w:sz="4" w:space="0"/>
              <w:left w:val="none" w:color="000000" w:sz="4" w:space="0"/>
              <w:bottom w:val="single" w:color="auto" w:sz="4" w:space="0"/>
              <w:right w:val="single" w:color="auto" w:sz="4" w:space="0"/>
            </w:tcBorders>
            <w:tcW w:w="1098" w:type="dxa"/>
            <w:vAlign w:val="center"/>
            <w:textDirection w:val="lrTb"/>
            <w:noWrap w:val="false"/>
          </w:tcPr>
          <w:p>
            <w:pPr>
              <w:jc w:val="center"/>
              <w:spacing w:line="360" w:lineRule="exact"/>
              <w:rPr>
                <w:rFonts w:ascii="宋体" w:hAnsi="宋体"/>
                <w:b/>
                <w:color w:val="auto"/>
                <w:highlight w:val="none"/>
              </w:rPr>
            </w:pPr>
            <w:r>
              <w:rPr>
                <w:rFonts w:ascii="宋体" w:hAnsi="宋体"/>
                <w:b/>
                <w:color w:val="auto"/>
                <w:highlight w:val="none"/>
              </w:rPr>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360" w:lineRule="exact"/>
              <w:rPr>
                <w:rFonts w:ascii="宋体" w:hAnsi="宋体"/>
                <w:b/>
                <w:color w:val="auto"/>
                <w:highlight w:val="none"/>
              </w:rPr>
            </w:pPr>
            <w:r>
              <w:rPr>
                <w:rFonts w:ascii="宋体" w:hAnsi="宋体"/>
                <w:b/>
                <w:color w:val="auto"/>
                <w:highlight w:val="none"/>
              </w:rPr>
            </w:r>
            <w:r/>
          </w:p>
        </w:tc>
        <w:tc>
          <w:tcPr>
            <w:tcBorders>
              <w:top w:val="single" w:color="auto" w:sz="4" w:space="0"/>
              <w:left w:val="none" w:color="000000" w:sz="4" w:space="0"/>
              <w:bottom w:val="single" w:color="auto" w:sz="4" w:space="0"/>
              <w:right w:val="single" w:color="auto" w:sz="4" w:space="0"/>
            </w:tcBorders>
            <w:tcW w:w="1714" w:type="dxa"/>
            <w:vAlign w:val="center"/>
            <w:textDirection w:val="lrTb"/>
            <w:noWrap w:val="false"/>
          </w:tcPr>
          <w:p>
            <w:pPr>
              <w:jc w:val="center"/>
              <w:spacing w:line="360" w:lineRule="exact"/>
              <w:rPr>
                <w:rFonts w:ascii="宋体" w:hAnsi="宋体"/>
                <w:b/>
                <w:color w:val="auto"/>
                <w:highlight w:val="none"/>
              </w:rPr>
            </w:pPr>
            <w:r>
              <w:rPr>
                <w:rFonts w:ascii="宋体" w:hAnsi="宋体"/>
                <w:b/>
                <w:color w:val="auto"/>
                <w:highlight w:val="none"/>
              </w:rPr>
            </w:r>
            <w:r/>
          </w:p>
        </w:tc>
      </w:tr>
      <w:tr>
        <w:trPr/>
        <w:tc>
          <w:tcPr>
            <w:gridSpan w:val="6"/>
            <w:tcBorders>
              <w:top w:val="single" w:color="auto" w:sz="4" w:space="0"/>
              <w:left w:val="single" w:color="auto" w:sz="4" w:space="0"/>
              <w:bottom w:val="single" w:color="auto" w:sz="4" w:space="0"/>
              <w:right w:val="single" w:color="auto" w:sz="4" w:space="0"/>
            </w:tcBorders>
            <w:tcW w:w="8520" w:type="dxa"/>
            <w:vAlign w:val="center"/>
            <w:textDirection w:val="lrTb"/>
            <w:noWrap w:val="false"/>
          </w:tcPr>
          <w:p>
            <w:pPr>
              <w:jc w:val="left"/>
              <w:spacing w:line="360" w:lineRule="exact"/>
              <w:widowControl/>
              <w:rPr>
                <w:rFonts w:ascii="宋体" w:hAnsi="宋体"/>
                <w:color w:val="auto"/>
                <w:highlight w:val="none"/>
              </w:rPr>
            </w:pPr>
            <w:r>
              <w:rPr>
                <w:rFonts w:hint="eastAsia" w:ascii="宋体" w:hAnsi="宋体"/>
                <w:color w:val="auto"/>
                <w:highlight w:val="none"/>
              </w:rPr>
              <w:t xml:space="preserve">总价（大写）：</w:t>
            </w:r>
            <w:r>
              <w:rPr>
                <w:rFonts w:hint="eastAsia" w:ascii="宋体" w:hAnsi="宋体"/>
                <w:b/>
                <w:color w:val="auto"/>
                <w:highlight w:val="none"/>
              </w:rPr>
              <w:t xml:space="preserve">人民币  万   仟  佰  圆整</w:t>
            </w:r>
            <w:r/>
          </w:p>
        </w:tc>
      </w:tr>
    </w:tbl>
    <w:p>
      <w:pPr>
        <w:pStyle w:val="889"/>
        <w:ind w:firstLine="424"/>
        <w:spacing w:line="360" w:lineRule="exact"/>
        <w:rPr>
          <w:rFonts w:cs="宋体"/>
          <w:b/>
          <w:color w:val="auto"/>
          <w:szCs w:val="21"/>
          <w:highlight w:val="none"/>
        </w:rPr>
      </w:pPr>
      <w:r>
        <w:rPr>
          <w:rFonts w:cs="宋体"/>
          <w:b/>
          <w:color w:val="auto"/>
          <w:szCs w:val="21"/>
          <w:highlight w:val="none"/>
        </w:rPr>
        <w:t xml:space="preserve">第二条 合同价格</w:t>
      </w:r>
      <w:r/>
    </w:p>
    <w:p>
      <w:pPr>
        <w:pStyle w:val="889"/>
        <w:ind w:firstLine="424"/>
        <w:jc w:val="left"/>
        <w:spacing w:line="360" w:lineRule="exact"/>
        <w:rPr>
          <w:rFonts w:cs="宋体"/>
          <w:b/>
          <w:color w:val="auto"/>
          <w:szCs w:val="21"/>
          <w:highlight w:val="none"/>
        </w:rPr>
      </w:pPr>
      <w:r>
        <w:rPr>
          <w:rFonts w:cs="宋体"/>
          <w:b/>
          <w:color w:val="auto"/>
          <w:szCs w:val="21"/>
          <w:highlight w:val="none"/>
        </w:rPr>
        <w:t xml:space="preserve">签约合同总价（人民币，下同）：</w:t>
      </w:r>
      <w:r>
        <w:rPr>
          <w:rFonts w:cs="宋体"/>
          <w:b/>
          <w:color w:val="auto"/>
          <w:szCs w:val="21"/>
          <w:highlight w:val="none"/>
          <w:u w:val="single"/>
        </w:rPr>
        <w:t xml:space="preserve">             元</w:t>
      </w:r>
      <w:r>
        <w:rPr>
          <w:rFonts w:cs="宋体"/>
          <w:b/>
          <w:color w:val="auto"/>
          <w:szCs w:val="21"/>
          <w:highlight w:val="none"/>
        </w:rPr>
        <w:t xml:space="preserve">（小写       ）。 </w:t>
      </w:r>
      <w:r/>
    </w:p>
    <w:p>
      <w:pPr>
        <w:pStyle w:val="889"/>
        <w:ind w:firstLine="422"/>
        <w:spacing w:line="360" w:lineRule="exact"/>
        <w:rPr>
          <w:rFonts w:cs="宋体"/>
          <w:color w:val="auto"/>
          <w:szCs w:val="21"/>
          <w:highlight w:val="none"/>
        </w:rPr>
      </w:pPr>
      <w:r>
        <w:rPr>
          <w:rFonts w:cs="宋体"/>
          <w:color w:val="auto"/>
          <w:szCs w:val="21"/>
          <w:highlight w:val="none"/>
        </w:rPr>
        <w:t xml:space="preserve">本合同总价款包括本次采购货物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p>
    <w:p>
      <w:pPr>
        <w:pStyle w:val="889"/>
        <w:ind w:firstLine="422"/>
        <w:spacing w:line="360" w:lineRule="exact"/>
        <w:rPr>
          <w:rFonts w:cs="宋体"/>
          <w:color w:val="auto"/>
          <w:szCs w:val="21"/>
          <w:highlight w:val="none"/>
        </w:rPr>
      </w:pPr>
      <w:r>
        <w:rPr>
          <w:rFonts w:cs="宋体"/>
          <w:color w:val="auto"/>
          <w:szCs w:val="21"/>
          <w:highlight w:val="none"/>
        </w:rPr>
        <w:t xml:space="preserve">本合同总价款还包含乙方应当提供的伴随服务/售后服务费用。</w:t>
      </w:r>
      <w:r/>
    </w:p>
    <w:p>
      <w:pPr>
        <w:pStyle w:val="889"/>
        <w:ind w:firstLine="424"/>
        <w:spacing w:line="360" w:lineRule="exact"/>
        <w:rPr>
          <w:rFonts w:cs="宋体"/>
          <w:b/>
          <w:color w:val="auto"/>
          <w:szCs w:val="21"/>
          <w:highlight w:val="none"/>
        </w:rPr>
      </w:pPr>
      <w:r>
        <w:rPr>
          <w:rFonts w:cs="宋体"/>
          <w:b/>
          <w:color w:val="auto"/>
          <w:szCs w:val="21"/>
          <w:highlight w:val="none"/>
        </w:rPr>
        <w:t xml:space="preserve">第三条 组成本合同的有关文件</w:t>
      </w:r>
      <w:r/>
    </w:p>
    <w:p>
      <w:pPr>
        <w:pStyle w:val="889"/>
        <w:ind w:firstLine="422"/>
        <w:spacing w:line="360" w:lineRule="exact"/>
        <w:rPr>
          <w:rFonts w:cs="宋体"/>
          <w:color w:val="auto"/>
          <w:szCs w:val="21"/>
          <w:highlight w:val="none"/>
        </w:rPr>
      </w:pPr>
      <w:r>
        <w:rPr>
          <w:rFonts w:cs="宋体"/>
          <w:color w:val="auto"/>
          <w:szCs w:val="21"/>
          <w:highlight w:val="none"/>
        </w:rPr>
        <w:t xml:space="preserve">下列与本次采购活动有关的文件及有关附件是本合同不可分割的组成部分，与本合同具有同等法律效力，这些文件包括但不限于：</w:t>
      </w:r>
      <w:r/>
    </w:p>
    <w:p>
      <w:pPr>
        <w:pStyle w:val="889"/>
        <w:ind w:firstLine="422"/>
        <w:spacing w:line="360" w:lineRule="exact"/>
        <w:rPr>
          <w:rFonts w:cs="宋体"/>
          <w:color w:val="auto"/>
          <w:szCs w:val="21"/>
          <w:highlight w:val="none"/>
        </w:rPr>
      </w:pPr>
      <w:r>
        <w:rPr>
          <w:rFonts w:cs="宋体"/>
          <w:color w:val="auto"/>
          <w:szCs w:val="21"/>
          <w:highlight w:val="none"/>
        </w:rPr>
        <w:t xml:space="preserve">（1）竞争性磋商文件（编号：   ）         （2）乙方提供的磋商响应文件； </w:t>
      </w:r>
      <w:r/>
    </w:p>
    <w:p>
      <w:pPr>
        <w:pStyle w:val="889"/>
        <w:ind w:firstLine="422"/>
        <w:spacing w:line="360" w:lineRule="exact"/>
        <w:rPr>
          <w:rFonts w:cs="宋体"/>
          <w:color w:val="auto"/>
          <w:szCs w:val="21"/>
          <w:highlight w:val="none"/>
        </w:rPr>
      </w:pPr>
      <w:r>
        <w:rPr>
          <w:rFonts w:cs="宋体"/>
          <w:color w:val="auto"/>
          <w:szCs w:val="21"/>
          <w:highlight w:val="none"/>
        </w:rPr>
        <w:t xml:space="preserve">（3）成交通知书；                        （4）甲乙双方商定的其他文件等。</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第四条 权利保证</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乙方应保证甲方在使用该货物或其任何一部分时不受第三方提出侵犯其专利权</w:t>
      </w:r>
      <w:r>
        <w:rPr>
          <w:rFonts w:hint="eastAsia" w:ascii="宋体" w:hAnsi="宋体" w:cs="宋体"/>
          <w:color w:val="auto"/>
          <w:highlight w:val="none"/>
          <w:shd w:val="clear" w:color="auto" w:fill="ffffff"/>
        </w:rPr>
        <w:t xml:space="preserve">、著作权、商标权等知识产权的起诉。</w:t>
      </w:r>
      <w:r>
        <w:rPr>
          <w:rFonts w:hint="eastAsia" w:ascii="宋体" w:hAnsi="宋体" w:cs="宋体"/>
          <w:color w:val="auto"/>
          <w:szCs w:val="21"/>
          <w:highlight w:val="none"/>
        </w:rPr>
        <w:t xml:space="preserve">一旦出现侵权、索赔或诉讼，乙方应承担全部责任，同时甲方有权解除本合同。</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第五条 质量保证</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1.乙方所提供的货物的技术规格应与竞争性磋商文件规定的技术规格及所附的“技术规格响应表”相一致；若技术性能无特殊说明，则按国家有关部门最新颁布的标准及规范为准。</w:t>
      </w:r>
      <w:r/>
    </w:p>
    <w:p>
      <w:pPr>
        <w:pStyle w:val="889"/>
        <w:ind w:firstLine="422"/>
        <w:spacing w:line="360" w:lineRule="exact"/>
        <w:rPr>
          <w:rFonts w:cs="宋体"/>
          <w:color w:val="auto"/>
          <w:szCs w:val="21"/>
          <w:highlight w:val="none"/>
        </w:rPr>
      </w:pPr>
      <w:r>
        <w:rPr>
          <w:rFonts w:cs="宋体"/>
          <w:color w:val="auto"/>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第六条 包装要求</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2.每一包装单元内应附详细的装箱单和质量合格凭证。</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3.乙方保证货物不存在危及人身及财产安全的产品缺陷，否则应承担全部法律责任。</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第七条 交货和验收</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1.乙方应当在合同签订后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天内将货物安装调试完毕交付甲方正常使用，地点由甲方指定。竞争性磋商文件有约定的，从其约定。</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2.乙方交付的货物应当完全符合本合同或者招磋商响应文件所规定的货物、数量和规格要求。乙方提供的货物不符合招磋商响应文件和合同规定的，甲方有权拒收货物，由此引起的风险，由乙方承担。</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3.货物的到货验收包括：生产厂家名称、品牌、型号、规格、数量、外观质量、配置及货物包装是否完好。</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5.货物和系统调试验收的标准：按行业通行标准、厂方出厂标准和乙方磋商响应文件的承诺（详见合同附件载明的标准，并不低于国家相关标准）。甲乙双方应在货物安装调试完毕后的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a.重新调试直至合格为止；</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b.要求乙方对货物进行免费更换，然后重新调试直至合格为止。</w:t>
      </w:r>
      <w:r/>
    </w:p>
    <w:p>
      <w:pPr>
        <w:pStyle w:val="889"/>
        <w:ind w:firstLine="422"/>
        <w:spacing w:line="360" w:lineRule="exact"/>
        <w:rPr>
          <w:rFonts w:cs="宋体"/>
          <w:b/>
          <w:color w:val="auto"/>
          <w:szCs w:val="21"/>
          <w:highlight w:val="none"/>
        </w:rPr>
      </w:pPr>
      <w:r>
        <w:rPr>
          <w:rFonts w:cs="宋体"/>
          <w:color w:val="auto"/>
          <w:szCs w:val="21"/>
          <w:highlight w:val="none"/>
        </w:rPr>
        <w:t xml:space="preserve">甲方因乙方原因所产生的所有费用均由乙方负担</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第八条 履约保证金</w:t>
      </w:r>
      <w:r/>
    </w:p>
    <w:p>
      <w:pPr>
        <w:ind w:firstLine="422"/>
        <w:spacing w:line="360" w:lineRule="exact"/>
        <w:rPr>
          <w:rFonts w:ascii="宋体" w:hAnsi="宋体" w:cs="宋体"/>
          <w:color w:val="auto"/>
          <w:szCs w:val="21"/>
          <w:highlight w:val="none"/>
        </w:rPr>
      </w:pPr>
      <w:r>
        <w:rPr>
          <w:rFonts w:ascii="宋体" w:hAnsi="宋体" w:cs="宋体"/>
          <w:color w:val="auto"/>
          <w:szCs w:val="21"/>
          <w:highlight w:val="none"/>
        </w:rPr>
        <w:t xml:space="preserve">/</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第九条 合同款结算及支付</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1.本合同项下所有款项均以人民币支付。</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2.本合同项下的采购资金由甲方自行支付，乙方向甲方开具发票。</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3.结算原则：固定总价。</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4.支付方式：银行转账或承兑汇票。</w:t>
      </w:r>
      <w:r/>
    </w:p>
    <w:p>
      <w:pPr>
        <w:ind w:firstLine="42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5.付款方式：</w:t>
      </w:r>
      <w:r/>
    </w:p>
    <w:p>
      <w:pPr>
        <w:ind w:firstLine="420"/>
        <w:spacing w:line="360" w:lineRule="exact"/>
        <w:rPr>
          <w:rFonts w:ascii="宋体" w:hAnsi="宋体" w:cs="宋体"/>
          <w:color w:val="auto"/>
          <w:highlight w:val="none"/>
        </w:rPr>
      </w:pPr>
      <w:r>
        <w:rPr>
          <w:rFonts w:hint="eastAsia" w:ascii="宋体" w:hAnsi="宋体" w:cs="宋体"/>
          <w:color w:val="auto"/>
          <w:highlight w:val="none"/>
        </w:rPr>
        <w:t xml:space="preserve">（1）设备安装、调试、验收合格，并培训指导完成后，甲方支付合同款项的30%。</w:t>
      </w:r>
      <w:r/>
    </w:p>
    <w:p>
      <w:pPr>
        <w:ind w:firstLine="420"/>
        <w:spacing w:line="360" w:lineRule="exact"/>
        <w:rPr>
          <w:rFonts w:ascii="宋体" w:hAnsi="宋体" w:cs="宋体"/>
          <w:color w:val="auto"/>
          <w:highlight w:val="none"/>
        </w:rPr>
      </w:pPr>
      <w:r>
        <w:rPr>
          <w:rFonts w:hint="eastAsia" w:ascii="宋体" w:hAnsi="宋体" w:cs="宋体"/>
          <w:color w:val="auto"/>
          <w:highlight w:val="none"/>
        </w:rPr>
        <w:t xml:space="preserve">（2）验收合格3个月后，甲方付至合同款项的90%。</w:t>
      </w:r>
      <w:r/>
    </w:p>
    <w:p>
      <w:pPr>
        <w:ind w:firstLine="420"/>
        <w:spacing w:line="360" w:lineRule="exact"/>
        <w:rPr>
          <w:rFonts w:ascii="宋体" w:hAnsi="宋体" w:cs="宋体"/>
          <w:color w:val="auto"/>
          <w:highlight w:val="none"/>
        </w:rPr>
      </w:pPr>
      <w:r>
        <w:rPr>
          <w:rFonts w:hint="eastAsia" w:ascii="宋体" w:hAnsi="宋体" w:cs="宋体"/>
          <w:color w:val="auto"/>
          <w:highlight w:val="none"/>
        </w:rPr>
        <w:t xml:space="preserve">（3）余款在验收合格一年后一次性付清（无息）。</w:t>
      </w:r>
      <w:r/>
    </w:p>
    <w:p>
      <w:pPr>
        <w:ind w:firstLine="420"/>
        <w:spacing w:line="360" w:lineRule="exact"/>
        <w:rPr>
          <w:rFonts w:ascii="宋体" w:hAnsi="宋体" w:cs="宋体"/>
          <w:color w:val="auto"/>
          <w:szCs w:val="21"/>
          <w:highlight w:val="none"/>
        </w:rPr>
      </w:pPr>
      <w:r>
        <w:rPr>
          <w:rFonts w:hint="eastAsia" w:ascii="宋体" w:hAnsi="宋体" w:cs="宋体"/>
          <w:color w:val="auto"/>
          <w:highlight w:val="none"/>
        </w:rPr>
        <w:t xml:space="preserve">注：支付方式为银行转账或承兑汇票。</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第十条 伴随服务／售后服务</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1.乙方应按照国家有关法律法规规章和“三包”规定以及合同所附的“服务承诺”提供服务。</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2.除前款规定外，乙方还应提供下列服务：</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（1）货物的现场安装、调试和/或启动监督；</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（2）就货物的安装、启动、运行及维护等对甲方人员进行免费培训。</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3.若竞争性磋商文件中不包含有关伴随服务或售后服务的承诺，双方作如下约定：</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3.2 所购货物按乙方磋商承诺提供免费维护和质量保证，保修费用计入总价。</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3.3 保修期内，乙方负责对其提供的货物整机进行维修和系统维护，不再收取任何费用，但不可抗力（如火灾、雷击等）造成的故障除外。</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3.4 货物故障报修的响应时间按乙方磋商承诺执行。</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3.5 若货物故障在检修8工作小时后仍无法排除，乙方应在48小时内免费提供不低于故障货物规格型号档次的备用货物供甲方使用，直至故障货物修复。</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3.6 所有货物保修服务方式均为乙方上门保修，即由乙方派员到货物使用现场维修，由此产生的一切费用均由乙方承担。</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3.7 保修期后的货物维护由双方协商再定。</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4. 本项目免费保修期为</w:t>
      </w:r>
      <w:r>
        <w:rPr>
          <w:rFonts w:hint="eastAsia" w:ascii="宋体" w:hAnsi="宋体" w:cs="宋体"/>
          <w:color w:val="auto"/>
          <w:szCs w:val="21"/>
          <w:highlight w:val="none"/>
          <w:u w:val="single"/>
        </w:rPr>
        <w:t xml:space="preserve">   年</w:t>
      </w:r>
      <w:r>
        <w:rPr>
          <w:rFonts w:hint="eastAsia" w:ascii="宋体" w:hAnsi="宋体" w:cs="宋体"/>
          <w:color w:val="auto"/>
          <w:szCs w:val="21"/>
          <w:highlight w:val="none"/>
        </w:rPr>
        <w:t xml:space="preserve">。自产品验收合格之日起计算。</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第十一条 违约责任</w:t>
      </w:r>
      <w:r/>
    </w:p>
    <w:p>
      <w:pPr>
        <w:ind w:firstLine="420"/>
        <w:spacing w:line="360" w:lineRule="exact"/>
        <w:rPr>
          <w:rFonts w:ascii="宋体" w:hAnsi="宋体" w:cs="宋体"/>
          <w:color w:val="auto"/>
          <w:highlight w:val="none"/>
        </w:rPr>
      </w:pPr>
      <w:r>
        <w:rPr>
          <w:rFonts w:hint="eastAsia" w:ascii="宋体" w:hAnsi="宋体" w:cs="宋体"/>
          <w:color w:val="auto"/>
          <w:highlight w:val="none"/>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p>
    <w:p>
      <w:pPr>
        <w:ind w:firstLine="420"/>
        <w:spacing w:line="360" w:lineRule="exact"/>
        <w:rPr>
          <w:rFonts w:ascii="宋体" w:hAnsi="宋体" w:cs="宋体"/>
          <w:color w:val="auto"/>
          <w:highlight w:val="none"/>
        </w:rPr>
      </w:pPr>
      <w:r>
        <w:rPr>
          <w:rFonts w:hint="eastAsia" w:ascii="宋体" w:hAnsi="宋体" w:cs="宋体"/>
          <w:color w:val="auto"/>
          <w:highlight w:val="none"/>
        </w:rPr>
        <w:t xml:space="preserve">2.甲方未按合同规定的期限向乙方支付货款的，每逾期1天甲方向乙方偿付欠款总额的5‰滞纳金，但累计滞纳金总额不超过欠款总额的5% 。</w:t>
      </w:r>
      <w:r/>
    </w:p>
    <w:p>
      <w:pPr>
        <w:ind w:firstLine="420"/>
        <w:spacing w:line="360" w:lineRule="exact"/>
        <w:rPr>
          <w:rFonts w:ascii="宋体" w:hAnsi="宋体" w:cs="宋体"/>
          <w:color w:val="auto"/>
          <w:highlight w:val="none"/>
        </w:rPr>
      </w:pPr>
      <w:r>
        <w:rPr>
          <w:rFonts w:hint="eastAsia" w:ascii="宋体" w:hAnsi="宋体" w:cs="宋体"/>
          <w:color w:val="auto"/>
          <w:highlight w:val="none"/>
        </w:rPr>
        <w:t xml:space="preserve">3.乙方所交付的货物品种、型号、规格不符合合同规定的，甲方有权拒收，同时有权解除合同，解除合同的通知自发出之日生效。</w:t>
      </w:r>
      <w:r/>
    </w:p>
    <w:p>
      <w:pPr>
        <w:ind w:firstLine="420"/>
        <w:spacing w:line="360" w:lineRule="exact"/>
        <w:rPr>
          <w:rFonts w:ascii="宋体" w:hAnsi="宋体" w:cs="宋体"/>
          <w:color w:val="auto"/>
          <w:highlight w:val="none"/>
        </w:rPr>
      </w:pPr>
      <w:r>
        <w:rPr>
          <w:rFonts w:hint="eastAsia" w:ascii="宋体" w:hAnsi="宋体" w:cs="宋体"/>
          <w:color w:val="auto"/>
          <w:highlight w:val="none"/>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p>
    <w:p>
      <w:pPr>
        <w:ind w:firstLine="420"/>
        <w:spacing w:line="360" w:lineRule="exact"/>
        <w:rPr>
          <w:rFonts w:ascii="宋体" w:hAnsi="宋体" w:cs="宋体"/>
          <w:color w:val="auto"/>
          <w:highlight w:val="none"/>
        </w:rPr>
      </w:pPr>
      <w:r>
        <w:rPr>
          <w:rFonts w:hint="eastAsia" w:ascii="宋体" w:hAnsi="宋体" w:cs="宋体"/>
          <w:color w:val="auto"/>
          <w:highlight w:val="none"/>
        </w:rPr>
        <w:t xml:space="preserve">5.乙方未按本合同的规定和“服务承诺”提供伴随服务/售后服务的，甲方有权提前解除本合同，同时乙方应按合同总价款的5 %向甲方承担违约责任。</w:t>
      </w:r>
      <w:r/>
    </w:p>
    <w:p>
      <w:pPr>
        <w:ind w:firstLine="420"/>
        <w:spacing w:line="360" w:lineRule="exact"/>
        <w:rPr>
          <w:rFonts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exact"/>
        <w:rPr>
          <w:rFonts w:ascii="宋体" w:hAnsi="宋体" w:cs="宋体"/>
          <w:color w:val="auto"/>
          <w:highlight w:val="none"/>
        </w:rPr>
      </w:pPr>
      <w:r>
        <w:rPr>
          <w:rFonts w:ascii="宋体" w:hAnsi="宋体" w:cs="宋体"/>
          <w:color w:val="auto"/>
          <w:highlight w:val="none"/>
        </w:rPr>
        <w:t xml:space="preserve">7</w:t>
      </w:r>
      <w:r>
        <w:rPr>
          <w:rFonts w:hint="eastAsia" w:ascii="宋体" w:hAnsi="宋体" w:cs="宋体"/>
          <w:color w:val="auto"/>
          <w:highlight w:val="none"/>
        </w:rPr>
        <w:t xml:space="preserve">.乙方属虚假承诺，或经权威部门监测提供的货物不能满足竞争性磋商文件要求，或是由于乙方的过错造成合同无法继续履行的，应向甲方支付不少于合同总价30%违约金，若该违约金不足以弥补甲方损失，则应当赔偿甲方所有损失。</w:t>
      </w:r>
      <w:r/>
    </w:p>
    <w:p>
      <w:pPr>
        <w:ind w:firstLine="420"/>
        <w:spacing w:line="360" w:lineRule="exact"/>
        <w:rPr>
          <w:rFonts w:ascii="宋体" w:hAnsi="宋体" w:cs="宋体"/>
          <w:color w:val="auto"/>
          <w:highlight w:val="none"/>
        </w:rPr>
      </w:pPr>
      <w:r>
        <w:rPr>
          <w:rFonts w:ascii="宋体" w:hAnsi="宋体" w:cs="宋体"/>
          <w:color w:val="auto"/>
          <w:highlight w:val="none"/>
        </w:rPr>
        <w:t xml:space="preserve">8</w:t>
      </w:r>
      <w:r>
        <w:rPr>
          <w:rFonts w:hint="eastAsia" w:ascii="宋体" w:hAnsi="宋体" w:cs="宋体"/>
          <w:color w:val="auto"/>
          <w:highlight w:val="none"/>
        </w:rPr>
        <w:t xml:space="preserve">.其他未尽事宜，以《民法典》等有关法律法规规定为准，无相关规定的，双方协商解决。</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第十二条 合同的变更和终止</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1.本合同一经签订，甲乙双方不得擅自变更、中止或终止合同。</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2.除发生法律规定的不能预见、不能避免并不能克服的客观情况外，甲乙双方不得放弃或拒绝履行合同。</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第十三条 合同的转让</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乙方不得擅自部分或全部转让其应履行的合同义务。</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第十四条 不可抗力</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甲、乙方中任何一方，因不可抗力不能按时或完全履行合同的，应及时通知对方，并在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5日内提供相应证明。未履行完合同部分是否继续履行、如何履行等问题，可由双方初步协商，并向主管部门报告。确定为不可抗力原因造成的损失，免予承担责任。</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第十五条 质量问题或缺陷的索赔</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乙方交付货物后，甲方发现货物的质量与合同内容不</w:t>
      </w:r>
      <w:r>
        <w:rPr>
          <w:rFonts w:hint="eastAsia" w:ascii="宋体" w:hAnsi="宋体" w:cs="宋体"/>
          <w:color w:val="auto"/>
          <w:szCs w:val="21"/>
          <w:highlight w:val="none"/>
        </w:rPr>
        <w:t xml:space="preserve">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并有权按照合同总额5%标准向乙方主张违约金。若上述违约金不足以弥补甲方直接损失和间接损失，则乙方应赔偿甲方所有损失。</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    甲方因主张上述权利而支出的所有合理费用，包括但不限于律师费、诉讼费、鉴定费、差旅费、保函费等，均由乙方承担。</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第十六条 争议的解决</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2.因履行本合同引起的或与本合同有关的争议，甲、乙双方应首先通过友好协商解决，如果协商不能解决争议，则采取以下第（ ）种方式解决争议：</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（1）向甲方所在地人民法院提起诉讼；</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（2）向甲方所在地仲裁委员会按其仲裁规则申请仲裁。</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如没有约定，默认采取第2种方式解决争议。</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3.在法院审理和仲裁期间，除有争议部分外，本合同其他部分应继续履行。</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第十七条 诚实信用 </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乙方应诚实信用，严格按照竞争性磋商文件要求和磋商承诺履行合同，不向甲方进行商业贿赂或者提供不正当利益。</w:t>
      </w:r>
      <w:r/>
    </w:p>
    <w:p>
      <w:pPr>
        <w:ind w:firstLine="424"/>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第十八条 合同生效及其他</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1.本合同自经甲乙双方授权代表签订并加盖公章后，自签订之日起生效。见证方仅对甲乙双方签订政府采购合同的事实进行见证，不代表任何承诺或保证，该合同的履行等相关情况均与见证方无任何关系。</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2.本合同一式伍份，甲乙双方各执贰份，代理机构执壹份存档。</w:t>
      </w:r>
      <w:r/>
    </w:p>
    <w:p>
      <w:pPr>
        <w:ind w:firstLine="422"/>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3.本合同应按照中华人民共和国的现行法律进行解释。</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left"/>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jc w:val="left"/>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甲    方</w:t>
      </w:r>
      <w:r>
        <w:rPr>
          <w:rFonts w:hint="eastAsia" w:ascii="宋体" w:hAnsi="宋体" w:cs="宋体"/>
          <w:color w:val="auto"/>
          <w:szCs w:val="21"/>
          <w:highlight w:val="none"/>
        </w:rPr>
        <w:t xml:space="preserve">：                               </w:t>
      </w:r>
      <w:r>
        <w:rPr>
          <w:rFonts w:hint="eastAsia" w:ascii="宋体" w:hAnsi="宋体" w:cs="宋体"/>
          <w:b/>
          <w:bCs/>
          <w:color w:val="auto"/>
          <w:szCs w:val="21"/>
          <w:highlight w:val="none"/>
        </w:rPr>
        <w:t xml:space="preserve">乙    方</w:t>
      </w:r>
      <w:r>
        <w:rPr>
          <w:rFonts w:hint="eastAsia" w:ascii="宋体" w:hAnsi="宋体" w:cs="宋体"/>
          <w:color w:val="auto"/>
          <w:szCs w:val="21"/>
          <w:highlight w:val="none"/>
        </w:rPr>
        <w:t xml:space="preserve">：</w:t>
      </w:r>
      <w:r/>
    </w:p>
    <w:p>
      <w:pPr>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单位名称（章）：                          单位名称（章）：</w:t>
      </w:r>
      <w:r/>
    </w:p>
    <w:p>
      <w:pPr>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单位地址：                               单位地址：</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       委托代理人：          法定代表人：     委托代理人：                            </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电话：                                   电话：            传真：</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传真：                                   开户银行：        账号：                                                                                 </w:t>
      </w:r>
      <w:r/>
    </w:p>
    <w:p>
      <w:pPr>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见证方</w:t>
      </w:r>
      <w:r>
        <w:rPr>
          <w:rFonts w:hint="eastAsia" w:ascii="宋体" w:hAnsi="宋体" w:cs="宋体"/>
          <w:color w:val="auto"/>
          <w:szCs w:val="21"/>
          <w:highlight w:val="none"/>
        </w:rPr>
        <w:t xml:space="preserve">：</w:t>
      </w:r>
      <w:r/>
    </w:p>
    <w:p>
      <w:pPr>
        <w:spacing w:line="400" w:lineRule="exact"/>
        <w:tabs>
          <w:tab w:val="left" w:pos="3780" w:leader="none"/>
        </w:tabs>
        <w:rPr>
          <w:rFonts w:ascii="宋体" w:hAnsi="宋体" w:cs="宋体"/>
          <w:color w:val="auto"/>
          <w:szCs w:val="21"/>
          <w:highlight w:val="none"/>
        </w:rPr>
      </w:pPr>
      <w:r>
        <w:rPr>
          <w:rFonts w:hint="eastAsia" w:ascii="宋体" w:hAnsi="宋体" w:cs="宋体"/>
          <w:color w:val="auto"/>
          <w:szCs w:val="21"/>
          <w:highlight w:val="none"/>
        </w:rPr>
        <w:t xml:space="preserve">代理机构（章）：</w:t>
      </w:r>
      <w:r>
        <w:rPr>
          <w:rFonts w:hint="eastAsia" w:ascii="宋体" w:hAnsi="宋体" w:cs="宋体"/>
          <w:b/>
          <w:bCs/>
          <w:color w:val="auto"/>
          <w:szCs w:val="21"/>
          <w:highlight w:val="none"/>
          <w:u w:val="single"/>
        </w:rPr>
        <w:t xml:space="preserve">常州市城投建设工程招标有限公司</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经办人：                               电  话：</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clear="all"/>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t xml:space="preserve">第七章   投标文件格式</w:t>
      </w:r>
      <w:bookmarkEnd w:id="824"/>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firstLine="48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br w:type="page" w:clear="all"/>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p>
    <w:p>
      <w:pPr>
        <w:jc w:val="left"/>
        <w:keepLines/>
        <w:keepNext/>
        <w:spacing w:before="120" w:line="300" w:lineRule="auto"/>
        <w:rPr>
          <w:rFonts w:ascii="宋体" w:hAnsi="宋体"/>
          <w:b/>
          <w:color w:val="auto"/>
          <w:sz w:val="30"/>
          <w:szCs w:val="20"/>
          <w:highlight w:val="none"/>
        </w:rPr>
        <w:outlineLvl w:val="1"/>
      </w:pPr>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t xml:space="preserve">1 </w:t>
      </w:r>
      <w:r>
        <w:rPr>
          <w:rFonts w:ascii="宋体" w:hAnsi="宋体"/>
          <w:b/>
          <w:color w:val="auto"/>
          <w:sz w:val="24"/>
          <w:highlight w:val="none"/>
        </w:rPr>
        <w:t xml:space="preserve">满足《中华人民共和国政府采购法》第二十二条规定及法律法规的其他规定</w:t>
      </w:r>
      <w:r/>
    </w:p>
    <w:p>
      <w:pPr>
        <w:pStyle w:val="868"/>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w:t>
      </w:r>
      <w:r>
        <w:rPr>
          <w:rFonts w:hAnsi="宋体"/>
          <w:color w:val="auto"/>
          <w:highlight w:val="none"/>
          <w:u w:val="none"/>
        </w:rPr>
        <w:t xml:space="preserve">投标人资格声明</w:t>
      </w:r>
      <w:r>
        <w:rPr>
          <w:rFonts w:hint="eastAsia" w:hAnsi="宋体"/>
          <w:color w:val="auto"/>
          <w:highlight w:val="none"/>
          <w:u w:val="none"/>
        </w:rPr>
        <w:t xml:space="preserve">函</w:t>
      </w:r>
      <w:r>
        <w:rPr>
          <w:rFonts w:hAnsi="宋体"/>
          <w:color w:val="auto"/>
          <w:highlight w:val="none"/>
          <w:u w:val="none"/>
        </w:rPr>
        <w:t xml:space="preserve">（实质性格式）</w:t>
      </w:r>
      <w:r/>
    </w:p>
    <w:p>
      <w:pPr>
        <w:jc w:val="center"/>
        <w:spacing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877"/>
        <w:ind w:firstLine="480"/>
        <w:spacing w:line="460" w:lineRule="exact"/>
        <w:rPr>
          <w:rFonts w:hAnsi="宋体"/>
          <w:color w:val="auto"/>
          <w:highlight w:val="none"/>
        </w:rPr>
      </w:pPr>
      <w:r>
        <w:rPr>
          <w:rFonts w:hAnsi="宋体"/>
          <w:color w:val="auto"/>
          <w:highlight w:val="none"/>
        </w:rPr>
      </w:r>
      <w:r/>
    </w:p>
    <w:p>
      <w:pPr>
        <w:pStyle w:val="877"/>
        <w:ind w:firstLine="480"/>
        <w:spacing w:line="460" w:lineRule="exact"/>
        <w:rPr>
          <w:rFonts w:hAnsi="宋体"/>
          <w:color w:val="auto"/>
          <w:highlight w:val="none"/>
        </w:rPr>
      </w:pPr>
      <w:r>
        <w:rPr>
          <w:rFonts w:hint="eastAsia" w:hAnsi="宋体"/>
          <w:color w:val="auto"/>
          <w:highlight w:val="none"/>
        </w:rPr>
        <w:t xml:space="preserve">致：常州市城投建设工程招标有限公司</w:t>
      </w:r>
      <w:r/>
    </w:p>
    <w:p>
      <w:pPr>
        <w:pStyle w:val="877"/>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877"/>
        <w:ind w:firstLine="480"/>
        <w:spacing w:line="460" w:lineRule="exact"/>
        <w:rPr>
          <w:rFonts w:hAnsi="宋体"/>
          <w:color w:val="auto"/>
          <w:highlight w:val="none"/>
        </w:rPr>
      </w:pPr>
      <w:r>
        <w:rPr>
          <w:rFonts w:hAnsi="宋体"/>
          <w:color w:val="auto"/>
          <w:highlight w:val="none"/>
        </w:rPr>
      </w:r>
      <w:r/>
    </w:p>
    <w:p>
      <w:pPr>
        <w:pStyle w:val="877"/>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877"/>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877"/>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877"/>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877"/>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877"/>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p>
    <w:p>
      <w:pPr>
        <w:pStyle w:val="877"/>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877"/>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7"/>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877"/>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877"/>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77"/>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77"/>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77"/>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877"/>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877"/>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877"/>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877"/>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877"/>
        <w:ind w:firstLine="480"/>
        <w:spacing w:line="460" w:lineRule="exact"/>
        <w:rPr>
          <w:rFonts w:hAnsi="宋体"/>
          <w:color w:val="auto"/>
          <w:highlight w:val="none"/>
        </w:rPr>
      </w:pPr>
      <w:r>
        <w:rPr>
          <w:rFonts w:hAnsi="宋体"/>
          <w:color w:val="auto"/>
          <w:highlight w:val="none"/>
        </w:rPr>
      </w:r>
      <w:r/>
    </w:p>
    <w:p>
      <w:pPr>
        <w:pStyle w:val="877"/>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877"/>
        <w:ind w:firstLine="480"/>
        <w:spacing w:line="460" w:lineRule="exact"/>
        <w:rPr>
          <w:rFonts w:hAnsi="宋体"/>
          <w:color w:val="auto"/>
          <w:highlight w:val="none"/>
        </w:rPr>
      </w:pPr>
      <w:r>
        <w:rPr>
          <w:rFonts w:hAnsi="宋体"/>
          <w:color w:val="auto"/>
          <w:highlight w:val="none"/>
        </w:rPr>
      </w:r>
      <w:r/>
    </w:p>
    <w:p>
      <w:pPr>
        <w:pStyle w:val="877"/>
        <w:ind w:firstLine="480"/>
        <w:spacing w:line="460" w:lineRule="exact"/>
        <w:rPr>
          <w:rFonts w:hAnsi="宋体"/>
          <w:color w:val="auto"/>
          <w:highlight w:val="none"/>
        </w:rPr>
      </w:pPr>
      <w:r>
        <w:rPr>
          <w:rFonts w:hAnsi="宋体"/>
          <w:color w:val="auto"/>
          <w:highlight w:val="none"/>
        </w:rPr>
      </w:r>
      <w:r/>
    </w:p>
    <w:p>
      <w:pPr>
        <w:pStyle w:val="877"/>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877"/>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877"/>
        <w:ind w:firstLine="4920"/>
        <w:spacing w:line="460" w:lineRule="exact"/>
        <w:rPr>
          <w:rFonts w:hint="eastAsia" w:hAnsi="宋体"/>
          <w:color w:val="auto"/>
          <w:highlight w:val="none"/>
        </w:rPr>
      </w:pPr>
      <w:r>
        <w:rPr>
          <w:rFonts w:hint="eastAsia" w:hAnsi="宋体"/>
          <w:color w:val="auto"/>
          <w:highlight w:val="none"/>
        </w:rPr>
        <w:t xml:space="preserve">日期：    年    月    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供应商承诺不实的，依据《政府采购法》第七十七条“提供虚假材料谋取中标、成交的”有关规定予以处理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 落实政府采购政策需满足的资格要求（如有）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2-1</w:t>
      </w:r>
      <w:r>
        <w:rPr>
          <w:rFonts w:ascii="宋体" w:hAnsi="宋体"/>
          <w:b/>
          <w:color w:val="auto"/>
          <w:sz w:val="24"/>
          <w:highlight w:val="none"/>
        </w:rPr>
        <w:t xml:space="preserve">其它落实政府采购政策的资格要求</w:t>
      </w:r>
      <w:r>
        <w:rPr>
          <w:rFonts w:ascii="宋体" w:hAnsi="宋体"/>
          <w:b/>
          <w:color w:val="auto"/>
          <w:sz w:val="24"/>
          <w:szCs w:val="20"/>
          <w:highlight w:val="none"/>
        </w:rPr>
        <w:t xml:space="preserve">（如有）</w:t>
      </w:r>
      <w:r/>
    </w:p>
    <w:p>
      <w:pPr>
        <w:spacing w:line="360" w:lineRule="auto"/>
        <w:rPr>
          <w:rFonts w:ascii="宋体" w:hAnsi="宋体"/>
          <w:b/>
          <w:color w:val="auto"/>
          <w:sz w:val="24"/>
          <w:highlight w:val="none"/>
        </w:rPr>
        <w:outlineLvl w:val="2"/>
      </w:pPr>
      <w:r>
        <w:rPr>
          <w:rFonts w:ascii="宋体" w:hAnsi="宋体"/>
          <w:b/>
          <w:color w:val="auto"/>
          <w:sz w:val="24"/>
          <w:szCs w:val="20"/>
          <w:highlight w:val="none"/>
        </w:rPr>
        <w:t xml:space="preserve">3 本项目的特定资格要求（如有）</w:t>
      </w:r>
      <w:r/>
    </w:p>
    <w:p>
      <w:pPr>
        <w:spacing w:line="360" w:lineRule="auto"/>
        <w:rPr>
          <w:rFonts w:hint="eastAsia" w:ascii="宋体" w:hAnsi="宋体"/>
          <w:b/>
          <w:color w:val="auto"/>
          <w:sz w:val="24"/>
          <w:szCs w:val="20"/>
          <w:highlight w:val="none"/>
        </w:rPr>
        <w:outlineLvl w:val="2"/>
      </w:pPr>
      <w:r>
        <w:rPr>
          <w:rFonts w:ascii="宋体" w:hAnsi="宋体"/>
          <w:b/>
          <w:color w:val="auto"/>
          <w:sz w:val="24"/>
          <w:szCs w:val="20"/>
          <w:highlight w:val="none"/>
        </w:rPr>
        <w:t xml:space="preserve">3-1其他特定资格要求</w:t>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jc w:val="left"/>
        <w:keepLines/>
        <w:keepNext/>
        <w:spacing w:before="120" w:line="300" w:lineRule="auto"/>
        <w:rPr>
          <w:rFonts w:hint="eastAsia" w:ascii="宋体" w:hAnsi="宋体"/>
          <w:b/>
          <w:color w:val="auto"/>
          <w:sz w:val="32"/>
          <w:szCs w:val="32"/>
          <w:highlight w:val="none"/>
        </w:rPr>
        <w:outlineLvl w:val="1"/>
      </w:pPr>
      <w:r>
        <w:rPr>
          <w:rFonts w:ascii="宋体" w:hAnsi="宋体"/>
          <w:color w:val="auto"/>
          <w:sz w:val="24"/>
          <w:szCs w:val="20"/>
          <w:highlight w:val="none"/>
        </w:rPr>
        <w:br w:type="page" w:clear="all"/>
      </w:r>
      <w:r>
        <w:rPr>
          <w:rFonts w:ascii="宋体" w:hAnsi="宋体"/>
          <w:b/>
          <w:color w:val="auto"/>
          <w:spacing w:val="20"/>
          <w:sz w:val="24"/>
          <w:highlight w:val="none"/>
        </w:rPr>
        <w:t xml:space="preserve">二、商务技术文件格式</w:t>
      </w:r>
      <w:bookmarkStart w:id="825" w:name="_Toc226965746"/>
      <w:r/>
      <w:bookmarkStart w:id="826" w:name="_Toc226337252"/>
      <w:r/>
      <w:bookmarkStart w:id="827" w:name="_Toc226965829"/>
      <w:r/>
      <w:bookmarkStart w:id="828" w:name="_Ref467988698"/>
      <w:r/>
      <w:bookmarkStart w:id="829" w:name="_Toc142311058"/>
      <w:r/>
      <w:bookmarkStart w:id="830" w:name="_Toc226309800"/>
      <w:r/>
      <w:bookmarkStart w:id="831" w:name="_Toc480942349"/>
      <w:r/>
      <w:bookmarkStart w:id="832" w:name="_Toc150774761"/>
      <w:r/>
      <w:bookmarkStart w:id="833" w:name="_Toc150480794"/>
      <w:r/>
      <w:bookmarkStart w:id="834" w:name="_Toc520356217"/>
      <w:r/>
      <w:bookmarkStart w:id="835" w:name="_Toc195842921"/>
      <w:r/>
      <w:bookmarkStart w:id="836" w:name="_Toc127151556"/>
      <w:r/>
      <w:r/>
    </w:p>
    <w:p>
      <w:pPr>
        <w:jc w:val="center"/>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w:t>
      </w:r>
      <w:r>
        <w:rPr>
          <w:rFonts w:ascii="宋体" w:hAnsi="宋体"/>
          <w:b/>
          <w:color w:val="auto"/>
          <w:sz w:val="24"/>
          <w:szCs w:val="20"/>
          <w:highlight w:val="none"/>
        </w:rPr>
        <w:t xml:space="preserve">  </w:t>
      </w:r>
      <w:r>
        <w:rPr>
          <w:rFonts w:ascii="宋体" w:hAnsi="宋体"/>
          <w:b/>
          <w:color w:val="auto"/>
          <w:sz w:val="24"/>
          <w:highlight w:val="none"/>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b/>
          <w:color w:val="auto"/>
          <w:sz w:val="24"/>
          <w:highlight w:val="none"/>
        </w:rPr>
        <w:t xml:space="preserve">函</w:t>
      </w:r>
      <w:r>
        <w:rPr>
          <w:rFonts w:ascii="宋体" w:hAnsi="宋体"/>
          <w:b/>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 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hint="eastAsia" w:ascii="宋体" w:hAnsi="宋体"/>
          <w:b/>
          <w:color w:val="auto"/>
          <w:sz w:val="24"/>
          <w:highlight w:val="none"/>
        </w:rPr>
      </w:pPr>
      <w:r/>
      <w:bookmarkStart w:id="837" w:name="_Hlt520355938"/>
      <w:r/>
      <w:bookmarkEnd w:id="837"/>
      <w:r/>
      <w:bookmarkStart w:id="838" w:name="_Hlt520356243"/>
      <w:r/>
      <w:bookmarkEnd w:id="838"/>
      <w:r>
        <w:rPr>
          <w:rFonts w:ascii="宋体" w:hAnsi="宋体"/>
          <w:color w:val="auto"/>
          <w:sz w:val="24"/>
          <w:highlight w:val="none"/>
        </w:rPr>
        <w:br w:type="page" w:clear="all"/>
      </w:r>
      <w:r/>
    </w:p>
    <w:p>
      <w:pPr>
        <w:spacing w:line="360" w:lineRule="auto"/>
        <w:rPr>
          <w:rFonts w:hint="eastAsia" w:ascii="宋体" w:hAnsi="宋体"/>
          <w:b/>
          <w:color w:val="auto"/>
          <w:sz w:val="24"/>
          <w:highlight w:val="none"/>
        </w:rPr>
        <w:outlineLvl w:val="2"/>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法定代表人资格证明书</w:t>
      </w:r>
      <w:r>
        <w:rPr>
          <w:rFonts w:ascii="宋体" w:hAnsi="宋体"/>
          <w:b/>
          <w:color w:val="auto"/>
          <w:sz w:val="24"/>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883"/>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7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法定代表人资格证明书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
          <w:color w:val="auto"/>
          <w:sz w:val="24"/>
          <w:highlight w:val="none"/>
        </w:rPr>
        <w:outlineLvl w:val="2"/>
      </w:pPr>
      <w:r>
        <w:rPr>
          <w:rFonts w:hint="eastAsia" w:ascii="宋体" w:hAnsi="宋体"/>
          <w:b/>
          <w:color w:val="auto"/>
          <w:sz w:val="24"/>
          <w:highlight w:val="none"/>
        </w:rPr>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授权委托书（实质性格式）</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17"/>
        <w:jc w:val="center"/>
        <w:spacing w:line="480" w:lineRule="auto"/>
        <w:rPr>
          <w:rFonts w:cs="宋体"/>
          <w:color w:val="auto"/>
          <w:sz w:val="24"/>
          <w:highlight w:val="none"/>
        </w:rPr>
      </w:pPr>
      <w:r>
        <w:rPr>
          <w:rFonts w:hint="eastAsia"/>
          <w:b/>
          <w:color w:val="auto"/>
          <w:sz w:val="36"/>
          <w:szCs w:val="36"/>
          <w:highlight w:val="none"/>
        </w:rPr>
        <w:t xml:space="preserve">授权委托书</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本授权书于__________年_______月________日签字或盖章生效，特此声明。</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rFonts w:hint="eastAsia" w:ascii="宋体" w:hAnsi="宋体" w:cs="宋体"/>
          <w:color w:val="auto"/>
          <w:sz w:val="24"/>
          <w:highlight w:val="none"/>
        </w:rPr>
        <w:t xml:space="preserve">                     联系电话：</w:t>
      </w:r>
      <w:r/>
    </w:p>
    <w:p>
      <w:pPr>
        <w:pStyle w:val="1043"/>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883"/>
        <w:ind w:right="-46"/>
        <w:spacing w:line="583" w:lineRule="auto"/>
        <w:rPr>
          <w:b/>
          <w:bCs/>
          <w:color w:val="auto"/>
          <w:spacing w:val="-3"/>
          <w:highlight w:val="none"/>
        </w:rPr>
      </w:pPr>
      <w:r>
        <w:rPr>
          <w:b/>
          <w:bCs/>
          <w:color w:val="auto"/>
          <w:highlight w:val="none"/>
        </w:rPr>
        <w:t xml:space="preserve">附：</w:t>
      </w:r>
      <w:r>
        <w:rPr>
          <w:rFonts w:hint="eastAsia" w:cs="宋体"/>
          <w:b/>
          <w:bCs/>
          <w:color w:val="auto"/>
          <w:highlight w:val="none"/>
        </w:rPr>
        <w:t xml:space="preserve">委托代理人（被授权人）</w:t>
      </w:r>
      <w:r>
        <w:rPr>
          <w:b/>
          <w:bCs/>
          <w:color w:val="auto"/>
          <w:spacing w:val="-3"/>
          <w:highlight w:val="none"/>
        </w:rPr>
        <w:t xml:space="preserve">有效期内的身</w:t>
      </w:r>
      <w:r>
        <w:rPr>
          <w:rFonts w:hint="eastAsia"/>
          <w:b/>
          <w:bCs/>
          <w:color w:val="auto"/>
          <w:spacing w:val="-3"/>
          <w:highlight w:val="none"/>
        </w:rPr>
        <w:t xml:space="preserve">份</w:t>
      </w:r>
      <w:r>
        <w:rPr>
          <w:b/>
          <w:bCs/>
          <w:color w:val="auto"/>
          <w:spacing w:val="-3"/>
          <w:highlight w:val="none"/>
        </w:rPr>
        <w:t xml:space="preserve">证正反面</w:t>
      </w:r>
      <w:r>
        <w:rPr>
          <w:rFonts w:hint="eastAsia"/>
          <w:b/>
          <w:bCs/>
          <w:color w:val="auto"/>
          <w:spacing w:val="-3"/>
          <w:highlight w:val="none"/>
        </w:rPr>
        <w:t xml:space="preserve">。</w:t>
      </w:r>
      <w:r/>
    </w:p>
    <w:tbl>
      <w:tblPr>
        <w:tblStyle w:val="87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c>
          <w:tcPr>
            <w:tcW w:w="4536" w:type="dxa"/>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r>
    </w:tbl>
    <w:p>
      <w:pPr>
        <w:pStyle w:val="883"/>
        <w:ind w:right="-46"/>
        <w:spacing w:line="583" w:lineRule="auto"/>
        <w:rPr>
          <w:rFonts w:hint="eastAsia"/>
          <w:b/>
          <w:bCs/>
          <w:color w:val="auto"/>
          <w:highlight w:val="none"/>
        </w:rPr>
      </w:pPr>
      <w:r>
        <w:rPr>
          <w:rFonts w:hint="eastAsia"/>
          <w:b/>
          <w:bCs/>
          <w:color w:val="auto"/>
          <w:highlight w:val="none"/>
        </w:rPr>
        <w:t xml:space="preserve">投标人近三个月内任意一个月（自开标之日往前推）为其缴纳社保的记录</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1.法定代表人参加投标时，不需要提供本授权委托书，需投标本人身份证。</w:t>
      </w:r>
      <w:r/>
    </w:p>
    <w:p>
      <w:pPr>
        <w:pStyle w:val="1117"/>
        <w:spacing w:line="360" w:lineRule="exact"/>
        <w:rPr>
          <w:rFonts w:cs="宋体"/>
          <w:color w:val="auto"/>
          <w:sz w:val="21"/>
          <w:szCs w:val="21"/>
          <w:highlight w:val="none"/>
        </w:rPr>
      </w:pPr>
      <w:r>
        <w:rPr>
          <w:rFonts w:hint="eastAsia" w:cs="宋体"/>
          <w:color w:val="auto"/>
          <w:sz w:val="21"/>
          <w:szCs w:val="21"/>
          <w:highlight w:val="none"/>
        </w:rPr>
        <w:t xml:space="preserve">2.投标人为自然人的情形，可不提供本《授权委托书》。</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
          <w:color w:val="auto"/>
          <w:sz w:val="24"/>
          <w:highlight w:val="none"/>
        </w:rPr>
        <w:outlineLvl w:val="2"/>
      </w:pPr>
      <w:r>
        <w:rPr>
          <w:rFonts w:ascii="宋体" w:hAnsi="宋体"/>
          <w:b/>
          <w:color w:val="auto"/>
          <w:sz w:val="24"/>
          <w:highlight w:val="none"/>
        </w:rPr>
        <w:br w:type="page" w:clear="all"/>
      </w:r>
      <w:r>
        <w:rPr>
          <w:rFonts w:hint="eastAsia" w:ascii="宋体" w:hAnsi="宋体"/>
          <w:b/>
          <w:color w:val="auto"/>
          <w:sz w:val="24"/>
          <w:highlight w:val="none"/>
        </w:rPr>
        <w:t xml:space="preserve">4  政府采购供应商信用承诺书</w:t>
      </w:r>
      <w:r>
        <w:rPr>
          <w:rFonts w:ascii="宋体" w:hAnsi="宋体"/>
          <w:b/>
          <w:color w:val="auto"/>
          <w:sz w:val="24"/>
          <w:highlight w:val="none"/>
        </w:rPr>
        <w:t xml:space="preserve">（实质性格式）</w:t>
      </w:r>
      <w:r/>
    </w:p>
    <w:p>
      <w:pPr>
        <w:ind w:firstLine="321"/>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321"/>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政府采购供应商信用承诺书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12"/>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39" w:name="_Hlt520274407"/>
      <w:r/>
      <w:bookmarkEnd w:id="839"/>
      <w:r/>
      <w:bookmarkStart w:id="840" w:name="_Hlt520355504"/>
      <w:r/>
      <w:bookmarkEnd w:id="840"/>
      <w:r/>
      <w:bookmarkStart w:id="841" w:name="_Hlt520271212"/>
      <w:r/>
      <w:bookmarkEnd w:id="841"/>
      <w:r/>
      <w:bookmarkStart w:id="842" w:name="_Hlt520274121"/>
      <w:r/>
      <w:bookmarkEnd w:id="842"/>
      <w:r/>
      <w:bookmarkStart w:id="843" w:name="_Hlt520273711"/>
      <w:r/>
      <w:bookmarkEnd w:id="843"/>
      <w:r/>
      <w:bookmarkStart w:id="844" w:name="_Hlt520274393"/>
      <w:r/>
      <w:bookmarkEnd w:id="844"/>
      <w:r/>
      <w:bookmarkStart w:id="845" w:name="_Hlt520343392"/>
      <w:r/>
      <w:bookmarkEnd w:id="845"/>
      <w:r/>
      <w:bookmarkStart w:id="846" w:name="_Hlt520343000"/>
      <w:r/>
      <w:bookmarkEnd w:id="846"/>
      <w:r/>
      <w:bookmarkStart w:id="847" w:name="_Hlt520350918"/>
      <w:r/>
      <w:bookmarkEnd w:id="847"/>
      <w:r/>
      <w:bookmarkStart w:id="848" w:name="_Hlt520274065"/>
      <w:r/>
      <w:bookmarkEnd w:id="848"/>
      <w:r/>
      <w:bookmarkStart w:id="849" w:name="_Toc195842922"/>
      <w:r/>
      <w:bookmarkStart w:id="850" w:name="_Toc520356218"/>
      <w:r/>
      <w:bookmarkStart w:id="851" w:name="_Toc150480795"/>
      <w:r/>
      <w:bookmarkStart w:id="852" w:name="_Toc226965830"/>
      <w:r/>
      <w:bookmarkStart w:id="853" w:name="_Toc226337253"/>
      <w:r/>
      <w:bookmarkStart w:id="854" w:name="_Toc127151557"/>
      <w:r/>
      <w:bookmarkStart w:id="855" w:name="_Toc265228395"/>
      <w:r/>
      <w:bookmarkStart w:id="856" w:name="_Ref467988705"/>
      <w:r/>
      <w:bookmarkStart w:id="857" w:name="_Toc142311059"/>
      <w:r/>
      <w:bookmarkStart w:id="858" w:name="_Toc305158899"/>
      <w:r/>
      <w:bookmarkStart w:id="859" w:name="_Toc305158825"/>
      <w:r/>
      <w:bookmarkStart w:id="860" w:name="_Toc480942350"/>
      <w:r/>
      <w:bookmarkStart w:id="861" w:name="_Toc226965747"/>
      <w:r/>
      <w:bookmarkStart w:id="862" w:name="_Toc226309801"/>
      <w:r/>
      <w:bookmarkStart w:id="863" w:name="_Toc150774762"/>
      <w:r/>
      <w:bookmarkStart w:id="864" w:name="_Toc264969247"/>
      <w:r>
        <w:rPr>
          <w:rFonts w:ascii="宋体" w:hAnsi="宋体"/>
          <w:color w:val="auto"/>
          <w:sz w:val="24"/>
          <w:szCs w:val="20"/>
          <w:highlight w:val="none"/>
        </w:rPr>
        <w:br w:type="page" w:clear="all"/>
      </w:r>
      <w:r>
        <w:rPr>
          <w:rFonts w:hint="eastAsia" w:ascii="宋体" w:hAnsi="宋体"/>
          <w:b/>
          <w:color w:val="auto"/>
          <w:sz w:val="24"/>
          <w:highlight w:val="none"/>
        </w:rPr>
        <w:t xml:space="preserve">5</w:t>
      </w:r>
      <w:r>
        <w:rPr>
          <w:rFonts w:ascii="宋体" w:hAnsi="宋体"/>
          <w:b/>
          <w:color w:val="auto"/>
          <w:sz w:val="24"/>
          <w:highlight w:val="none"/>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Pr>
          <w:rFonts w:ascii="宋体" w:hAnsi="宋体"/>
          <w:b/>
          <w:color w:val="auto"/>
          <w:sz w:val="24"/>
          <w:highlight w:val="none"/>
        </w:rPr>
        <w:t xml:space="preserve">（实质性格式）</w:t>
      </w:r>
      <w:r/>
    </w:p>
    <w:p>
      <w:pPr>
        <w:jc w:val="center"/>
        <w:spacing w:line="360" w:lineRule="exact"/>
        <w:rPr>
          <w:rFonts w:ascii="宋体" w:hAnsi="宋体"/>
          <w:b/>
          <w:color w:val="auto"/>
          <w:sz w:val="36"/>
          <w:szCs w:val="36"/>
          <w:highlight w:val="none"/>
        </w:rPr>
      </w:pPr>
      <w:r/>
      <w:bookmarkStart w:id="865" w:name="_Toc305158826"/>
      <w:r/>
      <w:bookmarkStart w:id="866" w:name="_Toc164608672"/>
      <w:r/>
      <w:bookmarkStart w:id="867" w:name="_Toc305158900"/>
      <w:r/>
      <w:bookmarkStart w:id="868" w:name="_Toc226965748"/>
      <w:r/>
      <w:bookmarkStart w:id="869" w:name="_Toc226337254"/>
      <w:r/>
      <w:bookmarkStart w:id="870" w:name="_Toc164608827"/>
      <w:r/>
      <w:bookmarkStart w:id="871" w:name="_Toc226965831"/>
      <w:r/>
      <w:bookmarkStart w:id="872" w:name="_Toc226309802"/>
      <w:r/>
      <w:bookmarkStart w:id="873" w:name="_Toc265228396"/>
      <w:r/>
      <w:bookmarkStart w:id="874" w:name="_Toc195842923"/>
      <w:r/>
      <w:bookmarkStart w:id="875" w:name="_Toc264969248"/>
      <w:r>
        <w:rPr>
          <w:rFonts w:hint="eastAsia" w:ascii="宋体" w:hAnsi="宋体"/>
          <w:b/>
          <w:color w:val="auto"/>
          <w:sz w:val="36"/>
          <w:szCs w:val="36"/>
          <w:highlight w:val="none"/>
        </w:rPr>
        <w:t xml:space="preserve">开标一览表</w:t>
      </w:r>
      <w:bookmarkEnd w:id="865"/>
      <w:r/>
      <w:bookmarkEnd w:id="866"/>
      <w:r/>
      <w:bookmarkEnd w:id="867"/>
      <w:r/>
      <w:bookmarkEnd w:id="868"/>
      <w:r/>
      <w:bookmarkEnd w:id="869"/>
      <w:r/>
      <w:bookmarkEnd w:id="870"/>
      <w:r/>
      <w:bookmarkEnd w:id="871"/>
      <w:r/>
      <w:bookmarkEnd w:id="872"/>
      <w:r/>
      <w:bookmarkEnd w:id="873"/>
      <w:r/>
      <w:bookmarkEnd w:id="874"/>
      <w:r/>
      <w:bookmarkEnd w:id="875"/>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ind w:firstLine="24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876"/>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412" w:type="pct"/>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序号</w:t>
            </w:r>
            <w:r/>
          </w:p>
        </w:tc>
        <w:tc>
          <w:tcPr>
            <w:tcW w:w="2215" w:type="pct"/>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投标人名称</w:t>
            </w:r>
            <w:r/>
          </w:p>
        </w:tc>
        <w:tc>
          <w:tcPr>
            <w:gridSpan w:val="2"/>
            <w:tcW w:w="2373" w:type="pct"/>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投标报价</w:t>
            </w:r>
            <w:r/>
          </w:p>
        </w:tc>
      </w:tr>
      <w:tr>
        <w:trPr>
          <w:jc w:val="center"/>
          <w:trHeight w:val="674"/>
        </w:trPr>
        <w:tc>
          <w:tcPr>
            <w:tcW w:w="412" w:type="pct"/>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2215" w:type="pct"/>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8" w:type="pct"/>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大写</w:t>
            </w:r>
            <w:r/>
          </w:p>
        </w:tc>
        <w:tc>
          <w:tcPr>
            <w:tcW w:w="1182" w:type="pct"/>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2215"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8"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2"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r>
    </w:tbl>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.此表中，每包的投标报价应和《投标分项报价表》中的总价相一致。</w:t>
      </w:r>
      <w:r/>
    </w:p>
    <w:p>
      <w:pPr>
        <w:ind w:firstLine="480"/>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2.本表必须按包分别填写。</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76" w:name="_Toc305158901"/>
      <w:r/>
      <w:bookmarkStart w:id="877" w:name="_Toc226309803"/>
      <w:r/>
      <w:bookmarkStart w:id="878" w:name="_Toc264969249"/>
      <w:r/>
      <w:bookmarkStart w:id="879" w:name="_Toc226965832"/>
      <w:r/>
      <w:bookmarkStart w:id="880" w:name="_Toc127151558"/>
      <w:r/>
      <w:bookmarkStart w:id="881" w:name="_Toc226337255"/>
      <w:r/>
      <w:bookmarkStart w:id="882" w:name="_Toc265228397"/>
      <w:r/>
      <w:bookmarkStart w:id="883" w:name="_Toc226965749"/>
      <w:r/>
      <w:bookmarkStart w:id="884" w:name="_Toc150480796"/>
      <w:r/>
      <w:bookmarkStart w:id="885" w:name="_Toc305158827"/>
      <w:r/>
      <w:bookmarkStart w:id="886" w:name="_Toc150774763"/>
      <w:r/>
      <w:bookmarkStart w:id="887" w:name="_Toc142311060"/>
      <w:r/>
      <w:bookmarkStart w:id="888" w:name="_Toc195842924"/>
      <w:r>
        <w:rPr>
          <w:rFonts w:ascii="宋体" w:hAnsi="宋体"/>
          <w:color w:val="auto"/>
          <w:sz w:val="24"/>
          <w:szCs w:val="20"/>
          <w:highlight w:val="none"/>
        </w:rPr>
        <w:br w:type="page" w:clear="all"/>
      </w:r>
      <w:r>
        <w:rPr>
          <w:rFonts w:hint="eastAsia" w:ascii="宋体" w:hAnsi="宋体"/>
          <w:b/>
          <w:color w:val="auto"/>
          <w:sz w:val="24"/>
          <w:highlight w:val="none"/>
        </w:rPr>
        <w:t xml:space="preserve">6</w:t>
      </w:r>
      <w:r>
        <w:rPr>
          <w:rFonts w:ascii="宋体" w:hAnsi="宋体"/>
          <w:b/>
          <w:color w:val="auto"/>
          <w:sz w:val="24"/>
          <w:highlight w:val="none"/>
        </w:rPr>
        <w:t xml:space="preserve">  投标分项报价表</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ascii="宋体" w:hAnsi="宋体"/>
          <w:b/>
          <w:color w:val="auto"/>
          <w:sz w:val="24"/>
          <w:highlight w:val="none"/>
        </w:rPr>
        <w:t xml:space="preserve">（实质性格式）</w:t>
      </w:r>
      <w:r/>
    </w:p>
    <w:p>
      <w:pPr>
        <w:jc w:val="center"/>
        <w:spacing w:line="360" w:lineRule="exact"/>
        <w:rPr>
          <w:rFonts w:ascii="宋体" w:hAnsi="宋体"/>
          <w:color w:val="auto"/>
          <w:sz w:val="36"/>
          <w:szCs w:val="36"/>
          <w:highlight w:val="none"/>
        </w:rPr>
      </w:pPr>
      <w:r>
        <w:rPr>
          <w:rFonts w:ascii="宋体" w:hAnsi="宋体"/>
          <w:color w:val="auto"/>
          <w:sz w:val="36"/>
          <w:szCs w:val="36"/>
          <w:highlight w:val="none"/>
        </w:rPr>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投标分项报价表</w:t>
      </w:r>
      <w:r/>
    </w:p>
    <w:p>
      <w:pPr>
        <w:jc w:val="center"/>
        <w:spacing w:line="260" w:lineRule="exact"/>
        <w:rPr>
          <w:rFonts w:ascii="宋体" w:hAnsi="宋体"/>
          <w:color w:val="auto"/>
          <w:sz w:val="36"/>
          <w:szCs w:val="36"/>
          <w:highlight w:val="none"/>
        </w:rPr>
      </w:pPr>
      <w:r>
        <w:rPr>
          <w:rFonts w:ascii="宋体" w:hAnsi="宋体"/>
          <w:color w:val="auto"/>
          <w:sz w:val="36"/>
          <w:szCs w:val="36"/>
          <w:highlight w:val="none"/>
        </w:rPr>
      </w:r>
      <w:r/>
    </w:p>
    <w:p>
      <w:pPr>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 项目名称：__________报价单位：人民币元</w:t>
      </w:r>
      <w:r/>
    </w:p>
    <w:tbl>
      <w:tblPr>
        <w:tblStyle w:val="876"/>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81"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w:t>
            </w:r>
            <w:r/>
          </w:p>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品牌商标</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9"/>
            <w:tcBorders>
              <w:top w:val="single" w:color="auto" w:sz="4" w:space="0"/>
              <w:left w:val="single" w:color="auto" w:sz="4" w:space="0"/>
              <w:bottom w:val="single" w:color="auto" w:sz="4" w:space="0"/>
              <w:right w:val="single" w:color="auto" w:sz="4" w:space="0"/>
            </w:tcBorders>
            <w:tcW w:w="8688" w:type="dxa"/>
            <w:vAlign w:val="center"/>
            <w:textDirection w:val="lrTb"/>
            <w:noWrap w:val="false"/>
          </w:tcPr>
          <w:p>
            <w:pPr>
              <w:jc w:val="left"/>
              <w:spacing w:line="360" w:lineRule="auto"/>
              <w:widowControl/>
              <w:rPr>
                <w:rFonts w:ascii="宋体" w:hAnsi="宋体" w:cs="Arial"/>
                <w:color w:val="auto"/>
                <w:sz w:val="24"/>
                <w:highlight w:val="none"/>
              </w:rPr>
            </w:pPr>
            <w:r>
              <w:rPr>
                <w:rFonts w:hint="eastAsia" w:ascii="宋体" w:hAnsi="宋体" w:cs="Arial"/>
                <w:b/>
                <w:bCs/>
                <w:color w:val="auto"/>
                <w:sz w:val="24"/>
                <w:highlight w:val="none"/>
              </w:rPr>
              <w:t xml:space="preserve">本采购包中提供的符合本国产品标准的产品成本之和占该采购包提供的全部产品成本之和的比例为</w:t>
            </w:r>
            <w:r>
              <w:rPr>
                <w:rFonts w:hint="eastAsia" w:ascii="宋体" w:hAnsi="宋体" w:cs="Arial"/>
                <w:b/>
                <w:bCs/>
                <w:color w:val="auto"/>
                <w:sz w:val="24"/>
                <w:highlight w:val="none"/>
                <w:u w:val="single"/>
              </w:rPr>
              <w:t xml:space="preserve">     </w:t>
            </w:r>
            <w:r>
              <w:rPr>
                <w:rFonts w:hint="eastAsia" w:ascii="宋体" w:hAnsi="宋体" w:cs="Arial"/>
                <w:b/>
                <w:bCs/>
                <w:color w:val="auto"/>
                <w:sz w:val="24"/>
                <w:highlight w:val="none"/>
              </w:rPr>
              <w:t xml:space="preserve">%。</w:t>
            </w:r>
            <w:r/>
          </w:p>
        </w:tc>
      </w:tr>
    </w:tbl>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注：1.本表应按包分别填写。</w:t>
      </w:r>
      <w:r/>
    </w:p>
    <w:p>
      <w:pPr>
        <w:ind w:firstLine="480"/>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本表行数可以按照项目分项情况增加。</w:t>
      </w:r>
      <w:r/>
    </w:p>
    <w:p>
      <w:pPr>
        <w:ind w:firstLine="480"/>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上述各项的详细规格</w:t>
      </w:r>
      <w:r>
        <w:rPr>
          <w:rFonts w:hint="eastAsia" w:ascii="宋体" w:hAnsi="宋体"/>
          <w:color w:val="auto"/>
          <w:sz w:val="24"/>
          <w:highlight w:val="none"/>
        </w:rPr>
        <w:t xml:space="preserve">、技术参数如表格中填写不下的</w:t>
      </w:r>
      <w:r>
        <w:rPr>
          <w:rFonts w:ascii="宋体" w:hAnsi="宋体"/>
          <w:color w:val="auto"/>
          <w:sz w:val="24"/>
          <w:highlight w:val="none"/>
        </w:rPr>
        <w:t xml:space="preserve">，可</w:t>
      </w:r>
      <w:r>
        <w:rPr>
          <w:rFonts w:hint="eastAsia" w:ascii="宋体" w:hAnsi="宋体"/>
          <w:color w:val="auto"/>
          <w:sz w:val="24"/>
          <w:highlight w:val="none"/>
        </w:rPr>
        <w:t xml:space="preserve">以逐项</w:t>
      </w:r>
      <w:r>
        <w:rPr>
          <w:rFonts w:ascii="宋体" w:hAnsi="宋体"/>
          <w:color w:val="auto"/>
          <w:sz w:val="24"/>
          <w:highlight w:val="none"/>
        </w:rPr>
        <w:t xml:space="preserve">另页描述。</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rPr>
          <w:rFonts w:hint="eastAsia" w:ascii="宋体" w:hAnsi="宋体"/>
          <w:color w:val="auto"/>
          <w:sz w:val="24"/>
          <w:highlight w:val="none"/>
          <w:lang w:val="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auto"/>
          <w:sz w:val="24"/>
          <w:highlight w:val="none"/>
          <w:lang w:val="zh-CN"/>
        </w:rPr>
        <w:t xml:space="preserve">              </w:t>
      </w:r>
      <w:r/>
    </w:p>
    <w:p>
      <w:pPr>
        <w:spacing w:before="25" w:after="25" w:line="360" w:lineRule="auto"/>
        <w:rPr>
          <w:rFonts w:hint="eastAsia" w:ascii="宋体" w:hAnsi="宋体"/>
          <w:color w:val="auto"/>
          <w:sz w:val="24"/>
          <w:highlight w:val="none"/>
        </w:rPr>
      </w:pPr>
      <w:r>
        <w:rPr>
          <w:rFonts w:hint="eastAsia" w:ascii="宋体" w:hAnsi="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jc w:val="left"/>
        <w:rPr>
          <w:rFonts w:hint="eastAsia" w:ascii="宋体" w:hAnsi="宋体"/>
          <w:b/>
          <w:i/>
          <w:color w:val="auto"/>
          <w:sz w:val="24"/>
          <w:highlight w:val="none"/>
        </w:rPr>
      </w:pPr>
      <w:r>
        <w:rPr>
          <w:rFonts w:hint="eastAsia" w:ascii="宋体" w:hAnsi="宋体"/>
          <w:b/>
          <w:i/>
          <w:color w:val="auto"/>
          <w:sz w:val="24"/>
          <w:highlight w:val="none"/>
        </w:rPr>
      </w:r>
      <w:r/>
    </w:p>
    <w:p>
      <w:pPr>
        <w:spacing w:line="360" w:lineRule="auto"/>
        <w:rPr>
          <w:rFonts w:hint="eastAsia" w:ascii="宋体" w:hAnsi="宋体"/>
          <w:b/>
          <w:color w:val="auto"/>
          <w:sz w:val="24"/>
          <w:highlight w:val="none"/>
        </w:rPr>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outlineLvl w:val="2"/>
      </w:pPr>
      <w:r>
        <w:rPr>
          <w:rFonts w:hint="eastAsia" w:ascii="宋体" w:hAnsi="宋体"/>
          <w:b/>
          <w:color w:val="auto"/>
          <w:sz w:val="24"/>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lang w:val="en-US" w:eastAsia="zh-CN"/>
        </w:rPr>
        <w:t xml:space="preserve">7</w:t>
      </w:r>
      <w:r>
        <w:rPr>
          <w:rFonts w:ascii="宋体" w:hAnsi="宋体"/>
          <w:b/>
          <w:color w:val="auto"/>
          <w:sz w:val="24"/>
          <w:highlight w:val="none"/>
        </w:rPr>
        <w:t xml:space="preserve">  </w:t>
      </w:r>
      <w:r>
        <w:rPr>
          <w:rFonts w:hint="eastAsia" w:ascii="宋体" w:hAnsi="宋体"/>
          <w:b/>
          <w:color w:val="auto"/>
          <w:sz w:val="24"/>
          <w:highlight w:val="none"/>
        </w:rPr>
        <w:t xml:space="preserve">配套试剂报价</w:t>
      </w:r>
      <w:r>
        <w:rPr>
          <w:rFonts w:ascii="宋体" w:hAnsi="宋体"/>
          <w:b/>
          <w:color w:val="auto"/>
          <w:sz w:val="24"/>
          <w:highlight w:val="none"/>
        </w:rPr>
        <w:t xml:space="preserve">表（实质性格式）</w:t>
      </w:r>
      <w:r/>
    </w:p>
    <w:p>
      <w:pPr>
        <w:jc w:val="center"/>
        <w:spacing w:line="360" w:lineRule="exact"/>
        <w:rPr>
          <w:rFonts w:ascii="宋体" w:hAnsi="宋体"/>
          <w:color w:val="auto"/>
          <w:sz w:val="36"/>
          <w:szCs w:val="36"/>
          <w:highlight w:val="none"/>
        </w:rPr>
      </w:pPr>
      <w:r>
        <w:rPr>
          <w:rFonts w:ascii="宋体" w:hAnsi="宋体"/>
          <w:color w:val="auto"/>
          <w:sz w:val="36"/>
          <w:szCs w:val="36"/>
          <w:highlight w:val="none"/>
        </w:rPr>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配套试剂报价表</w:t>
      </w:r>
      <w:r/>
    </w:p>
    <w:p>
      <w:pPr>
        <w:jc w:val="center"/>
        <w:spacing w:line="260" w:lineRule="exact"/>
        <w:rPr>
          <w:rFonts w:ascii="宋体" w:hAnsi="宋体"/>
          <w:color w:val="auto"/>
          <w:sz w:val="36"/>
          <w:szCs w:val="36"/>
          <w:highlight w:val="none"/>
        </w:rPr>
      </w:pPr>
      <w:r>
        <w:rPr>
          <w:rFonts w:ascii="宋体" w:hAnsi="宋体"/>
          <w:color w:val="auto"/>
          <w:sz w:val="36"/>
          <w:szCs w:val="36"/>
          <w:highlight w:val="none"/>
        </w:rPr>
      </w:r>
      <w:r/>
    </w:p>
    <w:p>
      <w:pPr>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项目编号/包号：___________ 项目名称：__________报价单位：</w:t>
      </w:r>
      <w:r>
        <w:rPr>
          <w:rFonts w:hint="eastAsia" w:ascii="宋体" w:hAnsi="宋体"/>
          <w:color w:val="auto"/>
          <w:sz w:val="24"/>
          <w:highlight w:val="none"/>
        </w:rPr>
        <w:t xml:space="preserve">%</w:t>
      </w:r>
      <w:r/>
    </w:p>
    <w:tbl>
      <w:tblPr>
        <w:tblStyle w:val="9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850"/>
        <w:gridCol w:w="2248"/>
        <w:gridCol w:w="3590"/>
      </w:tblGrid>
      <w:tr>
        <w:trPr/>
        <w:tc>
          <w:tcPr>
            <w:tcW w:w="1833" w:type="dxa"/>
            <w:vAlign w:val="center"/>
            <w:textDirection w:val="lrTb"/>
            <w:noWrap w:val="false"/>
          </w:tcPr>
          <w:p>
            <w:pPr>
              <w:pStyle w:val="1056"/>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测序项目</w:t>
            </w:r>
            <w:r/>
          </w:p>
        </w:tc>
        <w:tc>
          <w:tcPr>
            <w:tcW w:w="850" w:type="dxa"/>
            <w:vAlign w:val="center"/>
            <w:textDirection w:val="lrTb"/>
            <w:noWrap w:val="false"/>
          </w:tcPr>
          <w:p>
            <w:pPr>
              <w:pStyle w:val="1056"/>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tcW w:w="2248" w:type="dxa"/>
            <w:vAlign w:val="center"/>
            <w:textDirection w:val="lrTb"/>
            <w:noWrap w:val="false"/>
          </w:tcPr>
          <w:p>
            <w:pPr>
              <w:pStyle w:val="1056"/>
              <w:jc w:val="center"/>
              <w:spacing w:line="360" w:lineRule="atLeast"/>
              <w:rPr>
                <w:rFonts w:ascii="宋体" w:hAnsi="宋体" w:cs="宋体"/>
                <w:color w:val="auto"/>
                <w:szCs w:val="21"/>
                <w:highlight w:val="none"/>
              </w:rPr>
            </w:pPr>
            <w:r>
              <w:rPr>
                <w:rFonts w:hint="eastAsia" w:ascii="宋体" w:hAnsi="宋体" w:cs="宋体"/>
                <w:color w:val="auto"/>
                <w:szCs w:val="21"/>
                <w:highlight w:val="none"/>
              </w:rPr>
              <w:t xml:space="preserve">全部试剂及耗材</w:t>
            </w:r>
            <w:r>
              <w:rPr>
                <w:rFonts w:hint="eastAsia" w:ascii="宋体" w:hAnsi="宋体" w:cs="宋体"/>
                <w:color w:val="auto"/>
                <w:szCs w:val="21"/>
                <w:highlight w:val="none"/>
              </w:rPr>
              <w:t xml:space="preserve">折扣</w:t>
            </w:r>
            <w:r/>
          </w:p>
        </w:tc>
        <w:tc>
          <w:tcPr>
            <w:tcW w:w="3590" w:type="dxa"/>
            <w:vAlign w:val="center"/>
            <w:textDirection w:val="lrTb"/>
            <w:noWrap w:val="false"/>
          </w:tcPr>
          <w:p>
            <w:pPr>
              <w:pStyle w:val="1056"/>
              <w:jc w:val="center"/>
              <w:spacing w:line="360" w:lineRule="atLeast"/>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1070"/>
        </w:trPr>
        <w:tc>
          <w:tcPr>
            <w:tcW w:w="1833" w:type="dxa"/>
            <w:vAlign w:val="center"/>
            <w:textDirection w:val="lrTb"/>
            <w:noWrap w:val="false"/>
          </w:tcPr>
          <w:p>
            <w:pPr>
              <w:pStyle w:val="1056"/>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感染病原微生物靶向基因检测</w:t>
            </w:r>
            <w:r/>
          </w:p>
        </w:tc>
        <w:tc>
          <w:tcPr>
            <w:tcW w:w="850" w:type="dxa"/>
            <w:vAlign w:val="center"/>
            <w:textDirection w:val="lrTb"/>
            <w:noWrap w:val="false"/>
          </w:tcPr>
          <w:p>
            <w:pPr>
              <w:pStyle w:val="1056"/>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每人份</w:t>
            </w:r>
            <w:r/>
          </w:p>
        </w:tc>
        <w:tc>
          <w:tcPr>
            <w:tcW w:w="2248" w:type="dxa"/>
            <w:vAlign w:val="center"/>
            <w:vMerge w:val="restart"/>
            <w:textDirection w:val="lrTb"/>
            <w:noWrap w:val="false"/>
          </w:tcPr>
          <w:p>
            <w:pPr>
              <w:pStyle w:val="1056"/>
              <w:jc w:val="center"/>
              <w:spacing w:line="360" w:lineRule="atLeast"/>
              <w:rPr>
                <w:rFonts w:ascii="宋体" w:hAnsi="宋体" w:cs="宋体"/>
                <w:color w:val="auto"/>
                <w:szCs w:val="21"/>
                <w:highlight w:val="none"/>
              </w:rPr>
            </w:pPr>
            <w:r>
              <w:rPr>
                <w:rFonts w:ascii="宋体" w:hAnsi="宋体" w:cs="宋体"/>
                <w:color w:val="auto"/>
                <w:szCs w:val="21"/>
                <w:highlight w:val="none"/>
              </w:rPr>
            </w:r>
            <w:r/>
          </w:p>
        </w:tc>
        <w:tc>
          <w:tcPr>
            <w:tcW w:w="3590" w:type="dxa"/>
            <w:vAlign w:val="center"/>
            <w:vMerge w:val="restart"/>
            <w:textDirection w:val="lrTb"/>
            <w:noWrap w:val="false"/>
          </w:tcPr>
          <w:p>
            <w:pPr>
              <w:pStyle w:val="1056"/>
              <w:jc w:val="left"/>
              <w:spacing w:line="360" w:lineRule="atLeast"/>
              <w:rPr>
                <w:rFonts w:ascii="宋体" w:hAnsi="宋体" w:cs="宋体"/>
                <w:color w:val="auto"/>
                <w:szCs w:val="21"/>
                <w:highlight w:val="none"/>
              </w:rPr>
            </w:pPr>
            <w:r>
              <w:rPr>
                <w:rFonts w:hint="eastAsia" w:ascii="宋体" w:hAnsi="宋体" w:cs="宋体"/>
                <w:color w:val="auto"/>
                <w:szCs w:val="21"/>
                <w:highlight w:val="none"/>
              </w:rPr>
              <w:t xml:space="preserve">全部试剂及耗材结算价=测序项目单项收费价*</w:t>
            </w:r>
            <w:r>
              <w:rPr>
                <w:rFonts w:hint="eastAsia" w:ascii="宋体" w:hAnsi="宋体" w:cs="宋体"/>
                <w:color w:val="auto"/>
                <w:szCs w:val="21"/>
                <w:highlight w:val="none"/>
              </w:rPr>
              <w:t xml:space="preserve">折扣</w:t>
            </w:r>
            <w:r/>
          </w:p>
        </w:tc>
      </w:tr>
      <w:tr>
        <w:trPr/>
        <w:tc>
          <w:tcPr>
            <w:tcW w:w="1833" w:type="dxa"/>
            <w:vAlign w:val="center"/>
            <w:textDirection w:val="lrTb"/>
            <w:noWrap w:val="false"/>
          </w:tcPr>
          <w:p>
            <w:pPr>
              <w:pStyle w:val="1056"/>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分枝杆菌与耐药基因检测试剂</w:t>
            </w:r>
            <w:r/>
          </w:p>
        </w:tc>
        <w:tc>
          <w:tcPr>
            <w:tcW w:w="850" w:type="dxa"/>
            <w:vAlign w:val="center"/>
            <w:textDirection w:val="lrTb"/>
            <w:noWrap w:val="false"/>
          </w:tcPr>
          <w:p>
            <w:pPr>
              <w:pStyle w:val="1056"/>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每人份</w:t>
            </w:r>
            <w:r/>
          </w:p>
        </w:tc>
        <w:tc>
          <w:tcPr>
            <w:tcW w:w="2248" w:type="dxa"/>
            <w:vAlign w:val="center"/>
            <w:vMerge w:val="continue"/>
            <w:textDirection w:val="lrTb"/>
            <w:noWrap w:val="false"/>
          </w:tcPr>
          <w:p>
            <w:pPr>
              <w:pStyle w:val="1056"/>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c>
          <w:tcPr>
            <w:tcW w:w="3590" w:type="dxa"/>
            <w:vAlign w:val="center"/>
            <w:vMerge w:val="continue"/>
            <w:textDirection w:val="lrTb"/>
            <w:noWrap w:val="false"/>
          </w:tcPr>
          <w:p>
            <w:pPr>
              <w:pStyle w:val="1056"/>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注：1.本表应按包分别填写。</w:t>
      </w:r>
      <w:r/>
    </w:p>
    <w:p>
      <w:pPr>
        <w:ind w:firstLine="480"/>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全部试剂及耗材折扣不高于</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%，即折扣报价范围为0</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w:t>
      </w:r>
      <w:r/>
    </w:p>
    <w:p>
      <w:pPr>
        <w:ind w:firstLine="480"/>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4.上述测序项目实行统一折扣政策，不接受差异化折扣报价。</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hint="eastAsia" w:ascii="宋体" w:hAnsi="宋体"/>
          <w:color w:val="auto"/>
          <w:sz w:val="24"/>
          <w:highlight w:val="none"/>
        </w:rPr>
      </w:pPr>
      <w:r>
        <w:rPr>
          <w:rFonts w:hint="eastAsia" w:ascii="宋体" w:hAnsi="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jc w:val="left"/>
        <w:rPr>
          <w:rFonts w:hint="eastAsia" w:ascii="宋体" w:hAnsi="宋体"/>
          <w:b/>
          <w:i/>
          <w:color w:val="auto"/>
          <w:sz w:val="24"/>
          <w:highlight w:val="none"/>
        </w:rPr>
      </w:pPr>
      <w:r>
        <w:rPr>
          <w:rFonts w:ascii="宋体" w:hAnsi="宋体"/>
          <w:color w:val="auto"/>
          <w:sz w:val="24"/>
          <w:szCs w:val="20"/>
          <w:highlight w:val="none"/>
        </w:rPr>
        <w:t xml:space="preserve">日期：_____年______月______日  </w:t>
      </w:r>
      <w:r/>
    </w:p>
    <w:p>
      <w:pPr>
        <w:jc w:val="left"/>
        <w:rPr>
          <w:rFonts w:hint="eastAsia" w:ascii="宋体" w:hAnsi="宋体"/>
          <w:b/>
          <w:i/>
          <w:color w:val="auto"/>
          <w:sz w:val="24"/>
          <w:highlight w:val="none"/>
        </w:rPr>
      </w:pPr>
      <w:r>
        <w:rPr>
          <w:rFonts w:hint="eastAsia" w:ascii="宋体" w:hAnsi="宋体"/>
          <w:b/>
          <w:i/>
          <w:color w:val="auto"/>
          <w:sz w:val="24"/>
          <w:highlight w:val="none"/>
        </w:rPr>
      </w:r>
      <w:r/>
    </w:p>
    <w:p>
      <w:pPr>
        <w:spacing w:line="360" w:lineRule="auto"/>
        <w:rPr>
          <w:rFonts w:ascii="宋体" w:hAnsi="宋体"/>
          <w:b/>
          <w:color w:val="auto"/>
          <w:sz w:val="24"/>
          <w:szCs w:val="20"/>
          <w:highlight w:val="none"/>
        </w:rPr>
        <w:outlineLvl w:val="2"/>
      </w:pPr>
      <w:r>
        <w:rPr>
          <w:rFonts w:ascii="宋体" w:hAnsi="宋体"/>
          <w:b/>
          <w:i/>
          <w:color w:val="auto"/>
          <w:sz w:val="24"/>
          <w:highlight w:val="none"/>
        </w:rPr>
        <w:br w:type="page" w:clear="all"/>
      </w:r>
      <w:bookmarkStart w:id="889" w:name="_Toc150480798"/>
      <w:r/>
      <w:bookmarkStart w:id="890" w:name="_Toc195842927"/>
      <w:r/>
      <w:bookmarkStart w:id="891" w:name="_Toc150774765"/>
      <w:r/>
      <w:bookmarkStart w:id="892" w:name="_Toc226309806"/>
      <w:r/>
      <w:bookmarkStart w:id="893" w:name="_Toc265228400"/>
      <w:r/>
      <w:bookmarkStart w:id="894" w:name="_Toc226965752"/>
      <w:r/>
      <w:bookmarkStart w:id="895" w:name="_Toc127151562"/>
      <w:r/>
      <w:bookmarkStart w:id="896" w:name="_Toc264969252"/>
      <w:r/>
      <w:bookmarkStart w:id="897" w:name="_Toc305158904"/>
      <w:r/>
      <w:bookmarkStart w:id="898" w:name="_Toc226337258"/>
      <w:r/>
      <w:bookmarkStart w:id="899" w:name="_Toc305158830"/>
      <w:r/>
      <w:bookmarkStart w:id="900" w:name="_Toc142311062"/>
      <w:r/>
      <w:bookmarkStart w:id="901" w:name="_Toc226965835"/>
      <w:r/>
      <w:bookmarkStart w:id="902" w:name="_Toc150480797"/>
      <w:r/>
      <w:bookmarkStart w:id="903" w:name="_Toc265228399"/>
      <w:r/>
      <w:bookmarkStart w:id="904" w:name="_Toc142311061"/>
      <w:r/>
      <w:bookmarkStart w:id="905" w:name="_Toc305158903"/>
      <w:r/>
      <w:bookmarkStart w:id="906" w:name="_Toc226965751"/>
      <w:r/>
      <w:bookmarkStart w:id="907" w:name="_Toc226309805"/>
      <w:r/>
      <w:bookmarkStart w:id="908" w:name="_Toc226965834"/>
      <w:r/>
      <w:bookmarkStart w:id="909" w:name="_Toc127151561"/>
      <w:r/>
      <w:bookmarkStart w:id="910" w:name="_Toc195842926"/>
      <w:r/>
      <w:bookmarkStart w:id="911" w:name="_Toc150774764"/>
      <w:r/>
      <w:bookmarkStart w:id="912" w:name="_Toc264969251"/>
      <w:r/>
      <w:bookmarkStart w:id="913" w:name="_Toc305158829"/>
      <w:r/>
      <w:bookmarkStart w:id="914" w:name="_Toc226337257"/>
      <w:r>
        <w:rPr>
          <w:rFonts w:hint="eastAsia" w:ascii="宋体" w:hAnsi="宋体"/>
          <w:b/>
          <w:color w:val="auto"/>
          <w:sz w:val="24"/>
          <w:highlight w:val="none"/>
          <w:lang w:val="en-US" w:eastAsia="zh-CN"/>
        </w:rPr>
        <w:t xml:space="preserve">8</w:t>
      </w:r>
      <w:r>
        <w:rPr>
          <w:rFonts w:ascii="宋体" w:hAnsi="宋体"/>
          <w:b/>
          <w:color w:val="auto"/>
          <w:sz w:val="24"/>
          <w:highlight w:val="none"/>
        </w:rPr>
        <w:t xml:space="preserve">  合同条款偏离表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ascii="宋体" w:hAnsi="宋体"/>
          <w:b/>
          <w:color w:val="auto"/>
          <w:sz w:val="24"/>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w:t>
      </w:r>
      <w:r/>
    </w:p>
    <w:tbl>
      <w:tblPr>
        <w:tblStyle w:val="8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lang w:val="en-US" w:eastAsia="zh-CN"/>
        </w:rPr>
        <w:t xml:space="preserve">9</w:t>
      </w:r>
      <w:r>
        <w:rPr>
          <w:rFonts w:ascii="宋体" w:hAnsi="宋体"/>
          <w:b/>
          <w:color w:val="auto"/>
          <w:sz w:val="24"/>
          <w:szCs w:val="20"/>
          <w:highlight w:val="none"/>
        </w:rPr>
        <w:t xml:space="preserve">  </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ascii="宋体" w:hAnsi="宋体"/>
          <w:b/>
          <w:color w:val="auto"/>
          <w:sz w:val="24"/>
          <w:szCs w:val="20"/>
          <w:highlight w:val="none"/>
        </w:rPr>
        <w:t xml:space="preserve">采购需求偏离表（实质性格式）</w:t>
      </w:r>
      <w:r/>
    </w:p>
    <w:p>
      <w:pPr>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87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lang w:val="en-US" w:eastAsia="zh-CN"/>
        </w:rPr>
        <w:t xml:space="preserve">10</w:t>
      </w:r>
      <w:r>
        <w:rPr>
          <w:rFonts w:ascii="宋体" w:hAnsi="宋体"/>
          <w:b/>
          <w:color w:val="auto"/>
          <w:sz w:val="24"/>
          <w:szCs w:val="20"/>
          <w:highlight w:val="none"/>
        </w:rPr>
        <w:t xml:space="preserve">  中小企业声明函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说明：</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914"/>
          <w:rFonts w:ascii="宋体" w:hAnsi="宋体"/>
          <w:color w:val="auto"/>
          <w:sz w:val="24"/>
          <w:highlight w:val="none"/>
        </w:rPr>
        <w:t xml:space="preserve">http://202.106.120.146/baosong/appweb/orgScale.html</w:t>
      </w:r>
      <w:r>
        <w:rPr>
          <w:rStyle w:val="914"/>
          <w:rFonts w:ascii="宋体" w:hAnsi="宋体"/>
          <w:color w:val="auto"/>
          <w:sz w:val="24"/>
          <w:highlight w:val="none"/>
        </w:rPr>
        <w:fldChar w:fldCharType="end"/>
      </w:r>
      <w:r>
        <w:rPr>
          <w:rFonts w:hint="eastAsia" w:ascii="宋体" w:hAnsi="宋体"/>
          <w:color w:val="auto"/>
          <w:sz w:val="24"/>
          <w:highlight w:val="none"/>
        </w:rPr>
        <w:t xml:space="preserve">）</w:t>
      </w:r>
      <w:r/>
    </w:p>
    <w:p>
      <w:pPr>
        <w:spacing w:line="360" w:lineRule="auto"/>
        <w:tabs>
          <w:tab w:val="left" w:pos="5580" w:leader="none"/>
        </w:tabs>
        <w:rPr>
          <w:rFonts w:hint="eastAsia" w:ascii="宋体" w:hAnsi="宋体"/>
          <w:b/>
          <w:color w:val="auto"/>
          <w:sz w:val="24"/>
          <w:highlight w:val="none"/>
        </w:rPr>
      </w:pPr>
      <w:r>
        <w:rPr>
          <w:rFonts w:hint="eastAsia" w:ascii="宋体" w:hAnsi="宋体"/>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rFonts w:ascii="宋体" w:hAnsi="宋体"/>
          <w:b/>
          <w:bCs/>
          <w:color w:val="auto"/>
          <w:sz w:val="24"/>
          <w:highlight w:val="none"/>
        </w:rPr>
      </w:pPr>
      <w:r>
        <w:rPr>
          <w:rFonts w:ascii="宋体" w:hAnsi="宋体"/>
          <w:b/>
          <w:bCs/>
          <w:color w:val="auto"/>
          <w:sz w:val="24"/>
          <w:highlight w:val="none"/>
        </w:rPr>
        <w:br w:type="page" w:clear="all"/>
      </w:r>
      <w:r/>
    </w:p>
    <w:p>
      <w:pPr>
        <w:jc w:val="center"/>
        <w:spacing w:line="360" w:lineRule="auto"/>
        <w:rPr>
          <w:rFonts w:ascii="宋体" w:hAnsi="宋体"/>
          <w:b/>
          <w:color w:val="auto"/>
          <w:sz w:val="36"/>
          <w:szCs w:val="36"/>
          <w:highlight w:val="none"/>
        </w:rPr>
      </w:pPr>
      <w:r>
        <w:rPr>
          <w:rFonts w:ascii="宋体" w:hAnsi="宋体"/>
          <w:b/>
          <w:bCs/>
          <w:color w:val="auto"/>
          <w:sz w:val="36"/>
          <w:szCs w:val="36"/>
          <w:highlight w:val="none"/>
        </w:rPr>
        <w:t xml:space="preserve">中小企业声明函（货物）格式</w:t>
      </w:r>
      <w:r/>
    </w:p>
    <w:p>
      <w:pPr>
        <w:ind w:left="220" w:right="415" w:firstLine="64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本公司（联合体）郑重声明，根据《政府采购促进中小企业发展管理办法》（财库﹝2020﹞46号）的规定，本公司（联合体）参加</w:t>
      </w:r>
      <w:r>
        <w:rPr>
          <w:rFonts w:ascii="宋体" w:hAnsi="宋体"/>
          <w:i/>
          <w:color w:val="auto"/>
          <w:sz w:val="24"/>
          <w:highlight w:val="none"/>
          <w:u w:val="single"/>
        </w:rPr>
        <w:t xml:space="preserve">（单位名称）</w:t>
      </w:r>
      <w:r>
        <w:rPr>
          <w:rFonts w:ascii="宋体" w:hAnsi="宋体"/>
          <w:color w:val="auto"/>
          <w:sz w:val="24"/>
          <w:highlight w:val="none"/>
        </w:rPr>
        <w:t xml:space="preserve">的</w:t>
      </w:r>
      <w:r>
        <w:rPr>
          <w:rFonts w:ascii="宋体" w:hAnsi="宋体"/>
          <w:i/>
          <w:color w:val="auto"/>
          <w:sz w:val="24"/>
          <w:highlight w:val="none"/>
          <w:u w:val="single"/>
        </w:rPr>
        <w:t xml:space="preserve">（项目名称）</w:t>
      </w:r>
      <w:r>
        <w:rPr>
          <w:rFonts w:ascii="宋体" w:hAnsi="宋体"/>
          <w:color w:val="auto"/>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ascii="宋体" w:hAnsi="宋体"/>
          <w:i/>
          <w:color w:val="auto"/>
          <w:sz w:val="24"/>
          <w:highlight w:val="none"/>
        </w:rPr>
        <w:t xml:space="preserve">（</w:t>
      </w:r>
      <w:r>
        <w:rPr>
          <w:rFonts w:hint="eastAsia" w:ascii="宋体" w:hAnsi="宋体"/>
          <w:i/>
          <w:color w:val="auto"/>
          <w:sz w:val="24"/>
          <w:highlight w:val="none"/>
          <w:u w:val="single"/>
        </w:rPr>
        <w:t xml:space="preserve">工业</w:t>
      </w:r>
      <w:r>
        <w:rPr>
          <w:rFonts w:ascii="宋体" w:hAnsi="宋体"/>
          <w:i/>
          <w:color w:val="auto"/>
          <w:sz w:val="24"/>
          <w:highlight w:val="none"/>
          <w:u w:val="single"/>
        </w:rPr>
        <w:t xml:space="preserve">）行业</w:t>
      </w:r>
      <w:r>
        <w:rPr>
          <w:rFonts w:ascii="宋体" w:hAnsi="宋体"/>
          <w:color w:val="auto"/>
          <w:sz w:val="24"/>
          <w:highlight w:val="none"/>
        </w:rPr>
        <w:t xml:space="preserve">；制造商为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rFonts w:ascii="宋体" w:hAnsi="宋体"/>
          <w:color w:val="auto"/>
          <w:position w:val="16"/>
          <w:sz w:val="24"/>
          <w:highlight w:val="none"/>
        </w:rPr>
        <w:t xml:space="preserve">1</w:t>
      </w:r>
      <w:r>
        <w:rPr>
          <w:rFonts w:ascii="宋体" w:hAnsi="宋体"/>
          <w:color w:val="auto"/>
          <w:position w:val="16"/>
          <w:sz w:val="24"/>
          <w:highlight w:val="none"/>
        </w:rPr>
        <w:fldChar w:fldCharType="end"/>
      </w:r>
      <w:r>
        <w:rPr>
          <w:rFonts w:ascii="宋体" w:hAnsi="宋体"/>
          <w:color w:val="auto"/>
          <w:sz w:val="24"/>
          <w:highlight w:val="none"/>
        </w:rPr>
        <w:t xml:space="preserve">，属于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ascii="宋体" w:hAnsi="宋体"/>
          <w:i/>
          <w:color w:val="auto"/>
          <w:sz w:val="24"/>
          <w:highlight w:val="none"/>
        </w:rPr>
        <w:t xml:space="preserve">（</w:t>
      </w:r>
      <w:r>
        <w:rPr>
          <w:rFonts w:hint="eastAsia" w:ascii="宋体" w:hAnsi="宋体"/>
          <w:i/>
          <w:color w:val="auto"/>
          <w:sz w:val="24"/>
          <w:highlight w:val="none"/>
          <w:u w:val="single"/>
        </w:rPr>
        <w:t xml:space="preserve">工业</w:t>
      </w:r>
      <w:r>
        <w:rPr>
          <w:rFonts w:ascii="宋体" w:hAnsi="宋体"/>
          <w:i/>
          <w:color w:val="auto"/>
          <w:sz w:val="24"/>
          <w:highlight w:val="none"/>
          <w:u w:val="single"/>
        </w:rPr>
        <w:t xml:space="preserve">）行业</w:t>
      </w:r>
      <w:r>
        <w:rPr>
          <w:rFonts w:ascii="宋体" w:hAnsi="宋体"/>
          <w:color w:val="auto"/>
          <w:sz w:val="24"/>
          <w:highlight w:val="none"/>
        </w:rPr>
        <w:t xml:space="preserve">；制造商为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ind w:left="860"/>
        <w:jc w:val="left"/>
        <w:spacing w:line="360" w:lineRule="auto"/>
        <w:rPr>
          <w:rFonts w:ascii="宋体" w:hAnsi="宋体"/>
          <w:color w:val="auto"/>
          <w:sz w:val="24"/>
          <w:highlight w:val="none"/>
        </w:rPr>
      </w:pPr>
      <w:r>
        <w:rPr>
          <w:rFonts w:ascii="宋体" w:hAnsi="宋体"/>
          <w:color w:val="auto"/>
          <w:sz w:val="24"/>
          <w:highlight w:val="none"/>
        </w:rPr>
        <w:t xml:space="preserve">……</w:t>
      </w:r>
      <w:r/>
    </w:p>
    <w:p>
      <w:pPr>
        <w:ind w:left="220" w:right="417" w:firstLine="645"/>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企业名称（加盖公章）：________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日 期：________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tbl>
      <w:tblPr>
        <w:tblStyle w:val="87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olor w:val="auto"/>
                <w:szCs w:val="21"/>
                <w:highlight w:val="none"/>
              </w:rPr>
            </w:pPr>
            <w:r>
              <w:rPr>
                <w:rFonts w:ascii="宋体" w:hAnsi="宋体"/>
                <w:color w:val="auto"/>
                <w:szCs w:val="21"/>
                <w:highlight w:val="none"/>
                <w:vertAlign w:val="superscript"/>
              </w:rPr>
              <w:t xml:space="preserve">1</w:t>
            </w:r>
            <w:r>
              <w:rPr>
                <w:rFonts w:ascii="宋体" w:hAnsi="宋体"/>
                <w:color w:val="auto"/>
                <w:szCs w:val="21"/>
                <w:highlight w:val="none"/>
              </w:rPr>
              <w:t xml:space="preserve">从业人员、营业收入、资产总额填报上一年度数据，无上一年度数据的新成立企业可不填报。</w:t>
            </w:r>
            <w:r/>
          </w:p>
        </w:tc>
      </w:tr>
    </w:tbl>
    <w:p>
      <w:pPr>
        <w:ind w:firstLine="420"/>
        <w:jc w:val="lef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highlight w:val="none"/>
        </w:rPr>
        <w:br w:type="page" w:clear="all"/>
      </w:r>
      <w:r/>
    </w:p>
    <w:p>
      <w:pPr>
        <w:jc w:val="center"/>
        <w:spacing w:line="360" w:lineRule="auto"/>
        <w:rPr>
          <w:rFonts w:ascii="宋体" w:hAnsi="宋体"/>
          <w:color w:val="auto"/>
          <w:sz w:val="36"/>
          <w:szCs w:val="36"/>
          <w:highlight w:val="none"/>
        </w:rPr>
      </w:pPr>
      <w:r>
        <w:rPr>
          <w:rFonts w:ascii="宋体" w:hAnsi="宋体"/>
          <w:b/>
          <w:bCs/>
          <w:color w:val="auto"/>
          <w:sz w:val="36"/>
          <w:szCs w:val="36"/>
          <w:highlight w:val="none"/>
        </w:rPr>
        <w:t xml:space="preserve">残疾人福利性单位声明函格式</w:t>
      </w:r>
      <w:r>
        <w:rPr>
          <w:rFonts w:ascii="宋体" w:hAnsi="宋体"/>
          <w:color w:val="auto"/>
          <w:sz w:val="36"/>
          <w:szCs w:val="36"/>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olor w:val="auto"/>
          <w:spacing w:val="6"/>
          <w:sz w:val="24"/>
          <w:highlight w:val="none"/>
        </w:rPr>
        <w:t xml:space="preserve">       日  期：</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1</w:t>
      </w:r>
      <w:r>
        <w:rPr>
          <w:rFonts w:hint="eastAsia" w:ascii="宋体" w:hAnsi="宋体"/>
          <w:b/>
          <w:color w:val="auto"/>
          <w:sz w:val="24"/>
          <w:szCs w:val="20"/>
          <w:highlight w:val="none"/>
          <w:lang w:val="en-US" w:eastAsia="zh-CN"/>
        </w:rPr>
        <w:t xml:space="preserve">1</w:t>
      </w:r>
      <w:r>
        <w:rPr>
          <w:rFonts w:hint="eastAsia" w:ascii="宋体" w:hAnsi="宋体"/>
          <w:b/>
          <w:color w:val="auto"/>
          <w:sz w:val="24"/>
          <w:szCs w:val="20"/>
          <w:highlight w:val="none"/>
        </w:rPr>
        <w:t xml:space="preserve">  关于符合本国产品标准的声明函</w:t>
      </w:r>
      <w:r>
        <w:rPr>
          <w:rFonts w:hint="eastAsia" w:ascii="方正魏碑_GBK" w:hAnsi="方正魏碑_GBK" w:eastAsia="方正魏碑_GBK" w:cs="方正魏碑_GBK"/>
          <w:b/>
          <w:color w:val="auto"/>
          <w:sz w:val="24"/>
          <w:highlight w:val="none"/>
        </w:rPr>
        <w:t xml:space="preserve">（采购包号：**）</w:t>
      </w:r>
      <w:r/>
    </w:p>
    <w:p>
      <w:pPr>
        <w:pStyle w:val="903"/>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903"/>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913"/>
          <w:rFonts w:hint="eastAsia" w:ascii="方正魏碑_GBK" w:hAnsi="方正魏碑_GBK" w:eastAsia="方正魏碑_GBK" w:cs="方正魏碑_GBK"/>
          <w:color w:val="auto"/>
          <w:highlight w:val="none"/>
          <w:u w:val="single"/>
          <w:shd w:val="clear" w:color="auto" w:fill="ffffff"/>
        </w:rPr>
        <w:t xml:space="preserve">（产品名称1）</w:t>
      </w:r>
      <w:r>
        <w:rPr>
          <w:rStyle w:val="913"/>
          <w:rFonts w:hint="eastAsia" w:ascii="方正魏碑_GBK" w:hAnsi="方正魏碑_GBK" w:eastAsia="方正魏碑_GBK" w:cs="方正魏碑_GBK"/>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913"/>
          <w:rFonts w:hint="eastAsia" w:ascii="方正魏碑_GBK" w:hAnsi="方正魏碑_GBK" w:eastAsia="方正魏碑_GBK" w:cs="方正魏碑_GBK"/>
          <w:color w:val="auto"/>
          <w:highlight w:val="none"/>
          <w:u w:val="single"/>
          <w:shd w:val="clear" w:color="auto" w:fill="ffffff"/>
        </w:rPr>
        <w:t xml:space="preserve">（厂名）</w:t>
      </w:r>
      <w:r>
        <w:rPr>
          <w:rStyle w:val="913"/>
          <w:rFonts w:hint="eastAsia" w:ascii="方正魏碑_GBK" w:hAnsi="方正魏碑_GBK" w:eastAsia="方正魏碑_GBK" w:cs="方正魏碑_GBK"/>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913"/>
          <w:rFonts w:hint="eastAsia" w:ascii="方正魏碑_GBK" w:hAnsi="方正魏碑_GBK" w:eastAsia="方正魏碑_GBK" w:cs="方正魏碑_GBK"/>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913"/>
          <w:rFonts w:hint="eastAsia" w:ascii="方正魏碑_GBK" w:hAnsi="方正魏碑_GBK" w:eastAsia="方正魏碑_GBK" w:cs="方正魏碑_GBK"/>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913"/>
          <w:rFonts w:hint="eastAsia" w:ascii="方正魏碑_GBK" w:hAnsi="方正魏碑_GBK" w:eastAsia="方正魏碑_GBK" w:cs="方正魏碑_GBK"/>
          <w:color w:val="auto"/>
          <w:highlight w:val="none"/>
          <w:u w:val="single"/>
          <w:shd w:val="clear" w:color="auto" w:fill="ffffff"/>
        </w:rPr>
        <w:t xml:space="preserve">（规定</w:t>
      </w:r>
      <w:r>
        <w:rPr>
          <w:rStyle w:val="913"/>
          <w:rFonts w:ascii="方正魏碑_GBK" w:hAnsi="方正魏碑_GBK" w:eastAsia="方正魏碑_GBK" w:cs="方正魏碑_GBK"/>
          <w:color w:val="auto"/>
          <w:highlight w:val="none"/>
          <w:u w:val="single"/>
          <w:shd w:val="clear" w:color="auto" w:fill="ffffff"/>
        </w:rPr>
        <w:t xml:space="preserve">比例</w:t>
      </w:r>
      <w:r>
        <w:rPr>
          <w:rStyle w:val="913"/>
          <w:rFonts w:hint="eastAsia" w:ascii="方正魏碑_GBK" w:hAnsi="方正魏碑_GBK" w:eastAsia="方正魏碑_GBK" w:cs="方正魏碑_GBK"/>
          <w:color w:val="auto"/>
          <w:highlight w:val="none"/>
          <w:u w:val="single"/>
          <w:shd w:val="clear" w:color="auto" w:fill="ffffff"/>
        </w:rPr>
        <w:t xml:space="preserve">）</w:t>
      </w:r>
      <w:r>
        <w:rPr>
          <w:rStyle w:val="913"/>
          <w:rFonts w:hint="eastAsia" w:ascii="方正魏碑_GBK" w:hAnsi="方正魏碑_GBK" w:eastAsia="方正魏碑_GBK" w:cs="方正魏碑_GBK"/>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913"/>
          <w:rFonts w:hint="eastAsia" w:ascii="方正魏碑_GBK" w:hAnsi="方正魏碑_GBK" w:eastAsia="方正魏碑_GBK" w:cs="方正魏碑_GBK"/>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13"/>
          <w:rFonts w:hint="eastAsia" w:ascii="方正魏碑_GBK" w:hAnsi="方正魏碑_GBK" w:eastAsia="方正魏碑_GBK" w:cs="方正魏碑_GBK"/>
          <w:color w:val="auto"/>
          <w:highlight w:val="none"/>
          <w:u w:val="single"/>
          <w:shd w:val="clear" w:color="auto" w:fill="ffffff"/>
        </w:rPr>
        <w:t xml:space="preserve">（关键</w:t>
      </w:r>
      <w:r>
        <w:rPr>
          <w:rStyle w:val="913"/>
          <w:rFonts w:ascii="方正魏碑_GBK" w:hAnsi="方正魏碑_GBK" w:eastAsia="方正魏碑_GBK" w:cs="方正魏碑_GBK"/>
          <w:color w:val="auto"/>
          <w:highlight w:val="none"/>
          <w:u w:val="single"/>
          <w:shd w:val="clear" w:color="auto" w:fill="ffffff"/>
        </w:rPr>
        <w:t xml:space="preserve">组件</w:t>
      </w:r>
      <w:r>
        <w:rPr>
          <w:rStyle w:val="913"/>
          <w:rFonts w:hint="eastAsia" w:ascii="方正魏碑_GBK" w:hAnsi="方正魏碑_GBK" w:eastAsia="方正魏碑_GBK" w:cs="方正魏碑_GBK"/>
          <w:color w:val="auto"/>
          <w:highlight w:val="none"/>
          <w:u w:val="single"/>
          <w:shd w:val="clear" w:color="auto" w:fill="ffffff"/>
        </w:rPr>
        <w:t xml:space="preserve">）</w:t>
      </w:r>
      <w:r>
        <w:rPr>
          <w:rStyle w:val="913"/>
          <w:rFonts w:hint="eastAsia" w:ascii="方正魏碑_GBK" w:hAnsi="方正魏碑_GBK" w:eastAsia="方正魏碑_GBK" w:cs="方正魏碑_GBK"/>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913"/>
          <w:rFonts w:hint="eastAsia" w:ascii="方正魏碑_GBK" w:hAnsi="方正魏碑_GBK" w:eastAsia="方正魏碑_GBK" w:cs="方正魏碑_GBK"/>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13"/>
          <w:rFonts w:hint="eastAsia" w:ascii="方正魏碑_GBK" w:hAnsi="方正魏碑_GBK" w:eastAsia="方正魏碑_GBK" w:cs="方正魏碑_GBK"/>
          <w:color w:val="auto"/>
          <w:highlight w:val="none"/>
          <w:u w:val="single"/>
          <w:shd w:val="clear" w:color="auto" w:fill="ffffff"/>
        </w:rPr>
        <w:t xml:space="preserve">（关键工序）</w:t>
      </w:r>
      <w:r>
        <w:rPr>
          <w:rStyle w:val="913"/>
          <w:rFonts w:hint="eastAsia" w:ascii="方正魏碑_GBK" w:hAnsi="方正魏碑_GBK" w:eastAsia="方正魏碑_GBK" w:cs="方正魏碑_GBK"/>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90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950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913"/>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913"/>
          <w:rFonts w:hint="eastAsia" w:ascii="方正魏碑_GBK" w:hAnsi="方正魏碑_GBK" w:eastAsia="方正魏碑_GBK" w:cs="方正魏碑_GBK"/>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913"/>
          <w:rFonts w:hint="eastAsia" w:ascii="方正魏碑_GBK" w:hAnsi="方正魏碑_GBK" w:eastAsia="方正魏碑_GBK" w:cs="方正魏碑_GBK"/>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913"/>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913"/>
          <w:rFonts w:hint="eastAsia" w:ascii="方正魏碑_GBK" w:hAnsi="方正魏碑_GBK" w:eastAsia="方正魏碑_GBK" w:cs="方正魏碑_GBK"/>
          <w:color w:val="auto"/>
          <w:highlight w:val="none"/>
          <w:u w:val="single"/>
          <w:shd w:val="clear" w:color="auto" w:fill="ffffff"/>
        </w:rPr>
        <w:t xml:space="preserve">（规定</w:t>
      </w:r>
      <w:r>
        <w:rPr>
          <w:rStyle w:val="913"/>
          <w:rFonts w:ascii="方正魏碑_GBK" w:hAnsi="方正魏碑_GBK" w:eastAsia="方正魏碑_GBK" w:cs="方正魏碑_GBK"/>
          <w:color w:val="auto"/>
          <w:highlight w:val="none"/>
          <w:u w:val="single"/>
          <w:shd w:val="clear" w:color="auto" w:fill="ffffff"/>
        </w:rPr>
        <w:t xml:space="preserve">比例</w:t>
      </w:r>
      <w:r>
        <w:rPr>
          <w:rStyle w:val="913"/>
          <w:rFonts w:hint="eastAsia" w:ascii="方正魏碑_GBK" w:hAnsi="方正魏碑_GBK" w:eastAsia="方正魏碑_GBK" w:cs="方正魏碑_GBK"/>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913"/>
          <w:rFonts w:hint="eastAsia" w:ascii="方正魏碑_GBK" w:hAnsi="方正魏碑_GBK" w:eastAsia="方正魏碑_GBK" w:cs="方正魏碑_GBK"/>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913"/>
          <w:rFonts w:hint="eastAsia" w:ascii="方正魏碑_GBK" w:hAnsi="方正魏碑_GBK" w:eastAsia="方正魏碑_GBK" w:cs="方正魏碑_GBK"/>
          <w:color w:val="auto"/>
          <w:highlight w:val="none"/>
          <w:u w:val="single"/>
          <w:shd w:val="clear" w:color="auto" w:fill="ffffff"/>
        </w:rPr>
        <w:t xml:space="preserve">（关键</w:t>
      </w:r>
      <w:r>
        <w:rPr>
          <w:rStyle w:val="913"/>
          <w:rFonts w:ascii="方正魏碑_GBK" w:hAnsi="方正魏碑_GBK" w:eastAsia="方正魏碑_GBK" w:cs="方正魏碑_GBK"/>
          <w:color w:val="auto"/>
          <w:highlight w:val="none"/>
          <w:u w:val="single"/>
          <w:shd w:val="clear" w:color="auto" w:fill="ffffff"/>
        </w:rPr>
        <w:t xml:space="preserve">组件</w:t>
      </w:r>
      <w:r>
        <w:rPr>
          <w:rStyle w:val="913"/>
          <w:rFonts w:hint="eastAsia" w:ascii="方正魏碑_GBK" w:hAnsi="方正魏碑_GBK" w:eastAsia="方正魏碑_GBK" w:cs="方正魏碑_GBK"/>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913"/>
          <w:rFonts w:hint="eastAsia" w:ascii="方正魏碑_GBK" w:hAnsi="方正魏碑_GBK" w:eastAsia="方正魏碑_GBK" w:cs="方正魏碑_GBK"/>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913"/>
          <w:rFonts w:hint="eastAsia" w:ascii="方正魏碑_GBK" w:hAnsi="方正魏碑_GBK" w:eastAsia="方正魏碑_GBK" w:cs="方正魏碑_GBK"/>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90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90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903"/>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903"/>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903"/>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903"/>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9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9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9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9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90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90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hint="eastAsia" w:ascii="宋体" w:hAnsi="宋体"/>
          <w:b/>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outlineLvl w:val="2"/>
      </w:pPr>
      <w:r>
        <w:rPr>
          <w:rFonts w:hint="eastAsia" w:ascii="宋体" w:hAnsi="宋体"/>
          <w:b/>
          <w:color w:val="auto"/>
          <w:sz w:val="24"/>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76"/>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2"/>
          <w:highlight w:val="none"/>
        </w:rPr>
        <w:br w:type="page" w:clear="all"/>
      </w:r>
      <w:bookmarkStart w:id="915" w:name="_Toc288738397"/>
      <w:r/>
      <w:bookmarkStart w:id="916" w:name="_Toc288738839"/>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5"/>
      <w:r/>
      <w:bookmarkEnd w:id="916"/>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7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highlight w:val="none"/>
        </w:rPr>
        <w:br w:type="page" w:clear="all"/>
      </w: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5</w:t>
      </w:r>
      <w:r>
        <w:rPr>
          <w:rFonts w:ascii="宋体" w:hAnsi="宋体"/>
          <w:b/>
          <w:color w:val="auto"/>
          <w:sz w:val="24"/>
          <w:highlight w:val="none"/>
        </w:rPr>
        <w:t xml:space="preserve">  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jc w:val="center"/>
        <w:spacing w:line="360" w:lineRule="auto"/>
        <w:rPr>
          <w:rFonts w:hint="eastAsia" w:ascii="宋体" w:hAnsi="宋体" w:cs="黑体"/>
          <w:bCs/>
          <w:color w:val="auto"/>
          <w:sz w:val="24"/>
          <w:highlight w:val="none"/>
        </w:rPr>
      </w:pPr>
      <w:r>
        <w:rPr>
          <w:rFonts w:hint="eastAsia" w:ascii="宋体" w:hAnsi="宋体" w:cs="黑体"/>
          <w:b/>
          <w:color w:val="auto"/>
          <w:sz w:val="28"/>
          <w:szCs w:val="28"/>
          <w:highlight w:val="none"/>
        </w:rPr>
        <w:t xml:space="preserve">本招标文件的最终解释权归常州市城投建设工程招标有限公司所有</w:t>
      </w:r>
      <w:r>
        <w:rPr>
          <w:rFonts w:hint="eastAsia" w:ascii="宋体" w:hAnsi="宋体" w:cs="黑体"/>
          <w:bCs/>
          <w:color w:val="auto"/>
          <w:sz w:val="24"/>
          <w:highlight w:val="none"/>
        </w:rPr>
        <w:t xml:space="preserve">。</w:t>
      </w:r>
      <w:r/>
    </w:p>
    <w:p>
      <w:pPr>
        <w:jc w:val="center"/>
        <w:rPr>
          <w:rFonts w:hint="eastAsia" w:ascii="宋体" w:hAnsi="宋体" w:cs="黑体"/>
          <w:color w:val="auto"/>
          <w:highlight w:val="none"/>
        </w:rPr>
      </w:pPr>
      <w:r>
        <w:rPr>
          <w:rFonts w:hint="eastAsia" w:ascii="宋体" w:hAnsi="宋体" w:cs="黑体"/>
          <w:b/>
          <w:color w:val="auto"/>
          <w:sz w:val="32"/>
          <w:highlight w:val="none"/>
        </w:rPr>
        <w:t xml:space="preserve">（全文完）</w:t>
      </w:r>
      <w:r/>
    </w:p>
    <w:p>
      <w:pPr>
        <w:rPr>
          <w:rFonts w:ascii="宋体" w:hAnsi="宋体"/>
          <w:color w:val="auto"/>
          <w:sz w:val="36"/>
          <w:szCs w:val="36"/>
          <w:highlight w:val="none"/>
        </w:rPr>
      </w:pPr>
      <w:r>
        <w:rPr>
          <w:rFonts w:ascii="宋体" w:hAnsi="宋体"/>
          <w:color w:val="auto"/>
          <w:sz w:val="36"/>
          <w:szCs w:val="36"/>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right="360"/>
      <w:rPr>
        <w:rStyle w:val="911"/>
      </w:rPr>
      <w:framePr w:wrap="around" w:vAnchor="text" w:hAnchor="margin" w:y="1"/>
    </w:pPr>
    <w:r/>
    <w:r/>
  </w:p>
  <w:p>
    <w:pPr>
      <w:pStyle w:val="89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1"/>
      </w:rPr>
      <w:framePr w:wrap="around" w:vAnchor="text" w:hAnchor="margin" w:xAlign="center" w:y="1"/>
    </w:pPr>
    <w:r>
      <w:fldChar w:fldCharType="begin"/>
    </w:r>
    <w:r>
      <w:rPr>
        <w:rStyle w:val="911"/>
      </w:rPr>
      <w:instrText xml:space="preserve">PAGE  </w:instrText>
    </w:r>
    <w:r>
      <w:fldChar w:fldCharType="end"/>
    </w:r>
    <w:r/>
  </w:p>
  <w:p>
    <w:pPr>
      <w:pStyle w:val="89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1"/>
      </w:rPr>
      <w:framePr w:wrap="around" w:vAnchor="text" w:hAnchor="margin" w:xAlign="right" w:y="1"/>
    </w:pPr>
    <w:r/>
    <w:r/>
  </w:p>
  <w:p>
    <w:pPr>
      <w:pStyle w:val="89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eastAsia="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1"/>
      </w:rPr>
      <w:framePr w:wrap="around" w:vAnchor="text" w:hAnchor="margin" w:xAlign="right" w:y="1"/>
    </w:pPr>
    <w:r>
      <w:rPr>
        <w:rStyle w:val="911"/>
      </w:rPr>
      <w:fldChar w:fldCharType="begin"/>
    </w:r>
    <w:r>
      <w:rPr>
        <w:rStyle w:val="911"/>
      </w:rPr>
      <w:instrText xml:space="preserve">PAGE  </w:instrText>
    </w:r>
    <w:r>
      <w:rPr>
        <w:rStyle w:val="911"/>
      </w:rPr>
      <w:fldChar w:fldCharType="end"/>
    </w:r>
    <w:r/>
  </w:p>
  <w:p>
    <w:pPr>
      <w:pStyle w:val="89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1"/>
      </w:rPr>
      <w:framePr w:wrap="around" w:vAnchor="text" w:hAnchor="margin" w:xAlign="right" w:y="1"/>
    </w:pPr>
    <w:r>
      <w:rPr>
        <w:rStyle w:val="911"/>
      </w:rPr>
      <w:fldChar w:fldCharType="begin"/>
    </w:r>
    <w:r>
      <w:rPr>
        <w:rStyle w:val="911"/>
      </w:rPr>
      <w:instrText xml:space="preserve">PAGE  </w:instrText>
    </w:r>
    <w:r>
      <w:rPr>
        <w:rStyle w:val="911"/>
      </w:rPr>
      <w:fldChar w:fldCharType="end"/>
    </w:r>
    <w:r/>
  </w:p>
  <w:p>
    <w:pPr>
      <w:pStyle w:val="894"/>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pPr>
    <w:r>
      <w:rPr>
        <w:rFonts w:hint="eastAsia"/>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4294450176"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4294450176;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0"/>
      </w:pBdr>
    </w:pPr>
    <w:r>
      <w:rPr>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4294449152"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4294449152;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pPr>
    <w:r>
      <w:rPr>
        <w:rFonts w:hint="eastAsia"/>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4294450176"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4294450176;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97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04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01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6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0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0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1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2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8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0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97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3"/>
      <w:isLgl w:val="false"/>
      <w:suff w:val="tab"/>
      <w:lvlText w:val="%1"/>
      <w:lvlJc w:val="left"/>
      <w:pPr>
        <w:ind w:left="680" w:hanging="680"/>
      </w:pPr>
      <w:rPr>
        <w:rFonts w:hint="eastAsia" w:ascii="宋体" w:hAnsi="宋体" w:eastAsia="宋体"/>
      </w:rPr>
    </w:lvl>
    <w:lvl w:ilvl="1">
      <w:start w:val="1"/>
      <w:numFmt w:val="decimal"/>
      <w:pStyle w:val="1074"/>
      <w:isLgl w:val="false"/>
      <w:suff w:val="tab"/>
      <w:lvlText w:val="%1.%2"/>
      <w:lvlJc w:val="left"/>
      <w:pPr>
        <w:ind w:left="851" w:hanging="851"/>
      </w:pPr>
      <w:rPr>
        <w:rFonts w:hint="eastAsia" w:ascii="宋体" w:hAnsi="宋体" w:eastAsia="宋体"/>
        <w:color w:val="auto"/>
      </w:rPr>
    </w:lvl>
    <w:lvl w:ilvl="2">
      <w:start w:val="1"/>
      <w:numFmt w:val="decimal"/>
      <w:pStyle w:val="107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4"/>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5"/>
    <w:link w:val="866"/>
    <w:uiPriority w:val="9"/>
    <w:rPr>
      <w:rFonts w:ascii="Arial" w:hAnsi="Arial" w:eastAsia="Arial" w:cs="Arial"/>
      <w:sz w:val="40"/>
      <w:szCs w:val="40"/>
    </w:rPr>
  </w:style>
  <w:style w:type="character" w:styleId="15">
    <w:name w:val="Heading 2 Char"/>
    <w:basedOn w:val="875"/>
    <w:link w:val="867"/>
    <w:uiPriority w:val="9"/>
    <w:rPr>
      <w:rFonts w:ascii="Arial" w:hAnsi="Arial" w:eastAsia="Arial" w:cs="Arial"/>
      <w:sz w:val="34"/>
    </w:rPr>
  </w:style>
  <w:style w:type="character" w:styleId="17">
    <w:name w:val="Heading 3 Char"/>
    <w:basedOn w:val="875"/>
    <w:link w:val="868"/>
    <w:uiPriority w:val="9"/>
    <w:rPr>
      <w:rFonts w:ascii="Arial" w:hAnsi="Arial" w:eastAsia="Arial" w:cs="Arial"/>
      <w:sz w:val="30"/>
      <w:szCs w:val="30"/>
    </w:rPr>
  </w:style>
  <w:style w:type="character" w:styleId="19">
    <w:name w:val="Heading 4 Char"/>
    <w:basedOn w:val="875"/>
    <w:link w:val="869"/>
    <w:uiPriority w:val="9"/>
    <w:rPr>
      <w:rFonts w:ascii="Arial" w:hAnsi="Arial" w:eastAsia="Arial" w:cs="Arial"/>
      <w:b/>
      <w:bCs/>
      <w:sz w:val="26"/>
      <w:szCs w:val="26"/>
    </w:rPr>
  </w:style>
  <w:style w:type="character" w:styleId="21">
    <w:name w:val="Heading 5 Char"/>
    <w:basedOn w:val="875"/>
    <w:link w:val="870"/>
    <w:uiPriority w:val="9"/>
    <w:rPr>
      <w:rFonts w:ascii="Arial" w:hAnsi="Arial" w:eastAsia="Arial" w:cs="Arial"/>
      <w:b/>
      <w:bCs/>
      <w:sz w:val="24"/>
      <w:szCs w:val="24"/>
    </w:rPr>
  </w:style>
  <w:style w:type="character" w:styleId="23">
    <w:name w:val="Heading 6 Char"/>
    <w:basedOn w:val="875"/>
    <w:link w:val="871"/>
    <w:uiPriority w:val="9"/>
    <w:rPr>
      <w:rFonts w:ascii="Arial" w:hAnsi="Arial" w:eastAsia="Arial" w:cs="Arial"/>
      <w:b/>
      <w:bCs/>
      <w:sz w:val="22"/>
      <w:szCs w:val="22"/>
    </w:rPr>
  </w:style>
  <w:style w:type="character" w:styleId="25">
    <w:name w:val="Heading 7 Char"/>
    <w:basedOn w:val="875"/>
    <w:link w:val="872"/>
    <w:uiPriority w:val="9"/>
    <w:rPr>
      <w:rFonts w:ascii="Arial" w:hAnsi="Arial" w:eastAsia="Arial" w:cs="Arial"/>
      <w:b/>
      <w:bCs/>
      <w:i/>
      <w:iCs/>
      <w:sz w:val="22"/>
      <w:szCs w:val="22"/>
    </w:rPr>
  </w:style>
  <w:style w:type="character" w:styleId="27">
    <w:name w:val="Heading 8 Char"/>
    <w:basedOn w:val="875"/>
    <w:link w:val="873"/>
    <w:uiPriority w:val="9"/>
    <w:rPr>
      <w:rFonts w:ascii="Arial" w:hAnsi="Arial" w:eastAsia="Arial" w:cs="Arial"/>
      <w:i/>
      <w:iCs/>
      <w:sz w:val="22"/>
      <w:szCs w:val="22"/>
    </w:rPr>
  </w:style>
  <w:style w:type="character" w:styleId="29">
    <w:name w:val="Heading 9 Char"/>
    <w:basedOn w:val="875"/>
    <w:link w:val="874"/>
    <w:uiPriority w:val="9"/>
    <w:rPr>
      <w:rFonts w:ascii="Arial" w:hAnsi="Arial" w:eastAsia="Arial" w:cs="Arial"/>
      <w:i/>
      <w:iCs/>
      <w:sz w:val="21"/>
      <w:szCs w:val="21"/>
    </w:rPr>
  </w:style>
  <w:style w:type="character" w:styleId="34">
    <w:name w:val="Title Char"/>
    <w:basedOn w:val="875"/>
    <w:link w:val="905"/>
    <w:uiPriority w:val="10"/>
    <w:rPr>
      <w:sz w:val="48"/>
      <w:szCs w:val="48"/>
    </w:rPr>
  </w:style>
  <w:style w:type="paragraph" w:styleId="35">
    <w:name w:val="Subtitle"/>
    <w:basedOn w:val="865"/>
    <w:next w:val="865"/>
    <w:link w:val="36"/>
    <w:uiPriority w:val="11"/>
    <w:qFormat/>
    <w:pPr>
      <w:spacing w:before="200" w:after="200"/>
    </w:pPr>
    <w:rPr>
      <w:sz w:val="24"/>
      <w:szCs w:val="24"/>
    </w:rPr>
  </w:style>
  <w:style w:type="character" w:styleId="36">
    <w:name w:val="Subtitle Char"/>
    <w:basedOn w:val="875"/>
    <w:link w:val="35"/>
    <w:uiPriority w:val="11"/>
    <w:rPr>
      <w:sz w:val="24"/>
      <w:szCs w:val="24"/>
    </w:rPr>
  </w:style>
  <w:style w:type="paragraph" w:styleId="37">
    <w:name w:val="Quote"/>
    <w:basedOn w:val="865"/>
    <w:next w:val="865"/>
    <w:link w:val="38"/>
    <w:uiPriority w:val="29"/>
    <w:qFormat/>
    <w:pPr>
      <w:ind w:left="720" w:right="720"/>
    </w:pPr>
    <w:rPr>
      <w:i/>
    </w:rPr>
  </w:style>
  <w:style w:type="character" w:styleId="38">
    <w:name w:val="Quote Char"/>
    <w:link w:val="37"/>
    <w:uiPriority w:val="29"/>
    <w:rPr>
      <w:i/>
    </w:rPr>
  </w:style>
  <w:style w:type="paragraph" w:styleId="39">
    <w:name w:val="Intense Quote"/>
    <w:basedOn w:val="865"/>
    <w:next w:val="8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5"/>
    <w:link w:val="895"/>
    <w:uiPriority w:val="99"/>
  </w:style>
  <w:style w:type="character" w:styleId="44">
    <w:name w:val="Footer Char"/>
    <w:basedOn w:val="875"/>
    <w:link w:val="894"/>
    <w:uiPriority w:val="99"/>
  </w:style>
  <w:style w:type="character" w:styleId="46">
    <w:name w:val="Caption Char"/>
    <w:basedOn w:val="879"/>
    <w:link w:val="894"/>
    <w:uiPriority w:val="99"/>
  </w:style>
  <w:style w:type="table" w:styleId="48">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75"/>
    <w:uiPriority w:val="99"/>
    <w:unhideWhenUsed/>
    <w:rPr>
      <w:vertAlign w:val="superscript"/>
    </w:rPr>
  </w:style>
  <w:style w:type="paragraph" w:styleId="177">
    <w:name w:val="endnote text"/>
    <w:basedOn w:val="8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5"/>
    <w:uiPriority w:val="99"/>
    <w:semiHidden/>
    <w:unhideWhenUsed/>
    <w:rPr>
      <w:vertAlign w:val="superscript"/>
    </w:rPr>
  </w:style>
  <w:style w:type="paragraph" w:styleId="189">
    <w:name w:val="TOC Heading"/>
    <w:uiPriority w:val="39"/>
    <w:unhideWhenUsed/>
  </w:style>
  <w:style w:type="paragraph" w:styleId="190">
    <w:name w:val="table of figures"/>
    <w:basedOn w:val="865"/>
    <w:next w:val="865"/>
    <w:uiPriority w:val="99"/>
    <w:unhideWhenUsed/>
    <w:pPr>
      <w:spacing w:after="0" w:afterAutospacing="0"/>
    </w:pPr>
  </w:style>
  <w:style w:type="paragraph" w:styleId="86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6">
    <w:name w:val="Heading 1"/>
    <w:basedOn w:val="865"/>
    <w:next w:val="865"/>
    <w:link w:val="917"/>
    <w:uiPriority w:val="0"/>
    <w:qFormat/>
    <w:pPr>
      <w:jc w:val="center"/>
      <w:keepLines/>
      <w:keepNext/>
      <w:spacing w:before="240" w:after="120" w:line="300" w:lineRule="auto"/>
      <w:outlineLvl w:val="0"/>
    </w:pPr>
    <w:rPr>
      <w:rFonts w:ascii="宋体"/>
      <w:b/>
      <w:sz w:val="32"/>
      <w:szCs w:val="20"/>
    </w:rPr>
  </w:style>
  <w:style w:type="paragraph" w:styleId="867">
    <w:name w:val="Heading 2"/>
    <w:basedOn w:val="865"/>
    <w:next w:val="877"/>
    <w:link w:val="918"/>
    <w:uiPriority w:val="0"/>
    <w:qFormat/>
    <w:pPr>
      <w:jc w:val="center"/>
      <w:keepLines/>
      <w:keepNext/>
      <w:spacing w:before="120" w:line="300" w:lineRule="auto"/>
      <w:outlineLvl w:val="1"/>
    </w:pPr>
    <w:rPr>
      <w:rFonts w:ascii="Arial" w:hAnsi="Arial" w:eastAsia="黑体"/>
      <w:b/>
      <w:sz w:val="30"/>
      <w:szCs w:val="20"/>
    </w:rPr>
  </w:style>
  <w:style w:type="paragraph" w:styleId="868">
    <w:name w:val="Heading 3"/>
    <w:basedOn w:val="865"/>
    <w:next w:val="877"/>
    <w:link w:val="920"/>
    <w:uiPriority w:val="0"/>
    <w:qFormat/>
    <w:pPr>
      <w:jc w:val="left"/>
      <w:keepLines/>
      <w:keepNext/>
      <w:spacing w:before="360" w:after="120"/>
      <w:outlineLvl w:val="2"/>
    </w:pPr>
    <w:rPr>
      <w:rFonts w:ascii="宋体"/>
      <w:b/>
      <w:sz w:val="24"/>
      <w:szCs w:val="20"/>
      <w:u w:val="single"/>
    </w:rPr>
  </w:style>
  <w:style w:type="paragraph" w:styleId="869">
    <w:name w:val="Heading 4"/>
    <w:basedOn w:val="865"/>
    <w:next w:val="865"/>
    <w:link w:val="921"/>
    <w:uiPriority w:val="0"/>
    <w:qFormat/>
    <w:pPr>
      <w:keepLines/>
      <w:keepNext/>
      <w:spacing w:before="280" w:after="290" w:line="376" w:lineRule="atLeast"/>
      <w:outlineLvl w:val="3"/>
    </w:pPr>
    <w:rPr>
      <w:rFonts w:ascii="Arial" w:hAnsi="Arial" w:eastAsia="黑体"/>
      <w:b/>
      <w:sz w:val="28"/>
      <w:szCs w:val="20"/>
    </w:rPr>
  </w:style>
  <w:style w:type="paragraph" w:styleId="870">
    <w:name w:val="Heading 5"/>
    <w:basedOn w:val="865"/>
    <w:next w:val="865"/>
    <w:link w:val="922"/>
    <w:uiPriority w:val="0"/>
    <w:qFormat/>
    <w:pPr>
      <w:keepLines/>
      <w:keepNext/>
      <w:spacing w:before="280" w:after="290" w:line="376" w:lineRule="atLeast"/>
      <w:outlineLvl w:val="4"/>
    </w:pPr>
    <w:rPr>
      <w:b/>
      <w:sz w:val="28"/>
      <w:szCs w:val="20"/>
    </w:rPr>
  </w:style>
  <w:style w:type="paragraph" w:styleId="871">
    <w:name w:val="Heading 6"/>
    <w:basedOn w:val="865"/>
    <w:next w:val="865"/>
    <w:link w:val="923"/>
    <w:uiPriority w:val="0"/>
    <w:qFormat/>
    <w:pPr>
      <w:keepLines/>
      <w:keepNext/>
      <w:spacing w:before="240" w:after="64" w:line="320" w:lineRule="atLeast"/>
      <w:outlineLvl w:val="5"/>
    </w:pPr>
    <w:rPr>
      <w:rFonts w:ascii="Arial" w:hAnsi="Arial" w:eastAsia="黑体"/>
      <w:b/>
      <w:sz w:val="24"/>
      <w:szCs w:val="20"/>
    </w:rPr>
  </w:style>
  <w:style w:type="paragraph" w:styleId="872">
    <w:name w:val="Heading 7"/>
    <w:basedOn w:val="865"/>
    <w:next w:val="865"/>
    <w:link w:val="924"/>
    <w:uiPriority w:val="0"/>
    <w:qFormat/>
    <w:pPr>
      <w:keepLines/>
      <w:keepNext/>
      <w:spacing w:before="240" w:after="64" w:line="320" w:lineRule="atLeast"/>
      <w:outlineLvl w:val="6"/>
    </w:pPr>
    <w:rPr>
      <w:b/>
      <w:sz w:val="24"/>
      <w:szCs w:val="20"/>
    </w:rPr>
  </w:style>
  <w:style w:type="paragraph" w:styleId="873">
    <w:name w:val="Heading 8"/>
    <w:basedOn w:val="865"/>
    <w:next w:val="865"/>
    <w:link w:val="925"/>
    <w:uiPriority w:val="0"/>
    <w:qFormat/>
    <w:pPr>
      <w:keepLines/>
      <w:keepNext/>
      <w:spacing w:before="240" w:after="64" w:line="320" w:lineRule="atLeast"/>
      <w:outlineLvl w:val="7"/>
    </w:pPr>
    <w:rPr>
      <w:rFonts w:ascii="Arial" w:hAnsi="Arial" w:eastAsia="黑体"/>
      <w:sz w:val="24"/>
      <w:szCs w:val="20"/>
    </w:rPr>
  </w:style>
  <w:style w:type="paragraph" w:styleId="874">
    <w:name w:val="Heading 9"/>
    <w:basedOn w:val="865"/>
    <w:next w:val="865"/>
    <w:link w:val="926"/>
    <w:uiPriority w:val="0"/>
    <w:qFormat/>
    <w:pPr>
      <w:keepLines/>
      <w:keepNext/>
      <w:spacing w:before="240" w:after="64" w:line="320" w:lineRule="atLeast"/>
      <w:outlineLvl w:val="8"/>
    </w:pPr>
    <w:rPr>
      <w:rFonts w:ascii="Arial" w:hAnsi="Arial" w:eastAsia="黑体"/>
      <w:szCs w:val="20"/>
    </w:rPr>
  </w:style>
  <w:style w:type="character" w:styleId="875" w:default="1">
    <w:name w:val="Default Paragraph Font"/>
    <w:uiPriority w:val="1"/>
    <w:unhideWhenUsed/>
    <w:qFormat/>
  </w:style>
  <w:style w:type="table" w:styleId="876" w:default="1">
    <w:name w:val="Normal Table"/>
    <w:uiPriority w:val="99"/>
    <w:unhideWhenUsed/>
    <w:qFormat/>
    <w:tblPr>
      <w:tblCellMar>
        <w:left w:w="108" w:type="dxa"/>
        <w:top w:w="0" w:type="dxa"/>
        <w:right w:w="108" w:type="dxa"/>
        <w:bottom w:w="0" w:type="dxa"/>
      </w:tblCellMar>
    </w:tblPr>
  </w:style>
  <w:style w:type="paragraph" w:styleId="877">
    <w:name w:val="Normal Indent"/>
    <w:basedOn w:val="865"/>
    <w:next w:val="865"/>
    <w:link w:val="919"/>
    <w:uiPriority w:val="99"/>
    <w:qFormat/>
    <w:pPr>
      <w:ind w:firstLine="420"/>
      <w:jc w:val="left"/>
    </w:pPr>
    <w:rPr>
      <w:rFonts w:ascii="宋体"/>
      <w:sz w:val="24"/>
    </w:rPr>
  </w:style>
  <w:style w:type="paragraph" w:styleId="878">
    <w:name w:val="toc 7"/>
    <w:basedOn w:val="865"/>
    <w:next w:val="865"/>
    <w:uiPriority w:val="0"/>
    <w:qFormat/>
    <w:pPr>
      <w:ind w:left="2520"/>
    </w:pPr>
  </w:style>
  <w:style w:type="paragraph" w:styleId="879">
    <w:name w:val="Caption"/>
    <w:basedOn w:val="865"/>
    <w:next w:val="865"/>
    <w:uiPriority w:val="0"/>
    <w:qFormat/>
    <w:pPr>
      <w:spacing w:line="480" w:lineRule="auto"/>
    </w:pPr>
    <w:rPr>
      <w:rFonts w:ascii="华文中宋" w:hAnsi="华文中宋" w:eastAsia="华文中宋"/>
      <w:sz w:val="36"/>
      <w:szCs w:val="20"/>
    </w:rPr>
  </w:style>
  <w:style w:type="paragraph" w:styleId="880">
    <w:name w:val="Document Map"/>
    <w:basedOn w:val="865"/>
    <w:link w:val="927"/>
    <w:uiPriority w:val="0"/>
    <w:qFormat/>
    <w:pPr>
      <w:shd w:val="clear" w:color="auto" w:fill="000080"/>
    </w:pPr>
  </w:style>
  <w:style w:type="paragraph" w:styleId="881">
    <w:name w:val="annotation text"/>
    <w:basedOn w:val="865"/>
    <w:link w:val="928"/>
    <w:uiPriority w:val="99"/>
    <w:qFormat/>
    <w:pPr>
      <w:jc w:val="left"/>
    </w:pPr>
  </w:style>
  <w:style w:type="paragraph" w:styleId="882">
    <w:name w:val="Body Text 3"/>
    <w:basedOn w:val="865"/>
    <w:link w:val="929"/>
    <w:uiPriority w:val="0"/>
    <w:qFormat/>
    <w:pPr>
      <w:spacing w:after="120"/>
    </w:pPr>
    <w:rPr>
      <w:sz w:val="16"/>
      <w:szCs w:val="16"/>
    </w:rPr>
  </w:style>
  <w:style w:type="paragraph" w:styleId="883">
    <w:name w:val="Body Text"/>
    <w:basedOn w:val="865"/>
    <w:link w:val="930"/>
    <w:uiPriority w:val="0"/>
    <w:qFormat/>
    <w:pPr>
      <w:spacing w:before="120" w:line="22" w:lineRule="atLeast"/>
      <w:tabs>
        <w:tab w:val="left" w:pos="567" w:leader="none"/>
      </w:tabs>
    </w:pPr>
    <w:rPr>
      <w:rFonts w:ascii="宋体" w:hAnsi="宋体"/>
      <w:sz w:val="24"/>
    </w:rPr>
  </w:style>
  <w:style w:type="paragraph" w:styleId="884">
    <w:name w:val="Body Text Indent"/>
    <w:basedOn w:val="865"/>
    <w:link w:val="931"/>
    <w:uiPriority w:val="0"/>
    <w:qFormat/>
    <w:pPr>
      <w:ind w:firstLine="570"/>
      <w:spacing w:line="360" w:lineRule="auto"/>
    </w:pPr>
    <w:rPr>
      <w:sz w:val="24"/>
    </w:rPr>
  </w:style>
  <w:style w:type="paragraph" w:styleId="885">
    <w:name w:val="List 2"/>
    <w:basedOn w:val="865"/>
    <w:uiPriority w:val="0"/>
    <w:qFormat/>
    <w:pPr>
      <w:ind w:left="100" w:hanging="200"/>
    </w:pPr>
  </w:style>
  <w:style w:type="paragraph" w:styleId="886">
    <w:name w:val="Block Text"/>
    <w:basedOn w:val="865"/>
    <w:uiPriority w:val="0"/>
    <w:qFormat/>
    <w:pPr>
      <w:ind w:left="480" w:right="-341" w:firstLine="513"/>
      <w:widowControl/>
    </w:pPr>
    <w:rPr>
      <w:sz w:val="24"/>
      <w:szCs w:val="20"/>
    </w:rPr>
  </w:style>
  <w:style w:type="paragraph" w:styleId="887">
    <w:name w:val="toc 5"/>
    <w:basedOn w:val="865"/>
    <w:next w:val="865"/>
    <w:uiPriority w:val="0"/>
    <w:qFormat/>
    <w:pPr>
      <w:ind w:left="1680"/>
    </w:pPr>
  </w:style>
  <w:style w:type="paragraph" w:styleId="888">
    <w:name w:val="toc 3"/>
    <w:basedOn w:val="865"/>
    <w:next w:val="865"/>
    <w:uiPriority w:val="39"/>
    <w:qFormat/>
    <w:pPr>
      <w:ind w:left="840"/>
    </w:pPr>
  </w:style>
  <w:style w:type="paragraph" w:styleId="889">
    <w:name w:val="Plain Text"/>
    <w:basedOn w:val="865"/>
    <w:link w:val="932"/>
    <w:uiPriority w:val="99"/>
    <w:qFormat/>
    <w:rPr>
      <w:rFonts w:hint="eastAsia" w:ascii="宋体" w:hAnsi="Courier New"/>
      <w:szCs w:val="20"/>
    </w:rPr>
  </w:style>
  <w:style w:type="paragraph" w:styleId="890">
    <w:name w:val="toc 8"/>
    <w:basedOn w:val="865"/>
    <w:next w:val="865"/>
    <w:uiPriority w:val="0"/>
    <w:qFormat/>
    <w:pPr>
      <w:ind w:left="2940"/>
    </w:pPr>
  </w:style>
  <w:style w:type="paragraph" w:styleId="891">
    <w:name w:val="Date"/>
    <w:basedOn w:val="865"/>
    <w:next w:val="865"/>
    <w:link w:val="933"/>
    <w:uiPriority w:val="0"/>
    <w:qFormat/>
    <w:pPr>
      <w:ind w:left="100"/>
    </w:pPr>
    <w:rPr>
      <w:rFonts w:ascii="仿宋_GB2312" w:hAnsi="宋体" w:eastAsia="仿宋_GB2312"/>
      <w:color w:val="000000"/>
      <w:sz w:val="24"/>
    </w:rPr>
  </w:style>
  <w:style w:type="paragraph" w:styleId="892">
    <w:name w:val="Body Text Indent 2"/>
    <w:basedOn w:val="865"/>
    <w:link w:val="934"/>
    <w:uiPriority w:val="0"/>
    <w:qFormat/>
    <w:pPr>
      <w:ind w:firstLine="480"/>
    </w:pPr>
    <w:rPr>
      <w:rFonts w:ascii="仿宋_GB2312" w:eastAsia="仿宋_GB2312"/>
      <w:sz w:val="24"/>
    </w:rPr>
  </w:style>
  <w:style w:type="paragraph" w:styleId="893">
    <w:name w:val="Balloon Text"/>
    <w:basedOn w:val="865"/>
    <w:link w:val="935"/>
    <w:uiPriority w:val="0"/>
    <w:qFormat/>
    <w:rPr>
      <w:sz w:val="18"/>
      <w:szCs w:val="18"/>
    </w:rPr>
  </w:style>
  <w:style w:type="paragraph" w:styleId="894">
    <w:name w:val="Footer"/>
    <w:basedOn w:val="865"/>
    <w:link w:val="936"/>
    <w:uiPriority w:val="99"/>
    <w:qFormat/>
    <w:pPr>
      <w:jc w:val="left"/>
      <w:tabs>
        <w:tab w:val="center" w:pos="4153" w:leader="none"/>
        <w:tab w:val="right" w:pos="8306" w:leader="none"/>
      </w:tabs>
    </w:pPr>
    <w:rPr>
      <w:rFonts w:ascii="宋体"/>
      <w:sz w:val="18"/>
      <w:szCs w:val="20"/>
    </w:rPr>
  </w:style>
  <w:style w:type="paragraph" w:styleId="895">
    <w:name w:val="Header"/>
    <w:basedOn w:val="865"/>
    <w:link w:val="937"/>
    <w:uiPriority w:val="0"/>
    <w:qFormat/>
    <w:pPr>
      <w:jc w:val="center"/>
      <w:tabs>
        <w:tab w:val="center" w:pos="4153" w:leader="none"/>
        <w:tab w:val="right" w:pos="8306" w:leader="none"/>
      </w:tabs>
      <w:pBdr>
        <w:bottom w:val="single" w:color="auto" w:sz="6" w:space="1"/>
      </w:pBdr>
    </w:pPr>
    <w:rPr>
      <w:sz w:val="18"/>
      <w:szCs w:val="18"/>
    </w:rPr>
  </w:style>
  <w:style w:type="paragraph" w:styleId="896">
    <w:name w:val="toc 1"/>
    <w:basedOn w:val="865"/>
    <w:next w:val="865"/>
    <w:uiPriority w:val="39"/>
    <w:qFormat/>
    <w:pPr>
      <w:spacing w:line="300" w:lineRule="auto"/>
      <w:tabs>
        <w:tab w:val="left" w:pos="1050" w:leader="none"/>
        <w:tab w:val="right" w:pos="8937" w:leader="dot"/>
      </w:tabs>
    </w:pPr>
    <w:rPr>
      <w:rFonts w:ascii="宋体" w:hAnsi="宋体"/>
      <w:b/>
      <w:sz w:val="24"/>
    </w:rPr>
  </w:style>
  <w:style w:type="paragraph" w:styleId="897">
    <w:name w:val="toc 4"/>
    <w:basedOn w:val="865"/>
    <w:next w:val="865"/>
    <w:uiPriority w:val="0"/>
    <w:qFormat/>
    <w:pPr>
      <w:ind w:left="1260"/>
    </w:pPr>
  </w:style>
  <w:style w:type="paragraph" w:styleId="898">
    <w:name w:val="toc 6"/>
    <w:basedOn w:val="865"/>
    <w:next w:val="865"/>
    <w:uiPriority w:val="0"/>
    <w:qFormat/>
    <w:pPr>
      <w:ind w:left="2100"/>
    </w:pPr>
  </w:style>
  <w:style w:type="paragraph" w:styleId="899">
    <w:name w:val="Body Text Indent 3"/>
    <w:basedOn w:val="865"/>
    <w:link w:val="938"/>
    <w:uiPriority w:val="0"/>
    <w:qFormat/>
    <w:pPr>
      <w:ind w:left="720" w:firstLine="480"/>
      <w:jc w:val="left"/>
      <w:spacing w:before="120" w:line="22" w:lineRule="atLeast"/>
    </w:pPr>
    <w:rPr>
      <w:rFonts w:ascii="宋体"/>
      <w:sz w:val="24"/>
      <w:szCs w:val="20"/>
    </w:rPr>
  </w:style>
  <w:style w:type="paragraph" w:styleId="900">
    <w:name w:val="toc 2"/>
    <w:basedOn w:val="865"/>
    <w:next w:val="865"/>
    <w:uiPriority w:val="39"/>
    <w:qFormat/>
    <w:pPr>
      <w:ind w:left="420"/>
      <w:spacing w:line="312" w:lineRule="auto"/>
      <w:tabs>
        <w:tab w:val="right" w:pos="8937" w:leader="dot"/>
      </w:tabs>
    </w:pPr>
  </w:style>
  <w:style w:type="paragraph" w:styleId="901">
    <w:name w:val="toc 9"/>
    <w:basedOn w:val="865"/>
    <w:next w:val="865"/>
    <w:uiPriority w:val="0"/>
    <w:qFormat/>
    <w:pPr>
      <w:ind w:left="3360"/>
    </w:pPr>
  </w:style>
  <w:style w:type="paragraph" w:styleId="902">
    <w:name w:val="HTML Preformatted"/>
    <w:basedOn w:val="865"/>
    <w:link w:val="9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3">
    <w:name w:val="Normal (Web)"/>
    <w:basedOn w:val="865"/>
    <w:uiPriority w:val="99"/>
    <w:unhideWhenUsed/>
    <w:qFormat/>
    <w:pPr>
      <w:jc w:val="left"/>
      <w:spacing w:before="100" w:beforeAutospacing="1" w:after="100" w:afterAutospacing="1"/>
      <w:widowControl/>
    </w:pPr>
    <w:rPr>
      <w:rFonts w:ascii="宋体" w:hAnsi="宋体" w:cs="宋体"/>
      <w:sz w:val="24"/>
    </w:rPr>
  </w:style>
  <w:style w:type="paragraph" w:styleId="904">
    <w:name w:val="index 1"/>
    <w:basedOn w:val="865"/>
    <w:next w:val="865"/>
    <w:uiPriority w:val="0"/>
    <w:qFormat/>
    <w:rPr>
      <w:szCs w:val="20"/>
    </w:rPr>
  </w:style>
  <w:style w:type="paragraph" w:styleId="905">
    <w:name w:val="Title"/>
    <w:basedOn w:val="865"/>
    <w:link w:val="940"/>
    <w:uiPriority w:val="0"/>
    <w:qFormat/>
    <w:pPr>
      <w:jc w:val="center"/>
      <w:outlineLvl w:val="0"/>
    </w:pPr>
    <w:rPr>
      <w:b/>
      <w:sz w:val="32"/>
      <w:szCs w:val="20"/>
    </w:rPr>
  </w:style>
  <w:style w:type="paragraph" w:styleId="906">
    <w:name w:val="annotation subject"/>
    <w:basedOn w:val="881"/>
    <w:next w:val="881"/>
    <w:link w:val="941"/>
    <w:uiPriority w:val="0"/>
    <w:qFormat/>
    <w:rPr>
      <w:b/>
      <w:bCs/>
    </w:rPr>
  </w:style>
  <w:style w:type="paragraph" w:styleId="907">
    <w:name w:val="Body Text First Indent 2"/>
    <w:basedOn w:val="884"/>
    <w:link w:val="942"/>
    <w:uiPriority w:val="0"/>
    <w:qFormat/>
    <w:pPr>
      <w:ind w:left="420" w:firstLine="420"/>
      <w:spacing w:after="120" w:line="480" w:lineRule="exact"/>
    </w:pPr>
    <w:rPr>
      <w:szCs w:val="20"/>
    </w:rPr>
  </w:style>
  <w:style w:type="table" w:styleId="908">
    <w:name w:val="Table Grid"/>
    <w:basedOn w:val="87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9">
    <w:name w:val="Medium Grid 1 Accent 2"/>
    <w:basedOn w:val="87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0">
    <w:name w:val="Strong"/>
    <w:uiPriority w:val="0"/>
    <w:qFormat/>
    <w:rPr>
      <w:b/>
      <w:bCs/>
    </w:rPr>
  </w:style>
  <w:style w:type="character" w:styleId="911">
    <w:name w:val="page number"/>
    <w:uiPriority w:val="0"/>
    <w:qFormat/>
  </w:style>
  <w:style w:type="character" w:styleId="912">
    <w:name w:val="FollowedHyperlink"/>
    <w:uiPriority w:val="0"/>
    <w:qFormat/>
    <w:rPr>
      <w:color w:val="800080"/>
      <w:u w:val="single"/>
    </w:rPr>
  </w:style>
  <w:style w:type="character" w:styleId="913">
    <w:name w:val="Emphasis"/>
    <w:uiPriority w:val="0"/>
    <w:qFormat/>
    <w:rPr>
      <w:color w:val="cc0033"/>
    </w:rPr>
  </w:style>
  <w:style w:type="character" w:styleId="914">
    <w:name w:val="Hyperlink"/>
    <w:uiPriority w:val="99"/>
    <w:qFormat/>
    <w:rPr>
      <w:color w:val="0000ff"/>
      <w:u w:val="single"/>
    </w:rPr>
  </w:style>
  <w:style w:type="character" w:styleId="915">
    <w:name w:val="annotation reference"/>
    <w:uiPriority w:val="99"/>
    <w:qFormat/>
    <w:rPr>
      <w:sz w:val="21"/>
      <w:szCs w:val="21"/>
    </w:rPr>
  </w:style>
  <w:style w:type="character" w:styleId="916">
    <w:name w:val="HTML Cite"/>
    <w:uiPriority w:val="0"/>
    <w:qFormat/>
    <w:rPr>
      <w:i/>
      <w:iCs/>
    </w:rPr>
  </w:style>
  <w:style w:type="character" w:styleId="917" w:customStyle="1">
    <w:name w:val="标题 1 Char"/>
    <w:link w:val="866"/>
    <w:uiPriority w:val="0"/>
    <w:qFormat/>
    <w:rPr>
      <w:rFonts w:ascii="宋体"/>
      <w:b/>
      <w:sz w:val="32"/>
    </w:rPr>
  </w:style>
  <w:style w:type="character" w:styleId="918" w:customStyle="1">
    <w:name w:val="标题 2 Char1"/>
    <w:link w:val="867"/>
    <w:uiPriority w:val="0"/>
    <w:qFormat/>
    <w:rPr>
      <w:rFonts w:ascii="Arial" w:hAnsi="Arial" w:eastAsia="黑体"/>
      <w:b/>
      <w:sz w:val="30"/>
      <w:lang w:val="en-US" w:eastAsia="zh-CN" w:bidi="ar-SA"/>
    </w:rPr>
  </w:style>
  <w:style w:type="character" w:styleId="919" w:customStyle="1">
    <w:name w:val="正文缩进 Char1"/>
    <w:link w:val="877"/>
    <w:uiPriority w:val="0"/>
    <w:qFormat/>
    <w:rPr>
      <w:rFonts w:ascii="宋体" w:eastAsia="宋体"/>
      <w:sz w:val="24"/>
      <w:szCs w:val="24"/>
      <w:lang w:val="en-US" w:eastAsia="zh-CN" w:bidi="ar-SA"/>
    </w:rPr>
  </w:style>
  <w:style w:type="character" w:styleId="920" w:customStyle="1">
    <w:name w:val="标题 3 Char1"/>
    <w:link w:val="868"/>
    <w:uiPriority w:val="0"/>
    <w:qFormat/>
    <w:rPr>
      <w:rFonts w:ascii="宋体" w:eastAsia="宋体"/>
      <w:b/>
      <w:sz w:val="24"/>
      <w:u w:val="single"/>
      <w:lang w:val="en-US" w:eastAsia="zh-CN" w:bidi="ar-SA"/>
    </w:rPr>
  </w:style>
  <w:style w:type="character" w:styleId="921" w:customStyle="1">
    <w:name w:val="标题 4 Char"/>
    <w:link w:val="869"/>
    <w:uiPriority w:val="0"/>
    <w:qFormat/>
    <w:rPr>
      <w:rFonts w:ascii="Arial" w:hAnsi="Arial" w:eastAsia="黑体"/>
      <w:b/>
      <w:sz w:val="28"/>
    </w:rPr>
  </w:style>
  <w:style w:type="character" w:styleId="922" w:customStyle="1">
    <w:name w:val="标题 5 Char"/>
    <w:link w:val="870"/>
    <w:uiPriority w:val="0"/>
    <w:qFormat/>
    <w:rPr>
      <w:b/>
      <w:sz w:val="28"/>
    </w:rPr>
  </w:style>
  <w:style w:type="character" w:styleId="923" w:customStyle="1">
    <w:name w:val="标题 6 Char"/>
    <w:link w:val="871"/>
    <w:uiPriority w:val="0"/>
    <w:qFormat/>
    <w:rPr>
      <w:rFonts w:ascii="Arial" w:hAnsi="Arial" w:eastAsia="黑体"/>
      <w:b/>
      <w:sz w:val="24"/>
    </w:rPr>
  </w:style>
  <w:style w:type="character" w:styleId="924" w:customStyle="1">
    <w:name w:val="标题 7 Char"/>
    <w:link w:val="872"/>
    <w:uiPriority w:val="0"/>
    <w:qFormat/>
    <w:rPr>
      <w:b/>
      <w:sz w:val="24"/>
    </w:rPr>
  </w:style>
  <w:style w:type="character" w:styleId="925" w:customStyle="1">
    <w:name w:val="标题 8 Char"/>
    <w:link w:val="873"/>
    <w:uiPriority w:val="0"/>
    <w:qFormat/>
    <w:rPr>
      <w:rFonts w:ascii="Arial" w:hAnsi="Arial" w:eastAsia="黑体"/>
      <w:sz w:val="24"/>
    </w:rPr>
  </w:style>
  <w:style w:type="character" w:styleId="926" w:customStyle="1">
    <w:name w:val="标题 9 Char"/>
    <w:link w:val="874"/>
    <w:uiPriority w:val="0"/>
    <w:qFormat/>
    <w:rPr>
      <w:rFonts w:ascii="Arial" w:hAnsi="Arial" w:eastAsia="黑体"/>
      <w:sz w:val="21"/>
    </w:rPr>
  </w:style>
  <w:style w:type="character" w:styleId="927" w:customStyle="1">
    <w:name w:val="文档结构图 Char"/>
    <w:link w:val="880"/>
    <w:uiPriority w:val="0"/>
    <w:qFormat/>
    <w:rPr>
      <w:sz w:val="21"/>
      <w:szCs w:val="24"/>
      <w:shd w:val="clear" w:color="auto" w:fill="000080"/>
    </w:rPr>
  </w:style>
  <w:style w:type="character" w:styleId="928" w:customStyle="1">
    <w:name w:val="批注文字 Char1"/>
    <w:link w:val="881"/>
    <w:uiPriority w:val="99"/>
    <w:qFormat/>
    <w:rPr>
      <w:sz w:val="21"/>
      <w:szCs w:val="24"/>
    </w:rPr>
  </w:style>
  <w:style w:type="character" w:styleId="929" w:customStyle="1">
    <w:name w:val="正文文本 3 Char"/>
    <w:link w:val="882"/>
    <w:uiPriority w:val="0"/>
    <w:qFormat/>
    <w:rPr>
      <w:sz w:val="16"/>
      <w:szCs w:val="16"/>
    </w:rPr>
  </w:style>
  <w:style w:type="character" w:styleId="930" w:customStyle="1">
    <w:name w:val="正文文本 Char"/>
    <w:link w:val="883"/>
    <w:uiPriority w:val="0"/>
    <w:qFormat/>
    <w:rPr>
      <w:rFonts w:ascii="宋体" w:hAnsi="宋体"/>
      <w:sz w:val="24"/>
      <w:szCs w:val="24"/>
    </w:rPr>
  </w:style>
  <w:style w:type="character" w:styleId="931" w:customStyle="1">
    <w:name w:val="正文文本缩进 Char2"/>
    <w:link w:val="884"/>
    <w:uiPriority w:val="0"/>
    <w:qFormat/>
    <w:rPr>
      <w:rFonts w:eastAsia="宋体"/>
      <w:sz w:val="24"/>
      <w:szCs w:val="24"/>
      <w:lang w:val="en-US" w:eastAsia="zh-CN" w:bidi="ar-SA"/>
    </w:rPr>
  </w:style>
  <w:style w:type="character" w:styleId="932" w:customStyle="1">
    <w:name w:val="纯文本 Char"/>
    <w:link w:val="889"/>
    <w:uiPriority w:val="0"/>
    <w:qFormat/>
    <w:rPr>
      <w:rFonts w:hint="eastAsia" w:ascii="宋体" w:hAnsi="Courier New" w:eastAsia="宋体" w:cs="宋体"/>
      <w:sz w:val="21"/>
    </w:rPr>
  </w:style>
  <w:style w:type="character" w:styleId="933" w:customStyle="1">
    <w:name w:val="日期 Char"/>
    <w:link w:val="891"/>
    <w:uiPriority w:val="0"/>
    <w:qFormat/>
    <w:rPr>
      <w:rFonts w:ascii="仿宋_GB2312" w:hAnsi="宋体" w:eastAsia="仿宋_GB2312"/>
      <w:color w:val="000000"/>
      <w:sz w:val="24"/>
      <w:szCs w:val="24"/>
    </w:rPr>
  </w:style>
  <w:style w:type="character" w:styleId="934" w:customStyle="1">
    <w:name w:val="正文文本缩进 2 Char"/>
    <w:link w:val="892"/>
    <w:uiPriority w:val="0"/>
    <w:qFormat/>
    <w:rPr>
      <w:rFonts w:ascii="仿宋_GB2312" w:eastAsia="仿宋_GB2312"/>
      <w:sz w:val="24"/>
      <w:szCs w:val="24"/>
    </w:rPr>
  </w:style>
  <w:style w:type="character" w:styleId="935" w:customStyle="1">
    <w:name w:val="批注框文本 Char"/>
    <w:link w:val="893"/>
    <w:uiPriority w:val="0"/>
    <w:qFormat/>
    <w:rPr>
      <w:sz w:val="18"/>
      <w:szCs w:val="18"/>
    </w:rPr>
  </w:style>
  <w:style w:type="character" w:styleId="936" w:customStyle="1">
    <w:name w:val="页脚 Char1"/>
    <w:link w:val="894"/>
    <w:uiPriority w:val="99"/>
    <w:qFormat/>
    <w:rPr>
      <w:rFonts w:ascii="宋体" w:eastAsia="宋体"/>
      <w:sz w:val="18"/>
      <w:lang w:val="en-US" w:eastAsia="zh-CN" w:bidi="ar-SA"/>
    </w:rPr>
  </w:style>
  <w:style w:type="character" w:styleId="937" w:customStyle="1">
    <w:name w:val="页眉 Char1"/>
    <w:link w:val="895"/>
    <w:uiPriority w:val="0"/>
    <w:qFormat/>
    <w:rPr>
      <w:rFonts w:eastAsia="宋体"/>
      <w:sz w:val="18"/>
      <w:szCs w:val="18"/>
      <w:lang w:val="en-US" w:eastAsia="zh-CN" w:bidi="ar-SA"/>
    </w:rPr>
  </w:style>
  <w:style w:type="character" w:styleId="938" w:customStyle="1">
    <w:name w:val="正文文本缩进 3 Char"/>
    <w:link w:val="899"/>
    <w:uiPriority w:val="0"/>
    <w:qFormat/>
    <w:rPr>
      <w:rFonts w:ascii="宋体"/>
      <w:sz w:val="24"/>
    </w:rPr>
  </w:style>
  <w:style w:type="character" w:styleId="939" w:customStyle="1">
    <w:name w:val="HTML 预设格式 Char"/>
    <w:link w:val="902"/>
    <w:uiPriority w:val="0"/>
    <w:qFormat/>
    <w:rPr>
      <w:rFonts w:ascii="宋体" w:hAnsi="宋体" w:cs="宋体"/>
      <w:sz w:val="24"/>
      <w:szCs w:val="24"/>
    </w:rPr>
  </w:style>
  <w:style w:type="character" w:styleId="940" w:customStyle="1">
    <w:name w:val="标题 Char1"/>
    <w:link w:val="905"/>
    <w:uiPriority w:val="0"/>
    <w:qFormat/>
    <w:rPr>
      <w:b/>
      <w:sz w:val="32"/>
    </w:rPr>
  </w:style>
  <w:style w:type="character" w:styleId="941" w:customStyle="1">
    <w:name w:val="批注主题 Char"/>
    <w:link w:val="906"/>
    <w:uiPriority w:val="0"/>
    <w:qFormat/>
    <w:rPr>
      <w:rFonts w:ascii="Times New Roman" w:hAnsi="Times New Roman" w:eastAsia="宋体" w:cs="Times New Roman"/>
      <w:b/>
      <w:bCs/>
      <w:sz w:val="21"/>
      <w:szCs w:val="24"/>
      <w:lang w:val="en-US" w:eastAsia="zh-CN" w:bidi="ar-SA"/>
    </w:rPr>
  </w:style>
  <w:style w:type="character" w:styleId="942" w:customStyle="1">
    <w:name w:val="正文首行缩进 2 Char"/>
    <w:link w:val="907"/>
    <w:uiPriority w:val="0"/>
    <w:qFormat/>
    <w:rPr>
      <w:rFonts w:eastAsia="宋体"/>
      <w:sz w:val="24"/>
      <w:szCs w:val="24"/>
      <w:lang w:val="en-US" w:eastAsia="zh-CN" w:bidi="ar-SA"/>
    </w:rPr>
  </w:style>
  <w:style w:type="character" w:styleId="943" w:customStyle="1">
    <w:name w:val="批注文字 字符"/>
    <w:uiPriority w:val="99"/>
    <w:qFormat/>
    <w:rPr>
      <w:rFonts w:ascii="Times New Roman" w:hAnsi="Times New Roman" w:eastAsia="宋体" w:cs="Times New Roman"/>
      <w:sz w:val="24"/>
      <w:lang w:val="en-US" w:eastAsia="zh-CN" w:bidi="ar-SA"/>
    </w:rPr>
  </w:style>
  <w:style w:type="character" w:styleId="944" w:customStyle="1">
    <w:name w:val="c21"/>
    <w:uiPriority w:val="0"/>
    <w:qFormat/>
    <w:rPr>
      <w:rFonts w:hint="default" w:ascii="ˎ̥" w:hAnsi="ˎ̥"/>
      <w:color w:val="000000"/>
      <w:sz w:val="20"/>
      <w:szCs w:val="20"/>
      <w:u w:val="none"/>
    </w:rPr>
  </w:style>
  <w:style w:type="character" w:styleId="945" w:customStyle="1">
    <w:name w:val="title4"/>
    <w:uiPriority w:val="0"/>
    <w:qFormat/>
    <w:rPr>
      <w:b/>
      <w:bCs/>
      <w:color w:val="1d87b3"/>
      <w:sz w:val="15"/>
      <w:szCs w:val="15"/>
    </w:rPr>
  </w:style>
  <w:style w:type="character" w:styleId="946" w:customStyle="1">
    <w:name w:val="标题 2 Char Char"/>
    <w:uiPriority w:val="0"/>
    <w:qFormat/>
    <w:rPr>
      <w:rFonts w:ascii="Arial" w:hAnsi="Arial" w:eastAsia="黑体"/>
      <w:b/>
      <w:bCs/>
      <w:sz w:val="32"/>
      <w:szCs w:val="32"/>
      <w:lang w:val="en-US" w:eastAsia="zh-CN" w:bidi="ar-SA"/>
    </w:rPr>
  </w:style>
  <w:style w:type="character" w:styleId="947" w:customStyle="1">
    <w:name w:val="black1"/>
    <w:uiPriority w:val="0"/>
    <w:qFormat/>
    <w:rPr>
      <w:color w:val="000000"/>
    </w:rPr>
  </w:style>
  <w:style w:type="character" w:styleId="948" w:customStyle="1">
    <w:name w:val="street-address"/>
    <w:uiPriority w:val="0"/>
    <w:qFormat/>
  </w:style>
  <w:style w:type="character" w:styleId="949" w:customStyle="1">
    <w:name w:val="locality"/>
    <w:uiPriority w:val="0"/>
    <w:qFormat/>
  </w:style>
  <w:style w:type="character" w:styleId="950" w:customStyle="1">
    <w:name w:val="正文文本缩进 Char1"/>
    <w:link w:val="951"/>
    <w:uiPriority w:val="0"/>
    <w:qFormat/>
    <w:rPr>
      <w:rFonts w:ascii="宋体" w:hAnsi="宋体" w:eastAsia="宋体"/>
      <w:sz w:val="24"/>
      <w:szCs w:val="24"/>
      <w:lang w:bidi="ar-SA"/>
    </w:rPr>
  </w:style>
  <w:style w:type="paragraph" w:styleId="951" w:customStyle="1">
    <w:name w:val="正文文本缩进1"/>
    <w:basedOn w:val="865"/>
    <w:link w:val="950"/>
    <w:uiPriority w:val="0"/>
    <w:qFormat/>
    <w:pPr>
      <w:ind w:firstLine="480"/>
      <w:spacing w:line="480" w:lineRule="exact"/>
    </w:pPr>
    <w:rPr>
      <w:rFonts w:ascii="宋体" w:hAnsi="宋体"/>
      <w:sz w:val="24"/>
    </w:rPr>
  </w:style>
  <w:style w:type="character" w:styleId="952" w:customStyle="1">
    <w:name w:val="Char Char11"/>
    <w:uiPriority w:val="0"/>
    <w:qFormat/>
    <w:rPr>
      <w:rFonts w:ascii="宋体" w:eastAsia="宋体"/>
      <w:b/>
      <w:sz w:val="24"/>
      <w:u w:val="single"/>
      <w:lang w:val="en-US" w:eastAsia="zh-CN" w:bidi="ar-SA"/>
    </w:rPr>
  </w:style>
  <w:style w:type="character" w:styleId="953" w:customStyle="1">
    <w:name w:val="txt"/>
    <w:uiPriority w:val="0"/>
    <w:qFormat/>
  </w:style>
  <w:style w:type="character" w:styleId="954" w:customStyle="1">
    <w:name w:val="正文缩进 Char Char"/>
    <w:link w:val="955"/>
    <w:uiPriority w:val="0"/>
    <w:qFormat/>
    <w:rPr>
      <w:rFonts w:ascii="宋体" w:eastAsia="宋体"/>
      <w:color w:val="000000"/>
      <w:sz w:val="28"/>
      <w:lang w:bidi="ar-SA"/>
    </w:rPr>
  </w:style>
  <w:style w:type="paragraph" w:styleId="955" w:customStyle="1">
    <w:name w:val="正文缩进1"/>
    <w:basedOn w:val="865"/>
    <w:link w:val="954"/>
    <w:uiPriority w:val="0"/>
    <w:qFormat/>
    <w:pPr>
      <w:ind w:firstLine="567"/>
      <w:spacing w:line="480" w:lineRule="exact"/>
      <w:widowControl/>
    </w:pPr>
    <w:rPr>
      <w:rFonts w:ascii="宋体"/>
      <w:color w:val="000000"/>
      <w:sz w:val="28"/>
      <w:szCs w:val="20"/>
    </w:rPr>
  </w:style>
  <w:style w:type="character" w:styleId="956" w:customStyle="1">
    <w:name w:val="普通文字1 Char1"/>
    <w:uiPriority w:val="0"/>
    <w:qFormat/>
    <w:rPr>
      <w:rFonts w:ascii="宋体" w:hAnsi="Courier New" w:eastAsia="宋体"/>
      <w:sz w:val="21"/>
      <w:lang w:val="en-US" w:eastAsia="zh-CN" w:bidi="ar-SA"/>
    </w:rPr>
  </w:style>
  <w:style w:type="character" w:styleId="957" w:customStyle="1">
    <w:name w:val="chanpin1"/>
    <w:uiPriority w:val="0"/>
    <w:qFormat/>
    <w:rPr>
      <w:rFonts w:hint="default" w:ascii="ˎ̥" w:hAnsi="ˎ̥"/>
      <w:color w:val="000000"/>
      <w:sz w:val="20"/>
      <w:szCs w:val="20"/>
      <w:u w:val="none"/>
    </w:rPr>
  </w:style>
  <w:style w:type="character" w:styleId="958" w:customStyle="1">
    <w:name w:val="列出段落 Char1"/>
    <w:link w:val="959"/>
    <w:uiPriority w:val="34"/>
    <w:qFormat/>
    <w:rPr>
      <w:rFonts w:ascii="Calibri" w:hAnsi="Calibri" w:eastAsia="宋体"/>
      <w:sz w:val="21"/>
      <w:szCs w:val="22"/>
      <w:lang w:val="en-US" w:eastAsia="zh-CN" w:bidi="ar-SA"/>
    </w:rPr>
  </w:style>
  <w:style w:type="paragraph" w:styleId="959">
    <w:name w:val="List Paragraph"/>
    <w:basedOn w:val="865"/>
    <w:link w:val="958"/>
    <w:uiPriority w:val="34"/>
    <w:qFormat/>
    <w:pPr>
      <w:ind w:firstLine="420"/>
    </w:pPr>
    <w:rPr>
      <w:rFonts w:ascii="Calibri" w:hAnsi="Calibri"/>
      <w:szCs w:val="22"/>
    </w:rPr>
  </w:style>
  <w:style w:type="character" w:styleId="960" w:customStyle="1">
    <w:name w:val="标题 3 Char Char"/>
    <w:uiPriority w:val="0"/>
    <w:qFormat/>
    <w:rPr>
      <w:rFonts w:eastAsia="宋体"/>
      <w:b/>
      <w:bCs/>
      <w:sz w:val="32"/>
      <w:szCs w:val="32"/>
      <w:lang w:val="en-US" w:eastAsia="zh-CN" w:bidi="ar-SA"/>
    </w:rPr>
  </w:style>
  <w:style w:type="character" w:styleId="961" w:customStyle="1">
    <w:name w:val="段1 Char"/>
    <w:uiPriority w:val="0"/>
    <w:qFormat/>
    <w:rPr>
      <w:rFonts w:ascii="宋体" w:eastAsia="宋体"/>
      <w:sz w:val="24"/>
      <w:lang w:val="en-US" w:eastAsia="zh-CN" w:bidi="ar-SA"/>
    </w:rPr>
  </w:style>
  <w:style w:type="character" w:styleId="962" w:customStyle="1">
    <w:name w:val="chanpin拷贝"/>
    <w:uiPriority w:val="0"/>
    <w:qFormat/>
  </w:style>
  <w:style w:type="character" w:styleId="963" w:customStyle="1">
    <w:name w:val="纯文本 Char1"/>
    <w:uiPriority w:val="99"/>
    <w:qFormat/>
    <w:rPr>
      <w:rFonts w:ascii="宋体" w:hAnsi="Courier New" w:eastAsia="宋体"/>
      <w:sz w:val="21"/>
      <w:lang w:val="en-US" w:eastAsia="zh-CN" w:bidi="ar-SA"/>
    </w:rPr>
  </w:style>
  <w:style w:type="character" w:styleId="964" w:customStyle="1">
    <w:name w:val="apple-style-span"/>
    <w:uiPriority w:val="0"/>
    <w:qFormat/>
    <w:rPr>
      <w:rFonts w:cs="Times New Roman"/>
    </w:rPr>
  </w:style>
  <w:style w:type="paragraph" w:styleId="965" w:customStyle="1">
    <w:name w:val="二级条标题"/>
    <w:basedOn w:val="966"/>
    <w:next w:val="86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66" w:customStyle="1">
    <w:name w:val="一级条标题"/>
    <w:basedOn w:val="967"/>
    <w:next w:val="865"/>
    <w:uiPriority w:val="0"/>
    <w:qFormat/>
    <w:pPr>
      <w:numPr>
        <w:ilvl w:val="1"/>
      </w:numPr>
      <w:ind w:left="0" w:hanging="840"/>
      <w:tabs>
        <w:tab w:val="left" w:pos="360" w:leader="none"/>
        <w:tab w:val="left" w:pos="840" w:leader="none"/>
      </w:tabs>
      <w:outlineLvl w:val="1"/>
    </w:pPr>
  </w:style>
  <w:style w:type="paragraph" w:styleId="967" w:customStyle="1">
    <w:name w:val="章标题"/>
    <w:next w:val="865"/>
    <w:uiPriority w:val="0"/>
    <w:qFormat/>
    <w:pPr>
      <w:numPr>
        <w:ilvl w:val="0"/>
        <w:numId w:val="1"/>
      </w:numPr>
      <w:ind w:left="0"/>
      <w:jc w:val="both"/>
      <w:spacing w:line="460" w:lineRule="exact"/>
      <w:outlineLvl w:val="0"/>
    </w:pPr>
    <w:rPr>
      <w:rFonts w:ascii="黑体" w:hAnsi="Times New Roman" w:eastAsia="黑体" w:cs="Times New Roman"/>
      <w:b/>
      <w:sz w:val="28"/>
      <w:lang w:val="en-US" w:eastAsia="zh-CN" w:bidi="ar-SA"/>
    </w:rPr>
  </w:style>
  <w:style w:type="paragraph" w:styleId="968" w:customStyle="1">
    <w:name w:val="font7"/>
    <w:basedOn w:val="865"/>
    <w:uiPriority w:val="0"/>
    <w:qFormat/>
    <w:pPr>
      <w:jc w:val="left"/>
      <w:spacing w:before="100" w:beforeAutospacing="1" w:after="100" w:afterAutospacing="1"/>
      <w:widowControl/>
    </w:pPr>
    <w:rPr>
      <w:rFonts w:eastAsia="Arial Unicode MS"/>
      <w:b/>
      <w:bCs/>
      <w:color w:val="000000"/>
      <w:sz w:val="20"/>
      <w:szCs w:val="20"/>
    </w:rPr>
  </w:style>
  <w:style w:type="paragraph" w:styleId="969" w:customStyle="1">
    <w:name w:val="字元 字元"/>
    <w:basedOn w:val="865"/>
    <w:uiPriority w:val="0"/>
    <w:qFormat/>
    <w:rPr>
      <w:rFonts w:ascii="Tahoma" w:hAnsi="Tahoma"/>
      <w:sz w:val="24"/>
      <w:szCs w:val="20"/>
    </w:rPr>
  </w:style>
  <w:style w:type="paragraph" w:styleId="970" w:customStyle="1">
    <w:name w:val="Char3 Char Char Char"/>
    <w:basedOn w:val="865"/>
    <w:uiPriority w:val="0"/>
    <w:qFormat/>
    <w:rPr>
      <w:rFonts w:ascii="Tahoma" w:hAnsi="Tahoma"/>
      <w:sz w:val="24"/>
      <w:szCs w:val="20"/>
    </w:rPr>
  </w:style>
  <w:style w:type="paragraph" w:styleId="971" w:customStyle="1">
    <w:name w:val="font6"/>
    <w:basedOn w:val="865"/>
    <w:uiPriority w:val="0"/>
    <w:qFormat/>
    <w:pPr>
      <w:jc w:val="left"/>
      <w:spacing w:before="100" w:beforeAutospacing="1" w:after="100" w:afterAutospacing="1"/>
      <w:widowControl/>
    </w:pPr>
    <w:rPr>
      <w:rFonts w:ascii="宋体" w:hAnsi="宋体" w:cs="宋体"/>
      <w:sz w:val="20"/>
      <w:szCs w:val="20"/>
    </w:rPr>
  </w:style>
  <w:style w:type="paragraph" w:styleId="972" w:customStyle="1">
    <w:name w:val="项目编号2"/>
    <w:basedOn w:val="973"/>
    <w:uiPriority w:val="0"/>
    <w:qFormat/>
    <w:pPr>
      <w:numPr>
        <w:numId w:val="2"/>
      </w:numPr>
    </w:pPr>
  </w:style>
  <w:style w:type="paragraph" w:styleId="973" w:customStyle="1">
    <w:name w:val="项目编号1"/>
    <w:basedOn w:val="865"/>
    <w:uiPriority w:val="0"/>
    <w:qFormat/>
    <w:pPr>
      <w:numPr>
        <w:ilvl w:val="0"/>
        <w:numId w:val="3"/>
      </w:numPr>
      <w:spacing w:before="100" w:beforeAutospacing="1" w:after="100" w:afterAutospacing="1" w:line="360" w:lineRule="auto"/>
    </w:pPr>
    <w:rPr>
      <w:sz w:val="24"/>
    </w:rPr>
  </w:style>
  <w:style w:type="paragraph" w:styleId="974" w:customStyle="1">
    <w:name w:val="图中文字"/>
    <w:basedOn w:val="865"/>
    <w:uiPriority w:val="0"/>
    <w:qFormat/>
    <w:pPr>
      <w:jc w:val="center"/>
      <w:spacing w:line="0" w:lineRule="atLeast"/>
    </w:pPr>
    <w:rPr>
      <w:sz w:val="24"/>
      <w:szCs w:val="20"/>
    </w:rPr>
  </w:style>
  <w:style w:type="paragraph" w:styleId="975" w:customStyle="1">
    <w:name w:val="xl46"/>
    <w:basedOn w:val="86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76" w:customStyle="1">
    <w:name w:val="xl25"/>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77" w:customStyle="1">
    <w:name w:val="Char2"/>
    <w:basedOn w:val="865"/>
    <w:uiPriority w:val="0"/>
    <w:qFormat/>
    <w:rPr>
      <w:rFonts w:ascii="Tahoma" w:hAnsi="Tahoma"/>
      <w:sz w:val="24"/>
      <w:szCs w:val="20"/>
    </w:rPr>
  </w:style>
  <w:style w:type="paragraph" w:styleId="978" w:customStyle="1">
    <w:name w:val="xl35"/>
    <w:basedOn w:val="8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customStyle="1">
    <w:name w:val="xl4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0" w:customStyle="1">
    <w:name w:val="xl52"/>
    <w:basedOn w:val="8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81" w:customStyle="1">
    <w:name w:val="xl43"/>
    <w:basedOn w:val="8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82" w:customStyle="1">
    <w:name w:val="background1"/>
    <w:basedOn w:val="865"/>
    <w:uiPriority w:val="0"/>
    <w:qFormat/>
    <w:pPr>
      <w:jc w:val="left"/>
      <w:spacing w:before="100" w:beforeAutospacing="1" w:after="100" w:afterAutospacing="1"/>
      <w:widowControl/>
    </w:pPr>
    <w:rPr>
      <w:rFonts w:ascii="宋体" w:hAnsi="宋体" w:cs="宋体"/>
      <w:sz w:val="24"/>
    </w:rPr>
  </w:style>
  <w:style w:type="paragraph" w:styleId="983" w:customStyle="1">
    <w:name w:val="Char Char Char Char Char Char Char"/>
    <w:basedOn w:val="865"/>
    <w:uiPriority w:val="0"/>
    <w:qFormat/>
    <w:pPr>
      <w:ind w:firstLine="200"/>
      <w:spacing w:line="360" w:lineRule="auto"/>
    </w:pPr>
    <w:rPr>
      <w:rFonts w:eastAsia="仿宋_GB2312"/>
      <w:sz w:val="24"/>
    </w:rPr>
  </w:style>
  <w:style w:type="paragraph" w:styleId="984" w:customStyle="1">
    <w:name w:val="xl38"/>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85" w:customStyle="1">
    <w:name w:val="xl36"/>
    <w:basedOn w:val="86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6" w:customStyle="1">
    <w:name w:val="正文 + 宋体"/>
    <w:basedOn w:val="865"/>
    <w:uiPriority w:val="0"/>
    <w:qFormat/>
    <w:pPr>
      <w:ind w:left="360" w:hanging="360"/>
      <w:jc w:val="left"/>
      <w:widowControl/>
    </w:pPr>
    <w:rPr>
      <w:rFonts w:ascii="宋体" w:hAnsi="宋体" w:cs="宋体"/>
      <w:b/>
      <w:bCs/>
      <w:color w:val="000000"/>
      <w:sz w:val="18"/>
      <w:szCs w:val="18"/>
    </w:rPr>
  </w:style>
  <w:style w:type="paragraph" w:styleId="987" w:customStyle="1">
    <w:name w:val="正文列项_数字"/>
    <w:basedOn w:val="86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988" w:customStyle="1">
    <w:name w:val="xl39"/>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9" w:customStyle="1">
    <w:name w:val="xl37"/>
    <w:basedOn w:val="8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0" w:customStyle="1">
    <w:name w:val="xl32"/>
    <w:basedOn w:val="8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1" w:customStyle="1">
    <w:name w:val="font8"/>
    <w:basedOn w:val="865"/>
    <w:uiPriority w:val="0"/>
    <w:qFormat/>
    <w:pPr>
      <w:jc w:val="left"/>
      <w:spacing w:before="100" w:beforeAutospacing="1" w:after="100" w:afterAutospacing="1"/>
      <w:widowControl/>
    </w:pPr>
    <w:rPr>
      <w:sz w:val="36"/>
      <w:szCs w:val="36"/>
    </w:rPr>
  </w:style>
  <w:style w:type="paragraph" w:styleId="992" w:customStyle="1">
    <w:name w:val="Char"/>
    <w:basedOn w:val="865"/>
    <w:uiPriority w:val="0"/>
    <w:qFormat/>
    <w:pPr>
      <w:tabs>
        <w:tab w:val="left" w:pos="360" w:leader="none"/>
      </w:tabs>
    </w:pPr>
    <w:rPr>
      <w:sz w:val="24"/>
    </w:rPr>
  </w:style>
  <w:style w:type="paragraph" w:styleId="993" w:customStyle="1">
    <w:name w:val="Char Char Char Char Char Char Char Char Char Char Char Char Char Char Char Char"/>
    <w:basedOn w:val="865"/>
    <w:uiPriority w:val="0"/>
    <w:qFormat/>
    <w:pPr>
      <w:jc w:val="center"/>
      <w:spacing w:after="160" w:line="240" w:lineRule="exact"/>
      <w:widowControl/>
    </w:pPr>
    <w:rPr>
      <w:rFonts w:ascii="宋体" w:hAnsi="宋体"/>
      <w:b/>
      <w:sz w:val="30"/>
      <w:szCs w:val="30"/>
      <w:lang w:eastAsia="en-US"/>
    </w:rPr>
  </w:style>
  <w:style w:type="paragraph" w:styleId="994" w:customStyle="1">
    <w:name w:val="xl45"/>
    <w:basedOn w:val="8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95" w:customStyle="1">
    <w:name w:val="Char Char1 Char Char Char Char Char Char"/>
    <w:basedOn w:val="865"/>
    <w:uiPriority w:val="0"/>
    <w:qFormat/>
    <w:pPr>
      <w:jc w:val="left"/>
      <w:spacing w:after="160" w:line="240" w:lineRule="exact"/>
      <w:widowControl/>
    </w:pPr>
    <w:rPr>
      <w:rFonts w:ascii="Verdana" w:hAnsi="Verdana" w:eastAsia="仿宋_GB2312"/>
      <w:sz w:val="24"/>
      <w:szCs w:val="20"/>
      <w:lang w:eastAsia="en-US"/>
    </w:rPr>
  </w:style>
  <w:style w:type="paragraph" w:styleId="996" w:customStyle="1">
    <w:name w:val="Char Char1"/>
    <w:basedOn w:val="880"/>
    <w:uiPriority w:val="0"/>
    <w:qFormat/>
    <w:rPr>
      <w:rFonts w:ascii="Tahoma" w:hAnsi="Tahoma"/>
      <w:sz w:val="24"/>
    </w:rPr>
  </w:style>
  <w:style w:type="paragraph" w:styleId="997" w:customStyle="1">
    <w:name w:val="xl2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98" w:customStyle="1">
    <w:name w:val="xl3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9" w:customStyle="1">
    <w:name w:val="xl4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00" w:customStyle="1">
    <w:name w:val="样式 宋体 五号 行距: 单倍行距"/>
    <w:basedOn w:val="865"/>
    <w:uiPriority w:val="0"/>
    <w:qFormat/>
    <w:pPr>
      <w:jc w:val="left"/>
    </w:pPr>
    <w:rPr>
      <w:rFonts w:ascii="宋体" w:hAnsi="宋体"/>
      <w:szCs w:val="20"/>
    </w:rPr>
  </w:style>
  <w:style w:type="paragraph" w:styleId="1001" w:customStyle="1">
    <w:name w:val="Char1 Char Char Char1"/>
    <w:basedOn w:val="865"/>
    <w:uiPriority w:val="0"/>
    <w:qFormat/>
    <w:rPr>
      <w:rFonts w:ascii="Tahoma" w:hAnsi="Tahoma" w:cs="仿宋_GB2312"/>
      <w:sz w:val="24"/>
      <w:szCs w:val="28"/>
    </w:rPr>
  </w:style>
  <w:style w:type="paragraph" w:styleId="1002" w:customStyle="1">
    <w:name w:val="四级条标题"/>
    <w:basedOn w:val="1003"/>
    <w:next w:val="865"/>
    <w:uiPriority w:val="0"/>
    <w:qFormat/>
    <w:pPr>
      <w:numPr>
        <w:ilvl w:val="4"/>
      </w:numPr>
      <w:ind w:left="0" w:hanging="840"/>
      <w:tabs>
        <w:tab w:val="left" w:pos="360" w:leader="none"/>
        <w:tab w:val="left" w:pos="840" w:leader="none"/>
      </w:tabs>
      <w:outlineLvl w:val="4"/>
    </w:pPr>
  </w:style>
  <w:style w:type="paragraph" w:styleId="1003" w:customStyle="1">
    <w:name w:val="三级条标题"/>
    <w:basedOn w:val="965"/>
    <w:next w:val="865"/>
    <w:uiPriority w:val="0"/>
    <w:qFormat/>
    <w:pPr>
      <w:numPr>
        <w:ilvl w:val="3"/>
        <w:numId w:val="1"/>
      </w:numPr>
      <w:ind w:left="0" w:hanging="840"/>
      <w:outlineLvl w:val="3"/>
    </w:pPr>
  </w:style>
  <w:style w:type="paragraph" w:styleId="100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05" w:customStyle="1">
    <w:name w:val="样式 标题 2 + 宋体 五号 行距: 单倍行距"/>
    <w:basedOn w:val="867"/>
    <w:uiPriority w:val="0"/>
    <w:qFormat/>
    <w:pPr>
      <w:numPr>
        <w:ilvl w:val="1"/>
        <w:numId w:val="4"/>
      </w:numPr>
      <w:jc w:val="left"/>
      <w:spacing w:before="260" w:after="260" w:line="240" w:lineRule="auto"/>
    </w:pPr>
    <w:rPr>
      <w:rFonts w:ascii="宋体" w:hAnsi="宋体" w:eastAsia="宋体"/>
      <w:bCs/>
      <w:sz w:val="21"/>
    </w:rPr>
  </w:style>
  <w:style w:type="paragraph" w:styleId="1006" w:customStyle="1">
    <w:name w:val="List Paragraph1"/>
    <w:basedOn w:val="865"/>
    <w:uiPriority w:val="0"/>
    <w:qFormat/>
    <w:pPr>
      <w:ind w:firstLine="420"/>
    </w:pPr>
    <w:rPr>
      <w:rFonts w:ascii="Calibri" w:hAnsi="Calibri"/>
      <w:szCs w:val="22"/>
    </w:rPr>
  </w:style>
  <w:style w:type="paragraph" w:styleId="1007" w:customStyle="1">
    <w:name w:val="项目符号1"/>
    <w:basedOn w:val="1008"/>
    <w:uiPriority w:val="0"/>
    <w:qFormat/>
    <w:pPr>
      <w:ind w:left="-25" w:firstLine="0"/>
    </w:pPr>
  </w:style>
  <w:style w:type="paragraph" w:styleId="1008" w:customStyle="1">
    <w:name w:val="正文文本样式"/>
    <w:basedOn w:val="865"/>
    <w:uiPriority w:val="0"/>
    <w:qFormat/>
    <w:pPr>
      <w:ind w:firstLine="482"/>
      <w:spacing w:line="360" w:lineRule="auto"/>
    </w:pPr>
    <w:rPr>
      <w:rFonts w:cs="宋体"/>
      <w:sz w:val="24"/>
      <w:szCs w:val="20"/>
    </w:rPr>
  </w:style>
  <w:style w:type="paragraph" w:styleId="1009" w:customStyle="1">
    <w:name w:val="xl27"/>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10" w:customStyle="1">
    <w:name w:val="font5"/>
    <w:basedOn w:val="865"/>
    <w:uiPriority w:val="0"/>
    <w:qFormat/>
    <w:pPr>
      <w:jc w:val="left"/>
      <w:spacing w:before="100" w:beforeAutospacing="1" w:after="100" w:afterAutospacing="1"/>
      <w:widowControl/>
    </w:pPr>
    <w:rPr>
      <w:rFonts w:ascii="宋体" w:hAnsi="宋体" w:cs="宋体"/>
      <w:sz w:val="18"/>
      <w:szCs w:val="18"/>
    </w:rPr>
  </w:style>
  <w:style w:type="paragraph" w:styleId="1011" w:customStyle="1">
    <w:name w:val="五级条标题"/>
    <w:basedOn w:val="1002"/>
    <w:next w:val="865"/>
    <w:uiPriority w:val="0"/>
    <w:qFormat/>
    <w:pPr>
      <w:numPr>
        <w:ilvl w:val="5"/>
      </w:numPr>
      <w:ind w:left="0" w:hanging="840"/>
      <w:outlineLvl w:val="5"/>
    </w:pPr>
  </w:style>
  <w:style w:type="paragraph" w:styleId="1012" w:customStyle="1">
    <w:name w:val="xl49"/>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13" w:customStyle="1">
    <w:name w:val="文档正文"/>
    <w:basedOn w:val="865"/>
    <w:uiPriority w:val="0"/>
    <w:qFormat/>
    <w:pPr>
      <w:spacing w:before="120" w:after="120" w:line="180" w:lineRule="auto"/>
    </w:pPr>
    <w:rPr>
      <w:rFonts w:ascii="Arial" w:hAnsi="Arial"/>
      <w:szCs w:val="20"/>
    </w:rPr>
  </w:style>
  <w:style w:type="paragraph" w:styleId="1014" w:customStyle="1">
    <w:name w:val="xl33"/>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15" w:customStyle="1">
    <w:name w:val="xl42"/>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16" w:customStyle="1">
    <w:name w:val="Char Char Char1 Char"/>
    <w:basedOn w:val="865"/>
    <w:uiPriority w:val="0"/>
    <w:qFormat/>
    <w:rPr>
      <w:rFonts w:ascii="Tahoma" w:hAnsi="Tahoma"/>
      <w:sz w:val="24"/>
      <w:szCs w:val="20"/>
    </w:rPr>
  </w:style>
  <w:style w:type="paragraph" w:styleId="1017" w:customStyle="1">
    <w:name w:val="xl44"/>
    <w:basedOn w:val="86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18" w:customStyle="1">
    <w:name w:val="1名"/>
    <w:basedOn w:val="865"/>
    <w:uiPriority w:val="0"/>
    <w:qFormat/>
    <w:pPr>
      <w:numPr>
        <w:ilvl w:val="0"/>
        <w:numId w:val="5"/>
      </w:numPr>
      <w:spacing w:before="120"/>
    </w:pPr>
    <w:rPr>
      <w:rFonts w:ascii="宋体"/>
      <w:sz w:val="28"/>
      <w:szCs w:val="20"/>
    </w:rPr>
  </w:style>
  <w:style w:type="paragraph" w:styleId="1019" w:customStyle="1">
    <w:name w:val="font9"/>
    <w:basedOn w:val="86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20" w:customStyle="1">
    <w:name w:val="Char Char Char1 Char1"/>
    <w:basedOn w:val="865"/>
    <w:uiPriority w:val="0"/>
    <w:qFormat/>
    <w:rPr>
      <w:rFonts w:ascii="Tahoma" w:hAnsi="Tahoma"/>
      <w:sz w:val="24"/>
      <w:szCs w:val="20"/>
    </w:rPr>
  </w:style>
  <w:style w:type="paragraph" w:styleId="1021" w:customStyle="1">
    <w:name w:val="Char Char Char Char Char Char Char Char Char Char"/>
    <w:basedOn w:val="865"/>
    <w:uiPriority w:val="0"/>
    <w:qFormat/>
  </w:style>
  <w:style w:type="paragraph" w:styleId="1022" w:customStyle="1">
    <w:name w:val="Char Char1 Char Char Char Char Char Char Char Char"/>
    <w:basedOn w:val="865"/>
    <w:uiPriority w:val="0"/>
    <w:qFormat/>
    <w:pPr>
      <w:jc w:val="left"/>
      <w:spacing w:after="160" w:line="240" w:lineRule="exact"/>
      <w:widowControl/>
    </w:pPr>
    <w:rPr>
      <w:rFonts w:ascii="Verdana" w:hAnsi="Verdana"/>
      <w:sz w:val="20"/>
      <w:szCs w:val="20"/>
      <w:lang w:eastAsia="en-US"/>
    </w:rPr>
  </w:style>
  <w:style w:type="paragraph" w:styleId="1023" w:customStyle="1">
    <w:name w:val="Char1"/>
    <w:basedOn w:val="865"/>
    <w:uiPriority w:val="0"/>
    <w:qFormat/>
    <w:pPr>
      <w:tabs>
        <w:tab w:val="left" w:pos="360" w:leader="none"/>
      </w:tabs>
    </w:pPr>
    <w:rPr>
      <w:sz w:val="24"/>
    </w:rPr>
  </w:style>
  <w:style w:type="paragraph" w:styleId="1024" w:customStyle="1">
    <w:name w:val="正文列项_字母"/>
    <w:basedOn w:val="86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25" w:customStyle="1">
    <w:name w:val="xl28"/>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6" w:customStyle="1">
    <w:name w:val="xl47"/>
    <w:basedOn w:val="86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7" w:customStyle="1">
    <w:name w:val="默认段落字体 Para Char Char Char Char"/>
    <w:basedOn w:val="865"/>
    <w:uiPriority w:val="0"/>
    <w:qFormat/>
    <w:rPr>
      <w:rFonts w:ascii="Arial" w:hAnsi="Arial" w:cs="Arial"/>
      <w:szCs w:val="21"/>
    </w:rPr>
  </w:style>
  <w:style w:type="paragraph" w:styleId="1028" w:customStyle="1">
    <w:name w:val="xl48"/>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29" w:customStyle="1">
    <w:name w:val="xl31"/>
    <w:basedOn w:val="8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30" w:customStyle="1">
    <w:name w:val="xl53"/>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1" w:customStyle="1">
    <w:name w:val="Char Char Char"/>
    <w:basedOn w:val="865"/>
    <w:uiPriority w:val="0"/>
    <w:qFormat/>
    <w:rPr>
      <w:rFonts w:ascii="Tahoma" w:hAnsi="Tahoma"/>
      <w:sz w:val="24"/>
      <w:szCs w:val="20"/>
    </w:rPr>
  </w:style>
  <w:style w:type="paragraph" w:styleId="1032" w:customStyle="1">
    <w:name w:val="xl50"/>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33" w:customStyle="1">
    <w:name w:val="缺省文本"/>
    <w:basedOn w:val="865"/>
    <w:uiPriority w:val="0"/>
    <w:qFormat/>
    <w:pPr>
      <w:jc w:val="left"/>
    </w:pPr>
    <w:rPr>
      <w:sz w:val="24"/>
    </w:rPr>
  </w:style>
  <w:style w:type="paragraph" w:styleId="1034" w:customStyle="1">
    <w:name w:val="Char Char Char1"/>
    <w:basedOn w:val="865"/>
    <w:uiPriority w:val="0"/>
    <w:qFormat/>
    <w:rPr>
      <w:rFonts w:ascii="Tahoma" w:hAnsi="Tahoma"/>
      <w:sz w:val="24"/>
      <w:szCs w:val="20"/>
    </w:rPr>
  </w:style>
  <w:style w:type="paragraph" w:styleId="1035" w:customStyle="1">
    <w:name w:val="Char Char Char Char Char Char Char1"/>
    <w:basedOn w:val="865"/>
    <w:uiPriority w:val="0"/>
    <w:qFormat/>
    <w:pPr>
      <w:ind w:firstLine="200"/>
      <w:spacing w:line="360" w:lineRule="auto"/>
    </w:pPr>
    <w:rPr>
      <w:rFonts w:eastAsia="仿宋_GB2312"/>
      <w:sz w:val="24"/>
    </w:rPr>
  </w:style>
  <w:style w:type="paragraph" w:styleId="1036" w:customStyle="1">
    <w:name w:val="xl51"/>
    <w:basedOn w:val="8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7" w:customStyle="1">
    <w:name w:val="样式2"/>
    <w:basedOn w:val="904"/>
    <w:uiPriority w:val="0"/>
    <w:qFormat/>
    <w:pPr>
      <w:jc w:val="center"/>
      <w:spacing w:line="360" w:lineRule="auto"/>
    </w:pPr>
    <w:rPr>
      <w:sz w:val="24"/>
    </w:rPr>
  </w:style>
  <w:style w:type="paragraph" w:styleId="1038" w:customStyle="1">
    <w:name w:val="xl24"/>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9" w:customStyle="1">
    <w:name w:val="xl29"/>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40" w:customStyle="1">
    <w:name w:val="正文 + 楷体_GB2312"/>
    <w:basedOn w:val="865"/>
    <w:uiPriority w:val="0"/>
    <w:qFormat/>
    <w:pPr>
      <w:jc w:val="left"/>
      <w:widowControl/>
    </w:pPr>
    <w:rPr>
      <w:rFonts w:ascii="楷体_GB2312" w:eastAsia="楷体_GB2312" w:cs="Arial"/>
      <w:sz w:val="24"/>
    </w:rPr>
  </w:style>
  <w:style w:type="paragraph" w:styleId="1041" w:customStyle="1">
    <w:name w:val="xl3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42" w:customStyle="1">
    <w:name w:val="1 Char Char Char Char"/>
    <w:basedOn w:val="865"/>
    <w:uiPriority w:val="0"/>
    <w:qFormat/>
    <w:rPr>
      <w:rFonts w:ascii="Tahoma" w:hAnsi="Tahoma"/>
      <w:sz w:val="24"/>
      <w:szCs w:val="20"/>
    </w:rPr>
  </w:style>
  <w:style w:type="paragraph" w:styleId="1043"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44" w:customStyle="1">
    <w:name w:val="列出段落1"/>
    <w:basedOn w:val="865"/>
    <w:uiPriority w:val="0"/>
    <w:qFormat/>
    <w:pPr>
      <w:ind w:firstLine="420"/>
    </w:pPr>
    <w:rPr>
      <w:rFonts w:ascii="Calibri" w:hAnsi="Calibri"/>
      <w:szCs w:val="22"/>
    </w:rPr>
  </w:style>
  <w:style w:type="paragraph" w:styleId="1045" w:customStyle="1">
    <w:name w:val="default"/>
    <w:basedOn w:val="865"/>
    <w:uiPriority w:val="0"/>
    <w:qFormat/>
    <w:pPr>
      <w:jc w:val="left"/>
      <w:spacing w:before="100" w:beforeAutospacing="1" w:after="100" w:afterAutospacing="1"/>
      <w:widowControl/>
    </w:pPr>
    <w:rPr>
      <w:rFonts w:ascii="宋体" w:hAnsi="宋体" w:cs="宋体"/>
      <w:sz w:val="24"/>
    </w:rPr>
  </w:style>
  <w:style w:type="paragraph" w:styleId="1046" w:customStyle="1">
    <w:name w:val="字元 字元1"/>
    <w:basedOn w:val="865"/>
    <w:uiPriority w:val="0"/>
    <w:qFormat/>
    <w:rPr>
      <w:rFonts w:ascii="Tahoma" w:hAnsi="Tahoma"/>
      <w:sz w:val="24"/>
      <w:szCs w:val="20"/>
    </w:rPr>
  </w:style>
  <w:style w:type="paragraph" w:styleId="1047" w:customStyle="1">
    <w:name w:val="_Style 160"/>
    <w:uiPriority w:val="0"/>
    <w:qFormat/>
    <w:rPr>
      <w:rFonts w:ascii="Times New Roman" w:hAnsi="Times New Roman" w:eastAsia="宋体" w:cs="Times New Roman"/>
      <w:sz w:val="21"/>
      <w:szCs w:val="24"/>
      <w:lang w:val="en-US" w:eastAsia="zh-CN" w:bidi="ar-SA"/>
    </w:rPr>
  </w:style>
  <w:style w:type="paragraph" w:styleId="1048" w:customStyle="1">
    <w:name w:val="项目编号3"/>
    <w:basedOn w:val="1008"/>
    <w:uiPriority w:val="0"/>
    <w:qFormat/>
    <w:pPr>
      <w:numPr>
        <w:ilvl w:val="0"/>
        <w:numId w:val="6"/>
      </w:numPr>
    </w:pPr>
  </w:style>
  <w:style w:type="paragraph" w:styleId="1049" w:customStyle="1">
    <w:name w:val="Char21"/>
    <w:basedOn w:val="865"/>
    <w:uiPriority w:val="0"/>
    <w:qFormat/>
    <w:rPr>
      <w:rFonts w:ascii="Tahoma" w:hAnsi="Tahoma"/>
      <w:sz w:val="24"/>
      <w:szCs w:val="20"/>
    </w:rPr>
  </w:style>
  <w:style w:type="paragraph" w:styleId="1050" w:customStyle="1">
    <w:name w:val="表格文字"/>
    <w:basedOn w:val="884"/>
    <w:uiPriority w:val="0"/>
    <w:qFormat/>
    <w:pPr>
      <w:ind w:firstLine="0"/>
      <w:spacing w:before="20" w:after="20" w:line="240" w:lineRule="auto"/>
    </w:pPr>
    <w:rPr>
      <w:rFonts w:ascii="Century Gothic" w:hAnsi="Century Gothic"/>
      <w:sz w:val="20"/>
      <w:szCs w:val="20"/>
    </w:rPr>
  </w:style>
  <w:style w:type="paragraph" w:styleId="1051" w:customStyle="1">
    <w:name w:val="Char Char Char Char Char Char Char Char Char Char1"/>
    <w:basedOn w:val="865"/>
    <w:uiPriority w:val="0"/>
    <w:qFormat/>
    <w:rPr>
      <w:rFonts w:ascii="宋体" w:hAnsi="宋体" w:cs="Courier New"/>
      <w:sz w:val="32"/>
      <w:szCs w:val="32"/>
    </w:rPr>
  </w:style>
  <w:style w:type="paragraph" w:styleId="1052" w:customStyle="1">
    <w:name w:val="正文文本样式 加粗"/>
    <w:basedOn w:val="1008"/>
    <w:uiPriority w:val="0"/>
    <w:qFormat/>
    <w:rPr>
      <w:b/>
    </w:rPr>
  </w:style>
  <w:style w:type="paragraph" w:styleId="1053" w:customStyle="1">
    <w:name w:val="Char2 Char Char Char Char Char Char"/>
    <w:basedOn w:val="865"/>
    <w:uiPriority w:val="0"/>
    <w:qFormat/>
    <w:pPr>
      <w:jc w:val="center"/>
      <w:spacing w:line="400" w:lineRule="exact"/>
      <w:widowControl/>
    </w:pPr>
  </w:style>
  <w:style w:type="paragraph" w:styleId="1054" w:customStyle="1">
    <w:name w:val="Char Char4"/>
    <w:basedOn w:val="865"/>
    <w:uiPriority w:val="0"/>
    <w:qFormat/>
    <w:pPr>
      <w:jc w:val="center"/>
      <w:spacing w:line="400" w:lineRule="exact"/>
      <w:widowControl/>
    </w:pPr>
  </w:style>
  <w:style w:type="paragraph" w:styleId="1055" w:customStyle="1">
    <w:name w:val="Char3 Char Char Char1"/>
    <w:basedOn w:val="865"/>
    <w:uiPriority w:val="0"/>
    <w:qFormat/>
    <w:rPr>
      <w:rFonts w:ascii="Tahoma" w:hAnsi="Tahoma"/>
      <w:sz w:val="24"/>
      <w:szCs w:val="20"/>
    </w:rPr>
  </w:style>
  <w:style w:type="paragraph" w:styleId="105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57" w:customStyle="1">
    <w:name w:val="22222222222222"/>
    <w:basedOn w:val="865"/>
    <w:uiPriority w:val="0"/>
    <w:qFormat/>
    <w:pPr>
      <w:ind w:firstLine="480"/>
      <w:jc w:val="left"/>
      <w:spacing w:line="360" w:lineRule="auto"/>
      <w:widowControl/>
    </w:pPr>
    <w:rPr>
      <w:color w:val="ff0000"/>
      <w:sz w:val="24"/>
      <w:szCs w:val="20"/>
    </w:rPr>
  </w:style>
  <w:style w:type="character" w:styleId="1058" w:customStyle="1">
    <w:name w:val="中等深浅网格 1 - 强调文字颜色 2 Char"/>
    <w:link w:val="1059"/>
    <w:uiPriority w:val="0"/>
    <w:qFormat/>
    <w:rPr>
      <w:sz w:val="21"/>
      <w:szCs w:val="24"/>
      <w:lang w:val="zh-CN" w:eastAsia="zh-CN" w:bidi="ar-SA"/>
    </w:rPr>
  </w:style>
  <w:style w:type="paragraph" w:styleId="1059" w:customStyle="1">
    <w:name w:val="1"/>
    <w:link w:val="1058"/>
    <w:uiPriority w:val="0"/>
    <w:qFormat/>
    <w:rPr>
      <w:rFonts w:ascii="Times New Roman" w:hAnsi="Times New Roman" w:eastAsia="宋体" w:cs="Times New Roman"/>
      <w:sz w:val="21"/>
      <w:szCs w:val="24"/>
      <w:lang w:val="zh-CN" w:eastAsia="zh-CN" w:bidi="ar-SA"/>
    </w:rPr>
  </w:style>
  <w:style w:type="paragraph" w:styleId="1060" w:customStyle="1">
    <w:name w:val="图文"/>
    <w:basedOn w:val="865"/>
    <w:uiPriority w:val="0"/>
    <w:qFormat/>
    <w:pPr>
      <w:spacing w:after="50" w:line="360" w:lineRule="auto"/>
    </w:pPr>
    <w:rPr>
      <w:sz w:val="24"/>
    </w:rPr>
  </w:style>
  <w:style w:type="paragraph" w:styleId="1061" w:customStyle="1">
    <w:name w:val="xl23"/>
    <w:basedOn w:val="865"/>
    <w:uiPriority w:val="0"/>
    <w:qFormat/>
    <w:pPr>
      <w:spacing w:before="100" w:beforeAutospacing="1" w:after="100" w:afterAutospacing="1" w:line="360" w:lineRule="auto"/>
      <w:widowControl/>
    </w:pPr>
    <w:rPr>
      <w:sz w:val="24"/>
      <w:szCs w:val="20"/>
    </w:rPr>
  </w:style>
  <w:style w:type="paragraph" w:styleId="1062" w:customStyle="1">
    <w:name w:val="正文表格"/>
    <w:basedOn w:val="865"/>
    <w:link w:val="1063"/>
    <w:uiPriority w:val="0"/>
    <w:qFormat/>
    <w:pPr>
      <w:jc w:val="left"/>
    </w:pPr>
    <w:rPr>
      <w:rFonts w:ascii="宋体" w:hAnsi="宋体"/>
      <w:color w:val="000000"/>
      <w:szCs w:val="21"/>
    </w:rPr>
  </w:style>
  <w:style w:type="character" w:styleId="1063" w:customStyle="1">
    <w:name w:val="正文表格 Char"/>
    <w:link w:val="1062"/>
    <w:uiPriority w:val="0"/>
    <w:qFormat/>
    <w:rPr>
      <w:rFonts w:ascii="宋体" w:hAnsi="宋体"/>
      <w:color w:val="000000"/>
      <w:sz w:val="21"/>
      <w:szCs w:val="21"/>
    </w:rPr>
  </w:style>
  <w:style w:type="paragraph" w:styleId="1064" w:customStyle="1">
    <w:name w:val="正文重点"/>
    <w:basedOn w:val="865"/>
    <w:link w:val="1065"/>
    <w:uiPriority w:val="0"/>
    <w:qFormat/>
    <w:pPr>
      <w:ind w:firstLine="482"/>
      <w:jc w:val="left"/>
      <w:spacing w:line="360" w:lineRule="auto"/>
    </w:pPr>
    <w:rPr>
      <w:b/>
      <w:sz w:val="24"/>
      <w:szCs w:val="20"/>
    </w:rPr>
  </w:style>
  <w:style w:type="character" w:styleId="1065" w:customStyle="1">
    <w:name w:val="正文重点 Char"/>
    <w:link w:val="1064"/>
    <w:uiPriority w:val="0"/>
    <w:qFormat/>
    <w:rPr>
      <w:b/>
      <w:sz w:val="24"/>
    </w:rPr>
  </w:style>
  <w:style w:type="paragraph" w:styleId="1066" w:customStyle="1">
    <w:name w:val="标题1-附件"/>
    <w:basedOn w:val="866"/>
    <w:uiPriority w:val="0"/>
    <w:qFormat/>
    <w:pPr>
      <w:jc w:val="left"/>
    </w:pPr>
    <w:rPr>
      <w:sz w:val="24"/>
      <w:szCs w:val="24"/>
    </w:rPr>
  </w:style>
  <w:style w:type="paragraph" w:styleId="1067" w:customStyle="1">
    <w:name w:val="正文小标题"/>
    <w:basedOn w:val="865"/>
    <w:next w:val="877"/>
    <w:link w:val="1068"/>
    <w:uiPriority w:val="0"/>
    <w:qFormat/>
    <w:pPr>
      <w:ind w:firstLine="482"/>
      <w:jc w:val="left"/>
    </w:pPr>
    <w:rPr>
      <w:rFonts w:ascii="宋体" w:hAnsi="宋体"/>
      <w:b/>
      <w:i/>
      <w:color w:val="ff0000"/>
      <w:sz w:val="24"/>
      <w:szCs w:val="20"/>
    </w:rPr>
  </w:style>
  <w:style w:type="character" w:styleId="1068" w:customStyle="1">
    <w:name w:val="正文小标题 Char"/>
    <w:link w:val="1067"/>
    <w:uiPriority w:val="0"/>
    <w:qFormat/>
    <w:rPr>
      <w:rFonts w:ascii="宋体" w:hAnsi="宋体"/>
      <w:b/>
      <w:i/>
      <w:color w:val="ff0000"/>
      <w:sz w:val="24"/>
    </w:rPr>
  </w:style>
  <w:style w:type="paragraph" w:styleId="1069" w:customStyle="1">
    <w:name w:val="正文大标题"/>
    <w:basedOn w:val="1067"/>
    <w:next w:val="877"/>
    <w:link w:val="1070"/>
    <w:uiPriority w:val="0"/>
    <w:qFormat/>
    <w:pPr>
      <w:jc w:val="center"/>
    </w:pPr>
    <w:rPr>
      <w:i w:val="0"/>
      <w:color w:val="000000"/>
      <w:sz w:val="28"/>
      <w:szCs w:val="21"/>
    </w:rPr>
  </w:style>
  <w:style w:type="character" w:styleId="1070" w:customStyle="1">
    <w:name w:val="正文大标题 Char"/>
    <w:link w:val="1069"/>
    <w:uiPriority w:val="0"/>
    <w:qFormat/>
    <w:rPr>
      <w:rFonts w:ascii="宋体" w:hAnsi="宋体"/>
      <w:b/>
      <w:color w:val="000000"/>
      <w:sz w:val="28"/>
      <w:szCs w:val="21"/>
    </w:rPr>
  </w:style>
  <w:style w:type="paragraph" w:styleId="1071" w:customStyle="1">
    <w:name w:val="注释"/>
    <w:basedOn w:val="865"/>
    <w:link w:val="1072"/>
    <w:uiPriority w:val="0"/>
    <w:qFormat/>
    <w:pPr>
      <w:ind w:left="420" w:hanging="420"/>
      <w:jc w:val="left"/>
    </w:pPr>
    <w:rPr>
      <w:rFonts w:ascii="宋体" w:hAnsi="宋体"/>
      <w:szCs w:val="21"/>
    </w:rPr>
  </w:style>
  <w:style w:type="character" w:styleId="1072" w:customStyle="1">
    <w:name w:val="注释 Char"/>
    <w:link w:val="1071"/>
    <w:uiPriority w:val="0"/>
    <w:qFormat/>
    <w:rPr>
      <w:rFonts w:ascii="宋体" w:hAnsi="宋体"/>
      <w:sz w:val="21"/>
      <w:szCs w:val="21"/>
    </w:rPr>
  </w:style>
  <w:style w:type="paragraph" w:styleId="1073" w:customStyle="1">
    <w:name w:val="正文须知-1级"/>
    <w:basedOn w:val="865"/>
    <w:next w:val="865"/>
    <w:uiPriority w:val="0"/>
    <w:qFormat/>
    <w:pPr>
      <w:numPr>
        <w:ilvl w:val="0"/>
        <w:numId w:val="7"/>
      </w:numPr>
      <w:spacing w:line="300" w:lineRule="auto"/>
    </w:pPr>
    <w:rPr>
      <w:rFonts w:ascii="宋体" w:hAnsi="Calibri"/>
      <w:sz w:val="24"/>
      <w:szCs w:val="21"/>
    </w:rPr>
  </w:style>
  <w:style w:type="paragraph" w:styleId="1074" w:customStyle="1">
    <w:name w:val="正文须知-2级"/>
    <w:basedOn w:val="865"/>
    <w:uiPriority w:val="0"/>
    <w:qFormat/>
    <w:pPr>
      <w:numPr>
        <w:ilvl w:val="1"/>
        <w:numId w:val="7"/>
      </w:numPr>
      <w:spacing w:line="300" w:lineRule="auto"/>
    </w:pPr>
    <w:rPr>
      <w:rFonts w:ascii="宋体" w:hAnsi="Calibri"/>
      <w:sz w:val="24"/>
      <w:szCs w:val="21"/>
    </w:rPr>
  </w:style>
  <w:style w:type="paragraph" w:styleId="1075" w:customStyle="1">
    <w:name w:val="正文须知-3级"/>
    <w:basedOn w:val="865"/>
    <w:uiPriority w:val="0"/>
    <w:qFormat/>
    <w:pPr>
      <w:numPr>
        <w:ilvl w:val="2"/>
        <w:numId w:val="7"/>
      </w:numPr>
      <w:ind w:hanging="355"/>
      <w:spacing w:line="300" w:lineRule="auto"/>
    </w:pPr>
    <w:rPr>
      <w:rFonts w:ascii="宋体" w:hAnsi="Calibri"/>
      <w:sz w:val="24"/>
      <w:szCs w:val="21"/>
    </w:rPr>
  </w:style>
  <w:style w:type="character" w:styleId="1076" w:customStyle="1">
    <w:name w:val="纯文本 字符"/>
    <w:uiPriority w:val="99"/>
    <w:qFormat/>
    <w:rPr>
      <w:rFonts w:ascii="宋体" w:hAnsi="Courier New" w:eastAsia="宋体" w:cs="Times New Roman"/>
      <w:sz w:val="21"/>
      <w:szCs w:val="21"/>
      <w:lang w:val="en-US" w:eastAsia="zh-CN" w:bidi="ar-SA"/>
    </w:rPr>
  </w:style>
  <w:style w:type="paragraph" w:styleId="1077" w:customStyle="1">
    <w:name w:val="表格1"/>
    <w:basedOn w:val="865"/>
    <w:uiPriority w:val="0"/>
    <w:qFormat/>
    <w:pPr>
      <w:ind w:firstLine="480"/>
      <w:jc w:val="center"/>
    </w:pPr>
    <w:rPr>
      <w:sz w:val="24"/>
      <w:szCs w:val="20"/>
    </w:rPr>
  </w:style>
  <w:style w:type="character" w:styleId="1078" w:customStyle="1">
    <w:name w:val="纯文本 字符1"/>
    <w:uiPriority w:val="0"/>
    <w:qFormat/>
    <w:rPr>
      <w:rFonts w:ascii="宋体" w:hAnsi="Courier New"/>
    </w:rPr>
  </w:style>
  <w:style w:type="character" w:styleId="1079" w:customStyle="1">
    <w:name w:val="bjh-p"/>
    <w:uiPriority w:val="0"/>
    <w:qFormat/>
  </w:style>
  <w:style w:type="paragraph" w:styleId="1080" w:customStyle="1">
    <w:name w:val="无标题条"/>
    <w:next w:val="865"/>
    <w:uiPriority w:val="0"/>
    <w:qFormat/>
    <w:pPr>
      <w:jc w:val="both"/>
    </w:pPr>
    <w:rPr>
      <w:rFonts w:ascii="Times New Roman" w:hAnsi="Times New Roman" w:eastAsia="宋体" w:cs="Times New Roman"/>
      <w:sz w:val="21"/>
      <w:lang w:val="en-US" w:eastAsia="zh-CN" w:bidi="ar-SA"/>
    </w:rPr>
  </w:style>
  <w:style w:type="character" w:styleId="1081" w:customStyle="1">
    <w:name w:val="正文格式 Char"/>
    <w:link w:val="1082"/>
    <w:uiPriority w:val="0"/>
    <w:qFormat/>
    <w:rPr>
      <w:rFonts w:ascii="宋体" w:hAnsi="宋体"/>
      <w:sz w:val="24"/>
      <w:szCs w:val="24"/>
      <w:lang w:val="en-GB"/>
    </w:rPr>
  </w:style>
  <w:style w:type="paragraph" w:styleId="1082" w:customStyle="1">
    <w:name w:val="正文格式"/>
    <w:basedOn w:val="865"/>
    <w:link w:val="1081"/>
    <w:uiPriority w:val="0"/>
    <w:qFormat/>
    <w:pPr>
      <w:ind w:firstLine="480"/>
      <w:spacing w:line="360" w:lineRule="auto"/>
    </w:pPr>
    <w:rPr>
      <w:rFonts w:ascii="宋体" w:hAnsi="宋体"/>
      <w:sz w:val="24"/>
      <w:lang w:val="en-GB"/>
    </w:rPr>
  </w:style>
  <w:style w:type="character" w:styleId="1083" w:customStyle="1">
    <w:name w:val="标题 3 Char"/>
    <w:uiPriority w:val="0"/>
    <w:qFormat/>
    <w:rPr>
      <w:rFonts w:ascii="宋体" w:eastAsia="宋体"/>
      <w:b/>
      <w:sz w:val="24"/>
      <w:u w:val="single"/>
      <w:lang w:val="en-US" w:eastAsia="zh-CN" w:bidi="ar-SA"/>
    </w:rPr>
  </w:style>
  <w:style w:type="character" w:styleId="1084" w:customStyle="1">
    <w:name w:val="正文缩进 Char"/>
    <w:uiPriority w:val="0"/>
    <w:qFormat/>
    <w:rPr>
      <w:rFonts w:ascii="宋体" w:eastAsia="宋体"/>
      <w:sz w:val="24"/>
      <w:szCs w:val="24"/>
      <w:lang w:val="en-US" w:eastAsia="zh-CN" w:bidi="ar-SA"/>
    </w:rPr>
  </w:style>
  <w:style w:type="character" w:styleId="1085" w:customStyle="1">
    <w:name w:val="Char Char111"/>
    <w:uiPriority w:val="0"/>
    <w:qFormat/>
    <w:rPr>
      <w:rFonts w:ascii="宋体" w:eastAsia="宋体"/>
      <w:b/>
      <w:sz w:val="24"/>
      <w:u w:val="single"/>
      <w:lang w:val="en-US" w:eastAsia="zh-CN" w:bidi="ar-SA"/>
    </w:rPr>
  </w:style>
  <w:style w:type="character" w:styleId="1086" w:customStyle="1">
    <w:name w:val="正文文本缩进 Char"/>
    <w:uiPriority w:val="0"/>
    <w:qFormat/>
    <w:rPr>
      <w:rFonts w:eastAsia="宋体"/>
      <w:sz w:val="24"/>
      <w:szCs w:val="24"/>
      <w:lang w:val="en-US" w:eastAsia="zh-CN" w:bidi="ar-SA"/>
    </w:rPr>
  </w:style>
  <w:style w:type="character" w:styleId="1087" w:customStyle="1">
    <w:name w:val="列出段落 Char"/>
    <w:uiPriority w:val="0"/>
    <w:qFormat/>
    <w:rPr>
      <w:rFonts w:ascii="Calibri" w:hAnsi="Calibri" w:eastAsia="宋体"/>
      <w:sz w:val="21"/>
      <w:szCs w:val="22"/>
      <w:lang w:val="en-US" w:eastAsia="zh-CN" w:bidi="ar-SA"/>
    </w:rPr>
  </w:style>
  <w:style w:type="character" w:styleId="1088" w:customStyle="1">
    <w:name w:val="页眉 Char"/>
    <w:uiPriority w:val="0"/>
    <w:qFormat/>
    <w:rPr>
      <w:rFonts w:eastAsia="宋体"/>
      <w:sz w:val="18"/>
      <w:szCs w:val="18"/>
      <w:lang w:val="en-US" w:eastAsia="zh-CN" w:bidi="ar-SA"/>
    </w:rPr>
  </w:style>
  <w:style w:type="character" w:styleId="1089" w:customStyle="1">
    <w:name w:val="标题 2 Char"/>
    <w:uiPriority w:val="0"/>
    <w:qFormat/>
    <w:rPr>
      <w:rFonts w:ascii="Arial" w:hAnsi="Arial" w:eastAsia="黑体"/>
      <w:b/>
      <w:sz w:val="30"/>
      <w:lang w:val="en-US" w:eastAsia="zh-CN" w:bidi="ar-SA"/>
    </w:rPr>
  </w:style>
  <w:style w:type="paragraph" w:styleId="1090" w:customStyle="1">
    <w:name w:val="字元 字元2"/>
    <w:basedOn w:val="865"/>
    <w:uiPriority w:val="0"/>
    <w:qFormat/>
    <w:rPr>
      <w:rFonts w:ascii="Tahoma" w:hAnsi="Tahoma"/>
      <w:sz w:val="24"/>
      <w:szCs w:val="20"/>
    </w:rPr>
  </w:style>
  <w:style w:type="paragraph" w:styleId="1091" w:customStyle="1">
    <w:name w:val="Char3 Char Char Char2"/>
    <w:basedOn w:val="865"/>
    <w:uiPriority w:val="0"/>
    <w:qFormat/>
    <w:rPr>
      <w:rFonts w:ascii="Tahoma" w:hAnsi="Tahoma"/>
      <w:sz w:val="24"/>
      <w:szCs w:val="20"/>
    </w:rPr>
  </w:style>
  <w:style w:type="paragraph" w:styleId="1092" w:customStyle="1">
    <w:name w:val="正文文本缩进2"/>
    <w:basedOn w:val="865"/>
    <w:uiPriority w:val="0"/>
    <w:qFormat/>
    <w:pPr>
      <w:ind w:firstLine="480"/>
      <w:spacing w:line="480" w:lineRule="exact"/>
    </w:pPr>
    <w:rPr>
      <w:rFonts w:ascii="宋体" w:hAnsi="宋体"/>
      <w:sz w:val="24"/>
      <w:lang w:val="zh-CN"/>
    </w:rPr>
  </w:style>
  <w:style w:type="paragraph" w:styleId="1093" w:customStyle="1">
    <w:name w:val="Char3"/>
    <w:basedOn w:val="865"/>
    <w:uiPriority w:val="0"/>
    <w:qFormat/>
    <w:pPr>
      <w:tabs>
        <w:tab w:val="left" w:pos="360" w:leader="none"/>
      </w:tabs>
    </w:pPr>
    <w:rPr>
      <w:sz w:val="24"/>
    </w:rPr>
  </w:style>
  <w:style w:type="paragraph" w:styleId="1094" w:customStyle="1">
    <w:name w:val="Char Char Char Char Char Char Char Char Char Char Char Char Char Char Char Char1"/>
    <w:basedOn w:val="865"/>
    <w:uiPriority w:val="0"/>
    <w:qFormat/>
    <w:pPr>
      <w:jc w:val="center"/>
      <w:spacing w:after="160" w:line="240" w:lineRule="exact"/>
      <w:widowControl/>
    </w:pPr>
    <w:rPr>
      <w:rFonts w:ascii="宋体" w:hAnsi="宋体"/>
      <w:b/>
      <w:sz w:val="30"/>
      <w:szCs w:val="30"/>
      <w:lang w:eastAsia="en-US"/>
    </w:rPr>
  </w:style>
  <w:style w:type="paragraph" w:styleId="1095" w:customStyle="1">
    <w:name w:val="Char Char1 Char Char Char Char Char Char1"/>
    <w:basedOn w:val="865"/>
    <w:uiPriority w:val="0"/>
    <w:qFormat/>
    <w:pPr>
      <w:jc w:val="left"/>
      <w:spacing w:after="160" w:line="240" w:lineRule="exact"/>
      <w:widowControl/>
    </w:pPr>
    <w:rPr>
      <w:rFonts w:ascii="Verdana" w:hAnsi="Verdana" w:eastAsia="仿宋_GB2312"/>
      <w:sz w:val="24"/>
      <w:szCs w:val="20"/>
      <w:lang w:eastAsia="en-US"/>
    </w:rPr>
  </w:style>
  <w:style w:type="paragraph" w:styleId="1096" w:customStyle="1">
    <w:name w:val="列出段落2"/>
    <w:basedOn w:val="865"/>
    <w:uiPriority w:val="0"/>
    <w:qFormat/>
    <w:pPr>
      <w:ind w:firstLine="420"/>
    </w:pPr>
    <w:rPr>
      <w:rFonts w:ascii="Calibri" w:hAnsi="Calibri"/>
      <w:szCs w:val="22"/>
    </w:rPr>
  </w:style>
  <w:style w:type="paragraph" w:styleId="1097" w:customStyle="1">
    <w:name w:val="Char Char Char1 Char2"/>
    <w:basedOn w:val="865"/>
    <w:uiPriority w:val="0"/>
    <w:qFormat/>
    <w:rPr>
      <w:rFonts w:ascii="Tahoma" w:hAnsi="Tahoma"/>
      <w:sz w:val="24"/>
      <w:szCs w:val="20"/>
    </w:rPr>
  </w:style>
  <w:style w:type="paragraph" w:styleId="1098" w:customStyle="1">
    <w:name w:val="Char Char Char2"/>
    <w:basedOn w:val="865"/>
    <w:uiPriority w:val="0"/>
    <w:qFormat/>
    <w:rPr>
      <w:rFonts w:ascii="Tahoma" w:hAnsi="Tahoma"/>
      <w:sz w:val="24"/>
      <w:szCs w:val="20"/>
    </w:rPr>
  </w:style>
  <w:style w:type="paragraph" w:styleId="1099" w:customStyle="1">
    <w:name w:val="Char Char Char Char Char Char Char2"/>
    <w:basedOn w:val="865"/>
    <w:uiPriority w:val="0"/>
    <w:qFormat/>
    <w:pPr>
      <w:ind w:firstLine="200"/>
      <w:spacing w:line="360" w:lineRule="auto"/>
    </w:pPr>
    <w:rPr>
      <w:rFonts w:eastAsia="仿宋_GB2312"/>
      <w:sz w:val="24"/>
    </w:rPr>
  </w:style>
  <w:style w:type="paragraph" w:styleId="1100" w:customStyle="1">
    <w:name w:val="正文缩进2"/>
    <w:basedOn w:val="865"/>
    <w:uiPriority w:val="0"/>
    <w:qFormat/>
    <w:pPr>
      <w:ind w:firstLine="567"/>
      <w:spacing w:line="480" w:lineRule="exact"/>
      <w:widowControl/>
    </w:pPr>
    <w:rPr>
      <w:rFonts w:ascii="宋体"/>
      <w:color w:val="000000"/>
      <w:sz w:val="28"/>
      <w:szCs w:val="20"/>
      <w:lang w:val="zh-CN"/>
    </w:rPr>
  </w:style>
  <w:style w:type="paragraph" w:styleId="1101" w:customStyle="1">
    <w:name w:val="Revision"/>
    <w:uiPriority w:val="0"/>
    <w:qFormat/>
    <w:rPr>
      <w:rFonts w:ascii="Times New Roman" w:hAnsi="Times New Roman" w:eastAsia="宋体" w:cs="Times New Roman"/>
      <w:sz w:val="21"/>
      <w:szCs w:val="24"/>
      <w:lang w:val="en-US" w:eastAsia="zh-CN" w:bidi="ar-SA"/>
    </w:rPr>
  </w:style>
  <w:style w:type="paragraph" w:styleId="1102" w:customStyle="1">
    <w:name w:val="Char22"/>
    <w:basedOn w:val="865"/>
    <w:uiPriority w:val="0"/>
    <w:qFormat/>
    <w:rPr>
      <w:rFonts w:ascii="Tahoma" w:hAnsi="Tahoma"/>
      <w:sz w:val="24"/>
      <w:szCs w:val="20"/>
    </w:rPr>
  </w:style>
  <w:style w:type="paragraph" w:styleId="1103" w:customStyle="1">
    <w:name w:val="Char Char Char Char Char Char Char Char Char Char2"/>
    <w:basedOn w:val="865"/>
    <w:uiPriority w:val="0"/>
    <w:qFormat/>
    <w:rPr>
      <w:rFonts w:ascii="宋体" w:hAnsi="宋体" w:cs="Courier New"/>
      <w:sz w:val="32"/>
      <w:szCs w:val="32"/>
    </w:rPr>
  </w:style>
  <w:style w:type="paragraph" w:styleId="1104" w:customStyle="1">
    <w:name w:val="Char2 Char Char Char Char Char Char1"/>
    <w:basedOn w:val="865"/>
    <w:uiPriority w:val="0"/>
    <w:qFormat/>
    <w:pPr>
      <w:jc w:val="center"/>
      <w:spacing w:line="400" w:lineRule="exact"/>
      <w:widowControl/>
    </w:pPr>
  </w:style>
  <w:style w:type="character" w:styleId="1105" w:customStyle="1">
    <w:name w:val="页脚 Char"/>
    <w:uiPriority w:val="0"/>
    <w:qFormat/>
    <w:rPr>
      <w:rFonts w:ascii="宋体" w:eastAsia="宋体"/>
      <w:sz w:val="18"/>
      <w:lang w:val="en-US" w:eastAsia="zh-CN" w:bidi="ar-SA"/>
    </w:rPr>
  </w:style>
  <w:style w:type="paragraph" w:styleId="1106" w:customStyle="1">
    <w:name w:val="Char Char41"/>
    <w:basedOn w:val="865"/>
    <w:uiPriority w:val="0"/>
    <w:qFormat/>
    <w:pPr>
      <w:jc w:val="center"/>
      <w:spacing w:line="400" w:lineRule="exact"/>
      <w:widowControl/>
    </w:pPr>
  </w:style>
  <w:style w:type="character" w:styleId="1107" w:customStyle="1">
    <w:name w:val="批注文字 Char"/>
    <w:uiPriority w:val="99"/>
    <w:qFormat/>
    <w:rPr>
      <w:sz w:val="21"/>
      <w:szCs w:val="24"/>
    </w:rPr>
  </w:style>
  <w:style w:type="character" w:styleId="1108" w:customStyle="1">
    <w:name w:val="标题 Char"/>
    <w:uiPriority w:val="0"/>
    <w:qFormat/>
    <w:rPr>
      <w:b/>
      <w:sz w:val="32"/>
    </w:rPr>
  </w:style>
  <w:style w:type="paragraph" w:styleId="1109" w:customStyle="1">
    <w:name w:val="图例"/>
    <w:basedOn w:val="865"/>
    <w:uiPriority w:val="0"/>
    <w:qFormat/>
    <w:pPr>
      <w:jc w:val="center"/>
      <w:spacing w:before="120" w:after="120" w:line="360" w:lineRule="auto"/>
    </w:pPr>
    <w:rPr>
      <w:rFonts w:eastAsia="仿宋_GB2312"/>
      <w:b/>
      <w:sz w:val="24"/>
      <w:szCs w:val="20"/>
    </w:rPr>
  </w:style>
  <w:style w:type="table" w:styleId="1110"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11" w:customStyle="1">
    <w:name w:val="Table Paragraph"/>
    <w:basedOn w:val="865"/>
    <w:uiPriority w:val="1"/>
    <w:qFormat/>
    <w:pPr>
      <w:jc w:val="left"/>
    </w:pPr>
    <w:rPr>
      <w:rFonts w:ascii="宋体" w:hAnsi="宋体" w:cs="宋体"/>
      <w:sz w:val="22"/>
      <w:szCs w:val="22"/>
      <w:lang w:eastAsia="en-US"/>
    </w:rPr>
  </w:style>
  <w:style w:type="paragraph" w:styleId="1112" w:customStyle="1">
    <w:name w:val="成文日期"/>
    <w:basedOn w:val="865"/>
    <w:link w:val="1113"/>
    <w:uiPriority w:val="0"/>
    <w:qFormat/>
    <w:pPr>
      <w:ind w:right="400" w:firstLine="200"/>
      <w:jc w:val="right"/>
      <w:spacing w:line="570" w:lineRule="exact"/>
    </w:pPr>
    <w:rPr>
      <w:rFonts w:ascii="仿宋_GB2312" w:eastAsia="仿宋_GB2312"/>
      <w:sz w:val="32"/>
      <w:szCs w:val="20"/>
    </w:rPr>
  </w:style>
  <w:style w:type="character" w:styleId="1113" w:customStyle="1">
    <w:name w:val="成文日期 Char"/>
    <w:link w:val="1112"/>
    <w:uiPriority w:val="0"/>
    <w:qFormat/>
    <w:rPr>
      <w:rFonts w:ascii="仿宋_GB2312" w:eastAsia="仿宋_GB2312"/>
      <w:sz w:val="32"/>
    </w:rPr>
  </w:style>
  <w:style w:type="paragraph" w:styleId="1114" w:customStyle="1">
    <w:name w:val="Revision1"/>
    <w:uiPriority w:val="99"/>
    <w:unhideWhenUsed/>
    <w:qFormat/>
    <w:rPr>
      <w:rFonts w:ascii="Times New Roman" w:hAnsi="Times New Roman" w:eastAsia="宋体" w:cs="Times New Roman"/>
      <w:sz w:val="21"/>
      <w:szCs w:val="24"/>
      <w:lang w:val="en-US" w:eastAsia="zh-CN" w:bidi="ar-SA"/>
    </w:rPr>
  </w:style>
  <w:style w:type="character" w:styleId="1115" w:customStyle="1">
    <w:name w:val="正文缩进 字符"/>
    <w:uiPriority w:val="99"/>
    <w:qFormat/>
    <w:rPr>
      <w:rFonts w:ascii="宋体" w:hAnsi="Times New Roman" w:eastAsia="宋体" w:cs="Times New Roman"/>
      <w:sz w:val="24"/>
    </w:rPr>
  </w:style>
  <w:style w:type="character" w:styleId="1116" w:customStyle="1">
    <w:name w:val="正文文本 字符"/>
    <w:uiPriority w:val="0"/>
    <w:qFormat/>
    <w:rPr>
      <w:rFonts w:ascii="宋体" w:hAnsi="宋体"/>
      <w:sz w:val="24"/>
      <w:szCs w:val="24"/>
    </w:rPr>
  </w:style>
  <w:style w:type="paragraph" w:styleId="1117" w:customStyle="1">
    <w:name w:val="纯文本1"/>
    <w:next w:val="897"/>
    <w:uiPriority w:val="0"/>
    <w:qFormat/>
    <w:pPr>
      <w:jc w:val="both"/>
      <w:widowControl w:val="off"/>
    </w:pPr>
    <w:rPr>
      <w:rFonts w:ascii="宋体" w:hAnsi="宋体" w:eastAsia="宋体" w:cs="Times New Roman"/>
      <w:sz w:val="26"/>
      <w:szCs w:val="24"/>
      <w:lang w:val="en-US" w:eastAsia="zh-CN" w:bidi="ar-SA"/>
    </w:rPr>
  </w:style>
  <w:style w:type="paragraph" w:styleId="111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19" w:customStyle="1">
    <w:name w:val="font41"/>
    <w:basedOn w:val="875"/>
    <w:uiPriority w:val="0"/>
    <w:qFormat/>
    <w:rPr>
      <w:rFonts w:ascii="宋体" w:hAnsi="宋体" w:eastAsia="宋体" w:cs="宋体"/>
      <w:color w:val="000000"/>
      <w:sz w:val="22"/>
      <w:szCs w:val="22"/>
      <w:u w:val="none"/>
    </w:rPr>
  </w:style>
  <w:style w:type="numbering" w:styleId="15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3073"/>
    <customShpInfo spid="_x0000_s3074"/>
    <customShpInfo spid="_x0000_s3075"/>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彭艳</cp:lastModifiedBy>
  <cp:revision>3</cp:revision>
  <dcterms:created xsi:type="dcterms:W3CDTF">2026-03-09T02:59:00Z</dcterms:created>
  <dcterms:modified xsi:type="dcterms:W3CDTF">2026-03-25T07:01:34Z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4198F1D692944A7AA9EF3504C28F1B75_13</vt:lpwstr>
  </property>
  <property fmtid="{D5CDD505-2E9C-101B-9397-08002B2CF9AE}" pid="4" name="KSOTemplateDocerSaveRecord">
    <vt:lpwstr>eyJoZGlkIjoiNTlmZjkwOGIyNzNkZDAwZTczOWIxMWU1Nzk4ZjJlMzQiLCJ1c2VySWQiOiIyNzYwMTEwNDMifQ==</vt:lpwstr>
  </property>
</Properties>
</file>