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000000"/>
          <w:sz w:val="84"/>
          <w:szCs w:val="84"/>
        </w:rPr>
      </w:pPr>
      <w:r>
        <w:rPr>
          <w:rFonts w:hint="eastAsia" w:ascii="宋体" w:hAnsi="宋体" w:cs="宋体"/>
          <w:b/>
          <w:color w:val="000000"/>
          <w:sz w:val="84"/>
          <w:szCs w:val="84"/>
        </w:rPr>
        <w:t xml:space="preserve">苏州吴中区政府采购</w:t>
      </w:r>
      <w:r/>
    </w:p>
    <w:p>
      <w:pPr>
        <w:jc w:val="center"/>
        <w:rPr>
          <w:rFonts w:hint="eastAsia" w:ascii="宋体" w:hAnsi="宋体" w:cs="宋体"/>
          <w:b/>
          <w:color w:val="000000"/>
          <w:sz w:val="84"/>
          <w:szCs w:val="84"/>
        </w:rPr>
      </w:pPr>
      <w:r>
        <w:rPr>
          <w:rFonts w:hint="eastAsia" w:ascii="宋体" w:hAnsi="宋体" w:cs="宋体"/>
          <w:b/>
          <w:color w:val="000000"/>
          <w:sz w:val="84"/>
          <w:szCs w:val="84"/>
        </w:rPr>
        <w:t xml:space="preserve">招标文件</w:t>
      </w:r>
      <w:r/>
    </w:p>
    <w:p>
      <w:pPr>
        <w:jc w:val="left"/>
        <w:spacing w:line="480" w:lineRule="auto"/>
        <w:tabs>
          <w:tab w:val="left" w:pos="7977" w:leader="none"/>
        </w:tabs>
        <w:rPr>
          <w:rFonts w:hint="eastAsia" w:ascii="宋体" w:hAnsi="宋体" w:cs="宋体"/>
          <w:b/>
          <w:color w:val="000000"/>
          <w:sz w:val="32"/>
        </w:rPr>
      </w:pPr>
      <w:r>
        <w:rPr>
          <w:rFonts w:hint="eastAsia" w:ascii="宋体" w:hAnsi="宋体" w:cs="宋体"/>
          <w:b/>
          <w:color w:val="000000"/>
          <w:sz w:val="32"/>
        </w:rPr>
        <w:tab/>
      </w:r>
      <w:r/>
    </w:p>
    <w:p>
      <w:pPr>
        <w:pStyle w:val="1136"/>
        <w:rPr>
          <w:color w:val="000000"/>
        </w:rPr>
      </w:pPr>
      <w:r>
        <w:rPr>
          <w:color w:val="000000"/>
        </w:rPr>
      </w:r>
      <w:r/>
    </w:p>
    <w:p>
      <w:pPr>
        <w:jc w:val="left"/>
        <w:spacing w:line="480" w:lineRule="auto"/>
        <w:rPr>
          <w:rFonts w:hint="eastAsia" w:ascii="宋体" w:hAnsi="宋体" w:cs="宋体"/>
          <w:b/>
          <w:color w:val="000000"/>
          <w:sz w:val="32"/>
        </w:rPr>
      </w:pPr>
      <w:r>
        <w:rPr>
          <w:rFonts w:hint="eastAsia" w:ascii="宋体" w:hAnsi="宋体" w:cs="宋体"/>
          <w:b/>
          <w:color w:val="000000"/>
          <w:sz w:val="32"/>
        </w:rPr>
      </w:r>
      <w:r/>
    </w:p>
    <w:p>
      <w:pPr>
        <w:jc w:val="left"/>
        <w:spacing w:line="480" w:lineRule="auto"/>
        <w:rPr>
          <w:rFonts w:hint="eastAsia" w:ascii="宋体" w:hAnsi="宋体" w:eastAsia="宋体" w:cs="宋体"/>
          <w:b/>
          <w:color w:val="000000"/>
          <w:sz w:val="32"/>
          <w:lang w:eastAsia="zh-CN"/>
        </w:rPr>
      </w:pPr>
      <w:r>
        <w:rPr>
          <w:rFonts w:hint="eastAsia" w:ascii="宋体" w:hAnsi="宋体" w:cs="宋体"/>
          <w:b/>
          <w:color w:val="000000"/>
          <w:sz w:val="32"/>
        </w:rPr>
        <w:t xml:space="preserve">项目编号：</w:t>
      </w:r>
      <w:r>
        <w:rPr>
          <w:rFonts w:hint="eastAsia" w:ascii="宋体" w:hAnsi="宋体" w:cs="宋体"/>
          <w:b/>
          <w:color w:val="000000"/>
          <w:sz w:val="32"/>
          <w:highlight w:val="none"/>
          <w:lang w:eastAsia="zh-CN"/>
        </w:rPr>
        <w:t xml:space="preserve">JSZC-320506-ZMZX-G2026-0001</w:t>
      </w:r>
      <w:r/>
    </w:p>
    <w:p>
      <w:pPr>
        <w:jc w:val="left"/>
        <w:spacing w:line="480" w:lineRule="auto"/>
        <w:rPr>
          <w:rFonts w:hint="eastAsia" w:ascii="宋体" w:hAnsi="宋体" w:cs="宋体"/>
          <w:b/>
          <w:color w:val="000000"/>
          <w:sz w:val="32"/>
        </w:rPr>
      </w:pPr>
      <w:r>
        <w:rPr>
          <w:rFonts w:hint="eastAsia" w:ascii="宋体" w:hAnsi="宋体" w:cs="宋体"/>
          <w:b/>
          <w:color w:val="000000"/>
          <w:sz w:val="32"/>
          <w:lang w:val="en-US" w:eastAsia="zh-CN"/>
        </w:rPr>
        <w:t xml:space="preserve">招标</w:t>
      </w:r>
      <w:r>
        <w:rPr>
          <w:rFonts w:hint="eastAsia" w:ascii="宋体" w:hAnsi="宋体" w:cs="宋体"/>
          <w:b/>
          <w:color w:val="000000"/>
          <w:sz w:val="32"/>
        </w:rPr>
        <w:t xml:space="preserve">单位：苏州太湖新城吴中管理委员会</w:t>
      </w:r>
      <w:r/>
    </w:p>
    <w:p>
      <w:pPr>
        <w:jc w:val="left"/>
        <w:spacing w:line="480" w:lineRule="auto"/>
        <w:rPr>
          <w:rFonts w:hint="eastAsia" w:ascii="宋体" w:hAnsi="宋体" w:eastAsia="宋体" w:cs="宋体"/>
          <w:b/>
          <w:color w:val="000000"/>
          <w:sz w:val="32"/>
          <w:lang w:eastAsia="zh-CN"/>
        </w:rPr>
      </w:pPr>
      <w:r>
        <w:rPr>
          <w:rFonts w:hint="eastAsia" w:ascii="宋体" w:hAnsi="宋体" w:cs="宋体"/>
          <w:b/>
          <w:color w:val="000000"/>
          <w:sz w:val="32"/>
        </w:rPr>
        <w:t xml:space="preserve">项目名称：</w:t>
      </w:r>
      <w:r>
        <w:rPr>
          <w:rFonts w:hint="eastAsia" w:ascii="宋体" w:hAnsi="宋体" w:cs="宋体"/>
          <w:b/>
          <w:color w:val="000000"/>
          <w:sz w:val="32"/>
          <w:lang w:eastAsia="zh-CN"/>
        </w:rPr>
        <w:t xml:space="preserve">苏州吴中太湖新城财政评(协)审2026年政府采购</w:t>
      </w:r>
      <w:r/>
    </w:p>
    <w:p>
      <w:pPr>
        <w:jc w:val="left"/>
        <w:spacing w:line="480" w:lineRule="auto"/>
        <w:tabs>
          <w:tab w:val="center" w:pos="6264" w:leader="none"/>
        </w:tabs>
        <w:rPr>
          <w:rFonts w:hint="eastAsia" w:ascii="宋体" w:hAnsi="宋体" w:cs="宋体"/>
          <w:b/>
          <w:color w:val="000000"/>
          <w:sz w:val="32"/>
        </w:rPr>
      </w:pPr>
      <w:r>
        <w:rPr>
          <w:rFonts w:hint="eastAsia" w:ascii="宋体" w:hAnsi="宋体" w:cs="宋体"/>
          <w:b/>
          <w:color w:val="000000"/>
          <w:sz w:val="32"/>
        </w:rPr>
        <w:t xml:space="preserve">项目类别：服务类</w:t>
      </w:r>
      <w:r/>
    </w:p>
    <w:p>
      <w:pPr>
        <w:ind w:firstLine="1606"/>
        <w:jc w:val="left"/>
        <w:rPr>
          <w:rFonts w:hint="eastAsia" w:ascii="宋体" w:hAnsi="宋体" w:cs="宋体"/>
          <w:b/>
          <w:color w:val="000000"/>
          <w:sz w:val="32"/>
        </w:rPr>
      </w:pPr>
      <w:r>
        <w:rPr>
          <w:rFonts w:hint="eastAsia" w:ascii="宋体" w:hAnsi="宋体" w:cs="宋体"/>
          <w:b/>
          <w:color w:val="000000"/>
          <w:sz w:val="32"/>
        </w:rPr>
      </w:r>
      <w:r/>
    </w:p>
    <w:p>
      <w:pPr>
        <w:ind w:firstLine="1606"/>
        <w:jc w:val="left"/>
        <w:rPr>
          <w:rFonts w:hint="eastAsia" w:ascii="宋体" w:hAnsi="宋体" w:cs="宋体"/>
          <w:b/>
          <w:color w:val="000000"/>
          <w:sz w:val="32"/>
        </w:rPr>
      </w:pPr>
      <w:r>
        <w:rPr>
          <w:rFonts w:hint="eastAsia" w:ascii="宋体" w:hAnsi="宋体" w:cs="宋体"/>
          <w:b/>
          <w:color w:val="000000"/>
          <w:sz w:val="32"/>
        </w:rPr>
      </w:r>
      <w:r/>
    </w:p>
    <w:p>
      <w:pPr>
        <w:ind w:firstLine="1606"/>
        <w:jc w:val="left"/>
        <w:rPr>
          <w:rFonts w:hint="eastAsia" w:ascii="宋体" w:hAnsi="宋体" w:cs="宋体"/>
          <w:b/>
          <w:color w:val="000000"/>
          <w:sz w:val="32"/>
        </w:rPr>
      </w:pPr>
      <w:r>
        <w:rPr>
          <w:rFonts w:hint="eastAsia" w:ascii="宋体" w:hAnsi="宋体" w:cs="宋体"/>
          <w:b/>
          <w:color w:val="000000"/>
          <w:sz w:val="32"/>
        </w:rPr>
      </w:r>
      <w:r/>
    </w:p>
    <w:p>
      <w:pPr>
        <w:ind w:firstLine="2249"/>
        <w:rPr>
          <w:rFonts w:hint="eastAsia" w:ascii="宋体" w:hAnsi="宋体" w:cs="宋体"/>
          <w:b/>
          <w:color w:val="000000"/>
          <w:sz w:val="32"/>
          <w:lang w:eastAsia="zh-CN"/>
        </w:rPr>
      </w:pPr>
      <w:r>
        <w:rPr>
          <w:rFonts w:hint="eastAsia" w:ascii="宋体" w:hAnsi="宋体" w:cs="宋体"/>
          <w:b/>
          <w:color w:val="000000"/>
          <w:sz w:val="32"/>
          <w:lang w:eastAsia="zh-CN"/>
        </w:rPr>
      </w:r>
      <w:r/>
    </w:p>
    <w:p>
      <w:pPr>
        <w:rPr>
          <w:rFonts w:hint="eastAsia" w:ascii="宋体" w:hAnsi="宋体" w:cs="宋体"/>
          <w:b/>
          <w:color w:val="000000"/>
          <w:sz w:val="32"/>
          <w:lang w:eastAsia="zh-CN"/>
        </w:rPr>
      </w:pPr>
      <w:r>
        <w:rPr>
          <w:rFonts w:hint="eastAsia" w:ascii="宋体" w:hAnsi="宋体" w:cs="宋体"/>
          <w:b/>
          <w:color w:val="000000"/>
          <w:sz w:val="32"/>
          <w:lang w:eastAsia="zh-CN"/>
        </w:rPr>
      </w:r>
      <w:r/>
    </w:p>
    <w:p>
      <w:pPr>
        <w:ind w:firstLine="2249"/>
        <w:rPr>
          <w:rFonts w:hint="eastAsia" w:ascii="宋体" w:hAnsi="宋体" w:eastAsia="宋体" w:cs="宋体"/>
          <w:b/>
          <w:color w:val="000000"/>
          <w:sz w:val="32"/>
          <w:lang w:eastAsia="zh-CN"/>
        </w:rPr>
      </w:pPr>
      <w:r>
        <w:rPr>
          <w:rFonts w:hint="eastAsia" w:ascii="宋体" w:hAnsi="宋体" w:cs="宋体"/>
          <w:b/>
          <w:color w:val="000000"/>
          <w:sz w:val="32"/>
          <w:lang w:eastAsia="zh-CN"/>
        </w:rPr>
        <w:t xml:space="preserve">苏州子梦建设工程造价咨询所</w:t>
      </w:r>
      <w:r/>
    </w:p>
    <w:p>
      <w:pPr>
        <w:pStyle w:val="1194"/>
        <w:ind w:firstLine="3534"/>
        <w:rPr>
          <w:rFonts w:hint="eastAsia" w:ascii="宋体" w:hAnsi="宋体" w:eastAsia="宋体" w:cs="宋体"/>
          <w:b/>
          <w:color w:val="000000"/>
          <w:sz w:val="32"/>
        </w:rPr>
      </w:pPr>
      <w:r>
        <w:rPr>
          <w:rFonts w:hint="eastAsia" w:ascii="宋体" w:hAnsi="宋体" w:eastAsia="宋体" w:cs="宋体"/>
          <w:b/>
          <w:color w:val="000000"/>
          <w:sz w:val="32"/>
          <w:lang w:val="en-US"/>
        </w:rPr>
        <w:t xml:space="preserve">202</w:t>
      </w:r>
      <w:r>
        <w:rPr>
          <w:rFonts w:hint="eastAsia" w:ascii="宋体" w:hAnsi="宋体" w:eastAsia="宋体" w:cs="宋体"/>
          <w:b/>
          <w:color w:val="000000"/>
          <w:sz w:val="32"/>
          <w:lang w:val="en-US" w:eastAsia="zh-CN"/>
        </w:rPr>
        <w:t xml:space="preserve">6</w:t>
      </w:r>
      <w:r>
        <w:rPr>
          <w:rFonts w:hint="eastAsia" w:ascii="宋体" w:hAnsi="宋体" w:eastAsia="宋体" w:cs="宋体"/>
          <w:b/>
          <w:color w:val="000000"/>
          <w:sz w:val="32"/>
          <w:lang w:val="en-US"/>
        </w:rPr>
        <w:t xml:space="preserve">年</w:t>
      </w:r>
      <w:r/>
    </w:p>
    <w:p>
      <w:pPr>
        <w:jc w:val="center"/>
        <w:spacing w:after="0" w:line="360" w:lineRule="auto"/>
        <w:tabs>
          <w:tab w:val="left" w:pos="315" w:leader="none"/>
          <w:tab w:val="center" w:pos="4153" w:leader="none"/>
        </w:tabs>
        <w:rPr>
          <w:rFonts w:hint="eastAsia" w:ascii="宋体" w:hAnsi="宋体" w:cs="宋体"/>
          <w:bCs/>
          <w:color w:val="000000"/>
          <w:sz w:val="24"/>
        </w:rPr>
        <w:sectPr>
          <w:footerReference w:type="default" r:id="rId10"/>
          <w:footnotePr/>
          <w:endnotePr/>
          <w:type w:val="nextPage"/>
          <w:pgSz w:w="11906" w:h="16838" w:orient="portrait"/>
          <w:pgMar w:top="1440" w:right="1417" w:bottom="1327" w:left="1417" w:header="851" w:footer="992" w:gutter="0"/>
          <w:pgNumType w:start="1"/>
          <w:cols w:num="1" w:sep="0" w:space="1701" w:equalWidth="1"/>
          <w:docGrid w:linePitch="360"/>
        </w:sectPr>
      </w:pPr>
      <w:r>
        <w:rPr>
          <w:rFonts w:hint="eastAsia" w:ascii="宋体" w:hAnsi="宋体" w:cs="宋体"/>
          <w:bCs/>
          <w:color w:val="000000"/>
          <w:sz w:val="24"/>
        </w:rPr>
      </w:r>
      <w:r/>
    </w:p>
    <w:p>
      <w:pPr>
        <w:jc w:val="center"/>
        <w:spacing w:after="0" w:line="360" w:lineRule="auto"/>
        <w:tabs>
          <w:tab w:val="left" w:pos="315" w:leader="none"/>
          <w:tab w:val="center" w:pos="4153" w:leader="none"/>
        </w:tabs>
        <w:rPr>
          <w:rFonts w:hint="eastAsia" w:ascii="宋体" w:hAnsi="宋体" w:cs="宋体"/>
          <w:bCs/>
          <w:color w:val="000000"/>
          <w:sz w:val="24"/>
        </w:rPr>
      </w:pPr>
      <w:r>
        <w:rPr>
          <w:rFonts w:hint="eastAsia" w:ascii="宋体" w:hAnsi="宋体" w:cs="宋体"/>
          <w:bCs/>
          <w:color w:val="000000"/>
          <w:sz w:val="24"/>
        </w:rPr>
        <w:t xml:space="preserve">目    录</w:t>
      </w:r>
      <w:r/>
    </w:p>
    <w:p>
      <w:pPr>
        <w:jc w:val="center"/>
        <w:spacing w:after="0" w:line="360" w:lineRule="auto"/>
        <w:tabs>
          <w:tab w:val="left" w:pos="315" w:leader="none"/>
          <w:tab w:val="center" w:pos="4153" w:leader="none"/>
        </w:tabs>
        <w:rPr>
          <w:rFonts w:hint="eastAsia" w:ascii="宋体" w:hAnsi="宋体" w:cs="宋体"/>
          <w:bCs/>
          <w:color w:val="000000"/>
          <w:sz w:val="24"/>
        </w:rPr>
      </w:pPr>
      <w:r>
        <w:rPr>
          <w:rFonts w:hint="eastAsia" w:ascii="宋体" w:hAnsi="宋体" w:cs="宋体"/>
          <w:bCs/>
          <w:color w:val="000000"/>
          <w:sz w:val="24"/>
        </w:rPr>
      </w:r>
      <w:r/>
    </w:p>
    <w:p>
      <w:pPr>
        <w:pStyle w:val="1162"/>
        <w:spacing w:after="0"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前附表</w:t>
      </w:r>
      <w:r/>
    </w:p>
    <w:p>
      <w:pPr>
        <w:pStyle w:val="1162"/>
        <w:spacing w:after="0"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第一章  招标公告</w:t>
      </w:r>
      <w:r/>
    </w:p>
    <w:p>
      <w:pPr>
        <w:pStyle w:val="1162"/>
        <w:spacing w:after="0"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第二章  投标人须知</w:t>
      </w:r>
      <w:r/>
    </w:p>
    <w:p>
      <w:pPr>
        <w:pStyle w:val="1162"/>
        <w:spacing w:after="0"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第三章  投标文件格式</w:t>
      </w:r>
      <w:r/>
    </w:p>
    <w:p>
      <w:pPr>
        <w:pStyle w:val="1162"/>
        <w:spacing w:after="0"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第四章  招标书</w:t>
      </w:r>
      <w:r/>
    </w:p>
    <w:p>
      <w:pPr>
        <w:pStyle w:val="1162"/>
        <w:spacing w:after="0"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第五章  合同及主要条款</w:t>
      </w:r>
      <w:r/>
    </w:p>
    <w:p>
      <w:pPr>
        <w:pStyle w:val="1162"/>
        <w:spacing w:after="0"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第六章  评标办法和评分标准</w:t>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jc w:val="center"/>
        <w:spacing w:after="0" w:line="360" w:lineRule="auto"/>
        <w:rPr>
          <w:rFonts w:hint="eastAsia" w:ascii="宋体" w:hAnsi="宋体" w:cs="宋体"/>
          <w:bCs/>
          <w:color w:val="000000"/>
          <w:spacing w:val="20"/>
          <w:sz w:val="24"/>
        </w:rPr>
      </w:pPr>
      <w:r>
        <w:rPr>
          <w:rFonts w:hint="eastAsia" w:ascii="宋体" w:hAnsi="宋体" w:cs="宋体"/>
          <w:bCs/>
          <w:color w:val="000000"/>
          <w:sz w:val="24"/>
        </w:rPr>
        <w:br w:type="page" w:clear="all"/>
      </w:r>
      <w:r>
        <w:rPr>
          <w:rFonts w:hint="eastAsia" w:ascii="宋体" w:hAnsi="宋体" w:cs="宋体"/>
          <w:bCs/>
          <w:color w:val="000000"/>
          <w:sz w:val="24"/>
        </w:rPr>
        <w:t xml:space="preserve">前附表</w:t>
      </w:r>
      <w:r/>
    </w:p>
    <w:tbl>
      <w:tblPr>
        <w:tblStyle w:val="835"/>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608"/>
        <w:gridCol w:w="2012"/>
        <w:gridCol w:w="670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2"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2" w:type="dxa"/>
            <w:vAlign w:val="center"/>
            <w:textDirection w:val="lrTb"/>
            <w:noWrap w:val="false"/>
          </w:tcPr>
          <w:p>
            <w:pPr>
              <w:jc w:val="left"/>
              <w:spacing w:after="0" w:line="360" w:lineRule="auto"/>
              <w:rPr>
                <w:rFonts w:hint="eastAsia" w:ascii="宋体" w:hAnsi="宋体" w:eastAsia="宋体" w:cs="宋体"/>
                <w:bCs/>
                <w:color w:val="000000"/>
                <w:sz w:val="24"/>
                <w:lang w:eastAsia="zh-CN"/>
              </w:rPr>
            </w:pPr>
            <w:r>
              <w:rPr>
                <w:rFonts w:hint="eastAsia" w:ascii="宋体" w:hAnsi="宋体" w:cs="宋体"/>
                <w:bCs/>
                <w:color w:val="000000"/>
                <w:sz w:val="24"/>
                <w:highlight w:val="none"/>
                <w:lang w:eastAsia="zh-CN"/>
              </w:rPr>
              <w:t xml:space="preserve">JSZC-320506-ZMZX-G2026-0001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2" w:type="dxa"/>
            <w:vAlign w:val="center"/>
            <w:textDirection w:val="lrTb"/>
            <w:noWrap w:val="false"/>
          </w:tcPr>
          <w:p>
            <w:pPr>
              <w:jc w:val="left"/>
              <w:spacing w:after="0" w:line="360" w:lineRule="auto"/>
              <w:rPr>
                <w:rFonts w:hint="eastAsia" w:ascii="宋体" w:hAnsi="宋体" w:eastAsia="宋体" w:cs="宋体"/>
                <w:bCs/>
                <w:color w:val="000000"/>
                <w:sz w:val="24"/>
                <w:lang w:eastAsia="zh-CN"/>
              </w:rPr>
            </w:pPr>
            <w:r>
              <w:rPr>
                <w:rFonts w:hint="eastAsia" w:ascii="宋体" w:hAnsi="宋体" w:cs="宋体"/>
                <w:bCs/>
                <w:color w:val="000000"/>
                <w:sz w:val="24"/>
                <w:lang w:eastAsia="zh-CN"/>
              </w:rPr>
              <w:t xml:space="preserve">苏州吴中太湖新城财政评(协)审2026年政府采购</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获取招标文件</w:t>
            </w:r>
            <w:r/>
          </w:p>
          <w:p>
            <w:pPr>
              <w:jc w:val="center"/>
              <w:spacing w:after="0" w:line="360" w:lineRule="auto"/>
              <w:rPr>
                <w:rFonts w:hint="eastAsia" w:ascii="宋体" w:hAnsi="宋体"/>
                <w:bCs/>
                <w:color w:val="000000"/>
                <w:sz w:val="24"/>
              </w:rPr>
            </w:pPr>
            <w:r>
              <w:rPr>
                <w:rFonts w:hint="eastAsia" w:ascii="宋体" w:hAnsi="宋体"/>
                <w:bCs/>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2" w:type="dxa"/>
            <w:vAlign w:val="center"/>
            <w:textDirection w:val="lrTb"/>
            <w:noWrap w:val="false"/>
          </w:tcPr>
          <w:p>
            <w:pPr>
              <w:spacing w:after="0" w:line="360" w:lineRule="auto"/>
              <w:rPr>
                <w:rFonts w:hint="eastAsia" w:ascii="宋体" w:hAnsi="宋体"/>
                <w:bCs/>
                <w:color w:val="000000"/>
                <w:sz w:val="24"/>
              </w:rPr>
            </w:pPr>
            <w:r>
              <w:rPr>
                <w:rFonts w:hint="eastAsia" w:ascii="宋体" w:hAnsi="宋体" w:cs="宋体"/>
                <w:bCs/>
                <w:color w:val="000000"/>
                <w:sz w:val="24"/>
              </w:rPr>
              <w:t xml:space="preserve">供应商插入CA证书登陆</w:t>
            </w:r>
            <w:r>
              <w:rPr>
                <w:rFonts w:hint="eastAsia" w:ascii="宋体" w:hAnsi="宋体" w:cs="宋体"/>
                <w:bCs/>
                <w:color w:val="000000"/>
                <w:sz w:val="24"/>
              </w:rPr>
              <w:t xml:space="preserve">“苏采云”系统（网址：http://jszfcg.jsczt.cn/）后选择具体项目，点击“我要参与”并签章提交《投标供应商确认函》，提交《投标供应商确认函》日期视同为依法获取招标（响应）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after="0" w:line="360" w:lineRule="auto"/>
              <w:rPr>
                <w:rFonts w:hint="eastAsia" w:ascii="宋体" w:hAnsi="宋体"/>
                <w:bCs/>
                <w:color w:val="000000"/>
                <w:sz w:val="24"/>
              </w:rPr>
            </w:pPr>
            <w:r>
              <w:rPr>
                <w:rFonts w:hint="eastAsia" w:ascii="宋体" w:hAnsi="宋体" w:cs="宋体"/>
                <w:bCs/>
                <w:color w:val="000000"/>
                <w:sz w:val="24"/>
              </w:rPr>
              <w:t xml:space="preserve">更正（补充）公告及附件的获取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2" w:type="dxa"/>
            <w:vAlign w:val="center"/>
            <w:textDirection w:val="lrTb"/>
            <w:noWrap w:val="false"/>
          </w:tcPr>
          <w:p>
            <w:pPr>
              <w:spacing w:after="0" w:line="360" w:lineRule="auto"/>
              <w:rPr>
                <w:rFonts w:hint="eastAsia" w:ascii="宋体" w:hAnsi="宋体"/>
                <w:bCs/>
                <w:color w:val="000000"/>
                <w:sz w:val="24"/>
              </w:rPr>
            </w:pPr>
            <w:r>
              <w:rPr>
                <w:rFonts w:hint="eastAsia" w:ascii="宋体" w:hAnsi="宋体" w:cs="宋体"/>
                <w:bCs/>
                <w:color w:val="000000"/>
                <w:sz w:val="24"/>
              </w:rPr>
              <w:t xml:space="preserve">项目的招标（采购）文件的更正、补充（澄清）通知作为招标（采购）文件的组成部分，对投标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电子投标（响应）准备</w:t>
            </w:r>
            <w:r/>
          </w:p>
          <w:p>
            <w:pPr>
              <w:jc w:val="center"/>
              <w:spacing w:after="0" w:line="360" w:lineRule="auto"/>
              <w:rPr>
                <w:rFonts w:hint="eastAsia" w:ascii="宋体" w:hAnsi="宋体"/>
                <w:bCs/>
                <w:color w:val="000000"/>
                <w:sz w:val="24"/>
              </w:rPr>
            </w:pPr>
            <w:r>
              <w:rPr>
                <w:rFonts w:hint="eastAsia" w:ascii="宋体" w:hAnsi="宋体"/>
                <w:bCs/>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2" w:type="dxa"/>
            <w:vAlign w:val="center"/>
            <w:textDirection w:val="lrTb"/>
            <w:noWrap w:val="false"/>
          </w:tcPr>
          <w:p>
            <w:pPr>
              <w:jc w:val="left"/>
              <w:spacing w:after="0" w:line="360" w:lineRule="auto"/>
              <w:rPr>
                <w:rFonts w:hint="eastAsia" w:ascii="宋体" w:hAnsi="宋体"/>
                <w:bCs/>
                <w:color w:val="000000"/>
                <w:sz w:val="24"/>
              </w:rPr>
            </w:pPr>
            <w:r>
              <w:rPr>
                <w:rFonts w:hint="eastAsia" w:ascii="宋体" w:hAnsi="宋体" w:cs="宋体"/>
                <w:bCs/>
                <w:color w:val="000000"/>
                <w:sz w:val="24"/>
              </w:rPr>
              <w:t xml:space="preserve">供应商在“苏采云”系统中操作成功参与项目后，必须在“已参与项目”界面中下载电子招标（采购）文件（后缀名为“.kedt”）并导入政府采购客户端工具后方可进行投标（响应）文件制作和提交（具体详见《苏采云系统供应商操作手册》，网址链接https://czju.suzhou.gov.cn/zfcg/html/content/20231220161910031.shtml）。</w:t>
            </w:r>
            <w:r/>
          </w:p>
        </w:tc>
      </w:tr>
    </w:tbl>
    <w:p>
      <w:pPr>
        <w:pStyle w:val="826"/>
        <w:jc w:val="center"/>
        <w:spacing w:before="0" w:after="0" w:line="360" w:lineRule="auto"/>
        <w:rPr>
          <w:rFonts w:hint="eastAsia" w:ascii="宋体" w:hAnsi="宋体" w:eastAsia="宋体"/>
          <w:bCs/>
          <w:color w:val="000000"/>
          <w:sz w:val="24"/>
        </w:rPr>
      </w:pPr>
      <w:r>
        <w:rPr>
          <w:rFonts w:hint="eastAsia" w:ascii="宋体" w:hAnsi="宋体" w:eastAsia="宋体" w:cs="宋体"/>
          <w:bCs/>
          <w:color w:val="000000"/>
          <w:sz w:val="24"/>
        </w:rPr>
        <w:br w:type="page" w:clear="all"/>
      </w:r>
      <w:bookmarkStart w:id="0" w:name="_Toc388961470"/>
      <w:r/>
      <w:bookmarkStart w:id="1" w:name="_Toc387680517"/>
      <w:r>
        <w:rPr>
          <w:rFonts w:hint="eastAsia" w:ascii="宋体" w:hAnsi="宋体" w:eastAsia="宋体"/>
          <w:bCs/>
          <w:color w:val="000000"/>
          <w:sz w:val="24"/>
        </w:rPr>
        <w:t xml:space="preserve">第一章  </w:t>
      </w:r>
      <w:bookmarkEnd w:id="0"/>
      <w:r>
        <w:rPr>
          <w:rFonts w:hint="eastAsia" w:ascii="宋体" w:hAnsi="宋体" w:eastAsia="宋体"/>
          <w:bCs/>
          <w:color w:val="000000"/>
          <w:sz w:val="24"/>
        </w:rPr>
        <w:t xml:space="preserve">招标公告</w:t>
      </w:r>
      <w:r/>
    </w:p>
    <w:tbl>
      <w:tblPr>
        <w:tblStyle w:val="8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7"/>
      </w:tblGrid>
      <w:tr>
        <w:trPr/>
        <w:tc>
          <w:tcPr>
            <w:tcW w:w="9147" w:type="dxa"/>
            <w:textDirection w:val="lrTb"/>
            <w:noWrap w:val="false"/>
          </w:tcPr>
          <w:p>
            <w:pPr>
              <w:spacing w:after="0" w:line="360" w:lineRule="auto"/>
              <w:rPr>
                <w:rFonts w:hint="eastAsia" w:ascii="宋体" w:hAnsi="宋体"/>
                <w:bCs/>
                <w:color w:val="000000"/>
                <w:sz w:val="24"/>
              </w:rPr>
            </w:pPr>
            <w:r>
              <w:rPr>
                <w:rFonts w:hint="eastAsia" w:ascii="宋体" w:hAnsi="宋体"/>
                <w:bCs/>
                <w:color w:val="000000"/>
                <w:sz w:val="24"/>
              </w:rPr>
              <w:t xml:space="preserve">项目概况</w:t>
            </w:r>
            <w:r/>
          </w:p>
          <w:p>
            <w:pPr>
              <w:spacing w:after="0" w:line="360" w:lineRule="auto"/>
              <w:rPr>
                <w:rFonts w:hint="eastAsia" w:ascii="宋体" w:hAnsi="宋体"/>
                <w:bCs/>
                <w:color w:val="000000"/>
                <w:sz w:val="24"/>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lang w:eastAsia="zh-CN"/>
              </w:rPr>
              <w:t xml:space="preserve">苏州吴中太湖新城财政评(协)审2026年政府采购</w:t>
            </w:r>
            <w:r>
              <w:rPr>
                <w:rFonts w:hint="eastAsia" w:ascii="宋体" w:hAnsi="宋体"/>
                <w:bCs/>
                <w:color w:val="000000"/>
                <w:sz w:val="24"/>
              </w:rPr>
              <w:t xml:space="preserve">的招标项目的潜在投标人在“</w:t>
            </w:r>
            <w:r>
              <w:rPr>
                <w:rFonts w:hint="eastAsia" w:ascii="宋体" w:hAnsi="宋体"/>
                <w:bCs/>
                <w:color w:val="000000"/>
                <w:sz w:val="24"/>
                <w:u w:val="single"/>
              </w:rPr>
              <w:t xml:space="preserve">苏采云</w:t>
            </w:r>
            <w:r>
              <w:rPr>
                <w:rFonts w:hint="eastAsia" w:ascii="宋体" w:hAnsi="宋体"/>
                <w:bCs/>
                <w:color w:val="000000"/>
                <w:sz w:val="24"/>
              </w:rPr>
              <w:t xml:space="preserve">”系统获取招标文件，并于</w:t>
            </w:r>
            <w:r>
              <w:rPr>
                <w:rFonts w:hint="eastAsia" w:ascii="宋体" w:hAnsi="宋体" w:cs="宋体"/>
                <w:bCs/>
                <w:color w:val="000000"/>
                <w:sz w:val="24"/>
                <w:highlight w:val="white"/>
                <w:u w:val="single"/>
                <w:lang w:eastAsia="zh-CN"/>
              </w:rPr>
              <w:t xml:space="preserve">2026年</w:t>
            </w:r>
            <w:r>
              <w:rPr>
                <w:rFonts w:hint="eastAsia" w:ascii="宋体" w:hAnsi="宋体" w:cs="宋体"/>
                <w:bCs/>
                <w:color w:val="000000"/>
                <w:sz w:val="24"/>
                <w:highlight w:val="white"/>
                <w:u w:val="single"/>
                <w:lang w:val="en-US" w:eastAsia="zh-CN"/>
              </w:rPr>
              <w:t xml:space="preserve">4</w:t>
            </w:r>
            <w:r>
              <w:rPr>
                <w:rFonts w:hint="eastAsia" w:ascii="宋体" w:hAnsi="宋体" w:cs="宋体"/>
                <w:bCs/>
                <w:color w:val="000000"/>
                <w:sz w:val="24"/>
                <w:highlight w:val="white"/>
                <w:u w:val="single"/>
                <w:lang w:eastAsia="zh-CN"/>
              </w:rPr>
              <w:t xml:space="preserve">月</w:t>
            </w:r>
            <w:r>
              <w:rPr>
                <w:rFonts w:hint="eastAsia" w:ascii="宋体" w:hAnsi="宋体" w:cs="宋体"/>
                <w:bCs/>
                <w:color w:val="000000"/>
                <w:sz w:val="24"/>
                <w:highlight w:val="white"/>
                <w:u w:val="single"/>
              </w:rPr>
              <w:t xml:space="preserve">2</w:t>
            </w:r>
            <w:r>
              <w:rPr>
                <w:rFonts w:hint="eastAsia" w:ascii="宋体" w:hAnsi="宋体" w:cs="宋体"/>
                <w:bCs/>
                <w:color w:val="000000"/>
                <w:sz w:val="24"/>
                <w:highlight w:val="white"/>
                <w:u w:val="single"/>
              </w:rPr>
              <w:t xml:space="preserve">3日09点30</w:t>
            </w:r>
            <w:r>
              <w:rPr>
                <w:rFonts w:hint="eastAsia" w:ascii="宋体" w:hAnsi="宋体"/>
                <w:bCs/>
                <w:color w:val="000000"/>
                <w:sz w:val="24"/>
              </w:rPr>
              <w:t xml:space="preserve">（北京时间）前递交投标文件。</w:t>
            </w:r>
            <w:r/>
          </w:p>
        </w:tc>
      </w:tr>
    </w:tbl>
    <w:p>
      <w:pPr>
        <w:ind w:firstLine="480"/>
        <w:spacing w:after="0" w:line="360" w:lineRule="auto"/>
        <w:rPr>
          <w:rFonts w:hint="eastAsia" w:ascii="宋体" w:hAnsi="宋体"/>
          <w:bCs/>
          <w:color w:val="000000"/>
          <w:sz w:val="24"/>
        </w:rPr>
      </w:pPr>
      <w:r>
        <w:rPr>
          <w:rFonts w:hint="eastAsia" w:ascii="宋体" w:hAnsi="宋体"/>
          <w:bCs/>
          <w:color w:val="000000"/>
          <w:sz w:val="24"/>
        </w:rPr>
        <w:t xml:space="preserve">一、项目基本情况</w:t>
      </w:r>
      <w:bookmarkEnd w:id="1"/>
      <w:r/>
      <w:r/>
    </w:p>
    <w:p>
      <w:pPr>
        <w:ind w:firstLine="480"/>
        <w:jc w:val="left"/>
        <w:spacing w:after="0" w:line="360" w:lineRule="auto"/>
        <w:rPr>
          <w:rFonts w:hint="eastAsia" w:ascii="宋体" w:hAnsi="宋体"/>
          <w:bCs/>
          <w:color w:val="000000"/>
          <w:sz w:val="24"/>
        </w:rPr>
      </w:pPr>
      <w:r>
        <w:rPr>
          <w:rFonts w:hint="eastAsia" w:ascii="宋体" w:hAnsi="宋体"/>
          <w:bCs/>
          <w:color w:val="000000"/>
          <w:sz w:val="24"/>
        </w:rPr>
        <w:t xml:space="preserve">项目编号：</w:t>
      </w:r>
      <w:r>
        <w:rPr>
          <w:rFonts w:hint="eastAsia" w:ascii="宋体" w:hAnsi="宋体"/>
          <w:bCs/>
          <w:color w:val="000000"/>
          <w:sz w:val="24"/>
          <w:lang w:eastAsia="zh-CN"/>
        </w:rPr>
        <w:t xml:space="preserve">JSZC-320506-ZMZX-G2026-0001</w:t>
      </w:r>
      <w:r>
        <w:rPr>
          <w:rFonts w:hint="eastAsia" w:ascii="宋体" w:hAnsi="宋体"/>
          <w:bCs/>
          <w:color w:val="000000"/>
          <w:sz w:val="24"/>
        </w:rPr>
        <w:t xml:space="preserve">号</w:t>
      </w:r>
      <w:r/>
    </w:p>
    <w:p>
      <w:pPr>
        <w:ind w:firstLine="480"/>
        <w:jc w:val="left"/>
        <w:spacing w:after="0" w:line="360" w:lineRule="auto"/>
        <w:rPr>
          <w:rFonts w:hint="eastAsia" w:ascii="宋体" w:hAnsi="宋体"/>
          <w:bCs/>
          <w:color w:val="000000"/>
          <w:sz w:val="24"/>
        </w:rPr>
      </w:pPr>
      <w:r>
        <w:rPr>
          <w:rFonts w:hint="eastAsia" w:ascii="宋体" w:hAnsi="宋体"/>
          <w:bCs/>
          <w:color w:val="000000"/>
          <w:sz w:val="24"/>
        </w:rPr>
        <w:t xml:space="preserve">项目名称：</w:t>
      </w:r>
      <w:r>
        <w:rPr>
          <w:rFonts w:hint="eastAsia" w:ascii="宋体" w:hAnsi="宋体"/>
          <w:bCs/>
          <w:color w:val="000000"/>
          <w:sz w:val="24"/>
          <w:lang w:eastAsia="zh-CN"/>
        </w:rPr>
        <w:t xml:space="preserve">苏州吴中太湖新城财政评(协)审2026年政府采购</w:t>
      </w:r>
      <w:r>
        <w:rPr>
          <w:rFonts w:hint="eastAsia" w:ascii="宋体" w:hAnsi="宋体"/>
          <w:bCs/>
          <w:color w:val="000000"/>
          <w:sz w:val="24"/>
        </w:rPr>
        <w:t xml:space="preserve">   </w:t>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rPr>
        <w:t xml:space="preserve">本项目预算金额：人民币</w:t>
      </w:r>
      <w:r>
        <w:rPr>
          <w:rFonts w:hint="eastAsia" w:ascii="宋体" w:hAnsi="宋体"/>
          <w:bCs/>
          <w:color w:val="000000"/>
          <w:sz w:val="24"/>
          <w:lang w:val="en-US" w:eastAsia="zh-CN"/>
        </w:rPr>
        <w:t xml:space="preserve">伍佰零陆</w:t>
      </w:r>
      <w:r>
        <w:rPr>
          <w:rFonts w:hint="eastAsia" w:ascii="宋体" w:hAnsi="宋体"/>
          <w:bCs/>
          <w:color w:val="000000"/>
          <w:sz w:val="24"/>
        </w:rPr>
        <w:t xml:space="preserve">万元整（¥：</w:t>
      </w:r>
      <w:r>
        <w:rPr>
          <w:rFonts w:hint="eastAsia" w:ascii="宋体" w:hAnsi="宋体"/>
          <w:bCs/>
          <w:color w:val="000000"/>
          <w:sz w:val="24"/>
          <w:lang w:val="en-US" w:eastAsia="zh-CN"/>
        </w:rPr>
        <w:t xml:space="preserve">5060000</w:t>
      </w:r>
      <w:r>
        <w:rPr>
          <w:rFonts w:hint="eastAsia" w:ascii="宋体" w:hAnsi="宋体"/>
          <w:bCs/>
          <w:color w:val="000000"/>
          <w:sz w:val="24"/>
        </w:rPr>
        <w:t xml:space="preserve">.00）</w:t>
      </w:r>
      <w:bookmarkStart w:id="41" w:name="_GoBack"/>
      <w:r/>
      <w:bookmarkEnd w:id="41"/>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rPr>
        <w:t xml:space="preserve">其中：</w:t>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rPr>
        <w:t xml:space="preserve">第一标段：人民币捌拾万元整（￥800000.00）</w:t>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rPr>
        <w:t xml:space="preserve">第二标段：人民币陆拾伍万元整（￥650000.00）</w:t>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rPr>
        <w:t xml:space="preserve">第三标段：人民币陆拾肆万元整（￥640000.00）</w:t>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rPr>
        <w:t xml:space="preserve">第四标段：人民币伍拾万元整（￥500000.00）</w:t>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rPr>
        <w:t xml:space="preserve">第五标段：人民币肆拾贰万元整（￥420000.00）</w:t>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rPr>
        <w:t xml:space="preserve">第六标段：人民币肆拾壹万元整（￥410000.00）</w:t>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rPr>
        <w:t xml:space="preserve">第七标段：人民币叁拾壹万元整（￥310000.00）</w:t>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rPr>
        <w:t xml:space="preserve">第八标段：人民币贰拾玖万元整（￥290000.00）</w:t>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rPr>
        <w:t xml:space="preserve">第九标段：人民币贰拾玖万元整（￥290000.00）</w:t>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rPr>
        <w:t xml:space="preserve">第十标段：人民币贰拾玖万元整（￥290000.00）</w:t>
      </w:r>
      <w:r/>
    </w:p>
    <w:p>
      <w:pPr>
        <w:ind w:firstLine="480"/>
        <w:spacing w:after="0" w:line="360" w:lineRule="auto"/>
        <w:rPr>
          <w:lang w:val="zh-CN"/>
        </w:rPr>
        <w:outlineLvl w:val="1"/>
      </w:pPr>
      <w:r>
        <w:rPr>
          <w:rFonts w:hint="eastAsia" w:ascii="宋体" w:hAnsi="宋体"/>
          <w:bCs/>
          <w:color w:val="000000"/>
          <w:sz w:val="24"/>
        </w:rPr>
        <w:t xml:space="preserve">第十一标段：人民币贰拾陆万元整（￥260000.00）</w:t>
      </w:r>
      <w:r/>
    </w:p>
    <w:p>
      <w:pPr>
        <w:ind w:firstLine="480"/>
        <w:spacing w:after="0" w:line="360" w:lineRule="auto"/>
        <w:rPr>
          <w:rFonts w:hint="eastAsia" w:ascii="宋体" w:hAnsi="宋体"/>
          <w:bCs/>
          <w:color w:val="000000"/>
          <w:sz w:val="24"/>
        </w:rPr>
        <w:outlineLvl w:val="1"/>
      </w:pPr>
      <w:r>
        <w:rPr>
          <w:rFonts w:hint="eastAsia" w:ascii="宋体" w:hAnsi="宋体"/>
          <w:bCs/>
          <w:color w:val="000000"/>
          <w:sz w:val="24"/>
          <w:lang w:val="en-US"/>
        </w:rPr>
        <w:t xml:space="preserve">第十二标段：人民币贰拾万元整（￥200000.00）</w:t>
      </w:r>
      <w:r/>
    </w:p>
    <w:p>
      <w:pPr>
        <w:ind w:firstLine="482"/>
        <w:spacing w:after="0" w:line="360" w:lineRule="auto"/>
        <w:rPr>
          <w:rFonts w:cs="宋体"/>
          <w:b/>
          <w:bCs/>
          <w:color w:val="000000"/>
          <w:sz w:val="24"/>
        </w:rPr>
      </w:pPr>
      <w:r>
        <w:rPr>
          <w:rFonts w:hint="eastAsia" w:ascii="宋体" w:hAnsi="宋体" w:cs="宋体"/>
          <w:b/>
          <w:bCs/>
          <w:color w:val="000000"/>
          <w:sz w:val="24"/>
        </w:rPr>
        <w:t xml:space="preserve">注：</w:t>
      </w:r>
      <w:r/>
    </w:p>
    <w:p>
      <w:pPr>
        <w:pStyle w:val="846"/>
        <w:ind w:firstLine="482"/>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本项目共分为</w:t>
      </w:r>
      <w:r>
        <w:rPr>
          <w:rFonts w:hint="eastAsia" w:ascii="宋体" w:hAnsi="宋体" w:eastAsia="宋体" w:cs="宋体"/>
          <w:b/>
          <w:bCs/>
          <w:color w:val="000000"/>
          <w:sz w:val="24"/>
          <w:szCs w:val="24"/>
        </w:rPr>
        <w:t xml:space="preserve">12</w:t>
      </w:r>
      <w:r>
        <w:rPr>
          <w:rFonts w:hint="eastAsia" w:ascii="宋体" w:hAnsi="宋体" w:eastAsia="宋体" w:cs="宋体"/>
          <w:b/>
          <w:bCs/>
          <w:color w:val="000000"/>
          <w:sz w:val="24"/>
          <w:szCs w:val="24"/>
          <w:lang w:val="zh-CN"/>
        </w:rPr>
        <w:t xml:space="preserve">个标段，</w:t>
      </w:r>
      <w:r>
        <w:rPr>
          <w:rFonts w:hint="eastAsia" w:ascii="宋体" w:hAnsi="宋体" w:eastAsia="宋体" w:cs="宋体"/>
          <w:b/>
          <w:bCs/>
          <w:color w:val="000000"/>
          <w:sz w:val="24"/>
          <w:szCs w:val="24"/>
        </w:rPr>
        <w:t xml:space="preserve">每标段中标单位数量为1家。</w:t>
      </w:r>
      <w:r>
        <w:rPr>
          <w:rFonts w:hint="eastAsia" w:ascii="宋体" w:hAnsi="宋体" w:eastAsia="宋体" w:cs="宋体"/>
          <w:b/>
          <w:bCs/>
          <w:color w:val="000000"/>
          <w:sz w:val="24"/>
          <w:szCs w:val="24"/>
          <w:lang w:val="zh-CN"/>
        </w:rPr>
        <w:t xml:space="preserve">投标单位可对以上</w:t>
      </w:r>
      <w:r>
        <w:rPr>
          <w:rFonts w:hint="eastAsia" w:ascii="宋体" w:hAnsi="宋体" w:eastAsia="宋体" w:cs="宋体"/>
          <w:b/>
          <w:bCs/>
          <w:color w:val="000000"/>
          <w:sz w:val="24"/>
          <w:szCs w:val="24"/>
        </w:rPr>
        <w:t xml:space="preserve">12</w:t>
      </w:r>
      <w:r>
        <w:rPr>
          <w:rFonts w:hint="eastAsia" w:ascii="宋体" w:hAnsi="宋体" w:eastAsia="宋体" w:cs="宋体"/>
          <w:b/>
          <w:bCs/>
          <w:color w:val="000000"/>
          <w:sz w:val="24"/>
          <w:szCs w:val="24"/>
          <w:lang w:val="zh-CN"/>
        </w:rPr>
        <w:t xml:space="preserve">个标段中的部分标段或全部标段进行报名投标,但只允许中标一个标段。已在前期标段评审中获得中标资格的供应商，不再具有后续标段的得标权，不计入后续标段的实质性响应供应商数量。</w:t>
      </w:r>
      <w:r/>
    </w:p>
    <w:p>
      <w:pPr>
        <w:ind w:firstLine="482"/>
        <w:spacing w:line="360" w:lineRule="auto"/>
        <w:rPr>
          <w:rFonts w:hint="eastAsia" w:ascii="宋体" w:hAnsi="宋体" w:cs="宋体"/>
          <w:b/>
          <w:bCs/>
          <w:color w:val="000000"/>
          <w:sz w:val="24"/>
        </w:rPr>
      </w:pPr>
      <w:r>
        <w:rPr>
          <w:rFonts w:hint="eastAsia" w:ascii="宋体" w:hAnsi="宋体" w:eastAsia="宋体" w:cs="宋体"/>
          <w:b/>
          <w:bCs/>
          <w:color w:val="000000"/>
          <w:sz w:val="24"/>
          <w:szCs w:val="24"/>
        </w:rPr>
        <w:t xml:space="preserve">各标段咨询项目根据项目具体情况做相应调整。具体项目协审费用按照附表《苏州太湖新城吴中管委会（党政办）财政评审协审费用支付标准》明确的计费标准，结合项目评审业务质量考核情况和项目评审质量复核监督情况按实计取。</w:t>
      </w:r>
      <w:r/>
    </w:p>
    <w:p>
      <w:pPr>
        <w:ind w:firstLine="482"/>
        <w:spacing w:line="360" w:lineRule="auto"/>
        <w:rPr>
          <w:rFonts w:cs="宋体"/>
          <w:b/>
          <w:bCs/>
          <w:color w:val="000000"/>
        </w:rPr>
      </w:pPr>
      <w:r>
        <w:rPr>
          <w:rFonts w:hint="eastAsia" w:cs="宋体"/>
          <w:b/>
          <w:bCs/>
          <w:color w:val="000000"/>
          <w:sz w:val="24"/>
        </w:rPr>
        <w:t xml:space="preserve">二、</w:t>
      </w:r>
      <w:r>
        <w:rPr>
          <w:rFonts w:hint="eastAsia" w:ascii="宋体" w:hAnsi="宋体" w:cs="宋体"/>
          <w:b/>
          <w:bCs/>
          <w:color w:val="000000"/>
          <w:sz w:val="24"/>
        </w:rPr>
        <w:t xml:space="preserve">采购需求：</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highlight w:val="none"/>
        </w:rPr>
        <w:t xml:space="preserve">根据</w:t>
      </w:r>
      <w:r>
        <w:rPr>
          <w:rFonts w:hint="eastAsia" w:ascii="宋体" w:hAnsi="宋体"/>
          <w:bCs/>
          <w:color w:val="000000"/>
          <w:sz w:val="24"/>
          <w:highlight w:val="none"/>
          <w:lang w:val="en-US" w:eastAsia="zh-CN"/>
        </w:rPr>
        <w:t xml:space="preserve">苏州太湖新城吴中管理委员会</w:t>
      </w:r>
      <w:r>
        <w:rPr>
          <w:rFonts w:hint="eastAsia" w:ascii="宋体" w:hAnsi="宋体"/>
          <w:bCs/>
          <w:color w:val="000000"/>
          <w:sz w:val="24"/>
          <w:highlight w:val="none"/>
        </w:rPr>
        <w:t xml:space="preserve">关于印发《</w:t>
      </w:r>
      <w:r>
        <w:rPr>
          <w:rFonts w:hint="eastAsia" w:ascii="宋体" w:hAnsi="宋体"/>
          <w:bCs/>
          <w:color w:val="000000"/>
          <w:sz w:val="24"/>
          <w:highlight w:val="none"/>
          <w:lang w:val="en-US" w:eastAsia="zh-CN"/>
        </w:rPr>
        <w:t xml:space="preserve">苏州太湖新城吴中管理委员会政府投资管理办法（试行）</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的通知</w:t>
      </w:r>
      <w:r>
        <w:rPr>
          <w:rFonts w:hint="eastAsia" w:ascii="宋体" w:hAnsi="宋体"/>
          <w:bCs/>
          <w:color w:val="000000"/>
          <w:sz w:val="24"/>
          <w:highlight w:val="none"/>
        </w:rPr>
        <w:t xml:space="preserve">（吴</w:t>
      </w:r>
      <w:r>
        <w:rPr>
          <w:rFonts w:hint="eastAsia" w:ascii="宋体" w:hAnsi="宋体"/>
          <w:bCs/>
          <w:color w:val="000000"/>
          <w:sz w:val="24"/>
          <w:highlight w:val="none"/>
          <w:lang w:val="en-US" w:eastAsia="zh-CN"/>
        </w:rPr>
        <w:t xml:space="preserve">太管委</w:t>
      </w:r>
      <w:r>
        <w:rPr>
          <w:rFonts w:hint="eastAsia" w:ascii="宋体" w:hAnsi="宋体"/>
          <w:bCs/>
          <w:color w:val="000000"/>
          <w:sz w:val="24"/>
          <w:highlight w:val="none"/>
        </w:rPr>
        <w:t xml:space="preserve">〔20</w:t>
      </w:r>
      <w:r>
        <w:rPr>
          <w:rFonts w:hint="eastAsia" w:ascii="宋体" w:hAnsi="宋体"/>
          <w:bCs/>
          <w:color w:val="000000"/>
          <w:sz w:val="24"/>
          <w:highlight w:val="none"/>
          <w:lang w:val="en-US" w:eastAsia="zh-CN"/>
        </w:rPr>
        <w:t xml:space="preserve">25</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3号）文件规定，</w:t>
      </w:r>
      <w:r>
        <w:rPr>
          <w:rFonts w:hint="eastAsia" w:ascii="宋体" w:hAnsi="宋体"/>
          <w:bCs/>
          <w:color w:val="000000"/>
          <w:sz w:val="24"/>
        </w:rPr>
        <w:t xml:space="preserve">苏州太湖新城吴中管理委员会按照财政管理体制和预算级次组织实施财政投资评审工作，并根据需要委托有资质的社会中介协审单位进行协审。为加强评审工作履职所需的辅助性服务，苏州太湖新城吴中管理委员会通过政府购买服务要求采购工程造价咨询服务，服务内容包括</w:t>
      </w:r>
      <w:r>
        <w:rPr>
          <w:rFonts w:hint="eastAsia" w:ascii="宋体" w:hAnsi="宋体"/>
          <w:bCs/>
          <w:color w:val="000000"/>
          <w:sz w:val="24"/>
          <w:highlight w:val="none"/>
        </w:rPr>
        <w:t xml:space="preserve">项目概算审核</w:t>
      </w:r>
      <w:r>
        <w:rPr>
          <w:rFonts w:hint="eastAsia" w:ascii="宋体" w:hAnsi="宋体"/>
          <w:bCs/>
          <w:color w:val="000000"/>
          <w:sz w:val="24"/>
        </w:rPr>
        <w:t xml:space="preserve">、工程预算（标底）编制及审核咨询服务采购项目。</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注：</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苏州太湖新城吴中管理委员会评审的项目编制单位和审核单位原则上不能为同一家单位，协审单位若为苏州太湖新城吴中管理委员会委托审核项目的编制单位时，应主动、及时向苏州太湖新城吴中管理委员会提出回避审核该项目的申请，放弃该项目的委托，苏州太湖新城吴中管理委员会应另行安排该项目协审单位。</w:t>
      </w:r>
      <w:r>
        <w:rPr>
          <w:rFonts w:hint="eastAsia" w:ascii="宋体" w:hAnsi="宋体"/>
          <w:bCs/>
          <w:color w:val="000000"/>
          <w:sz w:val="24"/>
          <w:lang w:eastAsia="zh-CN"/>
        </w:rPr>
        <w:t xml:space="preserve">中标单位</w:t>
      </w:r>
      <w:r>
        <w:rPr>
          <w:rFonts w:hint="eastAsia" w:ascii="宋体" w:hAnsi="宋体"/>
          <w:bCs/>
          <w:color w:val="000000"/>
          <w:sz w:val="24"/>
        </w:rPr>
        <w:t xml:space="preserve">不得就成交标段项目接受其他单位的编标委托。</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（2）因政策原因取消或临时调整项目，苏州太湖新城吴中管理委员会有权在协审委托合同中调整，协审单位应按要求完成协审服务工作。</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2、服务期限：合同签订之日起至整个标段所有协审项目完成。</w:t>
      </w:r>
      <w:r/>
    </w:p>
    <w:p>
      <w:pPr>
        <w:ind w:firstLine="480"/>
        <w:spacing w:after="0" w:line="360" w:lineRule="auto"/>
        <w:rPr>
          <w:rFonts w:hint="eastAsia" w:ascii="宋体" w:hAnsi="宋体" w:eastAsia="宋体"/>
          <w:bCs/>
          <w:color w:val="000000"/>
          <w:sz w:val="24"/>
          <w:lang w:val="en-US" w:eastAsia="zh-CN"/>
        </w:rPr>
      </w:pPr>
      <w:r>
        <w:rPr>
          <w:rFonts w:hint="eastAsia" w:ascii="宋体" w:hAnsi="宋体"/>
          <w:sz w:val="24"/>
          <w:lang w:val="en-US" w:eastAsia="zh-CN"/>
        </w:rPr>
        <w:t xml:space="preserve">3、</w:t>
      </w:r>
      <w:r>
        <w:rPr>
          <w:rFonts w:hint="eastAsia" w:ascii="宋体" w:hAnsi="宋体"/>
          <w:sz w:val="24"/>
        </w:rPr>
        <w:t xml:space="preserve">拟成交服务供应商：</w:t>
      </w:r>
      <w:r>
        <w:rPr>
          <w:rFonts w:hint="eastAsia" w:ascii="宋体" w:hAnsi="宋体"/>
          <w:sz w:val="24"/>
          <w:lang w:val="en-US" w:eastAsia="zh-CN"/>
        </w:rPr>
        <w:t xml:space="preserve">12</w:t>
      </w:r>
      <w:r>
        <w:rPr>
          <w:rFonts w:hint="eastAsia" w:ascii="宋体" w:hAnsi="宋体"/>
          <w:sz w:val="24"/>
        </w:rPr>
        <w:t xml:space="preserve">家</w:t>
      </w:r>
      <w:r>
        <w:rPr>
          <w:rFonts w:hint="eastAsia" w:ascii="宋体" w:hAnsi="宋体"/>
          <w:bCs/>
          <w:color w:val="000000"/>
          <w:sz w:val="24"/>
        </w:rPr>
        <w:t xml:space="preserve">。</w:t>
      </w:r>
      <w:r/>
    </w:p>
    <w:p>
      <w:pPr>
        <w:ind w:firstLine="480"/>
        <w:spacing w:after="0" w:line="360" w:lineRule="auto"/>
        <w:rPr>
          <w:rFonts w:hint="eastAsia" w:ascii="宋体" w:hAnsi="宋体" w:cs="宋体"/>
          <w:color w:val="000000"/>
          <w:sz w:val="24"/>
        </w:rPr>
      </w:pPr>
      <w:r>
        <w:rPr>
          <w:rFonts w:hint="eastAsia" w:ascii="宋体" w:hAnsi="宋体"/>
          <w:bCs/>
          <w:color w:val="000000"/>
          <w:sz w:val="24"/>
          <w:lang w:val="en-US" w:eastAsia="zh-CN"/>
        </w:rPr>
        <w:t xml:space="preserve">4</w:t>
      </w:r>
      <w:r>
        <w:rPr>
          <w:rFonts w:hint="eastAsia" w:ascii="宋体" w:hAnsi="宋体"/>
          <w:bCs/>
          <w:color w:val="000000"/>
          <w:sz w:val="24"/>
        </w:rPr>
        <w:t xml:space="preserve">、项目考核方式：按</w:t>
      </w:r>
      <w:r>
        <w:rPr>
          <w:rFonts w:hint="eastAsia" w:ascii="宋体" w:hAnsi="宋体"/>
          <w:bCs/>
          <w:color w:val="000000"/>
          <w:sz w:val="24"/>
          <w:lang w:eastAsia="zh-CN"/>
        </w:rPr>
        <w:t xml:space="preserve">招标人</w:t>
      </w:r>
      <w:r>
        <w:rPr>
          <w:rFonts w:hint="eastAsia" w:ascii="宋体" w:hAnsi="宋体"/>
          <w:bCs/>
          <w:color w:val="000000"/>
          <w:sz w:val="24"/>
        </w:rPr>
        <w:t xml:space="preserve">要求考核，具体详见招标文件及合同附件文件要求考核。</w:t>
      </w:r>
      <w:r/>
    </w:p>
    <w:p>
      <w:pPr>
        <w:ind w:right="31" w:firstLine="480"/>
        <w:jc w:val="left"/>
        <w:spacing w:after="0" w:line="360" w:lineRule="auto"/>
        <w:tabs>
          <w:tab w:val="left" w:pos="4665" w:leader="none"/>
        </w:tabs>
        <w:rPr>
          <w:rFonts w:hint="eastAsia" w:ascii="宋体" w:hAnsi="宋体"/>
          <w:bCs/>
          <w:color w:val="000000"/>
          <w:sz w:val="24"/>
        </w:rPr>
      </w:pPr>
      <w:r>
        <w:rPr>
          <w:rFonts w:hint="eastAsia" w:ascii="宋体" w:hAnsi="宋体"/>
          <w:bCs/>
          <w:color w:val="000000"/>
          <w:sz w:val="24"/>
        </w:rPr>
        <w:t xml:space="preserve">三、申请人的资格要求：</w:t>
      </w:r>
      <w:r>
        <w:rPr>
          <w:rFonts w:ascii="宋体" w:hAnsi="宋体"/>
          <w:bCs/>
          <w:color w:val="000000"/>
          <w:sz w:val="24"/>
        </w:rPr>
        <w:tab/>
      </w:r>
      <w:r/>
    </w:p>
    <w:p>
      <w:pPr>
        <w:ind w:firstLine="480"/>
        <w:spacing w:after="0" w:line="360" w:lineRule="auto"/>
        <w:rPr>
          <w:rFonts w:hint="eastAsia" w:ascii="宋体" w:hAnsi="宋体"/>
          <w:bCs/>
          <w:color w:val="000000"/>
          <w:sz w:val="24"/>
        </w:rPr>
      </w:pPr>
      <w:r/>
      <w:bookmarkStart w:id="2" w:name="_Toc28359003"/>
      <w:r>
        <w:rPr>
          <w:rFonts w:hint="eastAsia" w:ascii="宋体" w:hAnsi="宋体"/>
          <w:bCs/>
          <w:color w:val="000000"/>
          <w:sz w:val="24"/>
        </w:rPr>
        <w:t xml:space="preserve">1、满足《中华人民共和国政府采购法》第二十二条规定；</w:t>
      </w:r>
      <w:bookmarkEnd w:id="2"/>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1.1具有独立承担民事责任的能力；</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1.2具有良好的商业信誉和健全的财务会计制度；</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1.3具有履行合同所必须的设备和专业技术能力；</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1.4有依法缴纳税收和社会保障资金的良好记录；</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1.5参加政府采购活动前三年内，在经营活动中没有重大违法记录；</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1.6法律、行政法规规定的其他条件。</w:t>
      </w:r>
      <w:r/>
    </w:p>
    <w:p>
      <w:pPr>
        <w:ind w:firstLine="480"/>
        <w:jc w:val="left"/>
        <w:spacing w:after="0" w:line="360" w:lineRule="auto"/>
        <w:shd w:val="clear" w:color="auto" w:fill="ffffff"/>
        <w:rPr>
          <w:rFonts w:hint="eastAsia" w:ascii="宋体" w:hAnsi="宋体"/>
          <w:bCs/>
          <w:color w:val="000000"/>
          <w:sz w:val="24"/>
        </w:rPr>
      </w:pPr>
      <w:r>
        <w:rPr>
          <w:rFonts w:hint="eastAsia" w:ascii="宋体" w:hAnsi="宋体"/>
          <w:bCs/>
          <w:color w:val="000000"/>
          <w:sz w:val="24"/>
        </w:rPr>
        <w:t xml:space="preserve">2、落实政府采购政策需满足的资格要求：</w:t>
      </w:r>
      <w:r/>
    </w:p>
    <w:p>
      <w:pPr>
        <w:ind w:firstLine="480"/>
        <w:jc w:val="left"/>
        <w:spacing w:after="0" w:line="360" w:lineRule="auto"/>
        <w:shd w:val="clear" w:color="auto" w:fill="ffffff"/>
        <w:rPr>
          <w:rFonts w:hint="eastAsia" w:ascii="宋体" w:hAnsi="宋体"/>
          <w:bCs/>
          <w:color w:val="000000"/>
          <w:sz w:val="24"/>
        </w:rPr>
      </w:pPr>
      <w:r>
        <w:rPr>
          <w:rFonts w:hint="eastAsia" w:ascii="宋体" w:hAnsi="宋体"/>
          <w:bCs/>
          <w:color w:val="000000"/>
          <w:sz w:val="24"/>
        </w:rPr>
        <w:t xml:space="preserve">标段七至标段十二专门面向中小微企业采购，所属行业为租赁和商务服务业，投标单位应为中小微企业或监狱企业或残疾人福利性单位。</w:t>
      </w:r>
      <w:r/>
    </w:p>
    <w:p>
      <w:pPr>
        <w:ind w:firstLine="480"/>
        <w:jc w:val="left"/>
        <w:spacing w:after="0" w:line="360" w:lineRule="auto"/>
        <w:shd w:val="clear" w:color="auto" w:fill="ffffff"/>
        <w:rPr>
          <w:rFonts w:hint="eastAsia" w:ascii="宋体" w:hAnsi="宋体"/>
          <w:bCs/>
          <w:color w:val="000000"/>
          <w:sz w:val="24"/>
        </w:rPr>
      </w:pPr>
      <w:r>
        <w:rPr>
          <w:rFonts w:hint="eastAsia" w:ascii="宋体" w:hAnsi="宋体"/>
          <w:bCs/>
          <w:color w:val="000000"/>
          <w:sz w:val="24"/>
        </w:rPr>
        <w:t xml:space="preserve">3、本项目的特定资格要求： </w:t>
      </w:r>
      <w:r/>
    </w:p>
    <w:p>
      <w:pPr>
        <w:ind w:firstLine="480"/>
        <w:spacing w:line="360" w:lineRule="auto"/>
        <w:rPr>
          <w:rFonts w:hint="eastAsia" w:ascii="宋体" w:hAnsi="宋体" w:cs="宋体"/>
          <w:sz w:val="24"/>
        </w:rPr>
      </w:pPr>
      <w:r>
        <w:rPr>
          <w:rFonts w:hint="eastAsia" w:ascii="宋体" w:hAnsi="宋体"/>
          <w:sz w:val="24"/>
        </w:rPr>
        <w:t xml:space="preserve">3.1</w:t>
      </w:r>
      <w:r>
        <w:rPr>
          <w:rFonts w:hint="eastAsia" w:ascii="宋体" w:hAnsi="宋体" w:cs="宋体"/>
          <w:sz w:val="24"/>
        </w:rPr>
        <w:t xml:space="preserve">咨询服务商单位负责人或股东与施工企业、施工劳务企业、工程材料供应商或施工器械租赁等工程领域相关企业存在交叉股权关系或者管理等影响社会咨询企业独立性的，不得参与本采购活动。</w:t>
      </w:r>
      <w:r/>
    </w:p>
    <w:p>
      <w:pPr>
        <w:ind w:firstLine="480"/>
        <w:spacing w:line="360" w:lineRule="auto"/>
        <w:rPr>
          <w:rFonts w:hint="eastAsia" w:ascii="宋体" w:hAnsi="宋体" w:cs="宋体"/>
          <w:sz w:val="24"/>
        </w:rPr>
      </w:pPr>
      <w:r>
        <w:rPr>
          <w:rFonts w:hint="eastAsia" w:ascii="宋体" w:hAnsi="宋体" w:cs="宋体"/>
          <w:sz w:val="24"/>
        </w:rPr>
        <w:t xml:space="preserve">3.2咨询服务商应承诺具有相关造价咨询能力，且提供的造价咨询服务工作符合中华人民共和国建设部令第149号及中华人民共和国建设部令第50号等相关规定。</w:t>
      </w:r>
      <w:r/>
    </w:p>
    <w:p>
      <w:pPr>
        <w:ind w:firstLine="482"/>
        <w:spacing w:line="360" w:lineRule="auto"/>
        <w:rPr>
          <w:rFonts w:hint="eastAsia" w:ascii="宋体" w:hAnsi="宋体" w:cs="宋体"/>
          <w:sz w:val="24"/>
        </w:rPr>
      </w:pPr>
      <w:r>
        <w:rPr>
          <w:rFonts w:hint="eastAsia" w:ascii="宋体" w:hAnsi="宋体" w:cs="宋体"/>
          <w:sz w:val="24"/>
        </w:rPr>
        <w:t xml:space="preserve">注：</w:t>
      </w:r>
      <w:r/>
    </w:p>
    <w:p>
      <w:pPr>
        <w:ind w:firstLine="482"/>
        <w:spacing w:line="360" w:lineRule="auto"/>
        <w:rPr>
          <w:rFonts w:hint="eastAsia" w:ascii="宋体" w:hAnsi="宋体" w:cs="宋体"/>
          <w:b/>
          <w:bCs/>
          <w:sz w:val="24"/>
        </w:rPr>
      </w:pPr>
      <w:r>
        <w:rPr>
          <w:rFonts w:hint="eastAsia" w:ascii="宋体" w:hAnsi="宋体" w:cs="宋体"/>
          <w:b/>
          <w:bCs/>
          <w:sz w:val="24"/>
        </w:rPr>
        <w:t xml:space="preserve">（1）未被列入失信被执行人、重大税收违法案件当事人名单、政府采购严重失信行为记录名单。</w:t>
      </w:r>
      <w:r/>
    </w:p>
    <w:p>
      <w:pPr>
        <w:ind w:firstLine="482"/>
        <w:spacing w:line="360" w:lineRule="auto"/>
        <w:rPr>
          <w:rFonts w:hint="eastAsia" w:ascii="宋体" w:hAnsi="宋体" w:cs="宋体"/>
          <w:b/>
          <w:color w:val="000000"/>
          <w:sz w:val="24"/>
        </w:rPr>
      </w:pPr>
      <w:r>
        <w:rPr>
          <w:rFonts w:hint="eastAsia" w:ascii="宋体" w:hAnsi="宋体" w:cs="宋体"/>
          <w:b/>
          <w:bCs/>
          <w:sz w:val="24"/>
        </w:rPr>
        <w:t xml:space="preserve">（2）咨询服务商单位负责人为同一人或者存在直接控股、管理关系的咨询服务商，不得参加同一合同下的政府采购活动。</w:t>
      </w:r>
      <w:r/>
    </w:p>
    <w:p>
      <w:pPr>
        <w:pStyle w:val="876"/>
        <w:ind w:firstLine="480"/>
        <w:spacing w:before="0" w:after="0" w:line="360" w:lineRule="auto"/>
        <w:rPr>
          <w:rFonts w:hint="eastAsia"/>
          <w:bCs/>
          <w:szCs w:val="24"/>
        </w:rPr>
      </w:pPr>
      <w:r>
        <w:rPr>
          <w:rFonts w:hint="eastAsia"/>
          <w:bCs/>
        </w:rPr>
        <w:t xml:space="preserve">四、</w:t>
      </w:r>
      <w:r>
        <w:rPr>
          <w:rFonts w:hint="eastAsia"/>
          <w:bCs/>
          <w:szCs w:val="24"/>
          <w:shd w:val="clear" w:color="auto" w:fill="ffffff"/>
        </w:rPr>
        <w:t xml:space="preserve">本项目不接受联合体投标</w:t>
      </w:r>
      <w:r>
        <w:rPr>
          <w:rFonts w:hint="eastAsia"/>
          <w:bCs/>
          <w:szCs w:val="24"/>
        </w:rPr>
        <w:t xml:space="preserve">。</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五、获取招标文件</w:t>
      </w:r>
      <w:r/>
    </w:p>
    <w:p>
      <w:pPr>
        <w:ind w:firstLine="480"/>
        <w:spacing w:after="0" w:line="360" w:lineRule="auto"/>
        <w:rPr>
          <w:rFonts w:hint="eastAsia" w:ascii="宋体" w:hAnsi="宋体" w:cs="宋体"/>
          <w:bCs/>
          <w:color w:val="000000"/>
          <w:sz w:val="24"/>
        </w:rPr>
      </w:pPr>
      <w:r>
        <w:rPr>
          <w:rFonts w:hint="eastAsia" w:ascii="宋体" w:hAnsi="宋体" w:cs="宋体"/>
          <w:bCs/>
          <w:color w:val="000000"/>
          <w:sz w:val="24"/>
        </w:rPr>
        <w:t xml:space="preserve">时间：自本公告发布次日起五个工作日。</w:t>
      </w:r>
      <w:r/>
    </w:p>
    <w:p>
      <w:pPr>
        <w:ind w:firstLine="480"/>
        <w:jc w:val="left"/>
        <w:spacing w:after="0" w:line="360" w:lineRule="auto"/>
        <w:shd w:val="clear" w:color="auto" w:fill="ffffff"/>
        <w:widowControl/>
        <w:rPr>
          <w:rFonts w:hint="eastAsia" w:ascii="宋体" w:hAnsi="宋体" w:cs="宋体"/>
          <w:bCs/>
          <w:color w:val="000000"/>
          <w:sz w:val="24"/>
        </w:rPr>
      </w:pPr>
      <w:r>
        <w:rPr>
          <w:rFonts w:hint="eastAsia" w:ascii="宋体" w:hAnsi="宋体" w:cs="宋体"/>
          <w:bCs/>
          <w:color w:val="000000"/>
          <w:sz w:val="24"/>
        </w:rPr>
        <w:t xml:space="preserve">地点：</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苏采云</w:t>
      </w: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系统自行下载招标文件</w:t>
      </w:r>
      <w:r>
        <w:rPr>
          <w:rFonts w:hint="eastAsia" w:ascii="宋体" w:hAnsi="宋体" w:cs="宋体"/>
          <w:bCs/>
          <w:color w:val="000000"/>
          <w:sz w:val="24"/>
        </w:rPr>
        <w:t xml:space="preserve">。</w:t>
      </w:r>
      <w:r/>
    </w:p>
    <w:p>
      <w:pPr>
        <w:ind w:firstLine="480"/>
        <w:jc w:val="left"/>
        <w:spacing w:after="0" w:line="360" w:lineRule="auto"/>
        <w:shd w:val="clear" w:color="auto" w:fill="ffffff"/>
        <w:widowControl/>
        <w:rPr>
          <w:rFonts w:hint="eastAsia" w:ascii="宋体" w:hAnsi="宋体" w:cs="宋体"/>
          <w:bCs/>
          <w:color w:val="000000"/>
          <w:sz w:val="24"/>
        </w:rPr>
      </w:pPr>
      <w:r>
        <w:rPr>
          <w:rFonts w:hint="eastAsia" w:ascii="宋体" w:hAnsi="宋体" w:cs="宋体"/>
          <w:bCs/>
          <w:color w:val="000000"/>
          <w:sz w:val="24"/>
        </w:rPr>
        <w:t xml:space="preserve">方式：</w:t>
      </w:r>
      <w:r/>
    </w:p>
    <w:p>
      <w:pPr>
        <w:pStyle w:val="1183"/>
        <w:numPr>
          <w:ilvl w:val="0"/>
          <w:numId w:val="1"/>
        </w:numPr>
        <w:ind w:left="0" w:firstLine="420"/>
        <w:spacing w:line="360" w:lineRule="auto"/>
        <w:rPr>
          <w:rFonts w:hint="eastAsia" w:ascii="宋体" w:hAnsi="宋体" w:eastAsia="宋体" w:cs="Times New Roman"/>
          <w:bCs/>
          <w:color w:val="000000"/>
          <w:sz w:val="24"/>
          <w:szCs w:val="24"/>
          <w:shd w:val="clear" w:color="auto" w:fill="ffffff"/>
        </w:rPr>
      </w:pPr>
      <w:r>
        <w:rPr>
          <w:rFonts w:hint="eastAsia" w:ascii="宋体" w:hAnsi="宋体" w:eastAsia="宋体" w:cs="Times New Roman"/>
          <w:bCs/>
          <w:color w:val="000000"/>
          <w:sz w:val="24"/>
          <w:szCs w:val="24"/>
          <w:shd w:val="clear" w:color="auto" w:fill="ffffff"/>
        </w:rPr>
        <w:t xml:space="preserve">CA证书办理</w:t>
      </w:r>
      <w:r/>
    </w:p>
    <w:p>
      <w:pPr>
        <w:pStyle w:val="1183"/>
        <w:numPr>
          <w:ilvl w:val="0"/>
          <w:numId w:val="0"/>
        </w:numPr>
        <w:ind w:firstLine="480"/>
        <w:spacing w:line="360" w:lineRule="auto"/>
        <w:rPr>
          <w:rFonts w:ascii="宋体" w:hAnsi="宋体" w:cs="宋体"/>
          <w:bCs/>
          <w:color w:val="auto"/>
          <w:sz w:val="21"/>
          <w:szCs w:val="21"/>
          <w:highlight w:val="none"/>
        </w:rPr>
      </w:pPr>
      <w:r>
        <w:rPr>
          <w:rFonts w:hint="eastAsia" w:ascii="宋体" w:hAnsi="宋体" w:eastAsia="宋体" w:cs="Times New Roman"/>
          <w:bCs/>
          <w:color w:val="000000"/>
          <w:sz w:val="24"/>
          <w:szCs w:val="24"/>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Times New Roman"/>
          <w:b/>
          <w:bCs w:val="0"/>
          <w:color w:val="000000"/>
          <w:sz w:val="24"/>
          <w:szCs w:val="24"/>
          <w:shd w:val="clear" w:color="auto" w:fill="ffffff"/>
        </w:rPr>
        <w:t xml:space="preserve">苏州市高新区邓尉路105号狮山科技馆</w:t>
      </w:r>
      <w:r>
        <w:rPr>
          <w:rFonts w:hint="eastAsia" w:ascii="宋体" w:hAnsi="宋体" w:eastAsia="宋体" w:cs="Times New Roman"/>
          <w:bCs/>
          <w:color w:val="000000"/>
          <w:sz w:val="24"/>
          <w:szCs w:val="24"/>
          <w:shd w:val="clear" w:color="auto" w:fill="ffffff"/>
          <w:lang w:eastAsia="zh-CN"/>
        </w:rPr>
        <w:t xml:space="preserve">。</w:t>
      </w:r>
      <w:r/>
    </w:p>
    <w:p>
      <w:pPr>
        <w:pStyle w:val="1183"/>
        <w:numPr>
          <w:ilvl w:val="0"/>
          <w:numId w:val="0"/>
        </w:numPr>
        <w:ind w:firstLine="480"/>
        <w:spacing w:line="360" w:lineRule="auto"/>
        <w:rPr>
          <w:rFonts w:hint="eastAsia" w:ascii="宋体" w:hAnsi="宋体" w:eastAsia="宋体" w:cs="Times New Roman"/>
          <w:bCs/>
          <w:color w:val="000000"/>
          <w:sz w:val="24"/>
          <w:szCs w:val="24"/>
          <w:shd w:val="clear" w:color="auto" w:fill="ffffff"/>
        </w:rPr>
      </w:pPr>
      <w:r>
        <w:rPr>
          <w:rFonts w:hint="eastAsia" w:ascii="宋体" w:hAnsi="宋体" w:eastAsia="宋体" w:cs="Times New Roman"/>
          <w:bCs/>
          <w:color w:val="000000"/>
          <w:sz w:val="24"/>
          <w:szCs w:val="24"/>
          <w:shd w:val="clear" w:color="auto" w:fill="ffffff"/>
        </w:rPr>
        <w:t xml:space="preserve">（2）参与采购活动</w:t>
      </w:r>
      <w:r/>
    </w:p>
    <w:p>
      <w:pPr>
        <w:pStyle w:val="1183"/>
        <w:numPr>
          <w:ilvl w:val="0"/>
          <w:numId w:val="0"/>
        </w:numPr>
        <w:ind w:firstLine="480"/>
        <w:spacing w:line="360" w:lineRule="auto"/>
        <w:rPr>
          <w:rFonts w:hint="eastAsia" w:ascii="宋体" w:hAnsi="宋体" w:eastAsia="宋体" w:cs="Times New Roman"/>
          <w:bCs/>
          <w:color w:val="000000"/>
          <w:sz w:val="24"/>
          <w:szCs w:val="24"/>
          <w:shd w:val="clear" w:color="auto" w:fill="ffffff"/>
        </w:rPr>
        <w:sectPr>
          <w:headerReference w:type="default" r:id="rId9"/>
          <w:footerReference w:type="default" r:id="rId11"/>
          <w:footnotePr/>
          <w:endnotePr/>
          <w:type w:val="nextPage"/>
          <w:pgSz w:w="11906" w:h="16838" w:orient="portrait"/>
          <w:pgMar w:top="1440" w:right="1417" w:bottom="1327" w:left="1417" w:header="851" w:footer="992" w:gutter="0"/>
          <w:pgNumType w:start="1"/>
          <w:cols w:num="1" w:sep="0" w:space="1701" w:equalWidth="1"/>
          <w:docGrid w:linePitch="360"/>
        </w:sectPr>
      </w:pPr>
      <w:r>
        <w:rPr>
          <w:rFonts w:hint="eastAsia" w:ascii="宋体" w:hAnsi="宋体" w:eastAsia="宋体" w:cs="Times New Roman"/>
          <w:bCs/>
          <w:color w:val="000000"/>
          <w:sz w:val="24"/>
          <w:szCs w:val="24"/>
          <w:shd w:val="clear" w:color="auto" w:fill="ffffff"/>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Times New Roman"/>
          <w:bCs/>
          <w:color w:val="000000"/>
          <w:sz w:val="24"/>
          <w:szCs w:val="24"/>
          <w:shd w:val="clear" w:color="auto" w:fill="ffffff"/>
          <w:lang w:eastAsia="zh-CN"/>
        </w:rPr>
        <w:t xml:space="preserve">招标文件</w:t>
      </w:r>
      <w:r>
        <w:rPr>
          <w:rFonts w:hint="eastAsia" w:ascii="宋体" w:hAnsi="宋体" w:eastAsia="宋体" w:cs="Times New Roman"/>
          <w:bCs/>
          <w:color w:val="000000"/>
          <w:sz w:val="24"/>
          <w:szCs w:val="24"/>
          <w:shd w:val="clear" w:color="auto" w:fill="ffffff"/>
        </w:rPr>
        <w:t xml:space="preserve">日期。供应商须打印、保留《投标供应商确认函》，质疑时《投标供应商确认</w:t>
      </w:r>
      <w:r/>
    </w:p>
    <w:p>
      <w:pPr>
        <w:pStyle w:val="1183"/>
        <w:numPr>
          <w:ilvl w:val="0"/>
          <w:numId w:val="0"/>
        </w:numPr>
        <w:ind w:firstLine="480"/>
        <w:spacing w:line="360" w:lineRule="auto"/>
        <w:rPr>
          <w:rFonts w:ascii="宋体" w:hAnsi="宋体" w:cs="宋体"/>
          <w:color w:val="auto"/>
          <w:sz w:val="21"/>
          <w:szCs w:val="21"/>
          <w:highlight w:val="none"/>
        </w:rPr>
      </w:pPr>
      <w:r>
        <w:rPr>
          <w:rFonts w:hint="eastAsia" w:ascii="宋体" w:hAnsi="宋体" w:eastAsia="宋体" w:cs="Times New Roman"/>
          <w:bCs/>
          <w:color w:val="000000"/>
          <w:sz w:val="24"/>
          <w:szCs w:val="24"/>
          <w:shd w:val="clear" w:color="auto" w:fill="ffffff"/>
        </w:rPr>
        <w:t xml:space="preserve">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eastAsia="宋体" w:cs="Times New Roman"/>
          <w:bCs/>
          <w:color w:val="000000"/>
          <w:sz w:val="24"/>
          <w:szCs w:val="24"/>
          <w:shd w:val="clear" w:color="auto" w:fill="ffffff"/>
          <w:lang w:eastAsia="zh-CN"/>
        </w:rPr>
        <w:t xml:space="preserve">招标文件</w:t>
      </w:r>
      <w:r>
        <w:rPr>
          <w:rFonts w:hint="eastAsia" w:ascii="宋体" w:hAnsi="宋体" w:eastAsia="宋体" w:cs="Times New Roman"/>
          <w:bCs/>
          <w:color w:val="000000"/>
          <w:sz w:val="24"/>
          <w:szCs w:val="24"/>
          <w:shd w:val="clear" w:color="auto" w:fill="ffffff"/>
        </w:rPr>
        <w:t xml:space="preserve">时间设定不符合有关法律法规规定等原因使供应商权益受损的除外。</w:t>
      </w:r>
      <w:r/>
    </w:p>
    <w:p>
      <w:pPr>
        <w:pStyle w:val="1183"/>
        <w:numPr>
          <w:ilvl w:val="0"/>
          <w:numId w:val="0"/>
        </w:numPr>
        <w:ind w:firstLine="480"/>
        <w:spacing w:line="360" w:lineRule="auto"/>
        <w:rPr>
          <w:rFonts w:hint="eastAsia" w:ascii="宋体" w:hAnsi="宋体" w:eastAsia="宋体" w:cs="Times New Roman"/>
          <w:bCs/>
          <w:color w:val="000000"/>
          <w:sz w:val="24"/>
          <w:szCs w:val="24"/>
          <w:shd w:val="clear" w:color="auto" w:fill="ffffff"/>
        </w:rPr>
      </w:pPr>
      <w:r>
        <w:rPr>
          <w:rFonts w:hint="eastAsia" w:ascii="宋体" w:hAnsi="宋体" w:eastAsia="宋体" w:cs="Times New Roman"/>
          <w:bCs/>
          <w:color w:val="000000"/>
          <w:sz w:val="24"/>
          <w:szCs w:val="24"/>
          <w:shd w:val="clear" w:color="auto" w:fill="ffffff"/>
        </w:rPr>
        <w:t xml:space="preserve">（3）电子投标准备</w:t>
      </w:r>
      <w:r/>
    </w:p>
    <w:p>
      <w:pPr>
        <w:pStyle w:val="1183"/>
        <w:numPr>
          <w:ilvl w:val="0"/>
          <w:numId w:val="0"/>
        </w:numPr>
        <w:ind w:firstLine="480"/>
        <w:spacing w:line="360" w:lineRule="auto"/>
        <w:rPr>
          <w:rFonts w:hint="eastAsia" w:ascii="宋体" w:hAnsi="宋体" w:eastAsia="宋体" w:cs="Times New Roman"/>
          <w:bCs/>
          <w:color w:val="000000"/>
          <w:sz w:val="24"/>
          <w:szCs w:val="24"/>
          <w:shd w:val="clear" w:color="auto" w:fill="ffffff"/>
        </w:rPr>
      </w:pPr>
      <w:r>
        <w:rPr>
          <w:rFonts w:hint="eastAsia" w:ascii="宋体" w:hAnsi="宋体" w:eastAsia="宋体" w:cs="Times New Roman"/>
          <w:bCs/>
          <w:color w:val="000000"/>
          <w:sz w:val="24"/>
          <w:szCs w:val="24"/>
          <w:shd w:val="clear" w:color="auto" w:fill="ffffff"/>
        </w:rPr>
        <w:t xml:space="preserve">供应商在“苏采云”系统中操作参与项目后，必须在“已参与项目”界面中下载电子</w:t>
      </w:r>
      <w:r>
        <w:rPr>
          <w:rFonts w:hint="eastAsia" w:ascii="宋体" w:hAnsi="宋体" w:eastAsia="宋体" w:cs="Times New Roman"/>
          <w:bCs/>
          <w:color w:val="000000"/>
          <w:sz w:val="24"/>
          <w:szCs w:val="24"/>
          <w:shd w:val="clear" w:color="auto" w:fill="ffffff"/>
          <w:lang w:eastAsia="zh-CN"/>
        </w:rPr>
        <w:t xml:space="preserve">招标文件</w:t>
      </w:r>
      <w:r>
        <w:rPr>
          <w:rFonts w:hint="eastAsia" w:ascii="宋体" w:hAnsi="宋体" w:eastAsia="宋体" w:cs="Times New Roman"/>
          <w:bCs/>
          <w:color w:val="000000"/>
          <w:sz w:val="24"/>
          <w:szCs w:val="24"/>
          <w:shd w:val="clear" w:color="auto" w:fill="ffffff"/>
        </w:rPr>
        <w:t xml:space="preserve">（后缀名为“.kedt”）并导入政府采购客户端工具后方可进行</w:t>
      </w:r>
      <w:r>
        <w:rPr>
          <w:rFonts w:hint="eastAsia" w:ascii="宋体" w:hAnsi="宋体" w:eastAsia="宋体" w:cs="Times New Roman"/>
          <w:bCs/>
          <w:color w:val="000000"/>
          <w:sz w:val="24"/>
          <w:szCs w:val="24"/>
          <w:shd w:val="clear" w:color="auto" w:fill="ffffff"/>
          <w:lang w:eastAsia="zh-CN"/>
        </w:rPr>
        <w:t xml:space="preserve">投标文件</w:t>
      </w:r>
      <w:r>
        <w:rPr>
          <w:rFonts w:hint="eastAsia" w:ascii="宋体" w:hAnsi="宋体" w:eastAsia="宋体" w:cs="Times New Roman"/>
          <w:bCs/>
          <w:color w:val="000000"/>
          <w:sz w:val="24"/>
          <w:szCs w:val="24"/>
          <w:shd w:val="clear" w:color="auto" w:fill="ffffff"/>
        </w:rPr>
        <w:t xml:space="preserve">制作和提交（</w:t>
      </w:r>
      <w:r>
        <w:rPr>
          <w:rFonts w:hint="eastAsia" w:ascii="宋体" w:hAnsi="宋体" w:eastAsia="宋体" w:cs="Times New Roman"/>
          <w:b/>
          <w:bCs w:val="0"/>
          <w:color w:val="000000"/>
          <w:sz w:val="24"/>
          <w:szCs w:val="24"/>
          <w:shd w:val="clear" w:color="auto" w:fill="ffffff"/>
        </w:rPr>
        <w:t xml:space="preserve">具体详见《苏采云系统供应商操作手册》，网址链接https://czju.suzhou.gov.cn/zfcg/html/content/20231220161910031.shtml</w:t>
      </w:r>
      <w:r>
        <w:rPr>
          <w:rFonts w:hint="eastAsia" w:ascii="宋体" w:hAnsi="宋体" w:eastAsia="宋体" w:cs="Times New Roman"/>
          <w:bCs/>
          <w:color w:val="000000"/>
          <w:sz w:val="24"/>
          <w:szCs w:val="24"/>
          <w:shd w:val="clear" w:color="auto" w:fill="ffffff"/>
        </w:rPr>
        <w:t xml:space="preserve">）。</w:t>
      </w:r>
      <w:r/>
    </w:p>
    <w:p>
      <w:pPr>
        <w:pStyle w:val="1183"/>
        <w:numPr>
          <w:ilvl w:val="0"/>
          <w:numId w:val="0"/>
        </w:numPr>
        <w:ind w:firstLine="480"/>
        <w:spacing w:line="360" w:lineRule="auto"/>
        <w:rPr>
          <w:rFonts w:hint="eastAsia" w:ascii="宋体" w:hAnsi="宋体" w:eastAsia="宋体" w:cs="Times New Roman"/>
          <w:bCs/>
          <w:color w:val="000000"/>
          <w:sz w:val="24"/>
          <w:szCs w:val="24"/>
          <w:shd w:val="clear" w:color="auto" w:fill="ffffff"/>
        </w:rPr>
      </w:pPr>
      <w:r>
        <w:rPr>
          <w:rFonts w:hint="eastAsia" w:ascii="宋体" w:hAnsi="宋体" w:eastAsia="宋体" w:cs="Times New Roman"/>
          <w:bCs/>
          <w:color w:val="000000"/>
          <w:sz w:val="24"/>
          <w:szCs w:val="24"/>
          <w:shd w:val="clear" w:color="auto" w:fill="ffffff"/>
        </w:rPr>
        <w:t xml:space="preserve">在系统操作过程中如有疑问，请按以下方式联系：</w:t>
      </w:r>
      <w:r/>
    </w:p>
    <w:p>
      <w:pPr>
        <w:pStyle w:val="1183"/>
        <w:numPr>
          <w:ilvl w:val="0"/>
          <w:numId w:val="0"/>
        </w:numPr>
        <w:ind w:firstLine="480"/>
        <w:spacing w:line="360" w:lineRule="auto"/>
        <w:rPr>
          <w:rFonts w:hint="eastAsia" w:ascii="宋体" w:hAnsi="宋体" w:eastAsia="宋体" w:cs="Times New Roman"/>
          <w:bCs/>
          <w:color w:val="000000"/>
          <w:sz w:val="24"/>
          <w:szCs w:val="24"/>
          <w:shd w:val="clear" w:color="auto" w:fill="ffffff"/>
        </w:rPr>
      </w:pPr>
      <w:r>
        <w:rPr>
          <w:rFonts w:hint="eastAsia" w:ascii="宋体" w:hAnsi="宋体" w:eastAsia="宋体" w:cs="Times New Roman"/>
          <w:bCs/>
          <w:color w:val="000000"/>
          <w:sz w:val="24"/>
          <w:szCs w:val="24"/>
          <w:shd w:val="clear" w:color="auto" w:fill="ffffff"/>
        </w:rPr>
        <w:t xml:space="preserve">注册咨询：0512-69820854；</w:t>
      </w:r>
      <w:r/>
    </w:p>
    <w:p>
      <w:pPr>
        <w:pStyle w:val="1183"/>
        <w:numPr>
          <w:ilvl w:val="0"/>
          <w:numId w:val="0"/>
        </w:numPr>
        <w:ind w:firstLine="480"/>
        <w:spacing w:line="360" w:lineRule="auto"/>
        <w:rPr>
          <w:rFonts w:hint="eastAsia" w:ascii="宋体" w:hAnsi="宋体" w:eastAsia="宋体" w:cs="Times New Roman"/>
          <w:bCs/>
          <w:color w:val="000000"/>
          <w:sz w:val="24"/>
          <w:szCs w:val="24"/>
          <w:shd w:val="clear" w:color="auto" w:fill="ffffff"/>
        </w:rPr>
      </w:pPr>
      <w:r>
        <w:rPr>
          <w:rFonts w:hint="eastAsia" w:ascii="宋体" w:hAnsi="宋体" w:eastAsia="宋体" w:cs="Times New Roman"/>
          <w:bCs/>
          <w:color w:val="000000"/>
          <w:sz w:val="24"/>
          <w:szCs w:val="24"/>
          <w:shd w:val="clear" w:color="auto" w:fill="ffffff"/>
        </w:rPr>
        <w:t xml:space="preserve">CA技术咨询电话：400-608-6099；</w:t>
      </w:r>
      <w:r/>
    </w:p>
    <w:p>
      <w:pPr>
        <w:pStyle w:val="1183"/>
        <w:numPr>
          <w:ilvl w:val="0"/>
          <w:numId w:val="0"/>
        </w:numPr>
        <w:ind w:firstLine="480"/>
        <w:spacing w:line="360" w:lineRule="auto"/>
        <w:rPr>
          <w:rFonts w:hint="eastAsia" w:ascii="宋体" w:hAnsi="宋体" w:eastAsia="宋体" w:cs="Times New Roman"/>
          <w:bCs/>
          <w:color w:val="000000"/>
          <w:sz w:val="24"/>
          <w:szCs w:val="24"/>
          <w:shd w:val="clear" w:color="auto" w:fill="ffffff"/>
        </w:rPr>
      </w:pPr>
      <w:r>
        <w:rPr>
          <w:rFonts w:hint="eastAsia" w:ascii="宋体" w:hAnsi="宋体" w:eastAsia="宋体" w:cs="Times New Roman"/>
          <w:bCs/>
          <w:color w:val="000000"/>
          <w:sz w:val="24"/>
          <w:szCs w:val="24"/>
          <w:shd w:val="clear" w:color="auto" w:fill="ffffff"/>
        </w:rPr>
        <w:t xml:space="preserve">签章使用问题：025-83633811、025-83633812、15380932027、15371015030；</w:t>
      </w:r>
      <w:r/>
    </w:p>
    <w:p>
      <w:pPr>
        <w:pStyle w:val="1183"/>
        <w:numPr>
          <w:ilvl w:val="0"/>
          <w:numId w:val="0"/>
        </w:numPr>
        <w:ind w:firstLine="480"/>
        <w:spacing w:line="360" w:lineRule="auto"/>
        <w:rPr>
          <w:rFonts w:hint="eastAsia" w:ascii="宋体" w:hAnsi="宋体" w:cs="宋体"/>
          <w:bCs/>
          <w:color w:val="000000"/>
          <w:sz w:val="24"/>
        </w:rPr>
      </w:pPr>
      <w:r>
        <w:rPr>
          <w:rFonts w:hint="eastAsia" w:ascii="宋体" w:hAnsi="宋体" w:eastAsia="宋体" w:cs="Times New Roman"/>
          <w:bCs/>
          <w:color w:val="000000"/>
          <w:sz w:val="24"/>
          <w:szCs w:val="24"/>
          <w:shd w:val="clear" w:color="auto" w:fill="ffffff"/>
        </w:rPr>
        <w:t xml:space="preserve">系统使用指导与咨询：联系电话：0512-69820854；智能客服：登录苏采云系统后，联系系统右下方智能客服图标进行咨询。</w:t>
      </w:r>
      <w:r/>
    </w:p>
    <w:p>
      <w:pPr>
        <w:ind w:firstLine="480"/>
        <w:jc w:val="left"/>
        <w:spacing w:after="0" w:line="360" w:lineRule="auto"/>
        <w:shd w:val="clear" w:color="auto" w:fill="ffffff"/>
        <w:widowControl/>
        <w:rPr>
          <w:rFonts w:hint="eastAsia" w:ascii="宋体" w:hAnsi="宋体" w:cs="宋体"/>
          <w:bCs/>
          <w:color w:val="000000"/>
          <w:sz w:val="24"/>
          <w:highlight w:val="yellow"/>
        </w:rPr>
      </w:pPr>
      <w:r>
        <w:rPr>
          <w:rFonts w:hint="eastAsia" w:ascii="宋体" w:hAnsi="宋体" w:cs="宋体"/>
          <w:bCs/>
          <w:color w:val="000000"/>
          <w:sz w:val="24"/>
          <w:highlight w:val="none"/>
        </w:rPr>
        <w:t xml:space="preserve">售价：0.00元</w:t>
      </w:r>
      <w:r/>
    </w:p>
    <w:p>
      <w:pPr>
        <w:ind w:firstLine="420"/>
        <w:jc w:val="left"/>
        <w:spacing w:after="0" w:line="360" w:lineRule="auto"/>
        <w:shd w:val="clear" w:color="auto" w:fill="ffffff"/>
        <w:widowControl/>
        <w:rPr>
          <w:rFonts w:hint="eastAsia" w:ascii="宋体" w:hAnsi="宋体" w:cs="宋体"/>
          <w:bCs/>
          <w:color w:val="000000"/>
          <w:sz w:val="24"/>
        </w:rPr>
      </w:pPr>
      <w:r>
        <w:rPr>
          <w:rFonts w:hint="eastAsia" w:ascii="宋体" w:hAnsi="宋体" w:cs="宋体"/>
          <w:bCs/>
          <w:color w:val="000000"/>
          <w:sz w:val="24"/>
        </w:rPr>
        <w:t xml:space="preserve">四、提交（上传）投标文件：</w:t>
      </w:r>
      <w:r/>
    </w:p>
    <w:p>
      <w:pPr>
        <w:ind w:firstLine="420"/>
        <w:jc w:val="left"/>
        <w:spacing w:after="0" w:line="360" w:lineRule="auto"/>
        <w:shd w:val="clear" w:color="auto" w:fill="ffffff"/>
        <w:widowControl/>
        <w:rPr>
          <w:rFonts w:hint="eastAsia" w:ascii="宋体" w:hAnsi="宋体" w:cs="宋体"/>
          <w:bCs/>
          <w:color w:val="000000"/>
          <w:sz w:val="24"/>
        </w:rPr>
      </w:pPr>
      <w:r>
        <w:rPr>
          <w:rFonts w:hint="eastAsia" w:ascii="宋体" w:hAnsi="宋体" w:cs="宋体"/>
          <w:bCs/>
          <w:color w:val="000000"/>
          <w:sz w:val="24"/>
          <w:lang w:val="en-US" w:eastAsia="zh-CN"/>
        </w:rPr>
        <w:t xml:space="preserve">1、</w:t>
      </w:r>
      <w:r>
        <w:rPr>
          <w:rFonts w:hint="eastAsia" w:ascii="宋体" w:hAnsi="宋体" w:cs="宋体"/>
          <w:bCs/>
          <w:color w:val="000000"/>
          <w:sz w:val="24"/>
        </w:rPr>
        <w:t xml:space="preserve">截止时间</w:t>
      </w:r>
      <w:r>
        <w:rPr>
          <w:rFonts w:hint="eastAsia" w:ascii="宋体" w:hAnsi="宋体" w:cs="宋体"/>
          <w:bCs/>
          <w:color w:val="000000"/>
          <w:sz w:val="24"/>
          <w:lang w:eastAsia="zh-CN"/>
        </w:rPr>
        <w:t xml:space="preserve">2026年</w:t>
      </w:r>
      <w:r>
        <w:rPr>
          <w:rFonts w:hint="eastAsia" w:ascii="宋体" w:hAnsi="宋体" w:cs="宋体"/>
          <w:bCs/>
          <w:color w:val="000000"/>
          <w:sz w:val="24"/>
          <w:lang w:val="en-US" w:eastAsia="zh-CN"/>
        </w:rPr>
        <w:t xml:space="preserve">4</w:t>
      </w:r>
      <w:r>
        <w:rPr>
          <w:rFonts w:hint="eastAsia" w:ascii="宋体" w:hAnsi="宋体" w:cs="宋体"/>
          <w:bCs/>
          <w:color w:val="000000"/>
          <w:sz w:val="24"/>
          <w:lang w:eastAsia="zh-CN"/>
        </w:rPr>
        <w:t xml:space="preserve">月</w:t>
      </w:r>
      <w:r>
        <w:rPr>
          <w:rFonts w:hint="eastAsia" w:ascii="宋体" w:hAnsi="宋体" w:cs="宋体"/>
          <w:bCs/>
          <w:color w:val="000000"/>
          <w:sz w:val="24"/>
          <w:lang w:val="en-US" w:eastAsia="zh-CN"/>
        </w:rPr>
        <w:t xml:space="preserve">23</w:t>
      </w:r>
      <w:r>
        <w:rPr>
          <w:rFonts w:hint="eastAsia" w:ascii="宋体" w:hAnsi="宋体" w:cs="宋体"/>
          <w:bCs/>
          <w:color w:val="000000"/>
          <w:sz w:val="24"/>
        </w:rPr>
        <w:t xml:space="preserve">日</w:t>
      </w:r>
      <w:r>
        <w:rPr>
          <w:rFonts w:hint="eastAsia" w:ascii="宋体" w:hAnsi="宋体" w:cs="宋体"/>
          <w:bCs/>
          <w:color w:val="000000"/>
          <w:sz w:val="24"/>
          <w:lang w:val="en-US" w:eastAsia="zh-CN"/>
        </w:rPr>
        <w:t xml:space="preserve">9</w:t>
      </w:r>
      <w:r>
        <w:rPr>
          <w:rFonts w:hint="eastAsia" w:ascii="宋体" w:hAnsi="宋体" w:cs="宋体"/>
          <w:bCs/>
          <w:color w:val="000000"/>
          <w:sz w:val="24"/>
        </w:rPr>
        <w:t xml:space="preserve">点30分（北京时间）</w:t>
      </w:r>
      <w:r/>
    </w:p>
    <w:p>
      <w:pPr>
        <w:ind w:firstLine="420"/>
        <w:jc w:val="left"/>
        <w:spacing w:after="0" w:line="360" w:lineRule="auto"/>
        <w:shd w:val="clear" w:color="auto" w:fill="ffffff"/>
        <w:widowControl/>
        <w:rPr>
          <w:rFonts w:hint="eastAsia" w:ascii="宋体" w:hAnsi="宋体" w:cs="宋体"/>
          <w:bCs/>
          <w:color w:val="000000"/>
          <w:sz w:val="24"/>
          <w:lang w:eastAsia="zh-CN"/>
        </w:rPr>
      </w:pPr>
      <w:r>
        <w:rPr>
          <w:rFonts w:hint="eastAsia" w:ascii="宋体" w:hAnsi="宋体" w:cs="宋体"/>
          <w:bCs/>
          <w:color w:val="000000"/>
          <w:sz w:val="24"/>
          <w:lang w:val="en-US" w:eastAsia="zh-CN"/>
        </w:rPr>
        <w:t xml:space="preserve">2、开标</w:t>
      </w:r>
      <w:r>
        <w:rPr>
          <w:rFonts w:hint="eastAsia" w:ascii="宋体" w:hAnsi="宋体" w:cs="宋体"/>
          <w:bCs/>
          <w:color w:val="000000"/>
          <w:sz w:val="24"/>
        </w:rPr>
        <w:t xml:space="preserve">地点：</w:t>
      </w:r>
      <w:r>
        <w:rPr>
          <w:rFonts w:hint="eastAsia" w:ascii="宋体" w:hAnsi="宋体" w:cs="宋体"/>
          <w:b/>
          <w:bCs w:val="0"/>
          <w:color w:val="000000"/>
          <w:sz w:val="24"/>
          <w:lang w:val="en-US" w:eastAsia="zh-CN"/>
        </w:rPr>
        <w:t xml:space="preserve">“</w:t>
      </w:r>
      <w:r>
        <w:rPr>
          <w:rFonts w:hint="eastAsia" w:ascii="宋体" w:hAnsi="宋体" w:cs="宋体"/>
          <w:b/>
          <w:bCs w:val="0"/>
          <w:color w:val="000000"/>
          <w:sz w:val="24"/>
          <w:lang w:eastAsia="zh-CN"/>
        </w:rPr>
        <w:t xml:space="preserve">苏采云</w:t>
      </w:r>
      <w:r>
        <w:rPr>
          <w:rFonts w:hint="eastAsia" w:ascii="宋体" w:hAnsi="宋体" w:cs="宋体"/>
          <w:b/>
          <w:bCs w:val="0"/>
          <w:color w:val="000000"/>
          <w:sz w:val="24"/>
          <w:lang w:val="en-US" w:eastAsia="zh-CN"/>
        </w:rPr>
        <w:t xml:space="preserve">”</w:t>
      </w:r>
      <w:r>
        <w:rPr>
          <w:rFonts w:hint="eastAsia" w:ascii="宋体" w:hAnsi="宋体" w:cs="宋体"/>
          <w:b/>
          <w:bCs w:val="0"/>
          <w:color w:val="000000"/>
          <w:sz w:val="24"/>
          <w:lang w:eastAsia="zh-CN"/>
        </w:rPr>
        <w:t xml:space="preserve">系统</w:t>
      </w:r>
      <w:r>
        <w:rPr>
          <w:rFonts w:hint="eastAsia" w:ascii="宋体" w:hAnsi="宋体" w:cs="宋体"/>
          <w:b/>
          <w:bCs w:val="0"/>
          <w:color w:val="000000"/>
          <w:sz w:val="24"/>
          <w:lang w:val="en-US" w:eastAsia="zh-CN"/>
        </w:rPr>
        <w:t xml:space="preserve">（</w:t>
      </w:r>
      <w:r>
        <w:rPr>
          <w:rFonts w:hint="eastAsia" w:ascii="宋体" w:hAnsi="宋体" w:cs="宋体"/>
          <w:b/>
          <w:bCs w:val="0"/>
          <w:color w:val="000000"/>
          <w:sz w:val="24"/>
          <w:lang w:eastAsia="zh-CN"/>
        </w:rPr>
        <w:t xml:space="preserve">网址</w:t>
      </w:r>
      <w:r>
        <w:rPr>
          <w:rFonts w:hint="eastAsia" w:ascii="宋体" w:hAnsi="宋体" w:cs="宋体"/>
          <w:b/>
          <w:bCs w:val="0"/>
          <w:color w:val="000000"/>
          <w:sz w:val="24"/>
          <w:lang w:val="en-US" w:eastAsia="zh-CN"/>
        </w:rPr>
        <w:t xml:space="preserve">：http://jszfcg.jsczt.cn/）</w:t>
      </w:r>
      <w:r>
        <w:rPr>
          <w:rFonts w:hint="eastAsia" w:ascii="宋体" w:hAnsi="宋体" w:cs="宋体"/>
          <w:bCs/>
          <w:color w:val="000000"/>
          <w:sz w:val="24"/>
          <w:lang w:eastAsia="zh-CN"/>
        </w:rPr>
        <w:t xml:space="preserve">。投标文件网上递交，不需要现场参加采购活动，无需提供纸质投标文件。</w:t>
      </w:r>
      <w:r/>
    </w:p>
    <w:p>
      <w:pPr>
        <w:ind w:firstLine="420"/>
        <w:jc w:val="left"/>
        <w:spacing w:after="0" w:line="360" w:lineRule="auto"/>
        <w:shd w:val="clear" w:color="auto" w:fill="ffffff"/>
        <w:widowControl/>
        <w:rPr>
          <w:rFonts w:hint="eastAsia" w:ascii="宋体" w:hAnsi="宋体" w:eastAsia="宋体" w:cs="宋体"/>
          <w:b/>
          <w:bCs w:val="0"/>
          <w:color w:val="000000"/>
          <w:sz w:val="24"/>
          <w:szCs w:val="24"/>
          <w:lang w:eastAsia="zh-CN"/>
        </w:rPr>
      </w:pPr>
      <w:r>
        <w:rPr>
          <w:rFonts w:hint="eastAsia" w:ascii="宋体" w:hAnsi="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本项目采用电子招投标形式，请供应商按照《苏采云系统供应商操作手册》进行制作、上传电子</w:t>
      </w:r>
      <w:r>
        <w:rPr>
          <w:rFonts w:hint="eastAsia" w:ascii="宋体" w:hAnsi="宋体" w:cs="宋体"/>
          <w:bCs/>
          <w:color w:val="000000"/>
          <w:sz w:val="24"/>
          <w:szCs w:val="24"/>
          <w:lang w:eastAsia="zh-CN"/>
        </w:rPr>
        <w:t xml:space="preserve">投标文件</w:t>
      </w:r>
      <w:r>
        <w:rPr>
          <w:rFonts w:hint="eastAsia" w:ascii="宋体" w:hAnsi="宋体" w:eastAsia="宋体" w:cs="宋体"/>
          <w:bCs/>
          <w:color w:val="000000"/>
          <w:sz w:val="24"/>
          <w:szCs w:val="24"/>
          <w:lang w:eastAsia="zh-CN"/>
        </w:rPr>
        <w:t xml:space="preserve">。电子</w:t>
      </w:r>
      <w:r>
        <w:rPr>
          <w:rFonts w:hint="eastAsia" w:ascii="宋体" w:hAnsi="宋体" w:cs="宋体"/>
          <w:bCs/>
          <w:color w:val="000000"/>
          <w:sz w:val="24"/>
          <w:szCs w:val="24"/>
          <w:lang w:eastAsia="zh-CN"/>
        </w:rPr>
        <w:t xml:space="preserve">投标文件</w:t>
      </w:r>
      <w:r>
        <w:rPr>
          <w:rFonts w:hint="eastAsia" w:ascii="宋体" w:hAnsi="宋体" w:eastAsia="宋体" w:cs="宋体"/>
          <w:bCs/>
          <w:color w:val="000000"/>
          <w:sz w:val="24"/>
          <w:szCs w:val="24"/>
          <w:lang w:eastAsia="zh-CN"/>
        </w:rPr>
        <w:t xml:space="preserve">制作完成后请于</w:t>
      </w:r>
      <w:r>
        <w:rPr>
          <w:rFonts w:hint="eastAsia" w:ascii="宋体" w:hAnsi="宋体" w:cs="宋体"/>
          <w:bCs/>
          <w:color w:val="000000"/>
          <w:sz w:val="24"/>
          <w:szCs w:val="24"/>
          <w:lang w:eastAsia="zh-CN"/>
        </w:rPr>
        <w:t xml:space="preserve">投标文件</w:t>
      </w:r>
      <w:r>
        <w:rPr>
          <w:rFonts w:hint="eastAsia" w:ascii="宋体" w:hAnsi="宋体" w:eastAsia="宋体" w:cs="宋体"/>
          <w:bCs/>
          <w:color w:val="000000"/>
          <w:sz w:val="24"/>
          <w:szCs w:val="24"/>
          <w:lang w:eastAsia="zh-CN"/>
        </w:rPr>
        <w:t xml:space="preserve">递交截止时间前成功上传至“苏采云”系统，否则视为放弃参加该采购项目。</w:t>
      </w:r>
      <w:r>
        <w:rPr>
          <w:rFonts w:hint="eastAsia" w:ascii="宋体" w:hAnsi="宋体" w:eastAsia="宋体" w:cs="宋体"/>
          <w:b/>
          <w:bCs w:val="0"/>
          <w:color w:val="000000"/>
          <w:sz w:val="24"/>
          <w:szCs w:val="24"/>
          <w:lang w:eastAsia="zh-CN"/>
        </w:rPr>
        <w:t xml:space="preserve">供应商应充分考虑到网络环境、网络带宽等风险因素，如因供应商自身原因造成的电子</w:t>
      </w:r>
      <w:r>
        <w:rPr>
          <w:rFonts w:hint="eastAsia" w:ascii="宋体" w:hAnsi="宋体" w:cs="宋体"/>
          <w:b/>
          <w:bCs w:val="0"/>
          <w:color w:val="000000"/>
          <w:sz w:val="24"/>
          <w:szCs w:val="24"/>
          <w:lang w:eastAsia="zh-CN"/>
        </w:rPr>
        <w:t xml:space="preserve">投标文件</w:t>
      </w:r>
      <w:r>
        <w:rPr>
          <w:rFonts w:hint="eastAsia" w:ascii="宋体" w:hAnsi="宋体" w:eastAsia="宋体" w:cs="宋体"/>
          <w:b/>
          <w:bCs w:val="0"/>
          <w:color w:val="000000"/>
          <w:sz w:val="24"/>
          <w:szCs w:val="24"/>
          <w:lang w:eastAsia="zh-CN"/>
        </w:rPr>
        <w:t xml:space="preserve">上传不成功由供应商自行承担全部责任。</w:t>
      </w:r>
      <w:r/>
    </w:p>
    <w:p>
      <w:pPr>
        <w:pStyle w:val="840"/>
        <w:ind w:left="0" w:firstLine="420"/>
        <w:spacing w:line="360" w:lineRule="auto"/>
        <w:rPr>
          <w:rFonts w:hint="eastAsia" w:ascii="宋体" w:hAnsi="宋体" w:eastAsia="宋体" w:cs="宋体"/>
          <w:b/>
          <w:bCs w:val="0"/>
          <w:color w:val="000000"/>
          <w:sz w:val="24"/>
          <w:szCs w:val="24"/>
          <w:lang w:eastAsia="zh-CN"/>
        </w:rPr>
      </w:pPr>
      <w:r>
        <w:rPr>
          <w:rFonts w:hint="eastAsia" w:ascii="宋体" w:hAnsi="宋体" w:cs="宋体"/>
          <w:b/>
          <w:bCs w:val="0"/>
          <w:color w:val="000000"/>
          <w:sz w:val="24"/>
          <w:szCs w:val="24"/>
          <w:lang w:val="en-US" w:eastAsia="zh-CN"/>
        </w:rPr>
        <w:t xml:space="preserve">4、</w:t>
      </w:r>
      <w:r>
        <w:rPr>
          <w:rFonts w:hint="eastAsia" w:ascii="宋体" w:hAnsi="宋体" w:eastAsia="宋体" w:cs="宋体"/>
          <w:bCs/>
          <w:color w:val="000000"/>
          <w:sz w:val="24"/>
          <w:szCs w:val="24"/>
          <w:lang w:eastAsia="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val="0"/>
          <w:color w:val="000000"/>
          <w:sz w:val="24"/>
          <w:szCs w:val="24"/>
          <w:lang w:eastAsia="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ind w:firstLine="420"/>
        <w:jc w:val="left"/>
        <w:spacing w:after="0" w:line="360" w:lineRule="auto"/>
        <w:shd w:val="clear" w:color="auto" w:fill="ffffff"/>
        <w:widowControl/>
        <w:rPr>
          <w:rFonts w:hint="default"/>
          <w:lang w:val="en-US"/>
        </w:rPr>
      </w:pPr>
      <w:r>
        <w:rPr>
          <w:rFonts w:hint="eastAsia" w:ascii="宋体" w:hAnsi="宋体" w:eastAsia="宋体" w:cs="宋体"/>
          <w:b/>
          <w:bCs w:val="0"/>
          <w:color w:val="000000"/>
          <w:sz w:val="24"/>
          <w:szCs w:val="24"/>
          <w:lang w:eastAsia="zh-CN"/>
        </w:rPr>
        <w:t xml:space="preserve">请供应商确保电脑、系统及其他设备（视频输入输出设备等）无误，且开标直至项目结束始终保持系统在线状态。</w:t>
      </w:r>
      <w:r/>
    </w:p>
    <w:p>
      <w:pPr>
        <w:ind w:firstLine="480"/>
        <w:spacing w:after="0" w:line="360" w:lineRule="auto"/>
        <w:rPr>
          <w:rFonts w:hint="eastAsia" w:ascii="宋体" w:hAnsi="宋体" w:cs="宋体"/>
          <w:bCs/>
          <w:color w:val="000000"/>
          <w:sz w:val="24"/>
        </w:rPr>
      </w:pPr>
      <w:r>
        <w:rPr>
          <w:rFonts w:hint="eastAsia" w:ascii="宋体" w:hAnsi="宋体" w:cs="宋体"/>
          <w:bCs/>
          <w:color w:val="000000"/>
          <w:sz w:val="24"/>
        </w:rPr>
        <w:t xml:space="preserve">五、公告期限。</w:t>
      </w:r>
      <w:r/>
    </w:p>
    <w:p>
      <w:pPr>
        <w:ind w:firstLine="480"/>
        <w:spacing w:after="0" w:line="360" w:lineRule="auto"/>
        <w:rPr>
          <w:rFonts w:hint="eastAsia" w:ascii="宋体" w:hAnsi="宋体" w:cs="宋体"/>
          <w:bCs/>
          <w:color w:val="000000"/>
          <w:sz w:val="24"/>
        </w:rPr>
      </w:pPr>
      <w:r>
        <w:rPr>
          <w:rFonts w:hint="eastAsia" w:ascii="宋体" w:hAnsi="宋体" w:cs="宋体"/>
          <w:bCs/>
          <w:color w:val="000000"/>
          <w:sz w:val="24"/>
        </w:rPr>
        <w:t xml:space="preserve">自本公告发布之日起五个工作日。</w:t>
      </w:r>
      <w:r/>
    </w:p>
    <w:p>
      <w:pPr>
        <w:ind w:firstLine="480"/>
        <w:spacing w:after="0" w:line="360" w:lineRule="auto"/>
        <w:rPr>
          <w:rFonts w:hint="eastAsia" w:ascii="宋体" w:hAnsi="宋体" w:cs="宋体"/>
          <w:bCs/>
          <w:color w:val="000000"/>
          <w:sz w:val="24"/>
        </w:rPr>
      </w:pPr>
      <w:r>
        <w:rPr>
          <w:rFonts w:hint="eastAsia" w:ascii="宋体" w:hAnsi="宋体" w:cs="宋体"/>
          <w:bCs/>
          <w:color w:val="000000"/>
          <w:sz w:val="24"/>
        </w:rPr>
        <w:t xml:space="preserve">六、其他补充事宜。</w:t>
      </w:r>
      <w:r/>
    </w:p>
    <w:p>
      <w:pPr>
        <w:ind w:firstLine="480"/>
        <w:spacing w:after="0" w:line="360" w:lineRule="auto"/>
        <w:rPr>
          <w:rFonts w:hint="eastAsia" w:ascii="宋体" w:hAnsi="宋体"/>
          <w:bCs/>
          <w:color w:val="000000"/>
          <w:sz w:val="24"/>
        </w:rPr>
      </w:pPr>
      <w:r/>
      <w:bookmarkStart w:id="3" w:name="_Toc28359008"/>
      <w:r>
        <w:rPr>
          <w:rFonts w:hint="eastAsia" w:ascii="宋体" w:hAnsi="宋体"/>
          <w:bCs/>
          <w:color w:val="000000"/>
          <w:sz w:val="24"/>
        </w:rPr>
        <w:t xml:space="preserve">1、本次招标的有关信息将在苏州市政府采购网、江苏省政府采购网、中国政府采购网上发布；</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2、本项目获取招标文件截止日期之后仍可以下载招标文件，但截止日期之后下载的招标文件，视为非有效方式且不作为供应商权益受到损害的证明材料和依据。</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3、不同供应商投标文件的制作机器码一致，均视为无效响应。</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4、苏州市吴中区政府采购管理监督电话：</w:t>
      </w:r>
      <w:r>
        <w:rPr>
          <w:rFonts w:ascii="宋体" w:hAnsi="宋体"/>
          <w:bCs/>
          <w:color w:val="000000"/>
          <w:sz w:val="24"/>
        </w:rPr>
        <w:t xml:space="preserve">0512</w:t>
      </w:r>
      <w:r>
        <w:rPr>
          <w:rFonts w:hint="eastAsia" w:ascii="宋体" w:hAnsi="宋体"/>
          <w:bCs/>
          <w:color w:val="000000"/>
          <w:sz w:val="24"/>
        </w:rPr>
        <w:t xml:space="preserve">-6</w:t>
      </w:r>
      <w:r>
        <w:rPr>
          <w:rFonts w:ascii="宋体" w:hAnsi="宋体"/>
          <w:bCs/>
          <w:color w:val="000000"/>
          <w:sz w:val="24"/>
        </w:rPr>
        <w:t xml:space="preserve">5283947</w:t>
      </w:r>
      <w:r>
        <w:rPr>
          <w:rFonts w:hint="eastAsia" w:ascii="宋体" w:hAnsi="宋体"/>
          <w:bCs/>
          <w:color w:val="000000"/>
          <w:sz w:val="24"/>
        </w:rPr>
        <w:t xml:space="preserve">。</w:t>
      </w:r>
      <w:r/>
    </w:p>
    <w:p>
      <w:pPr>
        <w:ind w:firstLine="482"/>
        <w:spacing w:line="360" w:lineRule="auto"/>
        <w:rPr>
          <w:rFonts w:hint="eastAsia" w:ascii="宋体" w:hAnsi="宋体"/>
          <w:b/>
          <w:bCs/>
          <w:color w:val="000000"/>
          <w:sz w:val="24"/>
        </w:rPr>
      </w:pPr>
      <w:r>
        <w:rPr>
          <w:rFonts w:hint="eastAsia" w:ascii="宋体" w:hAnsi="宋体" w:cs="宋体"/>
          <w:b/>
          <w:bCs/>
          <w:color w:val="000000"/>
          <w:sz w:val="24"/>
        </w:rPr>
        <w:t xml:space="preserve">5、在本次采购咨询服务期内，本项目中标服务供应商应与咨询报告出具单位一致。履行本项目合同期间出现违背上述约定的情况，</w:t>
      </w:r>
      <w:r>
        <w:rPr>
          <w:rFonts w:hint="eastAsia" w:ascii="宋体" w:hAnsi="宋体" w:cs="宋体"/>
          <w:b/>
          <w:bCs/>
          <w:color w:val="000000"/>
          <w:sz w:val="24"/>
          <w:lang w:eastAsia="zh-CN"/>
        </w:rPr>
        <w:t xml:space="preserve">招标人</w:t>
      </w:r>
      <w:r>
        <w:rPr>
          <w:rFonts w:hint="eastAsia" w:ascii="宋体" w:hAnsi="宋体" w:cs="宋体"/>
          <w:b/>
          <w:bCs/>
          <w:color w:val="000000"/>
          <w:sz w:val="24"/>
        </w:rPr>
        <w:t xml:space="preserve">有权解除跟审服务合同。</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七、对本次招标提出询问，请按以下方式联系。</w:t>
      </w:r>
      <w:bookmarkEnd w:id="3"/>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1、招标人信息：</w:t>
      </w:r>
      <w:r/>
    </w:p>
    <w:p>
      <w:pPr>
        <w:ind w:firstLine="480"/>
        <w:spacing w:after="0" w:line="360" w:lineRule="auto"/>
        <w:widowControl/>
        <w:rPr>
          <w:rFonts w:hint="eastAsia" w:ascii="宋体" w:hAnsi="宋体"/>
          <w:bCs/>
          <w:color w:val="000000"/>
          <w:sz w:val="24"/>
        </w:rPr>
      </w:pPr>
      <w:r>
        <w:rPr>
          <w:rFonts w:hint="eastAsia" w:ascii="宋体" w:hAnsi="宋体"/>
          <w:bCs/>
          <w:color w:val="000000"/>
          <w:sz w:val="24"/>
        </w:rPr>
        <w:t xml:space="preserve">名    称：苏州太湖新城吴中管理委员会</w:t>
      </w:r>
      <w:r/>
    </w:p>
    <w:p>
      <w:pPr>
        <w:ind w:firstLine="480"/>
        <w:spacing w:after="0" w:line="360" w:lineRule="auto"/>
        <w:widowControl/>
        <w:rPr>
          <w:rFonts w:hint="eastAsia" w:ascii="宋体" w:hAnsi="宋体"/>
          <w:bCs/>
          <w:color w:val="000000"/>
          <w:sz w:val="24"/>
        </w:rPr>
      </w:pPr>
      <w:r>
        <w:rPr>
          <w:rFonts w:ascii="宋体" w:hAnsi="宋体"/>
          <w:bCs/>
          <w:color w:val="000000"/>
          <w:sz w:val="24"/>
        </w:rPr>
        <w:t xml:space="preserve">地    址：</w:t>
      </w:r>
      <w:r>
        <w:rPr>
          <w:rFonts w:hint="eastAsia" w:ascii="宋体" w:hAnsi="宋体"/>
          <w:bCs/>
          <w:color w:val="000000"/>
          <w:sz w:val="24"/>
        </w:rPr>
        <w:t xml:space="preserve">苏州市吴中区友翔路99号苏州湾中心广场D座20楼</w:t>
      </w:r>
      <w:r/>
    </w:p>
    <w:p>
      <w:pPr>
        <w:ind w:firstLine="480"/>
        <w:jc w:val="left"/>
        <w:spacing w:after="0" w:line="360" w:lineRule="auto"/>
        <w:rPr>
          <w:rFonts w:hint="eastAsia" w:ascii="宋体" w:hAnsi="宋体" w:cs="宋体"/>
          <w:bCs/>
          <w:color w:val="000000"/>
          <w:sz w:val="24"/>
        </w:rPr>
      </w:pPr>
      <w:r>
        <w:rPr>
          <w:rFonts w:ascii="宋体" w:hAnsi="宋体" w:cs="仿宋_GB2312"/>
          <w:bCs/>
          <w:color w:val="000000"/>
          <w:sz w:val="24"/>
        </w:rPr>
        <w:t xml:space="preserve">联系</w:t>
      </w:r>
      <w:r>
        <w:rPr>
          <w:rFonts w:hint="eastAsia" w:ascii="宋体" w:hAnsi="宋体" w:cs="仿宋_GB2312"/>
          <w:bCs/>
          <w:color w:val="000000"/>
          <w:sz w:val="24"/>
        </w:rPr>
        <w:t xml:space="preserve">方式 </w:t>
      </w:r>
      <w:r>
        <w:rPr>
          <w:rFonts w:ascii="宋体" w:hAnsi="宋体" w:cs="仿宋_GB2312"/>
          <w:bCs/>
          <w:color w:val="000000"/>
          <w:sz w:val="24"/>
        </w:rPr>
        <w:t xml:space="preserve">：</w:t>
      </w:r>
      <w:r>
        <w:rPr>
          <w:rFonts w:hint="eastAsia" w:ascii="宋体" w:hAnsi="宋体" w:cs="仿宋_GB2312"/>
          <w:bCs/>
          <w:color w:val="000000"/>
          <w:sz w:val="24"/>
        </w:rPr>
        <w:t xml:space="preserve">0</w:t>
      </w:r>
      <w:r>
        <w:rPr>
          <w:rFonts w:ascii="宋体" w:hAnsi="宋体" w:cs="仿宋_GB2312"/>
          <w:bCs/>
          <w:color w:val="000000"/>
          <w:sz w:val="24"/>
        </w:rPr>
        <w:t xml:space="preserve">512-66552578</w:t>
      </w:r>
      <w:r>
        <w:rPr>
          <w:rFonts w:hint="eastAsia" w:ascii="宋体" w:hAnsi="宋体" w:cs="仿宋_GB2312"/>
          <w:bCs/>
          <w:color w:val="000000"/>
          <w:sz w:val="24"/>
        </w:rPr>
        <w:t xml:space="preserve"> </w:t>
      </w:r>
      <w:r>
        <w:rPr>
          <w:rFonts w:ascii="宋体" w:hAnsi="宋体" w:cs="仿宋_GB2312"/>
          <w:bCs/>
          <w:color w:val="000000"/>
          <w:sz w:val="24"/>
        </w:rPr>
        <w:t xml:space="preserve">     联系</w:t>
      </w:r>
      <w:r>
        <w:rPr>
          <w:rFonts w:hint="eastAsia" w:ascii="宋体" w:hAnsi="宋体" w:cs="仿宋_GB2312"/>
          <w:bCs/>
          <w:color w:val="000000"/>
          <w:sz w:val="24"/>
        </w:rPr>
        <w:t xml:space="preserve">人</w:t>
      </w:r>
      <w:r>
        <w:rPr>
          <w:rFonts w:ascii="宋体" w:hAnsi="宋体" w:cs="仿宋_GB2312"/>
          <w:bCs/>
          <w:color w:val="000000"/>
          <w:sz w:val="24"/>
        </w:rPr>
        <w:t xml:space="preserve">：</w:t>
      </w:r>
      <w:r>
        <w:rPr>
          <w:rFonts w:ascii="宋体" w:hAnsi="宋体"/>
          <w:bCs/>
          <w:color w:val="000000"/>
          <w:sz w:val="24"/>
        </w:rPr>
        <w:t xml:space="preserve">张</w:t>
      </w:r>
      <w:r>
        <w:rPr>
          <w:rFonts w:hint="eastAsia" w:ascii="宋体" w:hAnsi="宋体"/>
          <w:bCs/>
          <w:color w:val="000000"/>
          <w:sz w:val="24"/>
        </w:rPr>
        <w:t xml:space="preserve">工</w:t>
      </w:r>
      <w:r/>
    </w:p>
    <w:p>
      <w:pPr>
        <w:ind w:firstLine="480"/>
        <w:spacing w:after="0" w:line="360" w:lineRule="auto"/>
        <w:widowControl/>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eastAsia="zh-CN"/>
        </w:rPr>
        <w:t xml:space="preserve">招标代理机构</w:t>
      </w:r>
      <w:r>
        <w:rPr>
          <w:rFonts w:hint="eastAsia" w:ascii="宋体" w:hAnsi="宋体"/>
          <w:bCs/>
          <w:color w:val="000000"/>
          <w:sz w:val="24"/>
        </w:rPr>
        <w:t xml:space="preserve">信息：</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名    称：</w:t>
      </w:r>
      <w:r>
        <w:rPr>
          <w:rFonts w:hint="eastAsia" w:ascii="宋体" w:hAnsi="宋体"/>
          <w:bCs/>
          <w:color w:val="000000"/>
          <w:sz w:val="24"/>
          <w:lang w:eastAsia="zh-CN"/>
        </w:rPr>
        <w:t xml:space="preserve">苏州子梦建设工程造价咨询所</w:t>
      </w:r>
      <w:r>
        <w:rPr>
          <w:rFonts w:hint="eastAsia" w:ascii="宋体" w:hAnsi="宋体"/>
          <w:bCs/>
          <w:color w:val="000000"/>
          <w:sz w:val="24"/>
        </w:rPr>
        <w:t xml:space="preserve"> </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地    址：</w:t>
      </w:r>
      <w:r>
        <w:rPr>
          <w:rFonts w:hint="eastAsia" w:ascii="宋体" w:hAnsi="宋体"/>
          <w:bCs/>
          <w:color w:val="000000"/>
          <w:sz w:val="24"/>
          <w:lang w:eastAsia="zh-CN"/>
        </w:rPr>
        <w:t xml:space="preserve">苏州市姑苏区内马路9-4</w:t>
      </w:r>
      <w:r>
        <w:rPr>
          <w:rFonts w:hint="eastAsia" w:ascii="宋体" w:hAnsi="宋体"/>
          <w:bCs/>
          <w:color w:val="000000"/>
          <w:sz w:val="24"/>
        </w:rPr>
        <w:t xml:space="preserve">   </w:t>
      </w:r>
      <w:r/>
    </w:p>
    <w:p>
      <w:pPr>
        <w:ind w:firstLine="480"/>
        <w:spacing w:after="0" w:line="360" w:lineRule="auto"/>
        <w:rPr>
          <w:rFonts w:hint="default" w:ascii="宋体" w:hAnsi="宋体" w:eastAsia="宋体"/>
          <w:bCs/>
          <w:color w:val="000000"/>
          <w:sz w:val="24"/>
          <w:lang w:val="en-US" w:eastAsia="zh-CN"/>
        </w:rPr>
      </w:pPr>
      <w:r>
        <w:rPr>
          <w:rFonts w:hint="eastAsia" w:ascii="宋体" w:hAnsi="宋体"/>
          <w:bCs/>
          <w:color w:val="000000"/>
          <w:sz w:val="24"/>
        </w:rPr>
        <w:t xml:space="preserve">联系方式：</w:t>
      </w:r>
      <w:r>
        <w:rPr>
          <w:rFonts w:hint="eastAsia" w:ascii="宋体" w:hAnsi="宋体"/>
          <w:bCs/>
          <w:color w:val="000000"/>
          <w:sz w:val="24"/>
          <w:lang w:val="en-US" w:eastAsia="zh-CN"/>
        </w:rPr>
        <w:t xml:space="preserve">18118430119</w:t>
      </w:r>
      <w:r>
        <w:rPr>
          <w:rFonts w:hint="eastAsia" w:ascii="宋体" w:hAnsi="宋体"/>
          <w:bCs/>
          <w:color w:val="000000"/>
          <w:sz w:val="24"/>
        </w:rPr>
        <w:t xml:space="preserve">    联系人：</w:t>
      </w:r>
      <w:r>
        <w:rPr>
          <w:rFonts w:hint="eastAsia" w:ascii="宋体" w:hAnsi="宋体"/>
          <w:bCs/>
          <w:color w:val="000000"/>
          <w:sz w:val="24"/>
          <w:lang w:val="en-US" w:eastAsia="zh-CN"/>
        </w:rPr>
        <w:t xml:space="preserve">姚天明、陈有利、张定民</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3、项目联系方式：</w:t>
      </w:r>
      <w:r/>
    </w:p>
    <w:p>
      <w:pPr>
        <w:spacing w:after="0" w:line="360" w:lineRule="auto"/>
        <w:rPr>
          <w:rFonts w:hint="eastAsia" w:ascii="宋体" w:hAnsi="宋体" w:eastAsia="宋体"/>
          <w:bCs/>
          <w:color w:val="000000"/>
          <w:sz w:val="24"/>
          <w:lang w:eastAsia="zh-CN"/>
        </w:rPr>
      </w:pPr>
      <w:r>
        <w:rPr>
          <w:rFonts w:hint="eastAsia" w:ascii="宋体" w:hAnsi="宋体"/>
          <w:bCs/>
          <w:color w:val="000000"/>
          <w:sz w:val="24"/>
        </w:rPr>
        <w:t xml:space="preserve">    项目联系人：</w:t>
      </w:r>
      <w:r>
        <w:rPr>
          <w:rFonts w:hint="eastAsia" w:ascii="宋体" w:hAnsi="宋体"/>
          <w:bCs/>
          <w:color w:val="000000"/>
          <w:sz w:val="24"/>
          <w:lang w:val="en-US" w:eastAsia="zh-CN"/>
        </w:rPr>
        <w:t xml:space="preserve">姚天明</w:t>
      </w:r>
      <w:r/>
    </w:p>
    <w:p>
      <w:pPr>
        <w:spacing w:after="0" w:line="360" w:lineRule="auto"/>
        <w:rPr>
          <w:rFonts w:hint="default" w:ascii="宋体" w:hAnsi="宋体" w:eastAsia="宋体"/>
          <w:bCs/>
          <w:color w:val="000000"/>
          <w:sz w:val="24"/>
          <w:lang w:val="en-US" w:eastAsia="zh-CN"/>
        </w:rPr>
      </w:pPr>
      <w:r>
        <w:rPr>
          <w:rFonts w:hint="eastAsia" w:ascii="宋体" w:hAnsi="宋体"/>
          <w:bCs/>
          <w:color w:val="000000"/>
          <w:sz w:val="24"/>
        </w:rPr>
        <w:t xml:space="preserve">    电话：</w:t>
      </w:r>
      <w:r>
        <w:rPr>
          <w:rFonts w:hint="eastAsia" w:ascii="宋体" w:hAnsi="宋体"/>
          <w:bCs/>
          <w:color w:val="000000"/>
          <w:sz w:val="24"/>
          <w:lang w:val="en-US" w:eastAsia="zh-CN"/>
        </w:rPr>
        <w:t xml:space="preserve">18118430119</w:t>
      </w:r>
      <w:r/>
    </w:p>
    <w:p>
      <w:pPr>
        <w:jc w:val="center"/>
        <w:spacing w:after="0" w:line="360" w:lineRule="auto"/>
        <w:rPr>
          <w:rFonts w:hint="eastAsia" w:ascii="宋体" w:hAnsi="宋体" w:cs="宋体"/>
          <w:bCs/>
          <w:color w:val="000000"/>
          <w:sz w:val="24"/>
        </w:rPr>
      </w:pPr>
      <w:r>
        <w:rPr>
          <w:rFonts w:hint="eastAsia" w:ascii="宋体" w:hAnsi="宋体" w:cs="宋体"/>
          <w:bCs/>
          <w:color w:val="000000"/>
          <w:sz w:val="24"/>
        </w:rPr>
      </w:r>
      <w:r/>
    </w:p>
    <w:p>
      <w:pPr>
        <w:jc w:val="both"/>
        <w:spacing w:after="0" w:line="360" w:lineRule="auto"/>
        <w:rPr>
          <w:rFonts w:hint="eastAsia" w:ascii="宋体" w:hAnsi="宋体" w:cs="宋体"/>
          <w:bCs/>
          <w:color w:val="000000"/>
          <w:sz w:val="24"/>
        </w:rPr>
      </w:pPr>
      <w:r>
        <w:rPr>
          <w:rFonts w:hint="eastAsia" w:ascii="宋体" w:hAnsi="宋体" w:cs="宋体"/>
          <w:bCs/>
          <w:color w:val="000000"/>
          <w:sz w:val="24"/>
        </w:rPr>
      </w:r>
      <w:r/>
    </w:p>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第二章 投标人须知</w:t>
      </w:r>
      <w:r/>
    </w:p>
    <w:p>
      <w:pPr>
        <w:pStyle w:val="1071"/>
        <w:ind w:firstLine="422"/>
        <w:spacing w:after="0" w:line="360" w:lineRule="auto"/>
        <w:rPr>
          <w:rFonts w:hint="eastAsia" w:ascii="宋体" w:hAnsi="宋体" w:eastAsia="宋体" w:cs="宋体"/>
          <w:bCs/>
          <w:color w:val="000000"/>
          <w:szCs w:val="24"/>
        </w:rPr>
      </w:pPr>
      <w:r/>
      <w:bookmarkStart w:id="4" w:name="_Toc13437"/>
      <w:r/>
      <w:bookmarkStart w:id="5" w:name="_Toc20132"/>
      <w:r>
        <w:rPr>
          <w:rFonts w:hint="eastAsia" w:ascii="宋体" w:hAnsi="宋体" w:eastAsia="宋体" w:cs="宋体"/>
          <w:bCs/>
          <w:color w:val="000000"/>
          <w:szCs w:val="24"/>
        </w:rPr>
        <w:t xml:space="preserve">一、说明和释义</w:t>
      </w:r>
      <w:bookmarkEnd w:id="4"/>
      <w:r/>
      <w:bookmarkEnd w:id="5"/>
      <w:r/>
      <w:r/>
    </w:p>
    <w:p>
      <w:pPr>
        <w:pStyle w:val="1071"/>
        <w:ind w:firstLine="422"/>
        <w:spacing w:after="0" w:line="360" w:lineRule="auto"/>
        <w:rPr>
          <w:rFonts w:hint="eastAsia" w:ascii="宋体" w:hAnsi="宋体" w:eastAsia="宋体" w:cs="宋体"/>
          <w:bCs/>
          <w:color w:val="000000"/>
          <w:szCs w:val="24"/>
        </w:rPr>
      </w:pPr>
      <w:r/>
      <w:bookmarkStart w:id="6" w:name="_Toc9408"/>
      <w:r>
        <w:rPr>
          <w:rFonts w:hint="eastAsia" w:ascii="宋体" w:hAnsi="宋体" w:eastAsia="宋体" w:cs="宋体"/>
          <w:bCs/>
          <w:color w:val="000000"/>
          <w:szCs w:val="24"/>
        </w:rPr>
        <w:t xml:space="preserve">1.说明</w:t>
      </w:r>
      <w:bookmarkEnd w:id="6"/>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1.1本招标文件仅适用</w:t>
      </w:r>
      <w:r>
        <w:rPr>
          <w:rFonts w:hint="eastAsia" w:ascii="宋体" w:hAnsi="宋体" w:eastAsia="宋体" w:cs="宋体"/>
          <w:bCs/>
          <w:color w:val="000000"/>
          <w:szCs w:val="24"/>
          <w:lang w:eastAsia="zh-CN"/>
        </w:rPr>
        <w:t xml:space="preserve">苏州子梦建设工程造价咨询所</w:t>
      </w:r>
      <w:r>
        <w:rPr>
          <w:rFonts w:hint="eastAsia" w:ascii="宋体" w:hAnsi="宋体" w:eastAsia="宋体" w:cs="宋体"/>
          <w:bCs/>
          <w:color w:val="000000"/>
          <w:szCs w:val="24"/>
        </w:rPr>
        <w:t xml:space="preserve">组织的招标活动。</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1.2本次招标活动及因本次招标产生的合同受中国法律制约和保护。</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1.3本招标文件的解释权属</w:t>
      </w:r>
      <w:r>
        <w:rPr>
          <w:rFonts w:hint="eastAsia" w:ascii="宋体" w:hAnsi="宋体" w:eastAsia="宋体" w:cs="宋体"/>
          <w:bCs/>
          <w:color w:val="000000"/>
          <w:szCs w:val="24"/>
          <w:lang w:eastAsia="zh-CN"/>
        </w:rPr>
        <w:t xml:space="preserve">苏州子梦建设工程造价咨询所</w:t>
      </w:r>
      <w:r>
        <w:rPr>
          <w:rFonts w:hint="eastAsia" w:ascii="宋体" w:hAnsi="宋体" w:eastAsia="宋体" w:cs="宋体"/>
          <w:bCs/>
          <w:color w:val="000000"/>
          <w:szCs w:val="24"/>
        </w:rPr>
        <w:t xml:space="preserve">。</w:t>
      </w:r>
      <w:r/>
    </w:p>
    <w:p>
      <w:pPr>
        <w:pStyle w:val="1071"/>
        <w:ind w:firstLine="422"/>
        <w:spacing w:after="0" w:line="360" w:lineRule="auto"/>
        <w:rPr>
          <w:rFonts w:hint="eastAsia" w:ascii="宋体" w:hAnsi="宋体" w:eastAsia="宋体" w:cs="宋体"/>
          <w:bCs/>
          <w:color w:val="000000"/>
          <w:szCs w:val="24"/>
        </w:rPr>
      </w:pPr>
      <w:r/>
      <w:bookmarkStart w:id="7" w:name="_Toc27555"/>
      <w:r>
        <w:rPr>
          <w:rFonts w:hint="eastAsia" w:ascii="宋体" w:hAnsi="宋体" w:eastAsia="宋体" w:cs="宋体"/>
          <w:bCs/>
          <w:color w:val="000000"/>
          <w:szCs w:val="24"/>
        </w:rPr>
        <w:t xml:space="preserve">2.词语释义</w:t>
      </w:r>
      <w:bookmarkEnd w:id="7"/>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2.1</w:t>
      </w:r>
      <w:r>
        <w:rPr>
          <w:rFonts w:hint="eastAsia" w:ascii="宋体" w:hAnsi="宋体" w:eastAsia="宋体" w:cs="宋体"/>
          <w:bCs/>
          <w:color w:val="000000"/>
          <w:szCs w:val="24"/>
          <w:lang w:eastAsia="zh-CN"/>
        </w:rPr>
        <w:t xml:space="preserve">招标人</w:t>
      </w:r>
      <w:r>
        <w:rPr>
          <w:rFonts w:hint="eastAsia" w:ascii="宋体" w:hAnsi="宋体" w:eastAsia="宋体" w:cs="宋体"/>
          <w:bCs/>
          <w:color w:val="000000"/>
          <w:szCs w:val="24"/>
        </w:rPr>
        <w:t xml:space="preserve">：指依法进行政府采购的国家机关、事业单位、团体组织。</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2.2</w:t>
      </w:r>
      <w:r>
        <w:rPr>
          <w:rFonts w:hint="eastAsia" w:ascii="宋体" w:hAnsi="宋体" w:eastAsia="宋体" w:cs="宋体"/>
          <w:bCs/>
          <w:color w:val="000000"/>
          <w:szCs w:val="24"/>
          <w:lang w:eastAsia="zh-CN"/>
        </w:rPr>
        <w:t xml:space="preserve">招标代理机构</w:t>
      </w:r>
      <w:r>
        <w:rPr>
          <w:rFonts w:hint="eastAsia" w:ascii="宋体" w:hAnsi="宋体" w:eastAsia="宋体" w:cs="宋体"/>
          <w:bCs/>
          <w:color w:val="000000"/>
          <w:szCs w:val="24"/>
        </w:rPr>
        <w:t xml:space="preserve">：指依法接受</w:t>
      </w:r>
      <w:r>
        <w:rPr>
          <w:rFonts w:hint="eastAsia" w:ascii="宋体" w:hAnsi="宋体" w:eastAsia="宋体" w:cs="宋体"/>
          <w:bCs/>
          <w:color w:val="000000"/>
          <w:szCs w:val="24"/>
          <w:lang w:eastAsia="zh-CN"/>
        </w:rPr>
        <w:t xml:space="preserve">招标人</w:t>
      </w:r>
      <w:r>
        <w:rPr>
          <w:rFonts w:hint="eastAsia" w:ascii="宋体" w:hAnsi="宋体" w:eastAsia="宋体" w:cs="宋体"/>
          <w:bCs/>
          <w:color w:val="000000"/>
          <w:szCs w:val="24"/>
        </w:rPr>
        <w:t xml:space="preserve">委托，从事货物、工程和服务等政府采购业务的</w:t>
      </w:r>
      <w:r>
        <w:rPr>
          <w:rFonts w:hint="eastAsia" w:ascii="宋体" w:hAnsi="宋体" w:eastAsia="宋体" w:cs="宋体"/>
          <w:bCs/>
          <w:color w:val="000000"/>
          <w:szCs w:val="24"/>
          <w:lang w:eastAsia="zh-CN"/>
        </w:rPr>
        <w:t xml:space="preserve">招标代理机构</w:t>
      </w:r>
      <w:r>
        <w:rPr>
          <w:rFonts w:hint="eastAsia" w:ascii="宋体" w:hAnsi="宋体" w:eastAsia="宋体" w:cs="宋体"/>
          <w:bCs/>
          <w:color w:val="000000"/>
          <w:szCs w:val="24"/>
        </w:rPr>
        <w:t xml:space="preserve">。本项目</w:t>
      </w:r>
      <w:r>
        <w:rPr>
          <w:rFonts w:hint="eastAsia" w:ascii="宋体" w:hAnsi="宋体" w:eastAsia="宋体" w:cs="宋体"/>
          <w:bCs/>
          <w:color w:val="000000"/>
          <w:szCs w:val="24"/>
          <w:lang w:eastAsia="zh-CN"/>
        </w:rPr>
        <w:t xml:space="preserve">招标代理机构</w:t>
      </w:r>
      <w:r>
        <w:rPr>
          <w:rFonts w:hint="eastAsia" w:ascii="宋体" w:hAnsi="宋体" w:eastAsia="宋体" w:cs="宋体"/>
          <w:bCs/>
          <w:color w:val="000000"/>
          <w:szCs w:val="24"/>
        </w:rPr>
        <w:t xml:space="preserve">是</w:t>
      </w:r>
      <w:r>
        <w:rPr>
          <w:rFonts w:hint="eastAsia" w:ascii="宋体" w:hAnsi="宋体" w:eastAsia="宋体" w:cs="宋体"/>
          <w:bCs/>
          <w:color w:val="000000"/>
          <w:szCs w:val="24"/>
          <w:lang w:eastAsia="zh-CN"/>
        </w:rPr>
        <w:t xml:space="preserve">苏州子梦建设工程造价咨询所</w:t>
      </w:r>
      <w:r>
        <w:rPr>
          <w:rFonts w:hint="eastAsia" w:ascii="宋体" w:hAnsi="宋体" w:eastAsia="宋体" w:cs="宋体"/>
          <w:bCs/>
          <w:color w:val="000000"/>
          <w:szCs w:val="24"/>
        </w:rPr>
        <w:t xml:space="preserve">。</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2.3 投标人：指投标招标、参加投标竞争的法人、其他组织或自然人。</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2.4 招标采购单位：</w:t>
      </w:r>
      <w:r>
        <w:rPr>
          <w:rFonts w:hint="eastAsia" w:ascii="宋体" w:hAnsi="宋体" w:eastAsia="宋体" w:cs="宋体"/>
          <w:bCs/>
          <w:color w:val="000000"/>
          <w:szCs w:val="24"/>
          <w:lang w:eastAsia="zh-CN"/>
        </w:rPr>
        <w:t xml:space="preserve">招标人</w:t>
      </w:r>
      <w:r>
        <w:rPr>
          <w:rFonts w:hint="eastAsia" w:ascii="宋体" w:hAnsi="宋体" w:eastAsia="宋体" w:cs="宋体"/>
          <w:bCs/>
          <w:color w:val="000000"/>
          <w:szCs w:val="24"/>
        </w:rPr>
        <w:t xml:space="preserve">及</w:t>
      </w:r>
      <w:r>
        <w:rPr>
          <w:rFonts w:hint="eastAsia" w:ascii="宋体" w:hAnsi="宋体" w:eastAsia="宋体" w:cs="宋体"/>
          <w:bCs/>
          <w:color w:val="000000"/>
          <w:szCs w:val="24"/>
          <w:lang w:eastAsia="zh-CN"/>
        </w:rPr>
        <w:t xml:space="preserve">招标代理机构</w:t>
      </w:r>
      <w:r>
        <w:rPr>
          <w:rFonts w:hint="eastAsia" w:ascii="宋体" w:hAnsi="宋体" w:eastAsia="宋体" w:cs="宋体"/>
          <w:bCs/>
          <w:color w:val="000000"/>
          <w:szCs w:val="24"/>
        </w:rPr>
        <w:t xml:space="preserve">的统称。</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2.5 投标：投标人根据</w:t>
      </w:r>
      <w:r>
        <w:rPr>
          <w:rFonts w:hint="eastAsia" w:ascii="宋体" w:hAnsi="宋体" w:eastAsia="宋体" w:cs="宋体"/>
          <w:bCs/>
          <w:color w:val="000000"/>
          <w:szCs w:val="24"/>
          <w:lang w:eastAsia="zh-CN"/>
        </w:rPr>
        <w:t xml:space="preserve">招标人</w:t>
      </w:r>
      <w:r>
        <w:rPr>
          <w:rFonts w:hint="eastAsia" w:ascii="宋体" w:hAnsi="宋体" w:eastAsia="宋体" w:cs="宋体"/>
          <w:bCs/>
          <w:color w:val="000000"/>
          <w:szCs w:val="24"/>
        </w:rPr>
        <w:t xml:space="preserve">或</w:t>
      </w:r>
      <w:r>
        <w:rPr>
          <w:rFonts w:hint="eastAsia" w:ascii="宋体" w:hAnsi="宋体" w:eastAsia="宋体" w:cs="宋体"/>
          <w:bCs/>
          <w:color w:val="000000"/>
          <w:szCs w:val="24"/>
          <w:lang w:eastAsia="zh-CN"/>
        </w:rPr>
        <w:t xml:space="preserve">招标代理机构</w:t>
      </w:r>
      <w:r>
        <w:rPr>
          <w:rFonts w:hint="eastAsia" w:ascii="宋体" w:hAnsi="宋体" w:eastAsia="宋体" w:cs="宋体"/>
          <w:bCs/>
          <w:color w:val="000000"/>
          <w:szCs w:val="24"/>
        </w:rPr>
        <w:t xml:space="preserve">发布的招标文件，编制投标文件并按规定投标的行为。</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2.6合同：采供双方根据招标文件和中标的投标文件及中标通知书规定的内容签署的以书面形式所达成的协议，包括所有的附件、附录和构成协议的所有文件。</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2.7甲方（</w:t>
      </w:r>
      <w:r>
        <w:rPr>
          <w:rFonts w:hint="eastAsia" w:ascii="宋体" w:hAnsi="宋体" w:eastAsia="宋体" w:cs="宋体"/>
          <w:bCs/>
          <w:color w:val="000000"/>
          <w:szCs w:val="24"/>
          <w:lang w:eastAsia="zh-CN"/>
        </w:rPr>
        <w:t xml:space="preserve">招标人</w:t>
      </w:r>
      <w:r>
        <w:rPr>
          <w:rFonts w:hint="eastAsia" w:ascii="宋体" w:hAnsi="宋体" w:eastAsia="宋体" w:cs="宋体"/>
          <w:bCs/>
          <w:color w:val="000000"/>
          <w:szCs w:val="24"/>
        </w:rPr>
        <w:t xml:space="preserve">）：指招标文件中载明的，依法进行政府采购的国家机关、事业单位、团体组织。</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2.8乙方（供应商）：合同中规定的向</w:t>
      </w:r>
      <w:r>
        <w:rPr>
          <w:rFonts w:hint="eastAsia" w:ascii="宋体" w:hAnsi="宋体" w:eastAsia="宋体" w:cs="宋体"/>
          <w:bCs/>
          <w:color w:val="000000"/>
          <w:szCs w:val="24"/>
          <w:lang w:eastAsia="zh-CN"/>
        </w:rPr>
        <w:t xml:space="preserve">招标人</w:t>
      </w:r>
      <w:r>
        <w:rPr>
          <w:rFonts w:hint="eastAsia" w:ascii="宋体" w:hAnsi="宋体" w:eastAsia="宋体" w:cs="宋体"/>
          <w:bCs/>
          <w:color w:val="000000"/>
          <w:szCs w:val="24"/>
        </w:rPr>
        <w:t xml:space="preserve">提供货物和服务的法人或其他组织和自然人。</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2.9天：日历日。</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2.10时间：除特别说明，均指北京时间。</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2.11知识产权：指专利权、商标权、著作权等无形财产专有权的统称。</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2.12交货地点：合同中明确约定的乙方提交的货物和服务最终到达地点。</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2.13合同价款：根据合同规定,乙方在正确地履行合同义务后甲方应支付乙方的价款。</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2.14服务：系指本次招标文件规定乙方应承担的与提供货物和服务有关的辅助服务，比如运输、保险、安装、调试、提供技术援助、培训、配合措施、维修投标及合同中规定乙方应承担的其它义务。</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2.15不可抗力：不能预见、不能避免并且不能克服的客观情况。</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2.16实质性投标：满足有关本次采购标的、数量、质量、价款或者报酬、履行期限、履行地点和方式、违约责任和解决争议方法等要求。</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2.17书面形式：指书面文字、合同书、信件和传真等可以有形地表现所载内容的形式。</w:t>
      </w:r>
      <w:bookmarkStart w:id="8" w:name="_Toc14976"/>
      <w:r/>
      <w:bookmarkStart w:id="9" w:name="_Toc13350"/>
      <w:r/>
      <w:r/>
    </w:p>
    <w:p>
      <w:pPr>
        <w:pStyle w:val="1071"/>
        <w:ind w:firstLine="422"/>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二、投标人</w:t>
      </w:r>
      <w:bookmarkEnd w:id="8"/>
      <w:r/>
      <w:bookmarkEnd w:id="9"/>
      <w:r/>
      <w:r/>
    </w:p>
    <w:p>
      <w:pPr>
        <w:pStyle w:val="1071"/>
        <w:ind w:firstLine="422"/>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3.合格投标人的资格条件：详见招标公告。</w:t>
      </w:r>
      <w:r/>
    </w:p>
    <w:p>
      <w:pPr>
        <w:pStyle w:val="1125"/>
        <w:ind w:firstLine="422"/>
        <w:spacing w:beforeAutospacing="0" w:after="0" w:afterAutospacing="0" w:line="360" w:lineRule="auto"/>
        <w:rPr>
          <w:rFonts w:hint="eastAsia" w:ascii="宋体" w:hAnsi="宋体" w:cs="宋体"/>
          <w:bCs/>
          <w:color w:val="000000"/>
        </w:rPr>
      </w:pPr>
      <w:r>
        <w:rPr>
          <w:rFonts w:hint="eastAsia" w:ascii="宋体" w:hAnsi="宋体" w:cs="宋体"/>
          <w:bCs/>
          <w:color w:val="000000"/>
        </w:rPr>
        <w:t xml:space="preserve">4.投标人代表</w:t>
      </w:r>
      <w:r/>
    </w:p>
    <w:p>
      <w:pPr>
        <w:pStyle w:val="1125"/>
        <w:ind w:firstLine="420"/>
        <w:spacing w:beforeAutospacing="0" w:after="0" w:afterAutospacing="0" w:line="360" w:lineRule="auto"/>
        <w:rPr>
          <w:rFonts w:hint="eastAsia" w:ascii="宋体" w:hAnsi="宋体" w:cs="宋体"/>
          <w:bCs/>
          <w:color w:val="000000"/>
        </w:rPr>
      </w:pPr>
      <w:r>
        <w:rPr>
          <w:rFonts w:hint="eastAsia" w:ascii="宋体" w:hAnsi="宋体" w:cs="宋体"/>
          <w:bCs/>
          <w:color w:val="000000"/>
        </w:rPr>
        <w:t xml:space="preserve">4.1指授权全权代表投标人参加投标活动并签署投标文件的人，如果投标人代表不是法人代表，须持有《法定代表人授权委托书》（详见统一格式）。</w:t>
      </w:r>
      <w:r/>
    </w:p>
    <w:p>
      <w:pPr>
        <w:pStyle w:val="1125"/>
        <w:ind w:firstLine="422"/>
        <w:spacing w:beforeAutospacing="0" w:after="0" w:afterAutospacing="0" w:line="360" w:lineRule="auto"/>
        <w:rPr>
          <w:rFonts w:hint="eastAsia" w:ascii="宋体" w:hAnsi="宋体" w:cs="宋体"/>
          <w:bCs/>
          <w:color w:val="000000"/>
        </w:rPr>
      </w:pPr>
      <w:r>
        <w:rPr>
          <w:rFonts w:hint="eastAsia" w:ascii="宋体" w:hAnsi="宋体" w:cs="宋体"/>
          <w:bCs/>
          <w:color w:val="000000"/>
        </w:rPr>
        <w:t xml:space="preserve">5.投标费用</w:t>
      </w:r>
      <w:r/>
    </w:p>
    <w:p>
      <w:pPr>
        <w:pStyle w:val="1125"/>
        <w:ind w:firstLine="420"/>
        <w:spacing w:beforeAutospacing="0" w:after="0" w:afterAutospacing="0" w:line="360" w:lineRule="auto"/>
        <w:rPr>
          <w:rFonts w:hint="eastAsia" w:ascii="宋体" w:hAnsi="宋体" w:cs="宋体"/>
          <w:bCs/>
          <w:color w:val="000000"/>
        </w:rPr>
      </w:pPr>
      <w:r>
        <w:rPr>
          <w:rFonts w:hint="eastAsia" w:ascii="宋体" w:hAnsi="宋体" w:cs="宋体"/>
          <w:bCs/>
          <w:color w:val="000000"/>
        </w:rPr>
        <w:t xml:space="preserve">5.1无论投标过程中的做法和结果如何，投标人自行承担所有与参加投标有关的全部费用。</w:t>
      </w:r>
      <w:r/>
    </w:p>
    <w:p>
      <w:pPr>
        <w:pStyle w:val="1071"/>
        <w:ind w:firstLine="422"/>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6.联合投标及转包、分包</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6.1本项目不接受联合体投标。</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6.2本项目不接受转包、分包。</w:t>
      </w:r>
      <w:bookmarkStart w:id="10" w:name="_Toc5764"/>
      <w:r/>
      <w:bookmarkStart w:id="11" w:name="_Toc31958"/>
      <w:r/>
      <w:r/>
    </w:p>
    <w:p>
      <w:pPr>
        <w:pStyle w:val="1071"/>
        <w:ind w:firstLine="422"/>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三、招标文件的说明</w:t>
      </w:r>
      <w:bookmarkEnd w:id="10"/>
      <w:r/>
      <w:bookmarkEnd w:id="11"/>
      <w:r/>
      <w:r/>
    </w:p>
    <w:p>
      <w:pPr>
        <w:pStyle w:val="1071"/>
        <w:ind w:firstLine="422"/>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7.招标文件</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7.1</w:t>
      </w:r>
      <w:r>
        <w:rPr>
          <w:rFonts w:hint="eastAsia" w:ascii="宋体" w:hAnsi="宋体"/>
          <w:bCs/>
          <w:color w:val="000000"/>
          <w:sz w:val="24"/>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7.2招标文件及其补充通知（包括更正公告）未按本招标文件规定的方式获得的，</w:t>
      </w:r>
      <w:r>
        <w:rPr>
          <w:rFonts w:hint="eastAsia" w:ascii="宋体" w:hAnsi="宋体" w:cs="宋体"/>
          <w:bCs/>
          <w:color w:val="000000"/>
          <w:sz w:val="24"/>
          <w:lang w:eastAsia="zh-CN"/>
        </w:rPr>
        <w:t xml:space="preserve">招标人</w:t>
      </w:r>
      <w:r>
        <w:rPr>
          <w:rFonts w:hint="eastAsia" w:ascii="宋体" w:hAnsi="宋体" w:cs="宋体"/>
          <w:bCs/>
          <w:color w:val="000000"/>
          <w:sz w:val="24"/>
        </w:rPr>
        <w:t xml:space="preserve">或</w:t>
      </w:r>
      <w:r>
        <w:rPr>
          <w:rFonts w:hint="eastAsia" w:ascii="宋体" w:hAnsi="宋体" w:cs="宋体"/>
          <w:bCs/>
          <w:color w:val="000000"/>
          <w:sz w:val="24"/>
          <w:lang w:eastAsia="zh-CN"/>
        </w:rPr>
        <w:t xml:space="preserve">招标代理机构</w:t>
      </w:r>
      <w:r>
        <w:rPr>
          <w:rFonts w:hint="eastAsia" w:ascii="宋体" w:hAnsi="宋体" w:cs="宋体"/>
          <w:bCs/>
          <w:color w:val="000000"/>
          <w:sz w:val="24"/>
        </w:rPr>
        <w:t xml:space="preserve">对招标文件及其补遗的真实性、完整性不承担任何责任。</w:t>
      </w:r>
      <w:r/>
    </w:p>
    <w:p>
      <w:pPr>
        <w:ind w:firstLine="422"/>
        <w:spacing w:after="0" w:line="360" w:lineRule="auto"/>
        <w:rPr>
          <w:rFonts w:hint="eastAsia" w:ascii="宋体" w:hAnsi="宋体" w:cs="宋体"/>
          <w:bCs/>
          <w:color w:val="000000"/>
          <w:sz w:val="24"/>
        </w:rPr>
      </w:pPr>
      <w:r/>
      <w:bookmarkStart w:id="12" w:name="_Toc16745"/>
      <w:r/>
      <w:bookmarkStart w:id="13" w:name="_Toc19463"/>
      <w:r>
        <w:rPr>
          <w:rFonts w:hint="eastAsia" w:ascii="宋体" w:hAnsi="宋体" w:cs="宋体"/>
          <w:bCs/>
          <w:color w:val="000000"/>
          <w:sz w:val="24"/>
        </w:rPr>
        <w:t xml:space="preserve">8、招标文件的询问与澄清(修改)</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8.1</w:t>
      </w:r>
      <w:r>
        <w:rPr>
          <w:rFonts w:hint="eastAsia" w:ascii="宋体" w:hAnsi="宋体" w:eastAsia="宋体" w:cs="宋体"/>
          <w:bCs/>
          <w:color w:val="000000"/>
          <w:szCs w:val="24"/>
          <w:lang w:eastAsia="zh-CN"/>
        </w:rPr>
        <w:t xml:space="preserve">招标人</w:t>
      </w:r>
      <w:r>
        <w:rPr>
          <w:rFonts w:hint="eastAsia" w:ascii="宋体" w:hAnsi="宋体" w:eastAsia="宋体" w:cs="宋体"/>
          <w:bCs/>
          <w:color w:val="000000"/>
          <w:szCs w:val="24"/>
        </w:rPr>
        <w:t xml:space="preserve">或</w:t>
      </w:r>
      <w:r>
        <w:rPr>
          <w:rFonts w:hint="eastAsia" w:ascii="宋体" w:hAnsi="宋体" w:eastAsia="宋体" w:cs="宋体"/>
          <w:bCs/>
          <w:color w:val="000000"/>
          <w:szCs w:val="24"/>
          <w:lang w:eastAsia="zh-CN"/>
        </w:rPr>
        <w:t xml:space="preserve">招标代理机构</w:t>
      </w:r>
      <w:r>
        <w:rPr>
          <w:rFonts w:hint="eastAsia" w:ascii="宋体" w:hAnsi="宋体" w:eastAsia="宋体" w:cs="宋体"/>
          <w:bCs/>
          <w:color w:val="000000"/>
          <w:szCs w:val="24"/>
        </w:rPr>
        <w:t xml:space="preserve">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8.2澄清或者修改的内容可能影响投标文件编制的，</w:t>
      </w:r>
      <w:r>
        <w:rPr>
          <w:rFonts w:hint="eastAsia" w:ascii="宋体" w:hAnsi="宋体" w:eastAsia="宋体" w:cs="宋体"/>
          <w:bCs/>
          <w:color w:val="000000"/>
          <w:szCs w:val="24"/>
          <w:lang w:eastAsia="zh-CN"/>
        </w:rPr>
        <w:t xml:space="preserve">招标人</w:t>
      </w:r>
      <w:r>
        <w:rPr>
          <w:rFonts w:hint="eastAsia" w:ascii="宋体" w:hAnsi="宋体" w:eastAsia="宋体" w:cs="宋体"/>
          <w:bCs/>
          <w:color w:val="000000"/>
          <w:szCs w:val="24"/>
        </w:rPr>
        <w:t xml:space="preserve">或者</w:t>
      </w:r>
      <w:r>
        <w:rPr>
          <w:rFonts w:hint="eastAsia" w:ascii="宋体" w:hAnsi="宋体" w:eastAsia="宋体" w:cs="宋体"/>
          <w:bCs/>
          <w:color w:val="000000"/>
          <w:szCs w:val="24"/>
          <w:lang w:eastAsia="zh-CN"/>
        </w:rPr>
        <w:t xml:space="preserve">招标代理机构</w:t>
      </w:r>
      <w:r>
        <w:rPr>
          <w:rFonts w:hint="eastAsia" w:ascii="宋体" w:hAnsi="宋体" w:eastAsia="宋体" w:cs="宋体"/>
          <w:bCs/>
          <w:color w:val="000000"/>
          <w:szCs w:val="24"/>
        </w:rPr>
        <w:t xml:space="preserve">应当在投标截止时间至少15日前，并通过苏州市政府采购网对外进行发布；不足15日的，</w:t>
      </w:r>
      <w:r>
        <w:rPr>
          <w:rFonts w:hint="eastAsia" w:ascii="宋体" w:hAnsi="宋体" w:eastAsia="宋体" w:cs="宋体"/>
          <w:bCs/>
          <w:color w:val="000000"/>
          <w:szCs w:val="24"/>
          <w:lang w:eastAsia="zh-CN"/>
        </w:rPr>
        <w:t xml:space="preserve">招标人</w:t>
      </w:r>
      <w:r>
        <w:rPr>
          <w:rFonts w:hint="eastAsia" w:ascii="宋体" w:hAnsi="宋体" w:eastAsia="宋体" w:cs="宋体"/>
          <w:bCs/>
          <w:color w:val="000000"/>
          <w:szCs w:val="24"/>
        </w:rPr>
        <w:t xml:space="preserve">或者</w:t>
      </w:r>
      <w:r>
        <w:rPr>
          <w:rFonts w:hint="eastAsia" w:ascii="宋体" w:hAnsi="宋体" w:eastAsia="宋体" w:cs="宋体"/>
          <w:bCs/>
          <w:color w:val="000000"/>
          <w:szCs w:val="24"/>
          <w:lang w:eastAsia="zh-CN"/>
        </w:rPr>
        <w:t xml:space="preserve">招标代理机构</w:t>
      </w:r>
      <w:r>
        <w:rPr>
          <w:rFonts w:hint="eastAsia" w:ascii="宋体" w:hAnsi="宋体" w:eastAsia="宋体" w:cs="宋体"/>
          <w:bCs/>
          <w:color w:val="000000"/>
          <w:szCs w:val="24"/>
        </w:rPr>
        <w:t xml:space="preserve">应当顺延提交投标文件的截止时间。</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投标人应及时关注政府采购信息发布媒体上发布的更正（补充）公告，同时在“苏采云”系统中下载更正（补充）资料，如有遗漏（包括但不限于文件未下载或下载不完整），可能无法解密投标（响应）文件，由此所造成的投标失败或损失由投标供应商自行负责。</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8.4招标文件的澄清、修改、补充等内容均以苏州市政府采购网上发布的内容为准。</w:t>
      </w:r>
      <w:r/>
    </w:p>
    <w:p>
      <w:pPr>
        <w:ind w:firstLine="422"/>
        <w:spacing w:after="0" w:line="360" w:lineRule="auto"/>
        <w:rPr>
          <w:rFonts w:hint="eastAsia" w:ascii="宋体" w:hAnsi="宋体"/>
          <w:bCs/>
          <w:color w:val="000000"/>
          <w:sz w:val="24"/>
        </w:rPr>
      </w:pPr>
      <w:r>
        <w:rPr>
          <w:rFonts w:hint="eastAsia" w:ascii="宋体" w:hAnsi="宋体"/>
          <w:bCs/>
          <w:color w:val="000000"/>
          <w:sz w:val="24"/>
        </w:rPr>
        <w:t xml:space="preserve">9.勘察现场（不涉及此条的忽略）</w:t>
      </w:r>
      <w:r/>
    </w:p>
    <w:p>
      <w:pPr>
        <w:ind w:firstLine="420"/>
        <w:spacing w:after="0" w:line="360" w:lineRule="auto"/>
        <w:rPr>
          <w:rFonts w:hint="eastAsia" w:ascii="宋体" w:hAnsi="宋体"/>
          <w:bCs/>
          <w:color w:val="000000"/>
          <w:sz w:val="24"/>
        </w:rPr>
      </w:pPr>
      <w:r>
        <w:rPr>
          <w:rFonts w:hint="eastAsia" w:ascii="宋体" w:hAnsi="宋体"/>
          <w:bCs/>
          <w:color w:val="000000"/>
          <w:sz w:val="24"/>
        </w:rPr>
        <w:t xml:space="preserve">9.1根据自身投标需要，投标人可对有关现场和周围环境进行勘察，以获取编制投标文件和签署合同所需的信息。勘察现场所发生的费用由投标人自己承担。</w:t>
      </w:r>
      <w:r/>
    </w:p>
    <w:p>
      <w:pPr>
        <w:ind w:firstLine="420"/>
        <w:spacing w:after="0" w:line="360" w:lineRule="auto"/>
        <w:rPr>
          <w:rFonts w:hint="eastAsia" w:ascii="宋体" w:hAnsi="宋体"/>
          <w:bCs/>
          <w:color w:val="000000"/>
          <w:sz w:val="24"/>
        </w:rPr>
      </w:pPr>
      <w:r>
        <w:rPr>
          <w:rFonts w:hint="eastAsia" w:ascii="宋体" w:hAnsi="宋体"/>
          <w:bCs/>
          <w:color w:val="000000"/>
          <w:sz w:val="24"/>
        </w:rPr>
        <w:t xml:space="preserve">9.2</w:t>
      </w:r>
      <w:r>
        <w:rPr>
          <w:rFonts w:hint="eastAsia" w:ascii="宋体" w:hAnsi="宋体"/>
          <w:bCs/>
          <w:color w:val="000000"/>
          <w:sz w:val="24"/>
          <w:lang w:eastAsia="zh-CN"/>
        </w:rPr>
        <w:t xml:space="preserve">招标人</w:t>
      </w:r>
      <w:r>
        <w:rPr>
          <w:rFonts w:hint="eastAsia" w:ascii="宋体" w:hAnsi="宋体"/>
          <w:bCs/>
          <w:color w:val="000000"/>
          <w:sz w:val="24"/>
        </w:rPr>
        <w:t xml:space="preserve">或</w:t>
      </w:r>
      <w:r>
        <w:rPr>
          <w:rFonts w:hint="eastAsia" w:ascii="宋体" w:hAnsi="宋体"/>
          <w:bCs/>
          <w:color w:val="000000"/>
          <w:sz w:val="24"/>
          <w:lang w:eastAsia="zh-CN"/>
        </w:rPr>
        <w:t xml:space="preserve">招标代理机构</w:t>
      </w:r>
      <w:r>
        <w:rPr>
          <w:rFonts w:hint="eastAsia" w:ascii="宋体" w:hAnsi="宋体"/>
          <w:bCs/>
          <w:color w:val="000000"/>
          <w:sz w:val="24"/>
        </w:rPr>
        <w:t xml:space="preserve">向投标人提供的有关现场的资料和数据，是</w:t>
      </w:r>
      <w:r>
        <w:rPr>
          <w:rFonts w:hint="eastAsia" w:ascii="宋体" w:hAnsi="宋体"/>
          <w:bCs/>
          <w:color w:val="000000"/>
          <w:sz w:val="24"/>
          <w:lang w:eastAsia="zh-CN"/>
        </w:rPr>
        <w:t xml:space="preserve">招标人</w:t>
      </w:r>
      <w:r>
        <w:rPr>
          <w:rFonts w:hint="eastAsia" w:ascii="宋体" w:hAnsi="宋体"/>
          <w:bCs/>
          <w:color w:val="000000"/>
          <w:sz w:val="24"/>
        </w:rPr>
        <w:t xml:space="preserve">或</w:t>
      </w:r>
      <w:r>
        <w:rPr>
          <w:rFonts w:hint="eastAsia" w:ascii="宋体" w:hAnsi="宋体"/>
          <w:bCs/>
          <w:color w:val="000000"/>
          <w:sz w:val="24"/>
          <w:lang w:eastAsia="zh-CN"/>
        </w:rPr>
        <w:t xml:space="preserve">招标代理机构</w:t>
      </w:r>
      <w:r>
        <w:rPr>
          <w:rFonts w:hint="eastAsia" w:ascii="宋体" w:hAnsi="宋体"/>
          <w:bCs/>
          <w:color w:val="000000"/>
          <w:sz w:val="24"/>
        </w:rPr>
        <w:t xml:space="preserve">现有的并认为能使投标人可利用的资料。</w:t>
      </w:r>
      <w:r>
        <w:rPr>
          <w:rFonts w:hint="eastAsia" w:ascii="宋体" w:hAnsi="宋体"/>
          <w:bCs/>
          <w:color w:val="000000"/>
          <w:sz w:val="24"/>
          <w:lang w:eastAsia="zh-CN"/>
        </w:rPr>
        <w:t xml:space="preserve">招标人</w:t>
      </w:r>
      <w:r>
        <w:rPr>
          <w:rFonts w:hint="eastAsia" w:ascii="宋体" w:hAnsi="宋体"/>
          <w:bCs/>
          <w:color w:val="000000"/>
          <w:sz w:val="24"/>
        </w:rPr>
        <w:t xml:space="preserve">或</w:t>
      </w:r>
      <w:r>
        <w:rPr>
          <w:rFonts w:hint="eastAsia" w:ascii="宋体" w:hAnsi="宋体"/>
          <w:bCs/>
          <w:color w:val="000000"/>
          <w:sz w:val="24"/>
          <w:lang w:eastAsia="zh-CN"/>
        </w:rPr>
        <w:t xml:space="preserve">招标代理机构</w:t>
      </w:r>
      <w:r>
        <w:rPr>
          <w:rFonts w:hint="eastAsia" w:ascii="宋体" w:hAnsi="宋体"/>
          <w:bCs/>
          <w:color w:val="000000"/>
          <w:sz w:val="24"/>
        </w:rPr>
        <w:t xml:space="preserve">对投标人由此而做出的推论、理解和结论概不负责。</w:t>
      </w:r>
      <w:r/>
    </w:p>
    <w:p>
      <w:pPr>
        <w:ind w:firstLine="420"/>
        <w:spacing w:after="0" w:line="360" w:lineRule="auto"/>
        <w:rPr>
          <w:rFonts w:hint="eastAsia" w:ascii="宋体" w:hAnsi="宋体"/>
          <w:bCs/>
          <w:color w:val="000000"/>
          <w:sz w:val="24"/>
        </w:rPr>
      </w:pPr>
      <w:r>
        <w:rPr>
          <w:rFonts w:hint="eastAsia" w:ascii="宋体" w:hAnsi="宋体"/>
          <w:bCs/>
          <w:color w:val="000000"/>
          <w:sz w:val="24"/>
        </w:rPr>
        <w:t xml:space="preserve">9.3经</w:t>
      </w:r>
      <w:r>
        <w:rPr>
          <w:rFonts w:hint="eastAsia" w:ascii="宋体" w:hAnsi="宋体"/>
          <w:bCs/>
          <w:color w:val="000000"/>
          <w:sz w:val="24"/>
          <w:lang w:eastAsia="zh-CN"/>
        </w:rPr>
        <w:t xml:space="preserve">招标人</w:t>
      </w:r>
      <w:r>
        <w:rPr>
          <w:rFonts w:hint="eastAsia" w:ascii="宋体" w:hAnsi="宋体"/>
          <w:bCs/>
          <w:color w:val="000000"/>
          <w:sz w:val="24"/>
        </w:rPr>
        <w:t xml:space="preserve">允许，投标人可为勘察目的进入</w:t>
      </w:r>
      <w:r>
        <w:rPr>
          <w:rFonts w:hint="eastAsia" w:ascii="宋体" w:hAnsi="宋体"/>
          <w:bCs/>
          <w:color w:val="000000"/>
          <w:sz w:val="24"/>
          <w:lang w:eastAsia="zh-CN"/>
        </w:rPr>
        <w:t xml:space="preserve">招标人</w:t>
      </w:r>
      <w:r>
        <w:rPr>
          <w:rFonts w:hint="eastAsia" w:ascii="宋体" w:hAnsi="宋体"/>
          <w:bCs/>
          <w:color w:val="000000"/>
          <w:sz w:val="24"/>
        </w:rPr>
        <w:t xml:space="preserve">的项目现场，但投标人不得因此使</w:t>
      </w:r>
      <w:r>
        <w:rPr>
          <w:rFonts w:hint="eastAsia" w:ascii="宋体" w:hAnsi="宋体"/>
          <w:bCs/>
          <w:color w:val="000000"/>
          <w:sz w:val="24"/>
          <w:lang w:eastAsia="zh-CN"/>
        </w:rPr>
        <w:t xml:space="preserve">招标人</w:t>
      </w:r>
      <w:r>
        <w:rPr>
          <w:rFonts w:hint="eastAsia" w:ascii="宋体" w:hAnsi="宋体"/>
          <w:bCs/>
          <w:color w:val="000000"/>
          <w:sz w:val="24"/>
        </w:rPr>
        <w:t xml:space="preserve">承担有关的责任和蒙受损失。投标人应承担勘察现场的责任和风险。</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9.4投标人应在现场勘察时，熟悉现场及周围交通道路等情况，以获得一切可能影响其投标的直接资料。投标人中标后，不得以不完全了解现场情况为理由而向</w:t>
      </w:r>
      <w:r>
        <w:rPr>
          <w:rFonts w:hint="eastAsia" w:ascii="宋体" w:hAnsi="宋体" w:cs="宋体"/>
          <w:bCs/>
          <w:color w:val="000000"/>
          <w:sz w:val="24"/>
          <w:lang w:eastAsia="zh-CN"/>
        </w:rPr>
        <w:t xml:space="preserve">招标人</w:t>
      </w:r>
      <w:r>
        <w:rPr>
          <w:rFonts w:hint="eastAsia" w:ascii="宋体" w:hAnsi="宋体" w:cs="宋体"/>
          <w:bCs/>
          <w:color w:val="000000"/>
          <w:sz w:val="24"/>
        </w:rPr>
        <w:t xml:space="preserve">或</w:t>
      </w:r>
      <w:r>
        <w:rPr>
          <w:rFonts w:hint="eastAsia" w:ascii="宋体" w:hAnsi="宋体" w:cs="宋体"/>
          <w:bCs/>
          <w:color w:val="000000"/>
          <w:sz w:val="24"/>
          <w:lang w:eastAsia="zh-CN"/>
        </w:rPr>
        <w:t xml:space="preserve">招标代理机构</w:t>
      </w:r>
      <w:r>
        <w:rPr>
          <w:rFonts w:hint="eastAsia" w:ascii="宋体" w:hAnsi="宋体" w:cs="宋体"/>
          <w:bCs/>
          <w:color w:val="000000"/>
          <w:sz w:val="24"/>
        </w:rPr>
        <w:t xml:space="preserve">提出任何索赔的要求，对此</w:t>
      </w:r>
      <w:r>
        <w:rPr>
          <w:rFonts w:hint="eastAsia" w:ascii="宋体" w:hAnsi="宋体" w:cs="宋体"/>
          <w:bCs/>
          <w:color w:val="000000"/>
          <w:sz w:val="24"/>
          <w:lang w:eastAsia="zh-CN"/>
        </w:rPr>
        <w:t xml:space="preserve">招标人</w:t>
      </w:r>
      <w:r>
        <w:rPr>
          <w:rFonts w:hint="eastAsia" w:ascii="宋体" w:hAnsi="宋体" w:cs="宋体"/>
          <w:bCs/>
          <w:color w:val="000000"/>
          <w:sz w:val="24"/>
        </w:rPr>
        <w:t xml:space="preserve">或</w:t>
      </w:r>
      <w:r>
        <w:rPr>
          <w:rFonts w:hint="eastAsia" w:ascii="宋体" w:hAnsi="宋体" w:cs="宋体"/>
          <w:bCs/>
          <w:color w:val="000000"/>
          <w:sz w:val="24"/>
          <w:lang w:eastAsia="zh-CN"/>
        </w:rPr>
        <w:t xml:space="preserve">招标代理机构</w:t>
      </w:r>
      <w:r>
        <w:rPr>
          <w:rFonts w:hint="eastAsia" w:ascii="宋体" w:hAnsi="宋体" w:cs="宋体"/>
          <w:bCs/>
          <w:color w:val="000000"/>
          <w:sz w:val="24"/>
        </w:rPr>
        <w:t xml:space="preserve">不承担任何责任并将不作任何答复与考虑。</w:t>
      </w:r>
      <w:r/>
    </w:p>
    <w:p>
      <w:pPr>
        <w:ind w:firstLine="422"/>
        <w:spacing w:after="0" w:line="360" w:lineRule="auto"/>
        <w:rPr>
          <w:rFonts w:hint="eastAsia" w:ascii="宋体" w:hAnsi="宋体" w:cs="宋体"/>
          <w:bCs/>
          <w:color w:val="000000"/>
          <w:sz w:val="24"/>
        </w:rPr>
      </w:pPr>
      <w:r>
        <w:rPr>
          <w:rFonts w:hint="eastAsia" w:ascii="宋体" w:hAnsi="宋体" w:cs="宋体"/>
          <w:bCs/>
          <w:color w:val="000000"/>
          <w:sz w:val="24"/>
        </w:rPr>
        <w:t xml:space="preserve">10.投标质疑</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10.1供应商认为招标文件、采购过程或中标、成交结果使自己的权益受到损害的，可以在知道或者应知其权益受到损害之日起7个工作日内，以书面形式向</w:t>
      </w:r>
      <w:r>
        <w:rPr>
          <w:rFonts w:hint="eastAsia" w:ascii="宋体" w:hAnsi="宋体" w:eastAsia="宋体" w:cs="宋体"/>
          <w:bCs/>
          <w:color w:val="000000"/>
          <w:szCs w:val="24"/>
          <w:lang w:eastAsia="zh-CN"/>
        </w:rPr>
        <w:t xml:space="preserve">招标人</w:t>
      </w:r>
      <w:r>
        <w:rPr>
          <w:rFonts w:hint="eastAsia" w:ascii="宋体" w:hAnsi="宋体" w:eastAsia="宋体" w:cs="宋体"/>
          <w:bCs/>
          <w:color w:val="000000"/>
          <w:szCs w:val="24"/>
        </w:rPr>
        <w:t xml:space="preserve">、</w:t>
      </w:r>
      <w:r>
        <w:rPr>
          <w:rFonts w:hint="eastAsia" w:ascii="宋体" w:hAnsi="宋体" w:eastAsia="宋体" w:cs="宋体"/>
          <w:bCs/>
          <w:color w:val="000000"/>
          <w:szCs w:val="24"/>
          <w:lang w:eastAsia="zh-CN"/>
        </w:rPr>
        <w:t xml:space="preserve">招标代理机构</w:t>
      </w:r>
      <w:r>
        <w:rPr>
          <w:rFonts w:hint="eastAsia" w:ascii="宋体" w:hAnsi="宋体" w:eastAsia="宋体" w:cs="宋体"/>
          <w:bCs/>
          <w:color w:val="000000"/>
          <w:szCs w:val="24"/>
        </w:rPr>
        <w:t xml:space="preserve">提出质疑。</w:t>
      </w:r>
      <w:r>
        <w:rPr>
          <w:rFonts w:hint="eastAsia" w:ascii="宋体" w:hAnsi="宋体" w:eastAsia="宋体" w:cs="宋体"/>
          <w:bCs/>
          <w:color w:val="000000"/>
          <w:szCs w:val="24"/>
          <w:lang w:eastAsia="zh-CN"/>
        </w:rPr>
        <w:t xml:space="preserve">招标代理机构</w:t>
      </w:r>
      <w:r>
        <w:rPr>
          <w:rFonts w:hint="eastAsia" w:ascii="宋体" w:hAnsi="宋体" w:eastAsia="宋体" w:cs="宋体"/>
          <w:bCs/>
          <w:color w:val="000000"/>
          <w:szCs w:val="24"/>
        </w:rPr>
        <w:t xml:space="preserve">应当在收到投标人书面质疑后7个工作日内作出答复。</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10.2本次招标文件要求供应商在法定质疑期内一次性提出针对同一采购程序环节的质疑，否则不予受理。</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10.3供应商提出质疑应当提交质疑函和必要的证明材料，质疑函应当包括下列内容：</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（1）供应商的姓名或者名称（以提供的营业执照副本复印件为准）、地址、邮编、联系人及联系电话；</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（2）质疑项目的名称、编号；</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（3）具体、明确的质疑事项和与质疑事项相关的请求；</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（4）事实依据；</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（5）必要的法律依据；</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（6）提出质疑的日期。</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071"/>
        <w:ind w:firstLine="422"/>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供应商提交的质疑函必须按照《政府采购供应商质疑函范本》要求的格式和内容进行填写，质疑函范本下载网址详见链接：https://czju.suzhou.gov.cn/zfcg/html/content/20180305093615738.shtml。</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pStyle w:val="1071"/>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10.5接收质疑函的方式：书面形式（当场送达或邮寄方式）。</w:t>
      </w:r>
      <w:r/>
    </w:p>
    <w:p>
      <w:pPr>
        <w:ind w:firstLine="420"/>
        <w:spacing w:after="0" w:line="360" w:lineRule="auto"/>
        <w:rPr>
          <w:rFonts w:hint="eastAsia" w:ascii="宋体" w:hAnsi="宋体" w:eastAsia="宋体" w:cs="宋体"/>
          <w:bCs/>
          <w:color w:val="000000"/>
          <w:sz w:val="24"/>
          <w:lang w:eastAsia="zh-CN"/>
        </w:rPr>
      </w:pPr>
      <w:r>
        <w:rPr>
          <w:rFonts w:hint="eastAsia" w:ascii="宋体" w:hAnsi="宋体" w:cs="宋体"/>
          <w:bCs/>
          <w:color w:val="000000"/>
          <w:sz w:val="24"/>
        </w:rPr>
        <w:t xml:space="preserve">10.6联系单位：</w:t>
      </w:r>
      <w:r>
        <w:rPr>
          <w:rFonts w:hint="eastAsia" w:ascii="宋体" w:hAnsi="宋体" w:cs="宋体"/>
          <w:bCs/>
          <w:color w:val="000000"/>
          <w:sz w:val="24"/>
          <w:lang w:eastAsia="zh-CN"/>
        </w:rPr>
        <w:t xml:space="preserve">苏州子梦建设工程造价咨询所</w:t>
      </w:r>
      <w:r/>
    </w:p>
    <w:p>
      <w:pPr>
        <w:ind w:firstLine="420"/>
        <w:spacing w:after="0" w:line="360" w:lineRule="auto"/>
        <w:rPr>
          <w:rFonts w:hint="eastAsia" w:ascii="宋体" w:hAnsi="宋体" w:eastAsia="宋体" w:cs="宋体"/>
          <w:bCs/>
          <w:color w:val="000000"/>
          <w:sz w:val="24"/>
          <w:lang w:val="en-US" w:eastAsia="zh-CN"/>
        </w:rPr>
      </w:pPr>
      <w:r>
        <w:rPr>
          <w:rFonts w:hint="eastAsia" w:ascii="宋体" w:hAnsi="宋体" w:cs="宋体"/>
          <w:bCs/>
          <w:color w:val="000000"/>
          <w:sz w:val="24"/>
        </w:rPr>
        <w:t xml:space="preserve">10.7收件人：</w:t>
      </w:r>
      <w:r>
        <w:rPr>
          <w:rFonts w:hint="eastAsia" w:ascii="宋体" w:hAnsi="宋体" w:cs="宋体"/>
          <w:bCs/>
          <w:color w:val="000000"/>
          <w:sz w:val="24"/>
          <w:lang w:val="en-US" w:eastAsia="zh-CN"/>
        </w:rPr>
        <w:t xml:space="preserve">姚天明</w:t>
      </w:r>
      <w:r/>
    </w:p>
    <w:p>
      <w:pPr>
        <w:ind w:firstLine="420"/>
        <w:spacing w:after="0" w:line="360" w:lineRule="auto"/>
        <w:rPr>
          <w:rFonts w:hint="default" w:ascii="宋体" w:hAnsi="宋体" w:eastAsia="宋体" w:cs="宋体"/>
          <w:bCs/>
          <w:color w:val="000000"/>
          <w:sz w:val="24"/>
          <w:lang w:val="en-US" w:eastAsia="zh-CN"/>
        </w:rPr>
      </w:pPr>
      <w:r>
        <w:rPr>
          <w:rFonts w:hint="eastAsia" w:ascii="宋体" w:hAnsi="宋体" w:cs="宋体"/>
          <w:bCs/>
          <w:color w:val="000000"/>
          <w:sz w:val="24"/>
        </w:rPr>
        <w:t xml:space="preserve">10.8联系电话：</w:t>
      </w:r>
      <w:r>
        <w:rPr>
          <w:rFonts w:hint="eastAsia" w:ascii="宋体" w:hAnsi="宋体" w:cs="宋体"/>
          <w:bCs/>
          <w:color w:val="000000"/>
          <w:sz w:val="24"/>
          <w:lang w:val="en-US" w:eastAsia="zh-CN"/>
        </w:rPr>
        <w:t xml:space="preserve">18118430119</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10.9通讯地址：</w:t>
      </w:r>
      <w:r>
        <w:rPr>
          <w:rFonts w:hint="eastAsia" w:ascii="宋体" w:hAnsi="宋体" w:cs="宋体"/>
          <w:bCs/>
          <w:color w:val="000000"/>
          <w:sz w:val="24"/>
          <w:lang w:val="en-US" w:eastAsia="zh-CN"/>
        </w:rPr>
        <w:t xml:space="preserve">苏州市姑苏区内马路9-4</w:t>
      </w:r>
      <w:r>
        <w:rPr>
          <w:rFonts w:hint="eastAsia" w:ascii="宋体" w:hAnsi="宋体" w:cs="宋体"/>
          <w:bCs/>
          <w:color w:val="000000"/>
          <w:sz w:val="24"/>
        </w:rPr>
        <w:t xml:space="preserve">。</w:t>
      </w:r>
      <w:r/>
    </w:p>
    <w:p>
      <w:pPr>
        <w:pStyle w:val="1071"/>
        <w:ind w:firstLine="422"/>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四、投标文件说明</w:t>
      </w:r>
      <w:bookmarkEnd w:id="12"/>
      <w:r/>
      <w:bookmarkEnd w:id="13"/>
      <w:r/>
      <w:r/>
    </w:p>
    <w:p>
      <w:pPr>
        <w:pStyle w:val="1071"/>
        <w:ind w:firstLine="422"/>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11.提示与要求</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11.2无论是否递交投标文件，投标人都应将招标文件及以后的所有通知、文件等视为保密文件。</w:t>
      </w:r>
      <w:r/>
    </w:p>
    <w:p>
      <w:pPr>
        <w:pStyle w:val="1071"/>
        <w:ind w:firstLine="422"/>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12.投标文件计量单位和使用文字</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12.1投标文件中所使用的计量单位，除招标文件中有特殊要求外，均应使用中华人民共和国法定计量单位。</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12.2投标文件应使用中文编制，投标文件中必须使用其他文字的，必须附有中文译本。对于未附有中文译本和中文译本不准确的投标文件可能引起的对投标人不利的后果，</w:t>
      </w:r>
      <w:r>
        <w:rPr>
          <w:rFonts w:hint="eastAsia" w:ascii="宋体" w:hAnsi="宋体" w:cs="宋体"/>
          <w:bCs/>
          <w:color w:val="000000"/>
          <w:sz w:val="24"/>
          <w:lang w:eastAsia="zh-CN"/>
        </w:rPr>
        <w:t xml:space="preserve">招标代理机构</w:t>
      </w:r>
      <w:r>
        <w:rPr>
          <w:rFonts w:hint="eastAsia" w:ascii="宋体" w:hAnsi="宋体" w:cs="宋体"/>
          <w:bCs/>
          <w:color w:val="000000"/>
          <w:sz w:val="24"/>
        </w:rPr>
        <w:t xml:space="preserve">概不负责。</w:t>
      </w:r>
      <w:r/>
    </w:p>
    <w:p>
      <w:pPr>
        <w:ind w:firstLine="422"/>
        <w:spacing w:after="0" w:line="360" w:lineRule="auto"/>
        <w:rPr>
          <w:rFonts w:hint="eastAsia" w:ascii="宋体" w:hAnsi="宋体" w:cs="宋体"/>
          <w:bCs/>
          <w:color w:val="000000"/>
          <w:sz w:val="24"/>
        </w:rPr>
      </w:pPr>
      <w:r>
        <w:rPr>
          <w:rFonts w:hint="eastAsia" w:ascii="宋体" w:hAnsi="宋体" w:cs="宋体"/>
          <w:bCs/>
          <w:color w:val="000000"/>
          <w:sz w:val="24"/>
        </w:rPr>
        <w:t xml:space="preserve">13.知识产权</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after="0" w:line="360" w:lineRule="auto"/>
        <w:tabs>
          <w:tab w:val="left" w:pos="567" w:leader="none"/>
        </w:tabs>
        <w:rPr>
          <w:rFonts w:hint="eastAsia" w:ascii="宋体" w:hAnsi="宋体" w:cs="宋体"/>
          <w:bCs/>
          <w:color w:val="000000"/>
          <w:sz w:val="24"/>
        </w:rPr>
      </w:pPr>
      <w:r>
        <w:rPr>
          <w:rFonts w:hint="eastAsia" w:ascii="宋体" w:hAnsi="宋体" w:cs="宋体"/>
          <w:bCs/>
          <w:color w:val="000000"/>
          <w:sz w:val="24"/>
        </w:rPr>
        <w:t xml:space="preserve">14.投标文件的组成（部分格式见第三章。）</w:t>
      </w:r>
      <w:r/>
    </w:p>
    <w:p>
      <w:pPr>
        <w:ind w:firstLine="422"/>
        <w:spacing w:after="0" w:line="360" w:lineRule="auto"/>
        <w:rPr>
          <w:rFonts w:hint="eastAsia" w:ascii="宋体" w:hAnsi="宋体" w:cs="宋体"/>
          <w:b/>
          <w:color w:val="000000"/>
          <w:sz w:val="24"/>
        </w:rPr>
      </w:pPr>
      <w:r>
        <w:rPr>
          <w:rFonts w:hint="eastAsia" w:ascii="宋体" w:hAnsi="宋体" w:cs="宋体"/>
          <w:b/>
          <w:color w:val="000000"/>
          <w:sz w:val="24"/>
        </w:rPr>
        <w:t xml:space="preserve">14.1报价部分：</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14.1.1开标一览表</w:t>
      </w:r>
      <w:r>
        <w:rPr>
          <w:rFonts w:hint="eastAsia" w:ascii="宋体" w:hAnsi="宋体" w:cs="宋体"/>
          <w:b/>
          <w:color w:val="000000"/>
          <w:sz w:val="24"/>
        </w:rPr>
        <w:t xml:space="preserve">（注：本项目采用电子网上投标，在制作电子投标文件时，填写开标一览表报价时均填写所投对应标段的预算金额即可。）</w:t>
      </w:r>
      <w:r>
        <w:rPr>
          <w:rFonts w:hint="eastAsia" w:ascii="宋体" w:hAnsi="宋体" w:cs="宋体"/>
          <w:bCs/>
          <w:color w:val="000000"/>
          <w:sz w:val="24"/>
        </w:rPr>
        <w:t xml:space="preserve">；</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14.1.2报价承诺书；</w:t>
      </w:r>
      <w:r/>
    </w:p>
    <w:p>
      <w:pPr>
        <w:ind w:firstLine="422"/>
        <w:spacing w:after="0" w:line="360" w:lineRule="auto"/>
        <w:rPr>
          <w:rFonts w:hint="eastAsia" w:ascii="宋体" w:hAnsi="宋体" w:cs="宋体"/>
          <w:b/>
          <w:color w:val="000000"/>
          <w:sz w:val="24"/>
        </w:rPr>
      </w:pPr>
      <w:r>
        <w:rPr>
          <w:rFonts w:hint="eastAsia" w:ascii="宋体" w:hAnsi="宋体" w:cs="宋体"/>
          <w:b/>
          <w:color w:val="000000"/>
          <w:sz w:val="24"/>
        </w:rPr>
        <w:t xml:space="preserve">14.2</w:t>
      </w:r>
      <w:r>
        <w:rPr>
          <w:rFonts w:ascii="宋体" w:hAnsi="宋体"/>
          <w:b/>
          <w:color w:val="000000"/>
          <w:sz w:val="24"/>
        </w:rPr>
        <w:t xml:space="preserve">资格性审查文件</w:t>
      </w:r>
      <w:r>
        <w:rPr>
          <w:rFonts w:hint="eastAsia" w:ascii="宋体" w:hAnsi="宋体" w:cs="宋体"/>
          <w:b/>
          <w:color w:val="000000"/>
          <w:sz w:val="24"/>
        </w:rPr>
        <w:t xml:space="preserve">：</w:t>
      </w:r>
      <w:r/>
    </w:p>
    <w:p>
      <w:pPr>
        <w:pStyle w:val="1071"/>
        <w:spacing w:after="0" w:line="360" w:lineRule="auto"/>
        <w:tabs>
          <w:tab w:val="left" w:pos="0" w:leader="none"/>
        </w:tabs>
        <w:rPr>
          <w:rFonts w:hint="eastAsia" w:ascii="宋体" w:hAnsi="宋体" w:eastAsia="宋体" w:cs="宋体"/>
          <w:bCs/>
          <w:color w:val="000000"/>
          <w:szCs w:val="24"/>
        </w:rPr>
      </w:pPr>
      <w:r>
        <w:rPr>
          <w:rFonts w:hint="eastAsia" w:ascii="宋体" w:hAnsi="宋体" w:eastAsia="宋体" w:cs="宋体"/>
          <w:bCs/>
          <w:color w:val="000000"/>
          <w:szCs w:val="24"/>
        </w:rPr>
        <w:t xml:space="preserve">14.2.1具有独立承担民事责任的能力证明。包括法人或者其他组织的营业执照等证明文件，自然人的身份证明；</w:t>
      </w:r>
      <w:r/>
    </w:p>
    <w:p>
      <w:pPr>
        <w:pStyle w:val="1125"/>
        <w:ind w:firstLine="420"/>
        <w:spacing w:beforeAutospacing="0" w:after="0" w:afterAutospacing="0" w:line="360" w:lineRule="auto"/>
        <w:rPr>
          <w:rFonts w:hint="eastAsia" w:ascii="宋体" w:hAnsi="宋体" w:cs="宋体"/>
          <w:bCs/>
          <w:color w:val="000000"/>
        </w:rPr>
      </w:pPr>
      <w:r>
        <w:rPr>
          <w:rFonts w:hint="eastAsia" w:ascii="宋体" w:hAnsi="宋体" w:cs="宋体"/>
          <w:bCs/>
          <w:color w:val="000000"/>
        </w:rPr>
        <w:t xml:space="preserve">14.2.2具有良好的商业信誉和健全的财务会计制度证明：包括但不限于最近一年度经审计的财务报告，其他组织、自然人及成立未满一年的法人应提供银行出具的资信证明；</w:t>
      </w:r>
      <w:r/>
    </w:p>
    <w:p>
      <w:pPr>
        <w:pStyle w:val="1125"/>
        <w:ind w:firstLine="420"/>
        <w:spacing w:beforeAutospacing="0" w:after="0" w:afterAutospacing="0" w:line="360" w:lineRule="auto"/>
        <w:rPr>
          <w:rFonts w:hint="eastAsia" w:ascii="宋体" w:hAnsi="宋体" w:cs="宋体"/>
          <w:bCs/>
          <w:color w:val="000000"/>
        </w:rPr>
      </w:pPr>
      <w:r>
        <w:rPr>
          <w:rFonts w:hint="eastAsia" w:ascii="宋体" w:hAnsi="宋体" w:cs="宋体"/>
          <w:bCs/>
          <w:color w:val="000000"/>
        </w:rPr>
        <w:t xml:space="preserve">14.2.3具备履行合同所必需的设备和专业技术能力的证明材料或承诺；</w:t>
      </w:r>
      <w:r/>
    </w:p>
    <w:p>
      <w:pPr>
        <w:pStyle w:val="1071"/>
        <w:spacing w:after="0" w:line="360" w:lineRule="auto"/>
        <w:tabs>
          <w:tab w:val="left" w:pos="0" w:leader="none"/>
        </w:tabs>
        <w:rPr>
          <w:rFonts w:hint="eastAsia" w:ascii="宋体" w:hAnsi="宋体" w:eastAsia="宋体" w:cs="宋体"/>
          <w:bCs/>
          <w:color w:val="000000"/>
          <w:szCs w:val="24"/>
        </w:rPr>
      </w:pPr>
      <w:r>
        <w:rPr>
          <w:rFonts w:hint="eastAsia" w:ascii="宋体" w:hAnsi="宋体" w:eastAsia="宋体" w:cs="宋体"/>
          <w:bCs/>
          <w:color w:val="000000"/>
          <w:szCs w:val="24"/>
        </w:rPr>
        <w:t xml:space="preserve">14.2.4依法缴纳税收和社会保障资金的相关资料：税务登记证（如有）和合理期限内依法缴纳税收的凭据，社会保险登记证（如有）和合理期限内依法缴纳社会保险的凭据（专用收据或社会保险缴纳清单）；</w:t>
      </w:r>
      <w:r/>
    </w:p>
    <w:p>
      <w:pPr>
        <w:pStyle w:val="1071"/>
        <w:spacing w:after="0" w:line="360" w:lineRule="auto"/>
        <w:tabs>
          <w:tab w:val="left" w:pos="0" w:leader="none"/>
        </w:tabs>
        <w:rPr>
          <w:rFonts w:hint="eastAsia" w:ascii="宋体" w:hAnsi="宋体" w:eastAsia="宋体" w:cs="宋体"/>
          <w:bCs/>
          <w:color w:val="000000"/>
          <w:szCs w:val="24"/>
        </w:rPr>
      </w:pPr>
      <w:r>
        <w:rPr>
          <w:rFonts w:hint="eastAsia" w:ascii="宋体" w:hAnsi="宋体" w:eastAsia="宋体" w:cs="宋体"/>
          <w:bCs/>
          <w:color w:val="000000"/>
          <w:szCs w:val="24"/>
        </w:rPr>
        <w:t xml:space="preserve">14.2.5参加政府采购活动前三年内在经营活动中没有重大违法记录的书面声明函。</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14.2.6法律、行政法规规定的其他条件。</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14.2.7本项目的特定资格要求：详见招标公告</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14.2.8未被“信用中国”网站或“中国政府采购网”网站列入失信被执行人、重大税收违法案件当事人名单、政府采购严重失信行为记录名单（提供承诺书或网站查询截图）；</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14.2.9单位负责人为同一人或者存在直接控股、管理关系的不同供应商（包含法定代表人为同一个人的两个及两个以上法人，母公司、全资子公司及其控股公司），不得参加同一合同项下的政府采购活动；（提供承诺书） </w:t>
      </w:r>
      <w:r/>
    </w:p>
    <w:p>
      <w:pPr>
        <w:ind w:firstLine="420"/>
        <w:spacing w:after="0" w:line="360" w:lineRule="auto"/>
        <w:rPr>
          <w:color w:val="000000"/>
        </w:rPr>
      </w:pPr>
      <w:r>
        <w:rPr>
          <w:rFonts w:hint="eastAsia" w:ascii="宋体" w:hAnsi="宋体" w:cs="宋体"/>
          <w:bCs/>
          <w:color w:val="000000"/>
          <w:sz w:val="24"/>
        </w:rPr>
        <w:t xml:space="preserve">14.2.10《中小企业声明函》或《残疾人福利性单位声明函》或由省级以上监狱管理局、戒毒管理局（含新疆生产建设兵团）出具的属于监狱企业的证明文件；</w:t>
      </w:r>
      <w:r>
        <w:rPr>
          <w:color w:val="000000"/>
        </w:rPr>
        <w:t xml:space="preserve"> </w:t>
      </w:r>
      <w:r/>
    </w:p>
    <w:p>
      <w:pPr>
        <w:pStyle w:val="1167"/>
        <w:ind w:firstLine="482"/>
        <w:spacing w:after="0" w:line="360" w:lineRule="auto"/>
        <w:tabs>
          <w:tab w:val="left" w:pos="851" w:leader="none"/>
        </w:tabs>
        <w:rPr>
          <w:rFonts w:hint="eastAsia" w:ascii="宋体" w:hAnsi="宋体" w:cs="宋体"/>
          <w:b/>
          <w:color w:val="000000"/>
          <w:sz w:val="24"/>
        </w:rPr>
      </w:pPr>
      <w:r>
        <w:rPr>
          <w:rFonts w:hint="eastAsia" w:ascii="宋体" w:hAnsi="宋体"/>
          <w:b/>
          <w:color w:val="000000"/>
          <w:sz w:val="24"/>
        </w:rPr>
        <w:t xml:space="preserve">14.3</w:t>
      </w:r>
      <w:r>
        <w:rPr>
          <w:rFonts w:ascii="宋体" w:hAnsi="宋体"/>
          <w:b/>
          <w:color w:val="000000"/>
          <w:sz w:val="24"/>
        </w:rPr>
        <w:t xml:space="preserve">符合性审查文件</w:t>
      </w:r>
      <w:r>
        <w:rPr>
          <w:rFonts w:hint="eastAsia" w:ascii="宋体" w:hAnsi="宋体"/>
          <w:b/>
          <w:color w:val="000000"/>
          <w:sz w:val="24"/>
        </w:rPr>
        <w:t xml:space="preserve">：</w:t>
      </w:r>
      <w:r/>
    </w:p>
    <w:p>
      <w:pPr>
        <w:pStyle w:val="899"/>
        <w:ind w:left="0" w:firstLine="480"/>
        <w:spacing w:after="0" w:line="360" w:lineRule="auto"/>
        <w:tabs>
          <w:tab w:val="left" w:pos="851" w:leader="none"/>
        </w:tabs>
        <w:rPr>
          <w:rFonts w:hint="eastAsia" w:ascii="宋体" w:hAnsi="宋体"/>
          <w:bCs/>
          <w:color w:val="000000"/>
          <w:sz w:val="24"/>
        </w:rPr>
      </w:pPr>
      <w:r>
        <w:rPr>
          <w:rFonts w:hint="eastAsia" w:ascii="宋体" w:hAnsi="宋体"/>
          <w:bCs/>
          <w:color w:val="000000"/>
          <w:sz w:val="24"/>
        </w:rPr>
        <w:t xml:space="preserve">14.3.</w:t>
      </w:r>
      <w:r>
        <w:rPr>
          <w:rFonts w:ascii="宋体" w:hAnsi="宋体"/>
          <w:bCs/>
          <w:color w:val="000000"/>
          <w:sz w:val="24"/>
        </w:rPr>
        <w:t xml:space="preserve">1投标函；</w:t>
      </w:r>
      <w:r/>
    </w:p>
    <w:p>
      <w:pPr>
        <w:pStyle w:val="899"/>
        <w:ind w:left="0" w:firstLine="480"/>
        <w:spacing w:after="0" w:line="360" w:lineRule="auto"/>
        <w:tabs>
          <w:tab w:val="left" w:pos="851" w:leader="none"/>
        </w:tabs>
        <w:rPr>
          <w:rFonts w:hint="eastAsia" w:ascii="宋体" w:hAnsi="宋体"/>
          <w:bCs/>
          <w:color w:val="000000"/>
          <w:sz w:val="24"/>
        </w:rPr>
      </w:pPr>
      <w:r>
        <w:rPr>
          <w:rFonts w:hint="eastAsia" w:ascii="宋体" w:hAnsi="宋体"/>
          <w:bCs/>
          <w:color w:val="000000"/>
          <w:sz w:val="24"/>
        </w:rPr>
        <w:t xml:space="preserve">14.3.</w:t>
      </w:r>
      <w:r>
        <w:rPr>
          <w:rFonts w:ascii="宋体" w:hAnsi="宋体"/>
          <w:bCs/>
          <w:color w:val="000000"/>
          <w:sz w:val="24"/>
        </w:rPr>
        <w:t xml:space="preserve">2</w:t>
      </w:r>
      <w:r>
        <w:rPr>
          <w:rFonts w:hint="eastAsia" w:ascii="宋体" w:hAnsi="宋体" w:cs="宋体"/>
          <w:color w:val="000000"/>
          <w:sz w:val="24"/>
        </w:rPr>
        <w:t xml:space="preserve">投标（响应）保证承诺书</w:t>
      </w:r>
      <w:r>
        <w:rPr>
          <w:rFonts w:ascii="宋体" w:hAnsi="宋体"/>
          <w:bCs/>
          <w:color w:val="000000"/>
          <w:sz w:val="24"/>
        </w:rPr>
        <w:t xml:space="preserve">；</w:t>
      </w:r>
      <w:r/>
    </w:p>
    <w:p>
      <w:pPr>
        <w:pStyle w:val="899"/>
        <w:ind w:left="0" w:firstLine="480"/>
        <w:spacing w:after="0" w:line="360" w:lineRule="auto"/>
        <w:tabs>
          <w:tab w:val="left" w:pos="851" w:leader="none"/>
        </w:tabs>
        <w:rPr>
          <w:rFonts w:hint="eastAsia" w:ascii="宋体" w:hAnsi="宋体"/>
          <w:bCs/>
          <w:color w:val="000000"/>
          <w:sz w:val="24"/>
        </w:rPr>
      </w:pPr>
      <w:r>
        <w:rPr>
          <w:rFonts w:hint="eastAsia" w:ascii="宋体" w:hAnsi="宋体"/>
          <w:bCs/>
          <w:color w:val="000000"/>
          <w:sz w:val="24"/>
        </w:rPr>
        <w:t xml:space="preserve">14.3.</w:t>
      </w:r>
      <w:r>
        <w:rPr>
          <w:rFonts w:ascii="宋体" w:hAnsi="宋体"/>
          <w:bCs/>
          <w:color w:val="000000"/>
          <w:sz w:val="24"/>
        </w:rPr>
        <w:t xml:space="preserve">3</w:t>
      </w:r>
      <w:r>
        <w:rPr>
          <w:rFonts w:hint="eastAsia" w:ascii="宋体" w:hAnsi="宋体" w:cs="宋体"/>
          <w:color w:val="000000"/>
          <w:sz w:val="24"/>
        </w:rPr>
        <w:t xml:space="preserve">跟审响应服务承诺书；</w:t>
      </w:r>
      <w:r/>
    </w:p>
    <w:p>
      <w:pPr>
        <w:pStyle w:val="899"/>
        <w:ind w:left="0" w:firstLine="480"/>
        <w:spacing w:after="0" w:line="360" w:lineRule="auto"/>
        <w:tabs>
          <w:tab w:val="left" w:pos="851" w:leader="none"/>
        </w:tabs>
        <w:rPr>
          <w:rFonts w:hint="eastAsia" w:ascii="宋体" w:hAnsi="宋体"/>
          <w:bCs/>
          <w:color w:val="000000"/>
          <w:sz w:val="24"/>
        </w:rPr>
      </w:pPr>
      <w:r>
        <w:rPr>
          <w:rFonts w:hint="eastAsia" w:ascii="宋体" w:hAnsi="宋体"/>
          <w:bCs/>
          <w:color w:val="000000"/>
          <w:sz w:val="24"/>
        </w:rPr>
        <w:t xml:space="preserve">14.3.</w:t>
      </w:r>
      <w:r>
        <w:rPr>
          <w:rFonts w:ascii="宋体" w:hAnsi="宋体"/>
          <w:bCs/>
          <w:color w:val="000000"/>
          <w:sz w:val="24"/>
        </w:rPr>
        <w:t xml:space="preserve">4</w:t>
      </w:r>
      <w:r>
        <w:rPr>
          <w:rFonts w:hint="eastAsia" w:ascii="宋体" w:hAnsi="宋体" w:cs="宋体"/>
          <w:color w:val="000000"/>
          <w:sz w:val="24"/>
        </w:rPr>
        <w:t xml:space="preserve">跟审人员备案考勤承诺书</w:t>
      </w:r>
      <w:r>
        <w:rPr>
          <w:rFonts w:ascii="宋体" w:hAnsi="宋体"/>
          <w:bCs/>
          <w:color w:val="000000"/>
          <w:sz w:val="24"/>
        </w:rPr>
        <w:t xml:space="preserve">；</w:t>
      </w:r>
      <w:r/>
    </w:p>
    <w:p>
      <w:pPr>
        <w:pStyle w:val="899"/>
        <w:ind w:left="0" w:firstLine="480"/>
        <w:spacing w:after="0" w:line="360" w:lineRule="auto"/>
        <w:tabs>
          <w:tab w:val="left" w:pos="851" w:leader="none"/>
        </w:tabs>
        <w:rPr>
          <w:rFonts w:hint="eastAsia" w:ascii="宋体" w:hAnsi="宋体"/>
          <w:bCs/>
          <w:color w:val="000000"/>
          <w:sz w:val="24"/>
        </w:rPr>
      </w:pPr>
      <w:r>
        <w:rPr>
          <w:rFonts w:hint="eastAsia" w:ascii="宋体" w:hAnsi="宋体"/>
          <w:bCs/>
          <w:color w:val="000000"/>
          <w:sz w:val="24"/>
        </w:rPr>
        <w:t xml:space="preserve">14.3.5</w:t>
      </w:r>
      <w:r>
        <w:rPr>
          <w:rFonts w:hint="eastAsia" w:ascii="宋体" w:hAnsi="宋体" w:cs="宋体"/>
          <w:bCs/>
          <w:color w:val="000000"/>
          <w:sz w:val="24"/>
        </w:rPr>
        <w:t xml:space="preserve">《服务要求偏离表》、《商务条款偏离表》；</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14.3.6其他有关符合性证明的文件；</w:t>
      </w:r>
      <w:r/>
    </w:p>
    <w:p>
      <w:pPr>
        <w:pStyle w:val="899"/>
        <w:ind w:left="0" w:firstLine="482"/>
        <w:spacing w:after="0" w:line="360" w:lineRule="auto"/>
        <w:tabs>
          <w:tab w:val="left" w:pos="851" w:leader="none"/>
        </w:tabs>
        <w:rPr>
          <w:rFonts w:hint="eastAsia" w:ascii="宋体" w:hAnsi="宋体" w:cs="宋体"/>
          <w:b/>
          <w:color w:val="000000"/>
          <w:sz w:val="24"/>
        </w:rPr>
      </w:pPr>
      <w:r>
        <w:rPr>
          <w:rFonts w:hint="eastAsia" w:ascii="宋体" w:hAnsi="宋体"/>
          <w:b/>
          <w:color w:val="000000"/>
          <w:sz w:val="24"/>
        </w:rPr>
        <w:t xml:space="preserve">14.4综合评审文件：</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14.4.1质量控制制度及人事管理制度；</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14.4.2保密制度、企业财务制度及档案管理制度；</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14.4.3项目组织管理及人员岗位职责；</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14.4.4项目计划管理与进度保障措施；</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14.4.5项目实施工作要点、项目实施程序和流程；</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14.4.6项目风险防范与控制、企业服务优势；</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14.4.7项目组成员配备；</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14.4.8投标人类似业绩：</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14.4.9拟投入一级注册造价师、其他造价从业人员汇总一览表；</w:t>
      </w:r>
      <w:r/>
    </w:p>
    <w:p>
      <w:pPr>
        <w:ind w:firstLine="480"/>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14.4.10采购需求及评分标准中所涉及到的其他材料等；</w:t>
      </w:r>
      <w:r/>
    </w:p>
    <w:p>
      <w:pPr>
        <w:pStyle w:val="1071"/>
        <w:ind w:firstLine="480"/>
        <w:spacing w:after="0"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14.4.11与本次招标相关的证明材料。</w:t>
      </w:r>
      <w:r/>
    </w:p>
    <w:p>
      <w:pPr>
        <w:pStyle w:val="1194"/>
        <w:ind w:firstLine="43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注：</w:t>
      </w:r>
      <w:r/>
    </w:p>
    <w:p>
      <w:pPr>
        <w:pStyle w:val="1194"/>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（1）</w:t>
      </w:r>
      <w:r>
        <w:rPr>
          <w:rFonts w:hint="eastAsia" w:ascii="宋体" w:hAnsi="宋体" w:eastAsia="宋体" w:cs="宋体"/>
          <w:bCs/>
          <w:color w:val="000000"/>
          <w:sz w:val="24"/>
          <w:szCs w:val="24"/>
        </w:rPr>
        <w:t xml:space="preserve">投标文件由“14.1-14.</w:t>
      </w: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”款规定的内容共同组成，投标人必须提交上述</w:t>
      </w:r>
      <w:r>
        <w:rPr>
          <w:rFonts w:hint="eastAsia" w:ascii="宋体" w:hAnsi="宋体" w:eastAsia="宋体" w:cs="宋体"/>
          <w:b/>
          <w:color w:val="000000"/>
          <w:sz w:val="24"/>
          <w:szCs w:val="24"/>
        </w:rPr>
        <w:t xml:space="preserve">“14.1”、“14.2”“14.</w:t>
      </w:r>
      <w:r>
        <w:rPr>
          <w:rFonts w:hint="eastAsia" w:ascii="宋体" w:hAnsi="宋体" w:eastAsia="宋体" w:cs="宋体"/>
          <w:b/>
          <w:color w:val="000000"/>
          <w:sz w:val="24"/>
          <w:szCs w:val="24"/>
          <w:lang w:val="en-US"/>
        </w:rPr>
        <w:t xml:space="preserve">3</w:t>
      </w:r>
      <w:r>
        <w:rPr>
          <w:rFonts w:hint="eastAsia" w:ascii="宋体" w:hAnsi="宋体" w:eastAsia="宋体" w:cs="宋体"/>
          <w:b/>
          <w:color w:val="000000"/>
          <w:sz w:val="24"/>
          <w:szCs w:val="24"/>
        </w:rPr>
        <w:t xml:space="preserve">”款规定的资料，否则，投标文件将被视为未实质性响应招标要求。</w:t>
      </w:r>
      <w:r/>
    </w:p>
    <w:p>
      <w:pPr>
        <w:pStyle w:val="1194"/>
        <w:spacing w:after="0" w:line="360" w:lineRule="auto"/>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2</w:t>
      </w:r>
      <w:r>
        <w:rPr>
          <w:rFonts w:hint="eastAsia" w:ascii="宋体" w:hAnsi="宋体" w:eastAsia="宋体" w:cs="宋体"/>
          <w:bCs/>
          <w:color w:val="000000"/>
          <w:sz w:val="24"/>
          <w:szCs w:val="24"/>
        </w:rPr>
        <w:t xml:space="preserve">）开评标过程中如有问题</w:t>
      </w:r>
      <w:r>
        <w:rPr>
          <w:rFonts w:hint="eastAsia" w:ascii="宋体" w:hAnsi="宋体" w:eastAsia="宋体" w:cs="宋体"/>
          <w:bCs/>
          <w:color w:val="000000"/>
          <w:sz w:val="24"/>
          <w:szCs w:val="24"/>
          <w:lang w:eastAsia="zh-CN"/>
        </w:rPr>
        <w:t xml:space="preserve">招标代理机构</w:t>
      </w:r>
      <w:r>
        <w:rPr>
          <w:rFonts w:hint="eastAsia" w:ascii="宋体" w:hAnsi="宋体" w:eastAsia="宋体" w:cs="宋体"/>
          <w:bCs/>
          <w:color w:val="000000"/>
          <w:sz w:val="24"/>
          <w:szCs w:val="24"/>
        </w:rPr>
        <w:t xml:space="preserve">工作人员会及时通过《投标供应商确认函》留存的手机号与供应商联系。请供应商确保该手机号通讯畅通，否则导致的不利后果由供应商自行承担。</w:t>
      </w:r>
      <w:r/>
    </w:p>
    <w:p>
      <w:pPr>
        <w:ind w:firstLine="422"/>
        <w:spacing w:after="0" w:line="360" w:lineRule="auto"/>
        <w:rPr>
          <w:rFonts w:hint="eastAsia" w:ascii="宋体" w:hAnsi="宋体" w:cs="宋体"/>
          <w:bCs/>
          <w:color w:val="000000"/>
          <w:sz w:val="24"/>
        </w:rPr>
      </w:pPr>
      <w:r>
        <w:rPr>
          <w:rFonts w:hint="eastAsia" w:ascii="宋体" w:hAnsi="宋体" w:cs="宋体"/>
          <w:bCs/>
          <w:color w:val="000000"/>
          <w:sz w:val="24"/>
        </w:rPr>
        <w:t xml:space="preserve">15.投标文件编制要求</w:t>
      </w:r>
      <w:r/>
    </w:p>
    <w:p>
      <w:pPr>
        <w:pStyle w:val="1194"/>
        <w:ind w:firstLine="422"/>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rPr>
        <w:t xml:space="preserve">15.1</w:t>
      </w:r>
      <w:r>
        <w:rPr>
          <w:rFonts w:hint="eastAsia" w:ascii="宋体" w:hAnsi="宋体" w:eastAsia="宋体" w:cs="宋体"/>
          <w:b/>
          <w:color w:val="000000"/>
          <w:sz w:val="24"/>
          <w:szCs w:val="24"/>
        </w:rPr>
        <w:t xml:space="preserve">制作电子投标（响应）文件时请将相关资料上传至相应模块。投标人应保证上传的投标文件完整、清晰可辨认，若因上传资料过小或模糊不清等无法辨认的都视为该资料未提供。</w:t>
      </w:r>
      <w:r/>
    </w:p>
    <w:p>
      <w:pPr>
        <w:pStyle w:val="1194"/>
        <w:ind w:firstLine="422"/>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rPr>
        <w:t xml:space="preserve">15.2</w:t>
      </w:r>
      <w:r>
        <w:rPr>
          <w:rFonts w:hint="eastAsia" w:ascii="宋体" w:hAnsi="宋体" w:eastAsia="宋体" w:cs="宋体"/>
          <w:b/>
          <w:color w:val="000000"/>
          <w:sz w:val="24"/>
          <w:szCs w:val="24"/>
        </w:rPr>
        <w:t xml:space="preserve">投标人必须保证全部投标资料的真实性，如有虚假或对招标文件所要求说明的情况故意隐瞒或虚报，视为不实质性响应招标文件，投标无效。</w:t>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16.投标报价（编制）要求的说明</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rPr>
        <w:t xml:space="preserve">16.1除非合同中另有规定，投标人对《开标一览表》中的报价应</w:t>
      </w:r>
      <w:r>
        <w:rPr>
          <w:rFonts w:hint="eastAsia" w:ascii="宋体" w:hAnsi="宋体" w:cs="宋体"/>
          <w:color w:val="000000"/>
          <w:sz w:val="24"/>
        </w:rPr>
        <w:t xml:space="preserve">包括服务期内所有服务。</w:t>
      </w:r>
      <w:r>
        <w:rPr>
          <w:rFonts w:hint="eastAsia" w:ascii="宋体" w:hAnsi="宋体" w:cs="宋体"/>
          <w:bCs/>
          <w:color w:val="000000"/>
          <w:sz w:val="24"/>
        </w:rPr>
        <w:t xml:space="preserve">同时，除非合同条款中另有规定，否则，乙方所报价格在合同实施期间不因市场变化因素而变动。</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w:t>
      </w:r>
      <w:r>
        <w:rPr>
          <w:rFonts w:hint="eastAsia" w:ascii="宋体" w:hAnsi="宋体" w:eastAsia="宋体" w:cs="宋体"/>
          <w:bCs/>
          <w:color w:val="000000"/>
          <w:sz w:val="24"/>
          <w:szCs w:val="24"/>
          <w:lang w:val="en-US"/>
        </w:rPr>
        <w:t xml:space="preserve">2</w:t>
      </w:r>
      <w:r>
        <w:rPr>
          <w:rFonts w:hint="eastAsia" w:ascii="宋体" w:hAnsi="宋体" w:eastAsia="宋体" w:cs="宋体"/>
          <w:bCs/>
          <w:color w:val="000000"/>
          <w:sz w:val="24"/>
          <w:szCs w:val="24"/>
        </w:rPr>
        <w:t xml:space="preserve">投标人应对招标文件内所要采购的全部内容进行报价，只投其中部分内容者，其标书将被拒绝（如为多标段项目，则上述提到的全部内容是指所投标段对应采购的全部内容）。</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w:t>
      </w:r>
      <w:r>
        <w:rPr>
          <w:rFonts w:hint="eastAsia" w:ascii="宋体" w:hAnsi="宋体" w:eastAsia="宋体" w:cs="宋体"/>
          <w:bCs/>
          <w:color w:val="000000"/>
          <w:sz w:val="24"/>
          <w:szCs w:val="24"/>
          <w:lang w:val="en-US"/>
        </w:rPr>
        <w:t xml:space="preserve">3</w:t>
      </w:r>
      <w:r>
        <w:rPr>
          <w:rFonts w:hint="eastAsia" w:ascii="宋体" w:hAnsi="宋体" w:eastAsia="宋体" w:cs="宋体"/>
          <w:bCs/>
          <w:color w:val="000000"/>
          <w:sz w:val="24"/>
          <w:szCs w:val="24"/>
        </w:rPr>
        <w:t xml:space="preserve">一项投标内容只允许一个报价，招标人不接受任何有选择性的投标报价。</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w:t>
      </w: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投标文件报价采用人民币表示，除非合同的特殊条款另有规定。</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w:t>
      </w:r>
      <w:r>
        <w:rPr>
          <w:rFonts w:hint="eastAsia" w:ascii="宋体" w:hAnsi="宋体" w:eastAsia="宋体" w:cs="宋体"/>
          <w:bCs/>
          <w:color w:val="000000"/>
          <w:sz w:val="24"/>
          <w:szCs w:val="24"/>
          <w:lang w:val="en-US"/>
        </w:rPr>
        <w:t xml:space="preserve">5</w:t>
      </w:r>
      <w:r>
        <w:rPr>
          <w:rFonts w:hint="eastAsia" w:ascii="宋体" w:hAnsi="宋体" w:eastAsia="宋体" w:cs="宋体"/>
          <w:bCs/>
          <w:color w:val="000000"/>
          <w:sz w:val="24"/>
          <w:szCs w:val="24"/>
        </w:rPr>
        <w:t xml:space="preserve">最低的报价或最高的</w:t>
      </w:r>
      <w:r>
        <w:rPr>
          <w:rFonts w:hint="eastAsia" w:ascii="宋体" w:hAnsi="宋体" w:eastAsia="宋体" w:cs="宋体"/>
          <w:bCs/>
          <w:color w:val="000000"/>
          <w:sz w:val="24"/>
          <w:szCs w:val="24"/>
          <w:lang w:val="en-US"/>
        </w:rPr>
        <w:t xml:space="preserve">优惠比例</w:t>
      </w:r>
      <w:r>
        <w:rPr>
          <w:rFonts w:hint="eastAsia" w:ascii="宋体" w:hAnsi="宋体" w:eastAsia="宋体" w:cs="宋体"/>
          <w:bCs/>
          <w:color w:val="000000"/>
          <w:sz w:val="24"/>
          <w:szCs w:val="24"/>
        </w:rPr>
        <w:t xml:space="preserve">不能作为中标的保证。</w:t>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17.投标保证金：</w:t>
      </w:r>
      <w:r>
        <w:rPr>
          <w:rFonts w:hint="eastAsia" w:ascii="宋体" w:hAnsi="宋体" w:eastAsia="宋体" w:cs="宋体"/>
          <w:bCs/>
          <w:color w:val="000000"/>
          <w:sz w:val="24"/>
          <w:szCs w:val="24"/>
          <w:lang w:val="en-US"/>
        </w:rPr>
        <w:t xml:space="preserve">本项目不收取投标保证金。</w:t>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18.投标文件的有效期</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18.1</w:t>
      </w:r>
      <w:bookmarkStart w:id="14" w:name="OLE_LINK3"/>
      <w:r>
        <w:rPr>
          <w:rFonts w:hint="eastAsia" w:ascii="宋体" w:hAnsi="宋体" w:eastAsia="宋体" w:cs="宋体"/>
          <w:bCs/>
          <w:color w:val="000000"/>
          <w:sz w:val="24"/>
          <w:szCs w:val="24"/>
        </w:rPr>
        <w:t xml:space="preserve">自提交投标文件截止之日起90天内，投标文件中承诺的投标有效期应当不少于招标文件中载明的投标有效期。</w:t>
      </w:r>
      <w:bookmarkEnd w:id="14"/>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18.2在特殊情况下，</w:t>
      </w:r>
      <w:r>
        <w:rPr>
          <w:rFonts w:hint="eastAsia" w:ascii="宋体" w:hAnsi="宋体" w:eastAsia="宋体" w:cs="宋体"/>
          <w:bCs/>
          <w:color w:val="000000"/>
          <w:sz w:val="24"/>
          <w:szCs w:val="24"/>
          <w:lang w:eastAsia="zh-CN"/>
        </w:rPr>
        <w:t xml:space="preserve">招标人</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招标代理机构</w:t>
      </w:r>
      <w:r>
        <w:rPr>
          <w:rFonts w:hint="eastAsia" w:ascii="宋体" w:hAnsi="宋体" w:eastAsia="宋体" w:cs="宋体"/>
          <w:bCs/>
          <w:color w:val="000000"/>
          <w:sz w:val="24"/>
          <w:szCs w:val="24"/>
        </w:rPr>
        <w:t xml:space="preserve">可与投标人协商延长投标书的有效期。这种要求和答复都应以书面形式进行。同意延长有效期的投标人不能修改投标文件。</w:t>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19.投标文件的制作、签署</w:t>
      </w:r>
      <w:r/>
    </w:p>
    <w:p>
      <w:pPr>
        <w:pStyle w:val="1194"/>
        <w:ind w:firstLine="420"/>
        <w:spacing w:after="0" w:line="360" w:lineRule="auto"/>
        <w:rPr>
          <w:rFonts w:hint="eastAsia" w:ascii="宋体" w:hAnsi="宋体" w:eastAsia="宋体" w:cs="宋体"/>
          <w:bCs/>
          <w:color w:val="000000"/>
          <w:sz w:val="24"/>
          <w:szCs w:val="24"/>
        </w:rPr>
      </w:pPr>
      <w:r/>
      <w:bookmarkStart w:id="15" w:name="_Toc25608"/>
      <w:r/>
      <w:bookmarkStart w:id="16" w:name="_Toc31150"/>
      <w:r>
        <w:rPr>
          <w:rFonts w:hint="eastAsia" w:ascii="宋体" w:hAnsi="宋体" w:eastAsia="宋体" w:cs="宋体"/>
          <w:bCs/>
          <w:color w:val="000000"/>
          <w:sz w:val="24"/>
          <w:szCs w:val="24"/>
        </w:rPr>
        <w:t xml:space="preserve">19.1本项目采用电子招投标形式，请供应商按照《苏采云系统供应商操作手册》进行制作、上传电子投标文件。</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19.2制作电子投标文件时，应按照招标文件要求加盖投标人电子公章。</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注：（1）</w:t>
      </w:r>
      <w:bookmarkStart w:id="17" w:name="_Hlk158135212"/>
      <w:r>
        <w:rPr>
          <w:rFonts w:hint="eastAsia" w:ascii="宋体" w:hAnsi="宋体" w:eastAsia="宋体" w:cs="宋体"/>
          <w:bCs/>
          <w:color w:val="000000"/>
          <w:sz w:val="24"/>
          <w:szCs w:val="24"/>
        </w:rPr>
        <w:t xml:space="preserve">如投标文件制作机器码信息一致，视为不同投标供应商使用同一台电脑编制投标文件，投标无效。</w:t>
      </w:r>
      <w:bookmarkEnd w:id="17"/>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2</w:t>
      </w:r>
      <w:r>
        <w:rPr>
          <w:rFonts w:hint="eastAsia" w:ascii="宋体" w:hAnsi="宋体" w:eastAsia="宋体" w:cs="宋体"/>
          <w:bCs/>
          <w:color w:val="000000"/>
          <w:sz w:val="24"/>
          <w:szCs w:val="24"/>
        </w:rPr>
        <w:t xml:space="preserve">）请投标人务必保管好编制递交电子投标（响应）文件时使用的CA，如因丢失、损坏等原因更换CA锁时，需重新制作电子投标（响应）文件并递交，否则可能无法解密，因此导致的响应失败等不利后果由投标人自行承担。</w:t>
      </w:r>
      <w:bookmarkEnd w:id="15"/>
      <w:r/>
      <w:bookmarkEnd w:id="16"/>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五、</w:t>
      </w:r>
      <w:r>
        <w:rPr>
          <w:rFonts w:hint="eastAsia" w:ascii="宋体" w:hAnsi="宋体" w:eastAsia="宋体" w:cs="宋体"/>
          <w:bCs/>
          <w:color w:val="000000"/>
          <w:sz w:val="24"/>
          <w:szCs w:val="24"/>
        </w:rPr>
        <w:t xml:space="preserve">投标文件的递交、补充、修改和撤回</w:t>
      </w:r>
      <w:r/>
    </w:p>
    <w:p>
      <w:pPr>
        <w:pStyle w:val="1194"/>
        <w:ind w:firstLine="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    20.</w:t>
      </w:r>
      <w:r>
        <w:rPr>
          <w:rFonts w:hint="eastAsia" w:ascii="宋体" w:hAnsi="宋体" w:eastAsia="宋体" w:cs="宋体"/>
          <w:bCs/>
          <w:color w:val="000000"/>
          <w:sz w:val="24"/>
          <w:szCs w:val="24"/>
        </w:rPr>
        <w:t xml:space="preserve">投标文件的递交（</w:t>
      </w:r>
      <w:r>
        <w:rPr>
          <w:rFonts w:hint="eastAsia" w:ascii="宋体" w:hAnsi="宋体" w:eastAsia="宋体" w:cs="宋体"/>
          <w:bCs/>
          <w:color w:val="000000"/>
          <w:sz w:val="24"/>
          <w:szCs w:val="24"/>
          <w:lang w:val="en-US"/>
        </w:rPr>
        <w:t xml:space="preserve">上传</w:t>
      </w:r>
      <w:r>
        <w:rPr>
          <w:rFonts w:hint="eastAsia" w:ascii="宋体" w:hAnsi="宋体" w:eastAsia="宋体" w:cs="宋体"/>
          <w:bCs/>
          <w:color w:val="000000"/>
          <w:sz w:val="24"/>
          <w:szCs w:val="24"/>
        </w:rPr>
        <w:t xml:space="preserve">）</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20.1</w:t>
      </w:r>
      <w:r>
        <w:rPr>
          <w:rFonts w:hint="eastAsia" w:ascii="宋体" w:hAnsi="宋体" w:eastAsia="宋体" w:cs="宋体"/>
          <w:bCs/>
          <w:color w:val="000000"/>
          <w:sz w:val="24"/>
          <w:szCs w:val="24"/>
        </w:rPr>
        <w:t xml:space="preserve">投标人应当在在投标截止时间前制作并上传电子投标文件。</w:t>
      </w:r>
      <w:r/>
    </w:p>
    <w:p>
      <w:pPr>
        <w:pStyle w:val="1071"/>
        <w:spacing w:after="0" w:line="360" w:lineRule="auto"/>
        <w:rPr>
          <w:rFonts w:hint="eastAsia" w:ascii="宋体" w:hAnsi="宋体" w:eastAsia="宋体"/>
          <w:bCs/>
          <w:color w:val="000000"/>
          <w:szCs w:val="24"/>
        </w:rPr>
      </w:pPr>
      <w:r>
        <w:rPr>
          <w:rFonts w:hint="eastAsia" w:ascii="宋体" w:hAnsi="宋体" w:eastAsia="宋体" w:cs="宋体"/>
          <w:bCs/>
          <w:color w:val="000000"/>
          <w:szCs w:val="24"/>
        </w:rPr>
        <w:t xml:space="preserve">20.2投标人通过“苏采云”系统不见面开标大厅在线参与开标活动。（具体操作详见《苏采云系统供应商操作手册》，网址链接https://czju.suzhou.gov.cn/zfcg/html/content/20231220161910031.shtml）</w:t>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21.投标截止时间</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21.1投标人应当在招标文件要求投标文件网上提交截止时间前，将投标文件完成提交（上传）。逾期提交（上传）的投标文件，</w:t>
      </w:r>
      <w:r>
        <w:rPr>
          <w:rFonts w:hint="eastAsia" w:ascii="宋体" w:hAnsi="宋体" w:eastAsia="宋体" w:cs="宋体"/>
          <w:bCs/>
          <w:color w:val="000000"/>
          <w:sz w:val="24"/>
          <w:szCs w:val="24"/>
          <w:lang w:eastAsia="zh-CN"/>
        </w:rPr>
        <w:t xml:space="preserve">招标人</w:t>
      </w:r>
      <w:r>
        <w:rPr>
          <w:rFonts w:hint="eastAsia" w:ascii="宋体" w:hAnsi="宋体" w:eastAsia="宋体" w:cs="宋体"/>
          <w:bCs/>
          <w:color w:val="000000"/>
          <w:sz w:val="24"/>
          <w:szCs w:val="24"/>
        </w:rPr>
        <w:t xml:space="preserve">和</w:t>
      </w:r>
      <w:r>
        <w:rPr>
          <w:rFonts w:hint="eastAsia" w:ascii="宋体" w:hAnsi="宋体" w:eastAsia="宋体" w:cs="宋体"/>
          <w:bCs/>
          <w:color w:val="000000"/>
          <w:sz w:val="24"/>
          <w:szCs w:val="24"/>
          <w:lang w:eastAsia="zh-CN"/>
        </w:rPr>
        <w:t xml:space="preserve">招标代理机构</w:t>
      </w:r>
      <w:r>
        <w:rPr>
          <w:rFonts w:hint="eastAsia" w:ascii="宋体" w:hAnsi="宋体" w:eastAsia="宋体" w:cs="宋体"/>
          <w:bCs/>
          <w:color w:val="000000"/>
          <w:sz w:val="24"/>
          <w:szCs w:val="24"/>
        </w:rPr>
        <w:t xml:space="preserve">拒绝接收。</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21.2</w:t>
      </w:r>
      <w:r>
        <w:rPr>
          <w:rFonts w:hint="eastAsia" w:ascii="宋体" w:hAnsi="宋体" w:eastAsia="宋体" w:cs="宋体"/>
          <w:bCs/>
          <w:color w:val="000000"/>
          <w:sz w:val="24"/>
          <w:szCs w:val="24"/>
          <w:lang w:eastAsia="zh-CN"/>
        </w:rPr>
        <w:t xml:space="preserve">招标人</w:t>
      </w:r>
      <w:r>
        <w:rPr>
          <w:rFonts w:hint="eastAsia" w:ascii="宋体" w:hAnsi="宋体" w:eastAsia="宋体" w:cs="宋体"/>
          <w:bCs/>
          <w:color w:val="000000"/>
          <w:sz w:val="24"/>
          <w:szCs w:val="24"/>
        </w:rPr>
        <w:t xml:space="preserve">和</w:t>
      </w:r>
      <w:r>
        <w:rPr>
          <w:rFonts w:hint="eastAsia" w:ascii="宋体" w:hAnsi="宋体" w:eastAsia="宋体" w:cs="宋体"/>
          <w:bCs/>
          <w:color w:val="000000"/>
          <w:sz w:val="24"/>
          <w:szCs w:val="24"/>
          <w:lang w:eastAsia="zh-CN"/>
        </w:rPr>
        <w:t xml:space="preserve">招标代理机构</w:t>
      </w:r>
      <w:r>
        <w:rPr>
          <w:rFonts w:hint="eastAsia" w:ascii="宋体" w:hAnsi="宋体" w:eastAsia="宋体" w:cs="宋体"/>
          <w:bCs/>
          <w:color w:val="000000"/>
          <w:sz w:val="24"/>
          <w:szCs w:val="24"/>
        </w:rPr>
        <w:t xml:space="preserve">推迟投标截止时间时，将按本须知规定的更正公告的方式对外发布。在这种情况下，</w:t>
      </w:r>
      <w:r>
        <w:rPr>
          <w:rFonts w:hint="eastAsia" w:ascii="宋体" w:hAnsi="宋体" w:eastAsia="宋体" w:cs="宋体"/>
          <w:bCs/>
          <w:color w:val="000000"/>
          <w:sz w:val="24"/>
          <w:szCs w:val="24"/>
          <w:lang w:eastAsia="zh-CN"/>
        </w:rPr>
        <w:t xml:space="preserve">招标人</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招标代理机构</w:t>
      </w:r>
      <w:r>
        <w:rPr>
          <w:rFonts w:hint="eastAsia" w:ascii="宋体" w:hAnsi="宋体" w:eastAsia="宋体" w:cs="宋体"/>
          <w:bCs/>
          <w:color w:val="000000"/>
          <w:sz w:val="24"/>
          <w:szCs w:val="24"/>
        </w:rPr>
        <w:t xml:space="preserve">和投标人的权利和义务将受到新的截止期的约束。</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21.3在投标截止时间止成功解密的</w:t>
      </w:r>
      <w:r>
        <w:rPr>
          <w:rFonts w:hint="eastAsia" w:ascii="宋体" w:hAnsi="宋体" w:eastAsia="宋体" w:cs="宋体"/>
          <w:b/>
          <w:color w:val="000000"/>
          <w:sz w:val="24"/>
          <w:szCs w:val="24"/>
          <w:lang w:val="en-US"/>
        </w:rPr>
        <w:t xml:space="preserve">各标段</w:t>
      </w:r>
      <w:r>
        <w:rPr>
          <w:rFonts w:hint="eastAsia" w:ascii="宋体" w:hAnsi="宋体" w:eastAsia="宋体" w:cs="宋体"/>
          <w:b/>
          <w:color w:val="000000"/>
          <w:sz w:val="24"/>
          <w:szCs w:val="24"/>
        </w:rPr>
        <w:t xml:space="preserve">投标文件少于三份，</w:t>
      </w:r>
      <w:r>
        <w:rPr>
          <w:rFonts w:hint="eastAsia" w:ascii="宋体" w:hAnsi="宋体" w:eastAsia="宋体" w:cs="宋体"/>
          <w:b/>
          <w:color w:val="000000"/>
          <w:sz w:val="24"/>
          <w:szCs w:val="24"/>
          <w:lang w:eastAsia="zh-CN"/>
        </w:rPr>
        <w:t xml:space="preserve">招标代理机构</w:t>
      </w:r>
      <w:r>
        <w:rPr>
          <w:rFonts w:hint="eastAsia" w:ascii="宋体" w:hAnsi="宋体" w:eastAsia="宋体" w:cs="宋体"/>
          <w:b/>
          <w:color w:val="000000"/>
          <w:sz w:val="24"/>
          <w:szCs w:val="24"/>
        </w:rPr>
        <w:t xml:space="preserve">有权宣布本次招标失败。</w:t>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22.投标文件的补充、修改和撤回</w:t>
      </w:r>
      <w:r/>
    </w:p>
    <w:p>
      <w:pPr>
        <w:pStyle w:val="1194"/>
        <w:ind w:firstLine="420"/>
        <w:spacing w:after="0" w:line="360" w:lineRule="auto"/>
        <w:rPr>
          <w:rFonts w:hint="eastAsia" w:ascii="宋体" w:hAnsi="宋体" w:eastAsia="宋体" w:cs="宋体"/>
          <w:b/>
          <w:color w:val="000000"/>
          <w:sz w:val="24"/>
          <w:szCs w:val="24"/>
        </w:rPr>
      </w:pPr>
      <w:r/>
      <w:bookmarkStart w:id="18" w:name="_Toc22837"/>
      <w:r/>
      <w:bookmarkStart w:id="19" w:name="_Toc29371"/>
      <w:r>
        <w:rPr>
          <w:rFonts w:hint="eastAsia" w:ascii="宋体" w:hAnsi="宋体" w:eastAsia="宋体" w:cs="宋体"/>
          <w:bCs/>
          <w:color w:val="000000"/>
          <w:sz w:val="24"/>
          <w:szCs w:val="24"/>
        </w:rPr>
        <w:t xml:space="preserve">22.1投标人在投标文件网上提交截止时间前，可以对其电子投标文件进行补充、修改，具体操作方法见《苏采云系统供应商操作手册》。</w:t>
      </w:r>
      <w:r>
        <w:rPr>
          <w:rFonts w:hint="eastAsia" w:ascii="宋体" w:hAnsi="宋体" w:eastAsia="宋体" w:cs="宋体"/>
          <w:b/>
          <w:color w:val="000000"/>
          <w:sz w:val="24"/>
          <w:szCs w:val="24"/>
        </w:rPr>
        <w:t xml:space="preserve">在投标文件网上提交截止时间之后，投标人不得对其电子投标文件作任何修改。</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22.2投标人在投标文件网上提交截止时间前，可以撤回其电子投标文件，具体操作方法见《苏采云系统供应商操作手册》。投标人撤回电子投标文件，则认为其不再参与本项目投标活动。</w:t>
      </w:r>
      <w:r>
        <w:rPr>
          <w:rFonts w:hint="eastAsia" w:ascii="宋体" w:hAnsi="宋体" w:eastAsia="宋体" w:cs="宋体"/>
          <w:b/>
          <w:color w:val="000000"/>
          <w:sz w:val="24"/>
          <w:szCs w:val="24"/>
        </w:rPr>
        <w:t xml:space="preserve">在投标截止时间至招标文件中规定的投标有效期满之间的这段时间内，投标人不得撤回其投标。</w:t>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六、开标和评标</w:t>
      </w:r>
      <w:bookmarkEnd w:id="18"/>
      <w:r/>
      <w:bookmarkEnd w:id="19"/>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23.开标</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23.1开标由</w:t>
      </w:r>
      <w:r>
        <w:rPr>
          <w:rFonts w:hint="eastAsia" w:ascii="宋体" w:hAnsi="宋体" w:eastAsia="宋体" w:cs="宋体"/>
          <w:bCs/>
          <w:color w:val="000000"/>
          <w:sz w:val="24"/>
          <w:szCs w:val="24"/>
          <w:lang w:eastAsia="zh-CN"/>
        </w:rPr>
        <w:t xml:space="preserve">招标代理机构</w:t>
      </w:r>
      <w:r>
        <w:rPr>
          <w:rFonts w:hint="eastAsia" w:ascii="宋体" w:hAnsi="宋体" w:eastAsia="宋体" w:cs="宋体"/>
          <w:bCs/>
          <w:color w:val="000000"/>
          <w:sz w:val="24"/>
          <w:szCs w:val="24"/>
          <w:lang w:val="en-US"/>
        </w:rPr>
        <w:t xml:space="preserve">在线</w:t>
      </w:r>
      <w:r>
        <w:rPr>
          <w:rFonts w:hint="eastAsia" w:ascii="宋体" w:hAnsi="宋体" w:eastAsia="宋体" w:cs="宋体"/>
          <w:bCs/>
          <w:color w:val="000000"/>
          <w:sz w:val="24"/>
          <w:szCs w:val="24"/>
        </w:rPr>
        <w:t xml:space="preserve">主持，邀请投标人</w:t>
      </w:r>
      <w:r>
        <w:rPr>
          <w:rFonts w:hint="eastAsia" w:ascii="宋体" w:hAnsi="宋体" w:eastAsia="宋体" w:cs="宋体"/>
          <w:bCs/>
          <w:color w:val="000000"/>
          <w:sz w:val="24"/>
          <w:szCs w:val="24"/>
          <w:lang w:val="en-US"/>
        </w:rPr>
        <w:t xml:space="preserve">在线</w:t>
      </w:r>
      <w:r>
        <w:rPr>
          <w:rFonts w:hint="eastAsia" w:ascii="宋体" w:hAnsi="宋体" w:eastAsia="宋体" w:cs="宋体"/>
          <w:bCs/>
          <w:color w:val="000000"/>
          <w:sz w:val="24"/>
          <w:szCs w:val="24"/>
        </w:rPr>
        <w:t xml:space="preserve">参加。投标人应当按照《苏采云系统供应商操作手册》规定，参加开标活动和在“苏采云”系统规定的时间内对投标文件进行解密。评标委员会成员不得参加开标活动。</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23.2</w:t>
      </w:r>
      <w:bookmarkStart w:id="20" w:name="_Hlk158135325"/>
      <w:r/>
      <w:bookmarkStart w:id="21" w:name="_Hlk90652960"/>
      <w:r>
        <w:rPr>
          <w:rFonts w:hint="eastAsia" w:ascii="宋体" w:hAnsi="宋体" w:eastAsia="宋体" w:cs="宋体"/>
          <w:bCs/>
          <w:color w:val="000000"/>
          <w:sz w:val="24"/>
          <w:szCs w:val="24"/>
        </w:rPr>
        <w:t xml:space="preserve">本项目为不见面开标（开启）项目，开标阶段供应商在【解密环节】必须使用 CA证书解密电子投标（响应）文件，请供应商确保电脑、系统及其他设备（视频输入输出设备等）无误，且开启直至项目结束始终保持系统在线状态</w:t>
      </w:r>
      <w:bookmarkEnd w:id="20"/>
      <w:r>
        <w:rPr>
          <w:rFonts w:hint="eastAsia" w:ascii="宋体" w:hAnsi="宋体" w:eastAsia="宋体" w:cs="宋体"/>
          <w:bCs/>
          <w:color w:val="000000"/>
          <w:sz w:val="24"/>
          <w:szCs w:val="24"/>
        </w:rPr>
        <w:t xml:space="preserve">。</w:t>
      </w:r>
      <w:bookmarkEnd w:id="21"/>
      <w:r/>
      <w:r/>
    </w:p>
    <w:p>
      <w:pPr>
        <w:pStyle w:val="1194"/>
        <w:ind w:firstLine="420"/>
        <w:spacing w:after="0" w:line="360" w:lineRule="auto"/>
        <w:rPr>
          <w:rFonts w:hint="eastAsia" w:ascii="宋体" w:hAnsi="宋体" w:eastAsia="宋体" w:cs="宋体"/>
          <w:bCs/>
          <w:color w:val="000000"/>
          <w:sz w:val="24"/>
          <w:szCs w:val="24"/>
        </w:rPr>
      </w:pPr>
      <w:r/>
      <w:bookmarkStart w:id="22" w:name="_Hlk158135390"/>
      <w:r>
        <w:rPr>
          <w:rFonts w:hint="eastAsia" w:ascii="宋体" w:hAnsi="宋体" w:eastAsia="宋体" w:cs="宋体"/>
          <w:bCs/>
          <w:color w:val="000000"/>
          <w:sz w:val="24"/>
          <w:szCs w:val="24"/>
          <w:lang w:val="en-US"/>
        </w:rPr>
        <w:t xml:space="preserve">23.3</w:t>
      </w:r>
      <w:r>
        <w:rPr>
          <w:rFonts w:hint="eastAsia" w:ascii="宋体" w:hAnsi="宋体" w:eastAsia="宋体" w:cs="宋体"/>
          <w:bCs/>
          <w:color w:val="000000"/>
          <w:sz w:val="24"/>
          <w:szCs w:val="24"/>
        </w:rPr>
        <w:t xml:space="preserve">开标时，投标人对开标过程和开标记录有疑义，以及认为</w:t>
      </w:r>
      <w:r>
        <w:rPr>
          <w:rFonts w:hint="eastAsia" w:ascii="宋体" w:hAnsi="宋体" w:eastAsia="宋体" w:cs="宋体"/>
          <w:bCs/>
          <w:color w:val="000000"/>
          <w:sz w:val="24"/>
          <w:szCs w:val="24"/>
          <w:lang w:eastAsia="zh-CN"/>
        </w:rPr>
        <w:t xml:space="preserve">招标人</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招标代理机构</w:t>
      </w:r>
      <w:r>
        <w:rPr>
          <w:rFonts w:hint="eastAsia" w:ascii="宋体" w:hAnsi="宋体" w:eastAsia="宋体" w:cs="宋体"/>
          <w:bCs/>
          <w:color w:val="000000"/>
          <w:sz w:val="24"/>
          <w:szCs w:val="24"/>
        </w:rPr>
        <w:t xml:space="preserve">相关工作人员有需要回避的情形的，应当场通过不见面开标系统的“留言板”栏目提出询问或者回避申请。</w:t>
      </w:r>
      <w:r>
        <w:rPr>
          <w:rFonts w:hint="eastAsia" w:ascii="宋体" w:hAnsi="宋体" w:eastAsia="宋体" w:cs="宋体"/>
          <w:bCs/>
          <w:color w:val="000000"/>
          <w:sz w:val="24"/>
          <w:szCs w:val="24"/>
          <w:lang w:eastAsia="zh-CN"/>
        </w:rPr>
        <w:t xml:space="preserve">招标人</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招标代理机构</w:t>
      </w:r>
      <w:r>
        <w:rPr>
          <w:rFonts w:hint="eastAsia" w:ascii="宋体" w:hAnsi="宋体" w:eastAsia="宋体" w:cs="宋体"/>
          <w:bCs/>
          <w:color w:val="000000"/>
          <w:sz w:val="24"/>
          <w:szCs w:val="24"/>
        </w:rPr>
        <w:t xml:space="preserve">对投标人代表提出的询问或者回避申请应当及时处理。为了保证开标秩序，请不要在互动交流中发表与开标无关的言论。开标中出现异常情况时，将通过“公告栏”栏目发布相关信息，请投标人及时关注。</w:t>
      </w:r>
      <w:bookmarkEnd w:id="22"/>
      <w:r/>
      <w:r/>
    </w:p>
    <w:p>
      <w:pPr>
        <w:pStyle w:val="1194"/>
        <w:ind w:firstLine="420"/>
        <w:spacing w:after="0" w:line="360" w:lineRule="auto"/>
        <w:rPr>
          <w:rFonts w:hint="eastAsia" w:ascii="宋体" w:hAnsi="宋体" w:eastAsia="宋体" w:cs="宋体"/>
          <w:bCs/>
          <w:color w:val="000000"/>
          <w:sz w:val="24"/>
          <w:szCs w:val="24"/>
        </w:rPr>
      </w:pPr>
      <w:r/>
      <w:bookmarkStart w:id="23" w:name="_Hlk90653120"/>
      <w:r/>
      <w:bookmarkStart w:id="24" w:name="_Hlk158135404"/>
      <w:r>
        <w:rPr>
          <w:rFonts w:hint="eastAsia" w:ascii="宋体" w:hAnsi="宋体" w:eastAsia="宋体" w:cs="宋体"/>
          <w:bCs/>
          <w:color w:val="000000"/>
          <w:sz w:val="24"/>
          <w:szCs w:val="24"/>
          <w:lang w:val="en-US"/>
        </w:rPr>
        <w:t xml:space="preserve">23.4</w:t>
      </w:r>
      <w:r>
        <w:rPr>
          <w:rFonts w:hint="eastAsia" w:ascii="宋体" w:hAnsi="宋体" w:eastAsia="宋体" w:cs="宋体"/>
          <w:bCs/>
          <w:color w:val="000000"/>
          <w:sz w:val="24"/>
          <w:szCs w:val="24"/>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23"/>
      <w:r/>
      <w:bookmarkEnd w:id="24"/>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23.5</w:t>
      </w:r>
      <w:r>
        <w:rPr>
          <w:rFonts w:hint="eastAsia" w:ascii="宋体" w:hAnsi="宋体" w:eastAsia="宋体" w:cs="宋体"/>
          <w:bCs/>
          <w:color w:val="000000"/>
          <w:sz w:val="24"/>
          <w:szCs w:val="24"/>
        </w:rPr>
        <w:t xml:space="preserve">投标人在“苏采云”系统规定的时间内未成功解密电子投标文件的，投标无效。</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23.3资格审查</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23.3.1</w:t>
      </w:r>
      <w:r>
        <w:rPr>
          <w:rFonts w:hint="eastAsia" w:ascii="宋体" w:hAnsi="宋体" w:eastAsia="宋体" w:cs="宋体"/>
          <w:b/>
          <w:color w:val="000000"/>
          <w:sz w:val="24"/>
          <w:szCs w:val="24"/>
        </w:rPr>
        <w:t xml:space="preserve">公开招标采购项目开标结束后，</w:t>
      </w:r>
      <w:r>
        <w:rPr>
          <w:rFonts w:hint="eastAsia" w:ascii="宋体" w:hAnsi="宋体" w:eastAsia="宋体" w:cs="宋体"/>
          <w:b/>
          <w:color w:val="000000"/>
          <w:sz w:val="24"/>
          <w:szCs w:val="24"/>
          <w:lang w:eastAsia="zh-CN"/>
        </w:rPr>
        <w:t xml:space="preserve">招标人</w:t>
      </w:r>
      <w:r>
        <w:rPr>
          <w:rFonts w:hint="eastAsia" w:ascii="宋体" w:hAnsi="宋体" w:eastAsia="宋体" w:cs="宋体"/>
          <w:b/>
          <w:color w:val="000000"/>
          <w:sz w:val="24"/>
          <w:szCs w:val="24"/>
        </w:rPr>
        <w:t xml:space="preserve">应当依法对投标人的资格进行审查，未通过资格审查的视为无效投标。</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23.3.2根据政府采购法及相关法规，以及苏州市财政局《关于印发苏州市市级政府采购信用记录查询和使用工作试行办法的通知》（苏财购（2017）11号）文件的规定，</w:t>
      </w:r>
      <w:r>
        <w:rPr>
          <w:rFonts w:hint="eastAsia" w:ascii="宋体" w:hAnsi="宋体" w:eastAsia="宋体" w:cs="宋体"/>
          <w:bCs/>
          <w:color w:val="000000"/>
          <w:sz w:val="24"/>
          <w:szCs w:val="24"/>
          <w:lang w:eastAsia="zh-CN"/>
        </w:rPr>
        <w:t xml:space="preserve">招标代理机构</w:t>
      </w:r>
      <w:r>
        <w:rPr>
          <w:rFonts w:hint="eastAsia" w:ascii="宋体" w:hAnsi="宋体" w:eastAsia="宋体" w:cs="宋体"/>
          <w:bCs/>
          <w:color w:val="000000"/>
          <w:sz w:val="24"/>
          <w:szCs w:val="24"/>
        </w:rPr>
        <w:t xml:space="preserve">将对供应商进行信用查询：</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23.3.2.1查询时间：投标文件递交截止时间。</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23.3.2.2查询渠道：</w:t>
      </w:r>
      <w:r>
        <w:rPr>
          <w:rFonts w:hint="eastAsia" w:ascii="宋体" w:hAnsi="宋体" w:eastAsia="宋体" w:cs="宋体"/>
          <w:bCs/>
          <w:color w:val="000000"/>
          <w:sz w:val="24"/>
          <w:szCs w:val="24"/>
          <w:lang w:eastAsia="zh-CN"/>
        </w:rPr>
        <w:t xml:space="preserve">招标代理机构</w:t>
      </w:r>
      <w:r>
        <w:rPr>
          <w:rFonts w:hint="eastAsia" w:ascii="宋体" w:hAnsi="宋体" w:eastAsia="宋体" w:cs="宋体"/>
          <w:bCs/>
          <w:color w:val="000000"/>
          <w:sz w:val="24"/>
          <w:szCs w:val="24"/>
        </w:rPr>
        <w:t xml:space="preserve">会在接收投标文件截止时间后，查询供应商的信用记录，并将查询结果递交评标委员会。</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23.3.2.3查询证据留存方式：</w:t>
      </w:r>
      <w:r>
        <w:rPr>
          <w:rFonts w:hint="eastAsia" w:ascii="宋体" w:hAnsi="宋体" w:eastAsia="宋体" w:cs="宋体"/>
          <w:bCs/>
          <w:color w:val="000000"/>
          <w:sz w:val="24"/>
          <w:szCs w:val="24"/>
          <w:lang w:eastAsia="zh-CN"/>
        </w:rPr>
        <w:t xml:space="preserve">招标人</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招标代理机构</w:t>
      </w:r>
      <w:r>
        <w:rPr>
          <w:rFonts w:hint="eastAsia" w:ascii="宋体" w:hAnsi="宋体" w:eastAsia="宋体" w:cs="宋体"/>
          <w:bCs/>
          <w:color w:val="000000"/>
          <w:sz w:val="24"/>
          <w:szCs w:val="24"/>
        </w:rPr>
        <w:t xml:space="preserve">工作人员等应按照相关管理办法查询相关主体的信用记录，并保存好相关证据材料，信用查询记录及相关证据应当归入采购档案妥善保管。</w:t>
      </w:r>
      <w:r>
        <w:rPr>
          <w:rFonts w:hint="eastAsia" w:ascii="宋体" w:hAnsi="宋体" w:eastAsia="宋体" w:cs="宋体"/>
          <w:bCs/>
          <w:color w:val="000000"/>
          <w:sz w:val="24"/>
          <w:szCs w:val="24"/>
          <w:lang w:eastAsia="zh-CN"/>
        </w:rPr>
        <w:t xml:space="preserve">招标代理机构</w:t>
      </w:r>
      <w:r>
        <w:rPr>
          <w:rFonts w:hint="eastAsia" w:ascii="宋体" w:hAnsi="宋体" w:eastAsia="宋体" w:cs="宋体"/>
          <w:bCs/>
          <w:color w:val="000000"/>
          <w:sz w:val="24"/>
          <w:szCs w:val="24"/>
        </w:rPr>
        <w:t xml:space="preserve">工作人员应登陆到来源网站页面进行复核并打印，作为证据留存。</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lang w:val="zh-CN"/>
        </w:rPr>
        <w:t xml:space="preserve">23.3.4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文件按无效文件处理：</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lang w:val="zh-CN"/>
        </w:rPr>
        <w:t xml:space="preserve">(一)政府采购严重违法记录，即供应商被全国各级财政部门列入“政府采购严重违法失信行为记录名单”，且在处罚有效期内的。</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lang w:val="zh-CN"/>
        </w:rPr>
        <w:t xml:space="preserve">(二)财政部门与法院、工商、税务等部门联合惩戒的失信信息，包括：</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lang w:val="zh-CN"/>
        </w:rPr>
        <w:t xml:space="preserve">(1)被列入失信被执行人名单；</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lang w:val="zh-CN"/>
        </w:rPr>
        <w:t xml:space="preserve">(2)被列入重大税收违法案件当事人名单；</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企业经营异常名录中被责令停产停业、暂扣或者吊销许可证或者执照，或者对经营活动中的违法行为处以200万元及以上数额罚款(法律、行政法规以及国务院有关部门明确规定相关领域“较大数额罚款”标准高于200万元的，从其规定)的信用记录。处罚生效日至递交投标(响应)文件日未满三年的。</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23.3.5评审小组应当对投标文件进行评审，并根据招标文件规定的程序、评定中标的标准等事项与实质性响应招标文件要求的供应商进行评审。</w:t>
      </w:r>
      <w:r>
        <w:rPr>
          <w:rFonts w:hint="eastAsia" w:ascii="宋体" w:hAnsi="宋体" w:eastAsia="宋体" w:cs="宋体"/>
          <w:b/>
          <w:color w:val="000000"/>
          <w:sz w:val="24"/>
          <w:szCs w:val="24"/>
        </w:rPr>
        <w:t xml:space="preserve">未实质性响应招标文件的投标文件按无效处理，评审小组应当告知有关供应商。</w:t>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24.评标委员会</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24.1评标委员会负责具体评标事务，并独立履行下列职责：</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24.1.1审查、评价投标文件是否符合招标文件的商务、技术等实质性要求；</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24.1.2要求投标人对投标文件有关事项作出澄清或者说明；</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24.1.3对投标文件进行比较和评价；</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24.1.4确定中标候选人名单，以及根据</w:t>
      </w:r>
      <w:r>
        <w:rPr>
          <w:rFonts w:hint="eastAsia" w:ascii="宋体" w:hAnsi="宋体" w:eastAsia="宋体" w:cs="宋体"/>
          <w:bCs/>
          <w:color w:val="000000"/>
          <w:sz w:val="24"/>
          <w:szCs w:val="24"/>
          <w:lang w:eastAsia="zh-CN"/>
        </w:rPr>
        <w:t xml:space="preserve">招标人</w:t>
      </w:r>
      <w:r>
        <w:rPr>
          <w:rFonts w:hint="eastAsia" w:ascii="宋体" w:hAnsi="宋体" w:eastAsia="宋体" w:cs="宋体"/>
          <w:bCs/>
          <w:color w:val="000000"/>
          <w:sz w:val="24"/>
          <w:szCs w:val="24"/>
        </w:rPr>
        <w:t xml:space="preserve">委托直接确定中标人；</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24.1.5向</w:t>
      </w:r>
      <w:r>
        <w:rPr>
          <w:rFonts w:hint="eastAsia" w:ascii="宋体" w:hAnsi="宋体" w:eastAsia="宋体" w:cs="宋体"/>
          <w:bCs/>
          <w:color w:val="000000"/>
          <w:sz w:val="24"/>
          <w:szCs w:val="24"/>
          <w:lang w:eastAsia="zh-CN"/>
        </w:rPr>
        <w:t xml:space="preserve">招标人</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招标代理机构</w:t>
      </w:r>
      <w:r>
        <w:rPr>
          <w:rFonts w:hint="eastAsia" w:ascii="宋体" w:hAnsi="宋体" w:eastAsia="宋体" w:cs="宋体"/>
          <w:bCs/>
          <w:color w:val="000000"/>
          <w:sz w:val="24"/>
          <w:szCs w:val="24"/>
        </w:rPr>
        <w:t xml:space="preserve">或者有关部门报告评标中发现的违法行为。</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24.2评标委员会成员应当履行下列义务：</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24.2.1遵纪守法，客观、公正、廉洁地履行职责；</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24.2.2按照招标文件规定的评标办法和评标标准进行评标，对评审意见承担个人责任；</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24.2.3对评标过程和结果，以及投标人的商业秘密保密；</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24.2.4评标委员会根据全体评标成员签字的原始评标记录和评标结果编写评标报告。评标报告应当包括以下内容：</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（一）招标公告刊登的媒体名称、开标日期和地点；</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（二）投标人名单和评标委员会成员名单；</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（三）评标方法和标准；</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（四）开标记录和评标情况及说明，包括无效投标人名单及原因；</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（五）评标结果，确定的中标候选人名单或者经</w:t>
      </w:r>
      <w:r>
        <w:rPr>
          <w:rFonts w:hint="eastAsia" w:ascii="宋体" w:hAnsi="宋体" w:eastAsia="宋体" w:cs="宋体"/>
          <w:bCs/>
          <w:color w:val="000000"/>
          <w:sz w:val="24"/>
          <w:szCs w:val="24"/>
          <w:lang w:eastAsia="zh-CN"/>
        </w:rPr>
        <w:t xml:space="preserve">招标人</w:t>
      </w:r>
      <w:r>
        <w:rPr>
          <w:rFonts w:hint="eastAsia" w:ascii="宋体" w:hAnsi="宋体" w:eastAsia="宋体" w:cs="宋体"/>
          <w:bCs/>
          <w:color w:val="000000"/>
          <w:sz w:val="24"/>
          <w:szCs w:val="24"/>
        </w:rPr>
        <w:t xml:space="preserve">委托直接确定的中标人；</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（六）其他需要说明的情况，包括评标过程中投标人根据评标委员会要求进行的澄清、说明或者补正，评标委员会成员的更换等。</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24.2.5配合相关部门的投诉处理工作；</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24.2.6配合招标采购单位答复投标供应商提出的质疑。</w:t>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25.评标内容的保密</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25.1公开开标后，直到宣布授予中标单位合同为止，凡属于审查、澄清、评价和比较投标的所有资料，有关授予合同的信息都不应向投标人或与评标无关的其他人泄露。</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25.2在投标文件的审查、澄清、评价和比较以及授予合同的过程中，投标人对招标采购单位和评标委员会成员施加影响的任何行为，都将取消其中标资格。</w:t>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26.对投标文件初审</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26.1评标委员会应当对符合资格的投标人的投标文件进行符合性审查，以确定其是否满足招标文件的实质性要求。</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投标文件有下列情况之一者评标委员会有权将其拒绝：</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26.1.1投标人的投标文件未按照本须知规定制作的；</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26.1.2未按本须知规定提交资格文件；</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26.1.3与招标文件有重大偏离；</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26.1.4投标人拒绝修正错误；</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26.1.5投标人的报价是选择性的；</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26.1.6投标人的报价只投了部分内容；</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26.1.7投标人的投标文件出现了评标委员会认为不应当雷同的情况；</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26.1.8其他被评委会认定无效的情况。</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26.3投标文件报价出现前后不一致的，除招标文件另有规定外，按照下列规定修正：</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（一）投标文件中开标一览表（报价表）内容与投标文件中相应内容不一致的，以开标一览表（报价表）为准；</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（二）大写金额和小写金额不一致的，以大写金额为准；</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（三）单价金额小数点或者百分比有明显错位的，以开标一览表的总价为准，并修改单价；</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（四）总价金额与按单价汇总金额不一致的，以单价金额计算结果为准。</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26.4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27.投标的澄清</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27.1对于投标文件中含义不明确、同类问题表述不一致或者有明显文字和计算错误的内容，评标委员会应当以书面形式要求投标人作出必要的澄清、说明或者补正。</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27.2投标人的澄清、说明或者补正应当采用书面形式，并加盖</w:t>
      </w:r>
      <w:r>
        <w:rPr>
          <w:rFonts w:hint="eastAsia" w:ascii="宋体" w:hAnsi="宋体" w:eastAsia="宋体" w:cs="宋体"/>
          <w:bCs/>
          <w:color w:val="000000"/>
          <w:sz w:val="24"/>
          <w:szCs w:val="24"/>
          <w:lang w:val="en-US"/>
        </w:rPr>
        <w:t xml:space="preserve">其单位电子</w:t>
      </w:r>
      <w:r>
        <w:rPr>
          <w:rFonts w:hint="eastAsia" w:ascii="宋体" w:hAnsi="宋体" w:eastAsia="宋体" w:cs="宋体"/>
          <w:bCs/>
          <w:color w:val="000000"/>
          <w:sz w:val="24"/>
          <w:szCs w:val="24"/>
        </w:rPr>
        <w:t xml:space="preserve">公章，或者由法定代表人/负责人或其授权的代表签字。投标人的澄清、说明或者补正不得超出投标文件的范围或者改变投标文件的实质性内容。</w:t>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1194"/>
        <w:ind w:firstLine="422"/>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28.投标无效</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28.1投标人存在下列情况之一的，投标无效：</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rPr>
        <w:t xml:space="preserve">一</w:t>
      </w:r>
      <w:r>
        <w:rPr>
          <w:rFonts w:hint="eastAsia" w:ascii="宋体" w:hAnsi="宋体" w:eastAsia="宋体" w:cs="宋体"/>
          <w:b/>
          <w:color w:val="000000"/>
          <w:sz w:val="24"/>
          <w:szCs w:val="24"/>
        </w:rPr>
        <w:t xml:space="preserve">）投标文件未按招标文件要求签署、盖（</w:t>
      </w:r>
      <w:r>
        <w:rPr>
          <w:rFonts w:hint="eastAsia" w:ascii="宋体" w:hAnsi="宋体" w:eastAsia="宋体" w:cs="宋体"/>
          <w:b/>
          <w:color w:val="000000"/>
          <w:sz w:val="24"/>
          <w:szCs w:val="24"/>
          <w:lang w:val="en-US"/>
        </w:rPr>
        <w:t xml:space="preserve">签</w:t>
      </w:r>
      <w:r>
        <w:rPr>
          <w:rFonts w:hint="eastAsia" w:ascii="宋体" w:hAnsi="宋体" w:eastAsia="宋体" w:cs="宋体"/>
          <w:b/>
          <w:color w:val="000000"/>
          <w:sz w:val="24"/>
          <w:szCs w:val="24"/>
        </w:rPr>
        <w:t xml:space="preserve">）章的；</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rPr>
        <w:t xml:space="preserve">二</w:t>
      </w:r>
      <w:r>
        <w:rPr>
          <w:rFonts w:hint="eastAsia" w:ascii="宋体" w:hAnsi="宋体" w:eastAsia="宋体" w:cs="宋体"/>
          <w:b/>
          <w:color w:val="000000"/>
          <w:sz w:val="24"/>
          <w:szCs w:val="24"/>
        </w:rPr>
        <w:t xml:space="preserve">）不具备招标文件中规定的资格要求的；</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rPr>
        <w:t xml:space="preserve">三</w:t>
      </w:r>
      <w:r>
        <w:rPr>
          <w:rFonts w:hint="eastAsia" w:ascii="宋体" w:hAnsi="宋体" w:eastAsia="宋体" w:cs="宋体"/>
          <w:b/>
          <w:color w:val="000000"/>
          <w:sz w:val="24"/>
          <w:szCs w:val="24"/>
        </w:rPr>
        <w:t xml:space="preserve">）报价超过招标文件中规定的预算金额或者最高限价的；</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rPr>
        <w:t xml:space="preserve">四</w:t>
      </w:r>
      <w:r>
        <w:rPr>
          <w:rFonts w:hint="eastAsia" w:ascii="宋体" w:hAnsi="宋体" w:eastAsia="宋体" w:cs="宋体"/>
          <w:b/>
          <w:color w:val="000000"/>
          <w:sz w:val="24"/>
          <w:szCs w:val="24"/>
        </w:rPr>
        <w:t xml:space="preserve">）投标文件含有</w:t>
      </w:r>
      <w:r>
        <w:rPr>
          <w:rFonts w:hint="eastAsia" w:ascii="宋体" w:hAnsi="宋体" w:eastAsia="宋体" w:cs="宋体"/>
          <w:b/>
          <w:color w:val="000000"/>
          <w:sz w:val="24"/>
          <w:szCs w:val="24"/>
          <w:lang w:eastAsia="zh-CN"/>
        </w:rPr>
        <w:t xml:space="preserve">招标人</w:t>
      </w:r>
      <w:r>
        <w:rPr>
          <w:rFonts w:hint="eastAsia" w:ascii="宋体" w:hAnsi="宋体" w:eastAsia="宋体" w:cs="宋体"/>
          <w:b/>
          <w:color w:val="000000"/>
          <w:sz w:val="24"/>
          <w:szCs w:val="24"/>
        </w:rPr>
        <w:t xml:space="preserve">不能接受的附加条件的；</w:t>
      </w:r>
      <w:r/>
    </w:p>
    <w:p>
      <w:pPr>
        <w:pStyle w:val="1194"/>
        <w:ind w:firstLine="422"/>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（五）机器码检查中，不同投标人使用同一台电脑编制投标文件的；</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rPr>
        <w:t xml:space="preserve">六</w:t>
      </w:r>
      <w:r>
        <w:rPr>
          <w:rFonts w:hint="eastAsia" w:ascii="宋体" w:hAnsi="宋体" w:eastAsia="宋体" w:cs="宋体"/>
          <w:b/>
          <w:color w:val="000000"/>
          <w:sz w:val="24"/>
          <w:szCs w:val="24"/>
        </w:rPr>
        <w:t xml:space="preserve">）法律、法规和招标文件规定的其他无效情形。</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28.2投标人应当遵循公平竞争的原则，不得恶意串通，不得妨碍其他投标人的竞争行为，不得损害</w:t>
      </w:r>
      <w:r>
        <w:rPr>
          <w:rFonts w:hint="eastAsia" w:ascii="宋体" w:hAnsi="宋体" w:eastAsia="宋体" w:cs="宋体"/>
          <w:b/>
          <w:color w:val="000000"/>
          <w:sz w:val="24"/>
          <w:szCs w:val="24"/>
          <w:lang w:eastAsia="zh-CN"/>
        </w:rPr>
        <w:t xml:space="preserve">招标人</w:t>
      </w:r>
      <w:r>
        <w:rPr>
          <w:rFonts w:hint="eastAsia" w:ascii="宋体" w:hAnsi="宋体" w:eastAsia="宋体" w:cs="宋体"/>
          <w:b/>
          <w:color w:val="000000"/>
          <w:sz w:val="24"/>
          <w:szCs w:val="24"/>
        </w:rPr>
        <w:t xml:space="preserve">或者其他投标人的合法权益。</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在评标过程中发现投标人有上述情形的，评标委员会应当认定其投标无效，并书面报告本级财政部门。</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28.3有下列情形之一的，视为投标人串通投标，其投标无效：</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（一）不同投标人的投标文件由同一单位或者个人编制；</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（二）不同投标人委托同一单位或者个人办理投标事宜；</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（三）不同投标人的投标文件载明的项目管理成员或者联系人员为同一人；</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（四）不同投标人的投标文件异常一致或者投标报价呈规律性差异；</w:t>
      </w:r>
      <w:r/>
    </w:p>
    <w:p>
      <w:pPr>
        <w:pStyle w:val="1194"/>
        <w:ind w:firstLine="422"/>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29.废标</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29.1在招标过程中，出现下列情况之一的，应予废标：</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29.1.1符合专业条件的供应商或者对招标文件作实质投标的</w:t>
      </w:r>
      <w:r>
        <w:rPr>
          <w:rFonts w:hint="eastAsia" w:ascii="宋体" w:hAnsi="宋体" w:eastAsia="宋体" w:cs="宋体"/>
          <w:b/>
          <w:color w:val="000000"/>
          <w:sz w:val="24"/>
          <w:szCs w:val="24"/>
          <w:lang w:val="en-US"/>
        </w:rPr>
        <w:t xml:space="preserve">各标段</w:t>
      </w:r>
      <w:r>
        <w:rPr>
          <w:rFonts w:hint="eastAsia" w:ascii="宋体" w:hAnsi="宋体" w:eastAsia="宋体" w:cs="宋体"/>
          <w:b/>
          <w:color w:val="000000"/>
          <w:sz w:val="24"/>
          <w:szCs w:val="24"/>
        </w:rPr>
        <w:t xml:space="preserve">供应商不足</w:t>
      </w:r>
      <w:r>
        <w:rPr>
          <w:rFonts w:hint="eastAsia" w:ascii="宋体" w:hAnsi="宋体" w:eastAsia="宋体" w:cs="宋体"/>
          <w:b/>
          <w:color w:val="000000"/>
          <w:sz w:val="24"/>
          <w:szCs w:val="24"/>
          <w:lang w:val="en-US"/>
        </w:rPr>
        <w:t xml:space="preserve">三</w:t>
      </w:r>
      <w:r>
        <w:rPr>
          <w:rFonts w:hint="eastAsia" w:ascii="宋体" w:hAnsi="宋体" w:eastAsia="宋体" w:cs="宋体"/>
          <w:b/>
          <w:color w:val="000000"/>
          <w:sz w:val="24"/>
          <w:szCs w:val="24"/>
        </w:rPr>
        <w:t xml:space="preserve">家的；</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29.1.2出现影响采购公正的违法、违规行为的；</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29.1.3投标人的报价均超过了采购预算，</w:t>
      </w:r>
      <w:r>
        <w:rPr>
          <w:rFonts w:hint="eastAsia" w:ascii="宋体" w:hAnsi="宋体" w:eastAsia="宋体" w:cs="宋体"/>
          <w:b/>
          <w:color w:val="000000"/>
          <w:sz w:val="24"/>
          <w:szCs w:val="24"/>
          <w:lang w:eastAsia="zh-CN"/>
        </w:rPr>
        <w:t xml:space="preserve">招标人</w:t>
      </w:r>
      <w:r>
        <w:rPr>
          <w:rFonts w:hint="eastAsia" w:ascii="宋体" w:hAnsi="宋体" w:eastAsia="宋体" w:cs="宋体"/>
          <w:b/>
          <w:color w:val="000000"/>
          <w:sz w:val="24"/>
          <w:szCs w:val="24"/>
        </w:rPr>
        <w:t xml:space="preserve">不能支付的；</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w:t>
      </w:r>
      <w:r>
        <w:rPr>
          <w:rFonts w:hint="eastAsia" w:ascii="宋体" w:hAnsi="宋体" w:eastAsia="宋体" w:cs="宋体"/>
          <w:b/>
          <w:color w:val="000000"/>
          <w:sz w:val="24"/>
          <w:szCs w:val="24"/>
          <w:lang w:val="en-US"/>
        </w:rPr>
        <w:t xml:space="preserve">9</w:t>
      </w:r>
      <w:r>
        <w:rPr>
          <w:rFonts w:hint="eastAsia" w:ascii="宋体" w:hAnsi="宋体" w:eastAsia="宋体" w:cs="宋体"/>
          <w:b/>
          <w:color w:val="000000"/>
          <w:sz w:val="24"/>
          <w:szCs w:val="24"/>
        </w:rPr>
        <w:t xml:space="preserve">.1.4因重大变故，采购任务取消的；</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29.2废标后，招标采购单位将把废标的理由通知所有投标人。</w:t>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30.投标文件的评价和比较</w:t>
      </w:r>
      <w:r/>
    </w:p>
    <w:p>
      <w:pPr>
        <w:ind w:firstLine="420"/>
        <w:spacing w:after="0" w:line="360" w:lineRule="auto"/>
        <w:rPr>
          <w:rFonts w:hint="eastAsia" w:ascii="宋体" w:hAnsi="宋体" w:cs="宋体"/>
          <w:bCs/>
          <w:color w:val="000000"/>
          <w:sz w:val="24"/>
        </w:rPr>
      </w:pPr>
      <w:r>
        <w:rPr>
          <w:rFonts w:hint="eastAsia" w:ascii="宋体" w:hAnsi="宋体" w:cs="宋体"/>
          <w:bCs/>
          <w:color w:val="000000"/>
          <w:sz w:val="24"/>
          <w:lang w:val="zh-CN"/>
        </w:rPr>
        <w:t xml:space="preserve">30.1评标办法采用综合评分法。</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30.</w:t>
      </w:r>
      <w:r>
        <w:rPr>
          <w:rFonts w:hint="eastAsia" w:ascii="宋体" w:hAnsi="宋体" w:eastAsia="宋体" w:cs="宋体"/>
          <w:b/>
          <w:color w:val="000000"/>
          <w:sz w:val="24"/>
          <w:szCs w:val="24"/>
          <w:lang w:val="en-US"/>
        </w:rPr>
        <w:t xml:space="preserve">2</w:t>
      </w:r>
      <w:r>
        <w:rPr>
          <w:rFonts w:hint="eastAsia" w:ascii="宋体" w:hAnsi="宋体" w:eastAsia="宋体" w:cs="宋体"/>
          <w:b/>
          <w:color w:val="000000"/>
          <w:sz w:val="24"/>
          <w:szCs w:val="24"/>
        </w:rPr>
        <w:t xml:space="preserve">最低的投标报价或最高的</w:t>
      </w:r>
      <w:r>
        <w:rPr>
          <w:rFonts w:hint="eastAsia" w:ascii="宋体" w:hAnsi="宋体" w:eastAsia="宋体" w:cs="宋体"/>
          <w:b/>
          <w:color w:val="000000"/>
          <w:sz w:val="24"/>
          <w:szCs w:val="24"/>
          <w:lang w:val="en-US"/>
        </w:rPr>
        <w:t xml:space="preserve">优惠</w:t>
      </w:r>
      <w:r>
        <w:rPr>
          <w:rFonts w:hint="eastAsia" w:ascii="宋体" w:hAnsi="宋体" w:eastAsia="宋体" w:cs="宋体"/>
          <w:b/>
          <w:color w:val="000000"/>
          <w:sz w:val="24"/>
          <w:szCs w:val="24"/>
        </w:rPr>
        <w:t xml:space="preserve">比例是中标的重要条件，但不是唯一条件。</w:t>
      </w:r>
      <w:bookmarkStart w:id="25" w:name="_Toc18442"/>
      <w:r/>
      <w:bookmarkStart w:id="26" w:name="_Toc19501"/>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七、授予合同</w:t>
      </w:r>
      <w:bookmarkEnd w:id="25"/>
      <w:r/>
      <w:bookmarkEnd w:id="26"/>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31.中标单位的确认</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31.1评标委员会根据投标人资格审查情况，对投标文件进行评价和比较，按照评标办法和标准进行评标，并按招标采购单位的委托向招标采购单位推荐中标单位。</w:t>
      </w:r>
      <w:r/>
    </w:p>
    <w:p>
      <w:pPr>
        <w:pStyle w:val="1194"/>
        <w:ind w:firstLine="420"/>
        <w:spacing w:after="0" w:line="360" w:lineRule="auto"/>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rPr>
        <w:t xml:space="preserve">31.2经评标委员会评审并确定中标单位后，招标采购单位将在规定的时间内将中标结果在相关媒体上予以公告，公告期为1个工作日。各投标人如对中标公告有异议，应在中标公告期届满起7个工作日内，以书面形式向</w:t>
      </w:r>
      <w:r>
        <w:rPr>
          <w:rFonts w:hint="eastAsia" w:ascii="宋体" w:hAnsi="宋体" w:eastAsia="宋体" w:cs="宋体"/>
          <w:bCs/>
          <w:color w:val="000000"/>
          <w:sz w:val="24"/>
          <w:szCs w:val="24"/>
          <w:lang w:eastAsia="zh-CN"/>
        </w:rPr>
        <w:t xml:space="preserve">招标代理机构</w:t>
      </w:r>
      <w:r>
        <w:rPr>
          <w:rFonts w:hint="eastAsia" w:ascii="宋体" w:hAnsi="宋体" w:eastAsia="宋体" w:cs="宋体"/>
          <w:bCs/>
          <w:color w:val="000000"/>
          <w:sz w:val="24"/>
          <w:szCs w:val="24"/>
        </w:rPr>
        <w:t xml:space="preserve">提出质疑，该质疑须按《政府采购质疑和投诉办法》、《江苏省政府采购供应商监督管理暂行办法》的规定提交。</w:t>
      </w:r>
      <w:r>
        <w:rPr>
          <w:rFonts w:hint="eastAsia" w:ascii="宋体" w:hAnsi="宋体" w:eastAsia="宋体" w:cs="宋体"/>
          <w:bCs/>
          <w:color w:val="000000"/>
          <w:sz w:val="24"/>
          <w:szCs w:val="24"/>
          <w:lang w:eastAsia="zh-CN"/>
        </w:rPr>
        <w:t xml:space="preserve">招标代理机构</w:t>
      </w:r>
      <w:r>
        <w:rPr>
          <w:rFonts w:hint="eastAsia" w:ascii="宋体" w:hAnsi="宋体" w:eastAsia="宋体" w:cs="宋体"/>
          <w:bCs/>
          <w:color w:val="000000"/>
          <w:sz w:val="24"/>
          <w:szCs w:val="24"/>
        </w:rPr>
        <w:t xml:space="preserve">将在收到质疑后7个工作日内，对质疑内容做出答复。</w:t>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32.合同授予标准</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招标采购单位将把合同授予其投标文件在实质上响应投标招标文件要求且按本须知规定评选出的投标人。确定为中标的投标人必须具有实施本合同的能力和资源。</w:t>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33.中标通知书</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33.1确定出中标人后，</w:t>
      </w:r>
      <w:r>
        <w:rPr>
          <w:rFonts w:hint="eastAsia" w:ascii="宋体" w:hAnsi="宋体" w:eastAsia="宋体" w:cs="宋体"/>
          <w:bCs/>
          <w:color w:val="000000"/>
          <w:sz w:val="24"/>
          <w:szCs w:val="24"/>
          <w:lang w:eastAsia="zh-CN"/>
        </w:rPr>
        <w:t xml:space="preserve">招标代理机构</w:t>
      </w:r>
      <w:r>
        <w:rPr>
          <w:rFonts w:hint="eastAsia" w:ascii="宋体" w:hAnsi="宋体" w:eastAsia="宋体" w:cs="宋体"/>
          <w:bCs/>
          <w:color w:val="000000"/>
          <w:sz w:val="24"/>
          <w:szCs w:val="24"/>
        </w:rPr>
        <w:t xml:space="preserve">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对未通过资格审查的供应商，应当告知其未通过的原因；未</w:t>
      </w:r>
      <w:r>
        <w:rPr>
          <w:rFonts w:hint="eastAsia" w:ascii="宋体" w:hAnsi="宋体" w:eastAsia="宋体" w:cs="宋体"/>
          <w:bCs/>
          <w:color w:val="000000"/>
          <w:sz w:val="24"/>
          <w:szCs w:val="24"/>
          <w:lang w:val="en-US"/>
        </w:rPr>
        <w:t xml:space="preserve">中标</w:t>
      </w:r>
      <w:r>
        <w:rPr>
          <w:rFonts w:hint="eastAsia" w:ascii="宋体" w:hAnsi="宋体" w:eastAsia="宋体" w:cs="宋体"/>
          <w:bCs/>
          <w:color w:val="000000"/>
          <w:sz w:val="24"/>
          <w:szCs w:val="24"/>
        </w:rPr>
        <w:t xml:space="preserve">供应商须在</w:t>
      </w:r>
      <w:r>
        <w:rPr>
          <w:rFonts w:hint="eastAsia" w:ascii="宋体" w:hAnsi="宋体" w:eastAsia="宋体" w:cs="宋体"/>
          <w:bCs/>
          <w:color w:val="000000"/>
          <w:sz w:val="24"/>
          <w:szCs w:val="24"/>
          <w:lang w:val="en-US"/>
        </w:rPr>
        <w:t xml:space="preserve">中标</w:t>
      </w:r>
      <w:r>
        <w:rPr>
          <w:rFonts w:hint="eastAsia" w:ascii="宋体" w:hAnsi="宋体" w:eastAsia="宋体" w:cs="宋体"/>
          <w:bCs/>
          <w:color w:val="000000"/>
          <w:sz w:val="24"/>
          <w:szCs w:val="24"/>
        </w:rPr>
        <w:t xml:space="preserve">公告发出之日起2个工作日内向</w:t>
      </w:r>
      <w:r>
        <w:rPr>
          <w:rFonts w:hint="eastAsia" w:ascii="宋体" w:hAnsi="宋体" w:eastAsia="宋体" w:cs="宋体"/>
          <w:bCs/>
          <w:color w:val="000000"/>
          <w:sz w:val="24"/>
          <w:szCs w:val="24"/>
          <w:lang w:eastAsia="zh-CN"/>
        </w:rPr>
        <w:t xml:space="preserve">招标代理机构</w:t>
      </w:r>
      <w:r>
        <w:rPr>
          <w:rFonts w:hint="eastAsia" w:ascii="宋体" w:hAnsi="宋体" w:eastAsia="宋体" w:cs="宋体"/>
          <w:bCs/>
          <w:color w:val="000000"/>
          <w:sz w:val="24"/>
          <w:szCs w:val="24"/>
        </w:rPr>
        <w:t xml:space="preserve">另行提供用以接收《未</w:t>
      </w:r>
      <w:r>
        <w:rPr>
          <w:rFonts w:hint="eastAsia" w:ascii="宋体" w:hAnsi="宋体" w:eastAsia="宋体" w:cs="宋体"/>
          <w:bCs/>
          <w:color w:val="000000"/>
          <w:sz w:val="24"/>
          <w:szCs w:val="24"/>
          <w:lang w:val="en-US"/>
        </w:rPr>
        <w:t xml:space="preserve">中标</w:t>
      </w:r>
      <w:r>
        <w:rPr>
          <w:rFonts w:hint="eastAsia" w:ascii="宋体" w:hAnsi="宋体" w:eastAsia="宋体" w:cs="宋体"/>
          <w:bCs/>
          <w:color w:val="000000"/>
          <w:sz w:val="24"/>
          <w:szCs w:val="24"/>
        </w:rPr>
        <w:t xml:space="preserve">通知书》的电子邮件地址，未按时提供电子邮件地址或提供信息有误的，视为自动放弃并自行承担相应后果。</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33.2中标通知书将成为合同的组成部分，对</w:t>
      </w:r>
      <w:r>
        <w:rPr>
          <w:rFonts w:hint="eastAsia" w:ascii="宋体" w:hAnsi="宋体" w:eastAsia="宋体" w:cs="宋体"/>
          <w:bCs/>
          <w:color w:val="000000"/>
          <w:sz w:val="24"/>
          <w:szCs w:val="24"/>
          <w:lang w:eastAsia="zh-CN"/>
        </w:rPr>
        <w:t xml:space="preserve">招标人</w:t>
      </w:r>
      <w:r>
        <w:rPr>
          <w:rFonts w:hint="eastAsia" w:ascii="宋体" w:hAnsi="宋体" w:eastAsia="宋体" w:cs="宋体"/>
          <w:bCs/>
          <w:color w:val="000000"/>
          <w:sz w:val="24"/>
          <w:szCs w:val="24"/>
        </w:rPr>
        <w:t xml:space="preserve">和中标人具有同等法律效力。</w:t>
      </w:r>
      <w:r/>
    </w:p>
    <w:p>
      <w:pPr>
        <w:pStyle w:val="1194"/>
        <w:ind w:firstLine="420"/>
        <w:spacing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w:t>
      </w:r>
      <w:r>
        <w:rPr>
          <w:rFonts w:hint="eastAsia" w:ascii="宋体" w:hAnsi="宋体" w:eastAsia="宋体" w:cs="宋体"/>
          <w:b/>
          <w:color w:val="000000"/>
          <w:sz w:val="24"/>
          <w:szCs w:val="24"/>
          <w:lang w:val="en-US"/>
        </w:rPr>
        <w:t xml:space="preserve">3</w:t>
      </w:r>
      <w:r>
        <w:rPr>
          <w:rFonts w:hint="eastAsia" w:ascii="宋体" w:hAnsi="宋体" w:eastAsia="宋体" w:cs="宋体"/>
          <w:b/>
          <w:color w:val="000000"/>
          <w:sz w:val="24"/>
          <w:szCs w:val="24"/>
        </w:rPr>
        <w:t xml:space="preserve">.3中标通知书发出后，</w:t>
      </w:r>
      <w:r>
        <w:rPr>
          <w:rFonts w:hint="eastAsia" w:ascii="宋体" w:hAnsi="宋体" w:eastAsia="宋体" w:cs="宋体"/>
          <w:b/>
          <w:color w:val="000000"/>
          <w:sz w:val="24"/>
          <w:szCs w:val="24"/>
          <w:lang w:eastAsia="zh-CN"/>
        </w:rPr>
        <w:t xml:space="preserve">招标人</w:t>
      </w:r>
      <w:r>
        <w:rPr>
          <w:rFonts w:hint="eastAsia" w:ascii="宋体" w:hAnsi="宋体" w:eastAsia="宋体" w:cs="宋体"/>
          <w:b/>
          <w:color w:val="000000"/>
          <w:sz w:val="24"/>
          <w:szCs w:val="24"/>
        </w:rPr>
        <w:t xml:space="preserve">不得违法改变中标结果，中标人无正当理由不得放弃中标。</w:t>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34.合同的签订</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34.1按照《关于做好政府采购支持企业发展有关事项的通知》（苏财购〔2020〕52号）及《关于印发&lt;苏州市政府采购促进中小企业发展实施意见&gt;的通知》（苏财购〔2022〕16号）文件精神，</w:t>
      </w:r>
      <w:r>
        <w:rPr>
          <w:rFonts w:hint="eastAsia" w:ascii="宋体" w:hAnsi="宋体" w:eastAsia="宋体" w:cs="宋体"/>
          <w:bCs/>
          <w:color w:val="000000"/>
          <w:sz w:val="24"/>
          <w:szCs w:val="24"/>
          <w:lang w:eastAsia="zh-CN"/>
        </w:rPr>
        <w:t xml:space="preserve">招标人</w:t>
      </w:r>
      <w:r>
        <w:rPr>
          <w:rFonts w:hint="eastAsia" w:ascii="宋体" w:hAnsi="宋体" w:eastAsia="宋体" w:cs="宋体"/>
          <w:bCs/>
          <w:color w:val="000000"/>
          <w:sz w:val="24"/>
          <w:szCs w:val="24"/>
        </w:rPr>
        <w:t xml:space="preserve">与中标人原则上应当在中标通知书发出之日起十五日内，按照招标文件及投标文件确定的事项签订政府采购合同，最长不得超过三十日。</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34.2</w:t>
      </w:r>
      <w:r>
        <w:rPr>
          <w:rFonts w:hint="eastAsia" w:ascii="宋体" w:hAnsi="宋体" w:eastAsia="宋体" w:cs="宋体"/>
          <w:bCs/>
          <w:color w:val="000000"/>
          <w:sz w:val="24"/>
          <w:szCs w:val="24"/>
          <w:lang w:val="en-US" w:eastAsia="zh-CN"/>
        </w:rPr>
        <w:t xml:space="preserve">招标人</w:t>
      </w:r>
      <w:r>
        <w:rPr>
          <w:rFonts w:hint="eastAsia" w:ascii="宋体" w:hAnsi="宋体" w:eastAsia="宋体" w:cs="宋体"/>
          <w:bCs/>
          <w:color w:val="000000"/>
          <w:sz w:val="24"/>
          <w:szCs w:val="24"/>
          <w:lang w:val="en-US"/>
        </w:rPr>
        <w:t xml:space="preserve">与中标人所签订的合同不得对招标文件确定的事项和中标人投标文件作实质性修改，</w:t>
      </w:r>
      <w:r>
        <w:rPr>
          <w:rFonts w:hint="eastAsia" w:ascii="宋体" w:hAnsi="宋体" w:eastAsia="宋体" w:cs="宋体"/>
          <w:bCs/>
          <w:color w:val="000000"/>
          <w:sz w:val="24"/>
          <w:szCs w:val="24"/>
          <w:lang w:val="en-US" w:eastAsia="zh-CN"/>
        </w:rPr>
        <w:t xml:space="preserve">招标人</w:t>
      </w:r>
      <w:r>
        <w:rPr>
          <w:rFonts w:hint="eastAsia" w:ascii="宋体" w:hAnsi="宋体" w:eastAsia="宋体" w:cs="宋体"/>
          <w:bCs/>
          <w:color w:val="000000"/>
          <w:sz w:val="24"/>
          <w:szCs w:val="24"/>
          <w:lang w:val="en-US"/>
        </w:rPr>
        <w:t xml:space="preserve">不得向中标人提出任何不合理的要求作为签订合同的条件。</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34.3招标文件、中标人的投标文件及招标过程中有关澄清、承诺文件均应作为合同附件。</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34.5政府采购合同履行中，</w:t>
      </w:r>
      <w:r>
        <w:rPr>
          <w:rFonts w:hint="eastAsia" w:ascii="宋体" w:hAnsi="宋体" w:eastAsia="宋体" w:cs="宋体"/>
          <w:bCs/>
          <w:color w:val="000000"/>
          <w:sz w:val="24"/>
          <w:szCs w:val="24"/>
          <w:lang w:eastAsia="zh-CN"/>
        </w:rPr>
        <w:t xml:space="preserve">招标人</w:t>
      </w:r>
      <w:r>
        <w:rPr>
          <w:rFonts w:hint="eastAsia" w:ascii="宋体" w:hAnsi="宋体" w:eastAsia="宋体" w:cs="宋体"/>
          <w:bCs/>
          <w:color w:val="000000"/>
          <w:sz w:val="24"/>
          <w:szCs w:val="24"/>
        </w:rPr>
        <w:t xml:space="preserve">需追加与合同标的相同货物、工程或者服务的，在不改变合同其他条款的前提下，可以与中标人协商签订补充合同，但所有补充合同的采购金额不得超过原合同采购金额的10%。</w:t>
      </w:r>
      <w:r/>
    </w:p>
    <w:p>
      <w:pPr>
        <w:ind w:firstLine="422"/>
        <w:spacing w:after="0" w:line="360" w:lineRule="auto"/>
        <w:rPr>
          <w:rFonts w:hint="eastAsia" w:ascii="宋体" w:hAnsi="宋体" w:cs="宋体"/>
          <w:bCs/>
          <w:color w:val="000000"/>
          <w:sz w:val="24"/>
        </w:rPr>
      </w:pPr>
      <w:r/>
      <w:bookmarkStart w:id="27" w:name="_Toc21029"/>
      <w:r/>
      <w:bookmarkStart w:id="28" w:name="_Toc8186"/>
      <w:r>
        <w:rPr>
          <w:rFonts w:hint="eastAsia" w:ascii="宋体" w:hAnsi="宋体" w:cs="宋体"/>
          <w:bCs/>
          <w:color w:val="000000"/>
          <w:sz w:val="24"/>
        </w:rPr>
        <w:t xml:space="preserve">八、其他事项</w:t>
      </w:r>
      <w:bookmarkEnd w:id="27"/>
      <w:r/>
      <w:bookmarkEnd w:id="28"/>
      <w:r/>
      <w:r/>
    </w:p>
    <w:p>
      <w:pPr>
        <w:pStyle w:val="1194"/>
        <w:ind w:firstLine="422"/>
        <w:spacing w:after="0" w:line="360" w:lineRule="auto"/>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 xml:space="preserve">35.代理服务费：按苏财购告【2016】31号规定的收费标准和差额定率累进法进行</w:t>
      </w:r>
      <w:r>
        <w:rPr>
          <w:rFonts w:hint="eastAsia" w:ascii="宋体" w:hAnsi="宋体" w:eastAsia="宋体" w:cs="宋体"/>
          <w:bCs/>
          <w:color w:val="000000"/>
          <w:sz w:val="24"/>
          <w:szCs w:val="24"/>
          <w:highlight w:val="none"/>
          <w:lang w:val="en-US"/>
        </w:rPr>
        <w:t xml:space="preserve">计算打八折计取，</w:t>
      </w:r>
      <w:r>
        <w:rPr>
          <w:rFonts w:hint="eastAsia" w:ascii="宋体" w:hAnsi="宋体" w:eastAsia="宋体" w:cs="宋体"/>
          <w:bCs/>
          <w:color w:val="000000"/>
          <w:sz w:val="24"/>
          <w:szCs w:val="24"/>
          <w:lang w:val="en-US"/>
        </w:rPr>
        <w:t xml:space="preserve">领取中标通知书时中标人向招标代理机构一次性付清。</w:t>
      </w:r>
      <w:r/>
    </w:p>
    <w:p>
      <w:pPr>
        <w:ind w:firstLine="480"/>
        <w:spacing w:after="0" w:line="360" w:lineRule="auto"/>
        <w:rPr>
          <w:rFonts w:hint="eastAsia" w:ascii="宋体" w:hAnsi="宋体" w:cs="宋体"/>
          <w:bCs/>
          <w:color w:val="000000"/>
          <w:sz w:val="24"/>
          <w:highlight w:val="none"/>
        </w:rPr>
      </w:pPr>
      <w:r>
        <w:rPr>
          <w:rFonts w:hint="eastAsia" w:ascii="宋体" w:hAnsi="宋体" w:cs="宋体"/>
          <w:bCs/>
          <w:color w:val="000000"/>
          <w:sz w:val="24"/>
        </w:rPr>
        <w:t xml:space="preserve">预算金额100万以下费率按预算金额的1.5%，预算金额100万-500万费率按预算金额的1.1%，预算金额500万-1000万费率按预算金额的0.8%，预算金额1000万-5000万费率按预算金额的0.5%。</w:t>
      </w:r>
      <w:r>
        <w:rPr>
          <w:rFonts w:hint="eastAsia" w:ascii="宋体" w:hAnsi="宋体" w:cs="宋体"/>
          <w:bCs/>
          <w:color w:val="000000"/>
          <w:sz w:val="24"/>
          <w:highlight w:val="none"/>
        </w:rPr>
        <w:t xml:space="preserve">（最低不低于</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000元）。</w:t>
      </w:r>
      <w:r/>
    </w:p>
    <w:p>
      <w:pPr>
        <w:ind w:firstLine="480"/>
        <w:spacing w:after="0"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第一标段：人民币</w:t>
      </w:r>
      <w:r>
        <w:rPr>
          <w:rFonts w:hint="eastAsia" w:ascii="宋体" w:hAnsi="宋体" w:cs="宋体"/>
          <w:bCs/>
          <w:color w:val="000000"/>
          <w:sz w:val="24"/>
          <w:lang w:val="en-US" w:eastAsia="zh-CN"/>
        </w:rPr>
        <w:t xml:space="preserve">玖仟陆佰</w:t>
      </w:r>
      <w:r>
        <w:rPr>
          <w:rFonts w:hint="eastAsia" w:ascii="宋体" w:hAnsi="宋体" w:cs="宋体"/>
          <w:bCs/>
          <w:color w:val="000000"/>
          <w:sz w:val="24"/>
          <w:lang w:val="zh-CN"/>
        </w:rPr>
        <w:t xml:space="preserve">元整（￥</w:t>
      </w:r>
      <w:r>
        <w:rPr>
          <w:rFonts w:hint="eastAsia" w:ascii="宋体" w:hAnsi="宋体" w:cs="宋体"/>
          <w:bCs/>
          <w:color w:val="000000"/>
          <w:sz w:val="24"/>
          <w:lang w:val="en-US" w:eastAsia="zh-CN"/>
        </w:rPr>
        <w:t xml:space="preserve">9600</w:t>
      </w:r>
      <w:r>
        <w:rPr>
          <w:rFonts w:hint="eastAsia" w:ascii="宋体" w:hAnsi="宋体" w:cs="宋体"/>
          <w:bCs/>
          <w:color w:val="000000"/>
          <w:sz w:val="24"/>
          <w:lang w:val="zh-CN"/>
        </w:rPr>
        <w:t xml:space="preserve">.00）</w:t>
      </w:r>
      <w:r/>
    </w:p>
    <w:p>
      <w:pPr>
        <w:ind w:firstLine="480"/>
        <w:spacing w:after="0"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第二标段：人民币</w:t>
      </w:r>
      <w:r>
        <w:rPr>
          <w:rFonts w:hint="eastAsia" w:ascii="宋体" w:hAnsi="宋体" w:cs="宋体"/>
          <w:bCs/>
          <w:color w:val="000000"/>
          <w:sz w:val="24"/>
          <w:lang w:val="en-US" w:eastAsia="zh-CN"/>
        </w:rPr>
        <w:t xml:space="preserve">柒仟捌佰</w:t>
      </w:r>
      <w:r>
        <w:rPr>
          <w:rFonts w:hint="eastAsia" w:ascii="宋体" w:hAnsi="宋体" w:cs="宋体"/>
          <w:bCs/>
          <w:color w:val="000000"/>
          <w:sz w:val="24"/>
          <w:lang w:val="zh-CN"/>
        </w:rPr>
        <w:t xml:space="preserve">元整（￥</w:t>
      </w:r>
      <w:r>
        <w:rPr>
          <w:rFonts w:hint="eastAsia" w:ascii="宋体" w:hAnsi="宋体" w:cs="宋体"/>
          <w:bCs/>
          <w:color w:val="000000"/>
          <w:sz w:val="24"/>
          <w:lang w:val="en-US" w:eastAsia="zh-CN"/>
        </w:rPr>
        <w:t xml:space="preserve">7800</w:t>
      </w:r>
      <w:r>
        <w:rPr>
          <w:rFonts w:hint="eastAsia" w:ascii="宋体" w:hAnsi="宋体" w:cs="宋体"/>
          <w:bCs/>
          <w:color w:val="000000"/>
          <w:sz w:val="24"/>
          <w:lang w:val="zh-CN"/>
        </w:rPr>
        <w:t xml:space="preserve">.00）</w:t>
      </w:r>
      <w:r/>
    </w:p>
    <w:p>
      <w:pPr>
        <w:ind w:firstLine="480"/>
        <w:spacing w:after="0"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第三标段：人民币</w:t>
      </w:r>
      <w:r>
        <w:rPr>
          <w:rFonts w:hint="eastAsia" w:ascii="宋体" w:hAnsi="宋体" w:cs="宋体"/>
          <w:bCs/>
          <w:color w:val="000000"/>
          <w:sz w:val="24"/>
          <w:lang w:val="en-US" w:eastAsia="zh-CN"/>
        </w:rPr>
        <w:t xml:space="preserve">柒仟陆佰捌拾</w:t>
      </w:r>
      <w:r>
        <w:rPr>
          <w:rFonts w:hint="eastAsia" w:ascii="宋体" w:hAnsi="宋体" w:cs="宋体"/>
          <w:bCs/>
          <w:color w:val="000000"/>
          <w:sz w:val="24"/>
          <w:lang w:val="zh-CN"/>
        </w:rPr>
        <w:t xml:space="preserve">元整（￥</w:t>
      </w:r>
      <w:r>
        <w:rPr>
          <w:rFonts w:hint="eastAsia" w:ascii="宋体" w:hAnsi="宋体" w:cs="宋体"/>
          <w:bCs/>
          <w:color w:val="000000"/>
          <w:sz w:val="24"/>
          <w:lang w:val="en-US" w:eastAsia="zh-CN"/>
        </w:rPr>
        <w:t xml:space="preserve">7680</w:t>
      </w:r>
      <w:r>
        <w:rPr>
          <w:rFonts w:hint="eastAsia" w:ascii="宋体" w:hAnsi="宋体" w:cs="宋体"/>
          <w:bCs/>
          <w:color w:val="000000"/>
          <w:sz w:val="24"/>
          <w:lang w:val="zh-CN"/>
        </w:rPr>
        <w:t xml:space="preserve">.00）</w:t>
      </w:r>
      <w:r/>
    </w:p>
    <w:p>
      <w:pPr>
        <w:ind w:firstLine="480"/>
        <w:spacing w:after="0"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第四标段：人民币</w:t>
      </w:r>
      <w:r>
        <w:rPr>
          <w:rFonts w:hint="eastAsia" w:ascii="宋体" w:hAnsi="宋体" w:cs="宋体"/>
          <w:bCs/>
          <w:color w:val="000000"/>
          <w:sz w:val="24"/>
          <w:lang w:val="en-US" w:eastAsia="zh-CN"/>
        </w:rPr>
        <w:t xml:space="preserve">陆仟</w:t>
      </w:r>
      <w:r>
        <w:rPr>
          <w:rFonts w:hint="eastAsia" w:ascii="宋体" w:hAnsi="宋体" w:cs="宋体"/>
          <w:bCs/>
          <w:color w:val="000000"/>
          <w:sz w:val="24"/>
          <w:lang w:val="zh-CN"/>
        </w:rPr>
        <w:t xml:space="preserve">元整（￥</w:t>
      </w:r>
      <w:r>
        <w:rPr>
          <w:rFonts w:hint="eastAsia" w:ascii="宋体" w:hAnsi="宋体" w:cs="宋体"/>
          <w:bCs/>
          <w:color w:val="000000"/>
          <w:sz w:val="24"/>
          <w:lang w:val="en-US" w:eastAsia="zh-CN"/>
        </w:rPr>
        <w:t xml:space="preserve">6000</w:t>
      </w:r>
      <w:r>
        <w:rPr>
          <w:rFonts w:hint="eastAsia" w:ascii="宋体" w:hAnsi="宋体" w:cs="宋体"/>
          <w:bCs/>
          <w:color w:val="000000"/>
          <w:sz w:val="24"/>
          <w:lang w:val="zh-CN"/>
        </w:rPr>
        <w:t xml:space="preserve">.00）</w:t>
      </w:r>
      <w:r/>
    </w:p>
    <w:p>
      <w:pPr>
        <w:ind w:firstLine="480"/>
        <w:spacing w:after="0"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第五标段：人民币</w:t>
      </w:r>
      <w:r>
        <w:rPr>
          <w:rFonts w:hint="eastAsia" w:ascii="宋体" w:hAnsi="宋体" w:cs="宋体"/>
          <w:bCs/>
          <w:color w:val="000000"/>
          <w:sz w:val="24"/>
          <w:lang w:val="en-US" w:eastAsia="zh-CN"/>
        </w:rPr>
        <w:t xml:space="preserve">伍仟零肆拾</w:t>
      </w:r>
      <w:r>
        <w:rPr>
          <w:rFonts w:hint="eastAsia" w:ascii="宋体" w:hAnsi="宋体" w:cs="宋体"/>
          <w:bCs/>
          <w:color w:val="000000"/>
          <w:sz w:val="24"/>
          <w:lang w:val="zh-CN"/>
        </w:rPr>
        <w:t xml:space="preserve">元整（￥</w:t>
      </w:r>
      <w:r>
        <w:rPr>
          <w:rFonts w:hint="eastAsia" w:ascii="宋体" w:hAnsi="宋体" w:cs="宋体"/>
          <w:bCs/>
          <w:color w:val="000000"/>
          <w:sz w:val="24"/>
          <w:lang w:val="en-US" w:eastAsia="zh-CN"/>
        </w:rPr>
        <w:t xml:space="preserve">5040</w:t>
      </w:r>
      <w:r>
        <w:rPr>
          <w:rFonts w:hint="eastAsia" w:ascii="宋体" w:hAnsi="宋体" w:cs="宋体"/>
          <w:bCs/>
          <w:color w:val="000000"/>
          <w:sz w:val="24"/>
          <w:lang w:val="zh-CN"/>
        </w:rPr>
        <w:t xml:space="preserve">.00）</w:t>
      </w:r>
      <w:r/>
    </w:p>
    <w:p>
      <w:pPr>
        <w:ind w:firstLine="480"/>
        <w:spacing w:after="0"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第六标段：人民币</w:t>
      </w:r>
      <w:r>
        <w:rPr>
          <w:rFonts w:hint="eastAsia" w:ascii="宋体" w:hAnsi="宋体" w:cs="宋体"/>
          <w:bCs/>
          <w:color w:val="000000"/>
          <w:sz w:val="24"/>
          <w:lang w:val="en-US" w:eastAsia="zh-CN"/>
        </w:rPr>
        <w:t xml:space="preserve">肆仟玖佰贰拾</w:t>
      </w:r>
      <w:r>
        <w:rPr>
          <w:rFonts w:hint="eastAsia" w:ascii="宋体" w:hAnsi="宋体" w:cs="宋体"/>
          <w:bCs/>
          <w:color w:val="000000"/>
          <w:sz w:val="24"/>
          <w:lang w:val="zh-CN"/>
        </w:rPr>
        <w:t xml:space="preserve">元整（￥</w:t>
      </w:r>
      <w:r>
        <w:rPr>
          <w:rFonts w:hint="eastAsia" w:ascii="宋体" w:hAnsi="宋体" w:cs="宋体"/>
          <w:bCs/>
          <w:color w:val="000000"/>
          <w:sz w:val="24"/>
          <w:lang w:val="en-US" w:eastAsia="zh-CN"/>
        </w:rPr>
        <w:t xml:space="preserve">4920</w:t>
      </w:r>
      <w:r>
        <w:rPr>
          <w:rFonts w:hint="eastAsia" w:ascii="宋体" w:hAnsi="宋体" w:cs="宋体"/>
          <w:bCs/>
          <w:color w:val="000000"/>
          <w:sz w:val="24"/>
          <w:lang w:val="zh-CN"/>
        </w:rPr>
        <w:t xml:space="preserve">.00）</w:t>
      </w:r>
      <w:r/>
    </w:p>
    <w:p>
      <w:pPr>
        <w:ind w:firstLine="480"/>
        <w:spacing w:after="0"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第七标段：人民币</w:t>
      </w:r>
      <w:r>
        <w:rPr>
          <w:rFonts w:hint="eastAsia" w:ascii="宋体" w:hAnsi="宋体" w:cs="宋体"/>
          <w:bCs/>
          <w:color w:val="000000"/>
          <w:sz w:val="24"/>
          <w:lang w:val="en-US" w:eastAsia="zh-CN"/>
        </w:rPr>
        <w:t xml:space="preserve">叁仟柒佰贰拾</w:t>
      </w:r>
      <w:r>
        <w:rPr>
          <w:rFonts w:hint="eastAsia" w:ascii="宋体" w:hAnsi="宋体" w:cs="宋体"/>
          <w:bCs/>
          <w:color w:val="000000"/>
          <w:sz w:val="24"/>
          <w:lang w:val="zh-CN"/>
        </w:rPr>
        <w:t xml:space="preserve">元整（￥</w:t>
      </w:r>
      <w:r>
        <w:rPr>
          <w:rFonts w:hint="eastAsia" w:ascii="宋体" w:hAnsi="宋体" w:cs="宋体"/>
          <w:bCs/>
          <w:color w:val="000000"/>
          <w:sz w:val="24"/>
          <w:lang w:val="en-US" w:eastAsia="zh-CN"/>
        </w:rPr>
        <w:t xml:space="preserve">3720</w:t>
      </w:r>
      <w:r>
        <w:rPr>
          <w:rFonts w:hint="eastAsia" w:ascii="宋体" w:hAnsi="宋体" w:cs="宋体"/>
          <w:bCs/>
          <w:color w:val="000000"/>
          <w:sz w:val="24"/>
          <w:lang w:val="zh-CN"/>
        </w:rPr>
        <w:t xml:space="preserve">.00）</w:t>
      </w:r>
      <w:r/>
    </w:p>
    <w:p>
      <w:pPr>
        <w:ind w:firstLine="480"/>
        <w:spacing w:after="0"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第八标段：人民币</w:t>
      </w:r>
      <w:r>
        <w:rPr>
          <w:rFonts w:hint="eastAsia" w:ascii="宋体" w:hAnsi="宋体" w:cs="宋体"/>
          <w:bCs/>
          <w:color w:val="000000"/>
          <w:sz w:val="24"/>
          <w:lang w:val="en-US" w:eastAsia="zh-CN"/>
        </w:rPr>
        <w:t xml:space="preserve">叁仟肆佰捌拾</w:t>
      </w:r>
      <w:r>
        <w:rPr>
          <w:rFonts w:hint="eastAsia" w:ascii="宋体" w:hAnsi="宋体" w:cs="宋体"/>
          <w:bCs/>
          <w:color w:val="000000"/>
          <w:sz w:val="24"/>
          <w:lang w:val="zh-CN"/>
        </w:rPr>
        <w:t xml:space="preserve">元整（￥</w:t>
      </w:r>
      <w:r>
        <w:rPr>
          <w:rFonts w:hint="eastAsia" w:ascii="宋体" w:hAnsi="宋体" w:cs="宋体"/>
          <w:bCs/>
          <w:color w:val="000000"/>
          <w:sz w:val="24"/>
          <w:lang w:val="en-US" w:eastAsia="zh-CN"/>
        </w:rPr>
        <w:t xml:space="preserve">3480</w:t>
      </w:r>
      <w:r>
        <w:rPr>
          <w:rFonts w:hint="eastAsia" w:ascii="宋体" w:hAnsi="宋体" w:cs="宋体"/>
          <w:bCs/>
          <w:color w:val="000000"/>
          <w:sz w:val="24"/>
          <w:lang w:val="zh-CN"/>
        </w:rPr>
        <w:t xml:space="preserve">.00）</w:t>
      </w:r>
      <w:r/>
    </w:p>
    <w:p>
      <w:pPr>
        <w:ind w:firstLine="480"/>
        <w:spacing w:after="0"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第九标段：人民币</w:t>
      </w:r>
      <w:r>
        <w:rPr>
          <w:rFonts w:hint="eastAsia" w:ascii="宋体" w:hAnsi="宋体" w:cs="宋体"/>
          <w:bCs/>
          <w:color w:val="000000"/>
          <w:sz w:val="24"/>
          <w:lang w:val="en-US" w:eastAsia="zh-CN"/>
        </w:rPr>
        <w:t xml:space="preserve">叁仟肆佰捌拾</w:t>
      </w:r>
      <w:r>
        <w:rPr>
          <w:rFonts w:hint="eastAsia" w:ascii="宋体" w:hAnsi="宋体" w:cs="宋体"/>
          <w:bCs/>
          <w:color w:val="000000"/>
          <w:sz w:val="24"/>
          <w:lang w:val="zh-CN"/>
        </w:rPr>
        <w:t xml:space="preserve">元整（￥</w:t>
      </w:r>
      <w:r>
        <w:rPr>
          <w:rFonts w:hint="eastAsia" w:ascii="宋体" w:hAnsi="宋体" w:cs="宋体"/>
          <w:bCs/>
          <w:color w:val="000000"/>
          <w:sz w:val="24"/>
          <w:lang w:val="en-US" w:eastAsia="zh-CN"/>
        </w:rPr>
        <w:t xml:space="preserve">3480</w:t>
      </w:r>
      <w:r>
        <w:rPr>
          <w:rFonts w:hint="eastAsia" w:ascii="宋体" w:hAnsi="宋体" w:cs="宋体"/>
          <w:bCs/>
          <w:color w:val="000000"/>
          <w:sz w:val="24"/>
          <w:lang w:val="zh-CN"/>
        </w:rPr>
        <w:t xml:space="preserve">.00）</w:t>
      </w:r>
      <w:r/>
    </w:p>
    <w:p>
      <w:pPr>
        <w:ind w:firstLine="480"/>
        <w:spacing w:after="0"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第十标段：人民币</w:t>
      </w:r>
      <w:r>
        <w:rPr>
          <w:rFonts w:hint="eastAsia" w:ascii="宋体" w:hAnsi="宋体" w:cs="宋体"/>
          <w:bCs/>
          <w:color w:val="000000"/>
          <w:sz w:val="24"/>
          <w:lang w:val="en-US" w:eastAsia="zh-CN"/>
        </w:rPr>
        <w:t xml:space="preserve">叁仟肆佰捌拾</w:t>
      </w:r>
      <w:r>
        <w:rPr>
          <w:rFonts w:hint="eastAsia" w:ascii="宋体" w:hAnsi="宋体" w:cs="宋体"/>
          <w:bCs/>
          <w:color w:val="000000"/>
          <w:sz w:val="24"/>
          <w:lang w:val="zh-CN"/>
        </w:rPr>
        <w:t xml:space="preserve">元整（￥</w:t>
      </w:r>
      <w:r>
        <w:rPr>
          <w:rFonts w:hint="eastAsia" w:ascii="宋体" w:hAnsi="宋体" w:cs="宋体"/>
          <w:bCs/>
          <w:color w:val="000000"/>
          <w:sz w:val="24"/>
          <w:lang w:val="en-US" w:eastAsia="zh-CN"/>
        </w:rPr>
        <w:t xml:space="preserve">3480</w:t>
      </w:r>
      <w:r>
        <w:rPr>
          <w:rFonts w:hint="eastAsia" w:ascii="宋体" w:hAnsi="宋体" w:cs="宋体"/>
          <w:bCs/>
          <w:color w:val="000000"/>
          <w:sz w:val="24"/>
          <w:lang w:val="zh-CN"/>
        </w:rPr>
        <w:t xml:space="preserve">.00）</w:t>
      </w:r>
      <w:r/>
    </w:p>
    <w:p>
      <w:pPr>
        <w:ind w:firstLine="480"/>
        <w:spacing w:after="0" w:line="360" w:lineRule="auto"/>
        <w:rPr>
          <w:rFonts w:hint="eastAsia" w:ascii="宋体" w:hAnsi="宋体" w:cs="宋体"/>
          <w:bCs/>
          <w:color w:val="000000"/>
          <w:sz w:val="24"/>
          <w:highlight w:val="green"/>
          <w:lang w:val="zh-CN"/>
        </w:rPr>
      </w:pPr>
      <w:r>
        <w:rPr>
          <w:rFonts w:hint="eastAsia" w:ascii="宋体" w:hAnsi="宋体" w:cs="宋体"/>
          <w:bCs/>
          <w:color w:val="000000"/>
          <w:sz w:val="24"/>
          <w:highlight w:val="none"/>
          <w:lang w:val="zh-CN"/>
        </w:rPr>
        <w:t xml:space="preserve">第十一标段：人民币</w:t>
      </w:r>
      <w:r>
        <w:rPr>
          <w:rFonts w:hint="eastAsia" w:ascii="宋体" w:hAnsi="宋体" w:cs="宋体"/>
          <w:bCs/>
          <w:color w:val="000000"/>
          <w:sz w:val="24"/>
          <w:highlight w:val="none"/>
          <w:lang w:val="en-US" w:eastAsia="zh-CN"/>
        </w:rPr>
        <w:t xml:space="preserve">叁仟壹佰贰拾</w:t>
      </w:r>
      <w:r>
        <w:rPr>
          <w:rFonts w:hint="eastAsia" w:ascii="宋体" w:hAnsi="宋体" w:cs="宋体"/>
          <w:bCs/>
          <w:color w:val="000000"/>
          <w:sz w:val="24"/>
          <w:highlight w:val="none"/>
          <w:lang w:val="zh-CN"/>
        </w:rPr>
        <w:t xml:space="preserve">元整（￥</w:t>
      </w:r>
      <w:r>
        <w:rPr>
          <w:rFonts w:hint="eastAsia" w:ascii="宋体" w:hAnsi="宋体" w:cs="宋体"/>
          <w:bCs/>
          <w:color w:val="000000"/>
          <w:sz w:val="24"/>
          <w:highlight w:val="none"/>
          <w:lang w:val="en-US" w:eastAsia="zh-CN"/>
        </w:rPr>
        <w:t xml:space="preserve">3120</w:t>
      </w:r>
      <w:r>
        <w:rPr>
          <w:rFonts w:hint="eastAsia" w:ascii="宋体" w:hAnsi="宋体" w:cs="宋体"/>
          <w:bCs/>
          <w:color w:val="000000"/>
          <w:sz w:val="24"/>
          <w:highlight w:val="none"/>
          <w:lang w:val="zh-CN"/>
        </w:rPr>
        <w:t xml:space="preserve">.00）</w:t>
      </w:r>
      <w:r/>
    </w:p>
    <w:p>
      <w:pPr>
        <w:ind w:firstLine="480"/>
        <w:spacing w:after="0" w:line="360" w:lineRule="auto"/>
        <w:rPr>
          <w:rFonts w:hint="eastAsia" w:ascii="宋体" w:hAnsi="宋体" w:cs="宋体"/>
          <w:bCs/>
          <w:color w:val="000000"/>
          <w:sz w:val="24"/>
        </w:rPr>
      </w:pPr>
      <w:r>
        <w:rPr>
          <w:rFonts w:hint="eastAsia" w:ascii="宋体" w:hAnsi="宋体" w:cs="宋体"/>
          <w:bCs/>
          <w:color w:val="000000"/>
          <w:sz w:val="24"/>
          <w:lang w:val="zh-CN"/>
        </w:rPr>
        <w:t xml:space="preserve">第十二标段：人民币</w:t>
      </w:r>
      <w:r>
        <w:rPr>
          <w:rFonts w:hint="eastAsia" w:ascii="宋体" w:hAnsi="宋体" w:cs="宋体"/>
          <w:bCs/>
          <w:color w:val="000000"/>
          <w:sz w:val="24"/>
          <w:lang w:val="en-US" w:eastAsia="zh-CN"/>
        </w:rPr>
        <w:t xml:space="preserve">叁仟</w:t>
      </w:r>
      <w:r>
        <w:rPr>
          <w:rFonts w:hint="eastAsia" w:ascii="宋体" w:hAnsi="宋体" w:cs="宋体"/>
          <w:bCs/>
          <w:color w:val="000000"/>
          <w:sz w:val="24"/>
          <w:lang w:val="zh-CN"/>
        </w:rPr>
        <w:t xml:space="preserve">元整（￥</w:t>
      </w:r>
      <w:r>
        <w:rPr>
          <w:rFonts w:hint="eastAsia" w:ascii="宋体" w:hAnsi="宋体" w:cs="宋体"/>
          <w:bCs/>
          <w:color w:val="000000"/>
          <w:sz w:val="24"/>
          <w:lang w:val="en-US" w:eastAsia="zh-CN"/>
        </w:rPr>
        <w:t xml:space="preserve">3000</w:t>
      </w:r>
      <w:r>
        <w:rPr>
          <w:rFonts w:hint="eastAsia" w:ascii="宋体" w:hAnsi="宋体" w:cs="宋体"/>
          <w:bCs/>
          <w:color w:val="000000"/>
          <w:sz w:val="24"/>
          <w:lang w:val="zh-CN"/>
        </w:rPr>
        <w:t xml:space="preserve">.00）</w:t>
      </w:r>
      <w:r/>
    </w:p>
    <w:p>
      <w:pPr>
        <w:ind w:firstLine="420"/>
        <w:spacing w:after="0" w:line="360" w:lineRule="auto"/>
        <w:tabs>
          <w:tab w:val="left" w:pos="8930" w:leader="none"/>
          <w:tab w:val="left" w:pos="9306" w:leader="none"/>
        </w:tabs>
        <w:rPr>
          <w:rFonts w:hint="eastAsia" w:ascii="宋体" w:hAnsi="宋体"/>
          <w:color w:val="000000"/>
          <w:sz w:val="24"/>
          <w:lang w:val="zh-CN"/>
        </w:rPr>
      </w:pPr>
      <w:r>
        <w:rPr>
          <w:rFonts w:ascii="宋体" w:hAnsi="宋体"/>
          <w:color w:val="000000"/>
          <w:sz w:val="24"/>
          <w:lang w:val="zh-CN"/>
        </w:rPr>
        <w:t xml:space="preserve">收款</w:t>
      </w:r>
      <w:r>
        <w:rPr>
          <w:rFonts w:hint="eastAsia" w:ascii="宋体" w:hAnsi="宋体"/>
          <w:color w:val="000000"/>
          <w:sz w:val="24"/>
          <w:lang w:val="zh-CN"/>
        </w:rPr>
        <w:t xml:space="preserve">信息：苏州子梦建设工程造价咨询所</w:t>
      </w:r>
      <w:r/>
    </w:p>
    <w:p>
      <w:pPr>
        <w:ind w:firstLine="420"/>
        <w:spacing w:after="0" w:line="360" w:lineRule="auto"/>
        <w:tabs>
          <w:tab w:val="left" w:pos="8930" w:leader="none"/>
          <w:tab w:val="left" w:pos="9306" w:leader="none"/>
        </w:tabs>
        <w:rPr>
          <w:rFonts w:hint="eastAsia" w:ascii="宋体" w:hAnsi="宋体"/>
          <w:color w:val="000000"/>
          <w:sz w:val="24"/>
          <w:highlight w:val="none"/>
          <w:lang w:val="zh-CN"/>
        </w:rPr>
      </w:pPr>
      <w:r>
        <w:rPr>
          <w:rFonts w:hint="eastAsia" w:ascii="宋体" w:hAnsi="宋体"/>
          <w:color w:val="000000"/>
          <w:sz w:val="24"/>
          <w:highlight w:val="none"/>
          <w:lang w:val="zh-CN"/>
        </w:rPr>
        <w:t xml:space="preserve">开户银行名称：中国工商银行股份有限公司苏州吴中支行</w:t>
      </w:r>
      <w:r/>
    </w:p>
    <w:p>
      <w:pPr>
        <w:ind w:firstLine="480"/>
        <w:spacing w:after="0" w:line="360" w:lineRule="auto"/>
        <w:rPr>
          <w:rFonts w:hint="eastAsia" w:ascii="宋体" w:hAnsi="宋体"/>
          <w:color w:val="000000"/>
          <w:sz w:val="24"/>
          <w:highlight w:val="none"/>
        </w:rPr>
      </w:pPr>
      <w:r>
        <w:rPr>
          <w:rFonts w:hint="eastAsia" w:ascii="宋体" w:hAnsi="宋体"/>
          <w:color w:val="000000"/>
          <w:sz w:val="24"/>
          <w:highlight w:val="none"/>
          <w:lang w:val="zh-CN"/>
        </w:rPr>
        <w:t xml:space="preserve">银行账号：1102026209200666629</w:t>
      </w:r>
      <w:r/>
    </w:p>
    <w:p>
      <w:pPr>
        <w:pStyle w:val="1194"/>
        <w:ind w:firstLine="422"/>
        <w:spacing w:after="0" w:line="360" w:lineRule="auto"/>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 xml:space="preserve">36.有关监督部门将对招投标全过程进行监督。</w:t>
      </w:r>
      <w:r/>
    </w:p>
    <w:p>
      <w:pPr>
        <w:pStyle w:val="1194"/>
        <w:ind w:firstLine="422"/>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37.未尽事宜：按《中华人民共和国政府采购法》及其他</w:t>
      </w:r>
      <w:r>
        <w:rPr>
          <w:rFonts w:hint="eastAsia" w:ascii="宋体" w:hAnsi="宋体" w:eastAsia="宋体" w:cs="宋体"/>
          <w:bCs/>
          <w:color w:val="000000"/>
          <w:sz w:val="24"/>
          <w:szCs w:val="24"/>
        </w:rPr>
        <w:t xml:space="preserve">有关的法律法规的规定执行。</w:t>
      </w:r>
      <w:r/>
    </w:p>
    <w:p>
      <w:pPr>
        <w:jc w:val="cente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ind w:left="0" w:firstLine="0"/>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pStyle w:val="1137"/>
        <w:ind w:left="0" w:firstLine="0"/>
        <w:spacing w:after="0" w:line="360" w:lineRule="auto"/>
        <w:rPr>
          <w:rFonts w:hint="eastAsia" w:ascii="宋体" w:hAnsi="宋体" w:eastAsia="宋体" w:cs="宋体"/>
          <w:bCs/>
          <w:color w:val="000000"/>
          <w:sz w:val="24"/>
        </w:rPr>
      </w:pPr>
      <w:r>
        <w:rPr>
          <w:rFonts w:hint="eastAsia" w:ascii="宋体" w:hAnsi="宋体" w:eastAsia="宋体" w:cs="宋体"/>
          <w:bCs/>
          <w:color w:val="000000"/>
          <w:sz w:val="24"/>
        </w:rPr>
      </w:r>
      <w:r/>
    </w:p>
    <w:p>
      <w:pPr>
        <w:jc w:val="center"/>
        <w:spacing w:after="0" w:line="360" w:lineRule="auto"/>
        <w:rPr>
          <w:rFonts w:hint="eastAsia" w:ascii="宋体" w:hAnsi="宋体" w:cs="宋体"/>
          <w:bCs/>
          <w:color w:val="000000"/>
          <w:sz w:val="24"/>
        </w:rPr>
      </w:pPr>
      <w:r>
        <w:rPr>
          <w:rFonts w:hint="eastAsia" w:ascii="宋体" w:hAnsi="宋体" w:cs="宋体"/>
          <w:bCs/>
          <w:color w:val="000000"/>
          <w:sz w:val="24"/>
        </w:rPr>
        <w:t xml:space="preserve">第三章 投标文件格式</w:t>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t xml:space="preserve">说明：</w:t>
      </w:r>
      <w:r/>
    </w:p>
    <w:p>
      <w:pPr>
        <w:pStyle w:val="1194"/>
        <w:ind w:firstLine="420"/>
        <w:spacing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对本章所有的投标书格式，投标方可根据自身情况进行补充和修改，但补充和修改不得造成与本格式内容有实质性的违背。</w:t>
      </w:r>
      <w:r/>
    </w:p>
    <w:p>
      <w:pPr>
        <w:jc w:val="left"/>
        <w:spacing w:after="0" w:line="360" w:lineRule="auto"/>
        <w:rPr>
          <w:rFonts w:hint="eastAsia" w:ascii="宋体" w:hAnsi="宋体" w:cs="宋体"/>
          <w:bCs/>
          <w:color w:val="000000"/>
          <w:sz w:val="24"/>
        </w:rPr>
      </w:pPr>
      <w:r>
        <w:rPr>
          <w:rFonts w:hint="eastAsia" w:ascii="宋体" w:hAnsi="宋体" w:cs="宋体"/>
          <w:bCs/>
          <w:color w:val="000000"/>
          <w:sz w:val="24"/>
        </w:rPr>
      </w:r>
      <w:r/>
    </w:p>
    <w:p>
      <w:pPr>
        <w:pStyle w:val="840"/>
        <w:ind w:firstLine="0"/>
        <w:spacing w:line="360" w:lineRule="auto"/>
        <w:rPr>
          <w:rFonts w:hint="eastAsia" w:ascii="宋体" w:hAnsi="宋体" w:eastAsia="宋体"/>
          <w:bCs/>
          <w:color w:val="000000"/>
          <w:szCs w:val="24"/>
        </w:rPr>
      </w:pPr>
      <w:r/>
      <w:bookmarkStart w:id="29" w:name="_Toc17036"/>
      <w:r/>
      <w:bookmarkStart w:id="30" w:name="_Toc3821"/>
      <w:r/>
      <w:bookmarkStart w:id="31" w:name="_Toc71810480"/>
      <w:r>
        <w:rPr>
          <w:rFonts w:hint="eastAsia" w:ascii="宋体" w:hAnsi="宋体" w:eastAsia="宋体" w:cs="宋体"/>
          <w:bCs/>
          <w:color w:val="000000"/>
          <w:szCs w:val="24"/>
        </w:rPr>
        <w:br w:type="page" w:clear="all"/>
      </w:r>
      <w:bookmarkEnd w:id="29"/>
      <w:r/>
      <w:bookmarkEnd w:id="30"/>
      <w:r/>
      <w:bookmarkEnd w:id="31"/>
      <w:r/>
      <w:bookmarkStart w:id="32" w:name="_Toc387680431"/>
      <w:r>
        <w:rPr>
          <w:rFonts w:ascii="宋体" w:hAnsi="宋体" w:eastAsia="宋体"/>
          <w:bCs/>
          <w:color w:val="000000"/>
          <w:szCs w:val="24"/>
        </w:rPr>
        <w:t xml:space="preserve">格式1、投标函</w:t>
      </w:r>
      <w:bookmarkEnd w:id="32"/>
      <w:r/>
      <w:r/>
    </w:p>
    <w:p>
      <w:pPr>
        <w:pStyle w:val="1128"/>
        <w:jc w:val="center"/>
        <w:spacing w:line="360" w:lineRule="auto"/>
        <w:rPr>
          <w:rFonts w:hAnsi="宋体" w:eastAsia="宋体"/>
          <w:bCs/>
          <w:color w:val="000000"/>
          <w:sz w:val="24"/>
          <w:szCs w:val="24"/>
        </w:rPr>
      </w:pPr>
      <w:r>
        <w:rPr>
          <w:rFonts w:hAnsi="宋体" w:eastAsia="宋体"/>
          <w:bCs/>
          <w:color w:val="000000"/>
          <w:sz w:val="24"/>
          <w:szCs w:val="24"/>
        </w:rPr>
        <w:t xml:space="preserve">投标函</w:t>
      </w:r>
      <w:r/>
    </w:p>
    <w:p>
      <w:pPr>
        <w:pStyle w:val="1128"/>
        <w:spacing w:line="360" w:lineRule="auto"/>
        <w:rPr>
          <w:rFonts w:hAnsi="宋体" w:eastAsia="宋体"/>
          <w:bCs/>
          <w:color w:val="000000"/>
          <w:sz w:val="24"/>
          <w:szCs w:val="24"/>
        </w:rPr>
      </w:pPr>
      <w:r>
        <w:rPr>
          <w:rFonts w:hint="eastAsia" w:hAnsi="宋体" w:eastAsia="宋体"/>
          <w:bCs/>
          <w:color w:val="000000"/>
          <w:sz w:val="24"/>
          <w:szCs w:val="24"/>
          <w:u w:val="single"/>
          <w:lang w:eastAsia="zh-CN"/>
        </w:rPr>
        <w:t xml:space="preserve">苏州子梦建设工程造价咨询所</w:t>
      </w:r>
      <w:r>
        <w:rPr>
          <w:rFonts w:hAnsi="宋体" w:eastAsia="宋体"/>
          <w:bCs/>
          <w:color w:val="000000"/>
          <w:sz w:val="24"/>
          <w:szCs w:val="24"/>
          <w:u w:val="single"/>
        </w:rPr>
        <w:t xml:space="preserve"> </w:t>
      </w:r>
      <w:r>
        <w:rPr>
          <w:rFonts w:hAnsi="宋体" w:eastAsia="宋体"/>
          <w:bCs/>
          <w:color w:val="000000"/>
          <w:sz w:val="24"/>
          <w:szCs w:val="24"/>
        </w:rPr>
        <w:t xml:space="preserve">：</w:t>
      </w:r>
      <w:r/>
    </w:p>
    <w:p>
      <w:pPr>
        <w:pStyle w:val="1128"/>
        <w:ind w:firstLine="480"/>
        <w:spacing w:line="360" w:lineRule="auto"/>
        <w:rPr>
          <w:rFonts w:hAnsi="宋体" w:eastAsia="宋体"/>
          <w:bCs/>
          <w:color w:val="000000"/>
          <w:sz w:val="24"/>
          <w:szCs w:val="24"/>
        </w:rPr>
      </w:pPr>
      <w:r>
        <w:rPr>
          <w:rFonts w:hAnsi="宋体" w:eastAsia="宋体"/>
          <w:bCs/>
          <w:color w:val="000000"/>
          <w:sz w:val="24"/>
          <w:szCs w:val="24"/>
        </w:rPr>
        <w:t xml:space="preserve">我们收到贵公司 </w:t>
      </w:r>
      <w:r>
        <w:rPr>
          <w:rFonts w:hAnsi="宋体" w:eastAsia="宋体"/>
          <w:bCs/>
          <w:color w:val="000000"/>
          <w:sz w:val="24"/>
          <w:szCs w:val="24"/>
          <w:u w:val="single"/>
        </w:rPr>
        <w:t xml:space="preserve">           </w:t>
      </w:r>
      <w:r>
        <w:rPr>
          <w:rFonts w:hAnsi="宋体" w:eastAsia="宋体"/>
          <w:bCs/>
          <w:color w:val="000000"/>
          <w:sz w:val="24"/>
          <w:szCs w:val="24"/>
        </w:rPr>
        <w:t xml:space="preserve">号招标文件，我公司认为本项目的招标坚持了公开、公平、公正的原则，经仔细阅读和研究，我们决定参加本项目投标。</w:t>
      </w:r>
      <w:r/>
    </w:p>
    <w:p>
      <w:pPr>
        <w:ind w:firstLine="482"/>
        <w:spacing w:after="0" w:line="360" w:lineRule="auto"/>
        <w:rPr>
          <w:rFonts w:hint="eastAsia" w:ascii="宋体" w:hAnsi="宋体"/>
          <w:color w:val="000000"/>
          <w:sz w:val="24"/>
        </w:rPr>
      </w:pPr>
      <w:r>
        <w:rPr>
          <w:rFonts w:hint="eastAsia" w:ascii="宋体" w:hAnsi="宋体" w:cs="宋体"/>
          <w:color w:val="000000"/>
          <w:sz w:val="24"/>
          <w:lang w:val="zh-CN"/>
        </w:rPr>
        <w:t xml:space="preserve">一、我方同意：</w:t>
      </w:r>
      <w:r/>
    </w:p>
    <w:p>
      <w:pPr>
        <w:ind w:firstLine="480"/>
        <w:spacing w:after="0" w:line="360" w:lineRule="auto"/>
        <w:rPr>
          <w:rFonts w:hint="eastAsia" w:ascii="宋体" w:hAnsi="宋体"/>
          <w:b/>
          <w:color w:val="000000"/>
          <w:sz w:val="24"/>
        </w:rPr>
      </w:pPr>
      <w:r>
        <w:rPr>
          <w:rFonts w:ascii="宋体" w:hAnsi="宋体"/>
          <w:color w:val="000000"/>
          <w:sz w:val="24"/>
        </w:rPr>
        <w:t xml:space="preserve">1</w:t>
      </w:r>
      <w:r>
        <w:rPr>
          <w:rFonts w:hint="eastAsia" w:ascii="宋体" w:hAnsi="宋体"/>
          <w:color w:val="000000"/>
          <w:sz w:val="24"/>
        </w:rPr>
        <w:t xml:space="preserve">、我们愿意按照招标文件的一切要求，完成该项目的全部内容。</w:t>
      </w:r>
      <w:r/>
    </w:p>
    <w:p>
      <w:pPr>
        <w:ind w:firstLine="480"/>
        <w:spacing w:after="0"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、如果我们的投标文件被接受，我们将严格履行招标文件中规定的每一项要求，按期、按质、按量履行合同的义务。</w:t>
      </w:r>
      <w:r/>
    </w:p>
    <w:p>
      <w:pPr>
        <w:ind w:firstLine="480"/>
        <w:spacing w:after="0"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、我们已</w:t>
      </w:r>
      <w:r>
        <w:rPr>
          <w:rFonts w:ascii="宋体" w:hAnsi="宋体"/>
          <w:color w:val="000000"/>
          <w:sz w:val="24"/>
        </w:rPr>
        <w:t xml:space="preserve">详细</w:t>
      </w:r>
      <w:r>
        <w:rPr>
          <w:rFonts w:hint="eastAsia" w:ascii="宋体" w:hAnsi="宋体"/>
          <w:color w:val="000000"/>
          <w:sz w:val="24"/>
        </w:rPr>
        <w:t xml:space="preserve">阅读</w:t>
      </w:r>
      <w:r>
        <w:rPr>
          <w:rFonts w:ascii="宋体" w:hAnsi="宋体"/>
          <w:color w:val="000000"/>
          <w:sz w:val="24"/>
        </w:rPr>
        <w:t xml:space="preserve">全部</w:t>
      </w:r>
      <w:r>
        <w:rPr>
          <w:rFonts w:hint="eastAsia" w:ascii="宋体" w:hAnsi="宋体"/>
          <w:color w:val="000000"/>
          <w:sz w:val="24"/>
        </w:rPr>
        <w:t xml:space="preserve">招标文件</w:t>
      </w:r>
      <w:r>
        <w:rPr>
          <w:rFonts w:ascii="宋体" w:hAnsi="宋体"/>
          <w:color w:val="000000"/>
          <w:sz w:val="24"/>
        </w:rPr>
        <w:t xml:space="preserve">，包括</w:t>
      </w:r>
      <w:r>
        <w:rPr>
          <w:rFonts w:hint="eastAsia" w:ascii="宋体" w:hAnsi="宋体"/>
          <w:color w:val="000000"/>
          <w:sz w:val="24"/>
        </w:rPr>
        <w:t xml:space="preserve">更正公告</w:t>
      </w:r>
      <w:r>
        <w:rPr>
          <w:rFonts w:ascii="宋体" w:hAnsi="宋体"/>
          <w:color w:val="000000"/>
          <w:sz w:val="24"/>
        </w:rPr>
        <w:t xml:space="preserve">(如有)</w:t>
      </w:r>
      <w:r>
        <w:rPr>
          <w:rFonts w:hint="eastAsia" w:ascii="宋体" w:hAnsi="宋体"/>
          <w:color w:val="000000"/>
          <w:sz w:val="24"/>
        </w:rPr>
        <w:t xml:space="preserve">，对招标文件及更正公告。</w:t>
      </w:r>
      <w:r/>
    </w:p>
    <w:p>
      <w:pPr>
        <w:ind w:firstLine="480"/>
        <w:spacing w:after="0" w:line="360" w:lineRule="auto"/>
        <w:rPr>
          <w:rFonts w:hint="eastAsia" w:ascii="宋体" w:hAnsi="宋体"/>
          <w:color w:val="000000"/>
          <w:sz w:val="24"/>
        </w:rPr>
      </w:pPr>
      <w:r>
        <w:rPr>
          <w:rFonts w:hint="eastAsia" w:ascii="宋体" w:hAnsi="宋体"/>
          <w:color w:val="000000"/>
          <w:sz w:val="24"/>
        </w:rPr>
        <w:t xml:space="preserve">4、我们同意按招标文件中的规定，本投标文件的有效期限自提交投标文件截止时间之日起</w:t>
      </w:r>
      <w:r>
        <w:rPr>
          <w:rFonts w:hint="eastAsia" w:ascii="宋体" w:hAnsi="宋体"/>
          <w:color w:val="000000"/>
          <w:sz w:val="24"/>
          <w:u w:val="single"/>
        </w:rPr>
        <w:t xml:space="preserve">   </w:t>
      </w:r>
      <w:r>
        <w:rPr>
          <w:rFonts w:hint="eastAsia" w:ascii="宋体" w:hAnsi="宋体"/>
          <w:color w:val="000000"/>
          <w:sz w:val="24"/>
        </w:rPr>
        <w:t xml:space="preserve">天。</w:t>
      </w:r>
      <w:r/>
    </w:p>
    <w:p>
      <w:pPr>
        <w:ind w:firstLine="480"/>
        <w:spacing w:after="0" w:line="360" w:lineRule="auto"/>
        <w:rPr>
          <w:rFonts w:hint="eastAsia" w:ascii="宋体" w:hAnsi="宋体"/>
          <w:color w:val="000000"/>
          <w:sz w:val="24"/>
        </w:rPr>
      </w:pPr>
      <w:r>
        <w:rPr>
          <w:rFonts w:hint="eastAsia" w:ascii="宋体" w:hAnsi="宋体"/>
          <w:color w:val="000000"/>
          <w:sz w:val="24"/>
        </w:rPr>
        <w:t xml:space="preserve">5、我们愿意提供招标单位在招标文件中要求的所有资料。</w:t>
      </w:r>
      <w:r/>
    </w:p>
    <w:p>
      <w:pPr>
        <w:ind w:firstLine="480"/>
        <w:spacing w:after="0" w:line="360" w:lineRule="auto"/>
        <w:rPr>
          <w:rFonts w:hint="eastAsia" w:ascii="宋体" w:hAnsi="宋体"/>
          <w:color w:val="000000"/>
          <w:sz w:val="24"/>
        </w:rPr>
      </w:pPr>
      <w:r>
        <w:rPr>
          <w:rFonts w:hint="eastAsia" w:ascii="宋体" w:hAnsi="宋体"/>
          <w:color w:val="000000"/>
          <w:sz w:val="24"/>
        </w:rPr>
        <w:t xml:space="preserve">6、我们愿意遵守招标文件中所列的收费标准。</w:t>
      </w:r>
      <w:r/>
    </w:p>
    <w:p>
      <w:pPr>
        <w:ind w:firstLine="480"/>
        <w:spacing w:after="0" w:line="360" w:lineRule="auto"/>
        <w:rPr>
          <w:rFonts w:hint="eastAsia" w:ascii="宋体" w:hAnsi="宋体"/>
          <w:color w:val="000000"/>
          <w:sz w:val="24"/>
        </w:rPr>
      </w:pPr>
      <w:r>
        <w:rPr>
          <w:rFonts w:hint="eastAsia" w:ascii="宋体" w:hAnsi="宋体"/>
          <w:color w:val="000000"/>
          <w:sz w:val="24"/>
        </w:rPr>
        <w:t xml:space="preserve">7、我们承诺该投标文件在招标开始后的全过程中保持有效，不作任何更改和变动。</w:t>
      </w:r>
      <w:r/>
    </w:p>
    <w:p>
      <w:pPr>
        <w:ind w:firstLine="480"/>
        <w:spacing w:after="0" w:line="360" w:lineRule="auto"/>
        <w:rPr>
          <w:rFonts w:hint="eastAsia" w:ascii="宋体" w:hAnsi="宋体"/>
          <w:color w:val="000000"/>
          <w:sz w:val="24"/>
        </w:rPr>
      </w:pPr>
      <w:r>
        <w:rPr>
          <w:rFonts w:hint="eastAsia" w:ascii="宋体" w:hAnsi="宋体"/>
          <w:color w:val="000000"/>
          <w:sz w:val="24"/>
        </w:rPr>
        <w:t xml:space="preserve">8、我们承诺我公司符合招标文件投标单位须知中“合格投标单位的基本、特定条件”的要求，若与真实情况不符，本公司愿意承担由此而产生的一切后果。</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9、我们同意在投标文件中提交《响应保证承诺书》。</w:t>
      </w:r>
      <w:r/>
    </w:p>
    <w:p>
      <w:pPr>
        <w:ind w:firstLine="480"/>
        <w:spacing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二、如果我方能中标，我方郑重承诺：</w:t>
      </w:r>
      <w:r/>
    </w:p>
    <w:p>
      <w:pPr>
        <w:ind w:firstLine="480"/>
        <w:spacing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w:t>
      </w:r>
      <w:r>
        <w:rPr>
          <w:rFonts w:hint="eastAsia" w:ascii="宋体" w:hAnsi="宋体" w:cs="宋体"/>
          <w:color w:val="000000"/>
          <w:sz w:val="24"/>
          <w:lang w:val="zh-CN"/>
        </w:rPr>
        <w:t xml:space="preserve">将严格履行招标文件中确定的收费标准承接由苏州太湖新城吴中管理委员会</w:t>
      </w:r>
      <w:r>
        <w:rPr>
          <w:rFonts w:hint="eastAsia" w:ascii="宋体" w:hAnsi="宋体" w:cs="宋体"/>
          <w:color w:val="000000"/>
          <w:sz w:val="24"/>
        </w:rPr>
        <w:t xml:space="preserve">党政办（投资评审中心）</w:t>
      </w:r>
      <w:r>
        <w:rPr>
          <w:rFonts w:hint="eastAsia" w:ascii="宋体" w:hAnsi="宋体" w:cs="宋体"/>
          <w:color w:val="000000"/>
          <w:sz w:val="24"/>
          <w:lang w:val="zh-CN"/>
        </w:rPr>
        <w:t xml:space="preserve">委托施工阶段造价控制跟审服务，并同意按其规定的方式和时间结算相关业务费用；</w:t>
      </w:r>
      <w:r/>
    </w:p>
    <w:p>
      <w:pPr>
        <w:ind w:firstLine="480"/>
        <w:spacing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w:t>
      </w:r>
      <w:r>
        <w:rPr>
          <w:rFonts w:hint="eastAsia" w:ascii="宋体" w:hAnsi="宋体" w:cs="宋体"/>
          <w:color w:val="000000"/>
          <w:sz w:val="24"/>
          <w:lang w:val="zh-CN"/>
        </w:rPr>
        <w:t xml:space="preserve">在接受</w:t>
      </w:r>
      <w:r>
        <w:rPr>
          <w:rFonts w:hint="eastAsia" w:ascii="宋体" w:hAnsi="宋体" w:cs="宋体"/>
          <w:color w:val="000000"/>
          <w:sz w:val="24"/>
        </w:rPr>
        <w:t xml:space="preserve">跟</w:t>
      </w:r>
      <w:r>
        <w:rPr>
          <w:rFonts w:hint="eastAsia" w:ascii="宋体" w:hAnsi="宋体" w:cs="宋体"/>
          <w:color w:val="000000"/>
          <w:sz w:val="24"/>
          <w:lang w:val="zh-CN"/>
        </w:rPr>
        <w:t xml:space="preserve">审业务过程中，我方将严格遵守国家的有关法律、法规、制度规定及有关执业规范的要求，客观公证的开展</w:t>
      </w:r>
      <w:r>
        <w:rPr>
          <w:rFonts w:hint="eastAsia" w:ascii="宋体" w:hAnsi="宋体" w:cs="宋体"/>
          <w:color w:val="000000"/>
          <w:sz w:val="24"/>
        </w:rPr>
        <w:t xml:space="preserve">跟审</w:t>
      </w:r>
      <w:r>
        <w:rPr>
          <w:rFonts w:hint="eastAsia" w:ascii="宋体" w:hAnsi="宋体" w:cs="宋体"/>
          <w:color w:val="000000"/>
          <w:sz w:val="24"/>
          <w:lang w:val="zh-CN"/>
        </w:rPr>
        <w:t xml:space="preserve">工作，确保项目</w:t>
      </w:r>
      <w:r>
        <w:rPr>
          <w:rFonts w:hint="eastAsia" w:ascii="宋体" w:hAnsi="宋体" w:cs="宋体"/>
          <w:color w:val="000000"/>
          <w:sz w:val="24"/>
        </w:rPr>
        <w:t xml:space="preserve">跟审</w:t>
      </w:r>
      <w:r>
        <w:rPr>
          <w:rFonts w:hint="eastAsia" w:ascii="宋体" w:hAnsi="宋体" w:cs="宋体"/>
          <w:color w:val="000000"/>
          <w:sz w:val="24"/>
          <w:lang w:val="zh-CN"/>
        </w:rPr>
        <w:t xml:space="preserve">质量，按时完成</w:t>
      </w:r>
      <w:r>
        <w:rPr>
          <w:rFonts w:hint="eastAsia" w:ascii="宋体" w:hAnsi="宋体" w:cs="宋体"/>
          <w:color w:val="000000"/>
          <w:sz w:val="24"/>
        </w:rPr>
        <w:t xml:space="preserve">跟审</w:t>
      </w:r>
      <w:r>
        <w:rPr>
          <w:rFonts w:hint="eastAsia" w:ascii="宋体" w:hAnsi="宋体" w:cs="宋体"/>
          <w:color w:val="000000"/>
          <w:sz w:val="24"/>
          <w:lang w:val="zh-CN"/>
        </w:rPr>
        <w:t xml:space="preserve">业务，出具</w:t>
      </w:r>
      <w:r>
        <w:rPr>
          <w:rFonts w:hint="eastAsia" w:ascii="宋体" w:hAnsi="宋体" w:cs="宋体"/>
          <w:color w:val="000000"/>
          <w:sz w:val="24"/>
        </w:rPr>
        <w:t xml:space="preserve">跟审</w:t>
      </w:r>
      <w:r>
        <w:rPr>
          <w:rFonts w:hint="eastAsia" w:ascii="宋体" w:hAnsi="宋体" w:cs="宋体"/>
          <w:color w:val="000000"/>
          <w:sz w:val="24"/>
          <w:lang w:val="zh-CN"/>
        </w:rPr>
        <w:t xml:space="preserve">报告，并承担相应的</w:t>
      </w:r>
      <w:r>
        <w:rPr>
          <w:rFonts w:hint="eastAsia" w:ascii="宋体" w:hAnsi="宋体" w:cs="宋体"/>
          <w:color w:val="000000"/>
          <w:sz w:val="24"/>
        </w:rPr>
        <w:t xml:space="preserve">跟审</w:t>
      </w:r>
      <w:r>
        <w:rPr>
          <w:rFonts w:hint="eastAsia" w:ascii="宋体" w:hAnsi="宋体" w:cs="宋体"/>
          <w:color w:val="000000"/>
          <w:sz w:val="24"/>
          <w:lang w:val="zh-CN"/>
        </w:rPr>
        <w:t xml:space="preserve">责任；</w:t>
      </w:r>
      <w:r/>
    </w:p>
    <w:p>
      <w:pPr>
        <w:ind w:firstLine="480"/>
        <w:spacing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w:t>
      </w:r>
      <w:r>
        <w:rPr>
          <w:rFonts w:hint="eastAsia" w:ascii="宋体" w:hAnsi="宋体" w:cs="宋体"/>
          <w:color w:val="000000"/>
          <w:sz w:val="24"/>
          <w:lang w:val="zh-CN"/>
        </w:rPr>
        <w:t xml:space="preserve">我方同意苏州太湖新城吴中管理委员会</w:t>
      </w:r>
      <w:r>
        <w:rPr>
          <w:rFonts w:hint="eastAsia" w:ascii="宋体" w:hAnsi="宋体" w:cs="宋体"/>
          <w:color w:val="000000"/>
          <w:sz w:val="24"/>
        </w:rPr>
        <w:t xml:space="preserve">的跟审工作流程和工作要求</w:t>
      </w:r>
      <w:r>
        <w:rPr>
          <w:rFonts w:hint="eastAsia" w:ascii="宋体" w:hAnsi="宋体" w:cs="宋体"/>
          <w:color w:val="000000"/>
          <w:sz w:val="24"/>
          <w:lang w:val="zh-CN"/>
        </w:rPr>
        <w:t xml:space="preserve">，并接受本招标文件及附件约定的考核管理和考核应用；</w:t>
      </w:r>
      <w:r/>
    </w:p>
    <w:p>
      <w:pPr>
        <w:ind w:firstLine="482"/>
        <w:spacing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rPr>
        <w:t xml:space="preserve">、</w:t>
      </w:r>
      <w:r>
        <w:rPr>
          <w:rFonts w:hint="eastAsia" w:ascii="宋体" w:hAnsi="宋体" w:cs="宋体"/>
          <w:color w:val="000000"/>
          <w:sz w:val="24"/>
          <w:lang w:val="zh-CN"/>
        </w:rPr>
        <w:t xml:space="preserve">我方同意苏州太湖新城吴中管理委员会</w:t>
      </w:r>
      <w:r>
        <w:rPr>
          <w:rFonts w:hint="eastAsia" w:ascii="宋体" w:hAnsi="宋体" w:cs="宋体"/>
          <w:color w:val="000000"/>
          <w:sz w:val="24"/>
        </w:rPr>
        <w:t xml:space="preserve">党政办（投资评审中心）</w:t>
      </w:r>
      <w:r>
        <w:rPr>
          <w:rFonts w:hint="eastAsia" w:ascii="宋体" w:hAnsi="宋体" w:cs="宋体"/>
          <w:color w:val="000000"/>
          <w:sz w:val="24"/>
          <w:lang w:val="zh-CN"/>
        </w:rPr>
        <w:t xml:space="preserve">关于违约责任的认定方式和相关对违约责任的处罚；在承接业务过程中，如我方违约，我方愿意承担相应违约责任；</w:t>
      </w:r>
      <w:r/>
    </w:p>
    <w:p>
      <w:pPr>
        <w:ind w:firstLine="482"/>
        <w:spacing w:after="0" w:line="360" w:lineRule="auto"/>
        <w:rPr>
          <w:rFonts w:hint="eastAsia" w:ascii="宋体" w:hAnsi="宋体" w:cs="宋体"/>
          <w:color w:val="000000"/>
          <w:sz w:val="24"/>
        </w:rPr>
      </w:pPr>
      <w:r>
        <w:rPr>
          <w:rFonts w:hint="eastAsia" w:ascii="宋体" w:hAnsi="宋体" w:cs="宋体"/>
          <w:color w:val="000000"/>
          <w:sz w:val="24"/>
          <w:lang w:val="zh-CN"/>
        </w:rPr>
        <w:t xml:space="preserve">5</w:t>
      </w:r>
      <w:r>
        <w:rPr>
          <w:rFonts w:hint="eastAsia" w:ascii="宋体" w:hAnsi="宋体" w:cs="宋体"/>
          <w:color w:val="000000"/>
          <w:sz w:val="24"/>
        </w:rPr>
        <w:t xml:space="preserve">.</w:t>
      </w:r>
      <w:r>
        <w:rPr>
          <w:rFonts w:hint="eastAsia" w:ascii="宋体" w:hAnsi="宋体" w:cs="宋体"/>
          <w:color w:val="000000"/>
          <w:sz w:val="24"/>
          <w:lang w:val="zh-CN"/>
        </w:rPr>
        <w:t xml:space="preserve">愿意在签订合同时按招标文件的规定支付中标服务费。</w:t>
      </w:r>
      <w:r/>
    </w:p>
    <w:p>
      <w:pPr>
        <w:ind w:firstLine="482"/>
        <w:spacing w:after="0" w:line="360" w:lineRule="auto"/>
        <w:rPr>
          <w:rFonts w:hint="eastAsia" w:ascii="宋体" w:hAnsi="宋体" w:cs="宋体"/>
          <w:color w:val="000000"/>
          <w:sz w:val="24"/>
        </w:rPr>
      </w:pPr>
      <w:r>
        <w:rPr>
          <w:rFonts w:hint="eastAsia" w:ascii="宋体" w:hAnsi="宋体" w:cs="宋体"/>
          <w:color w:val="000000"/>
          <w:sz w:val="24"/>
        </w:rPr>
        <w:t xml:space="preserve">所有有关招标文件的函电，请按下列地址联系：</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单位：                             联系人：</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地址：                             邮政编码：</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手机号码：                         邮箱：</w:t>
      </w:r>
      <w:r/>
    </w:p>
    <w:p>
      <w:pPr>
        <w:ind w:firstLine="480"/>
        <w:spacing w:after="0" w:line="360" w:lineRule="auto"/>
        <w:rPr>
          <w:rFonts w:hint="eastAsia" w:ascii="宋体" w:hAnsi="宋体"/>
          <w:color w:val="000000"/>
          <w:sz w:val="24"/>
        </w:rPr>
      </w:pPr>
      <w:r>
        <w:rPr>
          <w:rFonts w:hint="eastAsia" w:ascii="宋体" w:hAnsi="宋体"/>
          <w:color w:val="000000"/>
          <w:sz w:val="24"/>
        </w:rPr>
        <w:t xml:space="preserve">投标单位：（公章）</w:t>
      </w:r>
      <w:r/>
    </w:p>
    <w:p>
      <w:pPr>
        <w:ind w:firstLine="480"/>
        <w:spacing w:after="0" w:line="360" w:lineRule="auto"/>
        <w:rPr>
          <w:rFonts w:hint="eastAsia" w:ascii="宋体" w:hAnsi="宋体"/>
          <w:color w:val="000000"/>
          <w:sz w:val="24"/>
        </w:rPr>
      </w:pPr>
      <w:r>
        <w:rPr>
          <w:rFonts w:hint="eastAsia" w:ascii="宋体" w:hAnsi="宋体"/>
          <w:color w:val="000000"/>
          <w:sz w:val="24"/>
        </w:rPr>
        <w:t xml:space="preserve">法定代表人/负责人或被授权委托人：（签字或盖章）</w:t>
      </w:r>
      <w:r/>
    </w:p>
    <w:p>
      <w:pPr>
        <w:ind w:firstLine="480"/>
        <w:spacing w:after="0" w:line="360" w:lineRule="auto"/>
        <w:rPr>
          <w:rFonts w:hint="eastAsia" w:ascii="宋体" w:hAnsi="宋体"/>
          <w:color w:val="000000"/>
          <w:sz w:val="24"/>
        </w:rPr>
      </w:pPr>
      <w:r>
        <w:rPr>
          <w:rFonts w:hint="eastAsia" w:ascii="宋体" w:hAnsi="宋体"/>
          <w:color w:val="000000"/>
          <w:sz w:val="24"/>
        </w:rPr>
        <w:t xml:space="preserve">日期：    年</w:t>
      </w:r>
      <w:r>
        <w:rPr>
          <w:rFonts w:ascii="宋体" w:hAnsi="宋体"/>
          <w:color w:val="000000"/>
          <w:sz w:val="24"/>
        </w:rPr>
        <w:t xml:space="preserve">     </w:t>
      </w:r>
      <w:r>
        <w:rPr>
          <w:rFonts w:hint="eastAsia" w:ascii="宋体" w:hAnsi="宋体"/>
          <w:color w:val="000000"/>
          <w:sz w:val="24"/>
        </w:rPr>
        <w:t xml:space="preserve">月</w:t>
      </w:r>
      <w:r>
        <w:rPr>
          <w:rFonts w:ascii="宋体" w:hAnsi="宋体"/>
          <w:color w:val="000000"/>
          <w:sz w:val="24"/>
        </w:rPr>
        <w:t xml:space="preserve">     </w:t>
      </w:r>
      <w:r>
        <w:rPr>
          <w:rFonts w:hint="eastAsia" w:ascii="宋体" w:hAnsi="宋体"/>
          <w:color w:val="000000"/>
          <w:sz w:val="24"/>
        </w:rPr>
        <w:t xml:space="preserve">日</w:t>
      </w:r>
      <w:r/>
    </w:p>
    <w:p>
      <w:pPr>
        <w:pStyle w:val="1128"/>
        <w:spacing w:line="360" w:lineRule="auto"/>
        <w:rPr>
          <w:rFonts w:hAnsi="宋体" w:eastAsia="宋体"/>
          <w:bCs/>
          <w:color w:val="000000"/>
          <w:sz w:val="24"/>
          <w:szCs w:val="24"/>
        </w:rPr>
      </w:pPr>
      <w:r/>
      <w:bookmarkStart w:id="33" w:name="_Toc142194267"/>
      <w:r>
        <w:rPr>
          <w:rFonts w:hAnsi="宋体" w:eastAsia="宋体"/>
          <w:bCs/>
          <w:color w:val="000000"/>
          <w:sz w:val="24"/>
          <w:szCs w:val="24"/>
        </w:rPr>
        <w:br w:type="page" w:clear="all"/>
      </w:r>
      <w:bookmarkStart w:id="34" w:name="_Toc387680432"/>
      <w:r>
        <w:rPr>
          <w:rFonts w:hAnsi="宋体" w:eastAsia="宋体"/>
          <w:bCs/>
          <w:color w:val="000000"/>
          <w:sz w:val="24"/>
          <w:szCs w:val="24"/>
        </w:rPr>
        <w:t xml:space="preserve">格式2、法定代表人授权委托书</w:t>
      </w:r>
      <w:bookmarkEnd w:id="33"/>
      <w:r/>
      <w:bookmarkEnd w:id="34"/>
      <w:r/>
      <w:r/>
    </w:p>
    <w:p>
      <w:pPr>
        <w:pStyle w:val="840"/>
        <w:ind w:firstLine="0"/>
        <w:jc w:val="center"/>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法定代表人授权委托书</w:t>
      </w:r>
      <w:r/>
    </w:p>
    <w:p>
      <w:pPr>
        <w:pStyle w:val="840"/>
        <w:spacing w:line="360" w:lineRule="auto"/>
        <w:rPr>
          <w:rFonts w:hint="eastAsia" w:ascii="宋体" w:hAnsi="宋体" w:eastAsia="宋体"/>
          <w:bCs/>
          <w:color w:val="000000"/>
          <w:szCs w:val="24"/>
        </w:rPr>
      </w:pPr>
      <w:r>
        <w:rPr>
          <w:rFonts w:ascii="宋体" w:hAnsi="宋体" w:eastAsia="宋体"/>
          <w:bCs/>
          <w:color w:val="000000"/>
          <w:szCs w:val="24"/>
        </w:rPr>
        <w:t xml:space="preserve">本授权委托书声明：我 </w:t>
      </w:r>
      <w:r>
        <w:rPr>
          <w:rFonts w:ascii="宋体" w:hAnsi="宋体" w:eastAsia="宋体"/>
          <w:bCs/>
          <w:color w:val="000000"/>
          <w:szCs w:val="24"/>
          <w:u w:val="single"/>
        </w:rPr>
        <w:t xml:space="preserve">      </w:t>
      </w:r>
      <w:r>
        <w:rPr>
          <w:rFonts w:ascii="宋体" w:hAnsi="宋体" w:eastAsia="宋体"/>
          <w:bCs/>
          <w:color w:val="000000"/>
          <w:szCs w:val="24"/>
        </w:rPr>
        <w:t xml:space="preserve">（姓名）系</w:t>
      </w:r>
      <w:r>
        <w:rPr>
          <w:rFonts w:ascii="宋体" w:hAnsi="宋体" w:eastAsia="宋体"/>
          <w:bCs/>
          <w:color w:val="000000"/>
          <w:szCs w:val="24"/>
          <w:u w:val="single"/>
        </w:rPr>
        <w:t xml:space="preserve">             </w:t>
      </w:r>
      <w:r>
        <w:rPr>
          <w:rFonts w:ascii="宋体" w:hAnsi="宋体" w:eastAsia="宋体"/>
          <w:bCs/>
          <w:color w:val="000000"/>
          <w:szCs w:val="24"/>
        </w:rPr>
        <w:t xml:space="preserve">（投标单位名称）的法</w:t>
      </w:r>
      <w:r>
        <w:rPr>
          <w:rFonts w:hint="eastAsia" w:ascii="宋体" w:hAnsi="宋体" w:eastAsia="宋体"/>
          <w:bCs/>
          <w:color w:val="000000"/>
          <w:szCs w:val="24"/>
        </w:rPr>
        <w:t xml:space="preserve">定代表</w:t>
      </w:r>
      <w:r>
        <w:rPr>
          <w:rFonts w:ascii="宋体" w:hAnsi="宋体" w:eastAsia="宋体"/>
          <w:bCs/>
          <w:color w:val="000000"/>
          <w:szCs w:val="24"/>
        </w:rPr>
        <w:t xml:space="preserve">人，现授权委托</w:t>
      </w:r>
      <w:r>
        <w:rPr>
          <w:rFonts w:ascii="宋体" w:hAnsi="宋体" w:eastAsia="宋体"/>
          <w:bCs/>
          <w:color w:val="000000"/>
          <w:szCs w:val="24"/>
          <w:u w:val="single"/>
        </w:rPr>
        <w:t xml:space="preserve">        </w:t>
      </w:r>
      <w:r>
        <w:rPr>
          <w:rFonts w:hint="eastAsia" w:ascii="宋体" w:hAnsi="宋体" w:eastAsia="宋体"/>
          <w:bCs/>
          <w:color w:val="000000"/>
          <w:szCs w:val="24"/>
          <w:u w:val="single"/>
        </w:rPr>
        <w:t xml:space="preserve">     </w:t>
      </w:r>
      <w:r>
        <w:rPr>
          <w:rFonts w:ascii="宋体" w:hAnsi="宋体" w:eastAsia="宋体"/>
          <w:bCs/>
          <w:color w:val="000000"/>
          <w:szCs w:val="24"/>
          <w:u w:val="single"/>
        </w:rPr>
        <w:t xml:space="preserve"> （</w:t>
      </w:r>
      <w:r>
        <w:rPr>
          <w:rFonts w:ascii="宋体" w:hAnsi="宋体" w:eastAsia="宋体"/>
          <w:bCs/>
          <w:color w:val="000000"/>
          <w:szCs w:val="24"/>
        </w:rPr>
        <w:t xml:space="preserve">单位名称）的</w:t>
      </w:r>
      <w:r>
        <w:rPr>
          <w:rFonts w:ascii="宋体" w:hAnsi="宋体" w:eastAsia="宋体"/>
          <w:bCs/>
          <w:color w:val="000000"/>
          <w:szCs w:val="24"/>
          <w:u w:val="single"/>
        </w:rPr>
        <w:t xml:space="preserve">      </w:t>
      </w:r>
      <w:r>
        <w:rPr>
          <w:rFonts w:ascii="宋体" w:hAnsi="宋体" w:eastAsia="宋体"/>
          <w:bCs/>
          <w:color w:val="000000"/>
          <w:szCs w:val="24"/>
        </w:rPr>
        <w:t xml:space="preserve">（姓名）为我</w:t>
      </w:r>
      <w:r>
        <w:rPr>
          <w:rFonts w:hint="eastAsia" w:ascii="宋体" w:hAnsi="宋体" w:eastAsia="宋体"/>
          <w:bCs/>
          <w:color w:val="000000"/>
          <w:szCs w:val="24"/>
        </w:rPr>
        <w:t xml:space="preserve">单位</w:t>
      </w:r>
      <w:r>
        <w:rPr>
          <w:rFonts w:ascii="宋体" w:hAnsi="宋体" w:eastAsia="宋体"/>
          <w:bCs/>
          <w:color w:val="000000"/>
          <w:szCs w:val="24"/>
        </w:rPr>
        <w:t xml:space="preserve">代理人，以本</w:t>
      </w:r>
      <w:r>
        <w:rPr>
          <w:rFonts w:hint="eastAsia" w:ascii="宋体" w:hAnsi="宋体" w:eastAsia="宋体"/>
          <w:bCs/>
          <w:color w:val="000000"/>
          <w:szCs w:val="24"/>
        </w:rPr>
        <w:t xml:space="preserve">单位</w:t>
      </w:r>
      <w:r>
        <w:rPr>
          <w:rFonts w:ascii="宋体" w:hAnsi="宋体" w:eastAsia="宋体"/>
          <w:bCs/>
          <w:color w:val="000000"/>
          <w:szCs w:val="24"/>
        </w:rPr>
        <w:t xml:space="preserve">的名义参加</w:t>
      </w:r>
      <w:r>
        <w:rPr>
          <w:rFonts w:hint="eastAsia" w:ascii="宋体" w:hAnsi="宋体" w:eastAsia="宋体"/>
          <w:bCs/>
          <w:color w:val="000000"/>
          <w:szCs w:val="24"/>
          <w:lang w:eastAsia="zh-CN"/>
        </w:rPr>
        <w:t xml:space="preserve">苏州子梦建设工程造价咨询所</w:t>
      </w:r>
      <w:r>
        <w:rPr>
          <w:rFonts w:ascii="宋体" w:hAnsi="宋体" w:eastAsia="宋体"/>
          <w:bCs/>
          <w:color w:val="000000"/>
          <w:szCs w:val="24"/>
        </w:rPr>
        <w:t xml:space="preserve">组织实施的编号为</w:t>
      </w:r>
      <w:r>
        <w:rPr>
          <w:rFonts w:hint="eastAsia" w:ascii="宋体" w:hAnsi="宋体" w:eastAsia="宋体"/>
          <w:bCs/>
          <w:color w:val="000000"/>
          <w:szCs w:val="24"/>
        </w:rPr>
        <w:t xml:space="preserve"> </w:t>
      </w:r>
      <w:r>
        <w:rPr>
          <w:rFonts w:ascii="宋体" w:hAnsi="宋体" w:eastAsia="宋体"/>
          <w:bCs/>
          <w:color w:val="000000"/>
          <w:szCs w:val="24"/>
          <w:u w:val="single"/>
        </w:rPr>
        <w:t xml:space="preserve">           </w:t>
      </w:r>
      <w:r>
        <w:rPr>
          <w:rFonts w:hint="eastAsia" w:ascii="宋体" w:hAnsi="宋体" w:eastAsia="宋体"/>
          <w:bCs/>
          <w:color w:val="000000"/>
          <w:szCs w:val="24"/>
          <w:u w:val="single"/>
        </w:rPr>
        <w:t xml:space="preserve">    </w:t>
      </w:r>
      <w:r>
        <w:rPr>
          <w:rFonts w:ascii="宋体" w:hAnsi="宋体" w:eastAsia="宋体"/>
          <w:bCs/>
          <w:color w:val="000000"/>
          <w:szCs w:val="24"/>
        </w:rPr>
        <w:t xml:space="preserve">号的招标活动。代理人在开标、评标、合同</w:t>
      </w:r>
      <w:r>
        <w:rPr>
          <w:rFonts w:hint="eastAsia" w:ascii="宋体" w:hAnsi="宋体" w:eastAsia="宋体"/>
          <w:bCs/>
          <w:color w:val="000000"/>
          <w:szCs w:val="24"/>
        </w:rPr>
        <w:t xml:space="preserve">采购</w:t>
      </w:r>
      <w:r>
        <w:rPr>
          <w:rFonts w:ascii="宋体" w:hAnsi="宋体" w:eastAsia="宋体"/>
          <w:bCs/>
          <w:color w:val="000000"/>
          <w:szCs w:val="24"/>
        </w:rPr>
        <w:t xml:space="preserve">过程中所签署的一切文件和处理与这有关的一切事务，我均予以承认。</w:t>
      </w:r>
      <w:r/>
    </w:p>
    <w:p>
      <w:pPr>
        <w:pStyle w:val="840"/>
        <w:jc w:val="both"/>
        <w:spacing w:line="360" w:lineRule="auto"/>
        <w:rPr>
          <w:rFonts w:hint="eastAsia" w:ascii="宋体" w:hAnsi="宋体" w:eastAsia="宋体"/>
          <w:bCs/>
          <w:color w:val="000000"/>
          <w:szCs w:val="24"/>
        </w:rPr>
      </w:pPr>
      <w:r>
        <w:rPr>
          <w:rFonts w:ascii="宋体" w:hAnsi="宋体" w:eastAsia="宋体"/>
          <w:bCs/>
          <w:color w:val="000000"/>
          <w:szCs w:val="24"/>
        </w:rPr>
        <w:t xml:space="preserve">代理人在授权委托书有效期内签署的所有文件不因授权委托的撤销而失效，除非有撤销授权委托的书面通知，本授权委托书自投标开始至合同履行完毕止。</w:t>
      </w:r>
      <w:r/>
    </w:p>
    <w:p>
      <w:pPr>
        <w:pStyle w:val="840"/>
        <w:jc w:val="both"/>
        <w:spacing w:line="360" w:lineRule="auto"/>
        <w:rPr>
          <w:rFonts w:hint="eastAsia" w:ascii="宋体" w:hAnsi="宋体" w:eastAsia="宋体"/>
          <w:bCs/>
          <w:color w:val="000000"/>
          <w:szCs w:val="24"/>
        </w:rPr>
      </w:pPr>
      <w:r>
        <w:rPr>
          <w:rFonts w:ascii="宋体" w:hAnsi="宋体" w:eastAsia="宋体"/>
          <w:bCs/>
          <w:color w:val="000000"/>
          <w:szCs w:val="24"/>
        </w:rPr>
        <w:t xml:space="preserve">代理人无转委托权。特此委托。</w:t>
      </w:r>
      <w:r/>
    </w:p>
    <w:p>
      <w:pPr>
        <w:pStyle w:val="840"/>
        <w:spacing w:line="360" w:lineRule="auto"/>
        <w:rPr>
          <w:rFonts w:hint="eastAsia" w:ascii="宋体" w:hAnsi="宋体" w:eastAsia="宋体"/>
          <w:bCs/>
          <w:color w:val="000000"/>
          <w:szCs w:val="24"/>
        </w:rPr>
      </w:pPr>
      <w:r>
        <w:rPr>
          <w:rFonts w:hint="eastAsia" w:ascii="宋体" w:hAnsi="宋体" w:eastAsia="宋体"/>
          <w:bCs/>
          <w:color w:val="000000"/>
          <w:szCs w:val="24"/>
        </w:rPr>
      </w:r>
      <w:r/>
    </w:p>
    <w:p>
      <w:pPr>
        <w:pStyle w:val="84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投标人</w:t>
      </w:r>
      <w:r>
        <w:rPr>
          <w:rFonts w:ascii="宋体" w:hAnsi="宋体" w:eastAsia="宋体"/>
          <w:bCs/>
          <w:color w:val="000000"/>
          <w:szCs w:val="24"/>
        </w:rPr>
        <w:t xml:space="preserve">：（盖章）</w:t>
      </w:r>
      <w:r/>
    </w:p>
    <w:p>
      <w:pPr>
        <w:pStyle w:val="84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单位</w:t>
      </w:r>
      <w:r>
        <w:rPr>
          <w:rFonts w:ascii="宋体" w:hAnsi="宋体" w:eastAsia="宋体"/>
          <w:bCs/>
          <w:color w:val="000000"/>
          <w:szCs w:val="24"/>
        </w:rPr>
        <w:t xml:space="preserve">法</w:t>
      </w:r>
      <w:r>
        <w:rPr>
          <w:rFonts w:hint="eastAsia" w:ascii="宋体" w:hAnsi="宋体" w:eastAsia="宋体"/>
          <w:bCs/>
          <w:color w:val="000000"/>
          <w:szCs w:val="24"/>
        </w:rPr>
        <w:t xml:space="preserve">定代表</w:t>
      </w:r>
      <w:r>
        <w:rPr>
          <w:rFonts w:ascii="宋体" w:hAnsi="宋体" w:eastAsia="宋体"/>
          <w:bCs/>
          <w:color w:val="000000"/>
          <w:szCs w:val="24"/>
        </w:rPr>
        <w:t xml:space="preserve">人：（签字或盖章）</w:t>
      </w:r>
      <w:r/>
    </w:p>
    <w:p>
      <w:pPr>
        <w:pStyle w:val="84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被授权委托</w:t>
      </w:r>
      <w:r>
        <w:rPr>
          <w:rFonts w:ascii="宋体" w:hAnsi="宋体" w:eastAsia="宋体"/>
          <w:bCs/>
          <w:color w:val="000000"/>
          <w:szCs w:val="24"/>
        </w:rPr>
        <w:t xml:space="preserve">人：（签字或盖章）</w:t>
      </w:r>
      <w:r/>
    </w:p>
    <w:p>
      <w:pPr>
        <w:pStyle w:val="840"/>
        <w:jc w:val="right"/>
        <w:spacing w:line="360" w:lineRule="auto"/>
        <w:rPr>
          <w:rFonts w:hint="eastAsia" w:ascii="宋体" w:hAnsi="宋体" w:eastAsia="宋体"/>
          <w:bCs/>
          <w:color w:val="000000"/>
          <w:szCs w:val="24"/>
        </w:rPr>
      </w:pPr>
      <w:r>
        <w:rPr>
          <w:rFonts w:hint="eastAsia" w:ascii="宋体" w:hAnsi="宋体" w:eastAsia="宋体"/>
          <w:bCs/>
          <w:color w:val="000000"/>
          <w:szCs w:val="24"/>
        </w:rPr>
      </w:r>
      <w:r/>
    </w:p>
    <w:p>
      <w:pPr>
        <w:pStyle w:val="840"/>
        <w:jc w:val="center"/>
        <w:spacing w:line="360" w:lineRule="auto"/>
        <w:rPr>
          <w:rFonts w:hint="eastAsia" w:ascii="宋体" w:hAnsi="宋体" w:eastAsia="宋体"/>
          <w:bCs/>
          <w:color w:val="000000"/>
          <w:szCs w:val="24"/>
        </w:rPr>
      </w:pPr>
      <w:r>
        <w:rPr>
          <w:rFonts w:ascii="宋体" w:hAnsi="宋体" w:eastAsia="宋体"/>
          <w:bCs/>
          <w:color w:val="000000"/>
          <w:szCs w:val="24"/>
        </w:rPr>
        <w:t xml:space="preserve">                                          日期：    年    月    日</w:t>
      </w:r>
      <w:r/>
    </w:p>
    <w:p>
      <w:pPr>
        <w:pStyle w:val="840"/>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p>
      <w:pPr>
        <w:spacing w:after="0" w:line="360" w:lineRule="auto"/>
        <w:rPr>
          <w:rFonts w:hint="eastAsia" w:ascii="宋体" w:hAnsi="宋体"/>
          <w:bCs/>
          <w:color w:val="000000"/>
          <w:sz w:val="24"/>
        </w:rPr>
      </w:pPr>
      <w:r>
        <w:rPr>
          <w:rFonts w:ascii="宋体" w:hAnsi="宋体"/>
          <w:bCs/>
          <w:color w:val="000000"/>
          <w:sz w:val="24"/>
        </w:rPr>
        <w:br w:type="page" w:clear="all"/>
      </w:r>
      <w:bookmarkStart w:id="35" w:name="_Toc387680433"/>
      <w:r>
        <w:rPr>
          <w:rFonts w:hint="eastAsia" w:ascii="宋体" w:hAnsi="宋体"/>
          <w:bCs/>
          <w:color w:val="000000"/>
          <w:sz w:val="24"/>
        </w:rPr>
        <w:t xml:space="preserve">格式3、</w:t>
      </w:r>
      <w:bookmarkEnd w:id="35"/>
      <w:r>
        <w:rPr>
          <w:rFonts w:ascii="宋体" w:hAnsi="宋体"/>
          <w:bCs/>
          <w:color w:val="000000"/>
          <w:sz w:val="24"/>
        </w:rPr>
        <w:t xml:space="preserve">开标一览表</w:t>
      </w:r>
      <w:r>
        <w:rPr>
          <w:rFonts w:hint="eastAsia" w:ascii="宋体" w:hAnsi="宋体"/>
          <w:bCs/>
          <w:color w:val="000000"/>
          <w:sz w:val="24"/>
        </w:rPr>
        <w:t xml:space="preserve">：</w:t>
      </w:r>
      <w:r>
        <w:rPr>
          <w:rFonts w:ascii="宋体" w:hAnsi="宋体"/>
          <w:bCs/>
          <w:color w:val="000000"/>
          <w:sz w:val="24"/>
        </w:rPr>
        <w:t xml:space="preserve">按苏采云系统中统一格式填报</w:t>
      </w:r>
      <w:r/>
    </w:p>
    <w:p>
      <w:pPr>
        <w:jc w:val="left"/>
        <w:spacing w:line="360" w:lineRule="auto"/>
        <w:widowControl/>
        <w:rPr>
          <w:rFonts w:hint="eastAsia" w:ascii="宋体" w:hAnsi="宋体"/>
          <w:bCs/>
          <w:color w:val="000000"/>
          <w:sz w:val="24"/>
        </w:rPr>
      </w:pPr>
      <w:r>
        <w:rPr>
          <w:rFonts w:hint="eastAsia" w:ascii="宋体" w:hAnsi="宋体"/>
          <w:bCs/>
          <w:color w:val="000000"/>
          <w:sz w:val="24"/>
        </w:rPr>
      </w:r>
      <w:r/>
    </w:p>
    <w:p>
      <w:pPr>
        <w:jc w:val="left"/>
        <w:spacing w:line="360" w:lineRule="auto"/>
        <w:widowControl/>
        <w:rPr>
          <w:rFonts w:hint="eastAsia" w:ascii="宋体" w:hAnsi="宋体"/>
          <w:bCs/>
          <w:color w:val="000000"/>
          <w:sz w:val="24"/>
        </w:rPr>
      </w:pPr>
      <w:r>
        <w:rPr>
          <w:rFonts w:hint="eastAsia" w:ascii="宋体" w:hAnsi="宋体"/>
          <w:bCs/>
          <w:color w:val="000000"/>
          <w:sz w:val="24"/>
        </w:rPr>
      </w:r>
      <w:r/>
    </w:p>
    <w:p>
      <w:pPr>
        <w:jc w:val="left"/>
        <w:spacing w:line="360" w:lineRule="auto"/>
        <w:widowControl/>
        <w:rPr>
          <w:rFonts w:hint="eastAsia" w:ascii="宋体" w:hAnsi="宋体"/>
          <w:bCs/>
          <w:color w:val="000000"/>
          <w:sz w:val="24"/>
        </w:rPr>
      </w:pPr>
      <w:r>
        <w:rPr>
          <w:rFonts w:hint="eastAsia" w:ascii="宋体" w:hAnsi="宋体"/>
          <w:bCs/>
          <w:color w:val="000000"/>
          <w:sz w:val="24"/>
        </w:rPr>
      </w:r>
      <w:r/>
    </w:p>
    <w:p>
      <w:pPr>
        <w:jc w:val="left"/>
        <w:spacing w:line="360" w:lineRule="auto"/>
        <w:widowControl/>
        <w:rPr>
          <w:rFonts w:hint="eastAsia" w:ascii="宋体" w:hAnsi="宋体"/>
          <w:bCs/>
          <w:color w:val="000000"/>
          <w:sz w:val="24"/>
        </w:rPr>
      </w:pPr>
      <w:r>
        <w:rPr>
          <w:rFonts w:hint="eastAsia" w:ascii="宋体" w:hAnsi="宋体"/>
          <w:bCs/>
          <w:color w:val="000000"/>
          <w:sz w:val="24"/>
        </w:rPr>
      </w:r>
      <w:r/>
    </w:p>
    <w:p>
      <w:pPr>
        <w:jc w:val="left"/>
        <w:spacing w:line="360" w:lineRule="auto"/>
        <w:widowControl/>
        <w:rPr>
          <w:rFonts w:hint="eastAsia" w:ascii="宋体" w:hAnsi="宋体"/>
          <w:bCs/>
          <w:color w:val="000000"/>
          <w:sz w:val="24"/>
        </w:rPr>
      </w:pPr>
      <w:r>
        <w:rPr>
          <w:rFonts w:hint="eastAsia" w:ascii="宋体" w:hAnsi="宋体"/>
          <w:bCs/>
          <w:color w:val="000000"/>
          <w:sz w:val="24"/>
        </w:rPr>
        <w:t xml:space="preserve">格式4、报价承诺书</w:t>
      </w:r>
      <w:r/>
    </w:p>
    <w:p>
      <w:pPr>
        <w:jc w:val="center"/>
        <w:spacing w:line="360" w:lineRule="auto"/>
        <w:widowControl/>
        <w:rPr>
          <w:rFonts w:hint="eastAsia" w:ascii="宋体" w:hAnsi="宋体"/>
          <w:bCs/>
          <w:color w:val="000000"/>
          <w:sz w:val="24"/>
        </w:rPr>
      </w:pPr>
      <w:r>
        <w:rPr>
          <w:rFonts w:hint="eastAsia" w:ascii="宋体" w:hAnsi="宋体"/>
          <w:bCs/>
          <w:color w:val="000000"/>
          <w:sz w:val="24"/>
        </w:rPr>
        <w:t xml:space="preserve">报价承诺书</w:t>
      </w:r>
      <w:r/>
    </w:p>
    <w:p>
      <w:pPr>
        <w:jc w:val="left"/>
        <w:spacing w:line="360" w:lineRule="auto"/>
        <w:widowControl/>
        <w:rPr>
          <w:rFonts w:hint="eastAsia" w:ascii="宋体" w:hAnsi="宋体" w:cs="宋体"/>
          <w:bCs/>
          <w:color w:val="000000"/>
          <w:sz w:val="24"/>
        </w:rPr>
      </w:pPr>
      <w:r>
        <w:rPr>
          <w:rFonts w:hint="eastAsia" w:ascii="宋体" w:hAnsi="宋体"/>
          <w:bCs/>
          <w:color w:val="000000"/>
          <w:sz w:val="24"/>
        </w:rPr>
        <w:t xml:space="preserve">项</w:t>
      </w:r>
      <w:r>
        <w:rPr>
          <w:rFonts w:hint="eastAsia" w:ascii="宋体" w:hAnsi="宋体" w:cs="宋体"/>
          <w:bCs/>
          <w:color w:val="000000"/>
          <w:sz w:val="24"/>
        </w:rPr>
        <w:t xml:space="preserve">目名称： </w:t>
      </w:r>
      <w:r/>
    </w:p>
    <w:p>
      <w:pPr>
        <w:jc w:val="left"/>
        <w:spacing w:line="360" w:lineRule="auto"/>
        <w:widowControl/>
        <w:rPr>
          <w:rFonts w:hint="eastAsia" w:ascii="宋体" w:hAnsi="宋体" w:cs="宋体"/>
          <w:color w:val="000000"/>
          <w:sz w:val="24"/>
        </w:rPr>
      </w:pPr>
      <w:r>
        <w:rPr>
          <w:rFonts w:hint="eastAsia" w:ascii="宋体" w:hAnsi="宋体" w:cs="宋体"/>
          <w:bCs/>
          <w:color w:val="000000"/>
          <w:sz w:val="24"/>
        </w:rPr>
        <w:t xml:space="preserve">项目编号：                                </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我公司承诺中标后本项目咨询业务费</w:t>
      </w:r>
      <w:r>
        <w:rPr>
          <w:rFonts w:hint="eastAsia" w:ascii="宋体" w:hAnsi="宋体" w:cs="宋体"/>
          <w:b/>
          <w:color w:val="000000"/>
          <w:sz w:val="24"/>
        </w:rPr>
        <w:t xml:space="preserve">按照招标文件规定的收费标准</w:t>
      </w:r>
      <w:r>
        <w:rPr>
          <w:rFonts w:hint="eastAsia" w:ascii="宋体" w:hAnsi="宋体" w:cs="宋体"/>
          <w:color w:val="000000"/>
          <w:sz w:val="24"/>
        </w:rPr>
        <w:t xml:space="preserve">执行。</w:t>
      </w:r>
      <w:r/>
    </w:p>
    <w:p>
      <w:pPr>
        <w:pStyle w:val="840"/>
        <w:ind w:firstLine="0"/>
        <w:spacing w:line="360" w:lineRule="auto"/>
        <w:rPr>
          <w:rFonts w:hint="eastAsia" w:ascii="宋体" w:hAnsi="宋体" w:cs="宋体"/>
          <w:bCs/>
          <w:color w:val="000000"/>
          <w:szCs w:val="24"/>
        </w:rPr>
      </w:pPr>
      <w:r>
        <w:rPr>
          <w:rFonts w:hint="eastAsia" w:ascii="宋体" w:hAnsi="宋体" w:eastAsia="宋体"/>
          <w:bCs/>
          <w:color w:val="000000"/>
          <w:szCs w:val="24"/>
        </w:rPr>
        <w:t xml:space="preserve">       </w:t>
      </w:r>
      <w:r/>
    </w:p>
    <w:p>
      <w:pPr>
        <w:ind w:right="-210" w:firstLine="240"/>
        <w:jc w:val="left"/>
        <w:spacing w:after="0" w:line="360" w:lineRule="auto"/>
        <w:rPr>
          <w:rFonts w:hint="eastAsia" w:ascii="宋体" w:hAnsi="宋体"/>
          <w:bCs/>
          <w:color w:val="000000"/>
          <w:sz w:val="24"/>
        </w:rPr>
      </w:pPr>
      <w:r>
        <w:rPr>
          <w:rFonts w:ascii="宋体" w:hAnsi="宋体"/>
          <w:bCs/>
          <w:color w:val="000000"/>
          <w:sz w:val="24"/>
        </w:rPr>
        <w:t xml:space="preserve">投标人：（公章）</w:t>
      </w:r>
      <w:r>
        <w:rPr>
          <w:rFonts w:hint="eastAsia" w:ascii="宋体" w:hAnsi="宋体"/>
          <w:bCs/>
          <w:color w:val="000000"/>
          <w:sz w:val="24"/>
        </w:rPr>
        <w:t xml:space="preserve"> </w:t>
      </w:r>
      <w:r/>
    </w:p>
    <w:p>
      <w:pPr>
        <w:ind w:firstLine="240"/>
        <w:jc w:val="left"/>
        <w:spacing w:after="0" w:line="360" w:lineRule="auto"/>
        <w:rPr>
          <w:rFonts w:hint="eastAsia" w:ascii="宋体" w:hAnsi="宋体"/>
          <w:bCs/>
          <w:color w:val="000000"/>
          <w:sz w:val="24"/>
        </w:rPr>
      </w:pPr>
      <w:r>
        <w:rPr>
          <w:rFonts w:hint="eastAsia" w:ascii="宋体" w:hAnsi="宋体"/>
          <w:bCs/>
          <w:color w:val="000000"/>
          <w:sz w:val="24"/>
        </w:rPr>
        <w:t xml:space="preserve">法定代表人或被授权委托人：（签字或盖章）</w:t>
      </w:r>
      <w:r/>
    </w:p>
    <w:p>
      <w:pPr>
        <w:ind w:right="300" w:firstLine="240"/>
        <w:jc w:val="left"/>
        <w:spacing w:after="0" w:line="360" w:lineRule="auto"/>
        <w:rPr>
          <w:rFonts w:hint="eastAsia" w:ascii="宋体" w:hAnsi="宋体"/>
          <w:bCs/>
          <w:color w:val="000000"/>
          <w:sz w:val="24"/>
        </w:rPr>
      </w:pPr>
      <w:r>
        <w:rPr>
          <w:rFonts w:hint="eastAsia" w:ascii="宋体" w:hAnsi="宋体"/>
          <w:bCs/>
          <w:color w:val="000000"/>
          <w:sz w:val="24"/>
        </w:rPr>
        <w:t xml:space="preserve">日    期：     年     月    日</w:t>
      </w:r>
      <w:r/>
    </w:p>
    <w:p>
      <w:pPr>
        <w:ind w:firstLine="360"/>
        <w:spacing w:after="0" w:line="360" w:lineRule="auto"/>
        <w:rPr>
          <w:rFonts w:hint="eastAsia" w:ascii="宋体" w:hAnsi="宋体"/>
          <w:bCs/>
          <w:color w:val="000000"/>
          <w:sz w:val="24"/>
        </w:rPr>
      </w:pPr>
      <w:r>
        <w:rPr>
          <w:rFonts w:hint="eastAsia" w:ascii="宋体" w:hAnsi="宋体"/>
          <w:bCs/>
          <w:color w:val="000000"/>
          <w:sz w:val="24"/>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right="84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格式</w:t>
      </w:r>
      <w:r>
        <w:rPr>
          <w:rFonts w:hint="eastAsia" w:ascii="宋体" w:hAnsi="宋体" w:cs="宋体"/>
          <w:color w:val="000000"/>
          <w:sz w:val="24"/>
        </w:rPr>
        <w:t xml:space="preserve">5</w:t>
      </w:r>
      <w:r>
        <w:rPr>
          <w:rFonts w:ascii="宋体" w:hAnsi="宋体" w:cs="宋体"/>
          <w:color w:val="000000"/>
          <w:sz w:val="24"/>
        </w:rPr>
        <w:t xml:space="preserve">、</w:t>
      </w:r>
      <w:r>
        <w:rPr>
          <w:rFonts w:hint="eastAsia" w:ascii="宋体" w:hAnsi="宋体"/>
          <w:bCs/>
          <w:color w:val="000000"/>
          <w:sz w:val="24"/>
          <w:lang w:val="zh-CN"/>
        </w:rPr>
        <w:t xml:space="preserve">协审响应服务承诺书</w:t>
      </w:r>
      <w:r/>
    </w:p>
    <w:p>
      <w:pPr>
        <w:ind w:firstLine="3120"/>
        <w:spacing w:after="0" w:line="360" w:lineRule="auto"/>
        <w:rPr>
          <w:rFonts w:hint="eastAsia" w:ascii="宋体" w:hAnsi="宋体"/>
          <w:bCs/>
          <w:color w:val="000000"/>
          <w:sz w:val="24"/>
        </w:rPr>
      </w:pPr>
      <w:r>
        <w:rPr>
          <w:rFonts w:hint="eastAsia" w:ascii="宋体" w:hAnsi="宋体"/>
          <w:bCs/>
          <w:color w:val="000000"/>
          <w:sz w:val="24"/>
        </w:rPr>
      </w:r>
      <w:r/>
    </w:p>
    <w:p>
      <w:pPr>
        <w:ind w:firstLine="3120"/>
        <w:spacing w:after="0" w:line="360" w:lineRule="auto"/>
        <w:rPr>
          <w:rFonts w:hint="eastAsia" w:ascii="宋体" w:hAnsi="宋体"/>
          <w:bCs/>
          <w:color w:val="000000"/>
          <w:sz w:val="24"/>
        </w:rPr>
      </w:pPr>
      <w:r>
        <w:rPr>
          <w:rFonts w:hint="eastAsia" w:ascii="宋体" w:hAnsi="宋体"/>
          <w:bCs/>
          <w:color w:val="000000"/>
          <w:sz w:val="24"/>
        </w:rPr>
        <w:t xml:space="preserve">协审响应服务承诺书</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为保证苏州太湖新城吴中管理委员会党政办（投资评审中心）项目协审工作质量和效率，做好协审工作，我公司承诺并保证必要的协审响应服务时间，具体如下：</w:t>
      </w:r>
      <w:r/>
    </w:p>
    <w:p>
      <w:pPr>
        <w:spacing w:after="0" w:line="360" w:lineRule="auto"/>
        <w:rPr>
          <w:rFonts w:hint="eastAsia" w:ascii="宋体" w:hAnsi="宋体"/>
          <w:bCs/>
          <w:color w:val="000000"/>
          <w:sz w:val="24"/>
        </w:rPr>
      </w:pPr>
      <w:r>
        <w:rPr>
          <w:rFonts w:hint="eastAsia" w:ascii="宋体" w:hAnsi="宋体"/>
          <w:bCs/>
          <w:color w:val="000000"/>
          <w:sz w:val="24"/>
        </w:rPr>
        <w:t xml:space="preserve">一、我公司保证所提供的咨询服务符合造价行业规范，服从苏州太湖新城吴中管理委员会党政办（投资评审中心）的相关规章制度，达到苏州太湖新城吴中管理委员会党政办（投资评审中心）工作标准和要求。</w:t>
      </w:r>
      <w:r/>
    </w:p>
    <w:p>
      <w:pPr>
        <w:spacing w:after="0" w:line="360" w:lineRule="auto"/>
        <w:rPr>
          <w:rFonts w:hint="eastAsia" w:ascii="宋体" w:hAnsi="宋体"/>
          <w:bCs/>
          <w:color w:val="000000"/>
          <w:sz w:val="24"/>
        </w:rPr>
      </w:pPr>
      <w:r>
        <w:rPr>
          <w:rFonts w:hint="eastAsia" w:ascii="宋体" w:hAnsi="宋体"/>
          <w:bCs/>
          <w:color w:val="000000"/>
          <w:sz w:val="24"/>
        </w:rPr>
        <w:t xml:space="preserve">二、我公司保证成交后，如苏州太湖新城吴中管理委员会党政办（投资评审中心）对工程审计工作有任何工作安排，如资料交接、答疑、会议、踏勘、对账等，相应专职联系人、协审标段负责人及专业工程师到达评审现场，响应协审工作（交接资料、报送报告、现场踏勘、参加会议、对账等）。</w:t>
      </w:r>
      <w:r/>
    </w:p>
    <w:p>
      <w:pPr>
        <w:spacing w:after="0" w:line="360" w:lineRule="auto"/>
        <w:rPr>
          <w:rFonts w:hint="eastAsia" w:ascii="宋体" w:hAnsi="宋体"/>
          <w:bCs/>
          <w:color w:val="000000"/>
          <w:sz w:val="24"/>
        </w:rPr>
      </w:pPr>
      <w:r>
        <w:rPr>
          <w:rFonts w:hint="eastAsia" w:ascii="宋体" w:hAnsi="宋体"/>
          <w:bCs/>
          <w:color w:val="000000"/>
          <w:sz w:val="24"/>
        </w:rPr>
        <w:t xml:space="preserve">三、如我公司在服务期内，被发现未在承诺时间内响应协审工作，实质性违背协审响应服务承诺书情况一次的，则苏州太湖新城吴中管理委员会党政办（投资评审中心）有权终止我司的</w:t>
      </w:r>
      <w:r>
        <w:rPr>
          <w:rFonts w:hint="eastAsia" w:ascii="宋体" w:hAnsi="宋体"/>
          <w:bCs/>
          <w:color w:val="000000"/>
          <w:sz w:val="24"/>
          <w:lang w:eastAsia="zh-CN"/>
        </w:rPr>
        <w:t xml:space="preserve">苏州吴中太湖新城财政评(协)审2026年政府采购</w:t>
      </w:r>
      <w:r>
        <w:rPr>
          <w:rFonts w:hint="eastAsia" w:ascii="宋体" w:hAnsi="宋体"/>
          <w:bCs/>
          <w:color w:val="000000"/>
          <w:sz w:val="24"/>
        </w:rPr>
        <w:t xml:space="preserve">合同，通报行业主管部门或其他相关部门进行处理，并将相关情况报政府采购监督管理部门作为虚假投标的证据。</w:t>
      </w:r>
      <w:r/>
    </w:p>
    <w:p>
      <w:pPr>
        <w:spacing w:after="0" w:line="360" w:lineRule="auto"/>
        <w:rPr>
          <w:rFonts w:hint="eastAsia" w:ascii="宋体" w:hAnsi="宋体"/>
          <w:bCs/>
          <w:color w:val="000000"/>
          <w:sz w:val="24"/>
        </w:rPr>
      </w:pPr>
      <w:r>
        <w:rPr>
          <w:rFonts w:hint="eastAsia" w:ascii="宋体" w:hAnsi="宋体"/>
          <w:bCs/>
          <w:color w:val="000000"/>
          <w:sz w:val="24"/>
        </w:rPr>
        <w:t xml:space="preserve">四、负责部门：            联系人：                ；</w:t>
      </w:r>
      <w:r/>
    </w:p>
    <w:p>
      <w:pPr>
        <w:spacing w:after="0" w:line="360" w:lineRule="auto"/>
        <w:rPr>
          <w:rFonts w:hint="eastAsia" w:ascii="宋体" w:hAnsi="宋体"/>
          <w:bCs/>
          <w:color w:val="000000"/>
          <w:sz w:val="24"/>
          <w:lang w:val="zh-CN"/>
        </w:rPr>
      </w:pPr>
      <w:r>
        <w:rPr>
          <w:rFonts w:hint="eastAsia" w:ascii="宋体" w:hAnsi="宋体"/>
          <w:bCs/>
          <w:color w:val="000000"/>
          <w:sz w:val="24"/>
        </w:rPr>
        <w:t xml:space="preserve">联系电话（座机或手机号码）：                     。  </w:t>
      </w:r>
      <w:r>
        <w:rPr>
          <w:rFonts w:hint="eastAsia" w:ascii="宋体" w:hAnsi="宋体"/>
          <w:bCs/>
          <w:color w:val="000000"/>
          <w:sz w:val="24"/>
          <w:lang w:val="zh-CN"/>
        </w:rPr>
        <w:t xml:space="preserve">                </w:t>
      </w:r>
      <w:r/>
    </w:p>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投标单位</w:t>
      </w:r>
      <w:r>
        <w:rPr>
          <w:rFonts w:ascii="宋体" w:hAnsi="宋体"/>
          <w:bCs/>
          <w:color w:val="000000"/>
          <w:sz w:val="24"/>
          <w:lang w:val="zh-CN"/>
        </w:rPr>
        <w:t xml:space="preserve">（单位盖章）：</w:t>
      </w:r>
      <w:r/>
    </w:p>
    <w:p>
      <w:pPr>
        <w:spacing w:after="0" w:line="360" w:lineRule="auto"/>
        <w:rPr>
          <w:rFonts w:hint="eastAsia" w:ascii="宋体" w:hAnsi="宋体"/>
          <w:bCs/>
          <w:color w:val="000000"/>
          <w:sz w:val="24"/>
          <w:lang w:val="zh-CN"/>
        </w:rPr>
      </w:pPr>
      <w:r>
        <w:rPr>
          <w:rFonts w:ascii="宋体" w:hAnsi="宋体"/>
          <w:bCs/>
          <w:color w:val="000000"/>
          <w:sz w:val="24"/>
          <w:lang w:val="zh-CN"/>
        </w:rPr>
        <w:t xml:space="preserve">法定代表人或被授权委托人（签字或盖章）：                   </w:t>
      </w:r>
      <w:r/>
    </w:p>
    <w:p>
      <w:pPr>
        <w:spacing w:after="0" w:line="360" w:lineRule="auto"/>
        <w:rPr>
          <w:rFonts w:hint="eastAsia" w:ascii="宋体" w:hAnsi="宋体"/>
          <w:bCs/>
          <w:color w:val="000000"/>
          <w:sz w:val="24"/>
          <w:lang w:val="zh-CN"/>
        </w:rPr>
      </w:pPr>
      <w:r>
        <w:rPr>
          <w:rFonts w:ascii="宋体" w:hAnsi="宋体"/>
          <w:bCs/>
          <w:color w:val="000000"/>
          <w:sz w:val="24"/>
          <w:lang w:val="zh-CN"/>
        </w:rPr>
        <w:t xml:space="preserve">日期：</w:t>
      </w:r>
      <w:r>
        <w:rPr>
          <w:rFonts w:hint="eastAsia" w:ascii="宋体" w:hAnsi="宋体"/>
          <w:bCs/>
          <w:color w:val="000000"/>
          <w:sz w:val="24"/>
          <w:lang w:val="zh-CN"/>
        </w:rPr>
        <w:t xml:space="preserve"> </w:t>
      </w:r>
      <w:r>
        <w:rPr>
          <w:rFonts w:ascii="宋体" w:hAnsi="宋体"/>
          <w:bCs/>
          <w:color w:val="000000"/>
          <w:sz w:val="24"/>
          <w:lang w:val="zh-CN"/>
        </w:rPr>
        <w:t xml:space="preserve">      年  月  日</w:t>
      </w:r>
      <w:r/>
    </w:p>
    <w:p>
      <w:pPr>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spacing w:after="0" w:line="360" w:lineRule="auto"/>
        <w:rPr>
          <w:rFonts w:hint="eastAsia" w:ascii="宋体" w:hAnsi="宋体"/>
          <w:b/>
          <w:bCs w:val="0"/>
          <w:color w:val="000000"/>
          <w:sz w:val="24"/>
          <w:lang w:val="zh-CN"/>
        </w:rPr>
      </w:pPr>
      <w:r>
        <w:rPr>
          <w:rFonts w:ascii="宋体" w:hAnsi="宋体"/>
          <w:b/>
          <w:bCs w:val="0"/>
          <w:color w:val="000000"/>
          <w:sz w:val="24"/>
          <w:lang w:val="zh-CN"/>
        </w:rPr>
        <w:t xml:space="preserve">注：1.</w:t>
      </w:r>
      <w:r>
        <w:rPr>
          <w:rFonts w:hint="eastAsia" w:ascii="宋体" w:hAnsi="宋体"/>
          <w:b/>
          <w:bCs w:val="0"/>
          <w:color w:val="000000"/>
          <w:sz w:val="24"/>
          <w:lang w:val="zh-CN"/>
        </w:rPr>
        <w:t xml:space="preserve">投标单位</w:t>
      </w:r>
      <w:r>
        <w:rPr>
          <w:rFonts w:ascii="宋体" w:hAnsi="宋体"/>
          <w:b/>
          <w:bCs w:val="0"/>
          <w:color w:val="000000"/>
          <w:sz w:val="24"/>
          <w:lang w:val="zh-CN"/>
        </w:rPr>
        <w:t xml:space="preserve">提交的</w:t>
      </w:r>
      <w:r>
        <w:rPr>
          <w:rFonts w:hint="eastAsia" w:ascii="宋体" w:hAnsi="宋体"/>
          <w:b/>
          <w:bCs w:val="0"/>
          <w:color w:val="000000"/>
          <w:sz w:val="24"/>
          <w:lang w:val="zh-CN"/>
        </w:rPr>
        <w:t xml:space="preserve">投标文件</w:t>
      </w:r>
      <w:r>
        <w:rPr>
          <w:rFonts w:ascii="宋体" w:hAnsi="宋体"/>
          <w:b/>
          <w:bCs w:val="0"/>
          <w:color w:val="000000"/>
          <w:sz w:val="24"/>
          <w:lang w:val="zh-CN"/>
        </w:rPr>
        <w:t xml:space="preserve">中与</w:t>
      </w:r>
      <w:r>
        <w:rPr>
          <w:rFonts w:hint="eastAsia" w:ascii="宋体" w:hAnsi="宋体"/>
          <w:b/>
          <w:bCs w:val="0"/>
          <w:color w:val="000000"/>
          <w:sz w:val="24"/>
          <w:lang w:val="zh-CN"/>
        </w:rPr>
        <w:t xml:space="preserve">招标文件</w:t>
      </w:r>
      <w:r>
        <w:rPr>
          <w:rFonts w:ascii="宋体" w:hAnsi="宋体"/>
          <w:b/>
          <w:bCs w:val="0"/>
          <w:color w:val="000000"/>
          <w:sz w:val="24"/>
          <w:lang w:val="zh-CN"/>
        </w:rPr>
        <w:t xml:space="preserve">的服务要求有不同时，必须在本表中把</w:t>
      </w:r>
      <w:r>
        <w:rPr>
          <w:rFonts w:hint="eastAsia" w:ascii="宋体" w:hAnsi="宋体"/>
          <w:b/>
          <w:bCs w:val="0"/>
          <w:color w:val="000000"/>
          <w:sz w:val="24"/>
          <w:lang w:val="zh-CN"/>
        </w:rPr>
        <w:t xml:space="preserve">招标文件</w:t>
      </w:r>
      <w:r>
        <w:rPr>
          <w:rFonts w:ascii="宋体" w:hAnsi="宋体"/>
          <w:b/>
          <w:bCs w:val="0"/>
          <w:color w:val="000000"/>
          <w:sz w:val="24"/>
          <w:lang w:val="zh-CN"/>
        </w:rPr>
        <w:t xml:space="preserve">要求与投标实际响应内容逐项对应列出。</w:t>
      </w:r>
      <w:r/>
    </w:p>
    <w:p>
      <w:pPr>
        <w:ind w:firstLine="482"/>
        <w:spacing w:after="0" w:line="360" w:lineRule="auto"/>
        <w:rPr>
          <w:rFonts w:hint="eastAsia" w:ascii="宋体" w:hAnsi="宋体"/>
          <w:bCs/>
          <w:color w:val="000000"/>
          <w:sz w:val="24"/>
          <w:lang w:val="zh-CN"/>
        </w:rPr>
      </w:pPr>
      <w:r>
        <w:rPr>
          <w:rFonts w:ascii="宋体" w:hAnsi="宋体"/>
          <w:b/>
          <w:bCs w:val="0"/>
          <w:color w:val="000000"/>
          <w:sz w:val="24"/>
          <w:lang w:val="zh-CN"/>
        </w:rPr>
        <w:t xml:space="preserve">2.若事项较多，</w:t>
      </w:r>
      <w:r>
        <w:rPr>
          <w:rFonts w:hint="eastAsia" w:ascii="宋体" w:hAnsi="宋体"/>
          <w:b/>
          <w:bCs w:val="0"/>
          <w:color w:val="000000"/>
          <w:sz w:val="24"/>
          <w:lang w:val="zh-CN"/>
        </w:rPr>
        <w:t xml:space="preserve">投标单位</w:t>
      </w:r>
      <w:r>
        <w:rPr>
          <w:rFonts w:ascii="宋体" w:hAnsi="宋体"/>
          <w:b/>
          <w:bCs w:val="0"/>
          <w:color w:val="000000"/>
          <w:sz w:val="24"/>
          <w:lang w:val="zh-CN"/>
        </w:rPr>
        <w:t xml:space="preserve">可根据</w:t>
      </w:r>
      <w:r>
        <w:rPr>
          <w:rFonts w:hint="eastAsia" w:ascii="宋体" w:hAnsi="宋体"/>
          <w:b/>
          <w:bCs w:val="0"/>
          <w:color w:val="000000"/>
          <w:sz w:val="24"/>
          <w:lang w:val="zh-CN"/>
        </w:rPr>
        <w:t xml:space="preserve">响应</w:t>
      </w:r>
      <w:r>
        <w:rPr>
          <w:rFonts w:ascii="宋体" w:hAnsi="宋体"/>
          <w:b/>
          <w:bCs w:val="0"/>
          <w:color w:val="000000"/>
          <w:sz w:val="24"/>
          <w:lang w:val="zh-CN"/>
        </w:rPr>
        <w:t xml:space="preserve">内容的实际情况另纸说明。</w:t>
      </w:r>
      <w:r/>
    </w:p>
    <w:p>
      <w:pPr>
        <w:ind w:right="480"/>
        <w:jc w:val="right"/>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spacing w:after="0" w:line="360" w:lineRule="auto"/>
        <w:rPr>
          <w:rFonts w:hint="eastAsia" w:ascii="宋体" w:hAnsi="宋体"/>
          <w:bCs/>
          <w:color w:val="000000"/>
          <w:sz w:val="24"/>
          <w:lang w:val="zh-CN"/>
        </w:rPr>
      </w:pPr>
      <w:r>
        <w:rPr>
          <w:rFonts w:ascii="宋体" w:hAnsi="宋体"/>
          <w:bCs/>
          <w:color w:val="000000"/>
          <w:sz w:val="24"/>
          <w:lang w:val="zh-CN"/>
        </w:rPr>
        <w:br w:type="page" w:clear="all"/>
      </w:r>
      <w:r>
        <w:rPr>
          <w:rFonts w:hint="eastAsia" w:ascii="宋体" w:hAnsi="宋体"/>
          <w:bCs/>
          <w:color w:val="000000"/>
          <w:sz w:val="24"/>
          <w:lang w:val="zh-CN"/>
        </w:rPr>
        <w:t xml:space="preserve">格式6、协审人员备案考勤承诺书</w:t>
      </w:r>
      <w:r/>
    </w:p>
    <w:p>
      <w:pPr>
        <w:ind w:firstLine="2880"/>
        <w:spacing w:after="0" w:line="360" w:lineRule="auto"/>
        <w:rPr>
          <w:rFonts w:hint="eastAsia" w:ascii="宋体" w:hAnsi="宋体"/>
          <w:bCs/>
          <w:color w:val="000000"/>
          <w:sz w:val="24"/>
        </w:rPr>
      </w:pPr>
      <w:r>
        <w:rPr>
          <w:rFonts w:hint="eastAsia" w:ascii="宋体" w:hAnsi="宋体"/>
          <w:bCs/>
          <w:color w:val="000000"/>
          <w:sz w:val="24"/>
        </w:rPr>
        <w:t xml:space="preserve">协审人员备案考勤承诺书</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为保证苏州太湖新城吴中管理委员会党政办（投资评审中心）项目协审工作顺利开展和协审工作效率有效提升，体现协审工作的服务性质，履行协审服务响应承诺，我公司承诺拟投入协审人员安排如下：</w:t>
      </w:r>
      <w:r/>
    </w:p>
    <w:p>
      <w:pPr>
        <w:ind w:firstLine="480"/>
        <w:spacing w:after="0" w:line="360" w:lineRule="auto"/>
        <w:rPr>
          <w:rFonts w:hint="eastAsia" w:ascii="宋体" w:hAnsi="宋体"/>
          <w:bCs/>
          <w:color w:val="000000"/>
          <w:sz w:val="24"/>
        </w:rPr>
      </w:pPr>
      <w:r>
        <w:rPr>
          <w:rFonts w:hint="eastAsia" w:ascii="宋体" w:hAnsi="宋体"/>
          <w:bCs/>
          <w:color w:val="000000"/>
          <w:sz w:val="24"/>
          <w:lang w:val="en-US" w:eastAsia="zh-CN"/>
        </w:rPr>
        <w:t xml:space="preserve">一、</w:t>
      </w:r>
      <w:r>
        <w:rPr>
          <w:rFonts w:hint="eastAsia" w:ascii="宋体" w:hAnsi="宋体"/>
          <w:bCs/>
          <w:color w:val="000000"/>
          <w:sz w:val="24"/>
        </w:rPr>
        <w:t xml:space="preserve">我公司实际将投入一级注册造价工程师    名、其他造价从业人员    名参与本</w:t>
      </w:r>
      <w:r>
        <w:rPr>
          <w:rFonts w:hint="eastAsia" w:ascii="宋体" w:hAnsi="宋体"/>
          <w:bCs/>
          <w:color w:val="000000"/>
          <w:sz w:val="24"/>
          <w:lang w:eastAsia="zh-CN"/>
        </w:rPr>
        <w:t xml:space="preserve">招标文件</w:t>
      </w:r>
      <w:r>
        <w:rPr>
          <w:rFonts w:hint="eastAsia" w:ascii="宋体" w:hAnsi="宋体"/>
          <w:bCs/>
          <w:color w:val="000000"/>
          <w:sz w:val="24"/>
        </w:rPr>
        <w:t xml:space="preserve">范围内的协审服务，其中：擅长土建专业   人次；擅长安装专业   人次；擅长装饰专业   人次；擅长市政专业   人次；擅长园林专业   人次实际投入人员与本次响应承诺的拟派人员一致。本承诺书承诺的协审人员数量保证与后续附表中造价从业人员一致，如不一致，则同意评标时以较低数量为准。</w:t>
      </w:r>
      <w:r/>
    </w:p>
    <w:p>
      <w:pPr>
        <w:ind w:firstLine="480"/>
        <w:spacing w:after="0" w:line="360" w:lineRule="auto"/>
        <w:rPr>
          <w:rFonts w:hint="eastAsia" w:ascii="宋体" w:hAnsi="宋体"/>
          <w:bCs/>
          <w:color w:val="000000"/>
          <w:sz w:val="24"/>
        </w:rPr>
      </w:pPr>
      <w:r>
        <w:rPr>
          <w:rFonts w:hint="eastAsia" w:ascii="宋体" w:hAnsi="宋体"/>
          <w:bCs/>
          <w:color w:val="000000"/>
          <w:sz w:val="24"/>
          <w:lang w:val="en-US" w:eastAsia="zh-CN"/>
        </w:rPr>
        <w:t xml:space="preserve">二、</w:t>
      </w:r>
      <w:r>
        <w:rPr>
          <w:rFonts w:hint="eastAsia" w:ascii="宋体" w:hAnsi="宋体"/>
          <w:bCs/>
          <w:color w:val="000000"/>
          <w:sz w:val="24"/>
        </w:rPr>
        <w:t xml:space="preserve">我公司承诺投入的协审人员按服务响应承诺提供协审服务，统一向苏州太湖新城吴中管理委员会党政办（投资评审中心）报备并接受考勤管理。报备时保证一级注册造价工程师的执业注册信息一致，其他造价从业人员的职业资格信息一致。</w:t>
      </w:r>
      <w:r/>
    </w:p>
    <w:p>
      <w:pPr>
        <w:ind w:firstLine="480"/>
        <w:spacing w:after="0" w:line="360" w:lineRule="auto"/>
        <w:rPr>
          <w:rFonts w:hint="eastAsia" w:ascii="宋体" w:hAnsi="宋体"/>
          <w:bCs/>
          <w:color w:val="000000"/>
          <w:sz w:val="24"/>
        </w:rPr>
      </w:pPr>
      <w:r>
        <w:rPr>
          <w:rFonts w:hint="eastAsia" w:ascii="宋体" w:hAnsi="宋体"/>
          <w:bCs/>
          <w:color w:val="000000"/>
          <w:sz w:val="24"/>
          <w:lang w:val="en-US" w:eastAsia="zh-CN"/>
        </w:rPr>
        <w:t xml:space="preserve">三、</w:t>
      </w:r>
      <w:r>
        <w:rPr>
          <w:rFonts w:hint="eastAsia" w:ascii="宋体" w:hAnsi="宋体"/>
          <w:bCs/>
          <w:color w:val="000000"/>
          <w:sz w:val="24"/>
        </w:rPr>
        <w:t xml:space="preserve">我公司承诺服务期内投入的协审人员总数及一级注册造价工程师数量不低于响应承诺。成交后三个月内我公司投入的协审人员与响应承诺人员完全一致。如三个月后我公司需要更换协审人员，将向苏州太湖新城吴中管理委员会党政办（投资评审中心）提交申请并满足前述承诺，经苏州太湖新城吴中管理委员会党政办（投资评审中心）同意后更换。</w:t>
      </w:r>
      <w:r/>
    </w:p>
    <w:p>
      <w:pPr>
        <w:ind w:firstLine="480"/>
        <w:spacing w:after="0" w:line="360" w:lineRule="auto"/>
        <w:rPr>
          <w:rFonts w:hint="eastAsia" w:ascii="宋体" w:hAnsi="宋体"/>
          <w:bCs/>
          <w:color w:val="000000"/>
          <w:sz w:val="24"/>
        </w:rPr>
      </w:pPr>
      <w:r>
        <w:rPr>
          <w:rFonts w:hint="eastAsia" w:ascii="宋体" w:hAnsi="宋体"/>
          <w:bCs/>
          <w:color w:val="000000"/>
          <w:sz w:val="24"/>
          <w:lang w:val="en-US" w:eastAsia="zh-CN"/>
        </w:rPr>
        <w:t xml:space="preserve">四、</w:t>
      </w:r>
      <w:r>
        <w:rPr>
          <w:rFonts w:hint="eastAsia" w:ascii="宋体" w:hAnsi="宋体"/>
          <w:bCs/>
          <w:color w:val="000000"/>
          <w:sz w:val="24"/>
        </w:rPr>
        <w:t xml:space="preserve">我公司拟投入协审人员同意接受苏州太湖新城吴中管理委员会党政办（投资评审中心）的备案、考勤等工作管理，并在成交后一个月内完成投入人员的考勤备案登记，服从苏州太湖新城吴中管理委员会党政办（投资评审中心）的工作安排。如实际工作中违背本承诺，则苏州太湖新城吴中管理委员会党政办（投资评审中心）有权按照本</w:t>
      </w:r>
      <w:r>
        <w:rPr>
          <w:rFonts w:hint="eastAsia" w:ascii="宋体" w:hAnsi="宋体"/>
          <w:bCs/>
          <w:color w:val="000000"/>
          <w:sz w:val="24"/>
          <w:lang w:eastAsia="zh-CN"/>
        </w:rPr>
        <w:t xml:space="preserve">招标文件</w:t>
      </w:r>
      <w:r>
        <w:rPr>
          <w:rFonts w:hint="eastAsia" w:ascii="宋体" w:hAnsi="宋体"/>
          <w:bCs/>
          <w:color w:val="000000"/>
          <w:sz w:val="24"/>
        </w:rPr>
        <w:t xml:space="preserve">的相关约定进行惩处。情节严重的，苏州太湖新城吴中管理委员会党政办（投资评审中心）有权终止本次委托协审服务合同，通报行业主管部门或其他相关部门进行处理，并将相关情况报政府采购监督管理部门作为虚假投标的证据。</w:t>
      </w:r>
      <w:r/>
    </w:p>
    <w:p>
      <w:pPr>
        <w:ind w:firstLine="480"/>
        <w:spacing w:after="0" w:line="360" w:lineRule="auto"/>
        <w:rPr>
          <w:rFonts w:hint="eastAsia" w:ascii="宋体" w:hAnsi="宋体"/>
          <w:bCs/>
          <w:color w:val="000000"/>
          <w:sz w:val="24"/>
        </w:rPr>
      </w:pPr>
      <w:r>
        <w:rPr>
          <w:rFonts w:hint="eastAsia" w:ascii="宋体" w:hAnsi="宋体"/>
          <w:bCs/>
          <w:color w:val="000000"/>
          <w:sz w:val="24"/>
          <w:lang w:val="en-US" w:eastAsia="zh-CN"/>
        </w:rPr>
        <w:t xml:space="preserve">五、</w:t>
      </w:r>
      <w:r>
        <w:rPr>
          <w:rFonts w:hint="eastAsia" w:ascii="宋体" w:hAnsi="宋体"/>
          <w:bCs/>
          <w:color w:val="000000"/>
          <w:sz w:val="24"/>
        </w:rPr>
        <w:t xml:space="preserve">负责部门：            联系人：                ；</w:t>
      </w:r>
      <w:r/>
    </w:p>
    <w:p>
      <w:pPr>
        <w:ind w:firstLine="960"/>
        <w:spacing w:after="0" w:line="360" w:lineRule="auto"/>
        <w:rPr>
          <w:rFonts w:hint="eastAsia" w:ascii="宋体" w:hAnsi="宋体"/>
          <w:bCs/>
          <w:color w:val="000000"/>
          <w:sz w:val="24"/>
          <w:lang w:val="zh-CN"/>
        </w:rPr>
      </w:pPr>
      <w:r>
        <w:rPr>
          <w:rFonts w:hint="eastAsia" w:ascii="宋体" w:hAnsi="宋体"/>
          <w:bCs/>
          <w:color w:val="000000"/>
          <w:sz w:val="24"/>
        </w:rPr>
        <w:t xml:space="preserve">联系电话（座机及手机号码）：                     。 </w:t>
      </w:r>
      <w:r/>
    </w:p>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投标单位：（单位盖章）</w:t>
      </w:r>
      <w:r/>
    </w:p>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法定代表人或被授权委托人：（签字或盖章）</w:t>
      </w:r>
      <w:r/>
    </w:p>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日期：         年         月       日</w:t>
      </w:r>
      <w:r/>
    </w:p>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格式7、专职负责人履职承诺书</w:t>
      </w:r>
      <w:r/>
    </w:p>
    <w:p>
      <w:pPr>
        <w:ind w:firstLine="3120"/>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专职负责人履职承诺书</w:t>
      </w:r>
      <w:r/>
    </w:p>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我公司特委派____________同志（职务：___________，具备的造价类执业资格证书：___________________）作为对接苏州太湖新城吴中管理委员会协审业务第    标段的专职负责人，全力配合苏州太湖新城吴中管理委员会党政办（投资评审中心）协审工作，做好财政投资项目协审服务，保证受委托项目的协审质量和效率, 并承诺做好以下事务：</w:t>
      </w:r>
      <w:r/>
    </w:p>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1. 代表我公司专职负责与苏州太湖新城吴中管理委员会党政办（投资评审中心）进行有关协审服务的沟通对接，接收并及时响应苏州太湖新城吴中管理委员会党政办（投资评审中心）的通知、要求、协审任务，做好委托协审项目的组织安排与拟派协审人员的管理；</w:t>
      </w:r>
      <w:r/>
    </w:p>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2. 负责组织我公司拟派的协审人员及时学习并熟悉掌握苏州太湖新城吴中管理委员会党政办（投资评审中心）相关制度文件、协审业务流程、工作要求、评审信息系统操作等，提高协审人员的业务熟练程度；</w:t>
      </w:r>
      <w:r/>
    </w:p>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3. 管理好受托项目的质量和进度，进行协审项目管理和具体问题对接，一旦发现存在协审质量或进度问题，能够及时按苏州太湖新城吴中管理委员会党政办（投资评审中心）的要求督促相关参与人员及时整改，保证协审质量和进度；</w:t>
      </w:r>
      <w:r/>
    </w:p>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4. 负责对接好苏州太湖新城吴中管理委员党政办（投资评审中心）会委派的其他工作任务，提高我公司整体协审服务水平。</w:t>
      </w:r>
      <w:r/>
    </w:p>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专职负责人的履职情况纳入苏州太湖新城吴中管理委员会党政办（投资评审中心）日常业务考核管理。</w:t>
      </w:r>
      <w:r/>
    </w:p>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特此承诺。</w:t>
      </w:r>
      <w:r/>
    </w:p>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专职负责人签字：_________联系电话（座机及手机号码）：__________</w:t>
      </w:r>
      <w:r/>
    </w:p>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投标单位：___________________（公章）</w:t>
      </w:r>
      <w:r/>
    </w:p>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联系电话：_________________</w:t>
      </w:r>
      <w:r/>
    </w:p>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法定代表人或被授权委托人：（签字或盖章）</w:t>
      </w:r>
      <w:r/>
    </w:p>
    <w:p>
      <w:pPr>
        <w:ind w:firstLine="960"/>
        <w:spacing w:after="0" w:line="360" w:lineRule="auto"/>
        <w:rPr>
          <w:rFonts w:hint="eastAsia" w:ascii="宋体" w:hAnsi="宋体"/>
          <w:bCs/>
          <w:color w:val="000000"/>
          <w:sz w:val="24"/>
        </w:rPr>
      </w:pPr>
      <w:r>
        <w:rPr>
          <w:rFonts w:hint="eastAsia" w:ascii="宋体" w:hAnsi="宋体"/>
          <w:bCs/>
          <w:color w:val="000000"/>
          <w:sz w:val="24"/>
          <w:lang w:val="zh-CN"/>
        </w:rPr>
        <w:t xml:space="preserve">日期：         年         月       日</w:t>
      </w:r>
      <w:r/>
    </w:p>
    <w:p>
      <w:pPr>
        <w:spacing w:line="360" w:lineRule="auto"/>
        <w:rPr>
          <w:rFonts w:hint="eastAsia" w:ascii="宋体" w:hAnsi="宋体" w:cs="宋体"/>
          <w:bCs/>
          <w:color w:val="000000"/>
        </w:rPr>
      </w:pPr>
      <w:r>
        <w:rPr>
          <w:rFonts w:hint="eastAsia" w:ascii="宋体" w:hAnsi="宋体" w:cs="宋体"/>
          <w:bCs/>
          <w:color w:val="000000"/>
        </w:rPr>
      </w:r>
      <w:r/>
    </w:p>
    <w:p>
      <w:pPr>
        <w:spacing w:line="360" w:lineRule="auto"/>
        <w:rPr>
          <w:rFonts w:hint="eastAsia" w:ascii="宋体" w:hAnsi="宋体" w:cs="宋体"/>
          <w:bCs/>
          <w:color w:val="000000"/>
        </w:rPr>
      </w:pPr>
      <w:r>
        <w:rPr>
          <w:rFonts w:hint="eastAsia" w:ascii="宋体" w:hAnsi="宋体" w:cs="宋体"/>
          <w:bCs/>
          <w:color w:val="000000"/>
        </w:rPr>
      </w:r>
      <w:r/>
    </w:p>
    <w:p>
      <w:pPr>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格式8、拟投入一级注册造价工程师、其他造价从业人员汇总一览表</w:t>
      </w:r>
      <w:r/>
    </w:p>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拟投入一级注册造价工程师、其他造价从业人员汇总一览表</w:t>
      </w:r>
      <w:r/>
    </w:p>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项目编号：                                                      第     标段</w:t>
      </w:r>
      <w:r/>
    </w:p>
    <w:tbl>
      <w:tblPr>
        <w:tblStyle w:val="8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900"/>
        <w:gridCol w:w="3447"/>
        <w:gridCol w:w="1276"/>
        <w:gridCol w:w="1276"/>
        <w:gridCol w:w="2126"/>
      </w:tblGrid>
      <w:tr>
        <w:trPr>
          <w:jc w:val="center"/>
          <w:trHeight w:val="1442"/>
        </w:trPr>
        <w:tc>
          <w:tcPr>
            <w:tcW w:w="740" w:type="dxa"/>
            <w:vAlign w:val="center"/>
            <w:textDirection w:val="lrTb"/>
            <w:noWrap w:val="false"/>
          </w:tcPr>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序号</w:t>
            </w:r>
            <w:r/>
          </w:p>
        </w:tc>
        <w:tc>
          <w:tcPr>
            <w:tcW w:w="900" w:type="dxa"/>
            <w:vAlign w:val="center"/>
            <w:textDirection w:val="lrTb"/>
            <w:noWrap w:val="false"/>
          </w:tcPr>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姓名</w:t>
            </w:r>
            <w:r/>
          </w:p>
        </w:tc>
        <w:tc>
          <w:tcPr>
            <w:tcW w:w="3447" w:type="dxa"/>
            <w:vAlign w:val="center"/>
            <w:textDirection w:val="lrTb"/>
            <w:noWrap w:val="false"/>
          </w:tcPr>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造价职业资格及注册证（造价工程师或其他造价从业人员）</w:t>
            </w:r>
            <w:r/>
          </w:p>
        </w:tc>
        <w:tc>
          <w:tcPr>
            <w:tcW w:w="1276" w:type="dxa"/>
            <w:vAlign w:val="center"/>
            <w:textDirection w:val="lrTb"/>
            <w:noWrap w:val="false"/>
          </w:tcPr>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职称情况</w:t>
            </w:r>
            <w:r/>
          </w:p>
        </w:tc>
        <w:tc>
          <w:tcPr>
            <w:tcW w:w="1276" w:type="dxa"/>
            <w:vAlign w:val="center"/>
            <w:textDirection w:val="lrTb"/>
            <w:noWrap w:val="false"/>
          </w:tcPr>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专业情况</w:t>
            </w:r>
            <w:r/>
          </w:p>
        </w:tc>
        <w:tc>
          <w:tcPr>
            <w:tcW w:w="2126" w:type="dxa"/>
            <w:vAlign w:val="center"/>
            <w:textDirection w:val="lrTb"/>
            <w:noWrap w:val="false"/>
          </w:tcPr>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执业印章（如有）</w:t>
            </w:r>
            <w:r/>
          </w:p>
        </w:tc>
      </w:tr>
      <w:tr>
        <w:trPr>
          <w:jc w:val="center"/>
          <w:trHeight w:val="276"/>
        </w:trPr>
        <w:tc>
          <w:tcPr>
            <w:tcW w:w="740" w:type="dxa"/>
            <w:vAlign w:val="top"/>
            <w:textDirection w:val="lrTb"/>
            <w:noWrap w:val="false"/>
          </w:tcPr>
          <w:p>
            <w:pPr>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900"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3447"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一级注册造价师</w:t>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212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Height w:val="276"/>
        </w:trPr>
        <w:tc>
          <w:tcPr>
            <w:tcW w:w="740" w:type="dxa"/>
            <w:vAlign w:val="top"/>
            <w:textDirection w:val="lrTb"/>
            <w:noWrap w:val="false"/>
          </w:tcPr>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1</w:t>
            </w:r>
            <w:r/>
          </w:p>
        </w:tc>
        <w:tc>
          <w:tcPr>
            <w:tcW w:w="900"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3447"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212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Height w:val="276"/>
        </w:trPr>
        <w:tc>
          <w:tcPr>
            <w:tcW w:w="740" w:type="dxa"/>
            <w:vAlign w:val="top"/>
            <w:textDirection w:val="lrTb"/>
            <w:noWrap w:val="false"/>
          </w:tcPr>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2</w:t>
            </w:r>
            <w:r/>
          </w:p>
        </w:tc>
        <w:tc>
          <w:tcPr>
            <w:tcW w:w="900"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3447"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212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Height w:val="276"/>
        </w:trPr>
        <w:tc>
          <w:tcPr>
            <w:tcW w:w="740" w:type="dxa"/>
            <w:vAlign w:val="top"/>
            <w:textDirection w:val="lrTb"/>
            <w:noWrap w:val="false"/>
          </w:tcPr>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3</w:t>
            </w:r>
            <w:r/>
          </w:p>
        </w:tc>
        <w:tc>
          <w:tcPr>
            <w:tcW w:w="900"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3447"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212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Height w:val="276"/>
        </w:trPr>
        <w:tc>
          <w:tcPr>
            <w:tcW w:w="740" w:type="dxa"/>
            <w:vAlign w:val="top"/>
            <w:textDirection w:val="lrTb"/>
            <w:noWrap w:val="false"/>
          </w:tcPr>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w:t>
            </w:r>
            <w:r/>
          </w:p>
        </w:tc>
        <w:tc>
          <w:tcPr>
            <w:tcW w:w="900"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3447"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212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Height w:val="276"/>
        </w:trPr>
        <w:tc>
          <w:tcPr>
            <w:tcW w:w="740" w:type="dxa"/>
            <w:vAlign w:val="top"/>
            <w:textDirection w:val="lrTb"/>
            <w:noWrap w:val="false"/>
          </w:tcPr>
          <w:p>
            <w:pPr>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900"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3447"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其他造价从业人员</w:t>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212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Height w:val="276"/>
        </w:trPr>
        <w:tc>
          <w:tcPr>
            <w:tcW w:w="740" w:type="dxa"/>
            <w:vAlign w:val="top"/>
            <w:textDirection w:val="lrTb"/>
            <w:noWrap w:val="false"/>
          </w:tcPr>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1</w:t>
            </w:r>
            <w:r/>
          </w:p>
        </w:tc>
        <w:tc>
          <w:tcPr>
            <w:tcW w:w="900"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3447"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212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Height w:val="276"/>
        </w:trPr>
        <w:tc>
          <w:tcPr>
            <w:tcW w:w="740" w:type="dxa"/>
            <w:vAlign w:val="top"/>
            <w:textDirection w:val="lrTb"/>
            <w:noWrap w:val="false"/>
          </w:tcPr>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2</w:t>
            </w:r>
            <w:r/>
          </w:p>
        </w:tc>
        <w:tc>
          <w:tcPr>
            <w:tcW w:w="900"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3447"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212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Height w:val="469"/>
        </w:trPr>
        <w:tc>
          <w:tcPr>
            <w:tcW w:w="740" w:type="dxa"/>
            <w:vAlign w:val="top"/>
            <w:textDirection w:val="lrTb"/>
            <w:noWrap w:val="false"/>
          </w:tcPr>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3</w:t>
            </w:r>
            <w:r/>
          </w:p>
        </w:tc>
        <w:tc>
          <w:tcPr>
            <w:tcW w:w="900"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3447"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212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Height w:val="290"/>
        </w:trPr>
        <w:tc>
          <w:tcPr>
            <w:tcW w:w="740" w:type="dxa"/>
            <w:vAlign w:val="top"/>
            <w:textDirection w:val="lrTb"/>
            <w:noWrap w:val="false"/>
          </w:tcPr>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w:t>
            </w:r>
            <w:r/>
          </w:p>
        </w:tc>
        <w:tc>
          <w:tcPr>
            <w:tcW w:w="900"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3447"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127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c>
          <w:tcPr>
            <w:tcW w:w="2126" w:type="dxa"/>
            <w:vAlign w:val="top"/>
            <w:textDirection w:val="lrTb"/>
            <w:noWrap w:val="false"/>
          </w:tcPr>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tc>
      </w:tr>
    </w:tbl>
    <w:p>
      <w:pPr>
        <w:ind w:firstLine="960"/>
        <w:spacing w:after="0" w:line="360" w:lineRule="auto"/>
        <w:rPr>
          <w:rFonts w:hint="eastAsia" w:ascii="宋体" w:hAnsi="宋体"/>
          <w:bCs/>
          <w:color w:val="000000"/>
          <w:sz w:val="24"/>
          <w:lang w:val="zh-CN"/>
        </w:rPr>
      </w:pPr>
      <w:r>
        <w:rPr>
          <w:rFonts w:hint="eastAsia" w:ascii="宋体" w:hAnsi="宋体"/>
          <w:bCs/>
          <w:color w:val="000000"/>
          <w:sz w:val="24"/>
          <w:lang w:val="zh-CN"/>
        </w:rPr>
      </w:r>
      <w:r/>
    </w:p>
    <w:p>
      <w:pPr>
        <w:spacing w:after="0" w:line="360" w:lineRule="auto"/>
        <w:rPr>
          <w:rFonts w:hint="eastAsia" w:ascii="宋体" w:hAnsi="宋体"/>
          <w:bCs/>
          <w:color w:val="000000"/>
          <w:sz w:val="24"/>
          <w:lang w:val="zh-CN"/>
        </w:rPr>
      </w:pPr>
      <w:r>
        <w:rPr>
          <w:rFonts w:hint="eastAsia" w:ascii="宋体" w:hAnsi="宋体"/>
          <w:bCs/>
          <w:color w:val="000000"/>
          <w:sz w:val="24"/>
          <w:lang w:val="zh-CN"/>
        </w:rPr>
        <w:t xml:space="preserve">法定代表人或被授权委托人：（签字或盖章）</w:t>
      </w:r>
      <w:r/>
    </w:p>
    <w:p>
      <w:pPr>
        <w:spacing w:after="0" w:line="360" w:lineRule="auto"/>
        <w:rPr>
          <w:rFonts w:hint="eastAsia" w:ascii="宋体" w:hAnsi="宋体"/>
          <w:bCs/>
          <w:color w:val="000000"/>
          <w:sz w:val="24"/>
          <w:lang w:val="en-US" w:eastAsia="zh-CN"/>
        </w:rPr>
      </w:pPr>
      <w:r>
        <w:rPr>
          <w:rFonts w:hint="eastAsia" w:ascii="宋体" w:hAnsi="宋体"/>
          <w:bCs/>
          <w:color w:val="000000"/>
          <w:sz w:val="24"/>
          <w:lang w:val="en-US" w:eastAsia="zh-CN"/>
        </w:rPr>
      </w:r>
      <w:r/>
    </w:p>
    <w:p>
      <w:pPr>
        <w:spacing w:after="0" w:line="360" w:lineRule="auto"/>
        <w:rPr>
          <w:rFonts w:hint="eastAsia" w:ascii="宋体" w:hAnsi="宋体" w:cs="宋体"/>
          <w:color w:val="000000"/>
          <w:sz w:val="24"/>
        </w:rPr>
      </w:pPr>
      <w:r>
        <w:rPr>
          <w:rFonts w:hint="eastAsia" w:ascii="宋体" w:hAnsi="宋体"/>
          <w:bCs/>
          <w:color w:val="000000"/>
          <w:sz w:val="24"/>
          <w:lang w:val="en-US" w:eastAsia="zh-CN"/>
        </w:rPr>
        <w:t xml:space="preserve">投标</w:t>
      </w:r>
      <w:r>
        <w:rPr>
          <w:rFonts w:hint="eastAsia" w:ascii="宋体" w:hAnsi="宋体"/>
          <w:bCs/>
          <w:color w:val="000000"/>
          <w:sz w:val="24"/>
          <w:lang w:val="zh-CN"/>
        </w:rPr>
        <w:t xml:space="preserve">单位：（公章）                            日期：</w:t>
      </w:r>
      <w:r/>
    </w:p>
    <w:p>
      <w:pPr>
        <w:pStyle w:val="840"/>
        <w:ind w:firstLine="0"/>
        <w:spacing w:line="360" w:lineRule="auto"/>
        <w:rPr>
          <w:rFonts w:hint="eastAsia" w:ascii="宋体" w:hAnsi="宋体" w:eastAsia="宋体" w:cs="宋体"/>
          <w:bCs/>
          <w:color w:val="000000"/>
        </w:rPr>
      </w:pPr>
      <w:r>
        <w:rPr>
          <w:rFonts w:hint="eastAsia" w:ascii="宋体" w:hAnsi="宋体" w:eastAsia="宋体" w:cs="宋体"/>
          <w:bCs/>
          <w:color w:val="000000"/>
        </w:rPr>
      </w:r>
      <w:r/>
    </w:p>
    <w:p>
      <w:pPr>
        <w:spacing w:line="360" w:lineRule="auto"/>
        <w:rPr>
          <w:rFonts w:hint="eastAsia" w:ascii="宋体" w:hAnsi="宋体"/>
          <w:bCs/>
          <w:color w:val="000000"/>
          <w:sz w:val="24"/>
        </w:rPr>
      </w:pPr>
      <w:r>
        <w:rPr>
          <w:rFonts w:hint="eastAsia" w:ascii="宋体" w:hAnsi="宋体"/>
          <w:bCs/>
          <w:color w:val="000000"/>
          <w:sz w:val="24"/>
        </w:rPr>
      </w:r>
      <w:r/>
    </w:p>
    <w:p>
      <w:pPr>
        <w:spacing w:line="360" w:lineRule="auto"/>
        <w:rPr>
          <w:rFonts w:hint="eastAsia" w:ascii="宋体" w:hAnsi="宋体"/>
          <w:bCs/>
          <w:color w:val="000000"/>
          <w:sz w:val="24"/>
        </w:rPr>
      </w:pPr>
      <w:r>
        <w:rPr>
          <w:rFonts w:hint="eastAsia" w:ascii="宋体" w:hAnsi="宋体"/>
          <w:bCs/>
          <w:color w:val="000000"/>
          <w:sz w:val="24"/>
        </w:rPr>
      </w:r>
      <w:r/>
    </w:p>
    <w:p>
      <w:pPr>
        <w:spacing w:line="360" w:lineRule="auto"/>
        <w:rPr>
          <w:rFonts w:hint="eastAsia" w:ascii="宋体" w:hAnsi="宋体"/>
          <w:bCs/>
          <w:color w:val="000000"/>
          <w:sz w:val="24"/>
        </w:rPr>
      </w:pPr>
      <w:r>
        <w:rPr>
          <w:rFonts w:hint="eastAsia" w:ascii="宋体" w:hAnsi="宋体"/>
          <w:bCs/>
          <w:color w:val="000000"/>
          <w:sz w:val="24"/>
        </w:rPr>
      </w:r>
      <w:r/>
    </w:p>
    <w:p>
      <w:pPr>
        <w:spacing w:line="360" w:lineRule="auto"/>
        <w:rPr>
          <w:rFonts w:hint="eastAsia" w:ascii="宋体" w:hAnsi="宋体"/>
          <w:bCs/>
          <w:color w:val="000000"/>
          <w:sz w:val="24"/>
        </w:rPr>
      </w:pPr>
      <w:r>
        <w:rPr>
          <w:rFonts w:hint="eastAsia" w:ascii="宋体" w:hAnsi="宋体"/>
          <w:bCs/>
          <w:color w:val="000000"/>
          <w:sz w:val="24"/>
        </w:rPr>
      </w:r>
      <w:r/>
    </w:p>
    <w:p>
      <w:pPr>
        <w:spacing w:line="360" w:lineRule="auto"/>
        <w:rPr>
          <w:rFonts w:hint="eastAsia" w:ascii="宋体" w:hAnsi="宋体"/>
          <w:bCs/>
          <w:color w:val="000000"/>
          <w:sz w:val="24"/>
        </w:rPr>
      </w:pPr>
      <w:r>
        <w:rPr>
          <w:rFonts w:hint="eastAsia" w:ascii="宋体" w:hAnsi="宋体"/>
          <w:bCs/>
          <w:color w:val="000000"/>
          <w:sz w:val="24"/>
        </w:rPr>
      </w:r>
      <w:r/>
    </w:p>
    <w:p>
      <w:pPr>
        <w:spacing w:line="360" w:lineRule="auto"/>
        <w:rPr>
          <w:rFonts w:hint="eastAsia" w:ascii="宋体" w:hAnsi="宋体"/>
          <w:bCs/>
          <w:color w:val="000000"/>
          <w:sz w:val="24"/>
        </w:rPr>
      </w:pPr>
      <w:r>
        <w:rPr>
          <w:rFonts w:hint="eastAsia" w:ascii="宋体" w:hAnsi="宋体"/>
          <w:bCs/>
          <w:color w:val="000000"/>
          <w:sz w:val="24"/>
        </w:rPr>
      </w:r>
      <w:r/>
    </w:p>
    <w:p>
      <w:pPr>
        <w:rPr>
          <w:rFonts w:hint="eastAsia" w:ascii="宋体" w:hAnsi="宋体" w:cs="宋体"/>
          <w:color w:val="000000"/>
          <w:sz w:val="24"/>
          <w:lang w:val="zh-CN"/>
        </w:rPr>
      </w:pPr>
      <w:r>
        <w:rPr>
          <w:rFonts w:hint="eastAsia" w:ascii="宋体" w:hAnsi="宋体"/>
          <w:sz w:val="24"/>
        </w:rPr>
        <w:t xml:space="preserve">格式9、</w:t>
      </w:r>
      <w:r>
        <w:rPr>
          <w:rFonts w:hint="eastAsia" w:ascii="宋体" w:hAnsi="宋体" w:cs="宋体"/>
          <w:color w:val="000000"/>
          <w:sz w:val="24"/>
          <w:lang w:val="zh-CN"/>
        </w:rPr>
        <w:t xml:space="preserve">202</w:t>
      </w:r>
      <w:r>
        <w:rPr>
          <w:rFonts w:hint="eastAsia" w:ascii="宋体" w:hAnsi="宋体" w:cs="宋体"/>
          <w:color w:val="000000"/>
          <w:sz w:val="24"/>
          <w:lang w:val="en-US" w:eastAsia="zh-CN"/>
        </w:rPr>
        <w:t xml:space="preserve">3</w:t>
      </w:r>
      <w:r>
        <w:rPr>
          <w:rFonts w:hint="eastAsia" w:ascii="宋体" w:hAnsi="宋体" w:cs="宋体"/>
          <w:color w:val="000000"/>
          <w:sz w:val="24"/>
          <w:lang w:val="zh-CN"/>
        </w:rPr>
        <w:t xml:space="preserve">年</w:t>
      </w:r>
      <w:r>
        <w:rPr>
          <w:rFonts w:hint="eastAsia" w:ascii="宋体" w:hAnsi="宋体" w:cs="宋体"/>
          <w:color w:val="000000"/>
          <w:sz w:val="24"/>
          <w:lang w:val="en-US" w:eastAsia="zh-CN"/>
        </w:rPr>
        <w:t xml:space="preserve">至今</w:t>
      </w:r>
      <w:r>
        <w:rPr>
          <w:rFonts w:hint="eastAsia" w:ascii="宋体" w:hAnsi="宋体" w:cs="宋体"/>
          <w:color w:val="000000"/>
          <w:sz w:val="24"/>
          <w:lang w:val="zh-CN"/>
        </w:rPr>
        <w:t xml:space="preserve">业务汇总表</w:t>
      </w:r>
      <w:r/>
    </w:p>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color w:val="000000"/>
          <w:sz w:val="24"/>
        </w:rPr>
      </w:pPr>
      <w:r>
        <w:rPr>
          <w:rFonts w:hint="eastAsia" w:ascii="宋体" w:hAnsi="宋体" w:cs="宋体"/>
          <w:color w:val="000000"/>
          <w:sz w:val="24"/>
        </w:rPr>
        <w:t xml:space="preserve">202</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至今</w:t>
      </w:r>
      <w:r>
        <w:rPr>
          <w:rFonts w:hint="eastAsia" w:ascii="宋体" w:hAnsi="宋体" w:cs="宋体"/>
          <w:color w:val="000000"/>
          <w:sz w:val="24"/>
        </w:rPr>
        <w:t xml:space="preserve">业务汇总表</w:t>
      </w:r>
      <w:r/>
    </w:p>
    <w:p>
      <w:pPr>
        <w:jc w:val="center"/>
        <w:rPr>
          <w:rFonts w:hint="eastAsia" w:ascii="宋体" w:hAnsi="宋体" w:cs="宋体"/>
          <w:color w:val="000000"/>
          <w:sz w:val="24"/>
        </w:rPr>
      </w:pPr>
      <w:r>
        <w:rPr>
          <w:rFonts w:hint="eastAsia" w:ascii="宋体" w:hAnsi="宋体" w:cs="宋体"/>
          <w:color w:val="000000"/>
          <w:sz w:val="24"/>
        </w:rPr>
        <w:t xml:space="preserve">项目编号：                                             第</w:t>
      </w:r>
      <w:r>
        <w:rPr>
          <w:rFonts w:hint="eastAsia" w:ascii="宋体" w:hAnsi="宋体" w:cs="宋体"/>
          <w:color w:val="000000"/>
          <w:sz w:val="24"/>
          <w:u w:val="single"/>
        </w:rPr>
        <w:t xml:space="preserve">     </w:t>
      </w:r>
      <w:r>
        <w:rPr>
          <w:rFonts w:hint="eastAsia" w:ascii="宋体" w:hAnsi="宋体" w:cs="宋体"/>
          <w:color w:val="000000"/>
          <w:sz w:val="24"/>
        </w:rPr>
        <w:t xml:space="preserve">标段</w:t>
      </w:r>
      <w:r/>
    </w:p>
    <w:tbl>
      <w:tblPr>
        <w:tblStyle w:val="835"/>
        <w:tblW w:w="0" w:type="auto"/>
        <w:jc w:val="center"/>
        <w:tblLayout w:type="fixed"/>
        <w:tblCellMar>
          <w:left w:w="108" w:type="dxa"/>
          <w:top w:w="0" w:type="dxa"/>
          <w:right w:w="108" w:type="dxa"/>
          <w:bottom w:w="0" w:type="dxa"/>
        </w:tblCellMar>
        <w:tblLook w:val="04A0" w:firstRow="1" w:lastRow="0" w:firstColumn="1" w:lastColumn="0" w:noHBand="0" w:noVBand="1"/>
      </w:tblPr>
      <w:tblGrid>
        <w:gridCol w:w="1832"/>
        <w:gridCol w:w="2349"/>
        <w:gridCol w:w="2580"/>
        <w:gridCol w:w="1425"/>
      </w:tblGrid>
      <w:tr>
        <w:trPr>
          <w:jc w:val="center"/>
          <w:trHeight w:val="641"/>
        </w:trPr>
        <w:tc>
          <w:tcPr>
            <w:tcBorders>
              <w:top w:val="single" w:color="auto" w:sz="6" w:space="0"/>
              <w:left w:val="single" w:color="auto" w:sz="6" w:space="0"/>
              <w:bottom w:val="single" w:color="auto" w:sz="6" w:space="0"/>
              <w:right w:val="single" w:color="auto" w:sz="6" w:space="0"/>
            </w:tcBorders>
            <w:tcW w:w="1832"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序号</w:t>
            </w:r>
            <w:r/>
          </w:p>
        </w:tc>
        <w:tc>
          <w:tcPr>
            <w:tcBorders>
              <w:top w:val="single" w:color="auto" w:sz="6" w:space="0"/>
              <w:left w:val="single" w:color="auto" w:sz="6" w:space="0"/>
              <w:bottom w:val="single" w:color="auto" w:sz="6" w:space="0"/>
              <w:right w:val="single" w:color="auto" w:sz="6" w:space="0"/>
            </w:tcBorders>
            <w:tcW w:w="234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项目名称</w:t>
            </w:r>
            <w:r/>
          </w:p>
        </w:tc>
        <w:tc>
          <w:tcPr>
            <w:tcBorders>
              <w:top w:val="single" w:color="auto" w:sz="6" w:space="0"/>
              <w:left w:val="single" w:color="auto" w:sz="6" w:space="0"/>
              <w:bottom w:val="single" w:color="auto" w:sz="6" w:space="0"/>
              <w:right w:val="single" w:color="auto" w:sz="6" w:space="0"/>
            </w:tcBorders>
            <w:tcW w:w="258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年度</w:t>
            </w:r>
            <w:r/>
          </w:p>
        </w:tc>
        <w:tc>
          <w:tcPr>
            <w:tcBorders>
              <w:top w:val="single" w:color="auto" w:sz="6" w:space="0"/>
              <w:left w:val="single" w:color="auto" w:sz="6" w:space="0"/>
              <w:bottom w:val="single" w:color="auto" w:sz="6" w:space="0"/>
              <w:right w:val="single" w:color="auto" w:sz="6" w:space="0"/>
            </w:tcBorders>
            <w:tcW w:w="142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备注</w:t>
            </w:r>
            <w:r/>
          </w:p>
        </w:tc>
      </w:tr>
      <w:tr>
        <w:trPr>
          <w:jc w:val="center"/>
          <w:trHeight w:val="500"/>
        </w:trPr>
        <w:tc>
          <w:tcPr>
            <w:tcBorders>
              <w:top w:val="single" w:color="auto" w:sz="6" w:space="0"/>
              <w:left w:val="single" w:color="auto" w:sz="6" w:space="0"/>
              <w:bottom w:val="single" w:color="auto" w:sz="6" w:space="0"/>
              <w:right w:val="single" w:color="auto" w:sz="6" w:space="0"/>
            </w:tcBorders>
            <w:tcW w:w="1832"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auto" w:sz="6" w:space="0"/>
              <w:left w:val="single" w:color="auto" w:sz="6" w:space="0"/>
              <w:bottom w:val="single" w:color="auto" w:sz="6" w:space="0"/>
              <w:right w:val="single" w:color="auto" w:sz="6" w:space="0"/>
            </w:tcBorders>
            <w:tcW w:w="234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auto" w:sz="6" w:space="0"/>
              <w:left w:val="single" w:color="auto" w:sz="6" w:space="0"/>
              <w:bottom w:val="single" w:color="auto" w:sz="6" w:space="0"/>
              <w:right w:val="single" w:color="auto" w:sz="6" w:space="0"/>
            </w:tcBorders>
            <w:tcW w:w="258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auto" w:sz="6" w:space="0"/>
              <w:left w:val="single" w:color="auto" w:sz="6" w:space="0"/>
              <w:bottom w:val="single" w:color="auto" w:sz="6" w:space="0"/>
              <w:right w:val="single" w:color="auto" w:sz="6" w:space="0"/>
            </w:tcBorders>
            <w:tcW w:w="142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500"/>
        </w:trPr>
        <w:tc>
          <w:tcPr>
            <w:tcBorders>
              <w:top w:val="single" w:color="auto" w:sz="6" w:space="0"/>
              <w:left w:val="single" w:color="auto" w:sz="6" w:space="0"/>
              <w:bottom w:val="single" w:color="auto" w:sz="6" w:space="0"/>
              <w:right w:val="single" w:color="auto" w:sz="6" w:space="0"/>
            </w:tcBorders>
            <w:tcW w:w="1832"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2</w:t>
            </w:r>
            <w:r/>
          </w:p>
        </w:tc>
        <w:tc>
          <w:tcPr>
            <w:tcBorders>
              <w:top w:val="single" w:color="auto" w:sz="6" w:space="0"/>
              <w:left w:val="single" w:color="auto" w:sz="6" w:space="0"/>
              <w:bottom w:val="single" w:color="auto" w:sz="6" w:space="0"/>
              <w:right w:val="single" w:color="auto" w:sz="6" w:space="0"/>
            </w:tcBorders>
            <w:tcW w:w="234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auto" w:sz="6" w:space="0"/>
              <w:left w:val="single" w:color="auto" w:sz="6" w:space="0"/>
              <w:bottom w:val="single" w:color="auto" w:sz="6" w:space="0"/>
              <w:right w:val="single" w:color="auto" w:sz="6" w:space="0"/>
            </w:tcBorders>
            <w:tcW w:w="258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auto" w:sz="6" w:space="0"/>
              <w:left w:val="single" w:color="auto" w:sz="6" w:space="0"/>
              <w:bottom w:val="single" w:color="auto" w:sz="6" w:space="0"/>
              <w:right w:val="single" w:color="auto" w:sz="6" w:space="0"/>
            </w:tcBorders>
            <w:tcW w:w="142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500"/>
        </w:trPr>
        <w:tc>
          <w:tcPr>
            <w:tcBorders>
              <w:top w:val="single" w:color="auto" w:sz="6" w:space="0"/>
              <w:left w:val="single" w:color="auto" w:sz="6" w:space="0"/>
              <w:bottom w:val="single" w:color="auto" w:sz="6" w:space="0"/>
              <w:right w:val="single" w:color="auto" w:sz="6" w:space="0"/>
            </w:tcBorders>
            <w:tcW w:w="1832"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3</w:t>
            </w:r>
            <w:r/>
          </w:p>
        </w:tc>
        <w:tc>
          <w:tcPr>
            <w:tcBorders>
              <w:top w:val="single" w:color="auto" w:sz="6" w:space="0"/>
              <w:left w:val="single" w:color="auto" w:sz="6" w:space="0"/>
              <w:bottom w:val="single" w:color="auto" w:sz="6" w:space="0"/>
              <w:right w:val="single" w:color="auto" w:sz="6" w:space="0"/>
            </w:tcBorders>
            <w:tcW w:w="234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auto" w:sz="6" w:space="0"/>
              <w:left w:val="single" w:color="auto" w:sz="6" w:space="0"/>
              <w:bottom w:val="single" w:color="auto" w:sz="6" w:space="0"/>
              <w:right w:val="single" w:color="auto" w:sz="6" w:space="0"/>
            </w:tcBorders>
            <w:tcW w:w="258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auto" w:sz="6" w:space="0"/>
              <w:left w:val="single" w:color="auto" w:sz="6" w:space="0"/>
              <w:bottom w:val="single" w:color="auto" w:sz="6" w:space="0"/>
              <w:right w:val="single" w:color="auto" w:sz="6" w:space="0"/>
            </w:tcBorders>
            <w:tcW w:w="142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500"/>
        </w:trPr>
        <w:tc>
          <w:tcPr>
            <w:tcBorders>
              <w:top w:val="single" w:color="auto" w:sz="6" w:space="0"/>
              <w:left w:val="single" w:color="auto" w:sz="6" w:space="0"/>
              <w:bottom w:val="single" w:color="auto" w:sz="6" w:space="0"/>
              <w:right w:val="single" w:color="auto" w:sz="6" w:space="0"/>
            </w:tcBorders>
            <w:tcW w:w="1832"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4</w:t>
            </w:r>
            <w:r/>
          </w:p>
        </w:tc>
        <w:tc>
          <w:tcPr>
            <w:tcBorders>
              <w:top w:val="single" w:color="auto" w:sz="6" w:space="0"/>
              <w:left w:val="single" w:color="auto" w:sz="6" w:space="0"/>
              <w:bottom w:val="single" w:color="auto" w:sz="6" w:space="0"/>
              <w:right w:val="single" w:color="auto" w:sz="6" w:space="0"/>
            </w:tcBorders>
            <w:tcW w:w="234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auto" w:sz="6" w:space="0"/>
              <w:left w:val="single" w:color="auto" w:sz="6" w:space="0"/>
              <w:bottom w:val="single" w:color="auto" w:sz="6" w:space="0"/>
              <w:right w:val="single" w:color="auto" w:sz="6" w:space="0"/>
            </w:tcBorders>
            <w:tcW w:w="258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auto" w:sz="6" w:space="0"/>
              <w:left w:val="single" w:color="auto" w:sz="6" w:space="0"/>
              <w:bottom w:val="single" w:color="auto" w:sz="6" w:space="0"/>
              <w:right w:val="single" w:color="auto" w:sz="6" w:space="0"/>
            </w:tcBorders>
            <w:tcW w:w="142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500"/>
        </w:trPr>
        <w:tc>
          <w:tcPr>
            <w:tcBorders>
              <w:top w:val="single" w:color="auto" w:sz="6" w:space="0"/>
              <w:left w:val="single" w:color="auto" w:sz="6" w:space="0"/>
              <w:bottom w:val="single" w:color="auto" w:sz="6" w:space="0"/>
              <w:right w:val="single" w:color="auto" w:sz="6" w:space="0"/>
            </w:tcBorders>
            <w:tcW w:w="1832"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5</w:t>
            </w:r>
            <w:r/>
          </w:p>
        </w:tc>
        <w:tc>
          <w:tcPr>
            <w:tcBorders>
              <w:top w:val="single" w:color="auto" w:sz="6" w:space="0"/>
              <w:left w:val="single" w:color="auto" w:sz="6" w:space="0"/>
              <w:bottom w:val="single" w:color="auto" w:sz="6" w:space="0"/>
              <w:right w:val="single" w:color="auto" w:sz="6" w:space="0"/>
            </w:tcBorders>
            <w:tcW w:w="234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auto" w:sz="6" w:space="0"/>
              <w:left w:val="single" w:color="auto" w:sz="6" w:space="0"/>
              <w:bottom w:val="single" w:color="auto" w:sz="6" w:space="0"/>
              <w:right w:val="single" w:color="auto" w:sz="6" w:space="0"/>
            </w:tcBorders>
            <w:tcW w:w="258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auto" w:sz="6" w:space="0"/>
              <w:left w:val="single" w:color="auto" w:sz="6" w:space="0"/>
              <w:bottom w:val="single" w:color="auto" w:sz="6" w:space="0"/>
              <w:right w:val="single" w:color="auto" w:sz="6" w:space="0"/>
            </w:tcBorders>
            <w:tcW w:w="142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518"/>
        </w:trPr>
        <w:tc>
          <w:tcPr>
            <w:tcBorders>
              <w:top w:val="single" w:color="auto" w:sz="6" w:space="0"/>
              <w:left w:val="single" w:color="auto" w:sz="6" w:space="0"/>
              <w:bottom w:val="single" w:color="auto" w:sz="6" w:space="0"/>
              <w:right w:val="single" w:color="auto" w:sz="6" w:space="0"/>
            </w:tcBorders>
            <w:tcW w:w="1832"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w:t>
            </w:r>
            <w:r/>
          </w:p>
        </w:tc>
        <w:tc>
          <w:tcPr>
            <w:tcBorders>
              <w:top w:val="single" w:color="auto" w:sz="6" w:space="0"/>
              <w:left w:val="single" w:color="auto" w:sz="6" w:space="0"/>
              <w:bottom w:val="single" w:color="auto" w:sz="6" w:space="0"/>
              <w:right w:val="single" w:color="auto" w:sz="6" w:space="0"/>
            </w:tcBorders>
            <w:tcW w:w="234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auto" w:sz="6" w:space="0"/>
              <w:left w:val="single" w:color="auto" w:sz="6" w:space="0"/>
              <w:bottom w:val="single" w:color="auto" w:sz="6" w:space="0"/>
              <w:right w:val="single" w:color="auto" w:sz="6" w:space="0"/>
            </w:tcBorders>
            <w:tcW w:w="258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auto" w:sz="6" w:space="0"/>
              <w:left w:val="single" w:color="auto" w:sz="6" w:space="0"/>
              <w:bottom w:val="single" w:color="auto" w:sz="6" w:space="0"/>
              <w:right w:val="single" w:color="auto" w:sz="6" w:space="0"/>
            </w:tcBorders>
            <w:tcW w:w="142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bl>
    <w:p>
      <w:pPr>
        <w:spacing w:line="360" w:lineRule="auto"/>
        <w:rPr>
          <w:rFonts w:hint="eastAsia" w:ascii="宋体" w:hAnsi="宋体" w:cs="宋体"/>
          <w:color w:val="000000"/>
          <w:sz w:val="24"/>
          <w:u w:val="single"/>
        </w:rPr>
      </w:pPr>
      <w:r>
        <w:rPr>
          <w:rFonts w:hint="eastAsia" w:ascii="宋体" w:hAnsi="宋体" w:cs="宋体"/>
          <w:color w:val="000000"/>
          <w:sz w:val="24"/>
          <w:u w:val="single"/>
        </w:rPr>
      </w:r>
      <w:r/>
    </w:p>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ind w:firstLine="720"/>
        <w:spacing w:line="360" w:lineRule="auto"/>
        <w:rPr>
          <w:rFonts w:hint="eastAsia" w:ascii="宋体" w:hAnsi="宋体" w:cs="宋体"/>
          <w:color w:val="000000"/>
          <w:sz w:val="24"/>
        </w:rPr>
      </w:pPr>
      <w:r>
        <w:rPr>
          <w:rFonts w:hint="eastAsia" w:ascii="宋体" w:hAnsi="宋体" w:cs="宋体"/>
          <w:color w:val="000000"/>
          <w:sz w:val="24"/>
        </w:rPr>
        <w:t xml:space="preserve">法定代表人或被授权委托人：（签字或盖章）</w:t>
      </w:r>
      <w:r/>
    </w:p>
    <w:p>
      <w:pPr>
        <w:ind w:firstLine="720"/>
        <w:spacing w:line="360" w:lineRule="auto"/>
        <w:rPr>
          <w:rFonts w:ascii="宋体" w:hAnsi="宋体" w:cs="宋体"/>
          <w:color w:val="000000"/>
          <w:sz w:val="24"/>
        </w:rPr>
      </w:pPr>
      <w:r>
        <w:rPr>
          <w:rFonts w:hint="eastAsia" w:ascii="宋体" w:hAnsi="宋体" w:cs="宋体"/>
          <w:color w:val="000000"/>
          <w:sz w:val="24"/>
          <w:lang w:val="en-US" w:eastAsia="zh-CN"/>
        </w:rPr>
        <w:t xml:space="preserve">投标</w:t>
      </w:r>
      <w:r>
        <w:rPr>
          <w:rFonts w:hint="eastAsia" w:ascii="宋体" w:hAnsi="宋体" w:cs="宋体"/>
          <w:color w:val="000000"/>
          <w:sz w:val="24"/>
        </w:rPr>
        <w:t xml:space="preserve">单位：（公章）                                  </w:t>
      </w:r>
      <w:r/>
    </w:p>
    <w:p>
      <w:pPr>
        <w:ind w:firstLine="720"/>
        <w:spacing w:line="360" w:lineRule="auto"/>
        <w:rPr>
          <w:rFonts w:hint="eastAsia" w:ascii="宋体" w:hAnsi="宋体" w:cs="宋体"/>
          <w:color w:val="000000"/>
          <w:sz w:val="24"/>
        </w:rPr>
      </w:pPr>
      <w:r>
        <w:rPr>
          <w:rFonts w:hint="eastAsia" w:ascii="宋体" w:hAnsi="宋体" w:cs="宋体"/>
          <w:color w:val="000000"/>
          <w:sz w:val="24"/>
        </w:rPr>
        <w:t xml:space="preserve">日期：</w:t>
      </w:r>
      <w:r/>
    </w:p>
    <w:p>
      <w:pPr>
        <w:jc w:val="center"/>
        <w:spacing w:after="0" w:line="360" w:lineRule="auto"/>
        <w:rPr>
          <w:rFonts w:hint="eastAsia" w:ascii="宋体" w:hAnsi="宋体"/>
          <w:bCs/>
          <w:color w:val="000000"/>
          <w:sz w:val="24"/>
        </w:rPr>
      </w:pPr>
      <w:r>
        <w:rPr>
          <w:rFonts w:hint="eastAsia" w:ascii="宋体" w:hAnsi="宋体"/>
          <w:bCs/>
          <w:color w:val="000000"/>
          <w:sz w:val="24"/>
        </w:rPr>
      </w:r>
      <w:r/>
    </w:p>
    <w:p>
      <w:pPr>
        <w:spacing w:after="0" w:line="360" w:lineRule="auto"/>
        <w:rPr>
          <w:rFonts w:hint="eastAsia" w:ascii="宋体" w:hAnsi="宋体"/>
          <w:bCs/>
          <w:color w:val="000000"/>
          <w:sz w:val="24"/>
        </w:rPr>
      </w:pPr>
      <w:r>
        <w:rPr>
          <w:rFonts w:hint="eastAsia" w:ascii="宋体" w:hAnsi="宋体"/>
          <w:bCs/>
          <w:color w:val="000000"/>
          <w:sz w:val="24"/>
        </w:rPr>
      </w:r>
      <w:r/>
    </w:p>
    <w:p>
      <w:pPr>
        <w:spacing w:line="360" w:lineRule="auto"/>
        <w:rPr>
          <w:rFonts w:hint="eastAsia" w:ascii="宋体" w:hAnsi="宋体" w:cs="宋体"/>
          <w:color w:val="000000"/>
          <w:sz w:val="24"/>
        </w:rPr>
      </w:pPr>
      <w:r>
        <w:rPr>
          <w:rFonts w:hAnsi="宋体" w:eastAsia="宋体" w:cs="宋体"/>
          <w:bCs/>
          <w:color w:val="000000"/>
          <w:sz w:val="24"/>
          <w:szCs w:val="24"/>
          <w:lang w:val="zh-CN"/>
        </w:rPr>
        <w:br w:type="page" w:clear="all"/>
      </w:r>
      <w:r>
        <w:rPr>
          <w:rFonts w:hint="eastAsia" w:hAnsi="宋体" w:cs="宋体"/>
          <w:sz w:val="24"/>
          <w:lang w:val="zh-CN"/>
        </w:rPr>
        <w:t xml:space="preserve">格式</w:t>
      </w:r>
      <w:r>
        <w:rPr>
          <w:rFonts w:hAnsi="宋体" w:cs="宋体"/>
          <w:sz w:val="24"/>
          <w:lang w:val="zh-CN"/>
        </w:rPr>
        <w:t xml:space="preserve">1</w:t>
      </w:r>
      <w:r>
        <w:rPr>
          <w:rFonts w:hint="eastAsia" w:hAnsi="宋体" w:cs="宋体"/>
          <w:sz w:val="24"/>
          <w:lang w:val="zh-CN"/>
        </w:rPr>
        <w:t xml:space="preserve">0、</w:t>
      </w:r>
      <w:r>
        <w:rPr>
          <w:rFonts w:hAnsi="宋体"/>
          <w:color w:val="000000"/>
          <w:sz w:val="24"/>
        </w:rPr>
        <w:t xml:space="preserve">拟投入造价从业人员</w:t>
      </w:r>
      <w:r>
        <w:rPr>
          <w:rFonts w:hint="eastAsia" w:hAnsi="宋体"/>
          <w:color w:val="000000"/>
          <w:sz w:val="24"/>
        </w:rPr>
        <w:t xml:space="preserve">20</w:t>
      </w:r>
      <w:r>
        <w:rPr>
          <w:rFonts w:hAnsi="宋体"/>
          <w:color w:val="000000"/>
          <w:sz w:val="24"/>
        </w:rPr>
        <w:t xml:space="preserve">2</w:t>
      </w:r>
      <w:r>
        <w:rPr>
          <w:rFonts w:hint="eastAsia" w:hAnsi="宋体"/>
          <w:color w:val="000000"/>
          <w:sz w:val="24"/>
          <w:lang w:val="en-US" w:eastAsia="zh-CN"/>
        </w:rPr>
        <w:t xml:space="preserve">3</w:t>
      </w:r>
      <w:r>
        <w:rPr>
          <w:rFonts w:hint="eastAsia" w:hAnsi="宋体"/>
          <w:color w:val="000000"/>
          <w:sz w:val="24"/>
        </w:rPr>
        <w:t xml:space="preserve">年</w:t>
      </w:r>
      <w:r>
        <w:rPr>
          <w:rFonts w:hint="eastAsia" w:hAnsi="宋体"/>
          <w:color w:val="000000"/>
          <w:sz w:val="24"/>
          <w:lang w:val="en-US" w:eastAsia="zh-CN"/>
        </w:rPr>
        <w:t xml:space="preserve">至今</w:t>
      </w:r>
      <w:r>
        <w:rPr>
          <w:rFonts w:hAnsi="宋体"/>
          <w:color w:val="000000"/>
          <w:sz w:val="24"/>
        </w:rPr>
        <w:t xml:space="preserve">完成</w:t>
      </w:r>
      <w:r>
        <w:rPr>
          <w:rFonts w:hint="eastAsia" w:hAnsi="宋体"/>
          <w:color w:val="000000"/>
          <w:sz w:val="24"/>
        </w:rPr>
        <w:t xml:space="preserve">的项目业绩</w:t>
      </w:r>
      <w:r>
        <w:rPr>
          <w:rFonts w:hAnsi="宋体"/>
          <w:color w:val="000000"/>
          <w:sz w:val="24"/>
        </w:rPr>
        <w:t xml:space="preserve">情况</w:t>
      </w:r>
      <w:r/>
    </w:p>
    <w:p>
      <w:pPr>
        <w:jc w:val="center"/>
        <w:rPr>
          <w:rFonts w:hint="eastAsia" w:ascii="宋体" w:hAnsi="宋体" w:cs="宋体"/>
          <w:color w:val="000000"/>
          <w:sz w:val="24"/>
        </w:rPr>
      </w:pPr>
      <w:r>
        <w:rPr>
          <w:rFonts w:hint="eastAsia" w:ascii="宋体" w:hAnsi="宋体" w:cs="宋体"/>
          <w:color w:val="000000"/>
          <w:sz w:val="24"/>
        </w:rPr>
      </w:r>
      <w:r/>
    </w:p>
    <w:p>
      <w:pPr>
        <w:jc w:val="center"/>
        <w:rPr>
          <w:rFonts w:hAnsi="宋体"/>
          <w:color w:val="000000"/>
          <w:sz w:val="24"/>
        </w:rPr>
      </w:pPr>
      <w:r>
        <w:rPr>
          <w:rFonts w:hAnsi="宋体"/>
          <w:color w:val="000000"/>
          <w:sz w:val="24"/>
        </w:rPr>
        <w:t xml:space="preserve">拟投入造价从业人员</w:t>
      </w:r>
      <w:r>
        <w:rPr>
          <w:rFonts w:hint="eastAsia" w:hAnsi="宋体"/>
          <w:color w:val="000000"/>
          <w:sz w:val="24"/>
        </w:rPr>
        <w:t xml:space="preserve">20</w:t>
      </w:r>
      <w:r>
        <w:rPr>
          <w:rFonts w:hAnsi="宋体"/>
          <w:color w:val="000000"/>
          <w:sz w:val="24"/>
        </w:rPr>
        <w:t xml:space="preserve">2</w:t>
      </w:r>
      <w:r>
        <w:rPr>
          <w:rFonts w:hint="eastAsia" w:hAnsi="宋体"/>
          <w:color w:val="000000"/>
          <w:sz w:val="24"/>
          <w:lang w:val="en-US" w:eastAsia="zh-CN"/>
        </w:rPr>
        <w:t xml:space="preserve">3</w:t>
      </w:r>
      <w:r>
        <w:rPr>
          <w:rFonts w:hint="eastAsia" w:hAnsi="宋体"/>
          <w:color w:val="000000"/>
          <w:sz w:val="24"/>
        </w:rPr>
        <w:t xml:space="preserve">年</w:t>
      </w:r>
      <w:r>
        <w:rPr>
          <w:rFonts w:hint="eastAsia" w:hAnsi="宋体"/>
          <w:color w:val="000000"/>
          <w:sz w:val="24"/>
          <w:lang w:val="en-US" w:eastAsia="zh-CN"/>
        </w:rPr>
        <w:t xml:space="preserve">至今</w:t>
      </w:r>
      <w:r>
        <w:rPr>
          <w:rFonts w:hAnsi="宋体"/>
          <w:color w:val="000000"/>
          <w:sz w:val="24"/>
        </w:rPr>
        <w:t xml:space="preserve">完成</w:t>
      </w:r>
      <w:r>
        <w:rPr>
          <w:rFonts w:hint="eastAsia" w:hAnsi="宋体"/>
          <w:color w:val="000000"/>
          <w:sz w:val="24"/>
        </w:rPr>
        <w:t xml:space="preserve">的项目业绩</w:t>
      </w:r>
      <w:r>
        <w:rPr>
          <w:rFonts w:hAnsi="宋体"/>
          <w:color w:val="000000"/>
          <w:sz w:val="24"/>
        </w:rPr>
        <w:t xml:space="preserve">情况</w:t>
      </w:r>
      <w:r/>
    </w:p>
    <w:p>
      <w:pPr>
        <w:jc w:val="center"/>
        <w:rPr>
          <w:rFonts w:hint="eastAsia" w:hAnsi="宋体"/>
          <w:color w:val="ff0000"/>
          <w:sz w:val="24"/>
        </w:rPr>
      </w:pPr>
      <w:r>
        <w:rPr>
          <w:rFonts w:hint="eastAsia" w:ascii="宋体" w:hAnsi="宋体" w:cs="宋体"/>
          <w:sz w:val="24"/>
        </w:rPr>
        <w:t xml:space="preserve">项目编号：                                                     第</w:t>
      </w:r>
      <w:r>
        <w:rPr>
          <w:rFonts w:hint="eastAsia" w:ascii="宋体" w:hAnsi="宋体" w:cs="宋体"/>
          <w:sz w:val="24"/>
          <w:u w:val="single"/>
        </w:rPr>
        <w:t xml:space="preserve">     </w:t>
      </w:r>
      <w:r>
        <w:rPr>
          <w:rFonts w:hint="eastAsia" w:ascii="宋体" w:hAnsi="宋体" w:cs="宋体"/>
          <w:sz w:val="24"/>
        </w:rPr>
        <w:t xml:space="preserve">标段</w:t>
      </w:r>
      <w:r/>
    </w:p>
    <w:tbl>
      <w:tblPr>
        <w:tblStyle w:val="835"/>
        <w:tblW w:w="0" w:type="auto"/>
        <w:jc w:val="center"/>
        <w:tblLayout w:type="fixed"/>
        <w:tblCellMar>
          <w:left w:w="108" w:type="dxa"/>
          <w:top w:w="0" w:type="dxa"/>
          <w:right w:w="108" w:type="dxa"/>
          <w:bottom w:w="0" w:type="dxa"/>
        </w:tblCellMar>
        <w:tblLook w:val="04A0" w:firstRow="1" w:lastRow="0" w:firstColumn="1" w:lastColumn="0" w:noHBand="0" w:noVBand="1"/>
      </w:tblPr>
      <w:tblGrid>
        <w:gridCol w:w="1419"/>
        <w:gridCol w:w="1635"/>
        <w:gridCol w:w="1341"/>
        <w:gridCol w:w="1560"/>
        <w:gridCol w:w="1701"/>
        <w:gridCol w:w="1559"/>
      </w:tblGrid>
      <w:tr>
        <w:trPr>
          <w:jc w:val="center"/>
          <w:trHeight w:val="505"/>
        </w:trPr>
        <w:tc>
          <w:tcPr>
            <w:tcBorders>
              <w:top w:val="single" w:color="auto" w:sz="6" w:space="0"/>
              <w:left w:val="single" w:color="auto" w:sz="6" w:space="0"/>
              <w:bottom w:val="single" w:color="auto" w:sz="6" w:space="0"/>
              <w:right w:val="single" w:color="auto" w:sz="6" w:space="0"/>
            </w:tcBorders>
            <w:tcW w:w="1419" w:type="dxa"/>
            <w:vAlign w:val="center"/>
            <w:textDirection w:val="lrTb"/>
            <w:noWrap w:val="false"/>
          </w:tcPr>
          <w:p>
            <w:pPr>
              <w:jc w:val="center"/>
              <w:spacing w:line="400" w:lineRule="exact"/>
              <w:rPr>
                <w:sz w:val="24"/>
              </w:rPr>
            </w:pPr>
            <w:r>
              <w:rPr>
                <w:rFonts w:hint="eastAsia"/>
                <w:sz w:val="24"/>
              </w:rPr>
              <w:t xml:space="preserve">序号</w:t>
            </w:r>
            <w:r/>
          </w:p>
        </w:tc>
        <w:tc>
          <w:tcPr>
            <w:tcBorders>
              <w:top w:val="single" w:color="auto" w:sz="6" w:space="0"/>
              <w:left w:val="single" w:color="auto" w:sz="6" w:space="0"/>
              <w:bottom w:val="single" w:color="auto" w:sz="6" w:space="0"/>
              <w:right w:val="single" w:color="auto" w:sz="6" w:space="0"/>
            </w:tcBorders>
            <w:tcW w:w="1635" w:type="dxa"/>
            <w:vAlign w:val="top"/>
            <w:textDirection w:val="lrTb"/>
            <w:noWrap w:val="false"/>
          </w:tcPr>
          <w:p>
            <w:pPr>
              <w:jc w:val="center"/>
              <w:spacing w:line="400" w:lineRule="exact"/>
              <w:rPr>
                <w:sz w:val="24"/>
              </w:rPr>
            </w:pPr>
            <w:r>
              <w:rPr>
                <w:rFonts w:hint="eastAsia"/>
                <w:sz w:val="24"/>
              </w:rPr>
              <w:t xml:space="preserve">委托单位</w:t>
            </w:r>
            <w:r/>
          </w:p>
        </w:tc>
        <w:tc>
          <w:tcPr>
            <w:tcBorders>
              <w:top w:val="single" w:color="auto" w:sz="6" w:space="0"/>
              <w:left w:val="single" w:color="auto" w:sz="6" w:space="0"/>
              <w:bottom w:val="single" w:color="auto" w:sz="6" w:space="0"/>
              <w:right w:val="single" w:color="auto" w:sz="6" w:space="0"/>
            </w:tcBorders>
            <w:tcW w:w="1341" w:type="dxa"/>
            <w:vAlign w:val="top"/>
            <w:textDirection w:val="lrTb"/>
            <w:noWrap w:val="false"/>
          </w:tcPr>
          <w:p>
            <w:pPr>
              <w:jc w:val="center"/>
              <w:spacing w:line="400" w:lineRule="exact"/>
              <w:rPr>
                <w:sz w:val="24"/>
              </w:rPr>
            </w:pPr>
            <w:r>
              <w:rPr>
                <w:rFonts w:hint="eastAsia"/>
                <w:sz w:val="24"/>
              </w:rPr>
              <w:t xml:space="preserve">项目名称</w:t>
            </w:r>
            <w:r/>
          </w:p>
        </w:tc>
        <w:tc>
          <w:tcPr>
            <w:tcBorders>
              <w:top w:val="single" w:color="auto" w:sz="6" w:space="0"/>
              <w:left w:val="single" w:color="auto" w:sz="6" w:space="0"/>
              <w:bottom w:val="single" w:color="auto" w:sz="6" w:space="0"/>
              <w:right w:val="single" w:color="auto" w:sz="6" w:space="0"/>
            </w:tcBorders>
            <w:tcW w:w="1560" w:type="dxa"/>
            <w:vAlign w:val="top"/>
            <w:textDirection w:val="lrTb"/>
            <w:noWrap w:val="false"/>
          </w:tcPr>
          <w:p>
            <w:pPr>
              <w:jc w:val="center"/>
              <w:spacing w:line="400" w:lineRule="exact"/>
              <w:rPr>
                <w:sz w:val="24"/>
              </w:rPr>
            </w:pPr>
            <w:r>
              <w:rPr>
                <w:rFonts w:hint="eastAsia"/>
                <w:sz w:val="24"/>
              </w:rPr>
              <w:t xml:space="preserve">金额</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spacing w:line="400" w:lineRule="exact"/>
              <w:rPr>
                <w:sz w:val="24"/>
              </w:rPr>
            </w:pPr>
            <w:r>
              <w:rPr>
                <w:rFonts w:hint="eastAsia"/>
                <w:sz w:val="24"/>
              </w:rPr>
              <w:t xml:space="preserve">完成时间</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sz w:val="24"/>
              </w:rPr>
            </w:pPr>
            <w:r>
              <w:rPr>
                <w:rFonts w:hint="eastAsia"/>
                <w:sz w:val="24"/>
              </w:rPr>
              <w:t xml:space="preserve">备注</w:t>
            </w:r>
            <w:r/>
          </w:p>
        </w:tc>
      </w:tr>
      <w:tr>
        <w:trPr>
          <w:jc w:val="center"/>
          <w:trHeight w:val="535"/>
        </w:trPr>
        <w:tc>
          <w:tcPr>
            <w:tcBorders>
              <w:top w:val="single" w:color="auto" w:sz="6" w:space="0"/>
              <w:left w:val="single" w:color="auto" w:sz="6" w:space="0"/>
              <w:bottom w:val="single" w:color="auto" w:sz="6" w:space="0"/>
              <w:right w:val="single" w:color="auto" w:sz="6" w:space="0"/>
            </w:tcBorders>
            <w:tcW w:w="1419"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1635" w:type="dxa"/>
            <w:vAlign w:val="top"/>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341" w:type="dxa"/>
            <w:vAlign w:val="top"/>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560" w:type="dxa"/>
            <w:vAlign w:val="top"/>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sz w:val="24"/>
              </w:rPr>
            </w:pPr>
            <w:r>
              <w:rPr>
                <w:sz w:val="24"/>
              </w:rPr>
            </w:r>
            <w:r/>
          </w:p>
        </w:tc>
      </w:tr>
      <w:tr>
        <w:trPr>
          <w:jc w:val="center"/>
          <w:trHeight w:val="535"/>
        </w:trPr>
        <w:tc>
          <w:tcPr>
            <w:tcBorders>
              <w:top w:val="single" w:color="auto" w:sz="6" w:space="0"/>
              <w:left w:val="single" w:color="auto" w:sz="6" w:space="0"/>
              <w:bottom w:val="single" w:color="auto" w:sz="6" w:space="0"/>
              <w:right w:val="single" w:color="auto" w:sz="6" w:space="0"/>
            </w:tcBorders>
            <w:tcW w:w="1419"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1635" w:type="dxa"/>
            <w:vAlign w:val="top"/>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341" w:type="dxa"/>
            <w:vAlign w:val="top"/>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560" w:type="dxa"/>
            <w:vAlign w:val="top"/>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sz w:val="24"/>
              </w:rPr>
            </w:pPr>
            <w:r>
              <w:rPr>
                <w:sz w:val="24"/>
              </w:rPr>
            </w:r>
            <w:r/>
          </w:p>
        </w:tc>
      </w:tr>
      <w:tr>
        <w:trPr>
          <w:jc w:val="center"/>
          <w:trHeight w:val="460"/>
        </w:trPr>
        <w:tc>
          <w:tcPr>
            <w:tcBorders>
              <w:top w:val="single" w:color="auto" w:sz="6" w:space="0"/>
              <w:left w:val="single" w:color="auto" w:sz="6" w:space="0"/>
              <w:bottom w:val="single" w:color="auto" w:sz="6" w:space="0"/>
              <w:right w:val="single" w:color="auto" w:sz="6" w:space="0"/>
            </w:tcBorders>
            <w:tcW w:w="1419"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1635" w:type="dxa"/>
            <w:vAlign w:val="top"/>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341" w:type="dxa"/>
            <w:vAlign w:val="top"/>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560" w:type="dxa"/>
            <w:vAlign w:val="top"/>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sz w:val="24"/>
              </w:rPr>
            </w:pPr>
            <w:r>
              <w:rPr>
                <w:sz w:val="24"/>
              </w:rPr>
            </w:r>
            <w:r/>
          </w:p>
        </w:tc>
      </w:tr>
      <w:tr>
        <w:trPr>
          <w:jc w:val="center"/>
          <w:trHeight w:val="485"/>
        </w:trPr>
        <w:tc>
          <w:tcPr>
            <w:tcBorders>
              <w:top w:val="single" w:color="auto" w:sz="6" w:space="0"/>
              <w:left w:val="single" w:color="auto" w:sz="6" w:space="0"/>
              <w:bottom w:val="single" w:color="auto" w:sz="6" w:space="0"/>
              <w:right w:val="single" w:color="auto" w:sz="6" w:space="0"/>
            </w:tcBorders>
            <w:tcW w:w="1419"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1635" w:type="dxa"/>
            <w:vAlign w:val="top"/>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341" w:type="dxa"/>
            <w:vAlign w:val="top"/>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560" w:type="dxa"/>
            <w:vAlign w:val="top"/>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sz w:val="24"/>
              </w:rPr>
            </w:pPr>
            <w:r>
              <w:rPr>
                <w:sz w:val="24"/>
              </w:rPr>
            </w:r>
            <w:r/>
          </w:p>
        </w:tc>
      </w:tr>
      <w:tr>
        <w:trPr>
          <w:jc w:val="center"/>
          <w:trHeight w:val="482"/>
        </w:trPr>
        <w:tc>
          <w:tcPr>
            <w:tcBorders>
              <w:top w:val="single" w:color="auto" w:sz="6" w:space="0"/>
              <w:left w:val="single" w:color="auto" w:sz="6" w:space="0"/>
              <w:bottom w:val="single" w:color="auto" w:sz="6" w:space="0"/>
              <w:right w:val="single" w:color="auto" w:sz="6" w:space="0"/>
            </w:tcBorders>
            <w:tcW w:w="1419"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5</w:t>
            </w:r>
            <w:r/>
          </w:p>
        </w:tc>
        <w:tc>
          <w:tcPr>
            <w:tcBorders>
              <w:top w:val="single" w:color="auto" w:sz="6" w:space="0"/>
              <w:left w:val="single" w:color="auto" w:sz="6" w:space="0"/>
              <w:bottom w:val="single" w:color="auto" w:sz="6" w:space="0"/>
              <w:right w:val="single" w:color="auto" w:sz="6" w:space="0"/>
            </w:tcBorders>
            <w:tcW w:w="1635" w:type="dxa"/>
            <w:vAlign w:val="top"/>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341" w:type="dxa"/>
            <w:vAlign w:val="top"/>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560" w:type="dxa"/>
            <w:vAlign w:val="top"/>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sz w:val="24"/>
              </w:rPr>
            </w:pPr>
            <w:r>
              <w:rPr>
                <w:sz w:val="24"/>
              </w:rPr>
            </w:r>
            <w:r/>
          </w:p>
        </w:tc>
      </w:tr>
      <w:tr>
        <w:trPr>
          <w:jc w:val="center"/>
          <w:trHeight w:val="475"/>
        </w:trPr>
        <w:tc>
          <w:tcPr>
            <w:tcBorders>
              <w:top w:val="single" w:color="auto" w:sz="6" w:space="0"/>
              <w:left w:val="single" w:color="auto" w:sz="6" w:space="0"/>
              <w:bottom w:val="single" w:color="auto" w:sz="6" w:space="0"/>
              <w:right w:val="single" w:color="auto" w:sz="6" w:space="0"/>
            </w:tcBorders>
            <w:tcW w:w="141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w:t>
            </w:r>
            <w:r/>
          </w:p>
        </w:tc>
        <w:tc>
          <w:tcPr>
            <w:tcBorders>
              <w:top w:val="single" w:color="auto" w:sz="6" w:space="0"/>
              <w:left w:val="single" w:color="auto" w:sz="6" w:space="0"/>
              <w:bottom w:val="single" w:color="auto" w:sz="6" w:space="0"/>
              <w:right w:val="single" w:color="auto" w:sz="6" w:space="0"/>
            </w:tcBorders>
            <w:tcW w:w="1635" w:type="dxa"/>
            <w:vAlign w:val="top"/>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341" w:type="dxa"/>
            <w:vAlign w:val="top"/>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560" w:type="dxa"/>
            <w:vAlign w:val="top"/>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spacing w:line="40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sz w:val="24"/>
              </w:rPr>
            </w:pPr>
            <w:r>
              <w:rPr>
                <w:sz w:val="24"/>
              </w:rPr>
            </w:r>
            <w:r/>
          </w:p>
        </w:tc>
      </w:tr>
    </w:tbl>
    <w:p>
      <w:pPr>
        <w:spacing w:line="360" w:lineRule="auto"/>
        <w:rPr>
          <w:rFonts w:ascii="宋体" w:cs="宋体"/>
          <w:sz w:val="24"/>
          <w:lang w:val="zh-CN"/>
        </w:rPr>
      </w:pPr>
      <w:r>
        <w:rPr>
          <w:rFonts w:ascii="宋体" w:cs="宋体"/>
          <w:sz w:val="24"/>
          <w:lang w:val="zh-CN"/>
        </w:rPr>
      </w:r>
      <w:r/>
    </w:p>
    <w:p>
      <w:pPr>
        <w:spacing w:line="360" w:lineRule="auto"/>
        <w:rPr>
          <w:rFonts w:cs="宋体"/>
          <w:sz w:val="24"/>
        </w:rPr>
      </w:pPr>
      <w:r>
        <w:rPr>
          <w:rFonts w:hint="eastAsia" w:ascii="宋体" w:cs="宋体"/>
          <w:sz w:val="24"/>
          <w:lang w:val="zh-CN"/>
        </w:rPr>
        <w:t xml:space="preserve">法定代表人或其被授权委托人：（签字或盖章）</w:t>
      </w:r>
      <w:r/>
    </w:p>
    <w:p>
      <w:pPr>
        <w:pStyle w:val="847"/>
        <w:ind w:left="0" w:firstLine="0"/>
        <w:rPr>
          <w:rFonts w:cs="宋体"/>
          <w:sz w:val="24"/>
          <w:lang w:val="zh-CN"/>
        </w:rPr>
      </w:pPr>
      <w:r>
        <w:rPr>
          <w:rFonts w:hint="eastAsia" w:cs="宋体"/>
          <w:sz w:val="24"/>
          <w:lang w:val="en-US" w:eastAsia="zh-CN"/>
        </w:rPr>
        <w:t xml:space="preserve">投标</w:t>
      </w:r>
      <w:r>
        <w:rPr>
          <w:rFonts w:hint="eastAsia" w:cs="宋体"/>
          <w:sz w:val="24"/>
        </w:rPr>
        <w:t xml:space="preserve">单位：</w:t>
      </w:r>
      <w:r>
        <w:rPr>
          <w:rFonts w:hint="eastAsia" w:cs="宋体"/>
          <w:sz w:val="24"/>
          <w:lang w:val="zh-CN"/>
        </w:rPr>
        <w:t xml:space="preserve">（公章） </w:t>
      </w:r>
      <w:r/>
    </w:p>
    <w:p>
      <w:pPr>
        <w:pStyle w:val="847"/>
        <w:ind w:firstLine="480"/>
        <w:rPr>
          <w:rFonts w:cs="宋体"/>
          <w:sz w:val="24"/>
          <w:lang w:val="zh-CN"/>
        </w:rPr>
      </w:pPr>
      <w:r>
        <w:rPr>
          <w:rFonts w:cs="宋体"/>
          <w:sz w:val="24"/>
          <w:lang w:val="zh-CN"/>
        </w:rPr>
      </w:r>
      <w:r/>
    </w:p>
    <w:p>
      <w:pPr>
        <w:spacing w:after="0" w:line="360" w:lineRule="auto"/>
        <w:rPr>
          <w:rFonts w:hint="eastAsia" w:ascii="宋体" w:hAnsi="宋体"/>
          <w:bCs/>
          <w:color w:val="000000"/>
          <w:sz w:val="24"/>
        </w:rPr>
      </w:pPr>
      <w:r>
        <w:rPr>
          <w:rFonts w:hint="eastAsia" w:cs="宋体"/>
          <w:sz w:val="24"/>
          <w:lang w:val="zh-CN"/>
        </w:rPr>
        <w:t xml:space="preserve">日期：</w:t>
      </w:r>
      <w:r/>
    </w:p>
    <w:p>
      <w:pPr>
        <w:pStyle w:val="1041"/>
        <w:spacing w:line="360" w:lineRule="auto"/>
        <w:rPr>
          <w:rFonts w:hint="eastAsia" w:ascii="宋体" w:hAnsi="宋体" w:eastAsia="宋体" w:cs="Times New Roman"/>
          <w:bCs/>
          <w:color w:val="000000"/>
          <w:sz w:val="24"/>
          <w:szCs w:val="24"/>
        </w:rPr>
      </w:pPr>
      <w:r>
        <w:rPr>
          <w:rFonts w:ascii="宋体" w:hAnsi="宋体" w:cs="宋体"/>
          <w:bCs/>
          <w:color w:val="000000"/>
          <w:sz w:val="24"/>
          <w:lang w:val="zh-CN"/>
        </w:rPr>
        <w:br w:type="page" w:clear="all"/>
      </w:r>
      <w:r>
        <w:rPr>
          <w:rFonts w:hint="eastAsia" w:ascii="宋体" w:hAnsi="宋体" w:eastAsia="宋体" w:cs="Times New Roman"/>
          <w:bCs/>
          <w:color w:val="000000"/>
          <w:sz w:val="24"/>
          <w:szCs w:val="24"/>
          <w:lang w:val="zh-CN"/>
        </w:rPr>
        <w:t xml:space="preserve">格式11、资格证明文件</w:t>
      </w:r>
      <w:r/>
    </w:p>
    <w:p>
      <w:pPr>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(1)、关于资格文件的声明函</w:t>
      </w:r>
      <w:r/>
    </w:p>
    <w:p>
      <w:pPr>
        <w:ind w:firstLine="425"/>
        <w:jc w:val="center"/>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关于资格文件的声明函</w:t>
      </w:r>
      <w:r/>
    </w:p>
    <w:p>
      <w:pPr>
        <w:ind w:firstLine="425"/>
        <w:jc w:val="center"/>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p>
      <w:pPr>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                                     ：</w:t>
      </w:r>
      <w:r/>
    </w:p>
    <w:p>
      <w:pPr>
        <w:ind w:firstLine="660"/>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本公司愿就由贵公司组织实施的编号为              号的采购活动进行响应。本公司所提交的</w:t>
      </w:r>
      <w:r>
        <w:rPr>
          <w:rFonts w:hint="eastAsia" w:ascii="宋体" w:hAnsi="宋体" w:cs="Times New Roman"/>
          <w:bCs/>
          <w:color w:val="000000"/>
          <w:sz w:val="24"/>
          <w:szCs w:val="24"/>
          <w:lang w:val="zh-CN"/>
        </w:rPr>
        <w:t xml:space="preserve">投标文件</w:t>
      </w:r>
      <w:r>
        <w:rPr>
          <w:rFonts w:hint="eastAsia" w:ascii="宋体" w:hAnsi="宋体" w:eastAsia="宋体" w:cs="Times New Roman"/>
          <w:bCs/>
          <w:color w:val="000000"/>
          <w:sz w:val="24"/>
          <w:szCs w:val="24"/>
          <w:lang w:val="zh-CN"/>
        </w:rPr>
        <w:t xml:space="preserve">中所有关于投标资格的文件、证明和陈述均是真实的、准确的。若与真实情况不符，本公司愿意承担由此而产生的一切后果。</w:t>
      </w:r>
      <w:r/>
    </w:p>
    <w:p>
      <w:pPr>
        <w:ind w:firstLine="425"/>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p>
      <w:pPr>
        <w:ind w:firstLine="425"/>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p>
      <w:pPr>
        <w:ind w:firstLine="425"/>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p>
      <w:pPr>
        <w:pStyle w:val="1041"/>
        <w:spacing w:line="360" w:lineRule="auto"/>
        <w:rPr>
          <w:rFonts w:hint="eastAsia" w:ascii="宋体" w:hAnsi="宋体" w:eastAsia="宋体" w:cs="Times New Roman"/>
          <w:bCs/>
          <w:color w:val="000000"/>
          <w:sz w:val="24"/>
          <w:szCs w:val="24"/>
        </w:rPr>
      </w:pPr>
      <w:r>
        <w:rPr>
          <w:rFonts w:hint="eastAsia" w:hAnsi="宋体" w:eastAsia="宋体" w:cs="Times New Roman"/>
          <w:bCs/>
          <w:color w:val="000000"/>
          <w:sz w:val="24"/>
          <w:szCs w:val="24"/>
          <w:lang w:val="en-US" w:eastAsia="zh-CN"/>
        </w:rPr>
        <w:t xml:space="preserve">投标</w:t>
      </w:r>
      <w:r>
        <w:rPr>
          <w:rFonts w:hint="eastAsia" w:ascii="宋体" w:hAnsi="宋体" w:eastAsia="宋体" w:cs="Times New Roman"/>
          <w:bCs/>
          <w:color w:val="000000"/>
          <w:sz w:val="24"/>
          <w:szCs w:val="24"/>
        </w:rPr>
        <w:t xml:space="preserve">单位：（单位盖章）</w:t>
      </w:r>
      <w:r/>
    </w:p>
    <w:p>
      <w:pPr>
        <w:pStyle w:val="1041"/>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法定代表人或被授权委托人：（签字或盖章）</w:t>
      </w:r>
      <w:r/>
    </w:p>
    <w:p>
      <w:pPr>
        <w:pStyle w:val="1166"/>
        <w:spacing w:after="0" w:line="360" w:lineRule="auto"/>
        <w:tabs>
          <w:tab w:val="left" w:pos="3840" w:leader="none"/>
        </w:tabs>
        <w:rPr>
          <w:rFonts w:hint="eastAsia" w:ascii="宋体" w:hAnsi="宋体" w:eastAsia="宋体" w:cs="Times New Roman"/>
          <w:bCs/>
          <w:color w:val="000000"/>
          <w:sz w:val="24"/>
          <w:szCs w:val="24"/>
        </w:rPr>
        <w:framePr w:wrap="auto" w:vAnchor="margin" w:hAnchor="text" w:yAlign="inline"/>
      </w:pPr>
      <w:r>
        <w:rPr>
          <w:rFonts w:hint="eastAsia" w:ascii="宋体" w:hAnsi="宋体" w:eastAsia="宋体" w:cs="Times New Roman"/>
          <w:bCs/>
          <w:color w:val="000000"/>
          <w:sz w:val="24"/>
          <w:szCs w:val="24"/>
        </w:rPr>
        <w:t xml:space="preserve">日期：         年         月       日</w:t>
      </w:r>
      <w:r/>
    </w:p>
    <w:p>
      <w:pPr>
        <w:pStyle w:val="1166"/>
        <w:spacing w:after="0" w:line="360" w:lineRule="auto"/>
        <w:tabs>
          <w:tab w:val="left" w:pos="3840" w:leader="none"/>
        </w:tabs>
        <w:rPr>
          <w:rFonts w:hint="eastAsia" w:ascii="宋体" w:hAnsi="宋体" w:eastAsia="宋体" w:cs="Times New Roman"/>
          <w:bCs/>
          <w:color w:val="000000"/>
          <w:sz w:val="24"/>
          <w:szCs w:val="24"/>
        </w:rPr>
        <w:framePr w:wrap="auto" w:vAnchor="margin" w:hAnchor="text" w:yAlign="inline"/>
      </w:pPr>
      <w:r>
        <w:rPr>
          <w:rFonts w:hint="eastAsia" w:ascii="宋体" w:hAnsi="宋体" w:eastAsia="宋体" w:cs="Times New Roman"/>
          <w:bCs/>
          <w:color w:val="000000"/>
          <w:sz w:val="24"/>
          <w:szCs w:val="24"/>
        </w:rPr>
      </w:r>
      <w:r/>
    </w:p>
    <w:p>
      <w:pPr>
        <w:pStyle w:val="1166"/>
        <w:spacing w:after="0" w:line="360" w:lineRule="auto"/>
        <w:tabs>
          <w:tab w:val="left" w:pos="3840" w:leader="none"/>
        </w:tabs>
        <w:rPr>
          <w:rFonts w:hint="eastAsia" w:ascii="宋体" w:hAnsi="宋体" w:eastAsia="宋体" w:cs="Times New Roman"/>
          <w:bCs/>
          <w:color w:val="000000"/>
          <w:sz w:val="24"/>
          <w:szCs w:val="24"/>
        </w:rPr>
        <w:framePr w:wrap="auto" w:vAnchor="margin" w:hAnchor="text" w:yAlign="inline"/>
      </w:pPr>
      <w:r>
        <w:rPr>
          <w:rFonts w:hint="eastAsia" w:ascii="宋体" w:hAnsi="宋体" w:eastAsia="宋体" w:cs="Times New Roman"/>
          <w:bCs/>
          <w:color w:val="000000"/>
          <w:sz w:val="24"/>
          <w:szCs w:val="24"/>
        </w:rPr>
      </w:r>
      <w:r/>
    </w:p>
    <w:p>
      <w:pPr>
        <w:pStyle w:val="1166"/>
        <w:spacing w:after="0" w:line="360" w:lineRule="auto"/>
        <w:tabs>
          <w:tab w:val="left" w:pos="3840" w:leader="none"/>
        </w:tabs>
        <w:rPr>
          <w:rFonts w:hint="eastAsia" w:ascii="宋体" w:hAnsi="宋体" w:eastAsia="宋体" w:cs="Times New Roman"/>
          <w:bCs/>
          <w:color w:val="000000"/>
          <w:sz w:val="24"/>
          <w:szCs w:val="24"/>
        </w:rPr>
        <w:framePr w:wrap="auto" w:vAnchor="margin" w:hAnchor="text" w:yAlign="inline"/>
      </w:pPr>
      <w:r>
        <w:rPr>
          <w:rFonts w:hint="eastAsia" w:ascii="宋体" w:hAnsi="宋体" w:eastAsia="宋体" w:cs="Times New Roman"/>
          <w:bCs/>
          <w:color w:val="000000"/>
          <w:sz w:val="24"/>
          <w:szCs w:val="24"/>
        </w:rPr>
      </w:r>
      <w:r/>
    </w:p>
    <w:p>
      <w:pPr>
        <w:pStyle w:val="1166"/>
        <w:spacing w:after="0" w:line="360" w:lineRule="auto"/>
        <w:tabs>
          <w:tab w:val="left" w:pos="3840" w:leader="none"/>
        </w:tabs>
        <w:rPr>
          <w:rFonts w:hint="eastAsia" w:ascii="宋体" w:hAnsi="宋体" w:eastAsia="宋体" w:cs="Times New Roman"/>
          <w:bCs/>
          <w:color w:val="000000"/>
          <w:sz w:val="24"/>
          <w:szCs w:val="24"/>
        </w:rPr>
        <w:framePr w:wrap="auto" w:vAnchor="margin" w:hAnchor="text" w:yAlign="inline"/>
      </w:pPr>
      <w:r>
        <w:rPr>
          <w:rFonts w:hint="eastAsia" w:ascii="宋体" w:hAnsi="宋体" w:eastAsia="宋体" w:cs="Times New Roman"/>
          <w:bCs/>
          <w:color w:val="000000"/>
          <w:sz w:val="24"/>
          <w:szCs w:val="24"/>
        </w:rPr>
      </w:r>
      <w:r/>
    </w:p>
    <w:p>
      <w:pPr>
        <w:pStyle w:val="1166"/>
        <w:spacing w:after="0" w:line="360" w:lineRule="auto"/>
        <w:tabs>
          <w:tab w:val="left" w:pos="3840" w:leader="none"/>
        </w:tabs>
        <w:rPr>
          <w:rFonts w:hint="eastAsia" w:ascii="宋体" w:hAnsi="宋体" w:eastAsia="宋体" w:cs="Times New Roman"/>
          <w:bCs/>
          <w:color w:val="000000"/>
          <w:sz w:val="24"/>
          <w:szCs w:val="24"/>
        </w:rPr>
        <w:framePr w:wrap="auto" w:vAnchor="margin" w:hAnchor="text" w:yAlign="inline"/>
      </w:pPr>
      <w:r>
        <w:rPr>
          <w:rFonts w:hint="eastAsia" w:ascii="宋体" w:hAnsi="宋体" w:eastAsia="宋体" w:cs="Times New Roman"/>
          <w:bCs/>
          <w:color w:val="000000"/>
          <w:sz w:val="24"/>
          <w:szCs w:val="24"/>
        </w:rPr>
      </w:r>
      <w:r/>
    </w:p>
    <w:p>
      <w:pPr>
        <w:pStyle w:val="1166"/>
        <w:spacing w:after="0" w:line="360" w:lineRule="auto"/>
        <w:tabs>
          <w:tab w:val="left" w:pos="3840" w:leader="none"/>
        </w:tabs>
        <w:rPr>
          <w:rFonts w:hint="eastAsia" w:ascii="宋体" w:hAnsi="宋体" w:eastAsia="宋体" w:cs="Times New Roman"/>
          <w:bCs/>
          <w:color w:val="000000"/>
          <w:sz w:val="24"/>
          <w:szCs w:val="24"/>
        </w:rPr>
        <w:framePr w:wrap="auto" w:vAnchor="margin" w:hAnchor="text" w:yAlign="inline"/>
      </w:pPr>
      <w:r>
        <w:rPr>
          <w:rFonts w:hint="eastAsia" w:ascii="宋体" w:hAnsi="宋体" w:eastAsia="宋体" w:cs="Times New Roman"/>
          <w:bCs/>
          <w:color w:val="000000"/>
          <w:sz w:val="24"/>
          <w:szCs w:val="24"/>
        </w:rPr>
      </w:r>
      <w:r/>
    </w:p>
    <w:p>
      <w:pPr>
        <w:pStyle w:val="1166"/>
        <w:spacing w:after="0" w:line="360" w:lineRule="auto"/>
        <w:tabs>
          <w:tab w:val="left" w:pos="3840" w:leader="none"/>
        </w:tabs>
        <w:rPr>
          <w:rFonts w:hint="eastAsia" w:ascii="宋体" w:hAnsi="宋体" w:eastAsia="宋体" w:cs="Times New Roman"/>
          <w:bCs/>
          <w:color w:val="000000"/>
          <w:sz w:val="24"/>
          <w:szCs w:val="24"/>
        </w:rPr>
        <w:framePr w:wrap="auto" w:vAnchor="margin" w:hAnchor="text" w:yAlign="inline"/>
      </w:pPr>
      <w:r>
        <w:rPr>
          <w:rFonts w:hint="eastAsia" w:ascii="宋体" w:hAnsi="宋体" w:eastAsia="宋体" w:cs="Times New Roman"/>
          <w:bCs/>
          <w:color w:val="000000"/>
          <w:sz w:val="24"/>
          <w:szCs w:val="24"/>
        </w:rPr>
      </w:r>
      <w:r/>
    </w:p>
    <w:p>
      <w:pPr>
        <w:pStyle w:val="1166"/>
        <w:spacing w:after="0" w:line="360" w:lineRule="auto"/>
        <w:tabs>
          <w:tab w:val="left" w:pos="3840" w:leader="none"/>
        </w:tabs>
        <w:rPr>
          <w:rFonts w:hint="eastAsia" w:ascii="宋体" w:hAnsi="宋体" w:eastAsia="宋体" w:cs="Times New Roman"/>
          <w:bCs/>
          <w:color w:val="000000"/>
          <w:sz w:val="24"/>
          <w:szCs w:val="24"/>
        </w:rPr>
        <w:framePr w:wrap="auto" w:vAnchor="margin" w:hAnchor="text" w:yAlign="inline"/>
      </w:pPr>
      <w:r>
        <w:rPr>
          <w:rFonts w:hint="eastAsia" w:ascii="宋体" w:hAnsi="宋体" w:eastAsia="宋体" w:cs="Times New Roman"/>
          <w:bCs/>
          <w:color w:val="000000"/>
          <w:sz w:val="24"/>
          <w:szCs w:val="24"/>
        </w:rPr>
      </w:r>
      <w:r/>
    </w:p>
    <w:p>
      <w:pPr>
        <w:pStyle w:val="1166"/>
        <w:spacing w:after="0" w:line="360" w:lineRule="auto"/>
        <w:tabs>
          <w:tab w:val="left" w:pos="3840" w:leader="none"/>
        </w:tabs>
        <w:rPr>
          <w:rFonts w:hint="eastAsia" w:ascii="宋体" w:hAnsi="宋体" w:eastAsia="宋体" w:cs="Times New Roman"/>
          <w:bCs/>
          <w:color w:val="000000"/>
          <w:sz w:val="24"/>
          <w:szCs w:val="24"/>
        </w:rPr>
        <w:framePr w:wrap="auto" w:vAnchor="margin" w:hAnchor="text" w:yAlign="inline"/>
      </w:pPr>
      <w:r>
        <w:rPr>
          <w:rFonts w:hint="eastAsia" w:ascii="宋体" w:hAnsi="宋体" w:eastAsia="宋体" w:cs="Times New Roman"/>
          <w:bCs/>
          <w:color w:val="000000"/>
          <w:sz w:val="24"/>
          <w:szCs w:val="24"/>
        </w:rPr>
      </w:r>
      <w:r/>
    </w:p>
    <w:p>
      <w:pPr>
        <w:pStyle w:val="1166"/>
        <w:spacing w:after="0" w:line="360" w:lineRule="auto"/>
        <w:tabs>
          <w:tab w:val="left" w:pos="3840" w:leader="none"/>
        </w:tabs>
        <w:rPr>
          <w:rFonts w:hint="eastAsia" w:ascii="宋体" w:hAnsi="宋体" w:eastAsia="宋体" w:cs="Times New Roman"/>
          <w:bCs/>
          <w:color w:val="000000"/>
          <w:sz w:val="24"/>
          <w:szCs w:val="24"/>
        </w:rPr>
        <w:framePr w:wrap="auto" w:vAnchor="margin" w:hAnchor="text" w:yAlign="inline"/>
      </w:pPr>
      <w:r>
        <w:rPr>
          <w:rFonts w:hint="eastAsia" w:ascii="宋体" w:hAnsi="宋体" w:eastAsia="宋体" w:cs="Times New Roman"/>
          <w:bCs/>
          <w:color w:val="000000"/>
          <w:sz w:val="24"/>
          <w:szCs w:val="24"/>
        </w:rPr>
      </w:r>
      <w:r/>
    </w:p>
    <w:p>
      <w:pPr>
        <w:pStyle w:val="1166"/>
        <w:spacing w:after="0" w:line="360" w:lineRule="auto"/>
        <w:tabs>
          <w:tab w:val="left" w:pos="3840" w:leader="none"/>
        </w:tabs>
        <w:rPr>
          <w:rFonts w:hint="eastAsia" w:ascii="宋体" w:hAnsi="宋体" w:eastAsia="宋体" w:cs="Times New Roman"/>
          <w:bCs/>
          <w:color w:val="000000"/>
          <w:sz w:val="24"/>
          <w:szCs w:val="24"/>
        </w:rPr>
        <w:framePr w:wrap="auto" w:vAnchor="margin" w:hAnchor="text" w:yAlign="inline"/>
      </w:pPr>
      <w:r>
        <w:rPr>
          <w:rFonts w:hint="eastAsia" w:ascii="宋体" w:hAnsi="宋体" w:eastAsia="宋体" w:cs="Times New Roman"/>
          <w:bCs/>
          <w:color w:val="000000"/>
          <w:sz w:val="24"/>
          <w:szCs w:val="24"/>
        </w:rPr>
      </w:r>
      <w:r/>
    </w:p>
    <w:p>
      <w:pPr>
        <w:pStyle w:val="1166"/>
        <w:spacing w:after="0" w:line="360" w:lineRule="auto"/>
        <w:tabs>
          <w:tab w:val="left" w:pos="3840" w:leader="none"/>
        </w:tabs>
        <w:rPr>
          <w:rFonts w:hint="eastAsia" w:ascii="宋体" w:hAnsi="宋体" w:eastAsia="宋体" w:cs="Times New Roman"/>
          <w:bCs/>
          <w:color w:val="000000"/>
          <w:sz w:val="24"/>
          <w:szCs w:val="24"/>
        </w:rPr>
        <w:framePr w:wrap="auto" w:vAnchor="margin" w:hAnchor="text" w:yAlign="inline"/>
      </w:pPr>
      <w:r>
        <w:rPr>
          <w:rFonts w:hint="eastAsia" w:ascii="宋体" w:hAnsi="宋体" w:eastAsia="宋体" w:cs="Times New Roman"/>
          <w:bCs/>
          <w:color w:val="000000"/>
          <w:sz w:val="24"/>
          <w:szCs w:val="24"/>
        </w:rPr>
      </w:r>
      <w:r/>
    </w:p>
    <w:p>
      <w:pPr>
        <w:pStyle w:val="1166"/>
        <w:spacing w:after="0" w:line="360" w:lineRule="auto"/>
        <w:tabs>
          <w:tab w:val="left" w:pos="3840" w:leader="none"/>
        </w:tabs>
        <w:rPr>
          <w:rFonts w:hint="eastAsia" w:ascii="宋体" w:hAnsi="宋体" w:eastAsia="宋体" w:cs="Times New Roman"/>
          <w:bCs/>
          <w:color w:val="000000"/>
          <w:sz w:val="24"/>
          <w:szCs w:val="24"/>
        </w:rPr>
        <w:framePr w:wrap="auto" w:vAnchor="margin" w:hAnchor="text" w:yAlign="inline"/>
      </w:pPr>
      <w:r>
        <w:rPr>
          <w:rFonts w:hint="eastAsia" w:ascii="宋体" w:hAnsi="宋体" w:eastAsia="宋体" w:cs="Times New Roman"/>
          <w:bCs/>
          <w:color w:val="000000"/>
          <w:sz w:val="24"/>
          <w:szCs w:val="24"/>
        </w:rPr>
      </w:r>
      <w:r/>
    </w:p>
    <w:p>
      <w:pPr>
        <w:ind w:firstLine="425"/>
        <w:spacing w:line="360" w:lineRule="auto"/>
        <w:rPr>
          <w:rFonts w:hint="eastAsia" w:ascii="宋体" w:hAnsi="宋体" w:cs="宋体"/>
          <w:sz w:val="24"/>
          <w:lang w:val="zh-CN"/>
        </w:rPr>
      </w:pPr>
      <w:r>
        <w:rPr>
          <w:rFonts w:ascii="宋体" w:hAnsi="宋体" w:cs="宋体"/>
          <w:sz w:val="24"/>
          <w:lang w:val="zh-CN"/>
        </w:rPr>
        <w:t xml:space="preserve">(</w:t>
      </w:r>
      <w:r>
        <w:rPr>
          <w:rFonts w:ascii="宋体" w:hAnsi="宋体"/>
          <w:sz w:val="24"/>
        </w:rPr>
        <w:t xml:space="preserve">2)</w:t>
      </w:r>
      <w:r>
        <w:rPr>
          <w:rFonts w:hint="eastAsia" w:ascii="宋体" w:hAnsi="宋体"/>
          <w:sz w:val="24"/>
        </w:rPr>
        <w:t xml:space="preserve">、</w:t>
      </w:r>
      <w:r>
        <w:rPr>
          <w:rFonts w:hint="eastAsia" w:ascii="宋体" w:hAnsi="宋体"/>
          <w:sz w:val="24"/>
          <w:lang w:eastAsia="zh-CN"/>
        </w:rPr>
        <w:t xml:space="preserve">投标单位</w:t>
      </w:r>
      <w:r>
        <w:rPr>
          <w:rFonts w:hint="eastAsia" w:ascii="宋体" w:hAnsi="宋体"/>
          <w:sz w:val="24"/>
        </w:rPr>
        <w:t xml:space="preserve">情况表</w:t>
      </w:r>
      <w:r/>
    </w:p>
    <w:p>
      <w:pPr>
        <w:pStyle w:val="840"/>
        <w:ind w:firstLine="0"/>
        <w:jc w:val="center"/>
        <w:spacing w:line="360" w:lineRule="auto"/>
        <w:rPr>
          <w:rFonts w:hint="eastAsia" w:ascii="宋体" w:hAnsi="宋体" w:eastAsia="宋体"/>
          <w:szCs w:val="24"/>
        </w:rPr>
      </w:pPr>
      <w:r>
        <w:rPr>
          <w:rFonts w:hint="eastAsia" w:ascii="宋体" w:hAnsi="宋体" w:eastAsia="宋体"/>
          <w:szCs w:val="24"/>
          <w:lang w:eastAsia="zh-CN"/>
        </w:rPr>
        <w:t xml:space="preserve">投标单位</w:t>
      </w:r>
      <w:r>
        <w:rPr>
          <w:rFonts w:hint="eastAsia" w:ascii="宋体" w:hAnsi="宋体" w:eastAsia="宋体"/>
          <w:szCs w:val="24"/>
        </w:rPr>
        <w:t xml:space="preserve">情况表</w:t>
      </w:r>
      <w:r/>
    </w:p>
    <w:p>
      <w:pPr>
        <w:spacing w:line="360" w:lineRule="auto"/>
        <w:rPr>
          <w:rFonts w:hint="eastAsia" w:ascii="宋体" w:hAnsi="宋体"/>
          <w:sz w:val="24"/>
        </w:rPr>
      </w:pPr>
      <w:r>
        <w:rPr>
          <w:rFonts w:ascii="宋体" w:hAnsi="宋体"/>
          <w:sz w:val="24"/>
        </w:rPr>
        <w:t xml:space="preserve">单位名称（盖章）：</w:t>
      </w:r>
      <w:r>
        <w:rPr>
          <w:rFonts w:ascii="宋体" w:hAnsi="宋体"/>
          <w:sz w:val="24"/>
          <w:u w:val="single"/>
        </w:rPr>
        <w:t xml:space="preserve">                       </w:t>
      </w:r>
      <w:r/>
    </w:p>
    <w:tbl>
      <w:tblPr>
        <w:tblStyle w:val="835"/>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840"/>
              <w:ind w:firstLine="0"/>
              <w:spacing w:line="360" w:lineRule="auto"/>
              <w:rPr>
                <w:rFonts w:hint="eastAsia" w:ascii="宋体" w:hAnsi="宋体" w:eastAsia="宋体"/>
                <w:sz w:val="21"/>
                <w:szCs w:val="21"/>
              </w:rPr>
            </w:pPr>
            <w:r>
              <w:rPr>
                <w:rFonts w:ascii="宋体" w:hAnsi="宋体" w:eastAsia="宋体" w:cs="宋体"/>
                <w:sz w:val="21"/>
                <w:szCs w:val="21"/>
                <w:lang w:val="zh-CN"/>
              </w:rPr>
              <w:t xml:space="preserve"> </w:t>
            </w:r>
            <w:r>
              <w:rPr>
                <w:rFonts w:hint="eastAsia" w:ascii="宋体" w:hAnsi="宋体" w:eastAsia="宋体"/>
                <w:sz w:val="21"/>
                <w:szCs w:val="21"/>
              </w:rPr>
              <w:t xml:space="preserve">法定代表人</w:t>
            </w:r>
            <w:r/>
          </w:p>
        </w:tc>
        <w:tc>
          <w:tcPr>
            <w:tcW w:w="2005"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461"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t xml:space="preserve">成立日期</w:t>
            </w:r>
            <w:r/>
          </w:p>
        </w:tc>
        <w:tc>
          <w:tcPr>
            <w:gridSpan w:val="2"/>
            <w:tcW w:w="3292"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cantSplit/>
        </w:trPr>
        <w:tc>
          <w:tcPr>
            <w:tcW w:w="2510"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t xml:space="preserve">企业地址</w:t>
            </w:r>
            <w:r/>
          </w:p>
        </w:tc>
        <w:tc>
          <w:tcPr>
            <w:tcW w:w="2005"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461"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t xml:space="preserve">注册资本</w:t>
            </w:r>
            <w:r/>
          </w:p>
        </w:tc>
        <w:tc>
          <w:tcPr>
            <w:gridSpan w:val="2"/>
            <w:tcW w:w="3292" w:type="dxa"/>
            <w:vAlign w:val="top"/>
            <w:textDirection w:val="lrTb"/>
            <w:noWrap w:val="false"/>
          </w:tcPr>
          <w:p>
            <w:pPr>
              <w:pStyle w:val="840"/>
              <w:ind w:firstLine="2160"/>
              <w:spacing w:line="360" w:lineRule="auto"/>
              <w:rPr>
                <w:rFonts w:hint="eastAsia" w:ascii="宋体" w:hAnsi="宋体" w:eastAsia="宋体"/>
                <w:sz w:val="21"/>
                <w:szCs w:val="21"/>
              </w:rPr>
            </w:pPr>
            <w:r>
              <w:rPr>
                <w:rFonts w:hint="eastAsia" w:ascii="宋体" w:hAnsi="宋体" w:eastAsia="宋体"/>
                <w:sz w:val="21"/>
                <w:szCs w:val="21"/>
              </w:rPr>
              <w:t xml:space="preserve">万元</w:t>
            </w:r>
            <w:r/>
          </w:p>
        </w:tc>
      </w:tr>
      <w:tr>
        <w:trPr>
          <w:cantSplit/>
        </w:trPr>
        <w:tc>
          <w:tcPr>
            <w:tcW w:w="2510"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t xml:space="preserve">经营范围</w:t>
            </w:r>
            <w:r/>
          </w:p>
        </w:tc>
        <w:tc>
          <w:tcPr>
            <w:gridSpan w:val="4"/>
            <w:tcW w:w="6758"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cantSplit/>
        </w:trPr>
        <w:tc>
          <w:tcPr>
            <w:tcW w:w="2510"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t xml:space="preserve">职工人数</w:t>
            </w:r>
            <w:r/>
          </w:p>
        </w:tc>
        <w:tc>
          <w:tcPr>
            <w:tcW w:w="2005"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r>
            <w:r/>
          </w:p>
        </w:tc>
        <w:tc>
          <w:tcPr>
            <w:gridSpan w:val="2"/>
            <w:tcW w:w="3517"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t xml:space="preserve">其中：有中高级以上职称的人数</w:t>
            </w:r>
            <w:r/>
          </w:p>
        </w:tc>
        <w:tc>
          <w:tcPr>
            <w:tcW w:w="1236"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cantSplit/>
        </w:trPr>
        <w:tc>
          <w:tcPr>
            <w:tcW w:w="2510" w:type="dxa"/>
            <w:vAlign w:val="center"/>
            <w:textDirection w:val="lrTb"/>
            <w:noWrap w:val="false"/>
          </w:tcPr>
          <w:p>
            <w:pPr>
              <w:pStyle w:val="840"/>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资产总额</w:t>
            </w:r>
            <w:r/>
          </w:p>
        </w:tc>
        <w:tc>
          <w:tcPr>
            <w:tcW w:w="2005" w:type="dxa"/>
            <w:vAlign w:val="center"/>
            <w:textDirection w:val="lrTb"/>
            <w:noWrap w:val="false"/>
          </w:tcPr>
          <w:p>
            <w:pPr>
              <w:pStyle w:val="8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         万元</w:t>
            </w:r>
            <w:r/>
          </w:p>
        </w:tc>
        <w:tc>
          <w:tcPr>
            <w:tcW w:w="1461" w:type="dxa"/>
            <w:vAlign w:val="center"/>
            <w:textDirection w:val="lrTb"/>
            <w:noWrap w:val="false"/>
          </w:tcPr>
          <w:p>
            <w:pPr>
              <w:pStyle w:val="840"/>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营业收入</w:t>
            </w:r>
            <w:r/>
          </w:p>
        </w:tc>
        <w:tc>
          <w:tcPr>
            <w:gridSpan w:val="2"/>
            <w:tcW w:w="3292" w:type="dxa"/>
            <w:vAlign w:val="center"/>
            <w:textDirection w:val="lrTb"/>
            <w:noWrap w:val="false"/>
          </w:tcPr>
          <w:p>
            <w:pPr>
              <w:pStyle w:val="8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   年             万元</w:t>
            </w:r>
            <w:r/>
          </w:p>
        </w:tc>
      </w:tr>
      <w:tr>
        <w:trPr>
          <w:cantSplit/>
        </w:trPr>
        <w:tc>
          <w:tcPr>
            <w:tcW w:w="2510"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t xml:space="preserve">单位简历及内设机构情况</w:t>
            </w:r>
            <w:r/>
          </w:p>
        </w:tc>
        <w:tc>
          <w:tcPr>
            <w:gridSpan w:val="4"/>
            <w:tcW w:w="6758"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cantSplit/>
        </w:trPr>
        <w:tc>
          <w:tcPr>
            <w:tcW w:w="2510"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t xml:space="preserve">单位优势及特长</w:t>
            </w:r>
            <w:r/>
          </w:p>
        </w:tc>
        <w:tc>
          <w:tcPr>
            <w:gridSpan w:val="4"/>
            <w:tcW w:w="6758"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cantSplit/>
        </w:trPr>
        <w:tc>
          <w:tcPr>
            <w:tcW w:w="2510"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t xml:space="preserve">近三年来完成或正在履行的重大合同情况</w:t>
            </w:r>
            <w:r/>
          </w:p>
        </w:tc>
        <w:tc>
          <w:tcPr>
            <w:gridSpan w:val="4"/>
            <w:tcW w:w="6758"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cantSplit/>
        </w:trPr>
        <w:tc>
          <w:tcPr>
            <w:tcW w:w="2510"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t xml:space="preserve">最近3年内在经营过程中受到何种奖励或处分（情况和结果）</w:t>
            </w:r>
            <w:r/>
          </w:p>
        </w:tc>
        <w:tc>
          <w:tcPr>
            <w:gridSpan w:val="4"/>
            <w:tcW w:w="6758"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cantSplit/>
        </w:trPr>
        <w:tc>
          <w:tcPr>
            <w:tcW w:w="2510"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年内有无因售假、售劣或是其他原因被消费者投诉或起诉的情况及说明（包括解决方式和结果）</w:t>
            </w:r>
            <w:r/>
          </w:p>
        </w:tc>
        <w:tc>
          <w:tcPr>
            <w:gridSpan w:val="4"/>
            <w:tcW w:w="6758"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cantSplit/>
        </w:trPr>
        <w:tc>
          <w:tcPr>
            <w:tcW w:w="2510"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年内主要负责人有无因经济犯罪被司法机关追究的情况及说明</w:t>
            </w:r>
            <w:r/>
          </w:p>
        </w:tc>
        <w:tc>
          <w:tcPr>
            <w:gridSpan w:val="4"/>
            <w:tcW w:w="6758"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cantSplit/>
        </w:trPr>
        <w:tc>
          <w:tcPr>
            <w:tcW w:w="2510"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t xml:space="preserve">获得技术认证的工程师及简介</w:t>
            </w:r>
            <w:r/>
          </w:p>
        </w:tc>
        <w:tc>
          <w:tcPr>
            <w:gridSpan w:val="4"/>
            <w:tcW w:w="6758"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cantSplit/>
          <w:trHeight w:val="560"/>
        </w:trPr>
        <w:tc>
          <w:tcPr>
            <w:tcW w:w="2510"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t xml:space="preserve">其他需要说明的情况</w:t>
            </w:r>
            <w:r/>
          </w:p>
        </w:tc>
        <w:tc>
          <w:tcPr>
            <w:gridSpan w:val="4"/>
            <w:tcW w:w="6758" w:type="dxa"/>
            <w:vAlign w:val="top"/>
            <w:textDirection w:val="lrTb"/>
            <w:noWrap w:val="false"/>
          </w:tcPr>
          <w:p>
            <w:pPr>
              <w:pStyle w:val="840"/>
              <w:ind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jc w:val="left"/>
        <w:spacing w:after="0" w:line="360" w:lineRule="auto"/>
        <w:widowControl/>
        <w:rPr>
          <w:rFonts w:ascii="宋体" w:hAnsi="宋体" w:cs="宋体"/>
          <w:bCs/>
          <w:color w:val="000000"/>
          <w:sz w:val="24"/>
          <w:lang w:val="zh-CN"/>
        </w:rPr>
      </w:pPr>
      <w:r>
        <w:rPr>
          <w:rFonts w:ascii="宋体" w:hAnsi="宋体" w:cs="宋体"/>
          <w:bCs/>
          <w:color w:val="000000"/>
          <w:sz w:val="24"/>
          <w:lang w:val="zh-CN"/>
        </w:rPr>
      </w:r>
      <w:r/>
    </w:p>
    <w:p>
      <w:pPr>
        <w:pStyle w:val="1166"/>
        <w:spacing w:line="360" w:lineRule="auto"/>
        <w:tabs>
          <w:tab w:val="left" w:pos="3840" w:leader="none"/>
        </w:tabs>
        <w:rPr>
          <w:rFonts w:hint="eastAsia" w:ascii="宋体" w:hAnsi="宋体" w:eastAsia="宋体" w:cs="宋体"/>
          <w:color w:val="auto"/>
          <w:sz w:val="24"/>
          <w:szCs w:val="24"/>
          <w:lang w:val="zh-TW"/>
        </w:rPr>
        <w:framePr w:wrap="auto" w:vAnchor="margin" w:hAnchor="text" w:yAlign="inline"/>
      </w:pPr>
      <w:r>
        <w:rPr>
          <w:rFonts w:hint="eastAsia" w:ascii="宋体" w:hAnsi="宋体" w:eastAsia="宋体" w:cs="宋体"/>
          <w:color w:val="auto"/>
          <w:sz w:val="24"/>
          <w:szCs w:val="24"/>
          <w:lang w:val="zh-TW"/>
        </w:rPr>
      </w:r>
      <w:r/>
    </w:p>
    <w:p>
      <w:pPr>
        <w:pStyle w:val="1166"/>
        <w:spacing w:line="360" w:lineRule="auto"/>
        <w:tabs>
          <w:tab w:val="left" w:pos="3840" w:leader="none"/>
        </w:tabs>
        <w:rPr>
          <w:rFonts w:hint="eastAsia" w:ascii="宋体" w:hAnsi="宋体" w:eastAsia="宋体" w:cs="宋体"/>
          <w:color w:val="auto"/>
          <w:sz w:val="24"/>
          <w:szCs w:val="24"/>
          <w:lang w:val="zh-TW"/>
        </w:rPr>
        <w:framePr w:wrap="auto" w:vAnchor="margin" w:hAnchor="text" w:yAlign="inline"/>
      </w:pPr>
      <w:r>
        <w:rPr>
          <w:rFonts w:hint="eastAsia" w:ascii="宋体" w:hAnsi="宋体" w:eastAsia="宋体" w:cs="宋体"/>
          <w:color w:val="auto"/>
          <w:sz w:val="24"/>
          <w:szCs w:val="24"/>
          <w:lang w:val="zh-TW"/>
        </w:rPr>
      </w:r>
      <w:r/>
    </w:p>
    <w:p>
      <w:pPr>
        <w:pStyle w:val="1166"/>
        <w:spacing w:line="360" w:lineRule="auto"/>
        <w:tabs>
          <w:tab w:val="left" w:pos="3840" w:leader="none"/>
        </w:tabs>
        <w:rPr>
          <w:rFonts w:hint="eastAsia" w:ascii="宋体" w:hAnsi="宋体" w:eastAsia="宋体" w:cs="宋体"/>
          <w:color w:val="auto"/>
          <w:sz w:val="24"/>
          <w:szCs w:val="24"/>
          <w:lang w:val="zh-TW"/>
        </w:rPr>
        <w:framePr w:wrap="auto" w:vAnchor="margin" w:hAnchor="text" w:yAlign="inline"/>
      </w:pPr>
      <w:r>
        <w:rPr>
          <w:rFonts w:hint="eastAsia" w:ascii="宋体" w:hAnsi="宋体" w:eastAsia="宋体" w:cs="宋体"/>
          <w:color w:val="auto"/>
          <w:sz w:val="24"/>
          <w:szCs w:val="24"/>
          <w:lang w:val="zh-TW"/>
        </w:rPr>
      </w:r>
      <w:r/>
    </w:p>
    <w:p>
      <w:pPr>
        <w:pStyle w:val="1166"/>
        <w:spacing w:line="360" w:lineRule="auto"/>
        <w:tabs>
          <w:tab w:val="left" w:pos="3840" w:leader="none"/>
        </w:tabs>
        <w:rPr>
          <w:rFonts w:hint="eastAsia" w:ascii="宋体" w:hAnsi="宋体" w:eastAsia="宋体" w:cs="Times New Roman"/>
          <w:bCs/>
          <w:color w:val="000000"/>
          <w:sz w:val="24"/>
          <w:szCs w:val="24"/>
          <w:lang w:val="zh-CN"/>
        </w:rPr>
        <w:framePr w:wrap="auto" w:vAnchor="margin" w:hAnchor="text" w:yAlign="inline"/>
      </w:pPr>
      <w:r>
        <w:rPr>
          <w:rFonts w:hint="eastAsia" w:ascii="宋体" w:hAnsi="宋体" w:eastAsia="宋体" w:cs="Times New Roman"/>
          <w:bCs/>
          <w:color w:val="000000"/>
          <w:sz w:val="24"/>
          <w:szCs w:val="24"/>
          <w:lang w:val="zh-TW" w:eastAsia="zh-CN"/>
        </w:rPr>
        <w:t xml:space="preserve">（</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lang w:val="zh-TW" w:eastAsia="zh-CN"/>
        </w:rPr>
        <w:t xml:space="preserve">）</w:t>
      </w:r>
      <w:r>
        <w:rPr>
          <w:rFonts w:hint="eastAsia" w:ascii="宋体" w:hAnsi="宋体" w:eastAsia="宋体" w:cs="Times New Roman"/>
          <w:bCs/>
          <w:color w:val="000000"/>
          <w:sz w:val="24"/>
          <w:szCs w:val="24"/>
          <w:lang w:val="zh-TW" w:eastAsia="zh-TW"/>
        </w:rPr>
        <w:t xml:space="preserve">中小企业声明函。</w:t>
      </w:r>
      <w:r/>
    </w:p>
    <w:p>
      <w:pPr>
        <w:jc w:val="center"/>
        <w:spacing w:line="360" w:lineRule="auto"/>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中小企业声明函</w:t>
      </w:r>
      <w:r/>
    </w:p>
    <w:p>
      <w:pPr>
        <w:pStyle w:val="944"/>
        <w:spacing w:line="360" w:lineRule="auto"/>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______________________：</w:t>
      </w:r>
      <w:r/>
    </w:p>
    <w:p>
      <w:pPr>
        <w:ind w:firstLine="480"/>
        <w:spacing w:line="360" w:lineRule="auto"/>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本公司郑重声明，根据《政府采购促进中小企业发展管理办法》（财库〔2020〕46号）的规定，本公司参加     单位名称  的项目名称 的采购活动，提供的服务全部由符合政策要求的中小企业承接，相关企业（含联合体中的中小企业、签订分包意向协议的中小企业）具体情况如下：</w:t>
      </w:r>
      <w:r/>
    </w:p>
    <w:p>
      <w:pPr>
        <w:ind w:firstLine="480"/>
        <w:spacing w:line="360" w:lineRule="auto"/>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1、标的名称 为_属于（</w:t>
      </w:r>
      <w:r>
        <w:rPr>
          <w:rFonts w:hint="eastAsia" w:ascii="宋体" w:hAnsi="宋体" w:cs="Times New Roman"/>
          <w:bCs/>
          <w:color w:val="000000"/>
          <w:sz w:val="24"/>
          <w:szCs w:val="24"/>
          <w:lang w:val="zh-CN"/>
        </w:rPr>
        <w:t xml:space="preserve">招标文件</w:t>
      </w:r>
      <w:r>
        <w:rPr>
          <w:rFonts w:hint="eastAsia" w:ascii="宋体" w:hAnsi="宋体" w:eastAsia="宋体" w:cs="Times New Roman"/>
          <w:bCs/>
          <w:color w:val="000000"/>
          <w:sz w:val="24"/>
          <w:szCs w:val="24"/>
          <w:lang w:val="zh-CN"/>
        </w:rPr>
        <w:t xml:space="preserve">中明确的所属行业）行业；承接企业为_（企业名称），从业人员____人，营业收入为____万元，资产总额为____万元，属于：中型企业、小型企业、微型企业）；</w:t>
      </w:r>
      <w:r/>
    </w:p>
    <w:p>
      <w:pPr>
        <w:ind w:firstLine="480"/>
        <w:spacing w:line="360" w:lineRule="auto"/>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以上企业，不属于大企业的分支机构，不存在控股股东为大企业的情形，也不存在与大企业的负责人为同一人的情形。</w:t>
      </w:r>
      <w:r/>
    </w:p>
    <w:p>
      <w:pPr>
        <w:ind w:firstLine="600"/>
        <w:spacing w:line="360" w:lineRule="auto"/>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本企业对上述声明内容的真实性负责。如有虚假，将依法承担相应责任。</w:t>
      </w:r>
      <w:r/>
    </w:p>
    <w:p>
      <w:pPr>
        <w:pStyle w:val="944"/>
        <w:spacing w:line="360" w:lineRule="auto"/>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企业名称：（单位盖章）</w:t>
      </w:r>
      <w:r/>
    </w:p>
    <w:p>
      <w:pPr>
        <w:ind w:left="435"/>
        <w:spacing w:line="360" w:lineRule="auto"/>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日期：     年    月   日</w:t>
      </w:r>
      <w:r/>
    </w:p>
    <w:p>
      <w:pPr>
        <w:ind w:firstLine="480"/>
        <w:spacing w:line="360" w:lineRule="auto"/>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注:</w:t>
      </w:r>
      <w:r/>
    </w:p>
    <w:p>
      <w:pPr>
        <w:ind w:firstLine="480"/>
        <w:spacing w:line="360" w:lineRule="auto"/>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1、不同行业的中小微企业划分标准以工信部、国家统计局、国家发改委、财政部《关于印发中小企业划型标准规定的通知》（工信部联企业〔2011〕300号）为准。</w:t>
      </w:r>
      <w:r/>
    </w:p>
    <w:p>
      <w:pPr>
        <w:ind w:firstLine="480"/>
        <w:spacing w:line="360" w:lineRule="auto"/>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2、从业人员、营业收入、资产总额填报上一年度数据，无上一年度数据的新成立企业可以不填报。</w:t>
      </w:r>
      <w:r/>
    </w:p>
    <w:p>
      <w:pPr>
        <w:ind w:firstLine="480"/>
        <w:spacing w:line="360" w:lineRule="auto"/>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3、本项目所属行业：租赁和商务服务业。</w:t>
      </w:r>
      <w:r/>
    </w:p>
    <w:p>
      <w:pPr>
        <w:spacing w:line="360" w:lineRule="auto"/>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 从业人员、营业收入、资产总额填报上一年度数据，无上一年度数据的新成立企业可不填报。</w:t>
      </w:r>
      <w:r/>
    </w:p>
    <w:p>
      <w:pPr>
        <w:jc w:val="left"/>
        <w:spacing w:after="0" w:line="360" w:lineRule="auto"/>
        <w:widowControl/>
        <w:rPr>
          <w:rFonts w:hint="eastAsia" w:ascii="宋体" w:hAnsi="宋体" w:cs="宋体"/>
          <w:bCs/>
          <w:color w:val="000000"/>
          <w:sz w:val="24"/>
        </w:rPr>
      </w:pPr>
      <w:r>
        <w:rPr>
          <w:rFonts w:ascii="宋体" w:hAnsi="宋体" w:cs="宋体"/>
          <w:bCs/>
          <w:color w:val="000000"/>
          <w:sz w:val="24"/>
          <w:lang w:val="zh-CN"/>
        </w:rPr>
        <w:br w:type="page" w:clear="all"/>
      </w:r>
      <w:r>
        <w:rPr>
          <w:rFonts w:ascii="宋体" w:hAnsi="宋体" w:cs="宋体"/>
          <w:bCs/>
          <w:color w:val="000000"/>
          <w:sz w:val="24"/>
          <w:lang w:val="zh-CN"/>
        </w:rPr>
        <w:t xml:space="preserve">4</w:t>
      </w:r>
      <w:r>
        <w:rPr>
          <w:rFonts w:hint="eastAsia" w:ascii="宋体" w:hAnsi="宋体" w:cs="宋体"/>
          <w:bCs/>
          <w:color w:val="000000"/>
          <w:sz w:val="24"/>
          <w:lang w:val="zh-CN"/>
        </w:rPr>
        <w:t xml:space="preserve">)</w:t>
      </w:r>
      <w:r>
        <w:rPr>
          <w:rFonts w:hint="eastAsia" w:ascii="宋体" w:hAnsi="宋体" w:cs="宋体"/>
          <w:bCs/>
          <w:color w:val="000000"/>
          <w:sz w:val="24"/>
        </w:rPr>
        <w:t xml:space="preserve">残疾人福利性单位声明函</w:t>
      </w:r>
      <w:r/>
    </w:p>
    <w:p>
      <w:pPr>
        <w:ind w:firstLine="360"/>
        <w:jc w:val="left"/>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本单位对上述声明的真实性负责。如有虚假，将依法承担相应责任。</w:t>
      </w:r>
      <w:r/>
    </w:p>
    <w:p>
      <w:pPr>
        <w:jc w:val="left"/>
        <w:spacing w:after="0" w:line="360" w:lineRule="auto"/>
        <w:widowControl/>
        <w:rPr>
          <w:rFonts w:hint="eastAsia" w:ascii="宋体" w:hAnsi="宋体" w:cs="宋体"/>
          <w:bCs/>
          <w:color w:val="000000"/>
          <w:sz w:val="24"/>
        </w:rPr>
      </w:pPr>
      <w:r>
        <w:rPr>
          <w:rFonts w:hint="eastAsia" w:ascii="宋体" w:hAnsi="宋体" w:cs="宋体"/>
          <w:bCs/>
          <w:color w:val="000000"/>
          <w:sz w:val="24"/>
        </w:rPr>
      </w:r>
      <w:r/>
    </w:p>
    <w:p>
      <w:pPr>
        <w:jc w:val="left"/>
        <w:spacing w:after="0" w:line="360" w:lineRule="auto"/>
        <w:widowControl/>
        <w:rPr>
          <w:rFonts w:hint="eastAsia" w:ascii="宋体" w:hAnsi="宋体" w:cs="宋体"/>
          <w:bCs/>
          <w:color w:val="000000"/>
          <w:sz w:val="24"/>
        </w:rPr>
      </w:pPr>
      <w:r>
        <w:rPr>
          <w:rFonts w:hint="eastAsia" w:ascii="宋体" w:hAnsi="宋体" w:cs="宋体"/>
          <w:bCs/>
          <w:color w:val="000000"/>
          <w:sz w:val="24"/>
        </w:rPr>
      </w:r>
      <w:r/>
    </w:p>
    <w:p>
      <w:pPr>
        <w:jc w:val="left"/>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                    单位名称（盖章）：</w:t>
      </w:r>
      <w:r/>
    </w:p>
    <w:p>
      <w:pPr>
        <w:jc w:val="left"/>
        <w:spacing w:after="0" w:line="360" w:lineRule="auto"/>
        <w:widowControl/>
        <w:rPr>
          <w:rFonts w:hint="eastAsia" w:ascii="宋体" w:hAnsi="宋体" w:cs="宋体"/>
          <w:bCs/>
          <w:color w:val="000000"/>
          <w:sz w:val="24"/>
        </w:rPr>
      </w:pPr>
      <w:r>
        <w:rPr>
          <w:rFonts w:hint="eastAsia" w:ascii="宋体" w:hAnsi="宋体" w:cs="宋体"/>
          <w:bCs/>
          <w:color w:val="000000"/>
          <w:sz w:val="24"/>
        </w:rPr>
        <w:t xml:space="preserve">                    日  期：</w:t>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firstLine="480"/>
        <w:rPr>
          <w:rFonts w:hint="eastAsia" w:hAnsi="宋体" w:cs="宋体"/>
          <w:sz w:val="24"/>
        </w:rPr>
      </w:pPr>
      <w:r>
        <w:rPr>
          <w:rFonts w:hint="eastAsia" w:hAnsi="宋体" w:cs="宋体"/>
          <w:sz w:val="24"/>
        </w:rPr>
      </w:r>
      <w:r/>
    </w:p>
    <w:p>
      <w:pPr>
        <w:pStyle w:val="847"/>
        <w:ind w:left="0" w:firstLine="0"/>
        <w:rPr>
          <w:rFonts w:hint="eastAsia" w:hAnsi="宋体" w:cs="宋体"/>
          <w:sz w:val="24"/>
        </w:rPr>
      </w:pPr>
      <w:r>
        <w:rPr>
          <w:rFonts w:hint="eastAsia" w:hAnsi="宋体" w:cs="宋体"/>
          <w:sz w:val="24"/>
        </w:rPr>
        <w:t xml:space="preserve">附表一：苏州太湖新城吴中管委会党政办（投资评审中心）财政评审协审费用支付标准</w:t>
      </w:r>
      <w:r/>
    </w:p>
    <w:tbl>
      <w:tblPr>
        <w:tblStyle w:val="835"/>
        <w:tblpPr w:horzAnchor="page" w:tblpXSpec="center" w:vertAnchor="text" w:tblpY="253" w:leftFromText="180" w:topFromText="0" w:rightFromText="180" w:bottomFromText="0"/>
        <w:tblW w:w="0" w:type="auto"/>
        <w:jc w:val="center"/>
        <w:tblLayout w:type="fixed"/>
        <w:tblCellMar>
          <w:left w:w="108" w:type="dxa"/>
          <w:top w:w="0" w:type="dxa"/>
          <w:right w:w="108" w:type="dxa"/>
          <w:bottom w:w="0" w:type="dxa"/>
        </w:tblCellMar>
        <w:tblLook w:val="04A0" w:firstRow="1" w:lastRow="0" w:firstColumn="1" w:lastColumn="0" w:noHBand="0" w:noVBand="1"/>
      </w:tblPr>
      <w:tblGrid>
        <w:gridCol w:w="415"/>
        <w:gridCol w:w="682"/>
        <w:gridCol w:w="1347"/>
        <w:gridCol w:w="1233"/>
        <w:gridCol w:w="897"/>
        <w:gridCol w:w="897"/>
        <w:gridCol w:w="897"/>
        <w:gridCol w:w="897"/>
        <w:gridCol w:w="897"/>
        <w:gridCol w:w="1126"/>
      </w:tblGrid>
      <w:tr>
        <w:trPr>
          <w:jc w:val="center"/>
          <w:trHeight w:val="399"/>
        </w:trPr>
        <w:tc>
          <w:tcPr>
            <w:tcBorders>
              <w:top w:val="single" w:color="auto" w:sz="4" w:space="0"/>
              <w:left w:val="single" w:color="auto" w:sz="4" w:space="0"/>
              <w:bottom w:val="single" w:color="auto" w:sz="4" w:space="0"/>
              <w:right w:val="single" w:color="auto" w:sz="4" w:space="0"/>
            </w:tcBorders>
            <w:tcW w:w="415" w:type="dxa"/>
            <w:vAlign w:val="center"/>
            <w:vMerge w:val="restart"/>
            <w:textDirection w:val="lrTb"/>
            <w:noWrap w:val="false"/>
          </w:tcPr>
          <w:p>
            <w:pPr>
              <w:jc w:val="center"/>
              <w:spacing w:line="240" w:lineRule="exact"/>
              <w:widowControl/>
              <w:rPr>
                <w:rFonts w:ascii="宋体" w:hAnsi="宋体" w:cs="宋体"/>
                <w:sz w:val="18"/>
                <w:szCs w:val="18"/>
              </w:rPr>
            </w:pPr>
            <w:r>
              <w:rPr>
                <w:rFonts w:hint="eastAsia"/>
                <w:sz w:val="18"/>
                <w:szCs w:val="18"/>
                <w:lang w:bidi="ar"/>
              </w:rPr>
              <w:t xml:space="preserve">序号</w:t>
            </w:r>
            <w:r/>
          </w:p>
        </w:tc>
        <w:tc>
          <w:tcPr>
            <w:gridSpan w:val="2"/>
            <w:tcBorders>
              <w:top w:val="single" w:color="auto" w:sz="4" w:space="0"/>
              <w:left w:val="single" w:color="auto" w:sz="4" w:space="0"/>
              <w:bottom w:val="single" w:color="auto" w:sz="4" w:space="0"/>
              <w:right w:val="single" w:color="auto" w:sz="4" w:space="0"/>
            </w:tcBorders>
            <w:tcW w:w="2029"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咨询项目</w:t>
            </w:r>
            <w:r/>
          </w:p>
        </w:tc>
        <w:tc>
          <w:tcPr>
            <w:tcBorders>
              <w:top w:val="single" w:color="auto" w:sz="4" w:space="0"/>
              <w:left w:val="single" w:color="auto" w:sz="4" w:space="0"/>
              <w:bottom w:val="single" w:color="auto" w:sz="4" w:space="0"/>
              <w:right w:val="single" w:color="auto" w:sz="4" w:space="0"/>
            </w:tcBorders>
            <w:tcW w:w="1233"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收费基数</w:t>
            </w:r>
            <w:r/>
          </w:p>
        </w:tc>
        <w:tc>
          <w:tcPr>
            <w:gridSpan w:val="6"/>
            <w:tcBorders>
              <w:top w:val="single" w:color="auto" w:sz="4" w:space="0"/>
              <w:left w:val="none" w:color="000000" w:sz="4" w:space="0"/>
              <w:bottom w:val="single" w:color="auto" w:sz="4" w:space="0"/>
              <w:right w:val="single" w:color="auto" w:sz="4" w:space="0"/>
            </w:tcBorders>
            <w:tcW w:w="561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划分标准</w:t>
            </w:r>
            <w:r/>
          </w:p>
        </w:tc>
      </w:tr>
      <w:tr>
        <w:trPr>
          <w:jc w:val="center"/>
          <w:trHeight w:val="561"/>
        </w:trPr>
        <w:tc>
          <w:tcPr>
            <w:tcBorders>
              <w:top w:val="single" w:color="auto" w:sz="4" w:space="0"/>
              <w:left w:val="single" w:color="auto" w:sz="4" w:space="0"/>
              <w:bottom w:val="single" w:color="auto" w:sz="4" w:space="0"/>
              <w:right w:val="single" w:color="auto" w:sz="4" w:space="0"/>
            </w:tcBorders>
            <w:tcW w:w="415"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gridSpan w:val="2"/>
            <w:tcBorders>
              <w:top w:val="single" w:color="auto" w:sz="4" w:space="0"/>
              <w:left w:val="single" w:color="auto" w:sz="4" w:space="0"/>
              <w:bottom w:val="single" w:color="auto" w:sz="4" w:space="0"/>
              <w:right w:val="single" w:color="auto" w:sz="4" w:space="0"/>
            </w:tcBorders>
            <w:tcW w:w="2029"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233"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spacing w:line="240" w:lineRule="exact"/>
              <w:widowControl/>
              <w:rPr>
                <w:rFonts w:ascii="宋体" w:hAnsi="宋体"/>
                <w:sz w:val="18"/>
                <w:szCs w:val="18"/>
              </w:rPr>
            </w:pPr>
            <w:r>
              <w:rPr>
                <w:sz w:val="18"/>
                <w:szCs w:val="18"/>
                <w:lang w:bidi="ar"/>
              </w:rPr>
              <w:t xml:space="preserve">100</w:t>
            </w:r>
            <w:r>
              <w:rPr>
                <w:rFonts w:hint="eastAsia"/>
                <w:sz w:val="18"/>
                <w:szCs w:val="18"/>
                <w:lang w:bidi="ar"/>
              </w:rPr>
              <w:t xml:space="preserve">万元以内（含）</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spacing w:line="240" w:lineRule="exact"/>
              <w:widowControl/>
              <w:rPr>
                <w:rFonts w:ascii="宋体" w:hAnsi="宋体"/>
                <w:sz w:val="18"/>
                <w:szCs w:val="18"/>
              </w:rPr>
            </w:pPr>
            <w:r>
              <w:rPr>
                <w:sz w:val="18"/>
                <w:szCs w:val="18"/>
                <w:lang w:bidi="ar"/>
              </w:rPr>
              <w:t xml:space="preserve">100-500</w:t>
            </w:r>
            <w:r>
              <w:rPr>
                <w:rFonts w:hint="eastAsia"/>
                <w:sz w:val="18"/>
                <w:szCs w:val="18"/>
                <w:lang w:bidi="ar"/>
              </w:rPr>
              <w:t xml:space="preserve">万元</w:t>
            </w:r>
            <w:r>
              <w:rPr>
                <w:sz w:val="18"/>
                <w:szCs w:val="18"/>
                <w:lang w:bidi="ar"/>
              </w:rPr>
              <w:t xml:space="preserve">(</w:t>
            </w:r>
            <w:r>
              <w:rPr>
                <w:rFonts w:hint="eastAsia"/>
                <w:sz w:val="18"/>
                <w:szCs w:val="18"/>
                <w:lang w:bidi="ar"/>
              </w:rPr>
              <w:t xml:space="preserve">含</w:t>
            </w:r>
            <w:r>
              <w:rPr>
                <w:sz w:val="18"/>
                <w:szCs w:val="18"/>
                <w:lang w:bidi="ar"/>
              </w:rPr>
              <w:t xml:space="preserve">)</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spacing w:line="240" w:lineRule="exact"/>
              <w:widowControl/>
              <w:rPr>
                <w:rFonts w:ascii="宋体" w:hAnsi="宋体"/>
                <w:sz w:val="18"/>
                <w:szCs w:val="18"/>
              </w:rPr>
            </w:pPr>
            <w:r>
              <w:rPr>
                <w:sz w:val="18"/>
                <w:szCs w:val="18"/>
                <w:lang w:bidi="ar"/>
              </w:rPr>
              <w:t xml:space="preserve">500-1000</w:t>
            </w:r>
            <w:r>
              <w:rPr>
                <w:rFonts w:hint="eastAsia"/>
                <w:sz w:val="18"/>
                <w:szCs w:val="18"/>
                <w:lang w:bidi="ar"/>
              </w:rPr>
              <w:t xml:space="preserve">万元</w:t>
            </w:r>
            <w:r>
              <w:rPr>
                <w:sz w:val="18"/>
                <w:szCs w:val="18"/>
                <w:lang w:bidi="ar"/>
              </w:rPr>
              <w:t xml:space="preserve">(</w:t>
            </w:r>
            <w:r>
              <w:rPr>
                <w:rFonts w:hint="eastAsia"/>
                <w:sz w:val="18"/>
                <w:szCs w:val="18"/>
                <w:lang w:bidi="ar"/>
              </w:rPr>
              <w:t xml:space="preserve">含</w:t>
            </w:r>
            <w:r>
              <w:rPr>
                <w:sz w:val="18"/>
                <w:szCs w:val="18"/>
                <w:lang w:bidi="ar"/>
              </w:rPr>
              <w:t xml:space="preserve">)</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spacing w:line="240" w:lineRule="exact"/>
              <w:widowControl/>
              <w:rPr>
                <w:rFonts w:ascii="宋体" w:hAnsi="宋体"/>
                <w:sz w:val="18"/>
                <w:szCs w:val="18"/>
              </w:rPr>
            </w:pPr>
            <w:r>
              <w:rPr>
                <w:sz w:val="18"/>
                <w:szCs w:val="18"/>
                <w:lang w:bidi="ar"/>
              </w:rPr>
              <w:t xml:space="preserve">1000-5000</w:t>
            </w:r>
            <w:r>
              <w:rPr>
                <w:rFonts w:hint="eastAsia"/>
                <w:sz w:val="18"/>
                <w:szCs w:val="18"/>
                <w:lang w:bidi="ar"/>
              </w:rPr>
              <w:t xml:space="preserve">万元</w:t>
            </w:r>
            <w:r>
              <w:rPr>
                <w:sz w:val="18"/>
                <w:szCs w:val="18"/>
                <w:lang w:bidi="ar"/>
              </w:rPr>
              <w:t xml:space="preserve">(</w:t>
            </w:r>
            <w:r>
              <w:rPr>
                <w:rFonts w:hint="eastAsia"/>
                <w:sz w:val="18"/>
                <w:szCs w:val="18"/>
                <w:lang w:bidi="ar"/>
              </w:rPr>
              <w:t xml:space="preserve">含</w:t>
            </w:r>
            <w:r>
              <w:rPr>
                <w:sz w:val="18"/>
                <w:szCs w:val="18"/>
                <w:lang w:bidi="ar"/>
              </w:rPr>
              <w:t xml:space="preserve">)</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spacing w:line="240" w:lineRule="exact"/>
              <w:widowControl/>
              <w:rPr>
                <w:sz w:val="18"/>
                <w:szCs w:val="18"/>
                <w:lang w:bidi="ar"/>
              </w:rPr>
            </w:pPr>
            <w:r>
              <w:rPr>
                <w:sz w:val="18"/>
                <w:szCs w:val="18"/>
                <w:lang w:bidi="ar"/>
              </w:rPr>
              <w:t xml:space="preserve">5000</w:t>
            </w:r>
            <w:r>
              <w:rPr>
                <w:rFonts w:hint="eastAsia"/>
                <w:sz w:val="18"/>
                <w:szCs w:val="18"/>
                <w:lang w:bidi="ar"/>
              </w:rPr>
              <w:t xml:space="preserve">万元</w:t>
            </w:r>
            <w:r>
              <w:rPr>
                <w:sz w:val="18"/>
                <w:szCs w:val="18"/>
                <w:lang w:bidi="ar"/>
              </w:rPr>
              <w:t xml:space="preserve">-1</w:t>
            </w:r>
            <w:r>
              <w:rPr>
                <w:rFonts w:hint="eastAsia"/>
                <w:sz w:val="18"/>
                <w:szCs w:val="18"/>
                <w:lang w:bidi="ar"/>
              </w:rPr>
              <w:t xml:space="preserve">亿（含）</w:t>
            </w:r>
            <w:r/>
          </w:p>
        </w:tc>
        <w:tc>
          <w:tcPr>
            <w:tcBorders>
              <w:top w:val="none" w:color="000000" w:sz="4" w:space="0"/>
              <w:left w:val="none" w:color="000000" w:sz="4" w:space="0"/>
              <w:bottom w:val="single" w:color="auto" w:sz="4" w:space="0"/>
              <w:right w:val="single" w:color="auto" w:sz="4" w:space="0"/>
            </w:tcBorders>
            <w:tcW w:w="1126" w:type="dxa"/>
            <w:vAlign w:val="center"/>
            <w:textDirection w:val="lrTb"/>
            <w:noWrap w:val="false"/>
          </w:tcPr>
          <w:p>
            <w:pPr>
              <w:jc w:val="center"/>
              <w:spacing w:line="240" w:lineRule="exact"/>
              <w:widowControl/>
              <w:rPr>
                <w:rFonts w:ascii="宋体" w:hAnsi="宋体"/>
                <w:sz w:val="18"/>
                <w:szCs w:val="18"/>
              </w:rPr>
            </w:pPr>
            <w:r>
              <w:rPr>
                <w:sz w:val="18"/>
                <w:szCs w:val="18"/>
                <w:lang w:bidi="ar"/>
              </w:rPr>
              <w:t xml:space="preserve">1</w:t>
            </w:r>
            <w:r>
              <w:rPr>
                <w:rFonts w:hint="eastAsia"/>
                <w:sz w:val="18"/>
                <w:szCs w:val="18"/>
                <w:lang w:bidi="ar"/>
              </w:rPr>
              <w:t xml:space="preserve">亿元以上（含）</w:t>
            </w:r>
            <w:r/>
          </w:p>
        </w:tc>
      </w:tr>
      <w:tr>
        <w:trPr>
          <w:jc w:val="center"/>
          <w:trHeight w:val="801"/>
        </w:trPr>
        <w:tc>
          <w:tcPr>
            <w:tcBorders>
              <w:top w:val="none" w:color="000000" w:sz="4" w:space="0"/>
              <w:left w:val="single" w:color="auto" w:sz="4" w:space="0"/>
              <w:bottom w:val="single" w:color="auto" w:sz="4" w:space="0"/>
              <w:right w:val="single" w:color="auto" w:sz="4" w:space="0"/>
            </w:tcBorders>
            <w:tcW w:w="415" w:type="dxa"/>
            <w:vAlign w:val="center"/>
            <w:textDirection w:val="lrTb"/>
            <w:noWrap w:val="false"/>
          </w:tcPr>
          <w:p>
            <w:pPr>
              <w:jc w:val="center"/>
              <w:widowControl/>
              <w:rPr>
                <w:rFonts w:ascii="宋体" w:hAnsi="宋体"/>
                <w:sz w:val="18"/>
                <w:szCs w:val="18"/>
              </w:rPr>
            </w:pPr>
            <w:r>
              <w:rPr>
                <w:rFonts w:ascii="宋体" w:hAnsi="宋体"/>
                <w:sz w:val="18"/>
                <w:szCs w:val="18"/>
              </w:rPr>
              <w:t xml:space="preserve">1</w:t>
            </w:r>
            <w:r/>
          </w:p>
        </w:tc>
        <w:tc>
          <w:tcPr>
            <w:gridSpan w:val="2"/>
            <w:tcBorders>
              <w:top w:val="single" w:color="auto" w:sz="4" w:space="0"/>
              <w:left w:val="none" w:color="000000" w:sz="4" w:space="0"/>
              <w:bottom w:val="single" w:color="auto" w:sz="4" w:space="0"/>
              <w:right w:val="single" w:color="auto" w:sz="4" w:space="0"/>
            </w:tcBorders>
            <w:tcW w:w="202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审核设计概算</w:t>
            </w:r>
            <w:r/>
          </w:p>
        </w:tc>
        <w:tc>
          <w:tcPr>
            <w:tcBorders>
              <w:top w:val="none" w:color="000000" w:sz="4" w:space="0"/>
              <w:left w:val="none" w:color="000000" w:sz="4" w:space="0"/>
              <w:bottom w:val="single" w:color="auto" w:sz="4" w:space="0"/>
              <w:right w:val="single" w:color="auto" w:sz="4" w:space="0"/>
            </w:tcBorders>
            <w:tcW w:w="123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概算价</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widowControl/>
              <w:rPr>
                <w:rFonts w:ascii="宋体" w:hAnsi="宋体"/>
                <w:sz w:val="18"/>
                <w:szCs w:val="18"/>
              </w:rPr>
            </w:pPr>
            <w:r>
              <w:rPr>
                <w:rFonts w:ascii="宋体" w:hAnsi="宋体"/>
                <w:sz w:val="18"/>
                <w:szCs w:val="18"/>
              </w:rPr>
              <w:t xml:space="preserve">0.77</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widowControl/>
              <w:rPr>
                <w:rFonts w:ascii="宋体" w:hAnsi="宋体"/>
                <w:sz w:val="18"/>
                <w:szCs w:val="18"/>
              </w:rPr>
            </w:pPr>
            <w:r>
              <w:rPr>
                <w:rFonts w:ascii="宋体" w:hAnsi="宋体"/>
                <w:sz w:val="18"/>
                <w:szCs w:val="18"/>
              </w:rPr>
              <w:t xml:space="preserve">0.63</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widowControl/>
              <w:rPr>
                <w:rFonts w:ascii="宋体" w:hAnsi="宋体"/>
                <w:sz w:val="18"/>
                <w:szCs w:val="18"/>
              </w:rPr>
            </w:pPr>
            <w:r>
              <w:rPr>
                <w:rFonts w:ascii="宋体" w:hAnsi="宋体"/>
                <w:sz w:val="18"/>
                <w:szCs w:val="18"/>
              </w:rPr>
              <w:t xml:space="preserve">0.49</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widowControl/>
              <w:rPr>
                <w:rFonts w:ascii="宋体" w:hAnsi="宋体"/>
                <w:sz w:val="18"/>
                <w:szCs w:val="18"/>
              </w:rPr>
            </w:pPr>
            <w:r>
              <w:rPr>
                <w:rFonts w:ascii="宋体" w:hAnsi="宋体"/>
                <w:sz w:val="18"/>
                <w:szCs w:val="18"/>
              </w:rPr>
              <w:t xml:space="preserve">0.42</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widowControl/>
              <w:rPr>
                <w:rFonts w:ascii="宋体" w:hAnsi="宋体"/>
                <w:sz w:val="18"/>
                <w:szCs w:val="18"/>
              </w:rPr>
            </w:pPr>
            <w:r>
              <w:rPr>
                <w:rFonts w:ascii="宋体" w:hAnsi="宋体"/>
                <w:sz w:val="18"/>
                <w:szCs w:val="18"/>
              </w:rPr>
              <w:t xml:space="preserve">0.28</w:t>
            </w:r>
            <w:r/>
          </w:p>
        </w:tc>
        <w:tc>
          <w:tcPr>
            <w:tcBorders>
              <w:top w:val="none" w:color="000000" w:sz="4" w:space="0"/>
              <w:left w:val="none" w:color="000000" w:sz="4" w:space="0"/>
              <w:bottom w:val="single" w:color="auto" w:sz="4" w:space="0"/>
              <w:right w:val="single" w:color="auto" w:sz="4" w:space="0"/>
            </w:tcBorders>
            <w:tcW w:w="1126" w:type="dxa"/>
            <w:vAlign w:val="center"/>
            <w:textDirection w:val="lrTb"/>
            <w:noWrap w:val="false"/>
          </w:tcPr>
          <w:p>
            <w:pPr>
              <w:jc w:val="center"/>
              <w:widowControl/>
              <w:rPr>
                <w:rFonts w:ascii="宋体" w:hAnsi="宋体"/>
                <w:sz w:val="18"/>
                <w:szCs w:val="18"/>
              </w:rPr>
            </w:pPr>
            <w:r>
              <w:rPr>
                <w:rFonts w:ascii="宋体" w:hAnsi="宋体"/>
                <w:sz w:val="18"/>
                <w:szCs w:val="18"/>
              </w:rPr>
              <w:t xml:space="preserve">0.14</w:t>
            </w:r>
            <w:r/>
          </w:p>
        </w:tc>
      </w:tr>
      <w:tr>
        <w:trPr>
          <w:jc w:val="center"/>
          <w:trHeight w:val="1111"/>
        </w:trPr>
        <w:tc>
          <w:tcPr>
            <w:tcBorders>
              <w:top w:val="none" w:color="000000" w:sz="4" w:space="0"/>
              <w:left w:val="single" w:color="auto" w:sz="4" w:space="0"/>
              <w:bottom w:val="single" w:color="auto" w:sz="4" w:space="0"/>
              <w:right w:val="single" w:color="auto" w:sz="4" w:space="0"/>
            </w:tcBorders>
            <w:tcW w:w="415" w:type="dxa"/>
            <w:vAlign w:val="center"/>
            <w:textDirection w:val="lrTb"/>
            <w:noWrap w:val="false"/>
          </w:tcPr>
          <w:p>
            <w:pPr>
              <w:jc w:val="center"/>
              <w:widowControl/>
              <w:rPr>
                <w:rFonts w:ascii="宋体" w:hAnsi="宋体"/>
                <w:sz w:val="18"/>
                <w:szCs w:val="18"/>
              </w:rPr>
            </w:pPr>
            <w:r>
              <w:rPr>
                <w:rFonts w:ascii="宋体" w:hAnsi="宋体"/>
                <w:sz w:val="18"/>
                <w:szCs w:val="18"/>
              </w:rPr>
              <w:t xml:space="preserve">2</w:t>
            </w:r>
            <w:r/>
          </w:p>
        </w:tc>
        <w:tc>
          <w:tcPr>
            <w:tcBorders>
              <w:top w:val="single" w:color="auto" w:sz="4" w:space="0"/>
              <w:left w:val="single" w:color="auto" w:sz="4" w:space="0"/>
              <w:bottom w:val="single" w:color="auto" w:sz="4" w:space="0"/>
              <w:right w:val="single" w:color="auto" w:sz="4" w:space="0"/>
            </w:tcBorders>
            <w:tcW w:w="682" w:type="dxa"/>
            <w:vAlign w:val="center"/>
            <w:vMerge w:val="restart"/>
            <w:textDirection w:val="lrTb"/>
            <w:noWrap w:val="false"/>
          </w:tcPr>
          <w:p>
            <w:pPr>
              <w:jc w:val="center"/>
              <w:spacing w:line="240" w:lineRule="exact"/>
              <w:widowControl/>
              <w:rPr>
                <w:rFonts w:ascii="宋体" w:hAnsi="宋体" w:cs="宋体"/>
                <w:sz w:val="18"/>
                <w:szCs w:val="18"/>
              </w:rPr>
            </w:pPr>
            <w:r>
              <w:rPr>
                <w:rFonts w:hint="eastAsia"/>
                <w:sz w:val="18"/>
                <w:szCs w:val="18"/>
                <w:lang w:bidi="ar"/>
              </w:rPr>
              <w:t xml:space="preserve">清单规范计价法</w:t>
            </w:r>
            <w:r/>
          </w:p>
        </w:tc>
        <w:tc>
          <w:tcPr>
            <w:tcBorders>
              <w:top w:val="none" w:color="000000" w:sz="4" w:space="0"/>
              <w:left w:val="none" w:color="000000" w:sz="4" w:space="0"/>
              <w:bottom w:val="single" w:color="auto" w:sz="4" w:space="0"/>
              <w:right w:val="single" w:color="auto" w:sz="4" w:space="0"/>
            </w:tcBorders>
            <w:tcW w:w="1347" w:type="dxa"/>
            <w:vAlign w:val="center"/>
            <w:textDirection w:val="lrTb"/>
            <w:noWrap w:val="false"/>
          </w:tcPr>
          <w:p>
            <w:pPr>
              <w:jc w:val="center"/>
              <w:spacing w:line="240" w:lineRule="exact"/>
              <w:widowControl/>
              <w:rPr>
                <w:rFonts w:ascii="宋体" w:hAnsi="宋体" w:cs="宋体"/>
                <w:sz w:val="18"/>
                <w:szCs w:val="18"/>
              </w:rPr>
            </w:pPr>
            <w:r>
              <w:rPr>
                <w:rFonts w:hint="eastAsia"/>
                <w:sz w:val="18"/>
                <w:szCs w:val="18"/>
                <w:lang w:bidi="ar"/>
              </w:rPr>
              <w:t xml:space="preserve">编制预算、标底（含清单编制）</w:t>
            </w:r>
            <w:r/>
          </w:p>
        </w:tc>
        <w:tc>
          <w:tcPr>
            <w:tcBorders>
              <w:top w:val="none" w:color="000000" w:sz="4" w:space="0"/>
              <w:left w:val="none" w:color="000000" w:sz="4" w:space="0"/>
              <w:bottom w:val="single" w:color="auto" w:sz="4" w:space="0"/>
              <w:right w:val="single" w:color="auto" w:sz="4" w:space="0"/>
            </w:tcBorders>
            <w:tcW w:w="1233" w:type="dxa"/>
            <w:vAlign w:val="center"/>
            <w:textDirection w:val="lrTb"/>
            <w:noWrap w:val="false"/>
          </w:tcPr>
          <w:p>
            <w:pPr>
              <w:jc w:val="center"/>
              <w:spacing w:line="240" w:lineRule="exact"/>
              <w:widowControl/>
              <w:rPr>
                <w:rFonts w:ascii="宋体" w:hAnsi="宋体" w:cs="宋体"/>
                <w:sz w:val="18"/>
                <w:szCs w:val="18"/>
              </w:rPr>
            </w:pPr>
            <w:r>
              <w:rPr>
                <w:rFonts w:hint="eastAsia"/>
                <w:sz w:val="18"/>
                <w:szCs w:val="18"/>
                <w:lang w:bidi="ar"/>
              </w:rPr>
              <w:t xml:space="preserve">建安工程造价</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widowControl/>
              <w:rPr>
                <w:rFonts w:ascii="宋体" w:hAnsi="宋体"/>
                <w:sz w:val="18"/>
                <w:szCs w:val="18"/>
              </w:rPr>
            </w:pPr>
            <w:r>
              <w:rPr>
                <w:rFonts w:ascii="宋体" w:hAnsi="宋体"/>
                <w:sz w:val="18"/>
                <w:szCs w:val="18"/>
              </w:rPr>
              <w:t xml:space="preserve">2.66</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widowControl/>
              <w:rPr>
                <w:rFonts w:ascii="宋体" w:hAnsi="宋体"/>
                <w:sz w:val="18"/>
                <w:szCs w:val="18"/>
              </w:rPr>
            </w:pPr>
            <w:r>
              <w:rPr>
                <w:rFonts w:ascii="宋体" w:hAnsi="宋体"/>
                <w:sz w:val="18"/>
                <w:szCs w:val="18"/>
              </w:rPr>
              <w:t xml:space="preserve">2.38</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widowControl/>
              <w:rPr>
                <w:rFonts w:ascii="宋体" w:hAnsi="宋体"/>
                <w:sz w:val="18"/>
                <w:szCs w:val="18"/>
              </w:rPr>
            </w:pPr>
            <w:r>
              <w:rPr>
                <w:rFonts w:ascii="宋体" w:hAnsi="宋体"/>
                <w:sz w:val="18"/>
                <w:szCs w:val="18"/>
              </w:rPr>
              <w:t xml:space="preserve">2.1</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widowControl/>
              <w:rPr>
                <w:rFonts w:ascii="宋体" w:hAnsi="宋体"/>
                <w:sz w:val="18"/>
                <w:szCs w:val="18"/>
              </w:rPr>
            </w:pPr>
            <w:r>
              <w:rPr>
                <w:rFonts w:ascii="宋体" w:hAnsi="宋体"/>
                <w:sz w:val="18"/>
                <w:szCs w:val="18"/>
              </w:rPr>
              <w:t xml:space="preserve">1.68</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widowControl/>
              <w:rPr>
                <w:rFonts w:ascii="宋体" w:hAnsi="宋体"/>
                <w:sz w:val="18"/>
                <w:szCs w:val="18"/>
              </w:rPr>
            </w:pPr>
            <w:r>
              <w:rPr>
                <w:rFonts w:ascii="宋体" w:hAnsi="宋体"/>
                <w:sz w:val="18"/>
                <w:szCs w:val="18"/>
              </w:rPr>
              <w:t xml:space="preserve">1.26</w:t>
            </w:r>
            <w:r/>
          </w:p>
        </w:tc>
        <w:tc>
          <w:tcPr>
            <w:tcBorders>
              <w:top w:val="none" w:color="000000" w:sz="4" w:space="0"/>
              <w:left w:val="none" w:color="000000" w:sz="4" w:space="0"/>
              <w:bottom w:val="single" w:color="auto" w:sz="4" w:space="0"/>
              <w:right w:val="single" w:color="auto" w:sz="4" w:space="0"/>
            </w:tcBorders>
            <w:tcW w:w="1126" w:type="dxa"/>
            <w:vAlign w:val="center"/>
            <w:textDirection w:val="lrTb"/>
            <w:noWrap w:val="false"/>
          </w:tcPr>
          <w:p>
            <w:pPr>
              <w:jc w:val="center"/>
              <w:widowControl/>
              <w:rPr>
                <w:rFonts w:ascii="宋体" w:hAnsi="宋体"/>
                <w:sz w:val="18"/>
                <w:szCs w:val="18"/>
              </w:rPr>
            </w:pPr>
            <w:r>
              <w:rPr>
                <w:rFonts w:ascii="宋体" w:hAnsi="宋体"/>
                <w:sz w:val="18"/>
                <w:szCs w:val="18"/>
              </w:rPr>
              <w:t xml:space="preserve">0.98</w:t>
            </w:r>
            <w:r/>
          </w:p>
        </w:tc>
      </w:tr>
      <w:tr>
        <w:trPr>
          <w:jc w:val="center"/>
          <w:trHeight w:val="1209"/>
        </w:trPr>
        <w:tc>
          <w:tcPr>
            <w:tcBorders>
              <w:top w:val="none" w:color="000000" w:sz="4" w:space="0"/>
              <w:left w:val="single" w:color="auto" w:sz="4" w:space="0"/>
              <w:bottom w:val="single" w:color="auto" w:sz="4" w:space="0"/>
              <w:right w:val="single" w:color="auto" w:sz="4" w:space="0"/>
            </w:tcBorders>
            <w:tcW w:w="415" w:type="dxa"/>
            <w:vAlign w:val="center"/>
            <w:textDirection w:val="lrTb"/>
            <w:noWrap w:val="false"/>
          </w:tcPr>
          <w:p>
            <w:pPr>
              <w:jc w:val="center"/>
              <w:widowControl/>
              <w:rPr>
                <w:rFonts w:ascii="宋体" w:hAnsi="宋体"/>
                <w:sz w:val="18"/>
                <w:szCs w:val="18"/>
              </w:rPr>
            </w:pPr>
            <w:r>
              <w:rPr>
                <w:rFonts w:ascii="宋体" w:hAnsi="宋体"/>
                <w:sz w:val="18"/>
                <w:szCs w:val="18"/>
              </w:rPr>
              <w:t xml:space="preserve">3</w:t>
            </w:r>
            <w:r/>
          </w:p>
        </w:tc>
        <w:tc>
          <w:tcPr>
            <w:tcBorders>
              <w:top w:val="none" w:color="000000"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1347" w:type="dxa"/>
            <w:vAlign w:val="center"/>
            <w:textDirection w:val="lrTb"/>
            <w:noWrap w:val="false"/>
          </w:tcPr>
          <w:p>
            <w:pPr>
              <w:jc w:val="center"/>
              <w:spacing w:line="240" w:lineRule="exact"/>
              <w:widowControl/>
              <w:rPr>
                <w:rFonts w:ascii="宋体" w:hAnsi="宋体" w:cs="宋体"/>
                <w:sz w:val="18"/>
                <w:szCs w:val="18"/>
              </w:rPr>
            </w:pPr>
            <w:r>
              <w:rPr>
                <w:rFonts w:hint="eastAsia"/>
                <w:sz w:val="18"/>
                <w:szCs w:val="18"/>
                <w:lang w:bidi="ar"/>
              </w:rPr>
              <w:t xml:space="preserve">预算、标底审核（含工程量清单审核）</w:t>
            </w:r>
            <w:r/>
          </w:p>
        </w:tc>
        <w:tc>
          <w:tcPr>
            <w:tcBorders>
              <w:top w:val="none" w:color="000000" w:sz="4" w:space="0"/>
              <w:left w:val="none" w:color="000000" w:sz="4" w:space="0"/>
              <w:bottom w:val="single" w:color="auto" w:sz="4" w:space="0"/>
              <w:right w:val="single" w:color="auto" w:sz="4" w:space="0"/>
            </w:tcBorders>
            <w:tcW w:w="1233" w:type="dxa"/>
            <w:vAlign w:val="center"/>
            <w:textDirection w:val="lrTb"/>
            <w:noWrap w:val="false"/>
          </w:tcPr>
          <w:p>
            <w:pPr>
              <w:jc w:val="center"/>
              <w:spacing w:line="240" w:lineRule="exact"/>
              <w:widowControl/>
              <w:rPr>
                <w:rFonts w:ascii="宋体" w:hAnsi="宋体" w:cs="宋体"/>
                <w:sz w:val="18"/>
                <w:szCs w:val="18"/>
              </w:rPr>
            </w:pPr>
            <w:r>
              <w:rPr>
                <w:rFonts w:hint="eastAsia"/>
                <w:sz w:val="18"/>
                <w:szCs w:val="18"/>
                <w:lang w:bidi="ar"/>
              </w:rPr>
              <w:t xml:space="preserve">建安工程造价</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widowControl/>
              <w:rPr>
                <w:rFonts w:ascii="宋体" w:hAnsi="宋体"/>
                <w:sz w:val="18"/>
                <w:szCs w:val="18"/>
              </w:rPr>
            </w:pPr>
            <w:r>
              <w:rPr>
                <w:rFonts w:ascii="宋体" w:hAnsi="宋体"/>
                <w:sz w:val="18"/>
                <w:szCs w:val="18"/>
              </w:rPr>
              <w:t xml:space="preserve">1.33</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widowControl/>
              <w:rPr>
                <w:rFonts w:ascii="宋体" w:hAnsi="宋体"/>
                <w:sz w:val="18"/>
                <w:szCs w:val="18"/>
              </w:rPr>
            </w:pPr>
            <w:r>
              <w:rPr>
                <w:rFonts w:ascii="宋体" w:hAnsi="宋体"/>
                <w:sz w:val="18"/>
                <w:szCs w:val="18"/>
              </w:rPr>
              <w:t xml:space="preserve">1.19</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widowControl/>
              <w:rPr>
                <w:rFonts w:ascii="宋体" w:hAnsi="宋体"/>
                <w:sz w:val="18"/>
                <w:szCs w:val="18"/>
              </w:rPr>
            </w:pPr>
            <w:r>
              <w:rPr>
                <w:rFonts w:ascii="宋体" w:hAnsi="宋体"/>
                <w:sz w:val="18"/>
                <w:szCs w:val="18"/>
              </w:rPr>
              <w:t xml:space="preserve">1.05</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widowControl/>
              <w:rPr>
                <w:rFonts w:ascii="宋体" w:hAnsi="宋体"/>
                <w:sz w:val="18"/>
                <w:szCs w:val="18"/>
              </w:rPr>
            </w:pPr>
            <w:r>
              <w:rPr>
                <w:rFonts w:ascii="宋体" w:hAnsi="宋体"/>
                <w:sz w:val="18"/>
                <w:szCs w:val="18"/>
              </w:rPr>
              <w:t xml:space="preserve">0.84</w:t>
            </w:r>
            <w:r/>
          </w:p>
        </w:tc>
        <w:tc>
          <w:tcPr>
            <w:tcBorders>
              <w:top w:val="none" w:color="000000" w:sz="4" w:space="0"/>
              <w:left w:val="none" w:color="000000" w:sz="4" w:space="0"/>
              <w:bottom w:val="single" w:color="auto" w:sz="4" w:space="0"/>
              <w:right w:val="single" w:color="auto" w:sz="4" w:space="0"/>
            </w:tcBorders>
            <w:tcW w:w="897" w:type="dxa"/>
            <w:vAlign w:val="center"/>
            <w:textDirection w:val="lrTb"/>
            <w:noWrap w:val="false"/>
          </w:tcPr>
          <w:p>
            <w:pPr>
              <w:jc w:val="center"/>
              <w:widowControl/>
              <w:rPr>
                <w:rFonts w:ascii="宋体" w:hAnsi="宋体"/>
                <w:sz w:val="18"/>
                <w:szCs w:val="18"/>
              </w:rPr>
            </w:pPr>
            <w:r>
              <w:rPr>
                <w:rFonts w:ascii="宋体" w:hAnsi="宋体"/>
                <w:sz w:val="18"/>
                <w:szCs w:val="18"/>
              </w:rPr>
              <w:t xml:space="preserve">0.63</w:t>
            </w:r>
            <w:r/>
          </w:p>
        </w:tc>
        <w:tc>
          <w:tcPr>
            <w:tcBorders>
              <w:top w:val="none" w:color="000000" w:sz="4" w:space="0"/>
              <w:left w:val="none" w:color="000000" w:sz="4" w:space="0"/>
              <w:bottom w:val="single" w:color="auto" w:sz="4" w:space="0"/>
              <w:right w:val="single" w:color="auto" w:sz="4" w:space="0"/>
            </w:tcBorders>
            <w:tcW w:w="1126" w:type="dxa"/>
            <w:vAlign w:val="center"/>
            <w:textDirection w:val="lrTb"/>
            <w:noWrap w:val="false"/>
          </w:tcPr>
          <w:p>
            <w:pPr>
              <w:jc w:val="center"/>
              <w:widowControl/>
              <w:rPr>
                <w:rFonts w:ascii="宋体" w:hAnsi="宋体"/>
                <w:sz w:val="18"/>
                <w:szCs w:val="18"/>
              </w:rPr>
            </w:pPr>
            <w:r>
              <w:rPr>
                <w:rFonts w:ascii="宋体" w:hAnsi="宋体"/>
                <w:sz w:val="18"/>
                <w:szCs w:val="18"/>
              </w:rPr>
              <w:t xml:space="preserve">0.49</w:t>
            </w:r>
            <w:r/>
          </w:p>
        </w:tc>
      </w:tr>
      <w:tr>
        <w:trPr>
          <w:jc w:val="center"/>
          <w:trHeight w:val="801"/>
        </w:trPr>
        <w:tc>
          <w:tcPr>
            <w:tcBorders>
              <w:top w:val="none" w:color="000000" w:sz="4" w:space="0"/>
              <w:left w:val="single" w:color="auto" w:sz="4" w:space="0"/>
              <w:bottom w:val="single" w:color="auto" w:sz="4" w:space="0"/>
              <w:right w:val="single" w:color="auto" w:sz="4" w:space="0"/>
            </w:tcBorders>
            <w:tcW w:w="415" w:type="dxa"/>
            <w:vAlign w:val="center"/>
            <w:textDirection w:val="lrTb"/>
            <w:noWrap w:val="false"/>
          </w:tcPr>
          <w:p>
            <w:pPr>
              <w:jc w:val="center"/>
              <w:widowControl/>
              <w:rPr>
                <w:rFonts w:ascii="宋体" w:hAnsi="宋体"/>
                <w:sz w:val="18"/>
                <w:szCs w:val="18"/>
              </w:rPr>
            </w:pPr>
            <w:r>
              <w:rPr>
                <w:rFonts w:ascii="宋体" w:hAnsi="宋体"/>
                <w:sz w:val="18"/>
                <w:szCs w:val="18"/>
              </w:rPr>
              <w:t xml:space="preserve">4</w:t>
            </w:r>
            <w:r/>
          </w:p>
        </w:tc>
        <w:tc>
          <w:tcPr>
            <w:gridSpan w:val="2"/>
            <w:tcBorders>
              <w:top w:val="single" w:color="auto" w:sz="4" w:space="0"/>
              <w:left w:val="none" w:color="000000" w:sz="4" w:space="0"/>
              <w:bottom w:val="single" w:color="auto" w:sz="4" w:space="0"/>
              <w:right w:val="single" w:color="auto" w:sz="4" w:space="0"/>
            </w:tcBorders>
            <w:tcW w:w="202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专家咨询服务费</w:t>
            </w:r>
            <w:r/>
          </w:p>
        </w:tc>
        <w:tc>
          <w:tcPr>
            <w:tcBorders>
              <w:top w:val="none" w:color="000000" w:sz="4" w:space="0"/>
              <w:left w:val="none" w:color="000000" w:sz="4" w:space="0"/>
              <w:bottom w:val="single" w:color="auto" w:sz="4" w:space="0"/>
              <w:right w:val="single" w:color="auto" w:sz="4" w:space="0"/>
            </w:tcBorders>
            <w:tcW w:w="123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每人每日</w:t>
            </w:r>
            <w:r/>
          </w:p>
        </w:tc>
        <w:tc>
          <w:tcPr>
            <w:gridSpan w:val="6"/>
            <w:tcBorders>
              <w:top w:val="single" w:color="auto" w:sz="4" w:space="0"/>
              <w:left w:val="none" w:color="000000" w:sz="4" w:space="0"/>
              <w:bottom w:val="single" w:color="auto" w:sz="4" w:space="0"/>
              <w:right w:val="single" w:color="auto" w:sz="4" w:space="0"/>
            </w:tcBorders>
            <w:tcW w:w="5611" w:type="dxa"/>
            <w:vAlign w:val="center"/>
            <w:textDirection w:val="lrTb"/>
            <w:noWrap w:val="false"/>
          </w:tcPr>
          <w:p>
            <w:pPr>
              <w:jc w:val="center"/>
              <w:widowControl/>
              <w:rPr>
                <w:rFonts w:ascii="宋体" w:hAnsi="宋体"/>
                <w:sz w:val="18"/>
                <w:szCs w:val="18"/>
              </w:rPr>
            </w:pPr>
            <w:r>
              <w:rPr>
                <w:rFonts w:ascii="宋体" w:hAnsi="宋体"/>
                <w:sz w:val="18"/>
                <w:szCs w:val="18"/>
              </w:rPr>
              <w:t xml:space="preserve">1500</w:t>
            </w:r>
            <w:r>
              <w:rPr>
                <w:rFonts w:hint="eastAsia" w:ascii="宋体" w:hAnsi="宋体"/>
                <w:sz w:val="18"/>
                <w:szCs w:val="18"/>
              </w:rPr>
              <w:t xml:space="preserve">元</w:t>
            </w:r>
            <w:r/>
          </w:p>
        </w:tc>
      </w:tr>
    </w:tbl>
    <w:p>
      <w:pPr>
        <w:spacing w:line="360" w:lineRule="auto"/>
        <w:rPr>
          <w:rFonts w:hint="eastAsia" w:ascii="宋体" w:hAnsi="宋体" w:cs="宋体"/>
          <w:sz w:val="24"/>
        </w:rPr>
      </w:pPr>
      <w:r>
        <w:rPr>
          <w:rFonts w:hint="eastAsia" w:ascii="宋体" w:hAnsi="宋体" w:cs="宋体"/>
          <w:sz w:val="24"/>
        </w:rPr>
      </w:r>
      <w:r/>
    </w:p>
    <w:p>
      <w:pPr>
        <w:spacing w:line="240" w:lineRule="exact"/>
        <w:rPr>
          <w:rFonts w:ascii="宋体" w:hAnsi="宋体"/>
          <w:b/>
          <w:bCs/>
          <w:sz w:val="18"/>
          <w:szCs w:val="18"/>
        </w:rPr>
      </w:pPr>
      <w:r>
        <w:rPr>
          <w:rFonts w:hint="eastAsia" w:ascii="宋体" w:hAnsi="宋体"/>
          <w:b/>
          <w:bCs/>
          <w:sz w:val="18"/>
          <w:szCs w:val="18"/>
        </w:rPr>
        <w:t xml:space="preserve">注：</w:t>
      </w:r>
      <w:r/>
    </w:p>
    <w:p>
      <w:pPr>
        <w:ind w:firstLine="402"/>
        <w:spacing w:line="240" w:lineRule="exact"/>
        <w:rPr>
          <w:rFonts w:hint="eastAsia" w:ascii="宋体" w:hAnsi="宋体"/>
          <w:b/>
          <w:bCs/>
          <w:sz w:val="20"/>
          <w:szCs w:val="20"/>
        </w:rPr>
      </w:pPr>
      <w:r>
        <w:rPr>
          <w:rFonts w:hint="eastAsia" w:ascii="宋体" w:hAnsi="宋体"/>
          <w:b/>
          <w:bCs/>
          <w:sz w:val="20"/>
          <w:szCs w:val="20"/>
        </w:rPr>
        <w:t xml:space="preserve">1、概算审核以送审金额为收费基数。</w:t>
      </w:r>
      <w:r/>
    </w:p>
    <w:p>
      <w:pPr>
        <w:ind w:firstLine="402"/>
        <w:spacing w:line="240" w:lineRule="exact"/>
        <w:rPr>
          <w:rFonts w:hint="eastAsia" w:ascii="宋体" w:hAnsi="宋体"/>
          <w:b/>
          <w:bCs/>
          <w:sz w:val="20"/>
          <w:szCs w:val="20"/>
        </w:rPr>
      </w:pPr>
      <w:r>
        <w:rPr>
          <w:rFonts w:hint="eastAsia" w:ascii="宋体" w:hAnsi="宋体"/>
          <w:b/>
          <w:bCs/>
          <w:sz w:val="20"/>
          <w:szCs w:val="20"/>
        </w:rPr>
        <w:t xml:space="preserve">2、当标底编制咨询收费金额在2100元以下时，按2100元收取，标底审核按1050元收取；当概算和标底同步评审时，标底按正常收费，出具概算报告按2100元收取。</w:t>
      </w:r>
      <w:r/>
    </w:p>
    <w:p>
      <w:pPr>
        <w:ind w:firstLine="402"/>
        <w:spacing w:line="240" w:lineRule="exact"/>
        <w:rPr>
          <w:rFonts w:hint="eastAsia" w:ascii="宋体" w:hAnsi="宋体"/>
          <w:b/>
          <w:bCs/>
          <w:sz w:val="20"/>
          <w:szCs w:val="20"/>
        </w:rPr>
      </w:pPr>
      <w:r>
        <w:rPr>
          <w:rFonts w:hint="eastAsia" w:ascii="宋体" w:hAnsi="宋体"/>
          <w:b/>
          <w:bCs/>
          <w:sz w:val="20"/>
          <w:szCs w:val="20"/>
        </w:rPr>
        <w:t xml:space="preserve">3、编制施工图预算(标底)的费率不包含钢筋及预理件计算，如需计算钢筋及里件则按8元/吨另行计算。</w:t>
      </w:r>
      <w:r/>
    </w:p>
    <w:p>
      <w:pPr>
        <w:ind w:firstLine="402"/>
        <w:spacing w:line="240" w:lineRule="exact"/>
        <w:rPr>
          <w:rFonts w:hint="eastAsia" w:ascii="宋体" w:hAnsi="宋体"/>
          <w:b/>
          <w:bCs/>
          <w:sz w:val="20"/>
          <w:szCs w:val="20"/>
        </w:rPr>
      </w:pPr>
      <w:r>
        <w:rPr>
          <w:rFonts w:hint="eastAsia" w:ascii="宋体" w:hAnsi="宋体"/>
          <w:b/>
          <w:bCs/>
          <w:sz w:val="20"/>
          <w:szCs w:val="20"/>
        </w:rPr>
        <w:t xml:space="preserve">4、采用专家模式进行评审的，专家咨询费用不超过1500元/(人·天)。</w:t>
      </w:r>
      <w:r/>
    </w:p>
    <w:p>
      <w:pPr>
        <w:ind w:firstLine="402"/>
        <w:spacing w:line="240" w:lineRule="exact"/>
        <w:rPr>
          <w:rFonts w:hint="eastAsia" w:ascii="宋体" w:hAnsi="宋体"/>
          <w:b/>
          <w:bCs/>
          <w:sz w:val="20"/>
          <w:szCs w:val="20"/>
        </w:rPr>
      </w:pPr>
      <w:r>
        <w:rPr>
          <w:rFonts w:hint="eastAsia" w:ascii="宋体" w:hAnsi="宋体"/>
          <w:b/>
          <w:bCs/>
          <w:sz w:val="20"/>
          <w:szCs w:val="20"/>
        </w:rPr>
        <w:t xml:space="preserve">5、如标底编制中有相同或相似的单位工程，则不同部分按正常计算费用，相同或相似部分按相同或相似部分造价计算的30%计费用。</w:t>
      </w:r>
      <w:r/>
    </w:p>
    <w:p>
      <w:pPr>
        <w:ind w:firstLine="402"/>
        <w:spacing w:after="0" w:line="360" w:lineRule="auto"/>
        <w:rPr>
          <w:rFonts w:hint="eastAsia" w:ascii="宋体" w:hAnsi="宋体" w:cs="宋体"/>
          <w:bCs/>
          <w:color w:val="000000"/>
          <w:sz w:val="24"/>
        </w:rPr>
      </w:pPr>
      <w:r>
        <w:rPr>
          <w:rFonts w:hint="eastAsia" w:ascii="宋体" w:hAnsi="宋体"/>
          <w:b/>
          <w:bCs/>
          <w:sz w:val="20"/>
          <w:szCs w:val="20"/>
        </w:rPr>
        <w:t xml:space="preserve">6、本表参照江苏省物价局、建设厅关于发《省物价局省住房和城乡建设厅关于规范工程造价咨询务收费标准及有关事项》的通知(苏价服[2014]383号)，但不区分工程类别，具体协审工作内容按该文件规定及苏州太湖新城吴中管理委员会相关文件规定解释。如有本表规定费率外的协审项目，按2014省标准打七折计取。</w:t>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line="240" w:lineRule="exact"/>
        <w:rPr>
          <w:rFonts w:hint="eastAsia" w:hAnsi="宋体" w:cs="宋体"/>
          <w:sz w:val="24"/>
        </w:rPr>
      </w:pPr>
      <w:r>
        <w:rPr>
          <w:rFonts w:hint="eastAsia" w:hAnsi="宋体" w:cs="宋体"/>
          <w:sz w:val="24"/>
        </w:rPr>
      </w:r>
      <w:r/>
    </w:p>
    <w:p>
      <w:pPr>
        <w:spacing w:line="240" w:lineRule="exact"/>
        <w:rPr>
          <w:rFonts w:ascii="宋体" w:hAnsi="宋体"/>
          <w:sz w:val="18"/>
          <w:szCs w:val="18"/>
        </w:rPr>
      </w:pPr>
      <w:r>
        <w:rPr>
          <w:rFonts w:hint="eastAsia" w:hAnsi="宋体" w:cs="宋体"/>
          <w:sz w:val="24"/>
        </w:rPr>
        <w:t xml:space="preserve">附表二：苏州太湖新城吴中管委会党政办（投资评审中心）财政评审协审单位评审项目业务质量考核表</w:t>
      </w:r>
      <w:r/>
    </w:p>
    <w:tbl>
      <w:tblPr>
        <w:tblStyle w:val="835"/>
        <w:tblW w:w="10349" w:type="dxa"/>
        <w:tblInd w:w="-318" w:type="dxa"/>
        <w:tblLayout w:type="autofit"/>
        <w:tblCellMar>
          <w:left w:w="108" w:type="dxa"/>
          <w:top w:w="0" w:type="dxa"/>
          <w:right w:w="108" w:type="dxa"/>
          <w:bottom w:w="0" w:type="dxa"/>
        </w:tblCellMar>
        <w:tblLook w:val="04A0" w:firstRow="1" w:lastRow="0" w:firstColumn="1" w:lastColumn="0" w:noHBand="0" w:noVBand="1"/>
      </w:tblPr>
      <w:tblGrid>
        <w:gridCol w:w="1135"/>
        <w:gridCol w:w="1221"/>
        <w:gridCol w:w="960"/>
        <w:gridCol w:w="960"/>
        <w:gridCol w:w="960"/>
        <w:gridCol w:w="2420"/>
        <w:gridCol w:w="1559"/>
        <w:gridCol w:w="1134"/>
      </w:tblGrid>
      <w:tr>
        <w:trPr>
          <w:trHeight w:val="288"/>
        </w:trPr>
        <w:tc>
          <w:tcPr>
            <w:gridSpan w:val="2"/>
            <w:shd w:val="clear" w:color="auto" w:fill="auto"/>
            <w:tcBorders>
              <w:top w:val="single" w:color="000000" w:sz="8" w:space="0"/>
              <w:left w:val="single" w:color="000000" w:sz="8" w:space="0"/>
              <w:bottom w:val="single" w:color="000000" w:sz="8" w:space="0"/>
              <w:right w:val="single" w:color="000000" w:sz="8" w:space="0"/>
            </w:tcBorders>
            <w:tcW w:w="235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协审单位：</w:t>
            </w:r>
            <w:r/>
          </w:p>
        </w:tc>
        <w:tc>
          <w:tcPr>
            <w:gridSpan w:val="6"/>
            <w:shd w:val="clear" w:color="auto" w:fill="auto"/>
            <w:tcBorders>
              <w:top w:val="single" w:color="000000" w:sz="8" w:space="0"/>
              <w:left w:val="none" w:color="000000" w:sz="4" w:space="0"/>
              <w:bottom w:val="single" w:color="000000" w:sz="8" w:space="0"/>
              <w:right w:val="single" w:color="000000" w:sz="8" w:space="0"/>
            </w:tcBorders>
            <w:tcW w:w="7993"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288"/>
        </w:trPr>
        <w:tc>
          <w:tcPr>
            <w:gridSpan w:val="2"/>
            <w:shd w:val="clear" w:color="auto" w:fill="auto"/>
            <w:tcBorders>
              <w:top w:val="single" w:color="000000" w:sz="8" w:space="0"/>
              <w:left w:val="single" w:color="000000" w:sz="8" w:space="0"/>
              <w:bottom w:val="single" w:color="000000" w:sz="8" w:space="0"/>
              <w:right w:val="single" w:color="000000" w:sz="8" w:space="0"/>
            </w:tcBorders>
            <w:tcW w:w="235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协审项目：</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92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子项名称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5113"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288"/>
        </w:trPr>
        <w:tc>
          <w:tcPr>
            <w:gridSpan w:val="2"/>
            <w:shd w:val="clear" w:color="auto" w:fill="auto"/>
            <w:tcBorders>
              <w:top w:val="single" w:color="000000" w:sz="8" w:space="0"/>
              <w:left w:val="single" w:color="000000" w:sz="8" w:space="0"/>
              <w:bottom w:val="single" w:color="000000" w:sz="8" w:space="0"/>
              <w:right w:val="single" w:color="000000" w:sz="8" w:space="0"/>
            </w:tcBorders>
            <w:tcW w:w="235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协审内容：</w:t>
            </w:r>
            <w:r/>
          </w:p>
        </w:tc>
        <w:tc>
          <w:tcPr>
            <w:gridSpan w:val="6"/>
            <w:shd w:val="clear" w:color="auto" w:fill="auto"/>
            <w:tcBorders>
              <w:top w:val="single" w:color="000000" w:sz="8" w:space="0"/>
              <w:left w:val="none" w:color="000000" w:sz="4" w:space="0"/>
              <w:bottom w:val="single" w:color="000000" w:sz="8" w:space="0"/>
              <w:right w:val="single" w:color="000000" w:sz="8" w:space="0"/>
            </w:tcBorders>
            <w:tcW w:w="7993"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□概算评审     □预算（标底）编制     □预算（标底）复核      </w:t>
            </w:r>
            <w:r/>
          </w:p>
        </w:tc>
      </w:tr>
      <w:tr>
        <w:trPr>
          <w:trHeight w:val="288"/>
        </w:trPr>
        <w:tc>
          <w:tcPr>
            <w:gridSpan w:val="6"/>
            <w:shd w:val="clear" w:color="auto" w:fill="auto"/>
            <w:tcBorders>
              <w:top w:val="single" w:color="000000" w:sz="8" w:space="0"/>
              <w:left w:val="single" w:color="000000" w:sz="8" w:space="0"/>
              <w:bottom w:val="single" w:color="000000" w:sz="8" w:space="0"/>
              <w:right w:val="single" w:color="000000" w:sz="8" w:space="0"/>
            </w:tcBorders>
            <w:tcW w:w="765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考核内容</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分值</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评分结果</w:t>
            </w:r>
            <w:r/>
          </w:p>
        </w:tc>
      </w:tr>
      <w:tr>
        <w:trPr>
          <w:trHeight w:val="432"/>
        </w:trPr>
        <w:tc>
          <w:tcPr>
            <w:shd w:val="clear" w:color="auto" w:fill="auto"/>
            <w:tcBorders>
              <w:top w:val="none" w:color="000000" w:sz="4" w:space="0"/>
              <w:left w:val="single" w:color="000000" w:sz="8" w:space="0"/>
              <w:bottom w:val="single" w:color="000000" w:sz="8" w:space="0"/>
              <w:right w:val="single" w:color="000000" w:sz="8" w:space="0"/>
            </w:tcBorders>
            <w:tcW w:w="1135" w:type="dxa"/>
            <w:vAlign w:val="center"/>
            <w:vMerge w:val="restart"/>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协审工作、协审人员要求（20分）</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未按规定的时间参加苏州太湖新城吴中管理委员会组织的探勘现场、协审结果核对、评审事项协调等会议和活动的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-5分/次</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113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未按评审办规定移交相应资料的或导致协审资料遗失的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-5分</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432"/>
        </w:trPr>
        <w:tc>
          <w:tcPr>
            <w:shd w:val="clear" w:color="auto" w:fill="auto"/>
            <w:tcBorders>
              <w:top w:val="none" w:color="000000" w:sz="4" w:space="0"/>
              <w:left w:val="single" w:color="000000" w:sz="8" w:space="0"/>
              <w:bottom w:val="single" w:color="000000" w:sz="8" w:space="0"/>
              <w:right w:val="single" w:color="000000" w:sz="8" w:space="0"/>
            </w:tcBorders>
            <w:tcW w:w="113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未设立面向苏州太湖新城吴中管理委员会并参与评审相关联系、协调工作的项目负责人，或相关负责人不满足要求的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-5分</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444"/>
        </w:trPr>
        <w:tc>
          <w:tcPr>
            <w:shd w:val="clear" w:color="auto" w:fill="auto"/>
            <w:tcBorders>
              <w:top w:val="none" w:color="000000" w:sz="4" w:space="0"/>
              <w:left w:val="single" w:color="000000" w:sz="8" w:space="0"/>
              <w:bottom w:val="single" w:color="000000" w:sz="8" w:space="0"/>
              <w:right w:val="single" w:color="000000" w:sz="8" w:space="0"/>
            </w:tcBorders>
            <w:tcW w:w="113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擅自更换各专业协审人员的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-5分/人·次</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432"/>
        </w:trPr>
        <w:tc>
          <w:tcPr>
            <w:shd w:val="clear" w:color="auto" w:fill="auto"/>
            <w:tcBorders>
              <w:top w:val="none" w:color="000000" w:sz="4" w:space="0"/>
              <w:left w:val="single" w:color="000000" w:sz="8" w:space="0"/>
              <w:bottom w:val="single" w:color="000000" w:sz="8" w:space="0"/>
              <w:right w:val="single" w:color="000000" w:sz="8" w:space="0"/>
            </w:tcBorders>
            <w:tcW w:w="113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协审人员存在态度、业务熟练、工作认真负责程度、配合、协调、沟通等方面存在问题的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-5分</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113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协审单位安排不具有相应执业资格的人员完成协审工作</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-10分</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432"/>
        </w:trPr>
        <w:tc>
          <w:tcPr>
            <w:shd w:val="clear" w:color="auto" w:fill="auto"/>
            <w:tcBorders>
              <w:top w:val="none" w:color="000000" w:sz="4" w:space="0"/>
              <w:left w:val="single" w:color="000000" w:sz="8" w:space="0"/>
              <w:bottom w:val="none" w:color="000000" w:sz="4" w:space="0"/>
              <w:right w:val="single" w:color="000000" w:sz="8" w:space="0"/>
            </w:tcBorders>
            <w:tcW w:w="113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协审质量</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由于协审单位原因，造成误差金额占总价1%以内或单项金额10万元以内的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0～5分</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432"/>
        </w:trPr>
        <w:tc>
          <w:tcPr>
            <w:shd w:val="clear" w:color="auto" w:fill="auto"/>
            <w:tcBorders>
              <w:top w:val="none" w:color="000000" w:sz="4" w:space="0"/>
              <w:left w:val="single" w:color="000000" w:sz="8" w:space="0"/>
              <w:bottom w:val="none" w:color="000000" w:sz="4" w:space="0"/>
              <w:right w:val="single" w:color="000000" w:sz="8" w:space="0"/>
            </w:tcBorders>
            <w:tcW w:w="113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（40分）</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由于协审单位原因，占总价1%-3%或单项金额10万元以上，20万元以内的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-10分</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432"/>
        </w:trPr>
        <w:tc>
          <w:tcPr>
            <w:shd w:val="clear" w:color="auto" w:fill="auto"/>
            <w:tcBorders>
              <w:top w:val="none" w:color="000000" w:sz="4" w:space="0"/>
              <w:left w:val="single" w:color="000000" w:sz="8" w:space="0"/>
              <w:bottom w:val="none" w:color="000000" w:sz="4" w:space="0"/>
              <w:right w:val="single" w:color="000000" w:sz="8" w:space="0"/>
            </w:tcBorders>
            <w:tcW w:w="1135" w:type="dxa"/>
            <w:vAlign w:val="center"/>
            <w:textDirection w:val="lrTb"/>
            <w:noWrap w:val="false"/>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由于协审单位原因，占总价3%-5%或单项金额20万元以上，40万元以内的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-15分</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432"/>
        </w:trPr>
        <w:tc>
          <w:tcPr>
            <w:shd w:val="clear" w:color="auto" w:fill="auto"/>
            <w:tcBorders>
              <w:top w:val="none" w:color="000000" w:sz="4" w:space="0"/>
              <w:left w:val="single" w:color="000000" w:sz="8" w:space="0"/>
              <w:bottom w:val="none" w:color="000000" w:sz="4" w:space="0"/>
              <w:right w:val="single" w:color="000000" w:sz="8" w:space="0"/>
            </w:tcBorders>
            <w:tcW w:w="1135" w:type="dxa"/>
            <w:vAlign w:val="center"/>
            <w:textDirection w:val="lrTb"/>
            <w:noWrap w:val="false"/>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由于协审单位原因，占总价5%-7%或单项金额40万元以上，60万元以内的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-20分</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288"/>
        </w:trPr>
        <w:tc>
          <w:tcPr>
            <w:shd w:val="clear" w:color="auto" w:fill="auto"/>
            <w:tcBorders>
              <w:top w:val="none" w:color="000000" w:sz="4" w:space="0"/>
              <w:left w:val="single" w:color="000000" w:sz="8" w:space="0"/>
              <w:bottom w:val="none" w:color="000000" w:sz="4" w:space="0"/>
              <w:right w:val="single" w:color="000000" w:sz="8" w:space="0"/>
            </w:tcBorders>
            <w:tcW w:w="1135" w:type="dxa"/>
            <w:vAlign w:val="center"/>
            <w:textDirection w:val="lrTb"/>
            <w:noWrap w:val="false"/>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由于协审单位原因，占总价7%以上或单项金额60万元以上的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-40分</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432"/>
        </w:trPr>
        <w:tc>
          <w:tcPr>
            <w:shd w:val="clear" w:color="auto" w:fill="auto"/>
            <w:tcBorders>
              <w:top w:val="none" w:color="000000" w:sz="4" w:space="0"/>
              <w:left w:val="single" w:color="000000" w:sz="8" w:space="0"/>
              <w:bottom w:val="none" w:color="000000" w:sz="4" w:space="0"/>
              <w:right w:val="single" w:color="000000" w:sz="8" w:space="0"/>
            </w:tcBorders>
            <w:tcW w:w="1135" w:type="dxa"/>
            <w:vAlign w:val="center"/>
            <w:textDirection w:val="lrTb"/>
            <w:noWrap w:val="false"/>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在编制说明、协审报告、标底确认单或其他文字资料表述中存在实质性错误的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-1分/处</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288"/>
        </w:trPr>
        <w:tc>
          <w:tcPr>
            <w:shd w:val="clear" w:color="auto" w:fill="auto"/>
            <w:tcBorders>
              <w:top w:val="none" w:color="000000" w:sz="4" w:space="0"/>
              <w:left w:val="single" w:color="000000" w:sz="8" w:space="0"/>
              <w:bottom w:val="none" w:color="000000" w:sz="4" w:space="0"/>
              <w:right w:val="single" w:color="000000" w:sz="8" w:space="0"/>
            </w:tcBorders>
            <w:tcW w:w="1135" w:type="dxa"/>
            <w:vAlign w:val="center"/>
            <w:textDirection w:val="lrTb"/>
            <w:noWrap w:val="false"/>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工程量清单不准确或不完整、出现差错、存在实质性错误的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-2分/处</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288"/>
        </w:trPr>
        <w:tc>
          <w:tcPr>
            <w:shd w:val="clear" w:color="auto" w:fill="auto"/>
            <w:tcBorders>
              <w:top w:val="none" w:color="000000" w:sz="4" w:space="0"/>
              <w:left w:val="single" w:color="000000" w:sz="8" w:space="0"/>
              <w:bottom w:val="none" w:color="000000" w:sz="4" w:space="0"/>
              <w:right w:val="single" w:color="000000" w:sz="8" w:space="0"/>
            </w:tcBorders>
            <w:tcW w:w="1135" w:type="dxa"/>
            <w:vAlign w:val="center"/>
            <w:textDirection w:val="lrTb"/>
            <w:noWrap w:val="false"/>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在评审过程中应反映的重大问题，未按规定反映的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-5分/项</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288"/>
        </w:trPr>
        <w:tc>
          <w:tcPr>
            <w:shd w:val="clear" w:color="auto" w:fill="auto"/>
            <w:tcBorders>
              <w:top w:val="none" w:color="000000" w:sz="4" w:space="0"/>
              <w:left w:val="single" w:color="000000" w:sz="8" w:space="0"/>
              <w:bottom w:val="none" w:color="000000" w:sz="4" w:space="0"/>
              <w:right w:val="single" w:color="000000" w:sz="8" w:space="0"/>
            </w:tcBorders>
            <w:tcW w:w="1135" w:type="dxa"/>
            <w:vAlign w:val="center"/>
            <w:textDirection w:val="lrTb"/>
            <w:noWrap w:val="false"/>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经审核通过协审结果、协审报告和正式出具的报告不一致的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-10分/处</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288"/>
        </w:trPr>
        <w:tc>
          <w:tcPr>
            <w:shd w:val="clear" w:color="auto" w:fill="auto"/>
            <w:tcBorders>
              <w:top w:val="none" w:color="000000" w:sz="4" w:space="0"/>
              <w:left w:val="single" w:color="000000" w:sz="8" w:space="0"/>
              <w:bottom w:val="none" w:color="000000" w:sz="4" w:space="0"/>
              <w:right w:val="single" w:color="000000" w:sz="8" w:space="0"/>
            </w:tcBorders>
            <w:tcW w:w="1135" w:type="dxa"/>
            <w:vAlign w:val="center"/>
            <w:textDirection w:val="lrTb"/>
            <w:noWrap w:val="false"/>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未经允许，擅自对外透露初步评审结果及相关信息的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-40分</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444"/>
        </w:trPr>
        <w:tc>
          <w:tcPr>
            <w:shd w:val="clear" w:color="auto" w:fill="auto"/>
            <w:tcBorders>
              <w:top w:val="single" w:color="000000" w:sz="8" w:space="0"/>
              <w:left w:val="single" w:color="000000" w:sz="8" w:space="0"/>
              <w:bottom w:val="none" w:color="000000" w:sz="4" w:space="0"/>
              <w:right w:val="single" w:color="000000" w:sz="8" w:space="0"/>
            </w:tcBorders>
            <w:tcW w:w="113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协审效率</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未在项目确定后2个工作日内与苏州太湖新城吴中管理委员会取得联系并明确项目协审人员</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-2,-1分/天</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444"/>
        </w:trPr>
        <w:tc>
          <w:tcPr>
            <w:shd w:val="clear" w:color="auto" w:fill="auto"/>
            <w:tcBorders>
              <w:top w:val="none" w:color="000000" w:sz="4" w:space="0"/>
              <w:left w:val="single" w:color="000000" w:sz="8" w:space="0"/>
              <w:bottom w:val="none" w:color="000000" w:sz="4" w:space="0"/>
              <w:right w:val="single" w:color="000000" w:sz="8" w:space="0"/>
            </w:tcBorders>
            <w:tcW w:w="113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（30分）</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未在苏州太湖新城吴中管理委员会告知后2个工作日内交接资料的（建设单位原因除外）</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-2,-1分/天</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444"/>
        </w:trPr>
        <w:tc>
          <w:tcPr>
            <w:shd w:val="clear" w:color="auto" w:fill="auto"/>
            <w:tcBorders>
              <w:top w:val="none" w:color="000000" w:sz="4" w:space="0"/>
              <w:left w:val="single" w:color="000000" w:sz="8" w:space="0"/>
              <w:bottom w:val="none" w:color="000000" w:sz="4" w:space="0"/>
              <w:right w:val="single" w:color="000000" w:sz="8" w:space="0"/>
            </w:tcBorders>
            <w:tcW w:w="1135" w:type="dxa"/>
            <w:vAlign w:val="center"/>
            <w:textDirection w:val="lrTb"/>
            <w:noWrap w:val="false"/>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未按时完成协审工作任务（工作存在应付、糊弄等情况不算完成任务）</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-10,-1分/天</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444"/>
        </w:trPr>
        <w:tc>
          <w:tcPr>
            <w:shd w:val="clear" w:color="auto" w:fill="auto"/>
            <w:tcBorders>
              <w:top w:val="none" w:color="000000" w:sz="4" w:space="0"/>
              <w:left w:val="single" w:color="000000" w:sz="8" w:space="0"/>
              <w:bottom w:val="none" w:color="000000" w:sz="4" w:space="0"/>
              <w:right w:val="single" w:color="000000" w:sz="8" w:space="0"/>
            </w:tcBorders>
            <w:tcW w:w="1135" w:type="dxa"/>
            <w:vAlign w:val="center"/>
            <w:textDirection w:val="lrTb"/>
            <w:noWrap w:val="false"/>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协审结果仍需要修改的，未在2个工作日内重新提交协审结果</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-5,-1分/天</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444"/>
        </w:trPr>
        <w:tc>
          <w:tcPr>
            <w:shd w:val="clear" w:color="auto" w:fill="auto"/>
            <w:tcBorders>
              <w:top w:val="none" w:color="000000" w:sz="4" w:space="0"/>
              <w:left w:val="single" w:color="000000" w:sz="8" w:space="0"/>
              <w:bottom w:val="single" w:color="000000" w:sz="8" w:space="0"/>
              <w:right w:val="single" w:color="000000" w:sz="8" w:space="0"/>
            </w:tcBorders>
            <w:tcW w:w="1135" w:type="dxa"/>
            <w:vAlign w:val="center"/>
            <w:textDirection w:val="lrTb"/>
            <w:noWrap w:val="false"/>
          </w:tcPr>
          <w:p>
            <w:pPr>
              <w:jc w:val="center"/>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未在苏州太湖新城吴中管理委员会对协审报告结果通过后，3个工作日内出具正式协审报告的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-5,-1分/天</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288"/>
        </w:trPr>
        <w:tc>
          <w:tcPr>
            <w:shd w:val="clear" w:color="auto" w:fill="auto"/>
            <w:tcBorders>
              <w:top w:val="none" w:color="000000" w:sz="4" w:space="0"/>
              <w:left w:val="single" w:color="000000" w:sz="8" w:space="0"/>
              <w:bottom w:val="none" w:color="000000" w:sz="4" w:space="0"/>
              <w:right w:val="single" w:color="000000" w:sz="8" w:space="0"/>
            </w:tcBorders>
            <w:tcW w:w="113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协审提示</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收到协审提示书，按评审要求及时反馈意见与整改的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-5分</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113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（10分）</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收到协审提示书，未按评审要求及时反馈意见与整改的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-10分</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432"/>
        </w:trPr>
        <w:tc>
          <w:tcPr>
            <w:shd w:val="clear" w:color="auto" w:fill="auto"/>
            <w:tcBorders>
              <w:top w:val="none" w:color="000000" w:sz="4" w:space="0"/>
              <w:left w:val="single" w:color="000000" w:sz="8" w:space="0"/>
              <w:bottom w:val="single" w:color="000000" w:sz="8" w:space="0"/>
              <w:right w:val="single" w:color="000000" w:sz="8" w:space="0"/>
            </w:tcBorders>
            <w:tcW w:w="1135" w:type="dxa"/>
            <w:vAlign w:val="center"/>
            <w:vMerge w:val="restart"/>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考核加分（10分）</w:t>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在协审过程中，能认真负责，及时反映项目重大情况，并经苏州太湖新城吴中管理委员会确认的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1-3分</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113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协审报告初稿质量无差错并能提前完成协审工作任务的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1-5分</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3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5"/>
            <w:shd w:val="clear" w:color="auto" w:fill="auto"/>
            <w:tcBorders>
              <w:top w:val="single" w:color="000000" w:sz="8" w:space="0"/>
              <w:left w:val="none" w:color="000000" w:sz="4" w:space="0"/>
              <w:bottom w:val="single" w:color="000000" w:sz="8" w:space="0"/>
              <w:right w:val="single" w:color="000000" w:sz="8" w:space="0"/>
            </w:tcBorders>
            <w:tcW w:w="652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提出有效的合理化建议，并被采纳的</w:t>
            </w:r>
            <w:r/>
          </w:p>
        </w:tc>
        <w:tc>
          <w:tcPr>
            <w:shd w:val="clear" w:color="auto" w:fill="auto"/>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1-3分</w:t>
            </w:r>
            <w:r/>
          </w:p>
        </w:tc>
        <w:tc>
          <w:tcPr>
            <w:shd w:val="clear" w:color="auto" w:fill="auto"/>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288"/>
        </w:trPr>
        <w:tc>
          <w:tcPr>
            <w:gridSpan w:val="3"/>
            <w:shd w:val="clear" w:color="auto" w:fill="auto"/>
            <w:tcBorders>
              <w:top w:val="single" w:color="000000" w:sz="8" w:space="0"/>
              <w:left w:val="single" w:color="000000" w:sz="8" w:space="0"/>
              <w:bottom w:val="single" w:color="000000" w:sz="8" w:space="0"/>
              <w:right w:val="none" w:color="000000" w:sz="4" w:space="0"/>
            </w:tcBorders>
            <w:tcW w:w="331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评分汇总</w:t>
            </w:r>
            <w:r/>
          </w:p>
        </w:tc>
        <w:tc>
          <w:tcPr>
            <w:gridSpan w:val="5"/>
            <w:shd w:val="clear" w:color="auto" w:fill="auto"/>
            <w:tcBorders>
              <w:top w:val="single" w:color="000000" w:sz="8" w:space="0"/>
              <w:left w:val="none" w:color="000000" w:sz="4" w:space="0"/>
              <w:bottom w:val="single" w:color="000000" w:sz="8" w:space="0"/>
              <w:right w:val="single" w:color="000000" w:sz="8" w:space="0"/>
            </w:tcBorders>
            <w:tcW w:w="7033"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432"/>
        </w:trPr>
        <w:tc>
          <w:tcPr>
            <w:gridSpan w:val="4"/>
            <w:shd w:val="clear" w:color="auto" w:fill="auto"/>
            <w:tcBorders>
              <w:top w:val="single" w:color="000000" w:sz="8" w:space="0"/>
              <w:left w:val="single" w:color="000000" w:sz="8" w:space="0"/>
              <w:bottom w:val="single" w:color="000000" w:sz="8" w:space="0"/>
              <w:right w:val="none" w:color="000000" w:sz="4" w:space="0"/>
            </w:tcBorders>
            <w:tcW w:w="427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评审签名:                       年   月   日</w:t>
            </w:r>
            <w:r/>
          </w:p>
        </w:tc>
        <w:tc>
          <w:tcPr>
            <w:gridSpan w:val="4"/>
            <w:shd w:val="clear" w:color="auto" w:fill="auto"/>
            <w:tcBorders>
              <w:top w:val="single" w:color="000000" w:sz="8" w:space="0"/>
              <w:left w:val="none" w:color="000000" w:sz="4" w:space="0"/>
              <w:bottom w:val="single" w:color="000000" w:sz="8" w:space="0"/>
              <w:right w:val="single" w:color="000000" w:sz="8" w:space="0"/>
            </w:tcBorders>
            <w:tcW w:w="6073"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单位盖章:                   年   月   日</w:t>
            </w:r>
            <w:r/>
          </w:p>
        </w:tc>
      </w:tr>
    </w:tbl>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Fonts w:hint="eastAsia" w:ascii="宋体" w:hAnsi="宋体" w:cs="宋体"/>
          <w:bCs/>
          <w:color w:val="000000"/>
          <w:sz w:val="24"/>
        </w:rPr>
      </w:pPr>
      <w:r>
        <w:rPr>
          <w:rFonts w:hint="eastAsia" w:ascii="宋体" w:hAnsi="宋体" w:cs="宋体"/>
          <w:bCs/>
          <w:color w:val="000000"/>
          <w:sz w:val="24"/>
        </w:rPr>
      </w:r>
      <w:r/>
    </w:p>
    <w:p>
      <w:pPr>
        <w:spacing w:after="0" w:line="360" w:lineRule="auto"/>
        <w:rPr>
          <w:rStyle w:val="974"/>
          <w:rFonts w:hint="eastAsia" w:ascii="宋体" w:hAnsi="宋体" w:cs="宋体"/>
          <w:b w:val="0"/>
          <w:bCs/>
          <w:color w:val="000000"/>
          <w:sz w:val="24"/>
        </w:rPr>
        <w:outlineLvl w:val="0"/>
      </w:pPr>
      <w:r>
        <w:rPr>
          <w:rFonts w:hint="eastAsia" w:ascii="宋体" w:hAnsi="宋体" w:cs="宋体"/>
          <w:b w:val="0"/>
          <w:bCs/>
          <w:color w:val="000000"/>
          <w:sz w:val="24"/>
        </w:rPr>
      </w:r>
      <w:r/>
    </w:p>
    <w:p>
      <w:pPr>
        <w:spacing w:after="0" w:line="360" w:lineRule="auto"/>
        <w:rPr>
          <w:rStyle w:val="974"/>
          <w:rFonts w:hint="eastAsia" w:ascii="宋体" w:hAnsi="宋体" w:cs="宋体"/>
          <w:b w:val="0"/>
          <w:bCs/>
          <w:color w:val="000000"/>
          <w:sz w:val="24"/>
        </w:rPr>
        <w:outlineLvl w:val="0"/>
      </w:pPr>
      <w:r>
        <w:rPr>
          <w:rFonts w:hint="eastAsia" w:ascii="宋体" w:hAnsi="宋体" w:cs="宋体"/>
          <w:b w:val="0"/>
          <w:bCs/>
          <w:color w:val="000000"/>
          <w:sz w:val="24"/>
        </w:rPr>
      </w:r>
      <w:r/>
    </w:p>
    <w:p>
      <w:pPr>
        <w:spacing w:after="0" w:line="360" w:lineRule="auto"/>
        <w:rPr>
          <w:rStyle w:val="974"/>
          <w:rFonts w:hint="eastAsia" w:ascii="宋体" w:hAnsi="宋体" w:cs="宋体"/>
          <w:b w:val="0"/>
          <w:bCs/>
          <w:color w:val="000000"/>
          <w:sz w:val="24"/>
        </w:rPr>
        <w:outlineLvl w:val="0"/>
      </w:pPr>
      <w:r>
        <w:rPr>
          <w:rFonts w:hint="eastAsia" w:ascii="宋体" w:hAnsi="宋体" w:cs="宋体"/>
          <w:b w:val="0"/>
          <w:bCs/>
          <w:color w:val="000000"/>
          <w:sz w:val="24"/>
        </w:rPr>
      </w:r>
      <w:r/>
    </w:p>
    <w:p>
      <w:pPr>
        <w:spacing w:after="0" w:line="360" w:lineRule="auto"/>
        <w:rPr>
          <w:rStyle w:val="974"/>
          <w:rFonts w:hint="eastAsia" w:ascii="宋体" w:hAnsi="宋体" w:cs="宋体"/>
          <w:b w:val="0"/>
          <w:bCs/>
          <w:color w:val="000000"/>
          <w:sz w:val="24"/>
        </w:rPr>
        <w:outlineLvl w:val="0"/>
      </w:pPr>
      <w:r>
        <w:rPr>
          <w:rFonts w:hint="eastAsia" w:ascii="宋体" w:hAnsi="宋体" w:cs="宋体"/>
          <w:b w:val="0"/>
          <w:bCs/>
          <w:color w:val="000000"/>
          <w:sz w:val="24"/>
        </w:rPr>
      </w:r>
      <w:r/>
    </w:p>
    <w:p>
      <w:pPr>
        <w:spacing w:after="0" w:line="360" w:lineRule="auto"/>
        <w:rPr>
          <w:rStyle w:val="974"/>
          <w:rFonts w:hint="eastAsia" w:ascii="宋体" w:hAnsi="宋体" w:cs="宋体"/>
          <w:b w:val="0"/>
          <w:bCs/>
          <w:color w:val="000000"/>
          <w:sz w:val="24"/>
        </w:rPr>
        <w:outlineLvl w:val="0"/>
      </w:pPr>
      <w:r>
        <w:rPr>
          <w:rFonts w:hint="eastAsia" w:ascii="宋体" w:hAnsi="宋体" w:cs="宋体"/>
          <w:b w:val="0"/>
          <w:bCs/>
          <w:color w:val="000000"/>
          <w:sz w:val="24"/>
        </w:rPr>
      </w:r>
      <w:r/>
    </w:p>
    <w:p>
      <w:pPr>
        <w:spacing w:after="0" w:line="360" w:lineRule="auto"/>
        <w:rPr>
          <w:rStyle w:val="974"/>
          <w:rFonts w:hint="eastAsia" w:ascii="宋体" w:hAnsi="宋体" w:cs="宋体"/>
          <w:b w:val="0"/>
          <w:bCs/>
          <w:color w:val="000000"/>
          <w:sz w:val="24"/>
        </w:rPr>
        <w:outlineLvl w:val="0"/>
      </w:pPr>
      <w:r>
        <w:rPr>
          <w:rFonts w:hint="eastAsia" w:ascii="宋体" w:hAnsi="宋体" w:cs="宋体"/>
          <w:b w:val="0"/>
          <w:bCs/>
          <w:color w:val="000000"/>
          <w:sz w:val="24"/>
        </w:rPr>
      </w:r>
      <w:r/>
    </w:p>
    <w:p>
      <w:pPr>
        <w:spacing w:after="0" w:line="360" w:lineRule="auto"/>
        <w:rPr>
          <w:rStyle w:val="974"/>
          <w:rFonts w:hint="eastAsia" w:ascii="宋体" w:hAnsi="宋体" w:cs="宋体"/>
          <w:b w:val="0"/>
          <w:bCs/>
          <w:color w:val="000000"/>
          <w:sz w:val="24"/>
        </w:rPr>
        <w:outlineLvl w:val="0"/>
      </w:pPr>
      <w:r>
        <w:rPr>
          <w:rFonts w:hint="eastAsia" w:ascii="宋体" w:hAnsi="宋体" w:cs="宋体"/>
          <w:b w:val="0"/>
          <w:bCs/>
          <w:color w:val="000000"/>
          <w:sz w:val="24"/>
        </w:rPr>
      </w:r>
      <w:r/>
    </w:p>
    <w:p>
      <w:pPr>
        <w:rPr>
          <w:color w:val="000000"/>
        </w:rPr>
      </w:pPr>
      <w:r>
        <w:rPr>
          <w:color w:val="000000"/>
        </w:rPr>
      </w:r>
      <w:r/>
    </w:p>
    <w:p>
      <w:pPr>
        <w:jc w:val="center"/>
        <w:spacing w:after="0" w:line="360" w:lineRule="auto"/>
        <w:rPr>
          <w:rStyle w:val="974"/>
          <w:rFonts w:hint="eastAsia" w:ascii="宋体" w:hAnsi="宋体" w:cs="宋体"/>
          <w:b w:val="0"/>
          <w:bCs/>
          <w:color w:val="000000"/>
          <w:sz w:val="24"/>
        </w:rPr>
      </w:pPr>
      <w:r>
        <w:rPr>
          <w:rFonts w:hint="eastAsia" w:ascii="宋体" w:hAnsi="宋体" w:cs="宋体"/>
          <w:b w:val="0"/>
          <w:bCs/>
          <w:color w:val="000000"/>
          <w:sz w:val="24"/>
        </w:rPr>
      </w:r>
      <w:r/>
    </w:p>
    <w:p>
      <w:pPr>
        <w:jc w:val="center"/>
        <w:spacing w:after="0" w:line="360" w:lineRule="auto"/>
        <w:rPr>
          <w:rStyle w:val="974"/>
          <w:rFonts w:hint="eastAsia" w:ascii="宋体" w:hAnsi="宋体" w:cs="宋体"/>
          <w:b w:val="0"/>
          <w:bCs/>
          <w:color w:val="000000"/>
          <w:sz w:val="24"/>
        </w:rPr>
      </w:pPr>
      <w:r>
        <w:rPr>
          <w:rFonts w:hint="eastAsia" w:ascii="宋体" w:hAnsi="宋体" w:cs="宋体"/>
          <w:b w:val="0"/>
          <w:bCs/>
          <w:color w:val="000000"/>
          <w:sz w:val="24"/>
        </w:rPr>
      </w:r>
      <w:r/>
    </w:p>
    <w:p>
      <w:pPr>
        <w:jc w:val="center"/>
        <w:spacing w:after="0" w:line="360" w:lineRule="auto"/>
        <w:rPr>
          <w:rStyle w:val="974"/>
          <w:rFonts w:hint="eastAsia" w:ascii="宋体" w:hAnsi="宋体" w:cs="宋体"/>
          <w:b w:val="0"/>
          <w:bCs/>
          <w:color w:val="000000"/>
          <w:sz w:val="24"/>
        </w:rPr>
      </w:pPr>
      <w:r>
        <w:rPr>
          <w:rFonts w:hint="eastAsia" w:ascii="宋体" w:hAnsi="宋体" w:cs="宋体"/>
          <w:b w:val="0"/>
          <w:bCs/>
          <w:color w:val="000000"/>
          <w:sz w:val="24"/>
        </w:rPr>
      </w:r>
      <w:r/>
    </w:p>
    <w:p>
      <w:pPr>
        <w:jc w:val="center"/>
        <w:spacing w:after="0" w:line="360" w:lineRule="auto"/>
        <w:rPr>
          <w:rStyle w:val="974"/>
          <w:rFonts w:hint="eastAsia" w:ascii="宋体" w:hAnsi="宋体" w:cs="宋体"/>
          <w:b w:val="0"/>
          <w:bCs/>
          <w:color w:val="000000"/>
          <w:sz w:val="24"/>
        </w:rPr>
      </w:pPr>
      <w:r>
        <w:rPr>
          <w:rFonts w:hint="eastAsia" w:ascii="宋体" w:hAnsi="宋体" w:cs="宋体"/>
          <w:b w:val="0"/>
          <w:bCs/>
          <w:color w:val="000000"/>
          <w:sz w:val="24"/>
        </w:rPr>
      </w:r>
      <w:r/>
    </w:p>
    <w:p>
      <w:pPr>
        <w:jc w:val="center"/>
        <w:spacing w:after="0" w:line="360" w:lineRule="auto"/>
        <w:rPr>
          <w:rStyle w:val="974"/>
          <w:rFonts w:hint="eastAsia" w:ascii="宋体" w:hAnsi="宋体" w:cs="宋体"/>
          <w:b w:val="0"/>
          <w:bCs/>
          <w:color w:val="000000"/>
          <w:sz w:val="24"/>
        </w:rPr>
      </w:pPr>
      <w:r>
        <w:rPr>
          <w:rFonts w:hint="eastAsia" w:ascii="宋体" w:hAnsi="宋体" w:cs="宋体"/>
          <w:b w:val="0"/>
          <w:bCs/>
          <w:color w:val="000000"/>
          <w:sz w:val="24"/>
        </w:rPr>
      </w:r>
      <w:r/>
    </w:p>
    <w:p>
      <w:pPr>
        <w:jc w:val="center"/>
        <w:spacing w:after="0" w:line="360" w:lineRule="auto"/>
        <w:rPr>
          <w:rStyle w:val="974"/>
          <w:rFonts w:hint="eastAsia" w:ascii="宋体" w:hAnsi="宋体" w:cs="宋体"/>
          <w:b w:val="0"/>
          <w:bCs/>
          <w:color w:val="000000"/>
          <w:sz w:val="24"/>
        </w:rPr>
      </w:pPr>
      <w:r>
        <w:rPr>
          <w:rFonts w:hint="eastAsia" w:ascii="宋体" w:hAnsi="宋体" w:cs="宋体"/>
          <w:b w:val="0"/>
          <w:bCs/>
          <w:color w:val="000000"/>
          <w:sz w:val="24"/>
        </w:rPr>
      </w:r>
      <w:r/>
    </w:p>
    <w:p>
      <w:pPr>
        <w:jc w:val="center"/>
        <w:spacing w:after="0" w:line="360" w:lineRule="auto"/>
        <w:rPr>
          <w:rStyle w:val="974"/>
          <w:rFonts w:hint="eastAsia" w:ascii="宋体" w:hAnsi="宋体" w:cs="宋体"/>
          <w:b w:val="0"/>
          <w:bCs/>
          <w:color w:val="000000"/>
          <w:sz w:val="24"/>
        </w:rPr>
      </w:pPr>
      <w:r>
        <w:rPr>
          <w:rFonts w:hint="eastAsia" w:ascii="宋体" w:hAnsi="宋体" w:cs="宋体"/>
          <w:b w:val="0"/>
          <w:bCs/>
          <w:color w:val="000000"/>
          <w:sz w:val="24"/>
        </w:rPr>
      </w:r>
      <w:r/>
    </w:p>
    <w:p>
      <w:pPr>
        <w:jc w:val="center"/>
        <w:spacing w:after="0" w:line="360" w:lineRule="auto"/>
        <w:rPr>
          <w:rStyle w:val="974"/>
          <w:rFonts w:hint="eastAsia" w:ascii="宋体" w:hAnsi="宋体" w:cs="宋体"/>
          <w:b w:val="0"/>
          <w:bCs/>
          <w:color w:val="000000"/>
          <w:sz w:val="24"/>
        </w:rPr>
      </w:pPr>
      <w:r>
        <w:rPr>
          <w:rFonts w:hint="eastAsia" w:ascii="宋体" w:hAnsi="宋体" w:cs="宋体"/>
          <w:b w:val="0"/>
          <w:bCs/>
          <w:color w:val="000000"/>
          <w:sz w:val="24"/>
        </w:rPr>
      </w:r>
      <w:r/>
    </w:p>
    <w:p>
      <w:pPr>
        <w:jc w:val="center"/>
        <w:spacing w:after="0" w:line="360" w:lineRule="auto"/>
        <w:rPr>
          <w:rStyle w:val="974"/>
          <w:rFonts w:hint="eastAsia" w:ascii="宋体" w:hAnsi="宋体" w:cs="宋体"/>
          <w:b w:val="0"/>
          <w:bCs/>
          <w:color w:val="000000"/>
          <w:sz w:val="24"/>
        </w:rPr>
      </w:pPr>
      <w:r>
        <w:rPr>
          <w:rFonts w:hint="eastAsia" w:ascii="宋体" w:hAnsi="宋体" w:cs="宋体"/>
          <w:b w:val="0"/>
          <w:bCs/>
          <w:color w:val="000000"/>
          <w:sz w:val="24"/>
        </w:rPr>
      </w:r>
      <w:r/>
    </w:p>
    <w:p>
      <w:pPr>
        <w:jc w:val="center"/>
        <w:spacing w:after="0" w:line="360" w:lineRule="auto"/>
        <w:rPr>
          <w:rStyle w:val="974"/>
          <w:rFonts w:hint="eastAsia" w:ascii="宋体" w:hAnsi="宋体" w:cs="宋体"/>
          <w:b w:val="0"/>
          <w:bCs/>
          <w:color w:val="000000"/>
          <w:sz w:val="24"/>
        </w:rPr>
      </w:pPr>
      <w:r>
        <w:rPr>
          <w:rFonts w:hint="eastAsia" w:ascii="宋体" w:hAnsi="宋体" w:cs="宋体"/>
          <w:b w:val="0"/>
          <w:bCs/>
          <w:color w:val="000000"/>
          <w:sz w:val="24"/>
        </w:rPr>
      </w:r>
      <w:r/>
    </w:p>
    <w:p>
      <w:pPr>
        <w:jc w:val="center"/>
        <w:spacing w:after="0" w:line="360" w:lineRule="auto"/>
        <w:rPr>
          <w:rStyle w:val="974"/>
          <w:rFonts w:hint="eastAsia" w:ascii="宋体" w:hAnsi="宋体" w:cs="宋体"/>
          <w:b w:val="0"/>
          <w:bCs/>
          <w:color w:val="000000"/>
          <w:sz w:val="24"/>
        </w:rPr>
      </w:pPr>
      <w:r>
        <w:rPr>
          <w:rStyle w:val="974"/>
          <w:rFonts w:hint="eastAsia" w:ascii="宋体" w:hAnsi="宋体" w:cs="宋体"/>
          <w:b w:val="0"/>
          <w:bCs/>
          <w:color w:val="000000"/>
          <w:sz w:val="24"/>
        </w:rPr>
        <w:t xml:space="preserve">第四章 招标书</w:t>
      </w:r>
      <w:r/>
    </w:p>
    <w:p>
      <w:pPr>
        <w:ind w:firstLine="480"/>
        <w:spacing w:after="0" w:line="360" w:lineRule="auto"/>
        <w:tabs>
          <w:tab w:val="left" w:pos="3600" w:leader="none"/>
        </w:tabs>
        <w:rPr>
          <w:rFonts w:hint="eastAsia" w:ascii="宋体" w:hAnsi="宋体"/>
          <w:bCs/>
          <w:color w:val="000000"/>
          <w:sz w:val="24"/>
          <w:lang w:val="zh-CN"/>
        </w:rPr>
      </w:pPr>
      <w:r>
        <w:rPr>
          <w:rFonts w:ascii="宋体" w:hAnsi="宋体"/>
          <w:bCs/>
          <w:color w:val="000000"/>
          <w:sz w:val="24"/>
          <w:lang w:val="zh-CN"/>
        </w:rPr>
        <w:t xml:space="preserve">受</w:t>
      </w:r>
      <w:r>
        <w:rPr>
          <w:rFonts w:hint="eastAsia" w:ascii="宋体" w:hAnsi="宋体"/>
          <w:bCs/>
          <w:color w:val="000000"/>
          <w:sz w:val="24"/>
          <w:lang w:val="zh-CN"/>
        </w:rPr>
        <w:t xml:space="preserve">苏州太湖新城吴中管理委员会</w:t>
      </w:r>
      <w:r>
        <w:rPr>
          <w:rFonts w:ascii="宋体" w:hAnsi="宋体"/>
          <w:bCs/>
          <w:color w:val="000000"/>
          <w:sz w:val="24"/>
          <w:lang w:val="zh-CN"/>
        </w:rPr>
        <w:t xml:space="preserve">的委托，</w:t>
      </w:r>
      <w:r>
        <w:rPr>
          <w:rFonts w:hint="eastAsia" w:ascii="宋体" w:hAnsi="宋体"/>
          <w:bCs/>
          <w:color w:val="000000"/>
          <w:sz w:val="24"/>
          <w:lang w:val="zh-CN"/>
        </w:rPr>
        <w:t xml:space="preserve">苏州子梦建设工程造价咨询所</w:t>
      </w:r>
      <w:r>
        <w:rPr>
          <w:rFonts w:ascii="宋体" w:hAnsi="宋体"/>
          <w:bCs/>
          <w:color w:val="000000"/>
          <w:sz w:val="24"/>
          <w:lang w:val="zh-CN"/>
        </w:rPr>
        <w:t xml:space="preserve">对</w:t>
      </w:r>
      <w:r>
        <w:rPr>
          <w:rFonts w:hint="eastAsia" w:ascii="宋体" w:hAnsi="宋体"/>
          <w:bCs/>
          <w:color w:val="000000"/>
          <w:sz w:val="24"/>
        </w:rPr>
        <w:t xml:space="preserve">其</w:t>
      </w:r>
      <w:r>
        <w:rPr>
          <w:rFonts w:ascii="宋体" w:hAnsi="宋体"/>
          <w:bCs/>
          <w:color w:val="000000"/>
          <w:sz w:val="24"/>
          <w:lang w:val="zh-CN"/>
        </w:rPr>
        <w:t xml:space="preserve">所需采购的</w:t>
      </w:r>
      <w:r>
        <w:rPr>
          <w:rFonts w:hint="eastAsia" w:ascii="宋体" w:hAnsi="宋体"/>
          <w:bCs/>
          <w:color w:val="000000"/>
          <w:sz w:val="24"/>
          <w:lang w:eastAsia="zh-CN"/>
        </w:rPr>
        <w:t xml:space="preserve">苏州吴中太湖新城财政评(协)审2026年政府采购</w:t>
      </w:r>
      <w:r>
        <w:rPr>
          <w:rFonts w:ascii="宋体" w:hAnsi="宋体"/>
          <w:bCs/>
          <w:color w:val="000000"/>
          <w:sz w:val="24"/>
          <w:lang w:val="zh-CN"/>
        </w:rPr>
        <w:t xml:space="preserve">在国内组织公开招标。欢迎符合</w:t>
      </w:r>
      <w:r>
        <w:rPr>
          <w:rFonts w:hint="eastAsia" w:ascii="宋体" w:hAnsi="宋体"/>
          <w:bCs/>
          <w:color w:val="000000"/>
          <w:sz w:val="24"/>
          <w:lang w:val="zh-CN"/>
        </w:rPr>
        <w:t xml:space="preserve">招标公告中</w:t>
      </w:r>
      <w:r>
        <w:rPr>
          <w:rFonts w:ascii="宋体" w:hAnsi="宋体"/>
          <w:bCs/>
          <w:color w:val="000000"/>
          <w:sz w:val="24"/>
          <w:lang w:val="zh-CN"/>
        </w:rPr>
        <w:t xml:space="preserve">投标资格条件的各供应商前来参加投标。</w:t>
      </w:r>
      <w:r/>
    </w:p>
    <w:p>
      <w:pPr>
        <w:ind w:firstLine="482"/>
        <w:jc w:val="left"/>
        <w:spacing w:after="0" w:line="360" w:lineRule="auto"/>
        <w:rPr>
          <w:rFonts w:hint="eastAsia" w:ascii="宋体" w:hAnsi="宋体"/>
          <w:bCs/>
          <w:color w:val="000000"/>
          <w:sz w:val="24"/>
          <w:lang w:val="zh-CN"/>
        </w:rPr>
      </w:pPr>
      <w:r>
        <w:rPr>
          <w:rFonts w:hint="eastAsia" w:ascii="宋体" w:hAnsi="宋体"/>
          <w:b/>
          <w:color w:val="000000"/>
          <w:sz w:val="24"/>
          <w:lang w:val="zh-CN"/>
        </w:rPr>
        <w:t xml:space="preserve">一</w:t>
      </w:r>
      <w:r>
        <w:rPr>
          <w:rFonts w:ascii="宋体" w:hAnsi="宋体"/>
          <w:b/>
          <w:color w:val="000000"/>
          <w:sz w:val="24"/>
          <w:lang w:val="zh-CN"/>
        </w:rPr>
        <w:t xml:space="preserve">、</w:t>
      </w:r>
      <w:r>
        <w:rPr>
          <w:rFonts w:hint="eastAsia" w:ascii="宋体" w:hAnsi="宋体"/>
          <w:b/>
          <w:color w:val="000000"/>
          <w:sz w:val="24"/>
          <w:lang w:val="zh-CN"/>
        </w:rPr>
        <w:t xml:space="preserve">项目</w:t>
      </w:r>
      <w:r>
        <w:rPr>
          <w:rFonts w:ascii="宋体" w:hAnsi="宋体"/>
          <w:b/>
          <w:color w:val="000000"/>
          <w:sz w:val="24"/>
          <w:lang w:val="zh-CN"/>
        </w:rPr>
        <w:t xml:space="preserve">编号：</w:t>
      </w:r>
      <w:r>
        <w:rPr>
          <w:rFonts w:hint="eastAsia" w:ascii="宋体" w:hAnsi="宋体"/>
          <w:bCs/>
          <w:color w:val="000000"/>
          <w:sz w:val="24"/>
          <w:highlight w:val="none"/>
          <w:lang w:val="zh-CN"/>
        </w:rPr>
        <w:t xml:space="preserve">JSZC-320506-ZMZX-G2026-0001</w:t>
      </w:r>
      <w:r>
        <w:rPr>
          <w:rFonts w:ascii="宋体" w:hAnsi="宋体"/>
          <w:bCs/>
          <w:color w:val="000000"/>
          <w:sz w:val="24"/>
          <w:highlight w:val="none"/>
          <w:lang w:val="zh-CN"/>
        </w:rPr>
        <w:t xml:space="preserve">号</w:t>
      </w:r>
      <w:r/>
    </w:p>
    <w:p>
      <w:pPr>
        <w:ind w:firstLine="482"/>
        <w:spacing w:after="0" w:line="360" w:lineRule="auto"/>
        <w:tabs>
          <w:tab w:val="left" w:pos="3600" w:leader="none"/>
        </w:tabs>
        <w:rPr>
          <w:rFonts w:hint="eastAsia" w:ascii="宋体" w:hAnsi="宋体"/>
          <w:bCs/>
          <w:color w:val="000000"/>
          <w:sz w:val="24"/>
        </w:rPr>
      </w:pPr>
      <w:r>
        <w:rPr>
          <w:rFonts w:hint="eastAsia" w:ascii="宋体" w:hAnsi="宋体"/>
          <w:b/>
          <w:color w:val="000000"/>
          <w:sz w:val="24"/>
          <w:lang w:val="zh-CN"/>
        </w:rPr>
        <w:t xml:space="preserve">二</w:t>
      </w:r>
      <w:r>
        <w:rPr>
          <w:rFonts w:ascii="宋体" w:hAnsi="宋体"/>
          <w:b/>
          <w:color w:val="000000"/>
          <w:sz w:val="24"/>
          <w:lang w:val="zh-CN"/>
        </w:rPr>
        <w:t xml:space="preserve">、</w:t>
      </w:r>
      <w:r>
        <w:rPr>
          <w:rFonts w:hint="eastAsia" w:ascii="宋体" w:hAnsi="宋体"/>
          <w:b/>
          <w:color w:val="000000"/>
          <w:sz w:val="24"/>
        </w:rPr>
        <w:t xml:space="preserve">项目名称：</w:t>
      </w:r>
      <w:r>
        <w:rPr>
          <w:rFonts w:hint="eastAsia" w:ascii="宋体" w:hAnsi="宋体"/>
          <w:bCs/>
          <w:color w:val="000000"/>
          <w:sz w:val="24"/>
          <w:lang w:eastAsia="zh-CN"/>
        </w:rPr>
        <w:t xml:space="preserve">苏州吴中太湖新城财政评(协)审2026年政府采购</w:t>
      </w:r>
      <w:r>
        <w:rPr>
          <w:rFonts w:hint="eastAsia" w:ascii="宋体" w:hAnsi="宋体"/>
          <w:bCs/>
          <w:color w:val="000000"/>
          <w:sz w:val="24"/>
        </w:rPr>
        <w:t xml:space="preserve">  </w:t>
      </w:r>
      <w:r/>
    </w:p>
    <w:p>
      <w:pPr>
        <w:ind w:firstLine="482"/>
        <w:spacing w:after="0" w:line="360" w:lineRule="auto"/>
        <w:rPr>
          <w:rFonts w:hint="eastAsia" w:ascii="宋体" w:hAnsi="宋体"/>
          <w:b/>
          <w:color w:val="000000"/>
          <w:sz w:val="24"/>
        </w:rPr>
      </w:pPr>
      <w:r>
        <w:rPr>
          <w:rFonts w:hint="eastAsia" w:ascii="宋体" w:hAnsi="宋体"/>
          <w:b/>
          <w:color w:val="000000"/>
          <w:sz w:val="24"/>
        </w:rPr>
        <w:t xml:space="preserve">三、采购需求：</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highlight w:val="none"/>
        </w:rPr>
        <w:t xml:space="preserve">根据</w:t>
      </w:r>
      <w:r>
        <w:rPr>
          <w:rFonts w:hint="eastAsia" w:ascii="宋体" w:hAnsi="宋体"/>
          <w:bCs/>
          <w:color w:val="000000"/>
          <w:sz w:val="24"/>
          <w:highlight w:val="none"/>
          <w:lang w:val="en-US" w:eastAsia="zh-CN"/>
        </w:rPr>
        <w:t xml:space="preserve">苏州太湖新城吴中管理委员会</w:t>
      </w:r>
      <w:r>
        <w:rPr>
          <w:rFonts w:hint="eastAsia" w:ascii="宋体" w:hAnsi="宋体"/>
          <w:bCs/>
          <w:color w:val="000000"/>
          <w:sz w:val="24"/>
          <w:highlight w:val="none"/>
        </w:rPr>
        <w:t xml:space="preserve">关于印发《</w:t>
      </w:r>
      <w:r>
        <w:rPr>
          <w:rFonts w:hint="eastAsia" w:ascii="宋体" w:hAnsi="宋体"/>
          <w:bCs/>
          <w:color w:val="000000"/>
          <w:sz w:val="24"/>
          <w:highlight w:val="none"/>
          <w:lang w:val="en-US" w:eastAsia="zh-CN"/>
        </w:rPr>
        <w:t xml:space="preserve">苏州太湖新城吴中管理委员会政府投资管理办法（试行）</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的通知</w:t>
      </w:r>
      <w:r>
        <w:rPr>
          <w:rFonts w:hint="eastAsia" w:ascii="宋体" w:hAnsi="宋体"/>
          <w:bCs/>
          <w:color w:val="000000"/>
          <w:sz w:val="24"/>
          <w:highlight w:val="none"/>
        </w:rPr>
        <w:t xml:space="preserve">（吴</w:t>
      </w:r>
      <w:r>
        <w:rPr>
          <w:rFonts w:hint="eastAsia" w:ascii="宋体" w:hAnsi="宋体"/>
          <w:bCs/>
          <w:color w:val="000000"/>
          <w:sz w:val="24"/>
          <w:highlight w:val="none"/>
          <w:lang w:val="en-US" w:eastAsia="zh-CN"/>
        </w:rPr>
        <w:t xml:space="preserve">太管委</w:t>
      </w:r>
      <w:r>
        <w:rPr>
          <w:rFonts w:hint="eastAsia" w:ascii="宋体" w:hAnsi="宋体"/>
          <w:bCs/>
          <w:color w:val="000000"/>
          <w:sz w:val="24"/>
          <w:highlight w:val="none"/>
        </w:rPr>
        <w:t xml:space="preserve">〔20</w:t>
      </w:r>
      <w:r>
        <w:rPr>
          <w:rFonts w:hint="eastAsia" w:ascii="宋体" w:hAnsi="宋体"/>
          <w:bCs/>
          <w:color w:val="000000"/>
          <w:sz w:val="24"/>
          <w:highlight w:val="none"/>
          <w:lang w:val="en-US" w:eastAsia="zh-CN"/>
        </w:rPr>
        <w:t xml:space="preserve">25</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3号）文件规定，</w:t>
      </w:r>
      <w:r>
        <w:rPr>
          <w:rFonts w:hint="eastAsia" w:ascii="宋体" w:hAnsi="宋体"/>
          <w:bCs/>
          <w:color w:val="000000"/>
          <w:sz w:val="24"/>
        </w:rPr>
        <w:t xml:space="preserve">苏州太湖新城吴中管理委员会按照财政管理体制和预算级次组织实施财政投资评审工作，并根据需要委托有资质的社会中介协审单位进行协审。为加强评审工作履职所需的辅助性服务，苏州太湖新城吴中管理委员会通过政府购买服务要求采购工程造价咨询服务，服务内容包括项目概算审核、工程预算（标底）编制及审核咨询服务采购项目。</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注：</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苏州太湖新城吴中管理委员会评审的项目编制单位和审核单位原则上不能为同一家单位，协审单位若为苏州太湖新城吴中管理委员会委托审核项目的编制单位时，应主动、及时向苏州太湖新城吴中管理委员会提出回避审核该项目的申请，放弃该项目的委托，苏州太湖新城吴中管理委员会应另行安排该项目协审单位。</w:t>
      </w:r>
      <w:r>
        <w:rPr>
          <w:rFonts w:hint="eastAsia" w:ascii="宋体" w:hAnsi="宋体"/>
          <w:bCs/>
          <w:color w:val="000000"/>
          <w:sz w:val="24"/>
          <w:lang w:eastAsia="zh-CN"/>
        </w:rPr>
        <w:t xml:space="preserve">中标单位</w:t>
      </w:r>
      <w:r>
        <w:rPr>
          <w:rFonts w:hint="eastAsia" w:ascii="宋体" w:hAnsi="宋体"/>
          <w:bCs/>
          <w:color w:val="000000"/>
          <w:sz w:val="24"/>
        </w:rPr>
        <w:t xml:space="preserve">不得就成交标段项目接受其他单位的编标委托。</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（2）因政策原因取消或临时调整项目，苏州太湖新城吴中管理委员会有权在协审委托合同中调整，协审单位应按要求完成协审服务工作。</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2、服务期限：合同签订之日起至整个标段所有协审项目完成。</w:t>
      </w:r>
      <w:r/>
    </w:p>
    <w:p>
      <w:pPr>
        <w:ind w:firstLine="480"/>
        <w:spacing w:after="0" w:line="360" w:lineRule="auto"/>
        <w:rPr>
          <w:rFonts w:hint="eastAsia" w:ascii="宋体" w:hAnsi="宋体" w:eastAsia="宋体"/>
          <w:bCs/>
          <w:color w:val="000000"/>
          <w:sz w:val="24"/>
          <w:lang w:val="en-US" w:eastAsia="zh-CN"/>
        </w:rPr>
      </w:pPr>
      <w:r>
        <w:rPr>
          <w:rFonts w:hint="eastAsia" w:ascii="宋体" w:hAnsi="宋体"/>
          <w:sz w:val="24"/>
          <w:lang w:val="en-US" w:eastAsia="zh-CN"/>
        </w:rPr>
        <w:t xml:space="preserve">3、</w:t>
      </w:r>
      <w:r>
        <w:rPr>
          <w:rFonts w:hint="eastAsia" w:ascii="宋体" w:hAnsi="宋体"/>
          <w:sz w:val="24"/>
        </w:rPr>
        <w:t xml:space="preserve">拟成交服务供应商：</w:t>
      </w:r>
      <w:r>
        <w:rPr>
          <w:rFonts w:hint="eastAsia" w:ascii="宋体" w:hAnsi="宋体"/>
          <w:sz w:val="24"/>
          <w:lang w:val="en-US" w:eastAsia="zh-CN"/>
        </w:rPr>
        <w:t xml:space="preserve">12</w:t>
      </w:r>
      <w:r>
        <w:rPr>
          <w:rFonts w:hint="eastAsia" w:ascii="宋体" w:hAnsi="宋体"/>
          <w:sz w:val="24"/>
        </w:rPr>
        <w:t xml:space="preserve">家</w:t>
      </w:r>
      <w:r>
        <w:rPr>
          <w:rFonts w:hint="eastAsia" w:ascii="宋体" w:hAnsi="宋体"/>
          <w:bCs/>
          <w:color w:val="000000"/>
          <w:sz w:val="24"/>
        </w:rPr>
        <w:t xml:space="preserve">。</w:t>
      </w:r>
      <w:r/>
    </w:p>
    <w:p>
      <w:pPr>
        <w:ind w:firstLine="480"/>
        <w:spacing w:after="0" w:line="360" w:lineRule="auto"/>
        <w:rPr>
          <w:rFonts w:hint="eastAsia" w:ascii="宋体" w:hAnsi="宋体" w:cs="宋体"/>
          <w:color w:val="000000"/>
          <w:sz w:val="24"/>
        </w:rPr>
      </w:pPr>
      <w:r>
        <w:rPr>
          <w:rFonts w:hint="eastAsia" w:ascii="宋体" w:hAnsi="宋体"/>
          <w:bCs/>
          <w:color w:val="000000"/>
          <w:sz w:val="24"/>
          <w:lang w:val="en-US" w:eastAsia="zh-CN"/>
        </w:rPr>
        <w:t xml:space="preserve">4</w:t>
      </w:r>
      <w:r>
        <w:rPr>
          <w:rFonts w:hint="eastAsia" w:ascii="宋体" w:hAnsi="宋体"/>
          <w:bCs/>
          <w:color w:val="000000"/>
          <w:sz w:val="24"/>
        </w:rPr>
        <w:t xml:space="preserve">、项目考核方式：按</w:t>
      </w:r>
      <w:r>
        <w:rPr>
          <w:rFonts w:hint="eastAsia" w:ascii="宋体" w:hAnsi="宋体"/>
          <w:bCs/>
          <w:color w:val="000000"/>
          <w:sz w:val="24"/>
          <w:lang w:eastAsia="zh-CN"/>
        </w:rPr>
        <w:t xml:space="preserve">招标人</w:t>
      </w:r>
      <w:r>
        <w:rPr>
          <w:rFonts w:hint="eastAsia" w:ascii="宋体" w:hAnsi="宋体"/>
          <w:bCs/>
          <w:color w:val="000000"/>
          <w:sz w:val="24"/>
        </w:rPr>
        <w:t xml:space="preserve">要求考核，具体详见招标文件及合同附件文件要求考核。</w:t>
      </w:r>
      <w:r/>
    </w:p>
    <w:p>
      <w:pPr>
        <w:ind w:firstLine="482"/>
        <w:spacing w:line="360" w:lineRule="auto"/>
        <w:rPr>
          <w:rFonts w:hint="eastAsia" w:ascii="宋体" w:hAnsi="宋体" w:cs="宋体"/>
          <w:b/>
          <w:bCs/>
          <w:sz w:val="24"/>
        </w:rPr>
      </w:pPr>
      <w:r>
        <w:rPr>
          <w:rFonts w:hint="eastAsia" w:ascii="宋体" w:hAnsi="宋体" w:cs="宋体"/>
          <w:b/>
          <w:bCs/>
          <w:sz w:val="24"/>
        </w:rPr>
        <w:t xml:space="preserve">四、确定造价协审单位后的其他要求：</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1．造价协审工作的开展</w:t>
      </w:r>
      <w:r/>
    </w:p>
    <w:p>
      <w:pPr>
        <w:ind w:firstLine="480"/>
        <w:spacing w:after="0" w:line="360" w:lineRule="auto"/>
        <w:rPr>
          <w:rFonts w:hint="eastAsia" w:ascii="宋体" w:hAnsi="宋体"/>
          <w:bCs/>
          <w:color w:val="000000"/>
          <w:sz w:val="24"/>
          <w:highlight w:val="green"/>
        </w:rPr>
      </w:pPr>
      <w:r>
        <w:rPr>
          <w:rFonts w:hint="eastAsia" w:ascii="宋体" w:hAnsi="宋体"/>
          <w:bCs/>
          <w:color w:val="000000"/>
          <w:sz w:val="24"/>
          <w:highlight w:val="none"/>
        </w:rPr>
        <w:t xml:space="preserve">造价协审工作应严格按照国家、省、市相关的法律法规及</w:t>
      </w:r>
      <w:r>
        <w:rPr>
          <w:rFonts w:hint="eastAsia" w:ascii="宋体" w:hAnsi="宋体"/>
          <w:bCs/>
          <w:color w:val="000000"/>
          <w:sz w:val="24"/>
          <w:highlight w:val="none"/>
          <w:lang w:val="en-US" w:eastAsia="zh-CN"/>
        </w:rPr>
        <w:t xml:space="preserve">苏州太湖新城吴中管理委员会党政办公室</w:t>
      </w:r>
      <w:r>
        <w:rPr>
          <w:rFonts w:hint="eastAsia" w:ascii="宋体" w:hAnsi="宋体"/>
          <w:bCs/>
          <w:color w:val="000000"/>
          <w:sz w:val="24"/>
          <w:highlight w:val="none"/>
        </w:rPr>
        <w:t xml:space="preserve">关于印发《苏州</w:t>
      </w:r>
      <w:r>
        <w:rPr>
          <w:rFonts w:hint="eastAsia" w:ascii="宋体" w:hAnsi="宋体"/>
          <w:bCs/>
          <w:color w:val="000000"/>
          <w:sz w:val="24"/>
          <w:highlight w:val="none"/>
          <w:lang w:val="en-US" w:eastAsia="zh-CN"/>
        </w:rPr>
        <w:t xml:space="preserve">太湖新城吴中管理委员会财政投资建设项目工程标底编审业务指导规程</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及</w:t>
      </w:r>
      <w:r>
        <w:rPr>
          <w:rFonts w:hint="eastAsia" w:ascii="宋体" w:hAnsi="宋体"/>
          <w:bCs/>
          <w:color w:val="000000"/>
          <w:sz w:val="24"/>
          <w:highlight w:val="none"/>
        </w:rPr>
        <w:t xml:space="preserve">《苏州</w:t>
      </w:r>
      <w:r>
        <w:rPr>
          <w:rFonts w:hint="eastAsia" w:ascii="宋体" w:hAnsi="宋体"/>
          <w:bCs/>
          <w:color w:val="000000"/>
          <w:sz w:val="24"/>
          <w:highlight w:val="none"/>
          <w:lang w:val="en-US" w:eastAsia="zh-CN"/>
        </w:rPr>
        <w:t xml:space="preserve">太湖新城吴中管理委员会财政投资建设项目工程概算评审审业务指导规程</w:t>
      </w:r>
      <w:r>
        <w:rPr>
          <w:rFonts w:hint="eastAsia" w:ascii="宋体" w:hAnsi="宋体"/>
          <w:bCs/>
          <w:color w:val="000000"/>
          <w:sz w:val="24"/>
          <w:highlight w:val="none"/>
        </w:rPr>
        <w:t xml:space="preserve">》（吴</w:t>
      </w:r>
      <w:r>
        <w:rPr>
          <w:rFonts w:hint="eastAsia" w:ascii="宋体" w:hAnsi="宋体"/>
          <w:bCs/>
          <w:color w:val="000000"/>
          <w:sz w:val="24"/>
          <w:highlight w:val="none"/>
          <w:lang w:val="en-US" w:eastAsia="zh-CN"/>
        </w:rPr>
        <w:t xml:space="preserve">太办</w:t>
      </w:r>
      <w:r>
        <w:rPr>
          <w:rFonts w:hint="eastAsia" w:ascii="宋体" w:hAnsi="宋体"/>
          <w:bCs/>
          <w:color w:val="000000"/>
          <w:sz w:val="24"/>
          <w:highlight w:val="none"/>
        </w:rPr>
        <w:t xml:space="preserve">〔20</w:t>
      </w:r>
      <w:r>
        <w:rPr>
          <w:rFonts w:hint="eastAsia" w:ascii="宋体" w:hAnsi="宋体"/>
          <w:bCs/>
          <w:color w:val="000000"/>
          <w:sz w:val="24"/>
          <w:highlight w:val="none"/>
          <w:lang w:val="en-US" w:eastAsia="zh-CN"/>
        </w:rPr>
        <w:t xml:space="preserve">25</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号）文件规定执行。</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2．业务费支付</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完成协审服务的项目，按照附表《苏州太湖新城吴中管委会党政办（投资评审中心）财政评审协审费用支付标准》明确的计费标准，并结合项目评审业务质量考核情况和项目评审质量复核监督情况，统一安排向协审单位支付协审业务费。</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（2）具体完成项目的协审费用，根据委托项目的评审金额、协审内容、协审考核得分等情况综合计算对应的协审费用。具体为：根据本</w:t>
      </w:r>
      <w:r>
        <w:rPr>
          <w:rFonts w:hint="eastAsia" w:ascii="宋体" w:hAnsi="宋体"/>
          <w:bCs/>
          <w:color w:val="000000"/>
          <w:sz w:val="24"/>
          <w:lang w:eastAsia="zh-CN"/>
        </w:rPr>
        <w:t xml:space="preserve">招标文件</w:t>
      </w:r>
      <w:r>
        <w:rPr>
          <w:rFonts w:hint="eastAsia" w:ascii="宋体" w:hAnsi="宋体"/>
          <w:bCs/>
          <w:color w:val="000000"/>
          <w:sz w:val="24"/>
        </w:rPr>
        <w:t xml:space="preserve">付费标准、委托项目的评审内容及金额，计算标准费用，并以该项目考核得分的百分比作为结算系数，得到具体项目协审费用，即：具体项目协审费=项目计算标准费用×（考核得分÷100）。考核得分在60分以下的，结算系数为50%。</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（3）受委托的造价协审单位不得擅自向被评审单位收取任何费用。如协审单位存在擅自收取费用行为，苏州太湖新城吴中管理委员会党政办（投资评审中心）有权终止</w:t>
      </w:r>
      <w:r>
        <w:rPr>
          <w:rFonts w:hint="eastAsia" w:ascii="宋体" w:hAnsi="宋体"/>
          <w:bCs/>
          <w:color w:val="000000"/>
          <w:sz w:val="24"/>
          <w:lang w:eastAsia="zh-CN"/>
        </w:rPr>
        <w:t xml:space="preserve">苏州吴中太湖新城财政评(协)审2026年政府采购</w:t>
      </w:r>
      <w:r>
        <w:rPr>
          <w:rFonts w:hint="eastAsia" w:ascii="宋体" w:hAnsi="宋体"/>
          <w:bCs/>
          <w:color w:val="000000"/>
          <w:sz w:val="24"/>
        </w:rPr>
        <w:t xml:space="preserve">合同。情节严重的，依法提请有关部门追究协审单位和相关责任人的行政及法律责任。</w:t>
      </w:r>
      <w:r/>
    </w:p>
    <w:p>
      <w:pPr>
        <w:ind w:firstLine="480"/>
        <w:spacing w:after="0" w:line="360" w:lineRule="auto"/>
        <w:rPr>
          <w:rFonts w:hint="eastAsia" w:ascii="宋体" w:hAnsi="宋体" w:eastAsia="宋体" w:cs="宋体"/>
          <w:sz w:val="24"/>
          <w:lang w:eastAsia="zh-CN"/>
        </w:rPr>
      </w:pPr>
      <w:r>
        <w:rPr>
          <w:rFonts w:hint="eastAsia" w:ascii="宋体" w:hAnsi="宋体" w:cs="宋体"/>
          <w:sz w:val="24"/>
        </w:rPr>
        <w:t xml:space="preserve">3、协审项目清单</w:t>
      </w:r>
      <w:r>
        <w:rPr>
          <w:rFonts w:hint="eastAsia" w:ascii="宋体" w:hAnsi="宋体" w:cs="宋体"/>
          <w:sz w:val="24"/>
          <w:lang w:eastAsia="zh-CN"/>
        </w:rPr>
        <w:t xml:space="preserve">：</w:t>
      </w:r>
      <w:r/>
    </w:p>
    <w:tbl>
      <w:tblPr>
        <w:tblStyle w:val="835"/>
        <w:tblW w:w="9700" w:type="dxa"/>
        <w:tblInd w:w="0" w:type="dxa"/>
        <w:tblLayout w:type="autofit"/>
        <w:tblCellMar>
          <w:left w:w="108" w:type="dxa"/>
          <w:top w:w="0" w:type="dxa"/>
          <w:right w:w="108" w:type="dxa"/>
          <w:bottom w:w="0" w:type="dxa"/>
        </w:tblCellMar>
        <w:tblLook w:val="04A0" w:firstRow="1" w:lastRow="0" w:firstColumn="1" w:lastColumn="0" w:noHBand="0" w:noVBand="1"/>
      </w:tblPr>
      <w:tblGrid>
        <w:gridCol w:w="780"/>
        <w:gridCol w:w="3460"/>
        <w:gridCol w:w="2000"/>
        <w:gridCol w:w="1560"/>
        <w:gridCol w:w="1900"/>
      </w:tblGrid>
      <w:tr>
        <w:trPr>
          <w:trHeight w:val="499"/>
        </w:trPr>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4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评审项目名称</w:t>
            </w:r>
            <w:r/>
          </w:p>
        </w:tc>
        <w:tc>
          <w:tcPr>
            <w:shd w:val="clear" w:color="auto" w:fill="auto"/>
            <w:tcBorders>
              <w:top w:val="single" w:color="auto"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评审内容</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专业</w:t>
            </w:r>
            <w:r/>
          </w:p>
        </w:tc>
        <w:tc>
          <w:tcPr>
            <w:shd w:val="clear" w:color="auto" w:fill="auto"/>
            <w:tcBorders>
              <w:top w:val="single" w:color="auto" w:sz="4" w:space="0"/>
              <w:left w:val="none" w:color="000000" w:sz="4" w:space="0"/>
              <w:bottom w:val="single" w:color="auto" w:sz="4" w:space="0"/>
              <w:right w:val="single" w:color="auto" w:sz="4" w:space="0"/>
            </w:tcBorders>
            <w:tcW w:w="19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备注</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center"/>
              <w:spacing w:after="0" w:line="240" w:lineRule="auto"/>
              <w:rPr>
                <w:rFonts w:hint="eastAsia"/>
                <w:color w:val="000000"/>
                <w:sz w:val="22"/>
                <w:szCs w:val="22"/>
              </w:rPr>
            </w:pPr>
            <w:r>
              <w:rPr>
                <w:rFonts w:hint="eastAsia"/>
                <w:b/>
                <w:bCs/>
                <w:color w:val="000000"/>
                <w:sz w:val="22"/>
                <w:szCs w:val="22"/>
              </w:rPr>
              <w:t xml:space="preserve">第一标段</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某河道清淤及挡墙工程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某路周边环境整治工程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某路周边整治工程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某辅助项目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某燃气配套工程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某弱电通讯管线入廊工程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其他项目一项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center"/>
              <w:spacing w:after="0" w:line="240" w:lineRule="auto"/>
              <w:rPr>
                <w:rFonts w:hint="eastAsia"/>
                <w:color w:val="000000"/>
                <w:sz w:val="22"/>
                <w:szCs w:val="22"/>
              </w:rPr>
            </w:pPr>
            <w:r>
              <w:rPr>
                <w:rFonts w:hint="eastAsia"/>
                <w:b/>
                <w:bCs/>
                <w:color w:val="000000"/>
                <w:sz w:val="22"/>
                <w:szCs w:val="22"/>
              </w:rPr>
              <w:t xml:space="preserve">第二标段</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某项目工程1项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某地块项目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某零星项目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某辅助项目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某然气入户工程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某路周边环境整治工程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某零星项目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某广告制作项目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某基础设施设备维修建设</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其他项目一项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center"/>
              <w:spacing w:after="0" w:line="240" w:lineRule="auto"/>
              <w:rPr>
                <w:rFonts w:hint="eastAsia"/>
                <w:color w:val="000000"/>
                <w:sz w:val="22"/>
                <w:szCs w:val="22"/>
              </w:rPr>
            </w:pPr>
            <w:r>
              <w:rPr>
                <w:rFonts w:hint="eastAsia"/>
                <w:b/>
                <w:bCs/>
                <w:color w:val="000000"/>
                <w:sz w:val="22"/>
                <w:szCs w:val="22"/>
              </w:rPr>
              <w:t xml:space="preserve">第三标段</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某地块项目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某零星项目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某零星项目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某地块强电外线接入</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某道路工程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市政</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某供水管线工程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某街道水体整治工程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某通信线缆改造工程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某基础设施设备维修建设</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其他项目一项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center"/>
              <w:spacing w:after="0" w:line="240" w:lineRule="auto"/>
              <w:rPr>
                <w:rFonts w:hint="eastAsia"/>
                <w:color w:val="000000"/>
                <w:sz w:val="22"/>
                <w:szCs w:val="22"/>
              </w:rPr>
            </w:pPr>
            <w:r>
              <w:rPr>
                <w:rFonts w:hint="eastAsia"/>
                <w:b/>
                <w:bCs/>
                <w:color w:val="000000"/>
                <w:sz w:val="22"/>
                <w:szCs w:val="22"/>
              </w:rPr>
              <w:t xml:space="preserve">第四标段</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某河道清淤及挡墙工程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某服务项目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某广告制作项目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市政</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某接水工程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某路周边整治工程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其他项目一项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center"/>
              <w:spacing w:after="0" w:line="240" w:lineRule="auto"/>
              <w:rPr>
                <w:rFonts w:hint="eastAsia"/>
                <w:color w:val="000000"/>
                <w:sz w:val="22"/>
                <w:szCs w:val="22"/>
              </w:rPr>
            </w:pPr>
            <w:r>
              <w:rPr>
                <w:rFonts w:hint="eastAsia"/>
                <w:b/>
                <w:bCs/>
                <w:color w:val="000000"/>
                <w:sz w:val="22"/>
                <w:szCs w:val="22"/>
              </w:rPr>
              <w:t xml:space="preserve">第五标段</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某地块项目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某项目工程1项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某架空线工程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某弱电通讯管线入廊工程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某燃气配套工程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某排水建设</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某通信线缆改造工程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其他项目一项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center"/>
              <w:spacing w:after="0" w:line="240" w:lineRule="auto"/>
              <w:rPr>
                <w:rFonts w:hint="eastAsia"/>
                <w:color w:val="000000"/>
                <w:sz w:val="22"/>
                <w:szCs w:val="22"/>
              </w:rPr>
            </w:pPr>
            <w:r>
              <w:rPr>
                <w:rFonts w:hint="eastAsia"/>
                <w:b/>
                <w:bCs/>
                <w:color w:val="000000"/>
                <w:sz w:val="22"/>
                <w:szCs w:val="22"/>
              </w:rPr>
              <w:t xml:space="preserve">第六标段</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某地块项目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某项目工程1项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某地块强电外线接入</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某弱电通讯管线入廊工程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某零星项目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某供水管线工程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某排水建设</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复标</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其他项目一项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center"/>
              <w:spacing w:after="0" w:line="240" w:lineRule="auto"/>
              <w:rPr>
                <w:rFonts w:hint="eastAsia"/>
                <w:color w:val="000000"/>
                <w:sz w:val="22"/>
                <w:szCs w:val="22"/>
              </w:rPr>
            </w:pPr>
            <w:r>
              <w:rPr>
                <w:rFonts w:hint="eastAsia"/>
                <w:b/>
                <w:bCs/>
                <w:color w:val="000000"/>
                <w:sz w:val="22"/>
                <w:szCs w:val="22"/>
              </w:rPr>
              <w:t xml:space="preserve">第七标段</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某养护项目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某架空线工程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某项目工程1项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某地块强电外线接入</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某地块强电外线接入</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某道路工程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市政</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某架空线工程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某燃气入廊工程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某街道水体整治工程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其他项目一项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center"/>
              <w:spacing w:after="0" w:line="240" w:lineRule="auto"/>
              <w:rPr>
                <w:rFonts w:hint="eastAsia"/>
                <w:color w:val="000000"/>
                <w:sz w:val="22"/>
                <w:szCs w:val="22"/>
              </w:rPr>
            </w:pPr>
            <w:r>
              <w:rPr>
                <w:rFonts w:hint="eastAsia"/>
                <w:b/>
                <w:bCs/>
                <w:color w:val="000000"/>
                <w:sz w:val="22"/>
                <w:szCs w:val="22"/>
              </w:rPr>
              <w:t xml:space="preserve">第八标段</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某养护项目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某架空线工程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某零星项目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某项目工程1项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某地块强电外线接入</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某燃气管线入廊工程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某零星项目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某供水管线工程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某架空线工程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其他项目一项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center"/>
              <w:spacing w:after="0" w:line="240" w:lineRule="auto"/>
              <w:rPr>
                <w:rFonts w:hint="eastAsia"/>
                <w:color w:val="000000"/>
                <w:sz w:val="22"/>
                <w:szCs w:val="22"/>
              </w:rPr>
            </w:pPr>
            <w:r>
              <w:rPr>
                <w:rFonts w:hint="eastAsia"/>
                <w:b/>
                <w:bCs/>
                <w:color w:val="000000"/>
                <w:sz w:val="22"/>
                <w:szCs w:val="22"/>
              </w:rPr>
              <w:t xml:space="preserve">第九标段</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某河道工程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水利</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某架空线工程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某零星项目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某项目工程1项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某地块强电外线接入</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某架空线工程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某通信和智能辅助项目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某供水管线工程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某弱电通讯管线入廊工程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某燃气管线入廊工程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某地块强电外线接入</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其他项目一项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center"/>
              <w:spacing w:after="0" w:line="240" w:lineRule="auto"/>
              <w:rPr>
                <w:rFonts w:hint="eastAsia"/>
                <w:color w:val="000000"/>
                <w:sz w:val="22"/>
                <w:szCs w:val="22"/>
              </w:rPr>
            </w:pPr>
            <w:r>
              <w:rPr>
                <w:rFonts w:hint="eastAsia"/>
                <w:b/>
                <w:bCs/>
                <w:color w:val="000000"/>
                <w:sz w:val="22"/>
                <w:szCs w:val="22"/>
              </w:rPr>
              <w:t xml:space="preserve">第十标段</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某燃气入廊工程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某项目工程1项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某架空线工程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某服务项目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某零星项目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某弱电通讯管线入廊工程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市政</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某地块强电外线接入</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其他项目一项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center"/>
              <w:spacing w:after="0" w:line="240" w:lineRule="auto"/>
              <w:rPr>
                <w:rFonts w:hint="eastAsia"/>
                <w:color w:val="000000"/>
                <w:sz w:val="22"/>
                <w:szCs w:val="22"/>
              </w:rPr>
            </w:pPr>
            <w:r>
              <w:rPr>
                <w:rFonts w:hint="eastAsia"/>
                <w:b/>
                <w:bCs/>
                <w:color w:val="000000"/>
                <w:sz w:val="22"/>
                <w:szCs w:val="22"/>
              </w:rPr>
              <w:t xml:space="preserve">第十一标段</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某接水工程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某架空线工程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某项目工程1项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某通信和智能辅助项目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某零星项目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某供水管线工程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某地块强电外线接入</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其他项目一项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center"/>
              <w:spacing w:after="0" w:line="240" w:lineRule="auto"/>
              <w:rPr>
                <w:rFonts w:hint="eastAsia"/>
                <w:color w:val="000000"/>
                <w:sz w:val="22"/>
                <w:szCs w:val="22"/>
              </w:rPr>
            </w:pPr>
            <w:r>
              <w:rPr>
                <w:rFonts w:hint="eastAsia"/>
                <w:b/>
                <w:bCs/>
                <w:color w:val="000000"/>
                <w:sz w:val="22"/>
                <w:szCs w:val="22"/>
              </w:rPr>
              <w:t xml:space="preserve">第十二标段</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某河道工程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水利</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某架空线工程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某零星项目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某项目工程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某零星项目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某弱电通讯管线入廊工程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某供水管线工程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某地块强电外线接入</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安装</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某零星项目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某零星项目</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某然气入户工程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46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其他项目一项</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预算+复核</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ind w:firstLine="0"/>
              <w:jc w:val="center"/>
              <w:spacing w:after="0" w:line="240" w:lineRule="auto"/>
              <w:rPr>
                <w:rFonts w:hint="eastAsia"/>
                <w:color w:val="000000"/>
                <w:sz w:val="22"/>
                <w:szCs w:val="22"/>
              </w:rPr>
            </w:pPr>
            <w:r>
              <w:rPr>
                <w:rFonts w:hint="eastAsia"/>
                <w:color w:val="000000"/>
                <w:sz w:val="22"/>
                <w:szCs w:val="22"/>
              </w:rPr>
              <w:t xml:space="preserve">综合</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left"/>
              <w:spacing w:after="0" w:line="240" w:lineRule="auto"/>
              <w:rPr>
                <w:rFonts w:hint="eastAsia"/>
                <w:color w:val="000000"/>
                <w:sz w:val="22"/>
                <w:szCs w:val="22"/>
              </w:rPr>
            </w:pPr>
            <w:r>
              <w:rPr>
                <w:rFonts w:hint="eastAsia"/>
                <w:color w:val="000000"/>
                <w:sz w:val="22"/>
                <w:szCs w:val="22"/>
              </w:rPr>
              <w:t xml:space="preserve">　</w:t>
            </w:r>
            <w:r/>
          </w:p>
        </w:tc>
      </w:tr>
    </w:tbl>
    <w:p>
      <w:pPr>
        <w:ind w:firstLine="480"/>
        <w:spacing w:after="0" w:line="360" w:lineRule="auto"/>
        <w:rPr>
          <w:rFonts w:hint="eastAsia" w:ascii="宋体" w:hAnsi="宋体" w:cs="宋体"/>
          <w:sz w:val="24"/>
        </w:rPr>
      </w:pPr>
      <w:r>
        <w:rPr>
          <w:rFonts w:hint="eastAsia" w:ascii="宋体" w:hAnsi="宋体" w:cs="宋体"/>
          <w:sz w:val="24"/>
        </w:rPr>
      </w:r>
      <w:r/>
    </w:p>
    <w:p>
      <w:pPr>
        <w:spacing w:line="360" w:lineRule="auto"/>
        <w:rPr>
          <w:rFonts w:hint="eastAsia" w:cs="宋体"/>
        </w:rPr>
      </w:pPr>
      <w:r>
        <w:rPr>
          <w:rFonts w:hint="eastAsia" w:ascii="宋体" w:hAnsi="宋体" w:cs="宋体"/>
          <w:sz w:val="24"/>
        </w:rPr>
        <w:t xml:space="preserve">4、委托协审的责任</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协审工作应当严格遵守国家的有关法律、法规、</w:t>
      </w:r>
      <w:r>
        <w:rPr>
          <w:rFonts w:hint="eastAsia" w:ascii="宋体" w:hAnsi="宋体"/>
          <w:bCs/>
          <w:color w:val="000000"/>
          <w:sz w:val="24"/>
        </w:rPr>
        <w:t xml:space="preserve">制度规定及有关执业规范要求。协审单位对协审成果的真实性、完整性、可靠性负责。协审单位应保证协审工作质量，服从苏州太湖新城吴中管理委员会效率管理，协审报告未经同意，不得自行提供给其他单位。对于协审工作产生重大质量误差、协审效率严重拖延、协审工作要求违反各级造价行业规定及苏州太湖新城吴中管理委员会党政办（投资评审中心）评审相关规范，或提供不实或内容虚假的协审结果以及自行对外提供协审报告的，苏州太湖新城吴中管理委员会将按照协审单位违约进行惩处。情节严重的，依法提请有关部门追究协审单位和相关责任人的行政及法律责任。</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如发现协审单位或协审人员在协审工作中存在违法违规行为的，经查实，立即解除</w:t>
      </w:r>
      <w:r>
        <w:rPr>
          <w:rFonts w:hint="eastAsia" w:ascii="宋体" w:hAnsi="宋体"/>
          <w:bCs/>
          <w:color w:val="000000"/>
          <w:sz w:val="24"/>
          <w:lang w:eastAsia="zh-CN"/>
        </w:rPr>
        <w:t xml:space="preserve">苏州吴中太湖新城财政评(协)审2026年政府采购</w:t>
      </w:r>
      <w:r>
        <w:rPr>
          <w:rFonts w:hint="eastAsia" w:ascii="宋体" w:hAnsi="宋体"/>
          <w:bCs/>
          <w:color w:val="000000"/>
          <w:sz w:val="24"/>
        </w:rPr>
        <w:t xml:space="preserve">合同，相关人员纳入“协审人员不良记录”，并通报行业主管部门处理。触犯法律的，将移交有关部门追究协审单位和相关责任人的经济和法律责任。</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对于在本次委托协审服务期内，如有两家及以上</w:t>
      </w:r>
      <w:r>
        <w:rPr>
          <w:rFonts w:hint="eastAsia" w:ascii="宋体" w:hAnsi="宋体"/>
          <w:bCs/>
          <w:color w:val="000000"/>
          <w:sz w:val="24"/>
          <w:lang w:eastAsia="zh-CN"/>
        </w:rPr>
        <w:t xml:space="preserve">中标单位</w:t>
      </w:r>
      <w:r>
        <w:rPr>
          <w:rFonts w:hint="eastAsia" w:ascii="宋体" w:hAnsi="宋体"/>
          <w:bCs/>
          <w:color w:val="000000"/>
          <w:sz w:val="24"/>
        </w:rPr>
        <w:t xml:space="preserve">发生合并情况的，以合并后的新单位作为协审单位；如有</w:t>
      </w:r>
      <w:r>
        <w:rPr>
          <w:rFonts w:hint="eastAsia" w:ascii="宋体" w:hAnsi="宋体"/>
          <w:bCs/>
          <w:color w:val="000000"/>
          <w:sz w:val="24"/>
          <w:lang w:eastAsia="zh-CN"/>
        </w:rPr>
        <w:t xml:space="preserve">中标单位</w:t>
      </w:r>
      <w:r>
        <w:rPr>
          <w:rFonts w:hint="eastAsia" w:ascii="宋体" w:hAnsi="宋体"/>
          <w:bCs/>
          <w:color w:val="000000"/>
          <w:sz w:val="24"/>
        </w:rPr>
        <w:t xml:space="preserve">与其他造价咨询机构发生合并事宜的，则以行业主管部门认定的继承原有</w:t>
      </w:r>
      <w:r>
        <w:rPr>
          <w:rFonts w:hint="eastAsia" w:ascii="宋体" w:hAnsi="宋体"/>
          <w:bCs/>
          <w:color w:val="000000"/>
          <w:sz w:val="24"/>
          <w:lang w:eastAsia="zh-CN"/>
        </w:rPr>
        <w:t xml:space="preserve">中标单位</w:t>
      </w:r>
      <w:r>
        <w:rPr>
          <w:rFonts w:hint="eastAsia" w:ascii="宋体" w:hAnsi="宋体"/>
          <w:bCs/>
          <w:color w:val="000000"/>
          <w:sz w:val="24"/>
        </w:rPr>
        <w:t xml:space="preserve">承接业务能力的单位作为新的</w:t>
      </w:r>
      <w:r>
        <w:rPr>
          <w:rFonts w:hint="eastAsia" w:ascii="宋体" w:hAnsi="宋体"/>
          <w:bCs/>
          <w:color w:val="000000"/>
          <w:sz w:val="24"/>
          <w:lang w:eastAsia="zh-CN"/>
        </w:rPr>
        <w:t xml:space="preserve">中标单位</w:t>
      </w:r>
      <w:r>
        <w:rPr>
          <w:rFonts w:hint="eastAsia" w:ascii="宋体" w:hAnsi="宋体"/>
          <w:bCs/>
          <w:color w:val="000000"/>
          <w:sz w:val="24"/>
        </w:rPr>
        <w:t xml:space="preserve">；如有</w:t>
      </w:r>
      <w:r>
        <w:rPr>
          <w:rFonts w:hint="eastAsia" w:ascii="宋体" w:hAnsi="宋体"/>
          <w:bCs/>
          <w:color w:val="000000"/>
          <w:sz w:val="24"/>
          <w:lang w:eastAsia="zh-CN"/>
        </w:rPr>
        <w:t xml:space="preserve">中标单位</w:t>
      </w:r>
      <w:r>
        <w:rPr>
          <w:rFonts w:hint="eastAsia" w:ascii="宋体" w:hAnsi="宋体"/>
          <w:bCs/>
          <w:color w:val="000000"/>
          <w:sz w:val="24"/>
        </w:rPr>
        <w:t xml:space="preserve">发生分立的，则在行业相关规定范围内，由分立双方协议认可继承协审服务采购供应商资格的分立后的一方作为新的</w:t>
      </w:r>
      <w:r>
        <w:rPr>
          <w:rFonts w:hint="eastAsia" w:ascii="宋体" w:hAnsi="宋体"/>
          <w:bCs/>
          <w:color w:val="000000"/>
          <w:sz w:val="24"/>
          <w:lang w:eastAsia="zh-CN"/>
        </w:rPr>
        <w:t xml:space="preserve">中标单位</w:t>
      </w:r>
      <w:r>
        <w:rPr>
          <w:rFonts w:hint="eastAsia" w:ascii="宋体" w:hAnsi="宋体"/>
          <w:bCs/>
          <w:color w:val="000000"/>
          <w:sz w:val="24"/>
        </w:rPr>
        <w:t xml:space="preserve">；如</w:t>
      </w:r>
      <w:r>
        <w:rPr>
          <w:rFonts w:hint="eastAsia" w:ascii="宋体" w:hAnsi="宋体"/>
          <w:bCs/>
          <w:color w:val="000000"/>
          <w:sz w:val="24"/>
          <w:lang w:eastAsia="zh-CN"/>
        </w:rPr>
        <w:t xml:space="preserve">中标单位</w:t>
      </w:r>
      <w:r>
        <w:rPr>
          <w:rFonts w:hint="eastAsia" w:ascii="宋体" w:hAnsi="宋体"/>
          <w:bCs/>
          <w:color w:val="000000"/>
          <w:sz w:val="24"/>
        </w:rPr>
        <w:t xml:space="preserve">破产、解散、清算、停业以及其他原因无法提供服务的，</w:t>
      </w:r>
      <w:r>
        <w:rPr>
          <w:rFonts w:hint="eastAsia" w:ascii="宋体" w:hAnsi="宋体"/>
          <w:bCs/>
          <w:color w:val="000000"/>
          <w:sz w:val="24"/>
          <w:lang w:eastAsia="zh-CN"/>
        </w:rPr>
        <w:t xml:space="preserve">中标单位</w:t>
      </w:r>
      <w:r>
        <w:rPr>
          <w:rFonts w:hint="eastAsia" w:ascii="宋体" w:hAnsi="宋体"/>
          <w:bCs/>
          <w:color w:val="000000"/>
          <w:sz w:val="24"/>
        </w:rPr>
        <w:t xml:space="preserve">自动失去</w:t>
      </w:r>
      <w:r>
        <w:rPr>
          <w:rFonts w:hint="eastAsia" w:ascii="宋体" w:hAnsi="宋体"/>
          <w:bCs/>
          <w:color w:val="000000"/>
          <w:sz w:val="24"/>
          <w:lang w:eastAsia="zh-CN"/>
        </w:rPr>
        <w:t xml:space="preserve">苏州吴中太湖新城财政评(协)审2026年政府采购</w:t>
      </w:r>
      <w:r>
        <w:rPr>
          <w:rFonts w:hint="eastAsia" w:ascii="宋体" w:hAnsi="宋体"/>
          <w:bCs/>
          <w:color w:val="000000"/>
          <w:sz w:val="24"/>
        </w:rPr>
        <w:t xml:space="preserve">资格。在合同有效期内，</w:t>
      </w:r>
      <w:r>
        <w:rPr>
          <w:rFonts w:hint="eastAsia" w:ascii="宋体" w:hAnsi="宋体"/>
          <w:bCs/>
          <w:color w:val="000000"/>
          <w:sz w:val="24"/>
          <w:lang w:eastAsia="zh-CN"/>
        </w:rPr>
        <w:t xml:space="preserve">中标单位</w:t>
      </w:r>
      <w:r>
        <w:rPr>
          <w:rFonts w:hint="eastAsia" w:ascii="宋体" w:hAnsi="宋体"/>
          <w:bCs/>
          <w:color w:val="000000"/>
          <w:sz w:val="24"/>
        </w:rPr>
        <w:t xml:space="preserve">不得擅自变更、转让、租借定点资格。</w:t>
      </w:r>
      <w:r>
        <w:rPr>
          <w:rFonts w:hint="eastAsia" w:ascii="宋体" w:hAnsi="宋体"/>
          <w:bCs/>
          <w:color w:val="000000"/>
          <w:sz w:val="24"/>
          <w:lang w:eastAsia="zh-CN"/>
        </w:rPr>
        <w:t xml:space="preserve">中标单位</w:t>
      </w:r>
      <w:r>
        <w:rPr>
          <w:rFonts w:hint="eastAsia" w:ascii="宋体" w:hAnsi="宋体"/>
          <w:bCs/>
          <w:color w:val="000000"/>
          <w:sz w:val="24"/>
        </w:rPr>
        <w:t xml:space="preserve">发生以上变更后，应按以上原则提供相应资料报苏州太湖新城吴中管理委员会，经苏州太湖新城吴中管理委员会党政办（投资评审中心）审核同意后，后续单位方可继承</w:t>
      </w:r>
      <w:r>
        <w:rPr>
          <w:rFonts w:hint="eastAsia" w:ascii="宋体" w:hAnsi="宋体"/>
          <w:bCs/>
          <w:color w:val="000000"/>
          <w:sz w:val="24"/>
          <w:lang w:eastAsia="zh-CN"/>
        </w:rPr>
        <w:t xml:space="preserve">苏州吴中太湖新城财政评(协)审2026年政府采购</w:t>
      </w:r>
      <w:r>
        <w:rPr>
          <w:rFonts w:hint="eastAsia" w:ascii="宋体" w:hAnsi="宋体"/>
          <w:bCs/>
          <w:color w:val="000000"/>
          <w:sz w:val="24"/>
        </w:rPr>
        <w:t xml:space="preserve">资格。同时，继承单位应满足本</w:t>
      </w:r>
      <w:r>
        <w:rPr>
          <w:rFonts w:hint="eastAsia" w:ascii="宋体" w:hAnsi="宋体"/>
          <w:bCs/>
          <w:color w:val="000000"/>
          <w:sz w:val="24"/>
          <w:lang w:eastAsia="zh-CN"/>
        </w:rPr>
        <w:t xml:space="preserve">招标文件</w:t>
      </w:r>
      <w:r>
        <w:rPr>
          <w:rFonts w:hint="eastAsia" w:ascii="宋体" w:hAnsi="宋体"/>
          <w:bCs/>
          <w:color w:val="000000"/>
          <w:sz w:val="24"/>
        </w:rPr>
        <w:t xml:space="preserve">要求及其原有响应承诺。</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5．协审工作的考核</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苏州太湖新城吴中管理委员会党政办（投资评审中心），从协审工作要求、协审质量、协审效率、协审工作态度等方</w:t>
      </w:r>
      <w:r>
        <w:rPr>
          <w:rFonts w:hint="eastAsia" w:ascii="宋体" w:hAnsi="宋体"/>
          <w:bCs/>
          <w:color w:val="000000"/>
          <w:sz w:val="24"/>
        </w:rPr>
        <w:t xml:space="preserve">面对协审项目业务质量进行考核。协审单位的工作必须接受苏州太湖新城吴中管理委员会党政办（投资评审中心）的考核，并接受苏州太湖新城吴中管理委员会党政办（投资评审中心）根据考核结果做出的奖惩。如协审单位出具协审报告后，经抽查复核、其他主管部门检查或工程实践等情况中被发现存在工作效率、执业质量、服务水平、工作要求等方面存在具体问题的，苏州太湖新城吴中管理委员会党政办（投资评审中心）有权按照考核办法的规定对相应协审单位追加考核处罚。对不同意参加考核的协审单位，视为违反采购服务合同约定，按照严重违约条件进行惩处，可终止</w:t>
      </w:r>
      <w:r>
        <w:rPr>
          <w:rFonts w:hint="eastAsia" w:ascii="宋体" w:hAnsi="宋体"/>
          <w:bCs/>
          <w:color w:val="000000"/>
          <w:sz w:val="24"/>
          <w:lang w:eastAsia="zh-CN"/>
        </w:rPr>
        <w:t xml:space="preserve">苏州吴中太湖新城财政评(协)审2026年政府采购</w:t>
      </w:r>
      <w:r>
        <w:rPr>
          <w:rFonts w:hint="eastAsia" w:ascii="宋体" w:hAnsi="宋体"/>
          <w:bCs/>
          <w:color w:val="000000"/>
          <w:sz w:val="24"/>
        </w:rPr>
        <w:t xml:space="preserve">合同，通报行业主管部门或其他相关部门进行处理，并建议将其作为行业及政府采购管理和信用评价的依据之一。</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协审项目业务质量考核结果运用如下：</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（1）协审项目业务质量考核结果与协审业务费结算挂钩。根据本</w:t>
      </w:r>
      <w:r>
        <w:rPr>
          <w:rFonts w:hint="eastAsia" w:ascii="宋体" w:hAnsi="宋体"/>
          <w:bCs/>
          <w:color w:val="000000"/>
          <w:sz w:val="24"/>
          <w:lang w:eastAsia="zh-CN"/>
        </w:rPr>
        <w:t xml:space="preserve">招标文件</w:t>
      </w:r>
      <w:r>
        <w:rPr>
          <w:rFonts w:hint="eastAsia" w:ascii="宋体" w:hAnsi="宋体"/>
          <w:bCs/>
          <w:color w:val="000000"/>
          <w:sz w:val="24"/>
        </w:rPr>
        <w:t xml:space="preserve">付费标准、委托项目的评审内容及金额，计算标准费用，并以该项目考核得分的百分比作为结算系数，得到具体项目协审费用，即：具体项目协审费=项目计算标准费用×（考核得分÷100）。考核得分在60分以下的，结算系数为50%。</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2）协审项目考核得分在70分以下的，苏州太湖新城吴中管理委员会党政办（投资评审中心）有权对该协审单位发提示书，项目考核得分在60分以下的，苏州太湖新城吴中管理委员会党政办（投资评审中心）有权对该协审单位发警示书。协审单位每收到提示书2份视同收到警示书1份。</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（3）收到1份警示书的协审单位，其服务标段中所有未完成报告的协审费用按上述标准计算后，再以九折计取。</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（4）收到2份警示书的协审单位，苏州太湖新城吴中管理委员会有权终止</w:t>
      </w:r>
      <w:r>
        <w:rPr>
          <w:rFonts w:hint="eastAsia" w:ascii="宋体" w:hAnsi="宋体"/>
          <w:bCs/>
          <w:color w:val="000000"/>
          <w:sz w:val="24"/>
          <w:lang w:eastAsia="zh-CN"/>
        </w:rPr>
        <w:t xml:space="preserve">苏州吴中太湖新城财政评(协)审2026年政府采购</w:t>
      </w:r>
      <w:r>
        <w:rPr>
          <w:rFonts w:hint="eastAsia" w:ascii="宋体" w:hAnsi="宋体"/>
          <w:bCs/>
          <w:color w:val="000000"/>
          <w:sz w:val="24"/>
        </w:rPr>
        <w:t xml:space="preserve">合同，取消该单位未委托的项目协审资格，并通报行业主管部门或其他相关部门，建议将其作为行业及政府采购管理和信用评价的依据之一。</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（5）纳入“协审人员不良记录”的协审人员，三年内不接受其从事苏州太湖新城吴中管理委员会党政办（投资评审中心）的协审工作。</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6．协审工作的抽查复审</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苏州太湖新城吴中管理委员会按照相关的项目评审质量复核监督管理的要求，有权选择部分已完成的协审项目进行质量复核，被复核监督的协审单位必须予以配合。若在质量复核监督工作中出现不接受委托、不予配合或消极工作的情况，苏州太湖新城吴中管理委员会党政办（投资评审中心）有权按照协审单位违约进行惩处，情节严重者终止</w:t>
      </w:r>
      <w:r>
        <w:rPr>
          <w:rFonts w:hint="eastAsia" w:ascii="宋体" w:hAnsi="宋体"/>
          <w:bCs/>
          <w:color w:val="000000"/>
          <w:sz w:val="24"/>
          <w:lang w:eastAsia="zh-CN"/>
        </w:rPr>
        <w:t xml:space="preserve">苏州吴中太湖新城财政评(协)审2026年政府采购</w:t>
      </w:r>
      <w:r>
        <w:rPr>
          <w:rFonts w:hint="eastAsia" w:ascii="宋体" w:hAnsi="宋体"/>
          <w:bCs/>
          <w:color w:val="000000"/>
          <w:sz w:val="24"/>
        </w:rPr>
        <w:t xml:space="preserve">合同。已经过考核的协审项目，经质量复核监督程序发现新的问题时，苏州太湖新城吴中管理委员会党政办（投资评审中心）有权重新考核，并追加相应处罚。具体处罚方式为：</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（1）被抽查项目单项误差10万元以内（含10万元），或累计正、负误差1%之内（含1%），对已考核的项目加扣该项目协审费的5%；</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（2）被抽查项目单项误差10万元-20万元以内（不含10万，含20万元），或累计正、负误差1%-2%之内（不含1%，含2%），对已考核的项目加扣该项目协审费的10%；</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（3）被抽查项目单项误差20万元-50万元以内（不含20万，含50万元），或累计正、负误差2%-4%之内（不含2%，含4%），对已考核的项目加扣该项目协审费的20%；</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（4）被抽查项目单项误差50万元-100万元以内（不含50万，含100万元），或累计正、负误差4%-6%之内（不含4%，含6%），对已考核的项目加扣该项目协审费的30%，并发提示书；</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5）被抽查项目单项误差含100万元以上，或累计正、负误差6%以上的，扣除该项目全部协审费，并发警示书，在苏州市评审系统内进行通报，取消该协审人员苏州太湖新城吴中管理委员会上岗资格。情节严重的，经苏州太湖新城吴中管理委员会主要负责人批准，有权取消其单位本次成交的所有尚未委托项目的协审资格，并移送行业管理部门处理。</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7．协审工作的进度管理</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协审单位应在规定的期限内出具符合要求的协审初步报告，协审初步报告的起始时间从取得真实、完整、齐全的评审资料，完成苏州太湖新城吴中管理委员会党政办（投资评审中心）、建设单位、协审单位三方资料移交之日算起，协审初步报告的提交时间以苏州太湖新城吴中管理委员会党政办（投资评审中心）项目主审签收稿的协审发起时间为准（协审初步报告通过评审管理信息系统提交）。具体期限为：</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（1）单项工程概预算（含变更预算）、单项工程预算控制价（标底）编审期限：</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评审金额1000万元（含）以下：   15个工作日；</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评审金额1000~5000万元（含）：  25个工作日；</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评审金额5000万元~1亿元（含）： 35个工作日；</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评审金额1亿元~5亿元（含）：    45个工作日；</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评审金额5亿元以上：             55个工作日。</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（2）单项工程预算（标底）审核期限：</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评审金额1000万元（含）以下：   10个工作日；</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评审金额1000~5000万元（含）：  15个工作日；</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评审金额5000万元~1亿元（含）： 20个工作日；</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评审金额1亿元以上：            25个工作日。</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具体项目的协审考核时间以实际项目安排时间为准。</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8．评审工作的响应</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为保证财政投资评审工作效率和服务质量，</w:t>
      </w:r>
      <w:r>
        <w:rPr>
          <w:rFonts w:hint="eastAsia" w:ascii="宋体" w:hAnsi="宋体"/>
          <w:bCs/>
          <w:color w:val="000000"/>
          <w:sz w:val="24"/>
          <w:lang w:eastAsia="zh-CN"/>
        </w:rPr>
        <w:t xml:space="preserve">中标单位</w:t>
      </w:r>
      <w:r>
        <w:rPr>
          <w:rFonts w:hint="eastAsia" w:ascii="宋体" w:hAnsi="宋体"/>
          <w:bCs/>
          <w:color w:val="000000"/>
          <w:sz w:val="24"/>
        </w:rPr>
        <w:t xml:space="preserve">需提供《协审响</w:t>
      </w:r>
      <w:r>
        <w:rPr>
          <w:rFonts w:hint="eastAsia" w:ascii="宋体" w:hAnsi="宋体"/>
          <w:bCs/>
          <w:color w:val="000000"/>
          <w:sz w:val="24"/>
        </w:rPr>
        <w:t xml:space="preserve">应服务承诺书》，保证协审工作响应时间符合苏州太湖新城吴中管理委员会党政办（投资评审中心）评审要求，即经批准的协审实施方案内的协审人员从接到苏州太湖新城吴中管理委员会党政办（投资评审中心）工作指令起，到达苏州太湖新城吴中管理委员会（苏州市吴中区友翔路99号苏州湾中心广场D座20楼）或评审项目现场时间不超过45分钟。评审项目分布在苏州太湖新城吴中管理委员会周边约45分钟车程范围内，因此要求协审服务响应时间不得超过45分钟。协审单位应根据响应工作需要就近安排工作场所，并提供合理的人员组织、交通组织等响应保障方案。</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如协审单位在服务期内，被发现未在承诺时间内响应工作（即自通知时间起至到达苏州太湖新城吴中管理委员会党政办（投资评审中心）或项目现场时间超过45分钟），苏州太湖新城吴中管理委员会党政办（投资评审中心）有权终止</w:t>
      </w:r>
      <w:r>
        <w:rPr>
          <w:rFonts w:hint="eastAsia" w:ascii="宋体" w:hAnsi="宋体"/>
          <w:bCs/>
          <w:color w:val="000000"/>
          <w:sz w:val="24"/>
          <w:lang w:eastAsia="zh-CN"/>
        </w:rPr>
        <w:t xml:space="preserve">苏州吴中太湖新城财政评(协)审2026年政府采购</w:t>
      </w:r>
      <w:r>
        <w:rPr>
          <w:rFonts w:hint="eastAsia" w:ascii="宋体" w:hAnsi="宋体"/>
          <w:bCs/>
          <w:color w:val="000000"/>
          <w:sz w:val="24"/>
        </w:rPr>
        <w:t xml:space="preserve">合同，并通报行业主管部门或其他相关部门进行处理，建议将其作为行业及政府采购管理和信用评价的依据之一。</w:t>
      </w:r>
      <w:r/>
    </w:p>
    <w:p>
      <w:pPr>
        <w:ind w:firstLine="480"/>
        <w:spacing w:line="360" w:lineRule="auto"/>
        <w:rPr>
          <w:rFonts w:hint="eastAsia" w:ascii="宋体" w:hAnsi="宋体"/>
          <w:bCs/>
          <w:color w:val="000000"/>
          <w:sz w:val="24"/>
        </w:rPr>
      </w:pPr>
      <w:r>
        <w:rPr>
          <w:rFonts w:hint="eastAsia" w:ascii="宋体" w:hAnsi="宋体"/>
          <w:bCs/>
          <w:color w:val="000000"/>
          <w:sz w:val="24"/>
          <w:lang w:eastAsia="zh-CN"/>
        </w:rPr>
        <w:t xml:space="preserve">中标单位</w:t>
      </w:r>
      <w:r>
        <w:rPr>
          <w:rFonts w:hint="eastAsia" w:ascii="宋体" w:hAnsi="宋体"/>
          <w:bCs/>
          <w:color w:val="000000"/>
          <w:sz w:val="24"/>
        </w:rPr>
        <w:t xml:space="preserve">响应时承诺的拟投入项目协审人员在项目服务期内应全部到位，接受苏州太湖新城吴中管理委员会党政办（投资评审中心）考勤考核，苏州太湖新城吴中管理委员会党政办（投资评审中心）具体负责考勤考核工作。协审人员须无条件接受并配合任何考勤考核措施办法，不接受考勤考核，视为违约。人员考勤管理按照年度服务期进行考核，从签</w:t>
      </w:r>
      <w:r>
        <w:rPr>
          <w:rFonts w:hint="eastAsia" w:ascii="宋体" w:hAnsi="宋体"/>
          <w:bCs/>
          <w:color w:val="000000"/>
          <w:sz w:val="24"/>
        </w:rPr>
        <w:t xml:space="preserve">订合同之日起，协审单位在一个月内完成驻点服务部署，第二个月开始进行考勤考核。考勤考核结果按月度汇总，单位拟投入的协审人员在保证响应时间的服务范围内工作时间（工作日）不低于服务工作日总数的75%列为考勤合格。协审单位应确保拟投入项目协审人员考勤合格率，月度考勤不合格的，发现一次，苏州太湖新城吴中管理委员会党政办（投资评审中心）将发评审提示书并按考核办法严格考核；发现两次，苏州太湖新城吴中管理委员会党政办（投资评审中心）将发评审警示书；发现三次及以上的，则苏州太湖新城吴中管理委员会党政办（投资评审中心）有权终止</w:t>
      </w:r>
      <w:r>
        <w:rPr>
          <w:rFonts w:hint="eastAsia" w:ascii="宋体" w:hAnsi="宋体"/>
          <w:bCs/>
          <w:color w:val="000000"/>
          <w:sz w:val="24"/>
          <w:lang w:eastAsia="zh-CN"/>
        </w:rPr>
        <w:t xml:space="preserve">苏州吴中太湖新城财政评(协)审2026年政府采购</w:t>
      </w:r>
      <w:r>
        <w:rPr>
          <w:rFonts w:hint="eastAsia" w:ascii="宋体" w:hAnsi="宋体"/>
          <w:bCs/>
          <w:color w:val="000000"/>
          <w:sz w:val="24"/>
        </w:rPr>
        <w:t xml:space="preserve">合同，并通报行业主管部门或其他相关部门进行处理，建议将其作为行业及政府采购管理和信用评价的依据之一。</w:t>
      </w:r>
      <w:r/>
    </w:p>
    <w:p>
      <w:pPr>
        <w:ind w:firstLine="480"/>
        <w:rPr>
          <w:rFonts w:hint="eastAsia" w:ascii="宋体" w:hAnsi="宋体"/>
          <w:bCs/>
          <w:color w:val="000000"/>
          <w:sz w:val="24"/>
        </w:rPr>
      </w:pPr>
      <w:r>
        <w:rPr>
          <w:rFonts w:hint="eastAsia" w:ascii="宋体" w:hAnsi="宋体"/>
          <w:bCs/>
          <w:color w:val="000000"/>
          <w:sz w:val="24"/>
          <w:lang w:val="en-US" w:eastAsia="zh-CN"/>
        </w:rPr>
        <w:t xml:space="preserve">9.</w:t>
      </w:r>
      <w:r>
        <w:rPr>
          <w:rFonts w:hint="eastAsia" w:ascii="宋体" w:hAnsi="宋体"/>
          <w:bCs/>
          <w:color w:val="000000"/>
          <w:sz w:val="24"/>
        </w:rPr>
        <w:t xml:space="preserve">评审人员要求</w:t>
      </w:r>
      <w:r/>
    </w:p>
    <w:p>
      <w:pPr>
        <w:ind w:firstLine="480"/>
        <w:spacing w:line="360" w:lineRule="auto"/>
        <w:rPr>
          <w:rFonts w:hint="eastAsia" w:ascii="宋体" w:hAnsi="宋体"/>
          <w:bCs/>
          <w:color w:val="000000"/>
          <w:sz w:val="24"/>
        </w:rPr>
      </w:pPr>
      <w:r>
        <w:rPr>
          <w:rFonts w:hint="eastAsia" w:ascii="宋体" w:hAnsi="宋体"/>
          <w:bCs/>
          <w:color w:val="000000"/>
          <w:sz w:val="24"/>
          <w:lang w:val="en-US" w:eastAsia="zh-CN"/>
        </w:rPr>
        <w:t xml:space="preserve">9</w:t>
      </w:r>
      <w:r>
        <w:rPr>
          <w:rFonts w:hint="eastAsia" w:ascii="宋体" w:hAnsi="宋体"/>
          <w:bCs/>
          <w:color w:val="000000"/>
          <w:sz w:val="24"/>
        </w:rPr>
        <w:t xml:space="preserve">.1各标段中标单位均应根据所中标段中项目专业情况配备相应专业类别并符合行业要求的造价执业人员。</w:t>
      </w:r>
      <w:r/>
    </w:p>
    <w:p>
      <w:pPr>
        <w:ind w:firstLine="480"/>
        <w:spacing w:line="360" w:lineRule="auto"/>
        <w:rPr>
          <w:rFonts w:hint="eastAsia" w:ascii="宋体" w:hAnsi="宋体"/>
          <w:bCs/>
          <w:color w:val="000000"/>
          <w:sz w:val="24"/>
        </w:rPr>
      </w:pPr>
      <w:r>
        <w:rPr>
          <w:rFonts w:hint="eastAsia" w:ascii="宋体" w:hAnsi="宋体"/>
          <w:bCs/>
          <w:color w:val="000000"/>
          <w:sz w:val="24"/>
          <w:lang w:val="en-US" w:eastAsia="zh-CN"/>
        </w:rPr>
        <w:t xml:space="preserve">9</w:t>
      </w:r>
      <w:r>
        <w:rPr>
          <w:rFonts w:hint="eastAsia" w:ascii="宋体" w:hAnsi="宋体"/>
          <w:bCs/>
          <w:color w:val="000000"/>
          <w:sz w:val="24"/>
        </w:rPr>
        <w:t xml:space="preserve">.2中标单位须为本项目拟派一级注册造价师，其它造价从业人员指按照行业相关规定，在省级范围内有效执业的造价从业人员，主要包括通过二级造价工程师考试取得职业资格的，或取得造价员职业资格的。</w:t>
      </w:r>
      <w:r/>
    </w:p>
    <w:p>
      <w:pPr>
        <w:ind w:firstLine="480"/>
        <w:rPr>
          <w:rFonts w:hint="eastAsia" w:ascii="宋体" w:hAnsi="宋体"/>
          <w:bCs/>
          <w:color w:val="000000"/>
          <w:sz w:val="24"/>
        </w:rPr>
      </w:pPr>
      <w:r>
        <w:rPr>
          <w:rFonts w:hint="eastAsia" w:ascii="宋体" w:hAnsi="宋体"/>
          <w:bCs/>
          <w:color w:val="000000"/>
          <w:sz w:val="24"/>
          <w:lang w:val="en-US" w:eastAsia="zh-CN"/>
        </w:rPr>
        <w:t xml:space="preserve">9</w:t>
      </w:r>
      <w:r>
        <w:rPr>
          <w:rFonts w:hint="eastAsia" w:ascii="宋体" w:hAnsi="宋体"/>
          <w:bCs/>
          <w:color w:val="000000"/>
          <w:sz w:val="24"/>
        </w:rPr>
        <w:t xml:space="preserve">.3须派</w:t>
      </w:r>
      <w:r>
        <w:rPr>
          <w:rFonts w:hint="eastAsia" w:ascii="宋体" w:hAnsi="宋体"/>
          <w:bCs/>
          <w:color w:val="000000"/>
          <w:sz w:val="24"/>
          <w:lang w:eastAsia="zh-CN"/>
        </w:rPr>
        <w:t xml:space="preserve">投标文件</w:t>
      </w:r>
      <w:r>
        <w:rPr>
          <w:rFonts w:hint="eastAsia" w:ascii="宋体" w:hAnsi="宋体"/>
          <w:bCs/>
          <w:color w:val="000000"/>
          <w:sz w:val="24"/>
        </w:rPr>
        <w:t xml:space="preserve">中的拟投入标段负责人。</w:t>
      </w:r>
      <w:r/>
    </w:p>
    <w:p>
      <w:pPr>
        <w:ind w:firstLine="480"/>
        <w:spacing w:line="360" w:lineRule="auto"/>
        <w:rPr>
          <w:rFonts w:hint="eastAsia" w:ascii="宋体" w:hAnsi="宋体"/>
          <w:bCs/>
          <w:color w:val="000000"/>
          <w:sz w:val="24"/>
        </w:rPr>
      </w:pPr>
      <w:r>
        <w:rPr>
          <w:rFonts w:hint="eastAsia" w:ascii="宋体" w:hAnsi="宋体"/>
          <w:bCs/>
          <w:color w:val="000000"/>
          <w:sz w:val="24"/>
          <w:lang w:val="en-US" w:eastAsia="zh-CN"/>
        </w:rPr>
        <w:t xml:space="preserve">9</w:t>
      </w:r>
      <w:r>
        <w:rPr>
          <w:rFonts w:hint="eastAsia" w:ascii="宋体" w:hAnsi="宋体"/>
          <w:bCs/>
          <w:color w:val="000000"/>
          <w:sz w:val="24"/>
        </w:rPr>
        <w:t xml:space="preserve">.4拟派人员的证书注册信息、均须与</w:t>
      </w:r>
      <w:r>
        <w:rPr>
          <w:rFonts w:hint="eastAsia" w:ascii="宋体" w:hAnsi="宋体"/>
          <w:bCs/>
          <w:color w:val="000000"/>
          <w:sz w:val="24"/>
          <w:lang w:eastAsia="zh-CN"/>
        </w:rPr>
        <w:t xml:space="preserve">投标文件</w:t>
      </w:r>
      <w:r>
        <w:rPr>
          <w:rFonts w:hint="eastAsia" w:ascii="宋体" w:hAnsi="宋体"/>
          <w:bCs/>
          <w:color w:val="000000"/>
          <w:sz w:val="24"/>
        </w:rPr>
        <w:t xml:space="preserve">中提供的一致。拟派人员在整个服务期内应保持稳定，如因离职、退休等情况导致人员变动，协审单位应按要求统一报备、及时变更，但实际投入的人员不得低于承诺的人员数量。</w:t>
      </w:r>
      <w:r/>
    </w:p>
    <w:p>
      <w:pPr>
        <w:ind w:firstLine="480"/>
        <w:rPr>
          <w:rFonts w:hint="eastAsia" w:ascii="宋体" w:hAnsi="宋体"/>
          <w:bCs/>
          <w:color w:val="000000"/>
          <w:sz w:val="24"/>
        </w:rPr>
      </w:pPr>
      <w:r>
        <w:rPr>
          <w:rFonts w:hint="eastAsia" w:ascii="宋体" w:hAnsi="宋体"/>
          <w:bCs/>
          <w:color w:val="000000"/>
          <w:sz w:val="24"/>
        </w:rPr>
        <w:t xml:space="preserve">10．协审资料归档</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协审单位完成协审任务后，应及时按照苏州太湖新城吴中管理委员会党政办（投资评审中心）要求及造价行业规范做好已完项目的归档工作，包括但不限于协审成果文件、送审图纸和标底、</w:t>
      </w:r>
      <w:r>
        <w:rPr>
          <w:rFonts w:hint="eastAsia" w:ascii="宋体" w:hAnsi="宋体"/>
          <w:bCs/>
          <w:color w:val="000000"/>
          <w:sz w:val="24"/>
          <w:lang w:eastAsia="zh-CN"/>
        </w:rPr>
        <w:t xml:space="preserve">招标文件</w:t>
      </w:r>
      <w:r>
        <w:rPr>
          <w:rFonts w:hint="eastAsia" w:ascii="宋体" w:hAnsi="宋体"/>
          <w:bCs/>
          <w:color w:val="000000"/>
          <w:sz w:val="24"/>
        </w:rPr>
        <w:t xml:space="preserve">等资料的纸质版及电子版。苏州太湖新城吴中管理委员会党政办（投资评审中心）将不定期对协审单位的资料归档情况进行检查，如检查中发现协审资料保存有缺漏或不符合苏州太湖新城吴中管理委员会党政办（投资评审中心）相应要求的，发现一次，将发评审提示书并按考核办法严格考核；发现两次，将发评审警示书；发现三次及以上，则苏州太湖新城吴中管理委员会党政办（投资评审中心）有权终止</w:t>
      </w:r>
      <w:r>
        <w:rPr>
          <w:rFonts w:hint="eastAsia" w:ascii="宋体" w:hAnsi="宋体"/>
          <w:bCs/>
          <w:color w:val="000000"/>
          <w:sz w:val="24"/>
          <w:lang w:eastAsia="zh-CN"/>
        </w:rPr>
        <w:t xml:space="preserve">苏州吴中太湖新城财政评(协)审2026年政府采购</w:t>
      </w:r>
      <w:r>
        <w:rPr>
          <w:rFonts w:hint="eastAsia" w:ascii="宋体" w:hAnsi="宋体"/>
          <w:bCs/>
          <w:color w:val="000000"/>
          <w:sz w:val="24"/>
        </w:rPr>
        <w:t xml:space="preserve">合同，并通报政府采购及相关行业主管部门，建议将其作为行业及政府采购管理和信用评价的依据之一。</w:t>
      </w:r>
      <w:r/>
    </w:p>
    <w:p>
      <w:pPr>
        <w:ind w:firstLine="480"/>
        <w:rPr>
          <w:rFonts w:hint="eastAsia" w:ascii="宋体" w:hAnsi="宋体"/>
          <w:bCs/>
          <w:color w:val="000000"/>
          <w:sz w:val="24"/>
        </w:rPr>
      </w:pPr>
      <w:r>
        <w:rPr>
          <w:rFonts w:hint="eastAsia" w:ascii="宋体" w:hAnsi="宋体"/>
          <w:bCs/>
          <w:color w:val="000000"/>
          <w:sz w:val="24"/>
        </w:rPr>
        <w:t xml:space="preserve">11．违约责任</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协审单位应履行协审工作责任并接受苏州太湖新城吴中管理委员会党政办（投资评审中心）的业务指导。协审工作应符合相关法律法规和规范要求，并满足委托单位的工作要求、协审工作规范和协审工作流程。协审单位未履行协审工作责任、违反本</w:t>
      </w:r>
      <w:r>
        <w:rPr>
          <w:rFonts w:hint="eastAsia" w:ascii="宋体" w:hAnsi="宋体"/>
          <w:bCs/>
          <w:color w:val="000000"/>
          <w:sz w:val="24"/>
          <w:lang w:eastAsia="zh-CN"/>
        </w:rPr>
        <w:t xml:space="preserve">招标文件</w:t>
      </w:r>
      <w:r>
        <w:rPr>
          <w:rFonts w:hint="eastAsia" w:ascii="宋体" w:hAnsi="宋体"/>
          <w:bCs/>
          <w:color w:val="000000"/>
          <w:sz w:val="24"/>
        </w:rPr>
        <w:t xml:space="preserve">及协审采购服务合同约定，或在工作要求、工作效率和工作质量上出现差错，委托人有权视情况采取相应措施进行惩处。造成委托人经济损失的，应向委托人进行赔偿，赔偿金额不超咨询酬金总额，情节严重者终止</w:t>
      </w:r>
      <w:r>
        <w:rPr>
          <w:rFonts w:hint="eastAsia" w:ascii="宋体" w:hAnsi="宋体"/>
          <w:bCs/>
          <w:color w:val="000000"/>
          <w:sz w:val="24"/>
          <w:lang w:eastAsia="zh-CN"/>
        </w:rPr>
        <w:t xml:space="preserve">苏州吴中太湖新城财政评(协)审2026年政府采购</w:t>
      </w:r>
      <w:r>
        <w:rPr>
          <w:rFonts w:hint="eastAsia" w:ascii="宋体" w:hAnsi="宋体"/>
          <w:bCs/>
          <w:color w:val="000000"/>
          <w:sz w:val="24"/>
        </w:rPr>
        <w:t xml:space="preserve">合同，并通报政府采购及相关行业主管部门，建议将其作为行业及政府采购管理和信用评价的依据之一。</w:t>
      </w:r>
      <w:r/>
    </w:p>
    <w:p>
      <w:pPr>
        <w:ind w:firstLine="480"/>
        <w:spacing w:line="360" w:lineRule="auto"/>
        <w:rPr>
          <w:rFonts w:hint="eastAsia" w:ascii="宋体" w:hAnsi="宋体" w:eastAsia="宋体"/>
          <w:bCs/>
          <w:color w:val="000000"/>
          <w:sz w:val="24"/>
          <w:lang w:eastAsia="zh-CN"/>
        </w:rPr>
      </w:pPr>
      <w:r>
        <w:rPr>
          <w:rFonts w:hint="eastAsia" w:ascii="宋体" w:hAnsi="宋体"/>
          <w:bCs/>
          <w:color w:val="000000"/>
          <w:sz w:val="24"/>
        </w:rPr>
        <w:t xml:space="preserve">造价协审单位被解除</w:t>
      </w:r>
      <w:r>
        <w:rPr>
          <w:rFonts w:hint="eastAsia" w:ascii="宋体" w:hAnsi="宋体"/>
          <w:bCs/>
          <w:color w:val="000000"/>
          <w:sz w:val="24"/>
          <w:lang w:eastAsia="zh-CN"/>
        </w:rPr>
        <w:t xml:space="preserve">苏州吴中太湖新城财政评(协)审2026年政府采购</w:t>
      </w:r>
      <w:r>
        <w:rPr>
          <w:rFonts w:hint="eastAsia" w:ascii="宋体" w:hAnsi="宋体"/>
          <w:bCs/>
          <w:color w:val="000000"/>
          <w:sz w:val="24"/>
        </w:rPr>
        <w:t xml:space="preserve">合同的，自合同解除之日起，成交标段中未开始协审的项目全部取消协审，协审项目另行安排；已开始协审的项目应在合同解除后二个月内完成协审工作，如二个月内无法完成的，将取消协审，协审项目另行安排。被取消协审的协审项目，协审费用不予计取</w:t>
      </w:r>
      <w:r>
        <w:rPr>
          <w:rFonts w:hint="eastAsia" w:ascii="宋体" w:hAnsi="宋体"/>
          <w:bCs/>
          <w:color w:val="000000"/>
          <w:sz w:val="24"/>
          <w:lang w:eastAsia="zh-CN"/>
        </w:rPr>
        <w:t xml:space="preserve">。</w:t>
      </w:r>
      <w:r/>
    </w:p>
    <w:p>
      <w:pPr>
        <w:ind w:firstLine="480"/>
        <w:spacing w:after="0" w:line="360" w:lineRule="auto"/>
        <w:rPr>
          <w:rFonts w:hint="eastAsia" w:ascii="宋体" w:hAnsi="宋体" w:cs="宋体"/>
          <w:b/>
          <w:bCs/>
          <w:color w:val="000000"/>
          <w:sz w:val="24"/>
        </w:rPr>
      </w:pPr>
      <w:r>
        <w:rPr>
          <w:rFonts w:hint="eastAsia" w:ascii="宋体" w:hAnsi="宋体" w:cs="宋体"/>
          <w:b/>
          <w:bCs/>
          <w:color w:val="000000"/>
          <w:sz w:val="24"/>
        </w:rPr>
        <w:t xml:space="preserve">7、相关附表</w:t>
      </w:r>
      <w:r/>
    </w:p>
    <w:p>
      <w:pPr>
        <w:ind w:firstLine="480"/>
        <w:spacing w:line="360" w:lineRule="auto"/>
        <w:rPr>
          <w:rFonts w:hint="eastAsia" w:ascii="宋体" w:hAnsi="宋体" w:cs="宋体"/>
          <w:sz w:val="24"/>
        </w:rPr>
      </w:pPr>
      <w:r>
        <w:rPr>
          <w:rFonts w:hint="eastAsia" w:ascii="宋体" w:hAnsi="宋体" w:cs="宋体"/>
          <w:sz w:val="24"/>
        </w:rPr>
        <w:t xml:space="preserve">附表一：苏州太湖新城吴中管委会党政办（投资评审中心）财政评审协审费用支付标准</w:t>
      </w:r>
      <w:r/>
    </w:p>
    <w:p>
      <w:pPr>
        <w:ind w:firstLine="482"/>
        <w:spacing w:after="0" w:line="360" w:lineRule="auto"/>
        <w:rPr>
          <w:rFonts w:hint="eastAsia" w:ascii="宋体" w:hAnsi="宋体" w:cs="宋体"/>
          <w:sz w:val="24"/>
        </w:rPr>
      </w:pPr>
      <w:r>
        <w:rPr>
          <w:rFonts w:hint="eastAsia" w:ascii="宋体" w:hAnsi="宋体" w:cs="宋体"/>
          <w:sz w:val="24"/>
        </w:rPr>
        <w:t xml:space="preserve">附表二：苏州太湖新城吴中管委会党政办（投资评审中心）财政评审协审单位评审项目业务质量考核表</w:t>
      </w:r>
      <w:r/>
    </w:p>
    <w:p>
      <w:pPr>
        <w:ind w:firstLine="482"/>
        <w:spacing w:after="0" w:line="360" w:lineRule="auto"/>
        <w:rPr>
          <w:rFonts w:hint="eastAsia" w:ascii="宋体" w:hAnsi="宋体" w:cs="宋体"/>
          <w:b/>
          <w:color w:val="000000"/>
          <w:sz w:val="24"/>
        </w:rPr>
      </w:pPr>
      <w:r>
        <w:rPr>
          <w:rFonts w:hint="eastAsia" w:ascii="宋体" w:hAnsi="宋体" w:cs="宋体"/>
          <w:b/>
          <w:color w:val="000000"/>
          <w:sz w:val="24"/>
        </w:rPr>
        <w:t xml:space="preserve">五、综合说明 </w:t>
      </w:r>
      <w:r/>
    </w:p>
    <w:p>
      <w:pPr>
        <w:ind w:firstLine="480"/>
        <w:spacing w:line="360" w:lineRule="auto"/>
        <w:rPr>
          <w:rFonts w:hint="eastAsia" w:ascii="宋体" w:hAnsi="宋体"/>
          <w:sz w:val="24"/>
        </w:rPr>
      </w:pPr>
      <w:r>
        <w:rPr>
          <w:rFonts w:hint="eastAsia" w:ascii="宋体" w:hAnsi="宋体" w:cs="宋体"/>
          <w:sz w:val="24"/>
        </w:rPr>
        <w:t xml:space="preserve">1、</w:t>
      </w:r>
      <w:r>
        <w:rPr>
          <w:rFonts w:hint="eastAsia" w:ascii="宋体" w:hAnsi="宋体"/>
          <w:sz w:val="24"/>
        </w:rPr>
        <w:t xml:space="preserve">根据《关于贯彻执行绿色采购、促进残疾人就业和支持监狱企业发展有关政策的通知（苏财购〔2019〕10号）》的通知规定。</w:t>
      </w:r>
      <w:r/>
    </w:p>
    <w:p>
      <w:pPr>
        <w:ind w:firstLine="480"/>
        <w:spacing w:line="360" w:lineRule="auto"/>
        <w:rPr>
          <w:rFonts w:hint="eastAsia" w:ascii="宋体" w:hAnsi="宋体"/>
          <w:sz w:val="24"/>
        </w:rPr>
      </w:pPr>
      <w:r>
        <w:rPr>
          <w:rFonts w:hint="eastAsia" w:ascii="宋体" w:hAnsi="宋体"/>
          <w:sz w:val="24"/>
        </w:rPr>
        <w:t xml:space="preserve">2、根据苏州市财政局</w:t>
      </w:r>
      <w:r>
        <w:rPr>
          <w:rFonts w:ascii="宋体" w:hAnsi="宋体"/>
          <w:sz w:val="24"/>
        </w:rPr>
        <w:t xml:space="preserve">《关于进一步做好政府采购正常贯彻执行工作的通知》</w:t>
      </w:r>
      <w:r>
        <w:rPr>
          <w:rFonts w:hint="eastAsia" w:ascii="宋体" w:hAnsi="宋体"/>
          <w:sz w:val="24"/>
        </w:rPr>
        <w:t xml:space="preserve">（</w:t>
      </w:r>
      <w:r>
        <w:rPr>
          <w:rFonts w:ascii="宋体" w:hAnsi="宋体"/>
          <w:sz w:val="24"/>
        </w:rPr>
        <w:t xml:space="preserve">苏财</w:t>
      </w:r>
      <w:r>
        <w:rPr>
          <w:rFonts w:hint="eastAsia" w:ascii="宋体" w:hAnsi="宋体"/>
          <w:sz w:val="24"/>
        </w:rPr>
        <w:t xml:space="preserve">购（2017）10号）文件的规定；</w:t>
      </w:r>
      <w:r/>
    </w:p>
    <w:p>
      <w:pPr>
        <w:ind w:firstLine="480"/>
        <w:spacing w:after="0" w:line="360" w:lineRule="auto"/>
        <w:tabs>
          <w:tab w:val="left" w:pos="420" w:leader="none"/>
        </w:tabs>
        <w:rPr>
          <w:rFonts w:hint="eastAsia" w:ascii="宋体" w:hAnsi="宋体"/>
          <w:sz w:val="24"/>
        </w:rPr>
      </w:pPr>
      <w:r>
        <w:rPr>
          <w:rFonts w:hint="eastAsia" w:ascii="宋体" w:hAnsi="宋体"/>
          <w:sz w:val="24"/>
        </w:rPr>
        <w:t xml:space="preserve">3、根据《转发省财政厅关于做好政府采购支持企业发展有关事项的通知》（苏财购〔2020〕42号）的通知规定执行。</w:t>
      </w:r>
      <w:r/>
    </w:p>
    <w:p>
      <w:pPr>
        <w:ind w:firstLine="480"/>
        <w:spacing w:after="0" w:line="360" w:lineRule="auto"/>
        <w:tabs>
          <w:tab w:val="left" w:pos="420" w:leader="none"/>
        </w:tabs>
        <w:rPr>
          <w:rFonts w:hint="eastAsia" w:ascii="宋体" w:hAnsi="宋体" w:cs="宋体"/>
          <w:bCs/>
          <w:color w:val="000000"/>
          <w:sz w:val="24"/>
        </w:rPr>
      </w:pPr>
      <w:r>
        <w:rPr>
          <w:rFonts w:hint="eastAsia" w:ascii="宋体" w:hAnsi="宋体" w:cs="宋体"/>
          <w:bCs/>
          <w:color w:val="000000"/>
          <w:sz w:val="24"/>
        </w:rPr>
        <w:t xml:space="preserve">4、中标单位违反国家相关法规，与聘用人员发生纠纷，均由中标单位负责调解与处理，</w:t>
      </w:r>
      <w:r>
        <w:rPr>
          <w:rFonts w:hint="eastAsia" w:ascii="宋体" w:hAnsi="宋体" w:cs="宋体"/>
          <w:bCs/>
          <w:color w:val="000000"/>
          <w:sz w:val="24"/>
          <w:lang w:eastAsia="zh-CN"/>
        </w:rPr>
        <w:t xml:space="preserve">招标人</w:t>
      </w:r>
      <w:r>
        <w:rPr>
          <w:rFonts w:hint="eastAsia" w:ascii="宋体" w:hAnsi="宋体" w:cs="宋体"/>
          <w:bCs/>
          <w:color w:val="000000"/>
          <w:sz w:val="24"/>
        </w:rPr>
        <w:t xml:space="preserve">不承担责任。</w:t>
      </w:r>
      <w:r/>
    </w:p>
    <w:p>
      <w:pPr>
        <w:ind w:firstLine="480"/>
        <w:spacing w:after="0" w:line="360" w:lineRule="auto"/>
        <w:tabs>
          <w:tab w:val="left" w:pos="420" w:leader="none"/>
        </w:tabs>
        <w:rPr>
          <w:rFonts w:hint="eastAsia" w:ascii="宋体" w:hAnsi="宋体" w:cs="宋体"/>
          <w:bCs/>
          <w:color w:val="000000"/>
          <w:sz w:val="24"/>
        </w:rPr>
      </w:pPr>
      <w:r>
        <w:rPr>
          <w:rFonts w:hint="eastAsia" w:ascii="宋体" w:hAnsi="宋体" w:cs="宋体"/>
          <w:bCs/>
          <w:color w:val="000000"/>
          <w:sz w:val="24"/>
        </w:rPr>
        <w:t xml:space="preserve">5、中标单位须加强管理，因</w:t>
      </w:r>
      <w:r>
        <w:rPr>
          <w:rFonts w:ascii="宋体" w:hAnsi="宋体" w:cs="宋体"/>
          <w:bCs/>
          <w:color w:val="000000"/>
          <w:sz w:val="24"/>
        </w:rPr>
        <w:t xml:space="preserve">管理不</w:t>
      </w:r>
      <w:r>
        <w:rPr>
          <w:rFonts w:hint="eastAsia" w:ascii="宋体" w:hAnsi="宋体" w:cs="宋体"/>
          <w:bCs/>
          <w:color w:val="000000"/>
          <w:sz w:val="24"/>
        </w:rPr>
        <w:t xml:space="preserve">善带来的损失和赔偿责任由中标人负责；因</w:t>
      </w:r>
      <w:r>
        <w:rPr>
          <w:rFonts w:ascii="宋体" w:hAnsi="宋体" w:cs="宋体"/>
          <w:bCs/>
          <w:color w:val="000000"/>
          <w:sz w:val="24"/>
        </w:rPr>
        <w:t xml:space="preserve">管理不</w:t>
      </w:r>
      <w:r>
        <w:rPr>
          <w:rFonts w:hint="eastAsia" w:ascii="宋体" w:hAnsi="宋体" w:cs="宋体"/>
          <w:bCs/>
          <w:color w:val="000000"/>
          <w:sz w:val="24"/>
        </w:rPr>
        <w:t xml:space="preserve">善导致产生不良社会影响的，由中标单位负责接洽投诉人或新闻媒体等，并作后续处理，直至消除影响。服务人员工作中产生的赔偿、损失等相关费用由中标单位承担。</w:t>
      </w:r>
      <w:r/>
    </w:p>
    <w:p>
      <w:pPr>
        <w:ind w:firstLine="480"/>
        <w:spacing w:after="0" w:line="360" w:lineRule="auto"/>
        <w:tabs>
          <w:tab w:val="left" w:pos="420" w:leader="none"/>
        </w:tabs>
        <w:rPr>
          <w:rFonts w:hint="eastAsia" w:ascii="宋体" w:hAnsi="宋体" w:cs="宋体"/>
          <w:bCs/>
          <w:color w:val="000000"/>
          <w:sz w:val="24"/>
        </w:rPr>
      </w:pPr>
      <w:r>
        <w:rPr>
          <w:rFonts w:hint="eastAsia" w:ascii="宋体" w:hAnsi="宋体" w:cs="宋体"/>
          <w:bCs/>
          <w:color w:val="000000"/>
          <w:sz w:val="24"/>
        </w:rPr>
        <w:t xml:space="preserve">6、中标单位应要求服务人员按照规定的各路段的管理时间到岗、离岗，不得迟到或早退。</w:t>
      </w:r>
      <w:r/>
    </w:p>
    <w:p>
      <w:pPr>
        <w:ind w:firstLine="480"/>
        <w:spacing w:after="0" w:line="360" w:lineRule="auto"/>
        <w:tabs>
          <w:tab w:val="left" w:pos="420" w:leader="none"/>
          <w:tab w:val="left" w:pos="540" w:leader="none"/>
        </w:tabs>
        <w:rPr>
          <w:rFonts w:hint="eastAsia" w:ascii="宋体" w:hAnsi="宋体" w:cs="宋体"/>
          <w:bCs/>
          <w:color w:val="000000"/>
          <w:sz w:val="24"/>
        </w:rPr>
      </w:pPr>
      <w:r>
        <w:rPr>
          <w:rFonts w:hint="eastAsia" w:ascii="宋体" w:hAnsi="宋体" w:cs="宋体"/>
          <w:bCs/>
          <w:color w:val="000000"/>
          <w:sz w:val="24"/>
        </w:rPr>
        <w:t xml:space="preserve">7、投标单位按照招标文件的要求提交投标文件，并对所提供的全部资料的真实性承担法律责任。</w:t>
      </w:r>
      <w:r/>
    </w:p>
    <w:p>
      <w:pPr>
        <w:ind w:firstLine="480"/>
        <w:spacing w:after="0" w:line="360" w:lineRule="auto"/>
        <w:tabs>
          <w:tab w:val="left" w:pos="420" w:leader="none"/>
          <w:tab w:val="left" w:pos="540" w:leader="none"/>
        </w:tabs>
        <w:rPr>
          <w:rFonts w:hint="eastAsia" w:ascii="宋体" w:hAnsi="宋体" w:cs="宋体"/>
          <w:bCs/>
          <w:color w:val="000000"/>
          <w:sz w:val="24"/>
        </w:rPr>
      </w:pPr>
      <w:r>
        <w:rPr>
          <w:rFonts w:hint="eastAsia" w:ascii="宋体" w:hAnsi="宋体" w:cs="宋体"/>
          <w:bCs/>
          <w:color w:val="000000"/>
          <w:sz w:val="24"/>
        </w:rPr>
        <w:t xml:space="preserve">8、中标单位将根据招标文件、投标文件的相关约定，承担合同责任，履行合同义务。</w:t>
      </w:r>
      <w:r/>
    </w:p>
    <w:p>
      <w:pPr>
        <w:ind w:firstLine="480"/>
        <w:spacing w:after="0" w:line="360" w:lineRule="auto"/>
        <w:tabs>
          <w:tab w:val="left" w:pos="420" w:leader="none"/>
          <w:tab w:val="left" w:pos="540" w:leader="none"/>
        </w:tabs>
        <w:rPr>
          <w:rFonts w:hint="eastAsia" w:ascii="宋体" w:hAnsi="宋体" w:cs="宋体"/>
          <w:bCs/>
          <w:color w:val="000000"/>
          <w:sz w:val="24"/>
        </w:rPr>
      </w:pPr>
      <w:r>
        <w:rPr>
          <w:rFonts w:hint="eastAsia" w:ascii="宋体" w:hAnsi="宋体" w:cs="宋体"/>
          <w:bCs/>
          <w:color w:val="000000"/>
          <w:sz w:val="24"/>
        </w:rPr>
        <w:t xml:space="preserve">9、投标单位应保证在本项目使用的任何产品（包括部分使用）时，不会产生因第三方提出侵犯其专利权、商标权或其它知识产权而引起的法律和经济纠纷，如因专利权、商标权或其它知识产权而引起法律和经济纠纷，由投标单位承担所有相关责任。</w:t>
      </w:r>
      <w:r/>
    </w:p>
    <w:p>
      <w:pPr>
        <w:ind w:firstLine="482"/>
        <w:spacing w:after="0" w:line="360" w:lineRule="auto"/>
        <w:rPr>
          <w:rFonts w:hint="eastAsia" w:ascii="宋体" w:hAnsi="宋体" w:cs="宋体"/>
          <w:b/>
          <w:color w:val="000000"/>
          <w:sz w:val="24"/>
        </w:rPr>
      </w:pPr>
      <w:r>
        <w:rPr>
          <w:rFonts w:hint="eastAsia" w:ascii="宋体" w:hAnsi="宋体" w:cs="宋体"/>
          <w:b/>
          <w:color w:val="000000"/>
          <w:sz w:val="24"/>
        </w:rPr>
        <w:t xml:space="preserve">六、凡涉及招标文件的补充说明和修改，均以苏州政府采购网最后发布的内容为准。</w:t>
      </w:r>
      <w:r/>
    </w:p>
    <w:p>
      <w:pPr>
        <w:pStyle w:val="1162"/>
        <w:jc w:val="center"/>
        <w:spacing w:after="0" w:line="360" w:lineRule="auto"/>
        <w:tabs>
          <w:tab w:val="right" w:pos="8302" w:leader="dot"/>
        </w:tabs>
        <w:rPr>
          <w:rStyle w:val="974"/>
          <w:rFonts w:hint="eastAsia" w:ascii="宋体" w:hAnsi="宋体" w:cs="宋体"/>
          <w:b w:val="0"/>
          <w:bCs/>
          <w:color w:val="000000"/>
          <w:szCs w:val="24"/>
        </w:rPr>
      </w:pPr>
      <w:r>
        <w:rPr>
          <w:rFonts w:hint="eastAsia" w:ascii="宋体" w:hAnsi="宋体" w:cs="宋体"/>
          <w:b w:val="0"/>
          <w:bCs/>
          <w:color w:val="000000"/>
          <w:szCs w:val="24"/>
        </w:rPr>
      </w:r>
      <w:r/>
    </w:p>
    <w:p>
      <w:pPr>
        <w:spacing w:after="0" w:line="360" w:lineRule="auto"/>
        <w:rPr>
          <w:rStyle w:val="974"/>
          <w:rFonts w:hint="eastAsia" w:ascii="宋体" w:hAnsi="宋体" w:cs="宋体"/>
          <w:b w:val="0"/>
          <w:bCs/>
          <w:color w:val="000000"/>
          <w:szCs w:val="24"/>
        </w:rPr>
      </w:pPr>
      <w:r>
        <w:rPr>
          <w:rFonts w:hint="eastAsia" w:ascii="宋体" w:hAnsi="宋体" w:cs="宋体"/>
          <w:b/>
          <w:color w:val="000000"/>
          <w:sz w:val="24"/>
        </w:rPr>
        <w:br w:type="page" w:clear="all"/>
      </w:r>
      <w:r/>
    </w:p>
    <w:p>
      <w:pPr>
        <w:pStyle w:val="846"/>
        <w:jc w:val="center"/>
        <w:spacing w:line="360" w:lineRule="auto"/>
        <w:tabs>
          <w:tab w:val="left" w:pos="5250" w:leader="none"/>
        </w:tabs>
        <w:rPr>
          <w:rFonts w:ascii="宋体" w:hAnsi="宋体" w:cs="宋体"/>
          <w:sz w:val="24"/>
        </w:rPr>
        <w:outlineLvl w:val="0"/>
      </w:pPr>
      <w:r>
        <w:rPr>
          <w:rFonts w:hint="eastAsia" w:ascii="宋体" w:hAnsi="宋体" w:cs="宋体"/>
          <w:sz w:val="24"/>
        </w:rPr>
        <w:t xml:space="preserve">第五章、合同主要条款及格式</w:t>
      </w:r>
      <w:r/>
    </w:p>
    <w:p>
      <w:pPr>
        <w:ind w:firstLine="540"/>
        <w:spacing w:line="360" w:lineRule="auto"/>
        <w:rPr>
          <w:rFonts w:ascii="宋体" w:hAnsi="宋体" w:cs="宋体"/>
          <w:sz w:val="24"/>
        </w:rPr>
      </w:pPr>
      <w:r>
        <w:rPr>
          <w:rFonts w:hint="eastAsia" w:ascii="宋体" w:hAnsi="宋体" w:cs="宋体"/>
          <w:sz w:val="24"/>
        </w:rPr>
        <w:t xml:space="preserve">甲方：</w:t>
      </w:r>
      <w:r/>
    </w:p>
    <w:p>
      <w:pPr>
        <w:ind w:firstLine="540"/>
        <w:spacing w:line="360" w:lineRule="auto"/>
        <w:rPr>
          <w:rFonts w:hint="eastAsia" w:ascii="宋体" w:hAnsi="宋体" w:cs="宋体"/>
          <w:sz w:val="24"/>
        </w:rPr>
      </w:pPr>
      <w:r>
        <w:rPr>
          <w:rFonts w:hint="eastAsia" w:ascii="宋体" w:hAnsi="宋体" w:cs="宋体"/>
          <w:sz w:val="24"/>
        </w:rPr>
        <w:t xml:space="preserve">联系人：</w:t>
      </w:r>
      <w:r/>
    </w:p>
    <w:p>
      <w:pPr>
        <w:ind w:firstLine="540"/>
        <w:spacing w:line="360" w:lineRule="auto"/>
        <w:rPr>
          <w:rFonts w:hint="eastAsia" w:ascii="宋体" w:hAnsi="宋体" w:cs="宋体"/>
          <w:sz w:val="24"/>
        </w:rPr>
      </w:pPr>
      <w:r>
        <w:rPr>
          <w:rFonts w:hint="eastAsia" w:ascii="宋体" w:hAnsi="宋体" w:cs="宋体"/>
          <w:sz w:val="24"/>
        </w:rPr>
        <w:t xml:space="preserve">联系电话：</w:t>
      </w:r>
      <w:r/>
    </w:p>
    <w:p>
      <w:pPr>
        <w:ind w:firstLine="540"/>
        <w:spacing w:line="360" w:lineRule="auto"/>
        <w:rPr>
          <w:rFonts w:hint="eastAsia" w:ascii="宋体" w:hAnsi="宋体" w:cs="宋体"/>
          <w:sz w:val="24"/>
        </w:rPr>
      </w:pPr>
      <w:r>
        <w:rPr>
          <w:rFonts w:hint="eastAsia" w:ascii="宋体" w:hAnsi="宋体" w:cs="宋体"/>
          <w:sz w:val="24"/>
        </w:rPr>
      </w:r>
      <w:r/>
    </w:p>
    <w:p>
      <w:pPr>
        <w:ind w:firstLine="540"/>
        <w:spacing w:line="360" w:lineRule="auto"/>
        <w:rPr>
          <w:rFonts w:hint="eastAsia" w:ascii="宋体" w:hAnsi="宋体" w:cs="宋体"/>
          <w:sz w:val="24"/>
        </w:rPr>
      </w:pPr>
      <w:r>
        <w:rPr>
          <w:rFonts w:hint="eastAsia" w:ascii="宋体" w:hAnsi="宋体" w:cs="宋体"/>
          <w:sz w:val="24"/>
        </w:rPr>
        <w:t xml:space="preserve">乙方：</w:t>
      </w:r>
      <w:r/>
    </w:p>
    <w:p>
      <w:pPr>
        <w:ind w:firstLine="540"/>
        <w:spacing w:line="360" w:lineRule="auto"/>
        <w:rPr>
          <w:rFonts w:hint="eastAsia" w:ascii="宋体" w:hAnsi="宋体" w:cs="宋体"/>
          <w:sz w:val="24"/>
        </w:rPr>
      </w:pPr>
      <w:r>
        <w:rPr>
          <w:rFonts w:hint="eastAsia" w:ascii="宋体" w:hAnsi="宋体" w:cs="宋体"/>
          <w:sz w:val="24"/>
        </w:rPr>
        <w:t xml:space="preserve">联系人：</w:t>
      </w:r>
      <w:r/>
    </w:p>
    <w:p>
      <w:pPr>
        <w:ind w:firstLine="540"/>
        <w:spacing w:line="360" w:lineRule="auto"/>
        <w:rPr>
          <w:rFonts w:ascii="宋体" w:hAnsi="宋体" w:cs="宋体"/>
          <w:sz w:val="24"/>
        </w:rPr>
      </w:pPr>
      <w:r>
        <w:rPr>
          <w:rFonts w:hint="eastAsia" w:ascii="宋体" w:hAnsi="宋体" w:cs="宋体"/>
          <w:sz w:val="24"/>
        </w:rPr>
        <w:t xml:space="preserve">联系电话：</w:t>
      </w:r>
      <w:r/>
    </w:p>
    <w:p>
      <w:pPr>
        <w:ind w:firstLine="540"/>
        <w:spacing w:line="360" w:lineRule="auto"/>
        <w:rPr>
          <w:rFonts w:ascii="宋体" w:hAnsi="宋体" w:cs="宋体"/>
          <w:sz w:val="24"/>
        </w:rPr>
      </w:pPr>
      <w:r>
        <w:rPr>
          <w:rFonts w:ascii="宋体" w:hAnsi="宋体" w:cs="宋体"/>
          <w:sz w:val="24"/>
        </w:rPr>
      </w:r>
      <w:r/>
    </w:p>
    <w:p>
      <w:pPr>
        <w:ind w:firstLine="540"/>
        <w:spacing w:line="360" w:lineRule="auto"/>
        <w:rPr>
          <w:rFonts w:ascii="宋体" w:hAnsi="宋体" w:cs="宋体"/>
          <w:sz w:val="24"/>
        </w:rPr>
      </w:pPr>
      <w:r>
        <w:rPr>
          <w:rFonts w:hint="eastAsia" w:ascii="宋体" w:hAnsi="宋体" w:cs="宋体"/>
          <w:sz w:val="24"/>
        </w:rPr>
        <w:t xml:space="preserve">根据甲方申请并财政局核准</w:t>
      </w:r>
      <w:r>
        <w:rPr>
          <w:rFonts w:hint="eastAsia" w:ascii="宋体" w:hAnsi="宋体" w:cs="宋体"/>
          <w:sz w:val="24"/>
          <w:lang w:eastAsia="zh-CN"/>
        </w:rPr>
        <w:t xml:space="preserve">苏州吴中太湖新城财政评(协)审2026年政府采购</w:t>
      </w:r>
      <w:r>
        <w:rPr>
          <w:rFonts w:hint="eastAsia" w:ascii="宋体" w:hAnsi="宋体" w:cs="宋体"/>
          <w:sz w:val="24"/>
        </w:rPr>
        <w:t xml:space="preserve">的政府采购计划，依据甲方委托苏州铖溢林建设工程管理有限公司进行本项目政府采购</w:t>
      </w:r>
      <w:r>
        <w:rPr>
          <w:rFonts w:hint="eastAsia" w:ascii="宋体" w:hAnsi="宋体" w:cs="宋体"/>
          <w:sz w:val="24"/>
          <w:highlight w:val="none"/>
          <w:lang w:eastAsia="zh-CN"/>
        </w:rPr>
        <w:t xml:space="preserve">JSZC-320506-ZMZX-G2026-0001</w:t>
      </w:r>
      <w:r>
        <w:rPr>
          <w:rFonts w:hint="eastAsia" w:ascii="宋体" w:hAnsi="宋体" w:cs="宋体"/>
          <w:sz w:val="24"/>
        </w:rPr>
        <w:t xml:space="preserve">的成交结果，确定乙方为本次成交供应商，现依照磋商</w:t>
      </w:r>
      <w:r>
        <w:rPr>
          <w:rFonts w:hint="eastAsia" w:ascii="宋体" w:hAnsi="宋体" w:cs="宋体"/>
          <w:sz w:val="24"/>
          <w:lang w:eastAsia="zh-CN"/>
        </w:rPr>
        <w:t xml:space="preserve">招标文件</w:t>
      </w:r>
      <w:r>
        <w:rPr>
          <w:rFonts w:hint="eastAsia" w:ascii="宋体" w:hAnsi="宋体" w:cs="宋体"/>
          <w:sz w:val="24"/>
        </w:rPr>
        <w:t xml:space="preserve">、乙方的</w:t>
      </w:r>
      <w:r>
        <w:rPr>
          <w:rFonts w:hint="eastAsia" w:ascii="宋体" w:hAnsi="宋体" w:cs="宋体"/>
          <w:sz w:val="24"/>
          <w:lang w:eastAsia="zh-CN"/>
        </w:rPr>
        <w:t xml:space="preserve">投标文件</w:t>
      </w:r>
      <w:r>
        <w:rPr>
          <w:rFonts w:hint="eastAsia" w:ascii="宋体" w:hAnsi="宋体" w:cs="宋体"/>
          <w:sz w:val="24"/>
        </w:rPr>
        <w:t xml:space="preserve">及相关文件的内容，签订本合同书。</w:t>
      </w:r>
      <w:r/>
    </w:p>
    <w:p>
      <w:pPr>
        <w:ind w:firstLine="422"/>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一、乙方通过招投标获得</w:t>
      </w:r>
      <w:r>
        <w:rPr>
          <w:rFonts w:hint="eastAsia" w:ascii="宋体" w:hAnsi="宋体" w:cs="宋体"/>
          <w:color w:val="000000"/>
          <w:sz w:val="24"/>
          <w:lang w:eastAsia="zh-CN"/>
        </w:rPr>
        <w:t xml:space="preserve">苏州吴中太湖新城财政评(协)审2026年政府采购</w:t>
      </w:r>
      <w:r>
        <w:rPr>
          <w:rFonts w:ascii="宋体" w:hAnsi="宋体" w:cs="宋体"/>
          <w:color w:val="000000"/>
          <w:sz w:val="24"/>
        </w:rPr>
        <w:t xml:space="preserve">供应商资格，完成第</w:t>
      </w:r>
      <w:r>
        <w:rPr>
          <w:rFonts w:ascii="宋体" w:hAnsi="宋体" w:cs="宋体"/>
          <w:color w:val="000000"/>
          <w:sz w:val="24"/>
          <w:u w:val="single"/>
        </w:rPr>
        <w:t xml:space="preserve">      </w:t>
      </w:r>
      <w:r>
        <w:rPr>
          <w:rFonts w:ascii="宋体" w:hAnsi="宋体" w:cs="宋体"/>
          <w:color w:val="000000"/>
          <w:sz w:val="24"/>
        </w:rPr>
        <w:t xml:space="preserve">标段相应项目及造价评审内容的协审服务工作。</w:t>
      </w:r>
      <w:r/>
    </w:p>
    <w:p>
      <w:pPr>
        <w:ind w:firstLine="422"/>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二、合同有效期为：合同签订之日起至整个标段所有协审项目完成</w:t>
      </w:r>
      <w:r/>
    </w:p>
    <w:p>
      <w:pPr>
        <w:ind w:firstLine="422"/>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三、合同金额：人民币</w:t>
      </w:r>
      <w:r>
        <w:rPr>
          <w:rFonts w:ascii="宋体" w:hAnsi="宋体" w:cs="宋体"/>
          <w:color w:val="000000"/>
          <w:sz w:val="24"/>
          <w:u w:val="single"/>
        </w:rPr>
        <w:t xml:space="preserve">         </w:t>
      </w:r>
      <w:r>
        <w:rPr>
          <w:rFonts w:ascii="宋体" w:hAnsi="宋体" w:cs="宋体"/>
          <w:color w:val="000000"/>
          <w:sz w:val="24"/>
        </w:rPr>
        <w:t xml:space="preserve">万元（各标段预算金额），具体协审费用依据</w:t>
      </w:r>
      <w:r>
        <w:rPr>
          <w:rFonts w:hint="eastAsia" w:ascii="宋体" w:hAnsi="宋体" w:cs="宋体"/>
          <w:color w:val="000000"/>
          <w:sz w:val="24"/>
          <w:lang w:eastAsia="zh-CN"/>
        </w:rPr>
        <w:t xml:space="preserve">招标文件</w:t>
      </w:r>
      <w:r>
        <w:rPr>
          <w:rFonts w:ascii="宋体" w:hAnsi="宋体" w:cs="宋体"/>
          <w:color w:val="000000"/>
          <w:sz w:val="24"/>
        </w:rPr>
        <w:t xml:space="preserve">中明确的计费方式，按具体委托项目考核情况计取。</w:t>
      </w:r>
      <w:r/>
    </w:p>
    <w:p>
      <w:pPr>
        <w:ind w:firstLine="422"/>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四、下列文件应视为构成并作为阅读和理解本合同书的组成部分，即：</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1．本合同书；</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lang w:val="en-US" w:eastAsia="zh-CN"/>
        </w:rPr>
        <w:t xml:space="preserve">中标</w:t>
      </w:r>
      <w:r>
        <w:rPr>
          <w:rFonts w:ascii="宋体" w:hAnsi="宋体" w:cs="宋体"/>
          <w:color w:val="000000"/>
          <w:sz w:val="24"/>
        </w:rPr>
        <w:t xml:space="preserve">通知书；</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lang w:eastAsia="zh-CN"/>
        </w:rPr>
        <w:t xml:space="preserve">投标文件</w:t>
      </w:r>
      <w:r>
        <w:rPr>
          <w:rFonts w:ascii="宋体" w:hAnsi="宋体" w:cs="宋体"/>
          <w:color w:val="000000"/>
          <w:sz w:val="24"/>
        </w:rPr>
        <w:t xml:space="preserve">及其附件（含</w:t>
      </w:r>
      <w:r>
        <w:rPr>
          <w:rFonts w:hint="eastAsia" w:ascii="宋体" w:hAnsi="宋体" w:cs="宋体"/>
          <w:color w:val="000000"/>
          <w:sz w:val="24"/>
          <w:lang w:eastAsia="zh-CN"/>
        </w:rPr>
        <w:t xml:space="preserve">投标单位</w:t>
      </w:r>
      <w:r>
        <w:rPr>
          <w:rFonts w:ascii="宋体" w:hAnsi="宋体" w:cs="宋体"/>
          <w:color w:val="000000"/>
          <w:sz w:val="24"/>
        </w:rPr>
        <w:t xml:space="preserve">在评标期间递交和确认并经招标人同意的对有关问题的补充资料和澄清文件等，如果有）；</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rPr>
          <w:rFonts w:hint="eastAsia" w:ascii="宋体" w:hAnsi="宋体" w:cs="宋体"/>
          <w:color w:val="000000"/>
          <w:sz w:val="24"/>
          <w:lang w:val="en-US" w:eastAsia="zh-CN"/>
        </w:rPr>
        <w:t xml:space="preserve">招标</w:t>
      </w:r>
      <w:r>
        <w:rPr>
          <w:rFonts w:ascii="宋体" w:hAnsi="宋体" w:cs="宋体"/>
          <w:color w:val="000000"/>
          <w:sz w:val="24"/>
        </w:rPr>
        <w:t xml:space="preserve">文件。</w:t>
      </w:r>
      <w:r/>
    </w:p>
    <w:p>
      <w:pPr>
        <w:ind w:firstLine="422"/>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五、业务费支付及考核</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完成协审服务的项目，按照附表《苏州太湖新城吴中管委会党政办（投资评审中心）财政评审协审费用支付标准》明确的计费标准，并结合项目评审业务质量考核情况和项目评审质量复核监督情况，统一安排向协审单位支付协审业务费。</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1.1具体完成项目的协审费用，根据委托项目的评审金额、协审内容、协审考核得分等情况综合计算对应的协审费用。具体为：根据本</w:t>
      </w:r>
      <w:r>
        <w:rPr>
          <w:rFonts w:hint="eastAsia" w:ascii="宋体" w:hAnsi="宋体" w:cs="宋体"/>
          <w:color w:val="000000"/>
          <w:sz w:val="24"/>
          <w:lang w:eastAsia="zh-CN"/>
        </w:rPr>
        <w:t xml:space="preserve">招标文件</w:t>
      </w:r>
      <w:r>
        <w:rPr>
          <w:rFonts w:ascii="宋体" w:hAnsi="宋体" w:cs="宋体"/>
          <w:color w:val="000000"/>
          <w:sz w:val="24"/>
        </w:rPr>
        <w:t xml:space="preserve">付费标准、委托项目的评审内容及金额，计算标准费用，并以该项目考核得分的百分比作为结算系数，得到具体项目协审费用，即：具体项目协审费=项目计算标准费用×（考核得分÷100）。考核得分在60分以下的，结算系数为50%。</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1.2方不得擅自向被评审单位收取任何费用。如协审单位存在擅自收取费用行为，甲方有权终止</w:t>
      </w:r>
      <w:r>
        <w:rPr>
          <w:rFonts w:hint="eastAsia" w:ascii="宋体" w:hAnsi="宋体" w:cs="宋体"/>
          <w:color w:val="000000"/>
          <w:sz w:val="24"/>
          <w:lang w:eastAsia="zh-CN"/>
        </w:rPr>
        <w:t xml:space="preserve">苏州吴中太湖新城财政评(协)审2026年政府采购</w:t>
      </w:r>
      <w:r>
        <w:rPr>
          <w:rFonts w:ascii="宋体" w:hAnsi="宋体" w:cs="宋体"/>
          <w:color w:val="000000"/>
          <w:sz w:val="24"/>
        </w:rPr>
        <w:t xml:space="preserve">合同。情节严重的，依法提请有关部门追究协审单位和相关责任人的行政及法律责任。</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1.3付款时间：项目评（协）审工作结束后，每半年度汇总支付一次，具体时间以委托方通知为准。</w:t>
      </w:r>
      <w:r/>
    </w:p>
    <w:p>
      <w:pPr>
        <w:ind w:firstLine="422"/>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2．协审工作的考核</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从协审工作要求、协审质量、协审效率、协审工作态度等方面对协审项目业务质量进行考核。乙方的工作必须接受甲方的考核，并接受甲方根据考核结果做出的奖惩。如乙方出具协审报告后，经抽查复核、其他主管部门检查或工程实践等情况中被发现存在工作效率、执业质量、服务水平、工作要求等方面存在具体问题的，甲方会有权按照考核办法的规定对乙方追加考核处罚。若乙方不同意参加考核，视为违反采购服务合同约定，按照严重违约条件进行惩处，可终止</w:t>
      </w:r>
      <w:r>
        <w:rPr>
          <w:rFonts w:hint="eastAsia" w:ascii="宋体" w:hAnsi="宋体" w:cs="宋体"/>
          <w:color w:val="000000"/>
          <w:sz w:val="24"/>
          <w:lang w:eastAsia="zh-CN"/>
        </w:rPr>
        <w:t xml:space="preserve">苏州吴中太湖新城财政评(协)审2026年政府采购</w:t>
      </w:r>
      <w:r>
        <w:rPr>
          <w:rFonts w:ascii="宋体" w:hAnsi="宋体" w:cs="宋体"/>
          <w:color w:val="000000"/>
          <w:sz w:val="24"/>
        </w:rPr>
        <w:t xml:space="preserve">合同，通报行业主管部门或其他相关部门进行处理，并建议将其作为行业及政府采购管理和信用评价的依据之一。</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协审项目业务质量考核结果运用如下：</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（1）协审项目业务质量考核结果与协审业务费结算挂钩。根据本</w:t>
      </w:r>
      <w:r>
        <w:rPr>
          <w:rFonts w:hint="eastAsia" w:ascii="宋体" w:hAnsi="宋体" w:cs="宋体"/>
          <w:color w:val="000000"/>
          <w:sz w:val="24"/>
          <w:lang w:eastAsia="zh-CN"/>
        </w:rPr>
        <w:t xml:space="preserve">招标文件</w:t>
      </w:r>
      <w:r>
        <w:rPr>
          <w:rFonts w:ascii="宋体" w:hAnsi="宋体" w:cs="宋体"/>
          <w:color w:val="000000"/>
          <w:sz w:val="24"/>
        </w:rPr>
        <w:t xml:space="preserve">付费标准、委托项目的评审内容及金额，计算标准费用，并以该项目考核得分的百分比作为结算系数，得到具体项目协审费用，即：具体项目协审费=项目计算标准费用×（考核得分÷100）。考核得分在60分以下的，结算系数为50%。</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（2）协审项目考核得分在70分以下的，甲方有权对乙方发提示书，项目考核得分在60分以下的，甲方有权对乙方发警示书。乙方每收到提示书2份视同收到警示书1份。</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（3）收到1份警示书，乙方所有未完成报告的协审费用按上述标准计算后，再以九折计取。</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（4）收到2份警示书，甲方有权终止</w:t>
      </w:r>
      <w:r>
        <w:rPr>
          <w:rFonts w:hint="eastAsia" w:ascii="宋体" w:hAnsi="宋体" w:cs="宋体"/>
          <w:color w:val="000000"/>
          <w:sz w:val="24"/>
          <w:lang w:eastAsia="zh-CN"/>
        </w:rPr>
        <w:t xml:space="preserve">苏州吴中太湖新城财政评(协)审2026年政府采购</w:t>
      </w:r>
      <w:r>
        <w:rPr>
          <w:rFonts w:ascii="宋体" w:hAnsi="宋体" w:cs="宋体"/>
          <w:color w:val="000000"/>
          <w:sz w:val="24"/>
        </w:rPr>
        <w:t xml:space="preserve">合同，取消乙方未委托的项目协审资格，并通报行业主管部门或其他相关部门，建议将其作为行业及政府采购管理和信用评价的依据之一。</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（5）纳入“协审人员不良记录”的协审人员，三年内不接受其从事甲方的协审工作。</w:t>
      </w:r>
      <w:r/>
    </w:p>
    <w:p>
      <w:pPr>
        <w:ind w:firstLine="422"/>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六、税费</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中国政府根据现行税收法律法规规定对乙方征收的、与本合同有关的一切税费，均由乙方负担。</w:t>
      </w:r>
      <w:r/>
    </w:p>
    <w:p>
      <w:pPr>
        <w:ind w:firstLine="422"/>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七、双方职责</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甲方职责：</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1．按照</w:t>
      </w:r>
      <w:r>
        <w:rPr>
          <w:rFonts w:hint="eastAsia" w:ascii="宋体" w:hAnsi="宋体" w:cs="宋体"/>
          <w:color w:val="000000"/>
          <w:sz w:val="24"/>
          <w:lang w:eastAsia="zh-CN"/>
        </w:rPr>
        <w:t xml:space="preserve">招标文件</w:t>
      </w:r>
      <w:r>
        <w:rPr>
          <w:rFonts w:ascii="宋体" w:hAnsi="宋体" w:cs="宋体"/>
          <w:color w:val="000000"/>
          <w:sz w:val="24"/>
        </w:rPr>
        <w:t xml:space="preserve">及附件要求、</w:t>
      </w:r>
      <w:r>
        <w:rPr>
          <w:rFonts w:hint="eastAsia" w:ascii="宋体" w:hAnsi="宋体" w:cs="宋体"/>
          <w:color w:val="000000"/>
          <w:sz w:val="24"/>
          <w:lang w:eastAsia="zh-CN"/>
        </w:rPr>
        <w:t xml:space="preserve">投标文件</w:t>
      </w:r>
      <w:r>
        <w:rPr>
          <w:rFonts w:ascii="宋体" w:hAnsi="宋体" w:cs="宋体"/>
          <w:color w:val="000000"/>
          <w:sz w:val="24"/>
        </w:rPr>
        <w:t xml:space="preserve">、合同约定等对乙方服务进行验收并考核管理；</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2．按时支付协审服务费。</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乙方职责：</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乙方应建立质量管理体系，严格执行评审操作规程、业务指导规程等评审规章制度，确保项目协审质量。项目协审应当严格遵守国家的有关法律、法规、制度规定、有关执业规范及甲方的工作要求和工作规范。乙方对协审成果的真实性、完整性、可靠性负责。</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2．乙方所拟派人员整个服务期应保持稳定，拟派人员未经甲方同意不得擅自更换且数量不低于承诺数量，并服从甲方人员备案、考勤及考核管理，人员考勤合格率应符合</w:t>
      </w:r>
      <w:r>
        <w:rPr>
          <w:rFonts w:hint="eastAsia" w:ascii="宋体" w:hAnsi="宋体" w:cs="宋体"/>
          <w:color w:val="000000"/>
          <w:sz w:val="24"/>
          <w:lang w:eastAsia="zh-CN"/>
        </w:rPr>
        <w:t xml:space="preserve">招标文件</w:t>
      </w:r>
      <w:r>
        <w:rPr>
          <w:rFonts w:ascii="宋体" w:hAnsi="宋体" w:cs="宋体"/>
          <w:color w:val="000000"/>
          <w:sz w:val="24"/>
        </w:rPr>
        <w:t xml:space="preserve">要求。</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3．乙方的工作必须接受甲方根据本</w:t>
      </w:r>
      <w:r>
        <w:rPr>
          <w:rFonts w:hint="eastAsia" w:ascii="宋体" w:hAnsi="宋体" w:cs="宋体"/>
          <w:color w:val="000000"/>
          <w:sz w:val="24"/>
          <w:lang w:eastAsia="zh-CN"/>
        </w:rPr>
        <w:t xml:space="preserve">招标文件</w:t>
      </w:r>
      <w:r>
        <w:rPr>
          <w:rFonts w:ascii="宋体" w:hAnsi="宋体" w:cs="宋体"/>
          <w:color w:val="000000"/>
          <w:sz w:val="24"/>
        </w:rPr>
        <w:t xml:space="preserve">及其附件约定开展的考核，主要考核内容包括工作效率、执业质量、服务水平、工作要求等方面，并接受甲方根据考核结果做出的奖惩。对乙方不同意参加考核以及不配合考核的，甲方有权终止本合同，并且乙方无权要求甲方支付任何款项。</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4．乙方应确保项目协审质量，按时完成协审工作，时间要求以</w:t>
      </w:r>
      <w:r>
        <w:rPr>
          <w:rFonts w:hint="eastAsia" w:ascii="宋体" w:hAnsi="宋体" w:cs="宋体"/>
          <w:color w:val="000000"/>
          <w:sz w:val="24"/>
          <w:lang w:eastAsia="zh-CN"/>
        </w:rPr>
        <w:t xml:space="preserve">招标文件</w:t>
      </w:r>
      <w:r>
        <w:rPr>
          <w:rFonts w:ascii="宋体" w:hAnsi="宋体" w:cs="宋体"/>
          <w:color w:val="000000"/>
          <w:sz w:val="24"/>
        </w:rPr>
        <w:t xml:space="preserve">及具体项目时间按排为准。</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乙方的协审成果只向甲方提供，不得自行提供给其他单位。对于协审工作产生重大质量误差、协审效率严重拖延、协审工作要求违反各级造价行业规定及甲方评审规范，以及提供不实或内容虚假的协审成果以及自行对外提供协审成果的，除由乙方自行承担责任外，甲方有权按要求进行严格考核并采取必要惩罚措施，包括制发提示书、警示书、扣减协审费用、直至终止乙方</w:t>
      </w:r>
      <w:r>
        <w:rPr>
          <w:rFonts w:hint="eastAsia" w:ascii="宋体" w:hAnsi="宋体" w:cs="宋体"/>
          <w:color w:val="000000"/>
          <w:sz w:val="24"/>
          <w:lang w:eastAsia="zh-CN"/>
        </w:rPr>
        <w:t xml:space="preserve">苏州吴中太湖新城财政评(协)审2026年政府采购</w:t>
      </w:r>
      <w:r>
        <w:rPr>
          <w:rFonts w:ascii="宋体" w:hAnsi="宋体" w:cs="宋体"/>
          <w:color w:val="000000"/>
          <w:sz w:val="24"/>
        </w:rPr>
        <w:t xml:space="preserve">项目资格。情节严重的，依法提请有关部门追究协审单位和相关责任人的行政及法律责任。</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6．因概算、预算（标底）评审中需现场核实以及突发应急事件的现场评审需要，为保证协审工作效率和服务质量，做好造价协审工作，乙方应</w:t>
      </w:r>
      <w:r>
        <w:rPr>
          <w:rFonts w:hint="eastAsia" w:ascii="宋体" w:hAnsi="宋体" w:cs="宋体"/>
          <w:color w:val="000000"/>
          <w:sz w:val="24"/>
        </w:rPr>
        <w:t xml:space="preserve">响应</w:t>
      </w:r>
      <w:r>
        <w:rPr>
          <w:rFonts w:ascii="宋体" w:hAnsi="宋体" w:cs="宋体"/>
          <w:color w:val="000000"/>
          <w:sz w:val="24"/>
        </w:rPr>
        <w:t xml:space="preserve">承诺保证协审工作响应时间。如乙方在服务期内，被发现违背</w:t>
      </w:r>
      <w:r>
        <w:rPr>
          <w:rFonts w:hint="eastAsia" w:ascii="宋体" w:hAnsi="宋体" w:cs="宋体"/>
          <w:color w:val="000000"/>
          <w:sz w:val="24"/>
        </w:rPr>
        <w:t xml:space="preserve">响应</w:t>
      </w:r>
      <w:r>
        <w:rPr>
          <w:rFonts w:ascii="宋体" w:hAnsi="宋体" w:cs="宋体"/>
          <w:color w:val="000000"/>
          <w:sz w:val="24"/>
        </w:rPr>
        <w:t xml:space="preserve">承诺的，则甲方有权进行处罚，包括但不限于制发提示书、警示书、扣减协审费用、终止双方工程造价委托协审服务合同，通报行业主管部门或其他相关部门进行处理。</w:t>
      </w:r>
      <w:r/>
    </w:p>
    <w:p>
      <w:pPr>
        <w:ind w:firstLine="422"/>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八、违约责任</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1．甲方对本合同规定的义务未履行或履行不力的，乙方可依法向甲方要求经济赔偿。</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2．乙方对本合同规定的义务未履行或履行不力的，甲方可按相关法律、法规和</w:t>
      </w:r>
      <w:r>
        <w:rPr>
          <w:rFonts w:hint="eastAsia" w:ascii="宋体" w:hAnsi="宋体" w:cs="宋体"/>
          <w:color w:val="000000"/>
          <w:sz w:val="24"/>
          <w:lang w:eastAsia="zh-CN"/>
        </w:rPr>
        <w:t xml:space="preserve">招标文件</w:t>
      </w:r>
      <w:r>
        <w:rPr>
          <w:rFonts w:ascii="宋体" w:hAnsi="宋体" w:cs="宋体"/>
          <w:color w:val="000000"/>
          <w:sz w:val="24"/>
        </w:rPr>
        <w:t xml:space="preserve">中约定的文件的规定进行处罚，可以采取制发提示书、警示书、扣减协审费用、终止</w:t>
      </w:r>
      <w:r>
        <w:rPr>
          <w:rFonts w:hint="eastAsia" w:ascii="宋体" w:hAnsi="宋体" w:cs="宋体"/>
          <w:color w:val="000000"/>
          <w:sz w:val="24"/>
          <w:lang w:eastAsia="zh-CN"/>
        </w:rPr>
        <w:t xml:space="preserve">苏州吴中太湖新城财政评(协)审2026年政府采购</w:t>
      </w:r>
      <w:r>
        <w:rPr>
          <w:rFonts w:ascii="宋体" w:hAnsi="宋体" w:cs="宋体"/>
          <w:color w:val="000000"/>
          <w:sz w:val="24"/>
        </w:rPr>
        <w:t xml:space="preserve">项目合同等处罚措施。情节严重的，将通报行业主管部门、政府采购监督管理部门或其他相关部门进行处理。因乙方单方过失造成甲方或建设部门经济损失的，应向甲方赔偿，累计赔偿总额不超项目造价咨询酬金总额（除去税金）。</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3．甲方、乙方可就违反协审服务合同规定或违纪事项向相关部门投诉。</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4．经甲方及相关部门联合核查，如情况属实则投诉有效，将作为有效投诉记录在案。</w:t>
      </w:r>
      <w:r/>
    </w:p>
    <w:p>
      <w:pPr>
        <w:ind w:firstLine="422"/>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九、不可抗力</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1．甲、乙双方如果因不可抗力而导致合同义务的延误或不能履行，不承担没收履约保证金、误期赔偿或终止合同的责任。</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协审服务义务的协议。</w:t>
      </w:r>
      <w:r/>
    </w:p>
    <w:p>
      <w:pPr>
        <w:ind w:firstLine="422"/>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十、合同的解除：</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1．甲方和乙方协商一致，可以解除合同。</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2．有权解除合同的一方，应当在违约事实或不可抗力发生之后三十天内书面通知对方提出解除合同，合同在书面通知到达对方时解除。</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3．合同的部分和全部都不得擅自转让。</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4．出现下列情况之一的，甲方有权解除合同：</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（1）经查实乙方存在行贿或有收受、索要被评审单位提供的各种财物和免费服务等严重违反国家、行业以及评审规范的行为的； </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（2）在合同有效期内，被行业主管部门取消经营资格的；</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（3）在合同有效期内，乙方擅自变更、转让、租借协审服务商资格的；</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（4）乙方不如实反映情况，提供虚假材料的；</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（5）乙方未按</w:t>
      </w:r>
      <w:r>
        <w:rPr>
          <w:rFonts w:hint="eastAsia" w:ascii="宋体" w:hAnsi="宋体" w:cs="宋体"/>
          <w:color w:val="000000"/>
          <w:sz w:val="24"/>
          <w:lang w:eastAsia="zh-CN"/>
        </w:rPr>
        <w:t xml:space="preserve">招标文件</w:t>
      </w:r>
      <w:r>
        <w:rPr>
          <w:rFonts w:ascii="宋体" w:hAnsi="宋体" w:cs="宋体"/>
          <w:color w:val="000000"/>
          <w:sz w:val="24"/>
        </w:rPr>
        <w:t xml:space="preserve">约定的价格提供服务的；</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（6）乙方不同意参加考核、不接受质量复核监督的；</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（7）乙方未按承诺响应服务时间提供服务的；</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（8）乙方未按承诺投入相应协审人员并备案的或拟投入项目协审人员考勤合格率不达标被发现三次的；</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（9）乙方在造价咨询服务中，在工作要求、工作质量、工作效率及服务质量上出现严重差错，达到</w:t>
      </w:r>
      <w:r>
        <w:rPr>
          <w:rFonts w:hint="eastAsia" w:ascii="宋体" w:hAnsi="宋体" w:cs="宋体"/>
          <w:color w:val="000000"/>
          <w:sz w:val="24"/>
          <w:lang w:eastAsia="zh-CN"/>
        </w:rPr>
        <w:t xml:space="preserve">招标文件</w:t>
      </w:r>
      <w:r>
        <w:rPr>
          <w:rFonts w:ascii="宋体" w:hAnsi="宋体" w:cs="宋体"/>
          <w:color w:val="000000"/>
          <w:sz w:val="24"/>
        </w:rPr>
        <w:t xml:space="preserve">规定的条件时；</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（10）乙方累计收到两次评审警示书的；</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（11）受政策影响导致合同无法履行的；</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（12）其他未尽情况以本</w:t>
      </w:r>
      <w:r>
        <w:rPr>
          <w:rFonts w:hint="eastAsia" w:ascii="宋体" w:hAnsi="宋体" w:cs="宋体"/>
          <w:color w:val="000000"/>
          <w:sz w:val="24"/>
          <w:lang w:eastAsia="zh-CN"/>
        </w:rPr>
        <w:t xml:space="preserve">招标文件</w:t>
      </w:r>
      <w:r>
        <w:rPr>
          <w:rFonts w:ascii="宋体" w:hAnsi="宋体" w:cs="宋体"/>
          <w:color w:val="000000"/>
          <w:sz w:val="24"/>
        </w:rPr>
        <w:t xml:space="preserve">及其附件约定为准。</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乙方在任何情况下都不得用任何不正当行为影响、干扰采购单位按规定的办法自主选择服务商的行为（包括回扣、非公众性赠送礼品、贬损其他商家、价格欺诈等）。一经发现甲方可立即解除合同，通报行业主管部门或其他相关部门进行处理，并建议将其作为行业及政府采购管理和信用评价的依据之一。</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6．乙方在履行协审公务活动中，涉嫌一般职务违法的问题，甲方有权立即解除合同，并移送相关纪检监察部门按程序处置。触犯法律的，甲方将移交有关部门追究协审单位和相关责任人的法律责任。</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如果乙方破产、解散、清算、停业以及其他原因无法提供服务的，或发现多家成交单位负责人为同一人或者存在直接控股、管理关系，乙方负责人或股东与施工企业、施工劳务企业、工程材料供应商或施工器械租赁等工程领域相关企业存在交叉股权关系或者管理等影响社会咨询企业独立性的情形，甲方可在任何时间以书面形式通知乙方取消其协审服务商资格并解除合同。该行为将不损害或影响甲方和采购单位已经采取和将要采取的任何行动和补救措施的权力。</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8．协审服务合同解除后，</w:t>
      </w:r>
      <w:r>
        <w:rPr>
          <w:rFonts w:hint="eastAsia" w:ascii="宋体" w:hAnsi="宋体" w:cs="宋体"/>
          <w:color w:val="000000"/>
          <w:sz w:val="24"/>
        </w:rPr>
        <w:t xml:space="preserve">成交</w:t>
      </w:r>
      <w:r>
        <w:rPr>
          <w:rFonts w:ascii="宋体" w:hAnsi="宋体" w:cs="宋体"/>
          <w:color w:val="000000"/>
          <w:sz w:val="24"/>
        </w:rPr>
        <w:t xml:space="preserve">标段中未开始协审的项目全部取消，协审项目另行安排；已开始协审的项目应在合同解除后二个月内完成协审工作，如二个月内无法完成的，将取消协审，协审项目由甲方另行安排他人完成。被取消协审的协审项目，协审费用不予计取。</w:t>
      </w:r>
      <w:r/>
    </w:p>
    <w:p>
      <w:pPr>
        <w:ind w:firstLine="422"/>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十一、争议处置</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在执行本合同中所发生的一切争议，各方（甲方、乙方）应通过友好协商的办法进行解决，如协商不能解决的，有关当事方可提请甲方所在地人民法院进行裁决。</w:t>
      </w:r>
      <w:r/>
    </w:p>
    <w:p>
      <w:pPr>
        <w:ind w:firstLine="422"/>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十二、合同生效及其它：</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1．本合同经</w:t>
      </w:r>
      <w:r>
        <w:rPr>
          <w:rFonts w:hint="eastAsia" w:ascii="宋体" w:hAnsi="宋体" w:cs="宋体"/>
          <w:color w:val="000000"/>
          <w:sz w:val="24"/>
          <w:lang w:eastAsia="zh-CN"/>
        </w:rPr>
        <w:t xml:space="preserve">招标代理机构</w:t>
      </w:r>
      <w:r>
        <w:rPr>
          <w:rFonts w:ascii="宋体" w:hAnsi="宋体" w:cs="宋体"/>
          <w:color w:val="000000"/>
          <w:sz w:val="24"/>
        </w:rPr>
        <w:t xml:space="preserve">盖骑缝章并甲乙双方签字并加盖公章后生效</w:t>
      </w:r>
      <w:r>
        <w:rPr>
          <w:rFonts w:hint="eastAsia" w:ascii="宋体" w:hAnsi="宋体"/>
          <w:sz w:val="24"/>
        </w:rPr>
        <w:t xml:space="preserve">，合同须经网上公示</w:t>
      </w:r>
      <w:r>
        <w:rPr>
          <w:rFonts w:ascii="宋体" w:hAnsi="宋体" w:cs="宋体"/>
          <w:color w:val="000000"/>
          <w:sz w:val="24"/>
        </w:rPr>
        <w:t xml:space="preserve">。</w:t>
      </w:r>
      <w:r/>
    </w:p>
    <w:p>
      <w:pPr>
        <w:ind w:firstLine="42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2．合同在执行过程中出现的未尽事宜，双方在不违背本合同的原则下协商解决，协商结果以书面形式记录在案，作为本合同附件，与本合同具有同等法律效力。</w:t>
      </w:r>
      <w:r/>
    </w:p>
    <w:p>
      <w:pPr>
        <w:ind w:firstLine="422"/>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十三、本合同一式</w:t>
      </w:r>
      <w:r>
        <w:rPr>
          <w:rFonts w:hint="eastAsia" w:ascii="宋体" w:hAnsi="宋体" w:cs="宋体"/>
          <w:color w:val="000000"/>
          <w:sz w:val="24"/>
          <w:u w:val="single"/>
        </w:rPr>
        <w:t xml:space="preserve">柒</w:t>
      </w:r>
      <w:r>
        <w:rPr>
          <w:rFonts w:ascii="宋体" w:hAnsi="宋体" w:cs="宋体"/>
          <w:color w:val="000000"/>
          <w:sz w:val="24"/>
        </w:rPr>
        <w:t xml:space="preserve">份，甲方执</w:t>
      </w:r>
      <w:r>
        <w:rPr>
          <w:rFonts w:ascii="宋体" w:hAnsi="宋体" w:cs="宋体"/>
          <w:color w:val="000000"/>
          <w:sz w:val="24"/>
          <w:u w:val="single"/>
        </w:rPr>
        <w:t xml:space="preserve">叁</w:t>
      </w:r>
      <w:r>
        <w:rPr>
          <w:rFonts w:ascii="宋体" w:hAnsi="宋体" w:cs="宋体"/>
          <w:color w:val="000000"/>
          <w:sz w:val="24"/>
        </w:rPr>
        <w:t xml:space="preserve">份，乙方执</w:t>
      </w:r>
      <w:r>
        <w:rPr>
          <w:rFonts w:ascii="宋体" w:hAnsi="宋体" w:cs="宋体"/>
          <w:color w:val="000000"/>
          <w:sz w:val="24"/>
          <w:u w:val="single"/>
        </w:rPr>
        <w:t xml:space="preserve">一</w:t>
      </w:r>
      <w:r>
        <w:rPr>
          <w:rFonts w:ascii="宋体" w:hAnsi="宋体" w:cs="宋体"/>
          <w:color w:val="000000"/>
          <w:sz w:val="24"/>
        </w:rPr>
        <w:t xml:space="preserve">份，招标代理机构</w:t>
      </w:r>
      <w:r>
        <w:rPr>
          <w:rFonts w:hint="eastAsia" w:ascii="宋体" w:hAnsi="宋体" w:cs="宋体"/>
          <w:color w:val="000000"/>
          <w:sz w:val="24"/>
          <w:u w:val="single"/>
        </w:rPr>
        <w:t xml:space="preserve">二</w:t>
      </w:r>
      <w:r>
        <w:rPr>
          <w:rFonts w:ascii="宋体" w:hAnsi="宋体" w:cs="宋体"/>
          <w:color w:val="000000"/>
          <w:sz w:val="24"/>
        </w:rPr>
        <w:t xml:space="preserve">份，政府采购监督管理部门</w:t>
      </w:r>
      <w:r>
        <w:rPr>
          <w:rFonts w:ascii="宋体" w:hAnsi="宋体" w:cs="宋体"/>
          <w:color w:val="000000"/>
          <w:sz w:val="24"/>
          <w:u w:val="single"/>
        </w:rPr>
        <w:t xml:space="preserve">一</w:t>
      </w:r>
      <w:r>
        <w:rPr>
          <w:rFonts w:ascii="宋体" w:hAnsi="宋体" w:cs="宋体"/>
          <w:color w:val="000000"/>
          <w:sz w:val="24"/>
        </w:rPr>
        <w:t xml:space="preserve">份。</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甲方：                               乙方：                         </w:t>
      </w:r>
      <w:r/>
    </w:p>
    <w:p>
      <w:pPr>
        <w:spacing w:line="360" w:lineRule="auto"/>
        <w:rPr>
          <w:rFonts w:ascii="宋体" w:hAnsi="宋体" w:cs="宋体"/>
          <w:sz w:val="24"/>
        </w:rPr>
      </w:pPr>
      <w:r>
        <w:rPr>
          <w:rFonts w:hint="eastAsia" w:ascii="宋体" w:hAnsi="宋体" w:cs="宋体"/>
          <w:sz w:val="24"/>
        </w:rPr>
        <w:t xml:space="preserve">法定代表人（授权代表）：              法定代表人（授权代表）：        </w:t>
      </w:r>
      <w:r/>
    </w:p>
    <w:p>
      <w:pPr>
        <w:spacing w:line="360" w:lineRule="auto"/>
        <w:rPr>
          <w:rFonts w:hint="eastAsia" w:ascii="宋体" w:hAnsi="宋体"/>
          <w:color w:val="000000"/>
          <w:sz w:val="24"/>
        </w:rPr>
      </w:pPr>
      <w:r>
        <w:rPr>
          <w:rFonts w:hint="eastAsia" w:ascii="宋体" w:hAnsi="宋体" w:cs="宋体"/>
          <w:sz w:val="24"/>
        </w:rPr>
        <w:t xml:space="preserve">签约日期：                           签约日期：        </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pStyle w:val="1112"/>
        <w:rPr>
          <w:rFonts w:hint="eastAsia" w:hAnsi="宋体"/>
          <w:color w:val="000000"/>
          <w:szCs w:val="24"/>
        </w:rPr>
      </w:pPr>
      <w:r>
        <w:rPr>
          <w:rFonts w:hint="eastAsia" w:hAnsi="宋体"/>
          <w:color w:val="000000"/>
          <w:szCs w:val="24"/>
        </w:rPr>
      </w:r>
      <w:r/>
    </w:p>
    <w:p>
      <w:pPr>
        <w:jc w:val="center"/>
        <w:spacing w:after="0" w:line="360" w:lineRule="auto"/>
        <w:rPr>
          <w:rStyle w:val="974"/>
          <w:rFonts w:hint="eastAsia" w:ascii="宋体" w:hAnsi="宋体" w:cs="宋体"/>
          <w:b w:val="0"/>
          <w:bCs/>
          <w:color w:val="000000"/>
          <w:sz w:val="24"/>
        </w:rPr>
      </w:pPr>
      <w:r>
        <w:rPr>
          <w:rFonts w:hint="eastAsia" w:ascii="宋体" w:hAnsi="宋体" w:cs="宋体"/>
          <w:b w:val="0"/>
          <w:bCs/>
          <w:color w:val="000000"/>
          <w:sz w:val="24"/>
        </w:rPr>
      </w:r>
      <w:r/>
    </w:p>
    <w:p>
      <w:pPr>
        <w:jc w:val="center"/>
        <w:spacing w:after="0" w:line="360" w:lineRule="auto"/>
        <w:rPr>
          <w:rStyle w:val="974"/>
          <w:rFonts w:hint="eastAsia" w:ascii="宋体" w:hAnsi="宋体" w:cs="宋体"/>
          <w:b w:val="0"/>
          <w:bCs/>
          <w:color w:val="000000"/>
          <w:sz w:val="24"/>
        </w:rPr>
      </w:pPr>
      <w:r>
        <w:rPr>
          <w:rFonts w:hint="eastAsia" w:ascii="宋体" w:hAnsi="宋体" w:cs="宋体"/>
          <w:b w:val="0"/>
          <w:bCs/>
          <w:color w:val="000000"/>
          <w:sz w:val="24"/>
        </w:rPr>
      </w:r>
      <w:r/>
    </w:p>
    <w:p>
      <w:pPr>
        <w:jc w:val="center"/>
        <w:spacing w:after="0" w:line="360" w:lineRule="auto"/>
        <w:rPr>
          <w:rStyle w:val="974"/>
          <w:rFonts w:hint="eastAsia" w:ascii="宋体" w:hAnsi="宋体" w:cs="宋体"/>
          <w:b w:val="0"/>
          <w:bCs/>
          <w:color w:val="000000"/>
          <w:sz w:val="24"/>
        </w:rPr>
      </w:pPr>
      <w:r>
        <w:rPr>
          <w:rFonts w:hint="eastAsia" w:ascii="宋体" w:hAnsi="宋体" w:cs="宋体"/>
          <w:b w:val="0"/>
          <w:bCs/>
          <w:color w:val="000000"/>
          <w:sz w:val="24"/>
        </w:rPr>
      </w:r>
      <w:r/>
    </w:p>
    <w:p>
      <w:pPr>
        <w:jc w:val="center"/>
        <w:spacing w:after="0" w:line="360" w:lineRule="auto"/>
        <w:rPr>
          <w:rStyle w:val="974"/>
          <w:rFonts w:hint="eastAsia" w:ascii="宋体" w:hAnsi="宋体" w:cs="宋体"/>
          <w:b w:val="0"/>
          <w:bCs/>
          <w:color w:val="000000"/>
          <w:sz w:val="24"/>
        </w:rPr>
      </w:pPr>
      <w:r>
        <w:rPr>
          <w:rFonts w:hint="eastAsia" w:ascii="宋体" w:hAnsi="宋体" w:cs="宋体"/>
          <w:b w:val="0"/>
          <w:bCs/>
          <w:color w:val="000000"/>
          <w:sz w:val="24"/>
        </w:rPr>
      </w:r>
      <w:r/>
    </w:p>
    <w:p>
      <w:pPr>
        <w:jc w:val="center"/>
        <w:spacing w:after="0" w:line="360" w:lineRule="auto"/>
        <w:rPr>
          <w:rStyle w:val="974"/>
          <w:rFonts w:hint="eastAsia" w:ascii="宋体" w:hAnsi="宋体" w:cs="宋体"/>
          <w:b w:val="0"/>
          <w:bCs/>
          <w:color w:val="000000"/>
          <w:sz w:val="24"/>
        </w:rPr>
      </w:pPr>
      <w:r>
        <w:rPr>
          <w:rFonts w:hint="eastAsia" w:ascii="宋体" w:hAnsi="宋体" w:cs="宋体"/>
          <w:b w:val="0"/>
          <w:bCs/>
          <w:color w:val="000000"/>
          <w:sz w:val="24"/>
        </w:rPr>
      </w:r>
      <w:r/>
    </w:p>
    <w:p>
      <w:pPr>
        <w:jc w:val="center"/>
        <w:spacing w:after="0" w:line="360" w:lineRule="auto"/>
        <w:rPr>
          <w:rFonts w:hint="eastAsia" w:ascii="宋体" w:hAnsi="宋体" w:cs="宋体"/>
          <w:bCs/>
          <w:color w:val="000000"/>
          <w:sz w:val="24"/>
        </w:rPr>
      </w:pPr>
      <w:r>
        <w:rPr>
          <w:rStyle w:val="974"/>
          <w:rFonts w:hint="eastAsia" w:ascii="宋体" w:hAnsi="宋体" w:cs="宋体"/>
          <w:b w:val="0"/>
          <w:bCs/>
          <w:color w:val="000000"/>
          <w:sz w:val="24"/>
        </w:rPr>
        <w:t xml:space="preserve">第六章  评标办法和评分标准</w:t>
      </w:r>
      <w:r/>
    </w:p>
    <w:p>
      <w:pPr>
        <w:ind w:firstLine="480"/>
        <w:spacing w:after="0" w:line="360" w:lineRule="auto"/>
        <w:rPr>
          <w:rFonts w:hint="eastAsia" w:ascii="宋体" w:hAnsi="宋体"/>
          <w:bCs/>
          <w:color w:val="000000"/>
          <w:sz w:val="24"/>
        </w:rPr>
      </w:pPr>
      <w:r>
        <w:rPr>
          <w:rFonts w:ascii="宋体" w:hAnsi="宋体"/>
          <w:bCs/>
          <w:color w:val="000000"/>
          <w:sz w:val="24"/>
        </w:rPr>
        <w:t xml:space="preserve">一</w:t>
      </w:r>
      <w:r>
        <w:rPr>
          <w:rFonts w:hint="eastAsia" w:ascii="宋体" w:hAnsi="宋体"/>
          <w:bCs/>
          <w:color w:val="000000"/>
          <w:sz w:val="24"/>
        </w:rPr>
        <w:t xml:space="preserve">、</w:t>
      </w:r>
      <w:r>
        <w:rPr>
          <w:rFonts w:ascii="宋体" w:hAnsi="宋体"/>
          <w:bCs/>
          <w:color w:val="000000"/>
          <w:sz w:val="24"/>
        </w:rPr>
        <w:t xml:space="preserve">评标</w:t>
      </w:r>
      <w:r>
        <w:rPr>
          <w:rFonts w:hint="eastAsia" w:ascii="宋体" w:hAnsi="宋体"/>
          <w:bCs/>
          <w:color w:val="000000"/>
          <w:sz w:val="24"/>
        </w:rPr>
        <w:t xml:space="preserve">办</w:t>
      </w:r>
      <w:r>
        <w:rPr>
          <w:rFonts w:ascii="宋体" w:hAnsi="宋体"/>
          <w:bCs/>
          <w:color w:val="000000"/>
          <w:sz w:val="24"/>
        </w:rPr>
        <w:t xml:space="preserve">法：</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1、本次评标办法采用综合评分法。即在满足招标文件实质性要求的前提下，按照招标文件中规定的评分标准和各项因素进行综合评审，以评标总得分最高的投标人作为中标单位。</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、评标委员会各成员独立对每个进入打分程序的有效投标人的标书</w:t>
      </w:r>
      <w:r>
        <w:rPr>
          <w:rFonts w:hint="eastAsia" w:ascii="宋体" w:hAnsi="宋体"/>
          <w:bCs/>
          <w:color w:val="000000"/>
          <w:sz w:val="24"/>
        </w:rPr>
        <w:t xml:space="preserve">的</w:t>
      </w:r>
      <w:r>
        <w:rPr>
          <w:rFonts w:ascii="宋体" w:hAnsi="宋体"/>
          <w:bCs/>
          <w:color w:val="000000"/>
          <w:sz w:val="24"/>
        </w:rPr>
        <w:t xml:space="preserve">技术部分以打分的形式进行评审和评价。</w:t>
      </w:r>
      <w:r/>
    </w:p>
    <w:p>
      <w:pPr>
        <w:ind w:firstLine="480"/>
        <w:spacing w:after="0" w:line="360" w:lineRule="auto"/>
        <w:rPr>
          <w:rFonts w:hint="eastAsia" w:ascii="宋体" w:hAnsi="宋体"/>
          <w:bCs/>
          <w:color w:val="000000"/>
          <w:sz w:val="24"/>
        </w:rPr>
      </w:pPr>
      <w:r>
        <w:rPr>
          <w:rFonts w:hint="eastAsia" w:ascii="宋体" w:hAnsi="宋体"/>
          <w:bCs/>
          <w:color w:val="000000"/>
          <w:sz w:val="24"/>
        </w:rPr>
        <w:t xml:space="preserve">3</w:t>
      </w:r>
      <w:r>
        <w:rPr>
          <w:rFonts w:ascii="宋体" w:hAnsi="宋体"/>
          <w:bCs/>
          <w:color w:val="000000"/>
          <w:sz w:val="24"/>
        </w:rPr>
        <w:t xml:space="preserve">、如出现评标总得分最高的投标人有两个或两个以上的，以投标报价较低者优先作为中标</w:t>
      </w:r>
      <w:r>
        <w:rPr>
          <w:rFonts w:hint="eastAsia" w:ascii="宋体" w:hAnsi="宋体"/>
          <w:bCs/>
          <w:color w:val="000000"/>
          <w:sz w:val="24"/>
        </w:rPr>
        <w:t xml:space="preserve">单位</w:t>
      </w:r>
      <w:r>
        <w:rPr>
          <w:rFonts w:ascii="宋体" w:hAnsi="宋体"/>
          <w:bCs/>
          <w:color w:val="000000"/>
          <w:sz w:val="24"/>
        </w:rPr>
        <w:t xml:space="preserve">，如果投标报价也相同的，则由</w:t>
      </w:r>
      <w:r>
        <w:rPr>
          <w:rFonts w:hint="eastAsia" w:ascii="宋体" w:hAnsi="宋体"/>
          <w:bCs/>
          <w:color w:val="000000"/>
          <w:sz w:val="24"/>
        </w:rPr>
        <w:t xml:space="preserve">代理</w:t>
      </w:r>
      <w:r>
        <w:rPr>
          <w:rFonts w:ascii="宋体" w:hAnsi="宋体"/>
          <w:bCs/>
          <w:color w:val="000000"/>
          <w:sz w:val="24"/>
        </w:rPr>
        <w:t xml:space="preserve">机构组织以抽签方式确定中标</w:t>
      </w:r>
      <w:r>
        <w:rPr>
          <w:rFonts w:hint="eastAsia" w:ascii="宋体" w:hAnsi="宋体"/>
          <w:bCs/>
          <w:color w:val="000000"/>
          <w:sz w:val="24"/>
        </w:rPr>
        <w:t xml:space="preserve">单位</w:t>
      </w:r>
      <w:r>
        <w:rPr>
          <w:rFonts w:ascii="宋体" w:hAnsi="宋体"/>
          <w:bCs/>
          <w:color w:val="000000"/>
          <w:sz w:val="24"/>
        </w:rPr>
        <w:t xml:space="preserve">。</w:t>
      </w:r>
      <w:r/>
    </w:p>
    <w:p>
      <w:pPr>
        <w:ind w:firstLine="480"/>
        <w:jc w:val="left"/>
        <w:spacing w:after="0" w:line="360" w:lineRule="auto"/>
        <w:rPr>
          <w:rFonts w:hint="eastAsia" w:ascii="宋体" w:hAnsi="宋体"/>
          <w:bCs/>
          <w:color w:val="000000"/>
          <w:sz w:val="24"/>
        </w:rPr>
      </w:pPr>
      <w:r>
        <w:rPr>
          <w:rFonts w:hint="eastAsia" w:ascii="宋体" w:hAnsi="宋体"/>
          <w:bCs/>
          <w:color w:val="000000"/>
          <w:sz w:val="24"/>
        </w:rPr>
        <w:t xml:space="preserve">4、本项目共有</w:t>
      </w:r>
      <w:r>
        <w:rPr>
          <w:rFonts w:hint="eastAsia" w:ascii="宋体" w:hAnsi="宋体"/>
          <w:bCs/>
          <w:color w:val="000000"/>
          <w:sz w:val="24"/>
          <w:lang w:val="en-US" w:eastAsia="zh-CN"/>
        </w:rPr>
        <w:t xml:space="preserve">12</w:t>
      </w:r>
      <w:r>
        <w:rPr>
          <w:rFonts w:hint="eastAsia" w:ascii="宋体" w:hAnsi="宋体"/>
          <w:bCs/>
          <w:color w:val="000000"/>
          <w:sz w:val="24"/>
        </w:rPr>
        <w:t xml:space="preserve">标段。本次开标顺序为一、二</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三</w:t>
      </w:r>
      <w:r>
        <w:rPr>
          <w:rFonts w:hint="eastAsia" w:ascii="宋体" w:hAnsi="宋体"/>
          <w:bCs/>
          <w:color w:val="000000"/>
          <w:sz w:val="24"/>
        </w:rPr>
        <w:t xml:space="preserve">至</w:t>
      </w:r>
      <w:r>
        <w:rPr>
          <w:rFonts w:hint="eastAsia" w:ascii="宋体" w:hAnsi="宋体"/>
          <w:bCs/>
          <w:color w:val="000000"/>
          <w:sz w:val="24"/>
          <w:lang w:val="en-US" w:eastAsia="zh-CN"/>
        </w:rPr>
        <w:t xml:space="preserve">十二</w:t>
      </w:r>
      <w:r>
        <w:rPr>
          <w:rFonts w:hint="eastAsia" w:ascii="宋体" w:hAnsi="宋体"/>
          <w:bCs/>
          <w:color w:val="000000"/>
          <w:sz w:val="24"/>
        </w:rPr>
        <w:t xml:space="preserve">标段依次开标。</w:t>
      </w:r>
      <w:r/>
    </w:p>
    <w:p>
      <w:pPr>
        <w:ind w:firstLine="480"/>
        <w:jc w:val="left"/>
        <w:spacing w:after="0" w:line="360" w:lineRule="auto"/>
        <w:rPr>
          <w:rFonts w:hint="eastAsia" w:ascii="宋体" w:hAnsi="宋体"/>
          <w:bCs/>
          <w:color w:val="000000"/>
          <w:sz w:val="24"/>
        </w:rPr>
      </w:pPr>
      <w:r>
        <w:rPr>
          <w:rFonts w:hint="eastAsia" w:ascii="宋体" w:hAnsi="宋体"/>
          <w:bCs/>
          <w:color w:val="000000"/>
          <w:sz w:val="24"/>
        </w:rPr>
        <w:t xml:space="preserve">本项目投标单位只可中其中一个标段，若已中某一标段，则不进入另一标段评审。评审顺序按标段顺序评审。</w:t>
      </w:r>
      <w:r/>
    </w:p>
    <w:p>
      <w:pPr>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二、评分标准：</w:t>
      </w:r>
      <w:r/>
    </w:p>
    <w:p>
      <w:pPr>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（一）方案比较（</w:t>
      </w:r>
      <w:r>
        <w:rPr>
          <w:rFonts w:hint="eastAsia" w:ascii="宋体" w:hAnsi="宋体" w:cs="宋体"/>
          <w:color w:val="000000"/>
          <w:sz w:val="24"/>
          <w:lang w:val="en-US" w:eastAsia="zh-CN"/>
        </w:rPr>
        <w:t xml:space="preserve">45</w:t>
      </w:r>
      <w:r>
        <w:rPr>
          <w:rFonts w:ascii="宋体" w:hAnsi="宋体" w:cs="宋体"/>
          <w:color w:val="000000"/>
          <w:sz w:val="24"/>
        </w:rPr>
        <w:t xml:space="preserve">分）</w:t>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1、工作方案比较(8分）</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投标单位</w:t>
      </w:r>
      <w:r>
        <w:rPr>
          <w:rFonts w:ascii="宋体" w:hAnsi="宋体" w:cs="宋体"/>
          <w:color w:val="000000"/>
          <w:sz w:val="24"/>
        </w:rPr>
        <w:t xml:space="preserve">针对本项目提供的服务要求及内容制定工作方案（包括工作规范、工作内容、工作程序、资料审核交付等方面），其方案满足本次采购需求，符合本项目特点，目标明确，措施具体，有相应的工作程序和岗位职责的</w:t>
      </w:r>
      <w:r>
        <w:rPr>
          <w:rFonts w:hint="eastAsia" w:ascii="宋体" w:hAnsi="宋体" w:cs="宋体"/>
          <w:color w:val="000000"/>
          <w:sz w:val="24"/>
        </w:rPr>
        <w:t xml:space="preserve">，</w:t>
      </w:r>
      <w:r>
        <w:rPr>
          <w:rFonts w:ascii="宋体" w:hAnsi="宋体" w:cs="宋体"/>
          <w:color w:val="000000"/>
          <w:sz w:val="24"/>
        </w:rPr>
        <w:t xml:space="preserve">得8分，其方案较满足本次采购需求，符合本项目特点，有目标、措施和工作程序、岗位职责的</w:t>
      </w:r>
      <w:r>
        <w:rPr>
          <w:rFonts w:hint="eastAsia" w:ascii="宋体" w:hAnsi="宋体" w:cs="宋体"/>
          <w:color w:val="000000"/>
          <w:sz w:val="24"/>
        </w:rPr>
        <w:t xml:space="preserve">，</w:t>
      </w:r>
      <w:r>
        <w:rPr>
          <w:rFonts w:ascii="宋体" w:hAnsi="宋体" w:cs="宋体"/>
          <w:color w:val="000000"/>
          <w:sz w:val="24"/>
        </w:rPr>
        <w:t xml:space="preserve">得5分，其方案基本满足本次采购需求的</w:t>
      </w:r>
      <w:r>
        <w:rPr>
          <w:rFonts w:hint="eastAsia" w:ascii="宋体" w:hAnsi="宋体" w:cs="宋体"/>
          <w:color w:val="000000"/>
          <w:sz w:val="24"/>
        </w:rPr>
        <w:t xml:space="preserve">，</w:t>
      </w:r>
      <w:r>
        <w:rPr>
          <w:rFonts w:ascii="宋体" w:hAnsi="宋体" w:cs="宋体"/>
          <w:color w:val="000000"/>
          <w:sz w:val="24"/>
        </w:rPr>
        <w:t xml:space="preserve">得2分，无工作方案的不得分。</w:t>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2、项目重难点及关键问题（8分）</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方案能符合本项目特点，对可能出现的重难点及关键问题有针对性的分析并提出相应对策和解决途径的</w:t>
      </w:r>
      <w:r>
        <w:rPr>
          <w:rFonts w:hint="eastAsia" w:ascii="宋体" w:hAnsi="宋体" w:cs="宋体"/>
          <w:color w:val="000000"/>
          <w:sz w:val="24"/>
        </w:rPr>
        <w:t xml:space="preserve">，</w:t>
      </w:r>
      <w:r>
        <w:rPr>
          <w:rFonts w:ascii="宋体" w:hAnsi="宋体" w:cs="宋体"/>
          <w:color w:val="000000"/>
          <w:sz w:val="24"/>
        </w:rPr>
        <w:t xml:space="preserve">得8分；方案能符合本项目特点，提出问题并进行分析、提出解决措施的</w:t>
      </w:r>
      <w:r>
        <w:rPr>
          <w:rFonts w:hint="eastAsia" w:ascii="宋体" w:hAnsi="宋体" w:cs="宋体"/>
          <w:color w:val="000000"/>
          <w:sz w:val="24"/>
        </w:rPr>
        <w:t xml:space="preserve">，</w:t>
      </w:r>
      <w:r>
        <w:rPr>
          <w:rFonts w:ascii="宋体" w:hAnsi="宋体" w:cs="宋体"/>
          <w:color w:val="000000"/>
          <w:sz w:val="24"/>
        </w:rPr>
        <w:t xml:space="preserve">得5分；方案能提出可能出现的重难点及关键问题并有一定解决措施</w:t>
      </w:r>
      <w:r>
        <w:rPr>
          <w:rFonts w:hint="eastAsia" w:ascii="宋体" w:hAnsi="宋体" w:cs="宋体"/>
          <w:color w:val="000000"/>
          <w:sz w:val="24"/>
        </w:rPr>
        <w:t xml:space="preserve">的，</w:t>
      </w:r>
      <w:r>
        <w:rPr>
          <w:rFonts w:ascii="宋体" w:hAnsi="宋体" w:cs="宋体"/>
          <w:color w:val="000000"/>
          <w:sz w:val="24"/>
        </w:rPr>
        <w:t xml:space="preserve">得2分；不提供方案的不得分。</w:t>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3、项目进度计划及进度保障措施比较（</w:t>
      </w:r>
      <w:r>
        <w:rPr>
          <w:rFonts w:hint="eastAsia" w:ascii="宋体" w:hAnsi="宋体" w:cs="宋体"/>
          <w:color w:val="000000"/>
          <w:sz w:val="24"/>
          <w:lang w:val="en-US" w:eastAsia="zh-CN"/>
        </w:rPr>
        <w:t xml:space="preserve">8</w:t>
      </w:r>
      <w:r>
        <w:rPr>
          <w:rFonts w:ascii="宋体" w:hAnsi="宋体" w:cs="宋体"/>
          <w:color w:val="000000"/>
          <w:sz w:val="24"/>
        </w:rPr>
        <w:t xml:space="preserve">分）</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进度计划合理，满足实际需求，进度保证措施合理可行得</w:t>
      </w:r>
      <w:r>
        <w:rPr>
          <w:rFonts w:hint="eastAsia" w:ascii="宋体" w:hAnsi="宋体" w:cs="宋体"/>
          <w:color w:val="000000"/>
          <w:sz w:val="24"/>
          <w:lang w:val="en-US" w:eastAsia="zh-CN"/>
        </w:rPr>
        <w:t xml:space="preserve">8</w:t>
      </w:r>
      <w:r>
        <w:rPr>
          <w:rFonts w:ascii="宋体" w:hAnsi="宋体" w:cs="宋体"/>
          <w:color w:val="000000"/>
          <w:sz w:val="24"/>
        </w:rPr>
        <w:t xml:space="preserve">分；进度计划和保证措施比较合理可行得</w:t>
      </w:r>
      <w:r>
        <w:rPr>
          <w:rFonts w:hint="eastAsia" w:ascii="宋体" w:hAnsi="宋体" w:cs="宋体"/>
          <w:color w:val="000000"/>
          <w:sz w:val="24"/>
          <w:lang w:val="en-US" w:eastAsia="zh-CN"/>
        </w:rPr>
        <w:t xml:space="preserve">5</w:t>
      </w:r>
      <w:r>
        <w:rPr>
          <w:rFonts w:ascii="宋体" w:hAnsi="宋体" w:cs="宋体"/>
          <w:color w:val="000000"/>
          <w:sz w:val="24"/>
        </w:rPr>
        <w:t xml:space="preserve">分；进度计划基本满足采购文件要求，进度保证措施一般得</w:t>
      </w:r>
      <w:r>
        <w:rPr>
          <w:rFonts w:hint="eastAsia" w:ascii="宋体" w:hAnsi="宋体" w:cs="宋体"/>
          <w:color w:val="000000"/>
          <w:sz w:val="24"/>
          <w:lang w:val="en-US" w:eastAsia="zh-CN"/>
        </w:rPr>
        <w:t xml:space="preserve">2</w:t>
      </w:r>
      <w:r>
        <w:rPr>
          <w:rFonts w:ascii="宋体" w:hAnsi="宋体" w:cs="宋体"/>
          <w:color w:val="000000"/>
          <w:sz w:val="24"/>
        </w:rPr>
        <w:t xml:space="preserve">分；进度保证措施差或未提供的不得分。</w:t>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bookmarkStart w:id="36" w:name="OLE_LINK5"/>
      <w:r>
        <w:rPr>
          <w:rFonts w:ascii="宋体" w:hAnsi="宋体" w:cs="宋体"/>
          <w:color w:val="000000"/>
          <w:sz w:val="24"/>
        </w:rPr>
        <w:t xml:space="preserve">项目质量保证体系及措施比较（</w:t>
      </w:r>
      <w:r>
        <w:rPr>
          <w:rFonts w:hint="eastAsia" w:ascii="宋体" w:hAnsi="宋体" w:cs="宋体"/>
          <w:color w:val="000000"/>
          <w:sz w:val="24"/>
          <w:lang w:val="en-US" w:eastAsia="zh-CN"/>
        </w:rPr>
        <w:t xml:space="preserve">8</w:t>
      </w:r>
      <w:r>
        <w:rPr>
          <w:rFonts w:ascii="宋体" w:hAnsi="宋体" w:cs="宋体"/>
          <w:color w:val="000000"/>
          <w:sz w:val="24"/>
        </w:rPr>
        <w:t xml:space="preserve">分）</w:t>
      </w:r>
      <w:bookmarkEnd w:id="36"/>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质量管理制度健全，符合本项目管理特点，有相应的质量保证体系、质量内控制度、操作程序、规程，有明确的岗位职责的得</w:t>
      </w:r>
      <w:r>
        <w:rPr>
          <w:rFonts w:hint="eastAsia" w:ascii="宋体" w:hAnsi="宋体" w:cs="宋体"/>
          <w:color w:val="000000"/>
          <w:sz w:val="24"/>
          <w:lang w:val="en-US" w:eastAsia="zh-CN"/>
        </w:rPr>
        <w:t xml:space="preserve">8</w:t>
      </w:r>
      <w:r>
        <w:rPr>
          <w:rFonts w:ascii="宋体" w:hAnsi="宋体" w:cs="宋体"/>
          <w:color w:val="000000"/>
          <w:sz w:val="24"/>
        </w:rPr>
        <w:t xml:space="preserve">分；有相应的质量保证体系、质量保证制度并能符合本项目管理特点的得</w:t>
      </w:r>
      <w:r>
        <w:rPr>
          <w:rFonts w:hint="eastAsia" w:ascii="宋体" w:hAnsi="宋体" w:cs="宋体"/>
          <w:color w:val="000000"/>
          <w:sz w:val="24"/>
          <w:lang w:val="en-US" w:eastAsia="zh-CN"/>
        </w:rPr>
        <w:t xml:space="preserve">5</w:t>
      </w:r>
      <w:r>
        <w:rPr>
          <w:rFonts w:ascii="宋体" w:hAnsi="宋体" w:cs="宋体"/>
          <w:color w:val="000000"/>
          <w:sz w:val="24"/>
        </w:rPr>
        <w:t xml:space="preserve">分；有质量保证体系、质量保证制度的，但较简单与项目符合度不高的得</w:t>
      </w:r>
      <w:r>
        <w:rPr>
          <w:rFonts w:hint="eastAsia" w:ascii="宋体" w:hAnsi="宋体" w:cs="宋体"/>
          <w:color w:val="000000"/>
          <w:sz w:val="24"/>
          <w:lang w:val="en-US" w:eastAsia="zh-CN"/>
        </w:rPr>
        <w:t xml:space="preserve">2</w:t>
      </w:r>
      <w:r>
        <w:rPr>
          <w:rFonts w:ascii="宋体" w:hAnsi="宋体" w:cs="宋体"/>
          <w:color w:val="000000"/>
          <w:sz w:val="24"/>
        </w:rPr>
        <w:t xml:space="preserve">分，不提供方案的不得分。</w:t>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bookmarkStart w:id="37" w:name="OLE_LINK6"/>
      <w:r>
        <w:rPr>
          <w:rFonts w:ascii="宋体" w:hAnsi="宋体" w:cs="宋体"/>
          <w:color w:val="000000"/>
          <w:sz w:val="24"/>
        </w:rPr>
        <w:t xml:space="preserve">评审保密方案比较（5分）</w:t>
      </w:r>
      <w:bookmarkEnd w:id="37"/>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方案全面完善、科学合理、操作性强、贴合项目实际的得5分；方案较全面、较合理、操作性较强、较贴合项目实际的得3分；方案合理性、操作性一般，不太符合项目实际的得1分；无保密方案的不得分。</w:t>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bookmarkStart w:id="38" w:name="OLE_LINK7"/>
      <w:r>
        <w:rPr>
          <w:rFonts w:ascii="宋体" w:hAnsi="宋体" w:cs="宋体"/>
          <w:color w:val="000000"/>
          <w:sz w:val="24"/>
        </w:rPr>
        <w:t xml:space="preserve">组织协调方案（</w:t>
      </w:r>
      <w:r>
        <w:rPr>
          <w:rFonts w:hint="eastAsia" w:ascii="宋体" w:hAnsi="宋体" w:cs="宋体"/>
          <w:color w:val="000000"/>
          <w:sz w:val="24"/>
          <w:lang w:val="en-US" w:eastAsia="zh-CN"/>
        </w:rPr>
        <w:t xml:space="preserve">5</w:t>
      </w:r>
      <w:r>
        <w:rPr>
          <w:rFonts w:ascii="宋体" w:hAnsi="宋体" w:cs="宋体"/>
          <w:color w:val="000000"/>
          <w:sz w:val="24"/>
        </w:rPr>
        <w:t xml:space="preserve">分）</w:t>
      </w:r>
      <w:bookmarkEnd w:id="38"/>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分析服务内容工作开展中可能协调对接的相关单位和部门，分析对应的具体协调对接事项，提出建议的处理流程和工作要点。分析全面，可操作性强的，得</w:t>
      </w:r>
      <w:r>
        <w:rPr>
          <w:rFonts w:hint="eastAsia" w:ascii="宋体" w:hAnsi="宋体" w:cs="宋体"/>
          <w:color w:val="000000"/>
          <w:sz w:val="24"/>
          <w:lang w:val="en-US" w:eastAsia="zh-CN"/>
        </w:rPr>
        <w:t xml:space="preserve">5</w:t>
      </w:r>
      <w:r>
        <w:rPr>
          <w:rFonts w:ascii="宋体" w:hAnsi="宋体" w:cs="宋体"/>
          <w:color w:val="000000"/>
          <w:sz w:val="24"/>
        </w:rPr>
        <w:t xml:space="preserve">分；分析较为全面，方案基本可行的，得</w:t>
      </w:r>
      <w:r>
        <w:rPr>
          <w:rFonts w:hint="eastAsia" w:ascii="宋体" w:hAnsi="宋体" w:cs="宋体"/>
          <w:color w:val="000000"/>
          <w:sz w:val="24"/>
          <w:lang w:val="en-US" w:eastAsia="zh-CN"/>
        </w:rPr>
        <w:t xml:space="preserve">3</w:t>
      </w:r>
      <w:r>
        <w:rPr>
          <w:rFonts w:ascii="宋体" w:hAnsi="宋体" w:cs="宋体"/>
          <w:color w:val="000000"/>
          <w:sz w:val="24"/>
        </w:rPr>
        <w:t xml:space="preserve">分；方案全面性、合理性一般的得1分；未进行分析或分析不清的不得分。</w:t>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7、内部管理制度比较（3分）</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人事、财务、培训、档案、内控（成果文件审核与输出、执业操守、风险识别与控制措施）等管理制度。管理制度健全、现代、管理流程控制到位，识别工作流程风险点并配套风控措施得3分；管理制度基本建立，内部管理制度较完整，风险识别和控制措施较完善，得2分；有管理制度，内部管理制度不够完整，风险识别和控制措施不完善，得1分；企业无内控制度或内控制度照搬抄袭，未按自身需求进行风险识别和控制或未提供，不得分。</w:t>
      </w:r>
      <w:r/>
    </w:p>
    <w:p>
      <w:pPr>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（二）项目组人员配备情况（3</w:t>
      </w:r>
      <w:r>
        <w:rPr>
          <w:rFonts w:hint="eastAsia" w:ascii="宋体" w:hAnsi="宋体" w:cs="宋体"/>
          <w:color w:val="000000"/>
          <w:sz w:val="24"/>
          <w:lang w:val="en-US" w:eastAsia="zh-CN"/>
        </w:rPr>
        <w:t xml:space="preserve">0</w:t>
      </w:r>
      <w:r>
        <w:rPr>
          <w:rFonts w:ascii="宋体" w:hAnsi="宋体" w:cs="宋体"/>
          <w:color w:val="000000"/>
          <w:sz w:val="24"/>
        </w:rPr>
        <w:t xml:space="preserve">分）</w:t>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1、拟投入的标段负责人（7分）</w:t>
      </w:r>
      <w:r/>
    </w:p>
    <w:p>
      <w:pPr>
        <w:ind w:firstLine="420"/>
        <w:spacing w:line="360" w:lineRule="auto"/>
        <w:rPr>
          <w:sz w:val="24"/>
        </w:rPr>
        <w:pBdr>
          <w:top w:val="none" w:color="000000" w:sz="0" w:space="0"/>
          <w:left w:val="none" w:color="000000" w:sz="0" w:space="0"/>
          <w:bottom w:val="none" w:color="000000" w:sz="0" w:space="0"/>
          <w:right w:val="none" w:color="000000" w:sz="0" w:space="0"/>
        </w:pBdr>
      </w:pPr>
      <w:r/>
      <w:bookmarkStart w:id="39" w:name="OLE_LINK8"/>
      <w:r>
        <w:rPr>
          <w:rFonts w:ascii="宋体" w:hAnsi="宋体" w:cs="宋体"/>
          <w:color w:val="000000"/>
          <w:sz w:val="24"/>
        </w:rPr>
        <w:t xml:space="preserve">1.1拟投入的标段负责人为一级注册造价工程师的得1分。本项最高得1分。</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1.2拟投入的标段负责人具备高级职称的得3分；具备中级职称的得2分；本项最高得3分。</w:t>
      </w:r>
      <w:r/>
    </w:p>
    <w:p>
      <w:pPr>
        <w:ind w:firstLine="420"/>
        <w:spacing w:line="360" w:lineRule="auto"/>
        <w:rPr>
          <w:rFonts w:hint="eastAsia" w:eastAsia="宋体"/>
          <w:sz w:val="24"/>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1.3项目负责人满足1</w:t>
      </w:r>
      <w:r>
        <w:rPr>
          <w:rFonts w:hint="eastAsia" w:ascii="宋体" w:hAnsi="宋体" w:cs="宋体"/>
          <w:color w:val="000000"/>
          <w:sz w:val="24"/>
          <w:lang w:val="en-US" w:eastAsia="zh-CN"/>
        </w:rPr>
        <w:t xml:space="preserve">0</w:t>
      </w:r>
      <w:r>
        <w:rPr>
          <w:rFonts w:ascii="宋体" w:hAnsi="宋体" w:cs="宋体"/>
          <w:color w:val="000000"/>
          <w:sz w:val="24"/>
        </w:rPr>
        <w:t xml:space="preserve">年以上造价咨询工作经历的得3分,</w:t>
      </w:r>
      <w:r>
        <w:rPr>
          <w:rFonts w:hint="eastAsia" w:ascii="宋体" w:hAnsi="宋体" w:cs="宋体"/>
          <w:color w:val="000000"/>
          <w:sz w:val="24"/>
          <w:lang w:val="en-US" w:eastAsia="zh-CN"/>
        </w:rPr>
        <w:t xml:space="preserve">5</w:t>
      </w:r>
      <w:r>
        <w:rPr>
          <w:rFonts w:ascii="宋体" w:hAnsi="宋体" w:cs="宋体"/>
          <w:color w:val="000000"/>
          <w:sz w:val="24"/>
        </w:rPr>
        <w:t xml:space="preserve">年~1</w:t>
      </w:r>
      <w:r>
        <w:rPr>
          <w:rFonts w:hint="eastAsia" w:ascii="宋体" w:hAnsi="宋体" w:cs="宋体"/>
          <w:color w:val="000000"/>
          <w:sz w:val="24"/>
          <w:lang w:val="en-US" w:eastAsia="zh-CN"/>
        </w:rPr>
        <w:t xml:space="preserve">0</w:t>
      </w:r>
      <w:r>
        <w:rPr>
          <w:rFonts w:ascii="宋体" w:hAnsi="宋体" w:cs="宋体"/>
          <w:color w:val="000000"/>
          <w:sz w:val="24"/>
        </w:rPr>
        <w:t xml:space="preserve">年（含）造价咨询工作经历的得2分，5年（不含5年）以下造价咨询工作经历的，得</w:t>
      </w:r>
      <w:r>
        <w:rPr>
          <w:rFonts w:hint="eastAsia" w:ascii="宋体" w:hAnsi="宋体" w:cs="宋体"/>
          <w:color w:val="000000"/>
          <w:sz w:val="24"/>
          <w:lang w:val="en-US" w:eastAsia="zh-CN"/>
        </w:rPr>
        <w:t xml:space="preserve">1</w:t>
      </w:r>
      <w:r>
        <w:rPr>
          <w:rFonts w:ascii="宋体" w:hAnsi="宋体" w:cs="宋体"/>
          <w:color w:val="000000"/>
          <w:sz w:val="24"/>
        </w:rPr>
        <w:t xml:space="preserve">分。最高得3分</w:t>
      </w:r>
      <w:r>
        <w:rPr>
          <w:rFonts w:hint="eastAsia" w:ascii="宋体" w:hAnsi="宋体" w:cs="宋体"/>
          <w:color w:val="000000"/>
          <w:sz w:val="24"/>
          <w:lang w:eastAsia="zh-CN"/>
        </w:rPr>
        <w:t xml:space="preserve">。</w:t>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eastAsia="zh-CN"/>
        </w:rPr>
        <w:t xml:space="preserve">注：(1)1.1、1.2（投标文件中需提供相应人员证书及劳动合同扫描件或复印件，未提供不得分）。</w:t>
      </w:r>
      <w:r/>
    </w:p>
    <w:p>
      <w:pPr>
        <w:ind w:firstLine="843"/>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(2)1.3以造价工程师执业资格证书签发日期为准，提供证书扫描件</w:t>
      </w:r>
      <w:r>
        <w:rPr>
          <w:rFonts w:hint="eastAsia" w:ascii="宋体" w:hAnsi="宋体" w:cs="宋体"/>
          <w:b/>
          <w:bCs/>
          <w:color w:val="000000"/>
          <w:sz w:val="24"/>
          <w:lang w:val="en-US" w:eastAsia="zh-CN"/>
        </w:rPr>
        <w:t xml:space="preserve">或复印件</w:t>
      </w:r>
      <w:r>
        <w:rPr>
          <w:rFonts w:ascii="宋体" w:hAnsi="宋体" w:cs="宋体"/>
          <w:b/>
          <w:bCs/>
          <w:color w:val="000000"/>
          <w:sz w:val="24"/>
        </w:rPr>
        <w:t xml:space="preserve">，未提供不得分。</w:t>
      </w:r>
      <w:bookmarkEnd w:id="39"/>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2、拟投入一级注册造价工程师（10分）</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本采购文件所指的一级注册造价师，是指根据《住房城乡建设部交通运输部水利部人力资源社会保</w:t>
      </w:r>
      <w:r>
        <w:rPr>
          <w:rFonts w:ascii="宋体" w:hAnsi="宋体" w:cs="宋体"/>
          <w:color w:val="000000"/>
          <w:sz w:val="24"/>
        </w:rPr>
        <w:t xml:space="preserve">障部关于印发《造价工程师职业资格制度规定》《造价工程师职业资格考试实施办法&gt;的通知》（建人〔2018〕）67号）、《水利部关于印发&lt;注册造价工程师（水利工程）管理办法&gt;的通知》（水建设〔2021〕334号）的规定，通过一级造价工程师考试取得一级造价工程师职业资格并注册、或根据人事部建设部发布的《造价工程师执业资格制度暂行规定》（人发〔1996〕77号）取得造价工程师执业资格证书并注册、或在2013年12月31日以前取得中国水利工程协会颁发的水利工程造价工程师资格证书并注册为一级水利造价工程师的造价从业人员。</w:t>
      </w:r>
      <w:r/>
    </w:p>
    <w:p>
      <w:pPr>
        <w:ind w:firstLine="420"/>
        <w:spacing w:line="360" w:lineRule="auto"/>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册造价工程师初始、变更和延续注册已经通过，注册证书和执业印章暂未拿到的，响应文件中注册证书可用网站注册通过截图代替（通过考试取得的《职业资格证书》和原注册证（如有）书同时提供）、执业印章暂用造价师本人签字代替</w:t>
      </w:r>
      <w:r>
        <w:rPr>
          <w:rFonts w:hint="eastAsia" w:ascii="宋体" w:hAnsi="宋体" w:cs="宋体"/>
          <w:color w:val="000000"/>
          <w:sz w:val="24"/>
          <w:lang w:eastAsia="zh-CN"/>
        </w:rPr>
        <w:t xml:space="preserve">。</w:t>
      </w:r>
      <w:r/>
    </w:p>
    <w:p>
      <w:pPr>
        <w:ind w:firstLine="420"/>
        <w:spacing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注：</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投标文件中需提供相应人员证书及劳动合同扫描件或复印件，</w:t>
      </w:r>
      <w:r>
        <w:rPr>
          <w:rFonts w:ascii="宋体" w:hAnsi="宋体" w:cs="宋体"/>
          <w:b/>
          <w:bCs/>
          <w:color w:val="000000"/>
          <w:sz w:val="24"/>
        </w:rPr>
        <w:t xml:space="preserve">未提供不得分</w:t>
      </w:r>
      <w:r>
        <w:rPr>
          <w:rFonts w:hint="eastAsia" w:ascii="宋体" w:hAnsi="宋体" w:cs="宋体"/>
          <w:b/>
          <w:bCs/>
          <w:color w:val="000000"/>
          <w:sz w:val="24"/>
          <w:lang w:eastAsia="zh-CN"/>
        </w:rPr>
        <w:t xml:space="preserve">）</w:t>
      </w:r>
      <w:r>
        <w:rPr>
          <w:rFonts w:ascii="宋体" w:hAnsi="宋体" w:cs="宋体"/>
          <w:b/>
          <w:bCs/>
          <w:color w:val="000000"/>
          <w:sz w:val="24"/>
        </w:rPr>
        <w:t xml:space="preserve">。</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拟投入一级注册造价工程师（含标段负责人）</w:t>
      </w:r>
      <w:r>
        <w:rPr>
          <w:rFonts w:hint="eastAsia" w:ascii="宋体" w:hAnsi="宋体" w:cs="宋体"/>
          <w:color w:val="000000"/>
          <w:sz w:val="24"/>
          <w:lang w:val="en-US" w:eastAsia="zh-CN"/>
        </w:rPr>
        <w:t xml:space="preserve">3</w:t>
      </w:r>
      <w:r>
        <w:rPr>
          <w:rFonts w:ascii="宋体" w:hAnsi="宋体" w:cs="宋体"/>
          <w:color w:val="000000"/>
          <w:sz w:val="24"/>
        </w:rPr>
        <w:t xml:space="preserve">人得基本分</w:t>
      </w:r>
      <w:r>
        <w:rPr>
          <w:rFonts w:hint="eastAsia" w:ascii="宋体" w:hAnsi="宋体" w:cs="宋体"/>
          <w:color w:val="000000"/>
          <w:sz w:val="24"/>
          <w:lang w:val="en-US" w:eastAsia="zh-CN"/>
        </w:rPr>
        <w:t xml:space="preserve">7</w:t>
      </w:r>
      <w:r>
        <w:rPr>
          <w:rFonts w:ascii="宋体" w:hAnsi="宋体" w:cs="宋体"/>
          <w:color w:val="000000"/>
          <w:sz w:val="24"/>
        </w:rPr>
        <w:t xml:space="preserve">分，超过</w:t>
      </w:r>
      <w:r>
        <w:rPr>
          <w:rFonts w:hint="eastAsia" w:ascii="宋体" w:hAnsi="宋体" w:cs="宋体"/>
          <w:color w:val="000000"/>
          <w:sz w:val="24"/>
          <w:lang w:val="en-US" w:eastAsia="zh-CN"/>
        </w:rPr>
        <w:t xml:space="preserve">3</w:t>
      </w:r>
      <w:r>
        <w:rPr>
          <w:rFonts w:ascii="宋体" w:hAnsi="宋体" w:cs="宋体"/>
          <w:color w:val="000000"/>
          <w:sz w:val="24"/>
        </w:rPr>
        <w:t xml:space="preserve">人的，每增加一人得1分，低于</w:t>
      </w:r>
      <w:r>
        <w:rPr>
          <w:rFonts w:hint="eastAsia" w:ascii="宋体" w:hAnsi="宋体" w:cs="宋体"/>
          <w:color w:val="000000"/>
          <w:sz w:val="24"/>
          <w:lang w:val="en-US" w:eastAsia="zh-CN"/>
        </w:rPr>
        <w:t xml:space="preserve">3</w:t>
      </w:r>
      <w:r>
        <w:rPr>
          <w:rFonts w:ascii="宋体" w:hAnsi="宋体" w:cs="宋体"/>
          <w:color w:val="000000"/>
          <w:sz w:val="24"/>
        </w:rPr>
        <w:t xml:space="preserve">人不得分，本项最高10分。</w:t>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cs="宋体"/>
          <w:color w:val="000000"/>
          <w:sz w:val="24"/>
        </w:rPr>
        <w:t xml:space="preserve">、拟投入人员的职称情况（10分）</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投入的项目组人员中获得中级职称的每人1分，高级职称的每人2分，本项最高10分。响应文件中提供职称证书扫描件。</w:t>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cs="宋体"/>
          <w:color w:val="000000"/>
          <w:sz w:val="24"/>
        </w:rPr>
        <w:t xml:space="preserve">、拟投入一级造价从业人员专业情况（3分）</w:t>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cs="宋体"/>
          <w:color w:val="000000"/>
          <w:sz w:val="24"/>
        </w:rPr>
        <w:t xml:space="preserve">.1</w:t>
      </w:r>
      <w:r>
        <w:rPr>
          <w:rFonts w:ascii="宋体" w:hAnsi="宋体" w:cs="宋体"/>
          <w:color w:val="000000"/>
          <w:sz w:val="24"/>
          <w:highlight w:val="none"/>
        </w:rPr>
        <w:t xml:space="preserve">标段</w:t>
      </w:r>
      <w:r>
        <w:rPr>
          <w:rFonts w:hint="eastAsia" w:ascii="宋体" w:hAnsi="宋体" w:cs="宋体"/>
          <w:color w:val="000000"/>
          <w:sz w:val="24"/>
          <w:highlight w:val="none"/>
          <w:lang w:val="en-US" w:eastAsia="zh-CN"/>
        </w:rPr>
        <w:t xml:space="preserve">九</w:t>
      </w:r>
      <w:r>
        <w:rPr>
          <w:rFonts w:hint="eastAsia" w:ascii="宋体" w:hAnsi="宋体" w:cs="宋体"/>
          <w:color w:val="000000"/>
          <w:sz w:val="24"/>
          <w:highlight w:val="none"/>
        </w:rPr>
        <w:t xml:space="preserve">、</w:t>
      </w:r>
      <w:r>
        <w:rPr>
          <w:rFonts w:ascii="宋体" w:hAnsi="宋体" w:cs="宋体"/>
          <w:color w:val="000000"/>
          <w:sz w:val="24"/>
          <w:highlight w:val="none"/>
        </w:rPr>
        <w:t xml:space="preserve">标段</w:t>
      </w:r>
      <w:r>
        <w:rPr>
          <w:rFonts w:hint="eastAsia" w:ascii="宋体" w:hAnsi="宋体" w:cs="宋体"/>
          <w:color w:val="000000"/>
          <w:sz w:val="24"/>
          <w:highlight w:val="none"/>
          <w:lang w:val="en-US" w:eastAsia="zh-CN"/>
        </w:rPr>
        <w:t xml:space="preserve">十二</w:t>
      </w:r>
      <w:r>
        <w:rPr>
          <w:rFonts w:ascii="宋体" w:hAnsi="宋体" w:cs="宋体"/>
          <w:color w:val="000000"/>
          <w:sz w:val="24"/>
          <w:highlight w:val="none"/>
        </w:rPr>
        <w:t xml:space="preserve">评</w:t>
      </w:r>
      <w:r>
        <w:rPr>
          <w:rFonts w:ascii="宋体" w:hAnsi="宋体" w:cs="宋体"/>
          <w:color w:val="000000"/>
          <w:sz w:val="24"/>
        </w:rPr>
        <w:t xml:space="preserve">分项</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①具有“安装工程”专业的得1分。</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②具有“土建工程”专业的得1分。</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③具有“水利工程”专业人员1分。</w:t>
      </w:r>
      <w:r/>
    </w:p>
    <w:p>
      <w:pPr>
        <w:ind w:firstLine="42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本项最高得3分。</w:t>
      </w:r>
      <w:r/>
    </w:p>
    <w:p>
      <w:pPr>
        <w:ind w:firstLine="422"/>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cs="宋体"/>
          <w:color w:val="000000"/>
          <w:sz w:val="24"/>
        </w:rPr>
        <w:t xml:space="preserve">.2</w:t>
      </w:r>
      <w:r>
        <w:rPr>
          <w:rFonts w:hint="eastAsia" w:ascii="宋体" w:hAnsi="宋体" w:cs="宋体"/>
          <w:color w:val="000000"/>
          <w:sz w:val="24"/>
          <w:lang w:val="en-US" w:eastAsia="zh-CN"/>
        </w:rPr>
        <w:t xml:space="preserve">标段一至标段八、标段十、标段十一</w:t>
      </w:r>
      <w:r>
        <w:rPr>
          <w:rFonts w:ascii="宋体" w:hAnsi="宋体" w:cs="宋体"/>
          <w:color w:val="000000"/>
          <w:sz w:val="24"/>
        </w:rPr>
        <w:t xml:space="preserve">评分项</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①具有“安装工程”专业的得1.5分。</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②具有“土建工程”专业的得1.5分。</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本项最高得3分。</w:t>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w:t>
      </w:r>
      <w:bookmarkStart w:id="40" w:name="OLE_LINK10"/>
      <w:r>
        <w:rPr>
          <w:rFonts w:ascii="宋体" w:hAnsi="宋体" w:cs="宋体"/>
          <w:color w:val="000000"/>
          <w:sz w:val="24"/>
        </w:rPr>
        <w:t xml:space="preserve">类似业绩比较（25分）</w:t>
      </w:r>
      <w:bookmarkEnd w:id="40"/>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1、202</w:t>
      </w:r>
      <w:r>
        <w:rPr>
          <w:rFonts w:hint="eastAsia" w:ascii="宋体" w:hAnsi="宋体" w:cs="宋体"/>
          <w:color w:val="000000"/>
          <w:sz w:val="24"/>
          <w:lang w:val="en-US" w:eastAsia="zh-CN"/>
        </w:rPr>
        <w:t xml:space="preserve">3</w:t>
      </w:r>
      <w:r>
        <w:rPr>
          <w:rFonts w:ascii="宋体" w:hAnsi="宋体" w:cs="宋体"/>
          <w:color w:val="000000"/>
          <w:sz w:val="24"/>
        </w:rPr>
        <w:t xml:space="preserve">年1月1日至</w:t>
      </w:r>
      <w:r>
        <w:rPr>
          <w:rFonts w:hint="eastAsia" w:ascii="宋体" w:hAnsi="宋体" w:cs="宋体"/>
          <w:color w:val="000000"/>
          <w:sz w:val="24"/>
          <w:lang w:val="en-US" w:eastAsia="zh-CN"/>
        </w:rPr>
        <w:t xml:space="preserve">今</w:t>
      </w:r>
      <w:r>
        <w:rPr>
          <w:rFonts w:ascii="宋体" w:hAnsi="宋体" w:cs="宋体"/>
          <w:color w:val="000000"/>
          <w:sz w:val="24"/>
        </w:rPr>
        <w:t xml:space="preserve">（以</w:t>
      </w:r>
      <w:r>
        <w:rPr>
          <w:rFonts w:hint="eastAsia" w:ascii="宋体" w:hAnsi="宋体" w:cs="宋体"/>
          <w:color w:val="000000"/>
          <w:sz w:val="24"/>
          <w:lang w:eastAsia="zh-CN"/>
        </w:rPr>
        <w:t xml:space="preserve">投标单位</w:t>
      </w:r>
      <w:r>
        <w:rPr>
          <w:rFonts w:ascii="宋体" w:hAnsi="宋体" w:cs="宋体"/>
          <w:color w:val="000000"/>
          <w:sz w:val="24"/>
        </w:rPr>
        <w:t xml:space="preserve">出具的最终的造价咨询成果的时间）承担过概（预）算、标底编审项目的业绩：</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1.1累计金额在1亿元（含）以下的得1分，累计金额在1亿-3亿（含）元的得3分，累计金额在3亿元以上的得5分。本项最高5分</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1.2每提供1份业绩得1分，最高得20分。本项最高20分。</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w:t>
      </w:r>
      <w:r>
        <w:rPr>
          <w:rFonts w:hint="eastAsia" w:ascii="宋体" w:hAnsi="宋体" w:cs="宋体"/>
          <w:color w:val="000000"/>
          <w:sz w:val="24"/>
          <w:lang w:eastAsia="zh-CN"/>
        </w:rPr>
        <w:t xml:space="preserve">投标单位</w:t>
      </w:r>
      <w:r>
        <w:rPr>
          <w:rFonts w:ascii="宋体" w:hAnsi="宋体" w:cs="宋体"/>
          <w:color w:val="000000"/>
          <w:sz w:val="24"/>
        </w:rPr>
        <w:t xml:space="preserve">按以下方法之一提供业绩证明：</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提供所有概（预）算、标底编审业务的咨询合同或经委托方盖章确认的业绩完成证明（能够反映项目规模、委托单位和完成时间），同时提供造价咨询成果报告（符合造价执业规范，能够反映项目规模、金额和完成时间；</w:t>
      </w:r>
      <w:r>
        <w:rPr>
          <w:rFonts w:hint="eastAsia" w:ascii="宋体" w:hAnsi="宋体" w:cs="宋体"/>
          <w:color w:val="000000"/>
          <w:sz w:val="24"/>
        </w:rPr>
        <w:t xml:space="preserve">响应</w:t>
      </w:r>
      <w:r>
        <w:rPr>
          <w:rFonts w:ascii="宋体" w:hAnsi="宋体" w:cs="宋体"/>
          <w:color w:val="000000"/>
          <w:sz w:val="24"/>
        </w:rPr>
        <w:t xml:space="preserve">时必须提供项目概（预）算、标底编审金额目录汇总表）扫描件。</w:t>
      </w:r>
      <w:r/>
    </w:p>
    <w:p>
      <w:pPr>
        <w:spacing w:line="360" w:lineRule="auto"/>
        <w:rPr>
          <w:rFonts w:ascii="宋体" w:hAnsi="宋体" w:cs="宋体"/>
          <w:sz w:val="24"/>
        </w:rPr>
      </w:pPr>
      <w:r>
        <w:rPr>
          <w:rFonts w:hint="eastAsia" w:ascii="宋体" w:hAnsi="宋体" w:cs="宋体"/>
          <w:sz w:val="24"/>
        </w:rPr>
        <w:t xml:space="preserve">三、政府采购政策： </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、针对中小型企业、残疾人福利企业和监狱企业的评审：</w:t>
      </w:r>
      <w:r/>
    </w:p>
    <w:p>
      <w:pPr>
        <w:ind w:firstLine="480"/>
        <w:spacing w:line="360" w:lineRule="auto"/>
        <w:rPr>
          <w:rFonts w:ascii="宋体" w:hAnsi="宋体"/>
          <w:sz w:val="24"/>
        </w:rPr>
      </w:pPr>
      <w:r>
        <w:rPr>
          <w:rFonts w:hint="eastAsia" w:ascii="宋体" w:hAnsi="宋体"/>
          <w:sz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sz w:val="24"/>
        </w:rPr>
        <w:t xml:space="preserve">&gt;</w:t>
      </w:r>
      <w:r>
        <w:rPr>
          <w:rFonts w:hint="eastAsia" w:ascii="宋体" w:hAnsi="宋体"/>
          <w:sz w:val="24"/>
        </w:rPr>
        <w:t xml:space="preserve">的通知》（苏财购〔202</w:t>
      </w:r>
      <w:r>
        <w:rPr>
          <w:rFonts w:ascii="宋体" w:hAnsi="宋体"/>
          <w:sz w:val="24"/>
        </w:rPr>
        <w:t xml:space="preserve">2</w:t>
      </w:r>
      <w:r>
        <w:rPr>
          <w:rFonts w:hint="eastAsia" w:ascii="宋体" w:hAnsi="宋体"/>
          <w:sz w:val="24"/>
        </w:rPr>
        <w:t xml:space="preserve">〕</w:t>
      </w:r>
      <w:r>
        <w:rPr>
          <w:rFonts w:ascii="宋体" w:hAnsi="宋体"/>
          <w:sz w:val="24"/>
        </w:rPr>
        <w:t xml:space="preserve">16</w:t>
      </w:r>
      <w:r>
        <w:rPr>
          <w:rFonts w:hint="eastAsia" w:ascii="宋体" w:hAnsi="宋体"/>
          <w:sz w:val="24"/>
        </w:rPr>
        <w:t xml:space="preserve">号）的有关规定。</w:t>
      </w:r>
      <w:r/>
    </w:p>
    <w:p>
      <w:pPr>
        <w:ind w:firstLine="480"/>
        <w:jc w:val="left"/>
        <w:spacing w:line="360" w:lineRule="auto"/>
        <w:shd w:val="clear" w:color="auto" w:fill="ffffff"/>
        <w:rPr>
          <w:rFonts w:ascii="宋体" w:hAnsi="宋体"/>
          <w:sz w:val="24"/>
        </w:rPr>
      </w:pPr>
      <w:r>
        <w:rPr>
          <w:rFonts w:hint="eastAsia" w:ascii="宋体" w:hAnsi="宋体"/>
          <w:sz w:val="24"/>
        </w:rPr>
        <w:t xml:space="preserve">1.1本项目</w:t>
      </w:r>
      <w:r>
        <w:rPr>
          <w:rFonts w:hint="eastAsia" w:ascii="宋体" w:hAnsi="宋体"/>
          <w:sz w:val="24"/>
          <w:highlight w:val="none"/>
        </w:rPr>
        <w:t xml:space="preserve">第</w:t>
      </w:r>
      <w:r>
        <w:rPr>
          <w:rFonts w:hint="eastAsia" w:ascii="宋体" w:hAnsi="宋体"/>
          <w:sz w:val="24"/>
          <w:highlight w:val="none"/>
          <w:lang w:val="en-US" w:eastAsia="zh-CN"/>
        </w:rPr>
        <w:t xml:space="preserve">七</w:t>
      </w:r>
      <w:r>
        <w:rPr>
          <w:rFonts w:hint="eastAsia" w:ascii="宋体" w:hAnsi="宋体"/>
          <w:sz w:val="24"/>
          <w:highlight w:val="none"/>
        </w:rPr>
        <w:t xml:space="preserve">至第</w:t>
      </w:r>
      <w:r>
        <w:rPr>
          <w:rFonts w:hint="eastAsia" w:ascii="宋体" w:hAnsi="宋体"/>
          <w:sz w:val="24"/>
          <w:highlight w:val="none"/>
          <w:lang w:val="en-US" w:eastAsia="zh-CN"/>
        </w:rPr>
        <w:t xml:space="preserve">十二</w:t>
      </w:r>
      <w:r>
        <w:rPr>
          <w:rFonts w:hint="eastAsia" w:ascii="宋体" w:hAnsi="宋体"/>
          <w:sz w:val="24"/>
          <w:highlight w:val="none"/>
        </w:rPr>
        <w:t xml:space="preserve">标段</w:t>
      </w:r>
      <w:r>
        <w:rPr>
          <w:rFonts w:hint="eastAsia" w:ascii="宋体" w:hAnsi="宋体"/>
          <w:sz w:val="24"/>
        </w:rPr>
        <w:t xml:space="preserve">专门面向中小微企业采购，</w:t>
      </w:r>
      <w:r>
        <w:rPr>
          <w:rFonts w:hint="eastAsia" w:ascii="宋体" w:hAnsi="宋体" w:cs="宋体"/>
          <w:sz w:val="24"/>
          <w:lang w:eastAsia="zh-CN"/>
        </w:rPr>
        <w:t xml:space="preserve">投标单位</w:t>
      </w:r>
      <w:r>
        <w:rPr>
          <w:rFonts w:hint="eastAsia" w:ascii="宋体" w:hAnsi="宋体" w:cs="宋体"/>
          <w:sz w:val="24"/>
        </w:rPr>
        <w:t xml:space="preserve">应为中小微企业或监狱企业或残疾人福利性单位。</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依据《政府采购促进中小企业发展管理办法》规定享受扶持政策获得政府采购合同的，小微企业不得将合同分包给大中型企业，中型企业不得将合同分包给大型企业。</w:t>
      </w:r>
      <w:r/>
    </w:p>
    <w:p>
      <w:pPr>
        <w:spacing w:line="360" w:lineRule="auto"/>
        <w:rPr>
          <w:rFonts w:ascii="宋体" w:hAnsi="宋体" w:cs="宋体"/>
          <w:sz w:val="24"/>
        </w:rPr>
      </w:pPr>
      <w:r>
        <w:rPr>
          <w:rFonts w:ascii="宋体" w:hAnsi="宋体" w:cs="宋体"/>
          <w:sz w:val="24"/>
        </w:rPr>
        <w:t xml:space="preserve">    3、</w:t>
      </w:r>
      <w:r>
        <w:rPr>
          <w:rFonts w:hint="eastAsia" w:ascii="宋体" w:hAnsi="宋体" w:cs="宋体"/>
          <w:sz w:val="24"/>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若供应商提供的《中小企业声明函》为虚假声明则视同提供虚假材料，按政府采购相关规定处理并报请政府监管部门给予行政处罚。</w:t>
      </w:r>
      <w:r/>
    </w:p>
    <w:p>
      <w:pPr>
        <w:ind w:firstLine="480"/>
        <w:spacing w:line="360" w:lineRule="auto"/>
        <w:rPr>
          <w:rFonts w:ascii="宋体" w:hAnsi="宋体" w:cs="宋体"/>
          <w:sz w:val="24"/>
        </w:rPr>
      </w:pPr>
      <w:r>
        <w:rPr>
          <w:rFonts w:ascii="宋体" w:hAnsi="宋体"/>
          <w:sz w:val="24"/>
        </w:rPr>
        <w:t xml:space="preserve">5</w:t>
      </w:r>
      <w:r>
        <w:rPr>
          <w:rFonts w:hint="eastAsia" w:ascii="宋体" w:hAnsi="宋体"/>
          <w:sz w:val="24"/>
        </w:rPr>
        <w:t xml:space="preserve">、</w:t>
      </w:r>
      <w:r>
        <w:rPr>
          <w:rFonts w:hint="eastAsia" w:ascii="宋体" w:hAnsi="宋体" w:cs="宋体"/>
          <w:sz w:val="24"/>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 </w:t>
      </w: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（1）查询时间：投标文件递交截止时间。</w:t>
      </w:r>
      <w:r/>
    </w:p>
    <w:p>
      <w:pPr>
        <w:ind w:firstLine="480"/>
        <w:spacing w:line="360" w:lineRule="auto"/>
        <w:rPr>
          <w:rFonts w:ascii="宋体" w:hAnsi="宋体" w:cs="宋体"/>
          <w:sz w:val="24"/>
        </w:rPr>
      </w:pPr>
      <w:r>
        <w:rPr>
          <w:rFonts w:hint="eastAsia" w:ascii="宋体" w:hAnsi="宋体" w:cs="宋体"/>
          <w:sz w:val="24"/>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80"/>
        <w:spacing w:line="360" w:lineRule="auto"/>
        <w:rPr>
          <w:rFonts w:ascii="宋体" w:hAnsi="宋体" w:cs="宋体"/>
          <w:sz w:val="24"/>
        </w:rPr>
      </w:pPr>
      <w:r>
        <w:rPr>
          <w:rFonts w:hint="eastAsia" w:ascii="宋体" w:hAnsi="宋体" w:cs="宋体"/>
          <w:sz w:val="24"/>
        </w:rPr>
        <w:t xml:space="preserve">（3）查询证据留存方式：对存在失信信息的供应商，评审小组应填写《苏州市级政府采购供应商失信信息确认函》，由失信供应商应签名确认。同时，</w:t>
      </w:r>
      <w:r>
        <w:rPr>
          <w:rFonts w:hint="eastAsia" w:ascii="宋体" w:hAnsi="宋体" w:cs="宋体"/>
          <w:sz w:val="24"/>
          <w:lang w:eastAsia="zh-CN"/>
        </w:rPr>
        <w:t xml:space="preserve">招标代理机构</w:t>
      </w:r>
      <w:r>
        <w:rPr>
          <w:rFonts w:hint="eastAsia" w:ascii="宋体" w:hAnsi="宋体" w:cs="宋体"/>
          <w:sz w:val="24"/>
        </w:rPr>
        <w:t xml:space="preserve">工作人员应根据评审小组确认的失信信息，登陆到来源网站页面进行复核并打印，作为证据留存。</w:t>
      </w:r>
      <w:r/>
    </w:p>
    <w:p>
      <w:pPr>
        <w:pStyle w:val="1112"/>
        <w:ind w:firstLine="904"/>
        <w:jc w:val="left"/>
        <w:spacing w:after="0"/>
        <w:rPr>
          <w:rFonts w:hint="eastAsia" w:ascii="宋体" w:hAnsi="宋体" w:cs="宋体"/>
          <w:bCs/>
          <w:color w:val="000000"/>
          <w:szCs w:val="24"/>
        </w:rPr>
      </w:pPr>
      <w:r>
        <w:rPr>
          <w:rFonts w:hint="eastAsia" w:ascii="宋体" w:hAnsi="宋体" w:cs="宋体"/>
          <w:sz w:val="24"/>
        </w:rPr>
        <w:t xml:space="preserve">（4）信用记录使用规则：评审小组在对供应商进行资格性审查时，应根据查询结果对供应商的不良信用记录逐项甄别确认。</w:t>
      </w:r>
      <w:r/>
    </w:p>
    <w:p>
      <w:pPr>
        <w:pStyle w:val="1194"/>
        <w:ind w:firstLine="422"/>
        <w:jc w:val="right"/>
        <w:spacing w:after="0" w:line="360" w:lineRule="auto"/>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 xml:space="preserve">（全文完）</w:t>
      </w:r>
      <w:r/>
    </w:p>
    <w:sectPr>
      <w:footerReference w:type="default" r:id="rId12"/>
      <w:footnotePr/>
      <w:endnotePr/>
      <w:type w:val="nextPage"/>
      <w:pgSz w:w="11906" w:h="16838" w:orient="portrait"/>
      <w:pgMar w:top="1440"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ambria">
    <w:panose1 w:val="02040503050406030204"/>
  </w:font>
  <w:font w:name="Calibri">
    <w:panose1 w:val="020F0502020204030204"/>
  </w:font>
  <w:font w:name="微软雅黑">
    <w:panose1 w:val="020B0503020204020204"/>
  </w:font>
  <w:font w:name="等线">
    <w:panose1 w:val="02010600030101010101"/>
  </w:font>
  <w:font w:name="等线 Light">
    <w:panose1 w:val="02010600030101010101"/>
  </w:font>
  <w:font w:name="仿宋">
    <w:panose1 w:val="02010609060101010101"/>
  </w:font>
  <w:font w:name="Courier New">
    <w:panose1 w:val="02070309020205020404"/>
  </w:font>
  <w:font w:name="仿宋_GB2312">
    <w:panose1 w:val="02010609060101010101"/>
  </w:font>
  <w:font w:name="华文中宋">
    <w:panose1 w:val="02010600040101010101"/>
  </w:font>
  <w:font w:name="方正书宋_GBK">
    <w:panose1 w:val="020B0503020202020204"/>
  </w:font>
  <w:font w:name="Verdana">
    <w:panose1 w:val="020B0604030504040204"/>
  </w:font>
  <w:font w:name="黑体">
    <w:panose1 w:val="02010609060101010101"/>
  </w:font>
  <w:font w:name="楷体_GB2312">
    <w:panose1 w:val="02010609060101010101"/>
  </w:font>
  <w:font w:name="文鼎大标宋简">
    <w:panose1 w:val="020B05030202020202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etween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ind w:firstLine="0"/>
                          </w:pPr>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ind w:firstLine="0"/>
                    </w:pPr>
                    <w:r/>
                    <w:r/>
                  </w:p>
                  <w:p>
                    <w:r/>
                    <w:r/>
                  </w:p>
                  <w:p>
                    <w:r/>
                    <w:r/>
                  </w:p>
                </w:txbxContent>
              </v:textbox>
            </v:shape>
          </w:pict>
        </mc:Fallback>
      </mc:AlternateContent>
    </w:r>
    <w:r/>
  </w:p>
  <w:p>
    <w:pPr>
      <w:pStyle w:val="1015"/>
      <w:pBdr>
        <w:between w:val="none" w:color="000000" w:sz="0" w:space="0"/>
      </w:pBdr>
      <w:framePr w:wrap="around" w:vAnchor="text" w:hAnchor="page" w:x="3785" w:y="1"/>
    </w:pPr>
    <w:r/>
    <w:r/>
  </w:p>
  <w:p>
    <w:pPr>
      <w:pStyle w:val="101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ind w:firstLine="0"/>
                            <w:tabs>
                              <w:tab w:val="center" w:pos="4153" w:leader="none"/>
                              <w:tab w:val="right" w:pos="8306" w:leader="none"/>
                            </w:tabs>
                          </w:pPr>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ind w:firstLine="0"/>
                      <w:tabs>
                        <w:tab w:val="center" w:pos="4153" w:leader="none"/>
                        <w:tab w:val="right" w:pos="8306" w:leader="none"/>
                      </w:tabs>
                    </w:pPr>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00175" cy="3175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400175" cy="317500"/>
                      </a:xfrm>
                      <a:prstGeom prst="rect">
                        <a:avLst/>
                      </a:prstGeom>
                      <a:noFill/>
                      <a:ln>
                        <a:noFill/>
                      </a:ln>
                    </wps:spPr>
                    <wps:txbx>
                      <w:txbxContent>
                        <w:p>
                          <w:pPr>
                            <w:pStyle w:val="1015"/>
                            <w:ind w:firstLine="0"/>
                          </w:pPr>
                          <w:r>
                            <w:rPr>
                              <w:rFonts w:hint="eastAsia"/>
                            </w:rPr>
                            <w:t xml:space="preserve">第 </w:t>
                          </w:r>
                          <w:r>
                            <w:rPr>
                              <w:rFonts w:hint="eastAsia"/>
                              <w:lang w:val="en-US" w:eastAsia="zh-CN"/>
                            </w:rPr>
                            <w:t xml:space="preserve">1</w:t>
                          </w:r>
                          <w:r>
                            <w:rPr>
                              <w:rFonts w:hint="eastAsia"/>
                            </w:rPr>
                            <w:t xml:space="preserve"> 页 共 74 页</w:t>
                          </w:r>
                          <w:r/>
                        </w:p>
                        <w:p>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10.2pt;height:25.0pt;mso-wrap-distance-left:9.0pt;mso-wrap-distance-top:0.0pt;mso-wrap-distance-right:9.0pt;mso-wrap-distance-bottom:0.0pt;visibility:visible;" filled="f" stroked="f">
              <v:textbox inset="0,0,0,0">
                <w:txbxContent>
                  <w:p>
                    <w:pPr>
                      <w:pStyle w:val="1015"/>
                      <w:ind w:firstLine="0"/>
                    </w:pPr>
                    <w:r>
                      <w:rPr>
                        <w:rFonts w:hint="eastAsia"/>
                      </w:rPr>
                      <w:t xml:space="preserve">第 </w:t>
                    </w:r>
                    <w:r>
                      <w:rPr>
                        <w:rFonts w:hint="eastAsia"/>
                        <w:lang w:val="en-US" w:eastAsia="zh-CN"/>
                      </w:rPr>
                      <w:t xml:space="preserve">1</w:t>
                    </w:r>
                    <w:r>
                      <w:rPr>
                        <w:rFonts w:hint="eastAsia"/>
                      </w:rPr>
                      <w:t xml:space="preserve"> 页 共 74 页</w:t>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right"/>
      <w:tabs>
        <w:tab w:val="center" w:pos="4153" w:leader="none"/>
        <w:tab w:val="right" w:pos="8306"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00175" cy="3175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400175" cy="317500"/>
                      </a:xfrm>
                      <a:prstGeom prst="rect">
                        <a:avLst/>
                      </a:prstGeom>
                      <a:noFill/>
                      <a:ln>
                        <a:noFill/>
                      </a:ln>
                    </wps:spPr>
                    <wps:txbx>
                      <w:txbxContent>
                        <w:p>
                          <w:pPr>
                            <w:pStyle w:val="1015"/>
                            <w:ind w:firstLine="0"/>
                          </w:pPr>
                          <w:r>
                            <w:rPr>
                              <w:rFonts w:hint="eastAsia"/>
                            </w:rPr>
                            <w:t xml:space="preserve"> </w:t>
                          </w:r>
                          <w:r/>
                        </w:p>
                        <w:p>
                          <w:r/>
                          <w:r/>
                        </w:p>
                        <w:p>
                          <w:r/>
                          <w:r/>
                        </w:p>
                      </w:txbxContent>
                    </wps:txbx>
                    <wps:bodyPr wrap="square" lIns="0" tIns="0" rIns="0" bIns="0" upright="1"/>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10.2pt;height:25.0pt;mso-wrap-distance-left:9.0pt;mso-wrap-distance-top:0.0pt;mso-wrap-distance-right:9.0pt;mso-wrap-distance-bottom:0.0pt;visibility:visible;" filled="f" stroked="f">
              <v:textbox inset="0,0,0,0">
                <w:txbxContent>
                  <w:p>
                    <w:pPr>
                      <w:pStyle w:val="1015"/>
                      <w:ind w:firstLine="0"/>
                    </w:pPr>
                    <w:r>
                      <w:rPr>
                        <w:rFonts w:hint="eastAsia"/>
                      </w:rPr>
                      <w:t xml:space="preserve"> </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default="1">
    <w:name w:val="Normal"/>
    <w:uiPriority w:val="0"/>
    <w:qFormat/>
    <w:pPr>
      <w:jc w:val="both"/>
      <w:spacing w:after="160" w:line="278" w:lineRule="auto"/>
      <w:widowControl w:val="off"/>
    </w:pPr>
    <w:rPr>
      <w:rFonts w:hint="default" w:ascii="Times New Roman" w:hAnsi="Times New Roman" w:eastAsia="宋体" w:cs="Times New Roman"/>
      <w:sz w:val="21"/>
      <w:szCs w:val="24"/>
    </w:rPr>
  </w:style>
  <w:style w:type="paragraph" w:styleId="825">
    <w:name w:val="Heading 1"/>
    <w:basedOn w:val="824"/>
    <w:next w:val="824"/>
    <w:link w:val="1088"/>
    <w:uiPriority w:val="0"/>
    <w:qFormat/>
    <w:pPr>
      <w:keepLines/>
      <w:keepNext/>
      <w:spacing w:before="480" w:after="200"/>
      <w:outlineLvl w:val="0"/>
    </w:pPr>
    <w:rPr>
      <w:rFonts w:ascii="Arial" w:hAnsi="Arial" w:eastAsia="Arial"/>
      <w:sz w:val="40"/>
      <w:szCs w:val="40"/>
    </w:rPr>
  </w:style>
  <w:style w:type="paragraph" w:styleId="826">
    <w:name w:val="Heading 2"/>
    <w:basedOn w:val="824"/>
    <w:next w:val="824"/>
    <w:link w:val="949"/>
    <w:uiPriority w:val="0"/>
    <w:qFormat/>
    <w:pPr>
      <w:keepLines/>
      <w:keepNext/>
      <w:spacing w:before="360" w:after="200"/>
      <w:outlineLvl w:val="1"/>
    </w:pPr>
    <w:rPr>
      <w:rFonts w:ascii="Arial" w:hAnsi="Arial" w:eastAsia="Arial"/>
      <w:sz w:val="34"/>
      <w:szCs w:val="20"/>
    </w:rPr>
  </w:style>
  <w:style w:type="paragraph" w:styleId="827">
    <w:name w:val="Heading 3"/>
    <w:basedOn w:val="824"/>
    <w:next w:val="824"/>
    <w:link w:val="1064"/>
    <w:uiPriority w:val="0"/>
    <w:qFormat/>
    <w:pPr>
      <w:keepLines/>
      <w:keepNext/>
      <w:spacing w:before="320" w:after="200"/>
      <w:outlineLvl w:val="2"/>
    </w:pPr>
    <w:rPr>
      <w:rFonts w:ascii="Arial" w:hAnsi="Arial" w:eastAsia="Arial"/>
      <w:sz w:val="30"/>
      <w:szCs w:val="30"/>
    </w:rPr>
  </w:style>
  <w:style w:type="paragraph" w:styleId="828">
    <w:name w:val="Heading 4"/>
    <w:basedOn w:val="824"/>
    <w:next w:val="824"/>
    <w:link w:val="938"/>
    <w:uiPriority w:val="9"/>
    <w:qFormat/>
    <w:pPr>
      <w:keepLines/>
      <w:keepNext/>
      <w:spacing w:before="320" w:after="200"/>
      <w:outlineLvl w:val="3"/>
    </w:pPr>
    <w:rPr>
      <w:rFonts w:ascii="Arial" w:hAnsi="Arial" w:eastAsia="Arial"/>
      <w:b/>
      <w:bCs/>
      <w:sz w:val="26"/>
      <w:szCs w:val="26"/>
    </w:rPr>
  </w:style>
  <w:style w:type="paragraph" w:styleId="829">
    <w:name w:val="Heading 5"/>
    <w:basedOn w:val="824"/>
    <w:next w:val="824"/>
    <w:link w:val="1100"/>
    <w:uiPriority w:val="9"/>
    <w:qFormat/>
    <w:pPr>
      <w:keepLines/>
      <w:keepNext/>
      <w:spacing w:before="320" w:after="200"/>
      <w:outlineLvl w:val="4"/>
    </w:pPr>
    <w:rPr>
      <w:rFonts w:ascii="Arial" w:hAnsi="Arial" w:eastAsia="Arial"/>
      <w:b/>
      <w:bCs/>
      <w:sz w:val="24"/>
    </w:rPr>
  </w:style>
  <w:style w:type="paragraph" w:styleId="830">
    <w:name w:val="Heading 6"/>
    <w:basedOn w:val="824"/>
    <w:next w:val="824"/>
    <w:link w:val="1063"/>
    <w:uiPriority w:val="9"/>
    <w:qFormat/>
    <w:pPr>
      <w:keepLines/>
      <w:keepNext/>
      <w:spacing w:before="320" w:after="200"/>
      <w:outlineLvl w:val="5"/>
    </w:pPr>
    <w:rPr>
      <w:rFonts w:ascii="Arial" w:hAnsi="Arial" w:eastAsia="Arial"/>
      <w:b/>
      <w:bCs/>
      <w:sz w:val="22"/>
      <w:szCs w:val="22"/>
    </w:rPr>
  </w:style>
  <w:style w:type="paragraph" w:styleId="831">
    <w:name w:val="Heading 7"/>
    <w:basedOn w:val="824"/>
    <w:next w:val="824"/>
    <w:link w:val="1017"/>
    <w:uiPriority w:val="9"/>
    <w:qFormat/>
    <w:pPr>
      <w:keepLines/>
      <w:keepNext/>
      <w:spacing w:before="320" w:after="200"/>
      <w:outlineLvl w:val="6"/>
    </w:pPr>
    <w:rPr>
      <w:rFonts w:ascii="Arial" w:hAnsi="Arial" w:eastAsia="Arial"/>
      <w:b/>
      <w:bCs/>
      <w:i/>
      <w:iCs/>
      <w:sz w:val="22"/>
      <w:szCs w:val="22"/>
    </w:rPr>
  </w:style>
  <w:style w:type="paragraph" w:styleId="832">
    <w:name w:val="Heading 8"/>
    <w:basedOn w:val="824"/>
    <w:next w:val="824"/>
    <w:link w:val="972"/>
    <w:uiPriority w:val="9"/>
    <w:qFormat/>
    <w:pPr>
      <w:keepLines/>
      <w:keepNext/>
      <w:spacing w:before="320" w:after="200"/>
      <w:outlineLvl w:val="7"/>
    </w:pPr>
    <w:rPr>
      <w:rFonts w:ascii="Arial" w:hAnsi="Arial" w:eastAsia="Arial"/>
      <w:i/>
      <w:iCs/>
      <w:sz w:val="22"/>
      <w:szCs w:val="22"/>
    </w:rPr>
  </w:style>
  <w:style w:type="paragraph" w:styleId="833">
    <w:name w:val="Heading 9"/>
    <w:basedOn w:val="824"/>
    <w:next w:val="824"/>
    <w:link w:val="959"/>
    <w:uiPriority w:val="9"/>
    <w:qFormat/>
    <w:pPr>
      <w:keepLines/>
      <w:keepNext/>
      <w:spacing w:before="320" w:after="200"/>
      <w:outlineLvl w:val="8"/>
    </w:pPr>
    <w:rPr>
      <w:rFonts w:ascii="Arial" w:hAnsi="Arial" w:eastAsia="Arial"/>
      <w:i/>
      <w:iCs/>
      <w:szCs w:val="21"/>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List 3"/>
    <w:basedOn w:val="824"/>
    <w:uiPriority w:val="0"/>
    <w:qFormat/>
    <w:pPr>
      <w:contextualSpacing/>
      <w:ind w:left="100" w:hanging="200"/>
      <w:spacing w:after="0" w:line="240" w:lineRule="auto"/>
    </w:pPr>
    <w:rPr>
      <w:rFonts w:eastAsia="楷体_GB2312"/>
      <w:sz w:val="28"/>
      <w:szCs w:val="20"/>
    </w:rPr>
  </w:style>
  <w:style w:type="paragraph" w:styleId="837">
    <w:name w:val="toc 7"/>
    <w:basedOn w:val="824"/>
    <w:next w:val="824"/>
    <w:uiPriority w:val="39"/>
    <w:unhideWhenUsed/>
    <w:qFormat/>
    <w:pPr>
      <w:ind w:left="1701"/>
      <w:spacing w:after="57"/>
    </w:pPr>
  </w:style>
  <w:style w:type="paragraph" w:styleId="838">
    <w:name w:val="Note Heading"/>
    <w:basedOn w:val="824"/>
    <w:next w:val="824"/>
    <w:link w:val="1001"/>
    <w:uiPriority w:val="99"/>
    <w:qFormat/>
    <w:pPr>
      <w:ind w:firstLine="1360"/>
      <w:jc w:val="center"/>
      <w:spacing w:after="0" w:line="240" w:lineRule="auto"/>
    </w:pPr>
    <w:rPr>
      <w:rFonts w:ascii="仿宋_GB2312" w:hAnsi="仿宋_GB2312" w:eastAsia="仿宋_GB2312"/>
      <w:sz w:val="32"/>
      <w:szCs w:val="22"/>
    </w:rPr>
  </w:style>
  <w:style w:type="paragraph" w:styleId="839">
    <w:name w:val="index 8"/>
    <w:basedOn w:val="824"/>
    <w:next w:val="824"/>
    <w:uiPriority w:val="0"/>
    <w:qFormat/>
    <w:pPr>
      <w:ind w:left="2940"/>
      <w:spacing w:after="0" w:line="240" w:lineRule="auto"/>
    </w:pPr>
    <w:rPr>
      <w:rFonts w:eastAsia="楷体_GB2312"/>
      <w:sz w:val="28"/>
      <w:szCs w:val="20"/>
    </w:rPr>
  </w:style>
  <w:style w:type="paragraph" w:styleId="840">
    <w:name w:val="Normal Indent"/>
    <w:basedOn w:val="824"/>
    <w:link w:val="1030"/>
    <w:uiPriority w:val="0"/>
    <w:qFormat/>
    <w:pPr>
      <w:ind w:firstLine="420"/>
      <w:jc w:val="left"/>
      <w:spacing w:after="0" w:line="240" w:lineRule="auto"/>
    </w:pPr>
    <w:rPr>
      <w:rFonts w:eastAsia="楷体_GB2312"/>
      <w:sz w:val="24"/>
      <w:szCs w:val="20"/>
    </w:rPr>
  </w:style>
  <w:style w:type="paragraph" w:styleId="841">
    <w:name w:val="Caption"/>
    <w:basedOn w:val="824"/>
    <w:next w:val="824"/>
    <w:link w:val="946"/>
    <w:uiPriority w:val="0"/>
    <w:qFormat/>
    <w:pPr>
      <w:spacing w:line="276" w:lineRule="auto"/>
    </w:pPr>
    <w:rPr>
      <w:b/>
      <w:bCs/>
      <w:color w:val="4f81bd"/>
      <w:sz w:val="18"/>
      <w:szCs w:val="18"/>
    </w:rPr>
  </w:style>
  <w:style w:type="paragraph" w:styleId="842">
    <w:name w:val="index 5"/>
    <w:basedOn w:val="824"/>
    <w:next w:val="824"/>
    <w:uiPriority w:val="0"/>
    <w:qFormat/>
    <w:pPr>
      <w:ind w:left="1680"/>
      <w:spacing w:after="0" w:line="240" w:lineRule="auto"/>
    </w:pPr>
    <w:rPr>
      <w:rFonts w:eastAsia="楷体_GB2312"/>
      <w:sz w:val="28"/>
      <w:szCs w:val="20"/>
    </w:rPr>
  </w:style>
  <w:style w:type="paragraph" w:styleId="843">
    <w:name w:val="Document Map"/>
    <w:basedOn w:val="824"/>
    <w:link w:val="954"/>
    <w:uiPriority w:val="0"/>
    <w:qFormat/>
    <w:pPr>
      <w:spacing w:after="0" w:line="240" w:lineRule="auto"/>
      <w:shd w:val="clear" w:color="auto" w:fill="000080"/>
    </w:pPr>
    <w:rPr>
      <w:rFonts w:eastAsia="楷体_GB2312"/>
      <w:sz w:val="28"/>
      <w:szCs w:val="20"/>
    </w:rPr>
  </w:style>
  <w:style w:type="paragraph" w:styleId="844">
    <w:name w:val="annotation text"/>
    <w:basedOn w:val="824"/>
    <w:link w:val="937"/>
    <w:uiPriority w:val="99"/>
    <w:qFormat/>
    <w:pPr>
      <w:jc w:val="left"/>
      <w:spacing w:after="0" w:line="240" w:lineRule="auto"/>
      <w:widowControl/>
    </w:pPr>
    <w:rPr>
      <w:sz w:val="20"/>
      <w:szCs w:val="20"/>
      <w:lang w:val="en-GB"/>
    </w:rPr>
  </w:style>
  <w:style w:type="paragraph" w:styleId="845">
    <w:name w:val="index 6"/>
    <w:basedOn w:val="824"/>
    <w:next w:val="824"/>
    <w:uiPriority w:val="0"/>
    <w:qFormat/>
    <w:pPr>
      <w:ind w:left="2100"/>
      <w:spacing w:after="0" w:line="240" w:lineRule="auto"/>
    </w:pPr>
    <w:rPr>
      <w:rFonts w:eastAsia="楷体_GB2312"/>
      <w:sz w:val="28"/>
      <w:szCs w:val="20"/>
    </w:rPr>
  </w:style>
  <w:style w:type="paragraph" w:styleId="846">
    <w:name w:val="Body Text"/>
    <w:basedOn w:val="824"/>
    <w:link w:val="1036"/>
    <w:uiPriority w:val="1"/>
    <w:qFormat/>
    <w:pPr>
      <w:spacing w:after="0" w:line="360" w:lineRule="auto"/>
    </w:pPr>
    <w:rPr>
      <w:rFonts w:ascii="宋体" w:hAnsi="宋体"/>
      <w:szCs w:val="21"/>
    </w:rPr>
  </w:style>
  <w:style w:type="paragraph" w:styleId="847">
    <w:name w:val="Body Text Indent"/>
    <w:basedOn w:val="824"/>
    <w:link w:val="1107"/>
    <w:uiPriority w:val="0"/>
    <w:qFormat/>
    <w:pPr>
      <w:ind w:firstLine="570"/>
      <w:spacing w:after="0" w:line="240" w:lineRule="auto"/>
    </w:pPr>
    <w:rPr>
      <w:rFonts w:ascii="宋体"/>
      <w:sz w:val="28"/>
      <w:szCs w:val="20"/>
    </w:rPr>
  </w:style>
  <w:style w:type="paragraph" w:styleId="848">
    <w:name w:val="Block Text"/>
    <w:basedOn w:val="824"/>
    <w:uiPriority w:val="0"/>
    <w:qFormat/>
    <w:pPr>
      <w:ind w:left="630" w:right="-609" w:firstLine="420"/>
      <w:spacing w:after="0" w:line="360" w:lineRule="auto"/>
    </w:pPr>
    <w:rPr>
      <w:rFonts w:hint="eastAsia" w:ascii="仿宋_GB2312" w:eastAsia="仿宋_GB2312"/>
      <w:szCs w:val="20"/>
    </w:rPr>
  </w:style>
  <w:style w:type="paragraph" w:styleId="849">
    <w:name w:val="index 4"/>
    <w:basedOn w:val="824"/>
    <w:next w:val="824"/>
    <w:uiPriority w:val="0"/>
    <w:qFormat/>
    <w:pPr>
      <w:ind w:left="1260"/>
      <w:spacing w:after="0" w:line="240" w:lineRule="auto"/>
    </w:pPr>
    <w:rPr>
      <w:rFonts w:eastAsia="楷体_GB2312"/>
      <w:sz w:val="28"/>
      <w:szCs w:val="20"/>
    </w:rPr>
  </w:style>
  <w:style w:type="paragraph" w:styleId="850">
    <w:name w:val="toc 5"/>
    <w:basedOn w:val="824"/>
    <w:next w:val="824"/>
    <w:uiPriority w:val="39"/>
    <w:unhideWhenUsed/>
    <w:qFormat/>
    <w:pPr>
      <w:ind w:left="1134"/>
      <w:spacing w:after="57"/>
    </w:pPr>
  </w:style>
  <w:style w:type="paragraph" w:styleId="851">
    <w:name w:val="toc 3"/>
    <w:basedOn w:val="824"/>
    <w:next w:val="824"/>
    <w:uiPriority w:val="39"/>
    <w:unhideWhenUsed/>
    <w:qFormat/>
    <w:pPr>
      <w:ind w:left="567"/>
      <w:spacing w:after="57"/>
    </w:pPr>
  </w:style>
  <w:style w:type="paragraph" w:styleId="852">
    <w:name w:val="Plain Text"/>
    <w:basedOn w:val="824"/>
    <w:link w:val="1007"/>
    <w:uiPriority w:val="0"/>
    <w:qFormat/>
    <w:pPr>
      <w:spacing w:after="0" w:line="240" w:lineRule="auto"/>
    </w:pPr>
    <w:rPr>
      <w:rFonts w:ascii="宋体" w:hAnsi="Courier New" w:eastAsia="楷体_GB2312"/>
      <w:sz w:val="28"/>
      <w:szCs w:val="20"/>
    </w:rPr>
  </w:style>
  <w:style w:type="paragraph" w:styleId="853">
    <w:name w:val="toc 8"/>
    <w:basedOn w:val="824"/>
    <w:next w:val="824"/>
    <w:uiPriority w:val="39"/>
    <w:unhideWhenUsed/>
    <w:qFormat/>
    <w:pPr>
      <w:ind w:left="1984"/>
      <w:spacing w:after="57"/>
    </w:pPr>
  </w:style>
  <w:style w:type="paragraph" w:styleId="854">
    <w:name w:val="index 3"/>
    <w:basedOn w:val="824"/>
    <w:next w:val="824"/>
    <w:uiPriority w:val="0"/>
    <w:qFormat/>
    <w:pPr>
      <w:ind w:left="840"/>
      <w:spacing w:after="0" w:line="240" w:lineRule="auto"/>
    </w:pPr>
    <w:rPr>
      <w:rFonts w:eastAsia="楷体_GB2312"/>
      <w:sz w:val="28"/>
      <w:szCs w:val="20"/>
    </w:rPr>
  </w:style>
  <w:style w:type="paragraph" w:styleId="855">
    <w:name w:val="Date"/>
    <w:basedOn w:val="824"/>
    <w:next w:val="824"/>
    <w:link w:val="1060"/>
    <w:uiPriority w:val="0"/>
    <w:qFormat/>
    <w:pPr>
      <w:spacing w:after="0" w:line="240" w:lineRule="auto"/>
    </w:pPr>
    <w:rPr>
      <w:rFonts w:ascii="宋体" w:hAnsi="宋体" w:eastAsia="楷体_GB2312"/>
      <w:sz w:val="24"/>
      <w:szCs w:val="20"/>
    </w:rPr>
  </w:style>
  <w:style w:type="paragraph" w:styleId="856">
    <w:name w:val="Body Text Indent 2"/>
    <w:basedOn w:val="824"/>
    <w:link w:val="1076"/>
    <w:uiPriority w:val="0"/>
    <w:qFormat/>
    <w:pPr>
      <w:ind w:left="420"/>
      <w:spacing w:after="120" w:line="480" w:lineRule="auto"/>
    </w:pPr>
    <w:rPr>
      <w:rFonts w:eastAsia="楷体_GB2312"/>
      <w:sz w:val="28"/>
      <w:szCs w:val="20"/>
    </w:rPr>
  </w:style>
  <w:style w:type="paragraph" w:styleId="857">
    <w:name w:val="endnote text"/>
    <w:basedOn w:val="824"/>
    <w:link w:val="1003"/>
    <w:uiPriority w:val="99"/>
    <w:unhideWhenUsed/>
    <w:qFormat/>
    <w:pPr>
      <w:spacing w:after="0" w:line="240" w:lineRule="auto"/>
    </w:pPr>
    <w:rPr>
      <w:sz w:val="20"/>
      <w:szCs w:val="20"/>
    </w:rPr>
  </w:style>
  <w:style w:type="paragraph" w:styleId="858">
    <w:name w:val="Balloon Text"/>
    <w:basedOn w:val="824"/>
    <w:link w:val="1020"/>
    <w:uiPriority w:val="0"/>
    <w:qFormat/>
    <w:pPr>
      <w:spacing w:after="0" w:line="240" w:lineRule="auto"/>
    </w:pPr>
    <w:rPr>
      <w:rFonts w:eastAsia="楷体_GB2312"/>
      <w:sz w:val="16"/>
      <w:szCs w:val="16"/>
    </w:rPr>
  </w:style>
  <w:style w:type="paragraph" w:styleId="859">
    <w:name w:val="Footer"/>
    <w:basedOn w:val="824"/>
    <w:link w:val="945"/>
    <w:uiPriority w:val="0"/>
    <w:unhideWhenUsed/>
    <w:qFormat/>
    <w:pPr>
      <w:spacing w:after="0" w:line="240" w:lineRule="auto"/>
      <w:tabs>
        <w:tab w:val="center" w:pos="7143" w:leader="none"/>
        <w:tab w:val="right" w:pos="14287" w:leader="none"/>
      </w:tabs>
    </w:pPr>
  </w:style>
  <w:style w:type="paragraph" w:styleId="860">
    <w:name w:val="envelope return"/>
    <w:basedOn w:val="824"/>
    <w:uiPriority w:val="0"/>
    <w:qFormat/>
    <w:pPr>
      <w:spacing w:after="0" w:line="240" w:lineRule="auto"/>
    </w:pPr>
    <w:rPr>
      <w:rFonts w:ascii="Arial" w:hAnsi="Arial"/>
    </w:rPr>
  </w:style>
  <w:style w:type="paragraph" w:styleId="861">
    <w:name w:val="Header"/>
    <w:basedOn w:val="824"/>
    <w:link w:val="1102"/>
    <w:uiPriority w:val="0"/>
    <w:unhideWhenUsed/>
    <w:qFormat/>
    <w:pPr>
      <w:spacing w:after="0" w:line="240" w:lineRule="auto"/>
      <w:tabs>
        <w:tab w:val="center" w:pos="7143" w:leader="none"/>
        <w:tab w:val="right" w:pos="14287" w:leader="none"/>
      </w:tabs>
    </w:pPr>
  </w:style>
  <w:style w:type="paragraph" w:styleId="862">
    <w:name w:val="toc 1"/>
    <w:basedOn w:val="824"/>
    <w:next w:val="824"/>
    <w:uiPriority w:val="39"/>
    <w:unhideWhenUsed/>
    <w:qFormat/>
    <w:pPr>
      <w:spacing w:after="57"/>
    </w:pPr>
  </w:style>
  <w:style w:type="paragraph" w:styleId="863">
    <w:name w:val="toc 4"/>
    <w:basedOn w:val="824"/>
    <w:next w:val="824"/>
    <w:uiPriority w:val="39"/>
    <w:unhideWhenUsed/>
    <w:qFormat/>
    <w:pPr>
      <w:ind w:left="850"/>
      <w:spacing w:after="57"/>
    </w:pPr>
  </w:style>
  <w:style w:type="paragraph" w:styleId="864">
    <w:name w:val="index heading"/>
    <w:basedOn w:val="824"/>
    <w:next w:val="865"/>
    <w:uiPriority w:val="0"/>
    <w:qFormat/>
    <w:pPr>
      <w:spacing w:after="0" w:line="240" w:lineRule="auto"/>
    </w:pPr>
    <w:rPr>
      <w:rFonts w:eastAsia="楷体_GB2312"/>
      <w:sz w:val="28"/>
      <w:szCs w:val="20"/>
    </w:rPr>
  </w:style>
  <w:style w:type="paragraph" w:styleId="865">
    <w:name w:val="index 1"/>
    <w:basedOn w:val="824"/>
    <w:next w:val="824"/>
    <w:uiPriority w:val="0"/>
    <w:unhideWhenUsed/>
    <w:qFormat/>
    <w:pPr>
      <w:spacing w:after="0" w:line="240" w:lineRule="auto"/>
    </w:pPr>
    <w:rPr>
      <w:rFonts w:eastAsia="楷体_GB2312"/>
      <w:sz w:val="28"/>
      <w:szCs w:val="20"/>
    </w:rPr>
  </w:style>
  <w:style w:type="paragraph" w:styleId="866">
    <w:name w:val="Subtitle"/>
    <w:basedOn w:val="824"/>
    <w:next w:val="824"/>
    <w:link w:val="969"/>
    <w:uiPriority w:val="11"/>
    <w:qFormat/>
    <w:pPr>
      <w:spacing w:before="200" w:after="200"/>
    </w:pPr>
    <w:rPr>
      <w:sz w:val="24"/>
    </w:rPr>
  </w:style>
  <w:style w:type="paragraph" w:styleId="867">
    <w:name w:val="footnote text"/>
    <w:basedOn w:val="824"/>
    <w:link w:val="980"/>
    <w:uiPriority w:val="99"/>
    <w:unhideWhenUsed/>
    <w:qFormat/>
    <w:pPr>
      <w:spacing w:after="40" w:line="240" w:lineRule="auto"/>
    </w:pPr>
    <w:rPr>
      <w:sz w:val="18"/>
      <w:szCs w:val="20"/>
    </w:rPr>
  </w:style>
  <w:style w:type="paragraph" w:styleId="868">
    <w:name w:val="toc 6"/>
    <w:basedOn w:val="824"/>
    <w:next w:val="824"/>
    <w:uiPriority w:val="39"/>
    <w:unhideWhenUsed/>
    <w:qFormat/>
    <w:pPr>
      <w:ind w:left="1417"/>
      <w:spacing w:after="57"/>
    </w:pPr>
  </w:style>
  <w:style w:type="paragraph" w:styleId="869">
    <w:name w:val="Body Text Indent 3"/>
    <w:basedOn w:val="824"/>
    <w:link w:val="1055"/>
    <w:uiPriority w:val="0"/>
    <w:qFormat/>
    <w:pPr>
      <w:ind w:left="420"/>
      <w:jc w:val="left"/>
      <w:spacing w:after="120" w:line="240" w:lineRule="auto"/>
      <w:widowControl/>
    </w:pPr>
    <w:rPr>
      <w:sz w:val="16"/>
      <w:szCs w:val="16"/>
    </w:rPr>
  </w:style>
  <w:style w:type="paragraph" w:styleId="870">
    <w:name w:val="index 7"/>
    <w:basedOn w:val="824"/>
    <w:next w:val="824"/>
    <w:uiPriority w:val="0"/>
    <w:qFormat/>
    <w:pPr>
      <w:ind w:left="2520"/>
      <w:spacing w:after="0" w:line="240" w:lineRule="auto"/>
    </w:pPr>
    <w:rPr>
      <w:rFonts w:eastAsia="楷体_GB2312"/>
      <w:sz w:val="28"/>
      <w:szCs w:val="20"/>
    </w:rPr>
  </w:style>
  <w:style w:type="paragraph" w:styleId="871">
    <w:name w:val="index 9"/>
    <w:basedOn w:val="824"/>
    <w:next w:val="824"/>
    <w:uiPriority w:val="0"/>
    <w:qFormat/>
    <w:pPr>
      <w:ind w:left="3360"/>
      <w:spacing w:after="0" w:line="240" w:lineRule="auto"/>
    </w:pPr>
    <w:rPr>
      <w:rFonts w:eastAsia="楷体_GB2312"/>
      <w:sz w:val="28"/>
      <w:szCs w:val="20"/>
    </w:rPr>
  </w:style>
  <w:style w:type="paragraph" w:styleId="872">
    <w:name w:val="table of figures"/>
    <w:basedOn w:val="824"/>
    <w:next w:val="824"/>
    <w:uiPriority w:val="0"/>
    <w:unhideWhenUsed/>
    <w:qFormat/>
    <w:pPr>
      <w:spacing w:after="0"/>
    </w:pPr>
  </w:style>
  <w:style w:type="paragraph" w:styleId="873">
    <w:name w:val="toc 2"/>
    <w:basedOn w:val="824"/>
    <w:next w:val="824"/>
    <w:uiPriority w:val="39"/>
    <w:unhideWhenUsed/>
    <w:qFormat/>
    <w:pPr>
      <w:ind w:left="283"/>
      <w:spacing w:after="57"/>
    </w:pPr>
  </w:style>
  <w:style w:type="paragraph" w:styleId="874">
    <w:name w:val="toc 9"/>
    <w:basedOn w:val="824"/>
    <w:next w:val="824"/>
    <w:uiPriority w:val="39"/>
    <w:unhideWhenUsed/>
    <w:qFormat/>
    <w:pPr>
      <w:ind w:left="2268"/>
      <w:spacing w:after="57"/>
    </w:pPr>
  </w:style>
  <w:style w:type="paragraph" w:styleId="875">
    <w:name w:val="Body Text 2"/>
    <w:basedOn w:val="824"/>
    <w:link w:val="997"/>
    <w:uiPriority w:val="0"/>
    <w:qFormat/>
    <w:pPr>
      <w:spacing w:after="120" w:line="480" w:lineRule="auto"/>
    </w:pPr>
    <w:rPr>
      <w:rFonts w:eastAsia="楷体_GB2312"/>
      <w:sz w:val="28"/>
      <w:szCs w:val="20"/>
    </w:rPr>
  </w:style>
  <w:style w:type="paragraph" w:styleId="876">
    <w:name w:val="Normal (Web)"/>
    <w:basedOn w:val="824"/>
    <w:uiPriority w:val="99"/>
    <w:qFormat/>
    <w:pPr>
      <w:jc w:val="left"/>
      <w:spacing w:before="100" w:after="100" w:line="240" w:lineRule="auto"/>
      <w:widowControl/>
    </w:pPr>
    <w:rPr>
      <w:rFonts w:ascii="宋体" w:hAnsi="宋体"/>
      <w:color w:val="000000"/>
      <w:sz w:val="24"/>
      <w:szCs w:val="20"/>
    </w:rPr>
  </w:style>
  <w:style w:type="paragraph" w:styleId="877">
    <w:name w:val="index 2"/>
    <w:basedOn w:val="824"/>
    <w:next w:val="824"/>
    <w:uiPriority w:val="0"/>
    <w:qFormat/>
    <w:pPr>
      <w:ind w:left="420"/>
      <w:spacing w:after="0" w:line="240" w:lineRule="auto"/>
    </w:pPr>
    <w:rPr>
      <w:rFonts w:eastAsia="楷体_GB2312"/>
      <w:sz w:val="28"/>
      <w:szCs w:val="20"/>
    </w:rPr>
  </w:style>
  <w:style w:type="paragraph" w:styleId="878">
    <w:name w:val="Title"/>
    <w:basedOn w:val="824"/>
    <w:next w:val="824"/>
    <w:link w:val="1075"/>
    <w:uiPriority w:val="0"/>
    <w:qFormat/>
    <w:pPr>
      <w:contextualSpacing/>
      <w:spacing w:before="300" w:after="200"/>
    </w:pPr>
    <w:rPr>
      <w:sz w:val="48"/>
      <w:szCs w:val="48"/>
    </w:rPr>
  </w:style>
  <w:style w:type="paragraph" w:styleId="879">
    <w:name w:val="annotation subject"/>
    <w:basedOn w:val="844"/>
    <w:next w:val="844"/>
    <w:link w:val="975"/>
    <w:uiPriority w:val="0"/>
    <w:qFormat/>
    <w:pPr>
      <w:widowControl w:val="off"/>
    </w:pPr>
    <w:rPr>
      <w:rFonts w:eastAsia="楷体_GB2312"/>
      <w:b/>
      <w:bCs/>
      <w:sz w:val="28"/>
    </w:rPr>
  </w:style>
  <w:style w:type="table" w:styleId="880">
    <w:name w:val="Table Grid"/>
    <w:uiPriority w:val="0"/>
    <w:qFormat/>
    <w:pPr>
      <w:spacing w:after="160" w:line="278" w:lineRule="auto"/>
    </w:pPr>
    <w:tblPr>
      <w:tblCellMar>
        <w:left w:w="0" w:type="dxa"/>
        <w:top w:w="0" w:type="dxa"/>
        <w:right w:w="0" w:type="dxa"/>
        <w:bottom w:w="0" w:type="dxa"/>
      </w:tblCellMar>
    </w:tblPr>
  </w:style>
  <w:style w:type="table" w:styleId="881">
    <w:name w:val="Table Elegant"/>
    <w:basedOn w:val="83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blStylePr>
  </w:style>
  <w:style w:type="character" w:styleId="882">
    <w:name w:val="Strong"/>
    <w:uiPriority w:val="0"/>
    <w:qFormat/>
    <w:rPr>
      <w:b/>
      <w:bCs/>
    </w:rPr>
  </w:style>
  <w:style w:type="character" w:styleId="883">
    <w:name w:val="endnote reference"/>
    <w:uiPriority w:val="99"/>
    <w:unhideWhenUsed/>
    <w:qFormat/>
    <w:rPr>
      <w:vertAlign w:val="superscript"/>
    </w:rPr>
  </w:style>
  <w:style w:type="character" w:styleId="884">
    <w:name w:val="page number"/>
    <w:uiPriority w:val="0"/>
    <w:qFormat/>
  </w:style>
  <w:style w:type="character" w:styleId="885">
    <w:name w:val="Emphasis"/>
    <w:uiPriority w:val="20"/>
    <w:qFormat/>
    <w:rPr>
      <w:color w:val="cc0000"/>
    </w:rPr>
  </w:style>
  <w:style w:type="character" w:styleId="886">
    <w:name w:val="HTML Typewriter"/>
    <w:uiPriority w:val="0"/>
    <w:qFormat/>
    <w:rPr>
      <w:rFonts w:ascii="黑体" w:hAnsi="Courier New" w:eastAsia="黑体"/>
      <w:sz w:val="14"/>
    </w:rPr>
  </w:style>
  <w:style w:type="character" w:styleId="887">
    <w:name w:val="Hyperlink"/>
    <w:uiPriority w:val="0"/>
    <w:unhideWhenUsed/>
    <w:qFormat/>
    <w:rPr>
      <w:color w:val="0000ff"/>
      <w:u w:val="single"/>
    </w:rPr>
  </w:style>
  <w:style w:type="character" w:styleId="888">
    <w:name w:val="annotation reference"/>
    <w:uiPriority w:val="0"/>
    <w:qFormat/>
    <w:rPr>
      <w:sz w:val="21"/>
      <w:szCs w:val="21"/>
    </w:rPr>
  </w:style>
  <w:style w:type="character" w:styleId="889">
    <w:name w:val="footnote reference"/>
    <w:uiPriority w:val="0"/>
    <w:unhideWhenUsed/>
    <w:qFormat/>
    <w:rPr>
      <w:vertAlign w:val="superscript"/>
    </w:rPr>
  </w:style>
  <w:style w:type="character" w:styleId="890" w:customStyle="1">
    <w:name w:val="Heading 1 Char"/>
    <w:uiPriority w:val="9"/>
    <w:qFormat/>
    <w:rPr>
      <w:rFonts w:ascii="Arial" w:hAnsi="Arial" w:eastAsia="Arial" w:cs="Arial"/>
      <w:sz w:val="40"/>
      <w:szCs w:val="40"/>
    </w:rPr>
  </w:style>
  <w:style w:type="character" w:styleId="891" w:customStyle="1">
    <w:name w:val="Heading 2 Char"/>
    <w:uiPriority w:val="9"/>
    <w:qFormat/>
    <w:rPr>
      <w:rFonts w:ascii="Arial" w:hAnsi="Arial" w:eastAsia="Arial" w:cs="Arial"/>
      <w:sz w:val="34"/>
    </w:rPr>
  </w:style>
  <w:style w:type="character" w:styleId="892" w:customStyle="1">
    <w:name w:val="Heading 3 Char"/>
    <w:uiPriority w:val="9"/>
    <w:qFormat/>
    <w:rPr>
      <w:rFonts w:ascii="Arial" w:hAnsi="Arial" w:eastAsia="Arial" w:cs="Arial"/>
      <w:sz w:val="30"/>
      <w:szCs w:val="30"/>
    </w:rPr>
  </w:style>
  <w:style w:type="character" w:styleId="893" w:customStyle="1">
    <w:name w:val="Heading 4 Char"/>
    <w:uiPriority w:val="9"/>
    <w:qFormat/>
    <w:rPr>
      <w:rFonts w:ascii="Arial" w:hAnsi="Arial" w:eastAsia="Arial" w:cs="Arial"/>
      <w:b/>
      <w:bCs/>
      <w:sz w:val="26"/>
      <w:szCs w:val="26"/>
    </w:rPr>
  </w:style>
  <w:style w:type="character" w:styleId="894" w:customStyle="1">
    <w:name w:val="Heading 5 Char"/>
    <w:uiPriority w:val="9"/>
    <w:qFormat/>
    <w:rPr>
      <w:rFonts w:ascii="Arial" w:hAnsi="Arial" w:eastAsia="Arial" w:cs="Arial"/>
      <w:b/>
      <w:bCs/>
      <w:sz w:val="24"/>
      <w:szCs w:val="24"/>
    </w:rPr>
  </w:style>
  <w:style w:type="character" w:styleId="895" w:customStyle="1">
    <w:name w:val="Heading 6 Char"/>
    <w:uiPriority w:val="9"/>
    <w:qFormat/>
    <w:rPr>
      <w:rFonts w:ascii="Arial" w:hAnsi="Arial" w:eastAsia="Arial" w:cs="Arial"/>
      <w:b/>
      <w:bCs/>
      <w:sz w:val="22"/>
      <w:szCs w:val="22"/>
    </w:rPr>
  </w:style>
  <w:style w:type="character" w:styleId="896" w:customStyle="1">
    <w:name w:val="Heading 7 Char"/>
    <w:uiPriority w:val="9"/>
    <w:qFormat/>
    <w:rPr>
      <w:rFonts w:ascii="Arial" w:hAnsi="Arial" w:eastAsia="Arial" w:cs="Arial"/>
      <w:b/>
      <w:bCs/>
      <w:i/>
      <w:iCs/>
      <w:sz w:val="22"/>
      <w:szCs w:val="22"/>
    </w:rPr>
  </w:style>
  <w:style w:type="character" w:styleId="897" w:customStyle="1">
    <w:name w:val="Heading 8 Char"/>
    <w:uiPriority w:val="9"/>
    <w:qFormat/>
    <w:rPr>
      <w:rFonts w:ascii="Arial" w:hAnsi="Arial" w:eastAsia="Arial" w:cs="Arial"/>
      <w:i/>
      <w:iCs/>
      <w:sz w:val="22"/>
      <w:szCs w:val="22"/>
    </w:rPr>
  </w:style>
  <w:style w:type="character" w:styleId="898" w:customStyle="1">
    <w:name w:val="Heading 9 Char"/>
    <w:uiPriority w:val="9"/>
    <w:qFormat/>
    <w:rPr>
      <w:rFonts w:ascii="Arial" w:hAnsi="Arial" w:eastAsia="Arial" w:cs="Arial"/>
      <w:i/>
      <w:iCs/>
      <w:sz w:val="21"/>
      <w:szCs w:val="21"/>
    </w:rPr>
  </w:style>
  <w:style w:type="paragraph" w:styleId="899">
    <w:name w:val="List Paragraph"/>
    <w:basedOn w:val="824"/>
    <w:link w:val="1039"/>
    <w:uiPriority w:val="0"/>
    <w:qFormat/>
    <w:pPr>
      <w:contextualSpacing/>
      <w:ind w:left="720"/>
    </w:pPr>
  </w:style>
  <w:style w:type="paragraph" w:styleId="900">
    <w:name w:val="No Spacing"/>
    <w:uiPriority w:val="0"/>
    <w:qFormat/>
    <w:pPr>
      <w:spacing w:after="160" w:line="278" w:lineRule="auto"/>
    </w:pPr>
    <w:rPr>
      <w:rFonts w:hint="default" w:ascii="Times New Roman" w:hAnsi="Times New Roman" w:eastAsia="宋体" w:cs="Times New Roman"/>
    </w:rPr>
  </w:style>
  <w:style w:type="character" w:styleId="901" w:customStyle="1">
    <w:name w:val="Title Char"/>
    <w:uiPriority w:val="10"/>
    <w:qFormat/>
    <w:rPr>
      <w:sz w:val="48"/>
      <w:szCs w:val="48"/>
    </w:rPr>
  </w:style>
  <w:style w:type="character" w:styleId="902" w:customStyle="1">
    <w:name w:val="Subtitle Char"/>
    <w:uiPriority w:val="11"/>
    <w:qFormat/>
    <w:rPr>
      <w:sz w:val="24"/>
      <w:szCs w:val="24"/>
    </w:rPr>
  </w:style>
  <w:style w:type="paragraph" w:styleId="903">
    <w:name w:val="Quote"/>
    <w:basedOn w:val="824"/>
    <w:next w:val="824"/>
    <w:link w:val="1053"/>
    <w:uiPriority w:val="29"/>
    <w:qFormat/>
    <w:pPr>
      <w:ind w:left="720" w:right="720"/>
    </w:pPr>
    <w:rPr>
      <w:i/>
      <w:sz w:val="20"/>
      <w:szCs w:val="20"/>
    </w:rPr>
  </w:style>
  <w:style w:type="character" w:styleId="904" w:customStyle="1">
    <w:name w:val="Quote Char"/>
    <w:uiPriority w:val="29"/>
    <w:qFormat/>
    <w:rPr>
      <w:i/>
    </w:rPr>
  </w:style>
  <w:style w:type="paragraph" w:styleId="905">
    <w:name w:val="Intense Quote"/>
    <w:basedOn w:val="824"/>
    <w:next w:val="824"/>
    <w:link w:val="10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06" w:customStyle="1">
    <w:name w:val="Intense Quote Char"/>
    <w:uiPriority w:val="30"/>
    <w:qFormat/>
    <w:rPr>
      <w:i/>
    </w:rPr>
  </w:style>
  <w:style w:type="character" w:styleId="907" w:customStyle="1">
    <w:name w:val="Header Char"/>
    <w:uiPriority w:val="99"/>
    <w:qFormat/>
  </w:style>
  <w:style w:type="character" w:styleId="908" w:customStyle="1">
    <w:name w:val="Caption Char"/>
    <w:uiPriority w:val="99"/>
    <w:qFormat/>
  </w:style>
  <w:style w:type="table" w:styleId="909"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1" w:customStyle="1">
    <w:name w:val="Plain Table 3"/>
    <w:uiPriority w:val="99"/>
    <w:qFormat/>
    <w:tblPr>
      <w:tblCellMar>
        <w:left w:w="0" w:type="dxa"/>
        <w:top w:w="0" w:type="dxa"/>
        <w:right w:w="0" w:type="dxa"/>
        <w:bottom w:w="0" w:type="dxa"/>
      </w:tblCellMar>
    </w:tblPr>
  </w:style>
  <w:style w:type="table" w:styleId="912" w:customStyle="1">
    <w:name w:val="Plain Table 4"/>
    <w:uiPriority w:val="99"/>
    <w:qFormat/>
    <w:tblPr>
      <w:tblCellMar>
        <w:left w:w="0" w:type="dxa"/>
        <w:top w:w="0" w:type="dxa"/>
        <w:right w:w="0" w:type="dxa"/>
        <w:bottom w:w="0" w:type="dxa"/>
      </w:tblCellMar>
    </w:tblPr>
  </w:style>
  <w:style w:type="table" w:styleId="913" w:customStyle="1">
    <w:name w:val="Plain Table 5"/>
    <w:uiPriority w:val="99"/>
    <w:qFormat/>
    <w:tblPr>
      <w:tblCellMar>
        <w:left w:w="0" w:type="dxa"/>
        <w:top w:w="0" w:type="dxa"/>
        <w:right w:w="0" w:type="dxa"/>
        <w:bottom w:w="0" w:type="dxa"/>
      </w:tblCellMar>
    </w:tblPr>
  </w:style>
  <w:style w:type="table" w:styleId="914"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5"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6"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0"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1" w:customStyle="1">
    <w:name w:val="List Table 1 Light"/>
    <w:uiPriority w:val="99"/>
    <w:qFormat/>
    <w:tblPr>
      <w:tblCellMar>
        <w:left w:w="0" w:type="dxa"/>
        <w:top w:w="0" w:type="dxa"/>
        <w:right w:w="0" w:type="dxa"/>
        <w:bottom w:w="0" w:type="dxa"/>
      </w:tblCellMar>
    </w:tblPr>
  </w:style>
  <w:style w:type="table" w:styleId="92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5"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6"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7" w:customStyle="1">
    <w:name w:val="List Table 7 Colorful"/>
    <w:uiPriority w:val="99"/>
    <w:qFormat/>
    <w:tblPr>
      <w:tblBorders>
        <w:right w:val="single" w:color="7F7F7F" w:sz="4" w:space="0"/>
      </w:tblBorders>
      <w:tblCellMar>
        <w:left w:w="0" w:type="dxa"/>
        <w:top w:w="0" w:type="dxa"/>
        <w:right w:w="0" w:type="dxa"/>
        <w:bottom w:w="0" w:type="dxa"/>
      </w:tblCellMar>
    </w:tblPr>
  </w:style>
  <w:style w:type="character" w:styleId="928" w:customStyle="1">
    <w:name w:val="Footnote Text Char"/>
    <w:uiPriority w:val="99"/>
    <w:qFormat/>
    <w:rPr>
      <w:sz w:val="18"/>
    </w:rPr>
  </w:style>
  <w:style w:type="character" w:styleId="929" w:customStyle="1">
    <w:name w:val="Endnote Text Char"/>
    <w:uiPriority w:val="99"/>
    <w:qFormat/>
    <w:rPr>
      <w:sz w:val="20"/>
    </w:rPr>
  </w:style>
  <w:style w:type="paragraph" w:styleId="930" w:customStyle="1">
    <w:name w:val="TOC Heading"/>
    <w:uiPriority w:val="39"/>
    <w:unhideWhenUsed/>
    <w:qFormat/>
    <w:rPr>
      <w:rFonts w:hint="default" w:ascii="Times New Roman" w:hAnsi="Times New Roman" w:eastAsia="宋体" w:cs="Times New Roman"/>
    </w:rPr>
  </w:style>
  <w:style w:type="character" w:styleId="931" w:customStyle="1">
    <w:name w:val="font71"/>
    <w:uiPriority w:val="0"/>
    <w:qFormat/>
    <w:rPr>
      <w:rFonts w:ascii="Times New Roman" w:hAnsi="Times New Roman" w:eastAsia="宋体" w:cs="Times New Roman"/>
      <w:b/>
      <w:bCs/>
      <w:color w:val="000000"/>
      <w:sz w:val="22"/>
      <w:szCs w:val="22"/>
      <w:u w:val="none"/>
    </w:rPr>
  </w:style>
  <w:style w:type="character" w:styleId="932" w:customStyle="1">
    <w:name w:val="font131"/>
    <w:uiPriority w:val="0"/>
    <w:qFormat/>
    <w:rPr>
      <w:rFonts w:hint="eastAsia" w:ascii="黑体" w:hAnsi="宋体" w:eastAsia="黑体" w:cs="黑体"/>
      <w:b/>
      <w:bCs/>
      <w:color w:val="000000"/>
      <w:sz w:val="22"/>
      <w:szCs w:val="22"/>
      <w:u w:val="none"/>
    </w:rPr>
  </w:style>
  <w:style w:type="character" w:styleId="933" w:customStyle="1">
    <w:name w:val="已访问的超链接11"/>
    <w:uiPriority w:val="99"/>
    <w:unhideWhenUsed/>
    <w:qFormat/>
    <w:rPr>
      <w:color w:val="954f72"/>
      <w:u w:val="single"/>
    </w:rPr>
  </w:style>
  <w:style w:type="character" w:styleId="934" w:customStyle="1">
    <w:name w:val="标题 2 字符1"/>
    <w:uiPriority w:val="9"/>
    <w:qFormat/>
    <w:rPr>
      <w:rFonts w:ascii="宋体" w:hAnsi="宋体" w:eastAsia="楷体_GB2312"/>
      <w:b/>
      <w:sz w:val="28"/>
    </w:rPr>
  </w:style>
  <w:style w:type="character" w:styleId="935" w:customStyle="1">
    <w:name w:val="para1"/>
    <w:uiPriority w:val="0"/>
    <w:qFormat/>
    <w:rPr>
      <w:rFonts w:ascii="Arial" w:hAnsi="Arial" w:cs="Arial"/>
      <w:sz w:val="18"/>
      <w:szCs w:val="18"/>
    </w:rPr>
  </w:style>
  <w:style w:type="character" w:styleId="936" w:customStyle="1">
    <w:name w:val="标题 字符1"/>
    <w:uiPriority w:val="10"/>
    <w:qFormat/>
    <w:rPr>
      <w:rFonts w:ascii="等线 Light" w:hAnsi="等线 Light" w:eastAsia="等线 Light" w:cs="Times New Roman"/>
      <w:spacing w:val="-10"/>
      <w:sz w:val="56"/>
      <w:szCs w:val="56"/>
    </w:rPr>
  </w:style>
  <w:style w:type="character" w:styleId="937" w:customStyle="1">
    <w:name w:val="批注文字 字符1"/>
    <w:link w:val="844"/>
    <w:uiPriority w:val="99"/>
    <w:qFormat/>
    <w:rPr>
      <w:rFonts w:ascii="Times New Roman" w:hAnsi="Times New Roman"/>
      <w:lang w:val="en-GB"/>
    </w:rPr>
  </w:style>
  <w:style w:type="character" w:styleId="938" w:customStyle="1">
    <w:name w:val="标题 4 字符"/>
    <w:link w:val="828"/>
    <w:uiPriority w:val="9"/>
    <w:qFormat/>
    <w:rPr>
      <w:rFonts w:ascii="Arial" w:hAnsi="Arial" w:eastAsia="Arial" w:cs="Arial"/>
      <w:b/>
      <w:bCs/>
      <w:sz w:val="26"/>
      <w:szCs w:val="26"/>
    </w:rPr>
  </w:style>
  <w:style w:type="character" w:styleId="939" w:customStyle="1">
    <w:name w:val="正文文本首行缩进 2 字符"/>
    <w:uiPriority w:val="99"/>
    <w:qFormat/>
    <w:rPr>
      <w:sz w:val="21"/>
      <w:szCs w:val="24"/>
    </w:rPr>
  </w:style>
  <w:style w:type="character" w:styleId="940" w:customStyle="1">
    <w:name w:val="批注框文本 Char"/>
    <w:link w:val="941"/>
    <w:uiPriority w:val="0"/>
    <w:qFormat/>
    <w:rPr>
      <w:rFonts w:ascii="Calibri" w:hAnsi="Calibri" w:eastAsia="宋体" w:cs="Times New Roman"/>
      <w:sz w:val="18"/>
      <w:szCs w:val="18"/>
    </w:rPr>
  </w:style>
  <w:style w:type="paragraph" w:styleId="941" w:customStyle="1">
    <w:name w:val="批注框文本1"/>
    <w:basedOn w:val="824"/>
    <w:link w:val="940"/>
    <w:uiPriority w:val="0"/>
    <w:unhideWhenUsed/>
    <w:qFormat/>
    <w:rPr>
      <w:sz w:val="18"/>
      <w:szCs w:val="18"/>
    </w:rPr>
  </w:style>
  <w:style w:type="character" w:styleId="942" w:customStyle="1">
    <w:name w:val="font81"/>
    <w:uiPriority w:val="0"/>
    <w:qFormat/>
    <w:rPr>
      <w:rFonts w:ascii="Times New Roman" w:hAnsi="Times New Roman" w:eastAsia="宋体" w:cs="Times New Roman"/>
      <w:color w:val="000000"/>
      <w:sz w:val="22"/>
      <w:szCs w:val="22"/>
      <w:u w:val="none"/>
    </w:rPr>
  </w:style>
  <w:style w:type="character" w:styleId="943" w:customStyle="1">
    <w:name w:val="纯文本 Char1"/>
    <w:link w:val="944"/>
    <w:uiPriority w:val="0"/>
    <w:qFormat/>
    <w:rPr>
      <w:rFonts w:ascii="宋体" w:hAnsi="Courier New" w:eastAsia="楷体_GB2312" w:cs="Times New Roman"/>
      <w:sz w:val="26"/>
    </w:rPr>
  </w:style>
  <w:style w:type="paragraph" w:styleId="944" w:customStyle="1">
    <w:name w:val="纯文本11"/>
    <w:basedOn w:val="824"/>
    <w:link w:val="943"/>
    <w:uiPriority w:val="0"/>
    <w:unhideWhenUsed/>
    <w:qFormat/>
    <w:pPr>
      <w:jc w:val="left"/>
      <w:widowControl/>
    </w:pPr>
    <w:rPr>
      <w:rFonts w:ascii="宋体" w:hAnsi="Courier New" w:eastAsia="楷体_GB2312"/>
      <w:sz w:val="26"/>
      <w:szCs w:val="20"/>
    </w:rPr>
  </w:style>
  <w:style w:type="character" w:styleId="945" w:customStyle="1">
    <w:name w:val="页脚 字符"/>
    <w:link w:val="859"/>
    <w:uiPriority w:val="0"/>
    <w:qFormat/>
  </w:style>
  <w:style w:type="character" w:styleId="946" w:customStyle="1">
    <w:name w:val="题注 字符1"/>
    <w:link w:val="841"/>
    <w:uiPriority w:val="0"/>
    <w:qFormat/>
    <w:rPr>
      <w:b/>
      <w:bCs/>
      <w:color w:val="4f81bd"/>
      <w:sz w:val="18"/>
      <w:szCs w:val="18"/>
    </w:rPr>
  </w:style>
  <w:style w:type="character" w:styleId="947" w:customStyle="1">
    <w:name w:val="方案正文 Char"/>
    <w:link w:val="948"/>
    <w:uiPriority w:val="0"/>
    <w:qFormat/>
    <w:rPr>
      <w:rFonts w:ascii="楷体_GB2312" w:hAnsi="宋体" w:eastAsia="楷体_GB2312"/>
      <w:spacing w:val="2"/>
      <w:sz w:val="24"/>
      <w:szCs w:val="24"/>
    </w:rPr>
  </w:style>
  <w:style w:type="paragraph" w:styleId="948" w:customStyle="1">
    <w:name w:val="方案正文"/>
    <w:basedOn w:val="824"/>
    <w:link w:val="947"/>
    <w:uiPriority w:val="0"/>
    <w:qFormat/>
    <w:pPr>
      <w:ind w:firstLine="425"/>
      <w:spacing w:after="0" w:line="240" w:lineRule="auto"/>
      <w:tabs>
        <w:tab w:val="left" w:pos="0" w:leader="none"/>
      </w:tabs>
    </w:pPr>
    <w:rPr>
      <w:rFonts w:ascii="楷体_GB2312" w:hAnsi="宋体" w:eastAsia="楷体_GB2312"/>
      <w:spacing w:val="2"/>
      <w:sz w:val="24"/>
    </w:rPr>
  </w:style>
  <w:style w:type="character" w:styleId="949" w:customStyle="1">
    <w:name w:val="标题 2 字符"/>
    <w:link w:val="826"/>
    <w:uiPriority w:val="0"/>
    <w:qFormat/>
    <w:rPr>
      <w:rFonts w:ascii="Arial" w:hAnsi="Arial" w:eastAsia="Arial" w:cs="Arial"/>
      <w:sz w:val="34"/>
    </w:rPr>
  </w:style>
  <w:style w:type="character" w:styleId="950" w:customStyle="1">
    <w:name w:val="font31"/>
    <w:uiPriority w:val="0"/>
    <w:qFormat/>
    <w:rPr>
      <w:rFonts w:ascii="Times New Roman" w:hAnsi="Times New Roman" w:eastAsia="宋体" w:cs="Times New Roman"/>
      <w:color w:val="000000"/>
      <w:sz w:val="22"/>
      <w:szCs w:val="22"/>
      <w:u w:val="none"/>
    </w:rPr>
  </w:style>
  <w:style w:type="character" w:styleId="951" w:customStyle="1">
    <w:name w:val="标题 1 字符1"/>
    <w:uiPriority w:val="0"/>
    <w:qFormat/>
    <w:rPr>
      <w:rFonts w:eastAsia="楷体_GB2312"/>
      <w:b/>
      <w:sz w:val="44"/>
    </w:rPr>
  </w:style>
  <w:style w:type="character" w:styleId="952" w:customStyle="1">
    <w:name w:val="5级 Char"/>
    <w:link w:val="953"/>
    <w:uiPriority w:val="0"/>
    <w:qFormat/>
    <w:rPr>
      <w:rFonts w:eastAsia="华文中宋"/>
      <w:b/>
      <w:sz w:val="24"/>
      <w:szCs w:val="28"/>
    </w:rPr>
  </w:style>
  <w:style w:type="paragraph" w:styleId="953" w:customStyle="1">
    <w:name w:val="5级"/>
    <w:basedOn w:val="828"/>
    <w:link w:val="952"/>
    <w:uiPriority w:val="0"/>
    <w:qFormat/>
    <w:pPr>
      <w:jc w:val="left"/>
      <w:spacing w:line="360" w:lineRule="auto"/>
      <w:tabs>
        <w:tab w:val="left" w:pos="1276" w:leader="none"/>
      </w:tabs>
    </w:pPr>
    <w:rPr>
      <w:rFonts w:ascii="Calibri" w:hAnsi="Calibri" w:eastAsia="华文中宋"/>
      <w:bCs w:val="0"/>
      <w:sz w:val="24"/>
      <w:szCs w:val="28"/>
    </w:rPr>
  </w:style>
  <w:style w:type="character" w:styleId="954" w:customStyle="1">
    <w:name w:val="文档结构图 字符1"/>
    <w:link w:val="843"/>
    <w:uiPriority w:val="0"/>
    <w:qFormat/>
    <w:rPr>
      <w:rFonts w:ascii="Times New Roman" w:hAnsi="Times New Roman" w:eastAsia="楷体_GB2312"/>
      <w:sz w:val="28"/>
      <w:shd w:val="clear" w:color="auto" w:fill="000080"/>
    </w:rPr>
  </w:style>
  <w:style w:type="character" w:styleId="955" w:customStyle="1">
    <w:name w:val="Header or footer|1_"/>
    <w:link w:val="956"/>
    <w:uiPriority w:val="0"/>
    <w:qFormat/>
    <w:rPr>
      <w:rFonts w:ascii="宋体" w:hAnsi="宋体" w:cs="宋体"/>
      <w:sz w:val="22"/>
      <w:szCs w:val="22"/>
      <w:lang w:val="zh-CN" w:bidi="zh-CN"/>
    </w:rPr>
  </w:style>
  <w:style w:type="paragraph" w:styleId="956" w:customStyle="1">
    <w:name w:val="Header or footer|1"/>
    <w:basedOn w:val="824"/>
    <w:link w:val="955"/>
    <w:uiPriority w:val="0"/>
    <w:qFormat/>
    <w:pPr>
      <w:jc w:val="left"/>
      <w:spacing w:after="0" w:line="240" w:lineRule="auto"/>
    </w:pPr>
    <w:rPr>
      <w:rFonts w:ascii="宋体" w:hAnsi="宋体" w:cs="宋体"/>
      <w:sz w:val="22"/>
      <w:szCs w:val="22"/>
      <w:lang w:val="zh-CN" w:bidi="zh-CN"/>
    </w:rPr>
  </w:style>
  <w:style w:type="character" w:styleId="957" w:customStyle="1">
    <w:name w:val="日期 Char"/>
    <w:link w:val="958"/>
    <w:uiPriority w:val="0"/>
    <w:qFormat/>
    <w:rPr>
      <w:rFonts w:ascii="Calibri" w:hAnsi="Calibri" w:eastAsia="宋体" w:cs="Times New Roman"/>
      <w:b/>
      <w:bCs/>
      <w:spacing w:val="20"/>
    </w:rPr>
  </w:style>
  <w:style w:type="paragraph" w:styleId="958" w:customStyle="1">
    <w:name w:val="日期1"/>
    <w:basedOn w:val="824"/>
    <w:next w:val="824"/>
    <w:link w:val="957"/>
    <w:uiPriority w:val="0"/>
    <w:unhideWhenUsed/>
    <w:qFormat/>
    <w:pPr>
      <w:ind w:left="100"/>
    </w:pPr>
    <w:rPr>
      <w:b/>
      <w:bCs/>
      <w:spacing w:val="20"/>
      <w:sz w:val="20"/>
      <w:szCs w:val="20"/>
    </w:rPr>
  </w:style>
  <w:style w:type="character" w:styleId="959" w:customStyle="1">
    <w:name w:val="标题 9 字符"/>
    <w:link w:val="833"/>
    <w:uiPriority w:val="9"/>
    <w:qFormat/>
    <w:rPr>
      <w:rFonts w:ascii="Arial" w:hAnsi="Arial" w:eastAsia="Arial" w:cs="Arial"/>
      <w:i/>
      <w:iCs/>
      <w:sz w:val="21"/>
      <w:szCs w:val="21"/>
    </w:rPr>
  </w:style>
  <w:style w:type="character" w:styleId="960" w:customStyle="1">
    <w:name w:val="03 正文 Char"/>
    <w:link w:val="961"/>
    <w:uiPriority w:val="0"/>
    <w:qFormat/>
    <w:rPr>
      <w:sz w:val="21"/>
      <w:szCs w:val="24"/>
    </w:rPr>
  </w:style>
  <w:style w:type="paragraph" w:styleId="961" w:customStyle="1">
    <w:name w:val="03 正文"/>
    <w:basedOn w:val="824"/>
    <w:link w:val="960"/>
    <w:uiPriority w:val="0"/>
    <w:qFormat/>
    <w:pPr>
      <w:ind w:firstLine="420"/>
      <w:spacing w:after="0" w:line="500" w:lineRule="atLeast"/>
      <w:widowControl/>
    </w:pPr>
  </w:style>
  <w:style w:type="character" w:styleId="962" w:customStyle="1">
    <w:name w:val="font91"/>
    <w:uiPriority w:val="0"/>
    <w:qFormat/>
    <w:rPr>
      <w:rFonts w:ascii="楷体_GB2312" w:hAnsi="Calibri" w:eastAsia="楷体_GB2312" w:cs="楷体_GB2312"/>
      <w:b/>
      <w:bCs/>
      <w:color w:val="000000"/>
      <w:sz w:val="24"/>
      <w:szCs w:val="24"/>
      <w:u w:val="none"/>
    </w:rPr>
  </w:style>
  <w:style w:type="character" w:styleId="963" w:customStyle="1">
    <w:name w:val="标题 3 字符1"/>
    <w:uiPriority w:val="9"/>
    <w:qFormat/>
    <w:rPr>
      <w:rFonts w:eastAsia="楷体_GB2312"/>
      <w:b/>
      <w:sz w:val="28"/>
    </w:rPr>
  </w:style>
  <w:style w:type="character" w:styleId="964" w:customStyle="1">
    <w:name w:val="font01"/>
    <w:uiPriority w:val="0"/>
    <w:qFormat/>
    <w:rPr>
      <w:rFonts w:hint="eastAsia" w:ascii="宋体" w:hAnsi="宋体" w:eastAsia="宋体" w:cs="宋体"/>
      <w:color w:val="000000"/>
      <w:sz w:val="22"/>
      <w:szCs w:val="22"/>
      <w:u w:val="single"/>
    </w:rPr>
  </w:style>
  <w:style w:type="character" w:styleId="965" w:customStyle="1">
    <w:name w:val="正文2 Char Char"/>
    <w:link w:val="966"/>
    <w:uiPriority w:val="0"/>
    <w:qFormat/>
    <w:rPr>
      <w:sz w:val="24"/>
    </w:rPr>
  </w:style>
  <w:style w:type="paragraph" w:styleId="966" w:customStyle="1">
    <w:name w:val="正文2"/>
    <w:basedOn w:val="824"/>
    <w:link w:val="965"/>
    <w:uiPriority w:val="0"/>
    <w:qFormat/>
    <w:pPr>
      <w:ind w:firstLine="510"/>
      <w:spacing w:before="156" w:after="0" w:line="360" w:lineRule="auto"/>
    </w:pPr>
    <w:rPr>
      <w:sz w:val="24"/>
      <w:szCs w:val="20"/>
    </w:rPr>
  </w:style>
  <w:style w:type="character" w:styleId="967" w:customStyle="1">
    <w:name w:val="样式6 Char"/>
    <w:link w:val="968"/>
    <w:uiPriority w:val="0"/>
    <w:qFormat/>
    <w:rPr>
      <w:sz w:val="18"/>
      <w:szCs w:val="18"/>
    </w:rPr>
  </w:style>
  <w:style w:type="paragraph" w:styleId="968" w:customStyle="1">
    <w:name w:val="样式6"/>
    <w:basedOn w:val="861"/>
    <w:link w:val="967"/>
    <w:uiPriority w:val="0"/>
    <w:qFormat/>
    <w:pPr>
      <w:ind w:firstLine="425"/>
      <w:jc w:val="center"/>
      <w:tabs>
        <w:tab w:val="center" w:pos="4153" w:leader="none"/>
        <w:tab w:val="right" w:pos="8306" w:leader="none"/>
      </w:tabs>
    </w:pPr>
    <w:rPr>
      <w:sz w:val="18"/>
      <w:szCs w:val="18"/>
    </w:rPr>
  </w:style>
  <w:style w:type="character" w:styleId="969" w:customStyle="1">
    <w:name w:val="副标题 字符"/>
    <w:link w:val="866"/>
    <w:uiPriority w:val="11"/>
    <w:qFormat/>
    <w:rPr>
      <w:sz w:val="24"/>
      <w:szCs w:val="24"/>
    </w:rPr>
  </w:style>
  <w:style w:type="character" w:styleId="970" w:customStyle="1">
    <w:name w:val="Plain Text Char"/>
    <w:link w:val="971"/>
    <w:uiPriority w:val="0"/>
    <w:qFormat/>
    <w:rPr>
      <w:rFonts w:ascii="宋体" w:hAnsi="Courier New" w:eastAsia="楷体_GB2312" w:cs="Times New Roman"/>
      <w:sz w:val="26"/>
      <w:szCs w:val="22"/>
    </w:rPr>
  </w:style>
  <w:style w:type="paragraph" w:styleId="971" w:customStyle="1">
    <w:name w:val="纯文本3"/>
    <w:basedOn w:val="824"/>
    <w:link w:val="970"/>
    <w:uiPriority w:val="0"/>
    <w:qFormat/>
    <w:rPr>
      <w:rFonts w:ascii="宋体" w:hAnsi="Courier New" w:eastAsia="楷体_GB2312"/>
      <w:sz w:val="26"/>
      <w:szCs w:val="22"/>
    </w:rPr>
  </w:style>
  <w:style w:type="character" w:styleId="972" w:customStyle="1">
    <w:name w:val="标题 8 字符"/>
    <w:link w:val="832"/>
    <w:uiPriority w:val="9"/>
    <w:qFormat/>
    <w:rPr>
      <w:rFonts w:ascii="Arial" w:hAnsi="Arial" w:eastAsia="Arial" w:cs="Arial"/>
      <w:i/>
      <w:iCs/>
      <w:sz w:val="22"/>
      <w:szCs w:val="22"/>
    </w:rPr>
  </w:style>
  <w:style w:type="character" w:styleId="973" w:customStyle="1">
    <w:name w:val="font101"/>
    <w:uiPriority w:val="0"/>
    <w:qFormat/>
    <w:rPr>
      <w:rFonts w:hint="eastAsia" w:ascii="楷体_GB2312" w:hAnsi="Calibri" w:eastAsia="楷体_GB2312" w:cs="楷体_GB2312"/>
      <w:color w:val="000000"/>
      <w:sz w:val="24"/>
      <w:szCs w:val="24"/>
      <w:u w:val="none"/>
    </w:rPr>
  </w:style>
  <w:style w:type="character" w:styleId="974" w:customStyle="1">
    <w:name w:val="要点1"/>
    <w:uiPriority w:val="0"/>
    <w:qFormat/>
    <w:rPr>
      <w:rFonts w:ascii="Calibri" w:hAnsi="Calibri" w:eastAsia="宋体" w:cs="Times New Roman"/>
      <w:b/>
    </w:rPr>
  </w:style>
  <w:style w:type="character" w:styleId="975" w:customStyle="1">
    <w:name w:val="批注主题 字符1"/>
    <w:link w:val="879"/>
    <w:uiPriority w:val="0"/>
    <w:qFormat/>
    <w:rPr>
      <w:rFonts w:ascii="Times New Roman" w:hAnsi="Times New Roman" w:eastAsia="楷体_GB2312"/>
      <w:b/>
      <w:bCs/>
      <w:sz w:val="28"/>
      <w:lang w:val="en-GB"/>
    </w:rPr>
  </w:style>
  <w:style w:type="character" w:styleId="976" w:customStyle="1">
    <w:name w:val="批注引用1"/>
    <w:uiPriority w:val="99"/>
    <w:unhideWhenUsed/>
    <w:qFormat/>
    <w:rPr>
      <w:rFonts w:ascii="Calibri" w:hAnsi="Calibri" w:eastAsia="宋体" w:cs="Times New Roman"/>
      <w:sz w:val="21"/>
      <w:szCs w:val="21"/>
    </w:rPr>
  </w:style>
  <w:style w:type="character" w:styleId="977" w:customStyle="1">
    <w:name w:val="正文缩进 字符"/>
    <w:uiPriority w:val="0"/>
    <w:qFormat/>
    <w:rPr>
      <w:rFonts w:eastAsia="楷体_GB2312"/>
      <w:sz w:val="24"/>
    </w:rPr>
  </w:style>
  <w:style w:type="character" w:styleId="978" w:customStyle="1">
    <w:name w:val="Footer Char"/>
    <w:uiPriority w:val="99"/>
    <w:qFormat/>
  </w:style>
  <w:style w:type="character" w:styleId="979" w:customStyle="1">
    <w:name w:val="标题 6 字符1"/>
    <w:uiPriority w:val="9"/>
    <w:qFormat/>
    <w:rPr>
      <w:rFonts w:ascii="Arial" w:hAnsi="Arial" w:eastAsia="黑体"/>
      <w:b/>
      <w:sz w:val="24"/>
    </w:rPr>
  </w:style>
  <w:style w:type="character" w:styleId="980" w:customStyle="1">
    <w:name w:val="脚注文本 字符"/>
    <w:link w:val="867"/>
    <w:uiPriority w:val="99"/>
    <w:qFormat/>
    <w:rPr>
      <w:sz w:val="18"/>
    </w:rPr>
  </w:style>
  <w:style w:type="character" w:styleId="981" w:customStyle="1">
    <w:name w:val="正文文本 Char1"/>
    <w:link w:val="982"/>
    <w:uiPriority w:val="99"/>
    <w:qFormat/>
    <w:rPr>
      <w:rFonts w:ascii="Times New Roman" w:hAnsi="Times New Roman" w:eastAsia="宋体" w:cs="Times New Roman"/>
    </w:rPr>
  </w:style>
  <w:style w:type="paragraph" w:styleId="982" w:customStyle="1">
    <w:name w:val="正文文本1"/>
    <w:basedOn w:val="824"/>
    <w:link w:val="981"/>
    <w:uiPriority w:val="99"/>
    <w:unhideWhenUsed/>
    <w:qFormat/>
    <w:pPr>
      <w:spacing w:after="120"/>
    </w:pPr>
    <w:rPr>
      <w:sz w:val="20"/>
      <w:szCs w:val="20"/>
    </w:rPr>
  </w:style>
  <w:style w:type="character" w:styleId="983" w:customStyle="1">
    <w:name w:val="标题 5 Char"/>
    <w:link w:val="984"/>
    <w:uiPriority w:val="0"/>
    <w:qFormat/>
    <w:rPr>
      <w:rFonts w:ascii="Times New Roman" w:hAnsi="Times New Roman" w:eastAsia="宋体" w:cs="Times New Roman"/>
      <w:b/>
      <w:bCs/>
      <w:sz w:val="28"/>
      <w:szCs w:val="28"/>
    </w:rPr>
  </w:style>
  <w:style w:type="paragraph" w:styleId="984" w:customStyle="1">
    <w:name w:val="标题 51"/>
    <w:basedOn w:val="824"/>
    <w:next w:val="824"/>
    <w:link w:val="983"/>
    <w:uiPriority w:val="0"/>
    <w:qFormat/>
    <w:pPr>
      <w:jc w:val="left"/>
      <w:keepLines/>
      <w:keepNext/>
      <w:spacing w:before="280" w:after="290" w:line="376" w:lineRule="auto"/>
      <w:widowControl/>
      <w:outlineLvl w:val="4"/>
    </w:pPr>
    <w:rPr>
      <w:b/>
      <w:bCs/>
      <w:sz w:val="28"/>
      <w:szCs w:val="28"/>
    </w:rPr>
  </w:style>
  <w:style w:type="character" w:styleId="985" w:customStyle="1">
    <w:name w:val="列出段落 Char"/>
    <w:link w:val="986"/>
    <w:uiPriority w:val="0"/>
    <w:qFormat/>
    <w:rPr>
      <w:rFonts w:cs="Calibri"/>
      <w:sz w:val="21"/>
      <w:szCs w:val="22"/>
    </w:rPr>
  </w:style>
  <w:style w:type="paragraph" w:styleId="986" w:customStyle="1">
    <w:name w:val="msolistparagraph"/>
    <w:basedOn w:val="824"/>
    <w:link w:val="985"/>
    <w:uiPriority w:val="0"/>
    <w:qFormat/>
    <w:pPr>
      <w:ind w:firstLine="420"/>
      <w:spacing w:after="0" w:line="240" w:lineRule="auto"/>
    </w:pPr>
    <w:rPr>
      <w:szCs w:val="22"/>
    </w:rPr>
  </w:style>
  <w:style w:type="character" w:styleId="987" w:customStyle="1">
    <w:name w:val="正文文本缩进 3 字符1"/>
    <w:uiPriority w:val="99"/>
    <w:qFormat/>
    <w:rPr>
      <w:sz w:val="24"/>
      <w:szCs w:val="24"/>
    </w:rPr>
  </w:style>
  <w:style w:type="character" w:styleId="988" w:customStyle="1">
    <w:name w:val="s2"/>
    <w:basedOn w:val="989"/>
    <w:uiPriority w:val="0"/>
    <w:qFormat/>
  </w:style>
  <w:style w:type="character" w:styleId="989" w:customStyle="1">
    <w:name w:val="默认段落字体1"/>
    <w:uiPriority w:val="1"/>
    <w:unhideWhenUsed/>
    <w:qFormat/>
  </w:style>
  <w:style w:type="character" w:styleId="990" w:customStyle="1">
    <w:name w:val="Plain Text Char1"/>
    <w:uiPriority w:val="0"/>
    <w:qFormat/>
    <w:rPr>
      <w:rFonts w:ascii="Calibri" w:hAnsi="Calibri"/>
    </w:rPr>
  </w:style>
  <w:style w:type="character" w:styleId="991" w:customStyle="1">
    <w:name w:val="grame"/>
    <w:basedOn w:val="834"/>
    <w:uiPriority w:val="0"/>
    <w:qFormat/>
  </w:style>
  <w:style w:type="character" w:styleId="992" w:customStyle="1">
    <w:name w:val="注释标题 字符1"/>
    <w:uiPriority w:val="99"/>
    <w:qFormat/>
    <w:rPr>
      <w:sz w:val="21"/>
      <w:szCs w:val="24"/>
    </w:rPr>
  </w:style>
  <w:style w:type="character" w:styleId="993" w:customStyle="1">
    <w:name w:val="纯文本 Char"/>
    <w:link w:val="994"/>
    <w:uiPriority w:val="99"/>
    <w:qFormat/>
    <w:rPr>
      <w:rFonts w:ascii="宋体" w:hAnsi="Courier New" w:eastAsia="宋体" w:cs="Courier New"/>
      <w:szCs w:val="21"/>
    </w:rPr>
  </w:style>
  <w:style w:type="paragraph" w:styleId="994" w:customStyle="1">
    <w:name w:val="纯文本111"/>
    <w:basedOn w:val="824"/>
    <w:link w:val="993"/>
    <w:uiPriority w:val="99"/>
    <w:qFormat/>
    <w:pPr>
      <w:spacing w:after="0" w:line="240" w:lineRule="auto"/>
    </w:pPr>
    <w:rPr>
      <w:rFonts w:ascii="宋体" w:hAnsi="Courier New"/>
      <w:sz w:val="20"/>
      <w:szCs w:val="21"/>
    </w:rPr>
  </w:style>
  <w:style w:type="character" w:styleId="995" w:customStyle="1">
    <w:name w:val="页眉 Char"/>
    <w:link w:val="996"/>
    <w:uiPriority w:val="0"/>
    <w:qFormat/>
    <w:rPr>
      <w:rFonts w:ascii="Calibri" w:hAnsi="Calibri" w:eastAsia="宋体" w:cs="Times New Roman"/>
      <w:sz w:val="18"/>
      <w:szCs w:val="18"/>
    </w:rPr>
  </w:style>
  <w:style w:type="paragraph" w:styleId="996" w:customStyle="1">
    <w:name w:val="页眉1"/>
    <w:basedOn w:val="824"/>
    <w:link w:val="995"/>
    <w:uiPriority w:val="0"/>
    <w:unhideWhenUsed/>
    <w:qFormat/>
    <w:pPr>
      <w:jc w:val="center"/>
      <w:tabs>
        <w:tab w:val="center" w:pos="4153" w:leader="none"/>
        <w:tab w:val="right" w:pos="8306" w:leader="none"/>
      </w:tabs>
      <w:pBdr>
        <w:bottom w:val="none" w:color="000000" w:sz="0" w:space="1"/>
      </w:pBdr>
    </w:pPr>
    <w:rPr>
      <w:sz w:val="18"/>
      <w:szCs w:val="18"/>
    </w:rPr>
  </w:style>
  <w:style w:type="character" w:styleId="997" w:customStyle="1">
    <w:name w:val="正文文本 2 字符"/>
    <w:link w:val="875"/>
    <w:uiPriority w:val="0"/>
    <w:qFormat/>
    <w:rPr>
      <w:rFonts w:ascii="Times New Roman" w:hAnsi="Times New Roman" w:eastAsia="楷体_GB2312"/>
      <w:sz w:val="28"/>
    </w:rPr>
  </w:style>
  <w:style w:type="character" w:styleId="998" w:customStyle="1">
    <w:name w:val="NormalCharacter1"/>
    <w:uiPriority w:val="0"/>
    <w:qFormat/>
  </w:style>
  <w:style w:type="character" w:styleId="999" w:customStyle="1">
    <w:name w:val="正文文本 Char"/>
    <w:uiPriority w:val="0"/>
    <w:qFormat/>
    <w:rPr>
      <w:rFonts w:ascii="Calibri" w:hAnsi="Calibri" w:eastAsia="宋体" w:cs="Times New Roman"/>
      <w:szCs w:val="24"/>
    </w:rPr>
  </w:style>
  <w:style w:type="character" w:styleId="1000" w:customStyle="1">
    <w:name w:val="页脚 字符1"/>
    <w:uiPriority w:val="99"/>
    <w:qFormat/>
    <w:rPr>
      <w:rFonts w:eastAsia="楷体_GB2312"/>
      <w:sz w:val="18"/>
    </w:rPr>
  </w:style>
  <w:style w:type="character" w:styleId="1001" w:customStyle="1">
    <w:name w:val="注释标题 字符"/>
    <w:link w:val="838"/>
    <w:uiPriority w:val="99"/>
    <w:qFormat/>
    <w:rPr>
      <w:rFonts w:ascii="仿宋_GB2312" w:hAnsi="仿宋_GB2312" w:eastAsia="仿宋_GB2312"/>
      <w:sz w:val="32"/>
      <w:szCs w:val="22"/>
    </w:rPr>
  </w:style>
  <w:style w:type="character" w:styleId="1002" w:customStyle="1">
    <w:name w:val="已访问的超链接1"/>
    <w:uiPriority w:val="99"/>
    <w:unhideWhenUsed/>
    <w:qFormat/>
    <w:rPr>
      <w:color w:val="333333"/>
      <w:u w:val="none"/>
    </w:rPr>
  </w:style>
  <w:style w:type="character" w:styleId="1003" w:customStyle="1">
    <w:name w:val="尾注文本 字符"/>
    <w:link w:val="857"/>
    <w:uiPriority w:val="99"/>
    <w:qFormat/>
    <w:rPr>
      <w:sz w:val="20"/>
    </w:rPr>
  </w:style>
  <w:style w:type="character" w:styleId="1004" w:customStyle="1">
    <w:name w:val="标题 8 字符1"/>
    <w:uiPriority w:val="9"/>
    <w:qFormat/>
    <w:rPr>
      <w:rFonts w:ascii="Arial" w:hAnsi="Arial" w:eastAsia="黑体"/>
      <w:sz w:val="24"/>
    </w:rPr>
  </w:style>
  <w:style w:type="character" w:styleId="1005" w:customStyle="1">
    <w:name w:val="font51"/>
    <w:uiPriority w:val="0"/>
    <w:qFormat/>
    <w:rPr>
      <w:rFonts w:ascii="方正书宋_GBK" w:hAnsi="方正书宋_GBK" w:eastAsia="方正书宋_GBK" w:cs="方正书宋_GBK"/>
      <w:color w:val="000000"/>
      <w:sz w:val="20"/>
      <w:szCs w:val="20"/>
      <w:u w:val="none"/>
    </w:rPr>
  </w:style>
  <w:style w:type="character" w:styleId="1006" w:customStyle="1">
    <w:name w:val="正文文本缩进 字符"/>
    <w:uiPriority w:val="0"/>
    <w:qFormat/>
    <w:rPr>
      <w:sz w:val="21"/>
      <w:szCs w:val="24"/>
    </w:rPr>
  </w:style>
  <w:style w:type="character" w:styleId="1007" w:customStyle="1">
    <w:name w:val="纯文本 字符"/>
    <w:link w:val="852"/>
    <w:uiPriority w:val="0"/>
    <w:qFormat/>
    <w:rPr>
      <w:rFonts w:ascii="宋体" w:hAnsi="Courier New" w:eastAsia="楷体_GB2312"/>
      <w:sz w:val="28"/>
    </w:rPr>
  </w:style>
  <w:style w:type="character" w:styleId="1008" w:customStyle="1">
    <w:name w:val="脚注文本 字符1"/>
    <w:uiPriority w:val="0"/>
    <w:semiHidden/>
    <w:qFormat/>
    <w:rPr>
      <w:rFonts w:ascii="Calibri" w:hAnsi="Calibri" w:eastAsia="宋体" w:cs="Times New Roman"/>
      <w:sz w:val="18"/>
      <w:szCs w:val="18"/>
    </w:rPr>
  </w:style>
  <w:style w:type="character" w:styleId="1009" w:customStyle="1">
    <w:name w:val="Other|1_"/>
    <w:link w:val="1010"/>
    <w:uiPriority w:val="0"/>
    <w:qFormat/>
    <w:rPr>
      <w:rFonts w:ascii="宋体" w:hAnsi="宋体" w:cs="宋体"/>
      <w:lang w:val="zh-TW" w:eastAsia="zh-TW" w:bidi="zh-TW"/>
    </w:rPr>
  </w:style>
  <w:style w:type="paragraph" w:styleId="1010" w:customStyle="1">
    <w:name w:val="Other|1"/>
    <w:basedOn w:val="824"/>
    <w:link w:val="1009"/>
    <w:uiPriority w:val="0"/>
    <w:qFormat/>
    <w:pPr>
      <w:jc w:val="left"/>
      <w:spacing w:after="0" w:line="313" w:lineRule="exact"/>
    </w:pPr>
    <w:rPr>
      <w:rFonts w:ascii="宋体" w:hAnsi="宋体" w:cs="宋体"/>
      <w:sz w:val="20"/>
      <w:szCs w:val="20"/>
      <w:lang w:val="zh-TW" w:eastAsia="zh-TW" w:bidi="zh-TW"/>
    </w:rPr>
  </w:style>
  <w:style w:type="character" w:styleId="1011" w:customStyle="1">
    <w:name w:val="日期 Char1"/>
    <w:uiPriority w:val="0"/>
    <w:qFormat/>
    <w:rPr>
      <w:rFonts w:ascii="Calibri" w:hAnsi="Calibri" w:eastAsia="宋体" w:cs="Times New Roman"/>
      <w:szCs w:val="24"/>
    </w:rPr>
  </w:style>
  <w:style w:type="character" w:styleId="1012" w:customStyle="1">
    <w:name w:val="页脚 字符2"/>
    <w:uiPriority w:val="99"/>
    <w:semiHidden/>
    <w:qFormat/>
    <w:rPr>
      <w:rFonts w:ascii="Calibri" w:hAnsi="Calibri" w:eastAsia="宋体" w:cs="Times New Roman"/>
      <w:sz w:val="18"/>
      <w:szCs w:val="18"/>
    </w:rPr>
  </w:style>
  <w:style w:type="character" w:styleId="1013" w:customStyle="1">
    <w:name w:val="cf01"/>
    <w:uiPriority w:val="0"/>
    <w:qFormat/>
    <w:rPr>
      <w:rFonts w:hint="eastAsia" w:ascii="Microsoft YaHei UI" w:hAnsi="Microsoft YaHei UI" w:eastAsia="Microsoft YaHei UI"/>
      <w:sz w:val="18"/>
      <w:szCs w:val="18"/>
    </w:rPr>
  </w:style>
  <w:style w:type="character" w:styleId="1014" w:customStyle="1">
    <w:name w:val="页脚 Char"/>
    <w:link w:val="1015"/>
    <w:uiPriority w:val="0"/>
    <w:qFormat/>
    <w:rPr>
      <w:rFonts w:ascii="Calibri" w:hAnsi="Calibri" w:eastAsia="宋体" w:cs="Times New Roman"/>
    </w:rPr>
  </w:style>
  <w:style w:type="paragraph" w:styleId="1015" w:customStyle="1">
    <w:name w:val="页脚1"/>
    <w:basedOn w:val="824"/>
    <w:link w:val="1014"/>
    <w:uiPriority w:val="0"/>
    <w:unhideWhenUsed/>
    <w:qFormat/>
    <w:pPr>
      <w:ind w:firstLine="3584"/>
      <w:spacing w:after="0" w:line="240" w:lineRule="auto"/>
    </w:pPr>
    <w:rPr>
      <w:sz w:val="20"/>
      <w:szCs w:val="20"/>
    </w:rPr>
  </w:style>
  <w:style w:type="character" w:styleId="1016" w:customStyle="1">
    <w:name w:val="正文文本缩进 Char1"/>
    <w:uiPriority w:val="0"/>
    <w:qFormat/>
    <w:rPr>
      <w:rFonts w:ascii="Times New Roman" w:hAnsi="Times New Roman" w:eastAsia="仿宋_GB2312" w:cs="Times New Roman"/>
      <w:sz w:val="32"/>
    </w:rPr>
  </w:style>
  <w:style w:type="character" w:styleId="1017" w:customStyle="1">
    <w:name w:val="标题 7 字符"/>
    <w:link w:val="831"/>
    <w:uiPriority w:val="9"/>
    <w:qFormat/>
    <w:rPr>
      <w:rFonts w:ascii="Arial" w:hAnsi="Arial" w:eastAsia="Arial" w:cs="Arial"/>
      <w:b/>
      <w:bCs/>
      <w:i/>
      <w:iCs/>
      <w:sz w:val="22"/>
      <w:szCs w:val="22"/>
    </w:rPr>
  </w:style>
  <w:style w:type="character" w:styleId="1018" w:customStyle="1">
    <w:name w:val="NormalCharacter11"/>
    <w:uiPriority w:val="0"/>
    <w:qFormat/>
  </w:style>
  <w:style w:type="character" w:styleId="1019" w:customStyle="1">
    <w:name w:val="强调1"/>
    <w:uiPriority w:val="20"/>
    <w:qFormat/>
  </w:style>
  <w:style w:type="character" w:styleId="1020" w:customStyle="1">
    <w:name w:val="批注框文本 字符1"/>
    <w:link w:val="858"/>
    <w:uiPriority w:val="0"/>
    <w:qFormat/>
    <w:rPr>
      <w:rFonts w:ascii="Times New Roman" w:hAnsi="Times New Roman" w:eastAsia="楷体_GB2312"/>
      <w:sz w:val="16"/>
      <w:szCs w:val="16"/>
    </w:rPr>
  </w:style>
  <w:style w:type="character" w:styleId="1021" w:customStyle="1">
    <w:name w:val="标题 2 Char"/>
    <w:link w:val="1022"/>
    <w:uiPriority w:val="0"/>
    <w:qFormat/>
    <w:rPr>
      <w:rFonts w:ascii="Cambria" w:hAnsi="Cambria" w:eastAsia="宋体" w:cs="Times New Roman"/>
      <w:b/>
      <w:bCs/>
      <w:sz w:val="32"/>
      <w:szCs w:val="32"/>
    </w:rPr>
  </w:style>
  <w:style w:type="paragraph" w:styleId="1022" w:customStyle="1">
    <w:name w:val="标题 21"/>
    <w:basedOn w:val="824"/>
    <w:next w:val="824"/>
    <w:link w:val="1021"/>
    <w:uiPriority w:val="0"/>
    <w:qFormat/>
    <w:pPr>
      <w:keepLines/>
      <w:keepNext/>
      <w:spacing w:before="260" w:after="260" w:line="416" w:lineRule="auto"/>
      <w:outlineLvl w:val="1"/>
    </w:pPr>
    <w:rPr>
      <w:rFonts w:ascii="Cambria" w:hAnsi="Cambria"/>
      <w:b/>
      <w:bCs/>
      <w:sz w:val="32"/>
      <w:szCs w:val="32"/>
    </w:rPr>
  </w:style>
  <w:style w:type="character" w:styleId="1023" w:customStyle="1">
    <w:name w:val="font61"/>
    <w:uiPriority w:val="0"/>
    <w:qFormat/>
    <w:rPr>
      <w:rFonts w:hint="eastAsia" w:ascii="宋体" w:hAnsi="宋体" w:eastAsia="宋体" w:cs="宋体"/>
      <w:color w:val="000000"/>
      <w:sz w:val="20"/>
      <w:szCs w:val="20"/>
      <w:u w:val="single"/>
    </w:rPr>
  </w:style>
  <w:style w:type="character" w:styleId="1024" w:customStyle="1">
    <w:name w:val="页眉 字符1"/>
    <w:uiPriority w:val="0"/>
    <w:qFormat/>
    <w:rPr>
      <w:rFonts w:eastAsia="楷体_GB2312"/>
      <w:sz w:val="18"/>
    </w:rPr>
  </w:style>
  <w:style w:type="character" w:styleId="1025" w:customStyle="1">
    <w:name w:val="标题 4 字符1"/>
    <w:uiPriority w:val="9"/>
    <w:qFormat/>
    <w:rPr>
      <w:rFonts w:eastAsia="华文中宋"/>
      <w:b/>
      <w:sz w:val="24"/>
      <w:szCs w:val="28"/>
    </w:rPr>
  </w:style>
  <w:style w:type="character" w:styleId="1026" w:customStyle="1">
    <w:name w:val="2级标题 Char"/>
    <w:link w:val="1027"/>
    <w:uiPriority w:val="0"/>
    <w:qFormat/>
    <w:rPr>
      <w:rFonts w:eastAsia="华文中宋"/>
      <w:b/>
      <w:bCs/>
      <w:sz w:val="28"/>
      <w:szCs w:val="32"/>
    </w:rPr>
  </w:style>
  <w:style w:type="paragraph" w:styleId="1027" w:customStyle="1">
    <w:name w:val="2级标题"/>
    <w:basedOn w:val="826"/>
    <w:link w:val="1026"/>
    <w:uiPriority w:val="0"/>
    <w:qFormat/>
    <w:pPr>
      <w:spacing w:line="360" w:lineRule="auto"/>
      <w:tabs>
        <w:tab w:val="left" w:pos="851" w:leader="none"/>
      </w:tabs>
    </w:pPr>
    <w:rPr>
      <w:rFonts w:ascii="Calibri" w:hAnsi="Calibri" w:eastAsia="华文中宋"/>
      <w:b/>
      <w:bCs/>
      <w:sz w:val="28"/>
      <w:szCs w:val="32"/>
    </w:rPr>
  </w:style>
  <w:style w:type="character" w:styleId="1028" w:customStyle="1">
    <w:name w:val="样式5 Char"/>
    <w:link w:val="1029"/>
    <w:uiPriority w:val="0"/>
    <w:qFormat/>
    <w:rPr>
      <w:sz w:val="24"/>
      <w:szCs w:val="22"/>
    </w:rPr>
  </w:style>
  <w:style w:type="paragraph" w:styleId="1029" w:customStyle="1">
    <w:name w:val="样式5"/>
    <w:basedOn w:val="824"/>
    <w:link w:val="1028"/>
    <w:uiPriority w:val="0"/>
    <w:qFormat/>
    <w:pPr>
      <w:jc w:val="left"/>
      <w:spacing w:after="0" w:line="240" w:lineRule="auto"/>
      <w:pBdr>
        <w:bottom w:val="single" w:color="C0504D" w:sz="6" w:space="1"/>
      </w:pBdr>
    </w:pPr>
    <w:rPr>
      <w:sz w:val="24"/>
      <w:szCs w:val="22"/>
    </w:rPr>
  </w:style>
  <w:style w:type="character" w:styleId="1030" w:customStyle="1">
    <w:name w:val="正文缩进 字符1"/>
    <w:link w:val="840"/>
    <w:uiPriority w:val="0"/>
    <w:qFormat/>
    <w:rPr>
      <w:rFonts w:eastAsia="楷体_GB2312"/>
      <w:sz w:val="24"/>
    </w:rPr>
  </w:style>
  <w:style w:type="character" w:styleId="1031" w:customStyle="1">
    <w:name w:val="批注主题 字符"/>
    <w:uiPriority w:val="0"/>
    <w:qFormat/>
    <w:rPr>
      <w:b/>
      <w:bCs/>
      <w:sz w:val="21"/>
      <w:szCs w:val="24"/>
    </w:rPr>
  </w:style>
  <w:style w:type="character" w:styleId="1032" w:customStyle="1">
    <w:name w:val="fontstyle01"/>
    <w:uiPriority w:val="0"/>
    <w:qFormat/>
    <w:rPr>
      <w:rFonts w:ascii="宋体" w:hAnsi="宋体" w:eastAsia="宋体" w:cs="宋体"/>
      <w:color w:val="000000"/>
      <w:sz w:val="24"/>
      <w:szCs w:val="24"/>
    </w:rPr>
  </w:style>
  <w:style w:type="character" w:styleId="1033" w:customStyle="1">
    <w:name w:val="明显强调1"/>
    <w:uiPriority w:val="21"/>
    <w:qFormat/>
    <w:rPr>
      <w:i/>
      <w:iCs/>
      <w:color w:val="0f4761"/>
    </w:rPr>
  </w:style>
  <w:style w:type="character" w:styleId="1034" w:customStyle="1">
    <w:name w:val="content-right_8zs401"/>
    <w:uiPriority w:val="0"/>
    <w:qFormat/>
  </w:style>
  <w:style w:type="character" w:styleId="1035" w:customStyle="1">
    <w:name w:val="日期2"/>
    <w:uiPriority w:val="0"/>
    <w:qFormat/>
    <w:rPr>
      <w:rFonts w:ascii="Calibri" w:hAnsi="Calibri" w:eastAsia="宋体" w:cs="Times New Roman"/>
    </w:rPr>
  </w:style>
  <w:style w:type="character" w:styleId="1036" w:customStyle="1">
    <w:name w:val="正文文本 字符"/>
    <w:link w:val="846"/>
    <w:uiPriority w:val="1"/>
    <w:qFormat/>
    <w:rPr>
      <w:rFonts w:ascii="宋体" w:hAnsi="宋体"/>
      <w:sz w:val="21"/>
      <w:szCs w:val="21"/>
    </w:rPr>
  </w:style>
  <w:style w:type="character" w:styleId="1037" w:customStyle="1">
    <w:name w:val="页脚 Char1"/>
    <w:uiPriority w:val="0"/>
    <w:qFormat/>
    <w:rPr>
      <w:rFonts w:ascii="Times New Roman" w:hAnsi="Times New Roman" w:eastAsia="仿宋_GB2312" w:cs="Times New Roman"/>
      <w:sz w:val="18"/>
      <w:szCs w:val="18"/>
    </w:rPr>
  </w:style>
  <w:style w:type="character" w:styleId="1038" w:customStyle="1">
    <w:name w:val="font21"/>
    <w:uiPriority w:val="0"/>
    <w:qFormat/>
    <w:rPr>
      <w:rFonts w:hint="eastAsia" w:ascii="宋体" w:hAnsi="宋体" w:eastAsia="宋体" w:cs="宋体"/>
      <w:color w:val="000000"/>
      <w:sz w:val="22"/>
      <w:szCs w:val="22"/>
      <w:u w:val="none"/>
    </w:rPr>
  </w:style>
  <w:style w:type="character" w:styleId="1039" w:customStyle="1">
    <w:name w:val="列表段落 字符1"/>
    <w:link w:val="899"/>
    <w:uiPriority w:val="0"/>
    <w:qFormat/>
    <w:rPr>
      <w:sz w:val="21"/>
      <w:szCs w:val="24"/>
    </w:rPr>
  </w:style>
  <w:style w:type="character" w:styleId="1040" w:customStyle="1">
    <w:name w:val="Plain Text Char Char"/>
    <w:link w:val="1041"/>
    <w:uiPriority w:val="0"/>
    <w:qFormat/>
    <w:rPr>
      <w:rFonts w:ascii="宋体" w:hAnsi="Courier New" w:eastAsia="楷体_GB2312"/>
      <w:sz w:val="26"/>
    </w:rPr>
  </w:style>
  <w:style w:type="paragraph" w:styleId="1041" w:customStyle="1">
    <w:name w:val="纯文本7"/>
    <w:basedOn w:val="824"/>
    <w:link w:val="1040"/>
    <w:uiPriority w:val="0"/>
    <w:qFormat/>
    <w:pPr>
      <w:spacing w:after="0" w:line="240" w:lineRule="auto"/>
    </w:pPr>
    <w:rPr>
      <w:rFonts w:ascii="宋体" w:hAnsi="Courier New" w:eastAsia="楷体_GB2312"/>
      <w:sz w:val="26"/>
      <w:szCs w:val="20"/>
    </w:rPr>
  </w:style>
  <w:style w:type="character" w:styleId="1042" w:customStyle="1">
    <w:name w:val="样式2 Char"/>
    <w:link w:val="1043"/>
    <w:uiPriority w:val="0"/>
    <w:qFormat/>
    <w:rPr>
      <w:sz w:val="21"/>
      <w:szCs w:val="21"/>
    </w:rPr>
  </w:style>
  <w:style w:type="paragraph" w:styleId="1043" w:customStyle="1">
    <w:name w:val="样式2"/>
    <w:basedOn w:val="1044"/>
    <w:link w:val="1042"/>
    <w:uiPriority w:val="0"/>
    <w:qFormat/>
    <w:pPr>
      <w:tabs>
        <w:tab w:val="center" w:pos="4153" w:leader="none"/>
        <w:tab w:val="center" w:pos="7143" w:leader="none"/>
        <w:tab w:val="right" w:pos="8306" w:leader="none"/>
        <w:tab w:val="right" w:pos="14287" w:leader="none"/>
      </w:tabs>
      <w:pBdr>
        <w:top w:val="single" w:color="1F497D" w:sz="6" w:space="1"/>
      </w:pBdr>
    </w:pPr>
    <w:rPr>
      <w:rFonts w:ascii="Calibri" w:hAnsi="Calibri"/>
    </w:rPr>
  </w:style>
  <w:style w:type="paragraph" w:styleId="1044" w:customStyle="1">
    <w:name w:val="样式1"/>
    <w:basedOn w:val="859"/>
    <w:link w:val="1084"/>
    <w:uiPriority w:val="0"/>
    <w:qFormat/>
    <w:pPr>
      <w:jc w:val="center"/>
      <w:tabs>
        <w:tab w:val="center" w:pos="4153" w:leader="none"/>
        <w:tab w:val="right" w:pos="8306" w:leader="none"/>
      </w:tabs>
      <w:pBdr>
        <w:top w:val="single" w:color="000000" w:sz="4" w:space="1"/>
      </w:pBdr>
    </w:pPr>
    <w:rPr>
      <w:szCs w:val="21"/>
    </w:rPr>
  </w:style>
  <w:style w:type="character" w:styleId="1045" w:customStyle="1">
    <w:name w:val="HTML 打字机11"/>
    <w:uiPriority w:val="0"/>
    <w:qFormat/>
    <w:rPr>
      <w:rFonts w:hint="eastAsia" w:ascii="黑体" w:hAnsi="Courier New" w:eastAsia="黑体"/>
      <w:sz w:val="14"/>
    </w:rPr>
  </w:style>
  <w:style w:type="character" w:styleId="1046" w:customStyle="1">
    <w:name w:val="标题 1 Char"/>
    <w:link w:val="1047"/>
    <w:uiPriority w:val="0"/>
    <w:qFormat/>
    <w:rPr>
      <w:rFonts w:ascii="Calibri" w:hAnsi="Calibri" w:eastAsia="宋体" w:cs="Times New Roman"/>
      <w:b/>
      <w:bCs/>
      <w:sz w:val="44"/>
      <w:szCs w:val="44"/>
    </w:rPr>
  </w:style>
  <w:style w:type="paragraph" w:styleId="1047" w:customStyle="1">
    <w:name w:val="标题 11"/>
    <w:basedOn w:val="824"/>
    <w:next w:val="824"/>
    <w:link w:val="1046"/>
    <w:uiPriority w:val="0"/>
    <w:qFormat/>
    <w:pPr>
      <w:keepLines/>
      <w:keepNext/>
      <w:spacing w:before="340" w:after="330" w:line="578" w:lineRule="auto"/>
      <w:outlineLvl w:val="0"/>
    </w:pPr>
    <w:rPr>
      <w:b/>
      <w:bCs/>
      <w:sz w:val="44"/>
      <w:szCs w:val="44"/>
    </w:rPr>
  </w:style>
  <w:style w:type="character" w:styleId="1048" w:customStyle="1">
    <w:name w:val="批注文字 字符"/>
    <w:uiPriority w:val="99"/>
    <w:qFormat/>
    <w:rPr>
      <w:sz w:val="21"/>
      <w:szCs w:val="24"/>
    </w:rPr>
  </w:style>
  <w:style w:type="character" w:styleId="1049" w:customStyle="1">
    <w:name w:val="批注主题 Char"/>
    <w:link w:val="1050"/>
    <w:uiPriority w:val="99"/>
    <w:semiHidden/>
    <w:qFormat/>
    <w:rPr>
      <w:rFonts w:ascii="Calibri" w:hAnsi="Calibri"/>
      <w:b/>
      <w:bCs/>
      <w:sz w:val="21"/>
      <w:szCs w:val="24"/>
    </w:rPr>
  </w:style>
  <w:style w:type="paragraph" w:styleId="1050" w:customStyle="1">
    <w:name w:val="批注主题1"/>
    <w:basedOn w:val="1051"/>
    <w:next w:val="1051"/>
    <w:link w:val="1049"/>
    <w:uiPriority w:val="99"/>
    <w:unhideWhenUsed/>
    <w:qFormat/>
    <w:rPr>
      <w:b/>
      <w:bCs/>
    </w:rPr>
  </w:style>
  <w:style w:type="paragraph" w:styleId="1051" w:customStyle="1">
    <w:name w:val="批注文字1"/>
    <w:basedOn w:val="824"/>
    <w:link w:val="1069"/>
    <w:uiPriority w:val="99"/>
    <w:unhideWhenUsed/>
    <w:qFormat/>
    <w:pPr>
      <w:jc w:val="left"/>
    </w:pPr>
  </w:style>
  <w:style w:type="character" w:styleId="1052" w:customStyle="1">
    <w:name w:val="超链接1"/>
    <w:uiPriority w:val="99"/>
    <w:unhideWhenUsed/>
    <w:qFormat/>
    <w:rPr>
      <w:color w:val="333333"/>
      <w:u w:val="none"/>
    </w:rPr>
  </w:style>
  <w:style w:type="character" w:styleId="1053" w:customStyle="1">
    <w:name w:val="引用 字符"/>
    <w:link w:val="903"/>
    <w:uiPriority w:val="29"/>
    <w:qFormat/>
    <w:rPr>
      <w:i/>
    </w:rPr>
  </w:style>
  <w:style w:type="character" w:styleId="1054" w:customStyle="1">
    <w:name w:val="标题四 Char1"/>
    <w:uiPriority w:val="0"/>
    <w:qFormat/>
    <w:rPr>
      <w:rFonts w:eastAsia="楷体_GB2312"/>
      <w:sz w:val="24"/>
    </w:rPr>
  </w:style>
  <w:style w:type="character" w:styleId="1055" w:customStyle="1">
    <w:name w:val="正文文本缩进 3 字符"/>
    <w:link w:val="869"/>
    <w:uiPriority w:val="0"/>
    <w:qFormat/>
    <w:rPr>
      <w:rFonts w:ascii="Times New Roman" w:hAnsi="Times New Roman"/>
      <w:sz w:val="16"/>
      <w:szCs w:val="16"/>
    </w:rPr>
  </w:style>
  <w:style w:type="character" w:styleId="1056" w:customStyle="1">
    <w:name w:val="明显参考1"/>
    <w:uiPriority w:val="32"/>
    <w:qFormat/>
    <w:rPr>
      <w:b/>
      <w:bCs/>
      <w:smallCaps/>
      <w:color w:val="0f4761"/>
      <w:spacing w:val="5"/>
    </w:rPr>
  </w:style>
  <w:style w:type="character" w:styleId="1057" w:customStyle="1">
    <w:name w:val="HTML 打字机1"/>
    <w:uiPriority w:val="0"/>
    <w:qFormat/>
    <w:rPr>
      <w:rFonts w:hint="eastAsia" w:ascii="黑体" w:hAnsi="Courier New" w:eastAsia="黑体"/>
      <w:sz w:val="14"/>
    </w:rPr>
  </w:style>
  <w:style w:type="character" w:styleId="1058" w:customStyle="1">
    <w:name w:val="样式3 Char"/>
    <w:link w:val="1059"/>
    <w:uiPriority w:val="0"/>
    <w:qFormat/>
    <w:rPr>
      <w:sz w:val="18"/>
      <w:szCs w:val="18"/>
    </w:rPr>
  </w:style>
  <w:style w:type="paragraph" w:styleId="1059" w:customStyle="1">
    <w:name w:val="样式3"/>
    <w:basedOn w:val="861"/>
    <w:link w:val="1058"/>
    <w:uiPriority w:val="0"/>
    <w:qFormat/>
    <w:pPr>
      <w:tabs>
        <w:tab w:val="center" w:pos="4153" w:leader="none"/>
        <w:tab w:val="right" w:pos="8306" w:leader="none"/>
      </w:tabs>
    </w:pPr>
    <w:rPr>
      <w:sz w:val="18"/>
      <w:szCs w:val="18"/>
    </w:rPr>
  </w:style>
  <w:style w:type="character" w:styleId="1060" w:customStyle="1">
    <w:name w:val="日期 字符2"/>
    <w:link w:val="855"/>
    <w:uiPriority w:val="0"/>
    <w:qFormat/>
    <w:rPr>
      <w:rFonts w:ascii="宋体" w:hAnsi="宋体" w:eastAsia="楷体_GB2312"/>
      <w:sz w:val="24"/>
    </w:rPr>
  </w:style>
  <w:style w:type="character" w:styleId="1061" w:customStyle="1">
    <w:name w:val="明显引用 字符"/>
    <w:link w:val="905"/>
    <w:uiPriority w:val="30"/>
    <w:qFormat/>
    <w:rPr>
      <w:i/>
    </w:rPr>
  </w:style>
  <w:style w:type="character" w:styleId="1062" w:customStyle="1">
    <w:name w:val="纯文本 Char Char"/>
    <w:uiPriority w:val="0"/>
    <w:qFormat/>
    <w:rPr>
      <w:rFonts w:ascii="宋体" w:hAnsi="Courier New" w:eastAsia="楷体_GB2312"/>
      <w:sz w:val="26"/>
    </w:rPr>
  </w:style>
  <w:style w:type="character" w:styleId="1063" w:customStyle="1">
    <w:name w:val="标题 6 字符"/>
    <w:link w:val="830"/>
    <w:uiPriority w:val="9"/>
    <w:qFormat/>
    <w:rPr>
      <w:rFonts w:ascii="Arial" w:hAnsi="Arial" w:eastAsia="Arial" w:cs="Arial"/>
      <w:b/>
      <w:bCs/>
      <w:sz w:val="22"/>
      <w:szCs w:val="22"/>
    </w:rPr>
  </w:style>
  <w:style w:type="character" w:styleId="1064" w:customStyle="1">
    <w:name w:val="标题 3 字符"/>
    <w:link w:val="827"/>
    <w:uiPriority w:val="0"/>
    <w:qFormat/>
    <w:rPr>
      <w:rFonts w:ascii="Arial" w:hAnsi="Arial" w:eastAsia="Arial" w:cs="Arial"/>
      <w:sz w:val="30"/>
      <w:szCs w:val="30"/>
    </w:rPr>
  </w:style>
  <w:style w:type="character" w:styleId="1065" w:customStyle="1">
    <w:name w:val="font121"/>
    <w:uiPriority w:val="0"/>
    <w:qFormat/>
    <w:rPr>
      <w:rFonts w:ascii="Times New Roman" w:hAnsi="Times New Roman" w:eastAsia="宋体" w:cs="Times New Roman"/>
      <w:color w:val="000000"/>
      <w:sz w:val="24"/>
      <w:szCs w:val="24"/>
      <w:u w:val="none"/>
    </w:rPr>
  </w:style>
  <w:style w:type="character" w:styleId="1066" w:customStyle="1">
    <w:name w:val="批注文字 Char1"/>
    <w:uiPriority w:val="99"/>
    <w:semiHidden/>
    <w:qFormat/>
    <w:rPr>
      <w:rFonts w:ascii="Times New Roman" w:hAnsi="Times New Roman" w:eastAsia="楷体_GB2312" w:cs="Times New Roman"/>
      <w:sz w:val="28"/>
    </w:rPr>
  </w:style>
  <w:style w:type="character" w:styleId="1067" w:customStyle="1">
    <w:name w:val="样式4 Char"/>
    <w:link w:val="1068"/>
    <w:uiPriority w:val="0"/>
    <w:qFormat/>
    <w:rPr>
      <w:sz w:val="18"/>
      <w:szCs w:val="18"/>
    </w:rPr>
  </w:style>
  <w:style w:type="paragraph" w:styleId="1068" w:customStyle="1">
    <w:name w:val="样式4"/>
    <w:basedOn w:val="861"/>
    <w:link w:val="1067"/>
    <w:uiPriority w:val="0"/>
    <w:qFormat/>
    <w:pPr>
      <w:ind w:firstLine="425"/>
      <w:jc w:val="center"/>
      <w:tabs>
        <w:tab w:val="center" w:pos="4153" w:leader="none"/>
        <w:tab w:val="right" w:pos="8306" w:leader="none"/>
      </w:tabs>
    </w:pPr>
    <w:rPr>
      <w:sz w:val="18"/>
      <w:szCs w:val="18"/>
    </w:rPr>
  </w:style>
  <w:style w:type="character" w:styleId="1069" w:customStyle="1">
    <w:name w:val="批注文字 Char"/>
    <w:link w:val="1051"/>
    <w:uiPriority w:val="99"/>
    <w:qFormat/>
    <w:rPr>
      <w:rFonts w:ascii="Calibri" w:hAnsi="Calibri"/>
      <w:sz w:val="21"/>
      <w:szCs w:val="24"/>
    </w:rPr>
  </w:style>
  <w:style w:type="character" w:styleId="1070" w:customStyle="1">
    <w:name w:val="正文缩进 Char"/>
    <w:link w:val="1071"/>
    <w:uiPriority w:val="0"/>
    <w:qFormat/>
    <w:rPr>
      <w:rFonts w:ascii="Times New Roman" w:hAnsi="Times New Roman" w:eastAsia="楷体_GB2312" w:cs="Times New Roman"/>
      <w:sz w:val="24"/>
      <w:szCs w:val="20"/>
    </w:rPr>
  </w:style>
  <w:style w:type="paragraph" w:styleId="1071" w:customStyle="1">
    <w:name w:val="正文缩进11"/>
    <w:basedOn w:val="824"/>
    <w:next w:val="824"/>
    <w:link w:val="1070"/>
    <w:uiPriority w:val="0"/>
    <w:unhideWhenUsed/>
    <w:qFormat/>
    <w:pPr>
      <w:ind w:firstLine="420"/>
      <w:jc w:val="left"/>
    </w:pPr>
    <w:rPr>
      <w:rFonts w:eastAsia="楷体_GB2312"/>
      <w:sz w:val="24"/>
      <w:szCs w:val="20"/>
    </w:rPr>
  </w:style>
  <w:style w:type="character" w:styleId="1072" w:customStyle="1">
    <w:name w:val="日期 字符"/>
    <w:uiPriority w:val="0"/>
    <w:qFormat/>
    <w:rPr>
      <w:sz w:val="21"/>
      <w:szCs w:val="24"/>
    </w:rPr>
  </w:style>
  <w:style w:type="character" w:styleId="1073" w:customStyle="1">
    <w:name w:val="文档结构图 字符"/>
    <w:uiPriority w:val="0"/>
    <w:qFormat/>
    <w:rPr>
      <w:rFonts w:ascii="Microsoft YaHei UI" w:eastAsia="Microsoft YaHei UI"/>
      <w:sz w:val="18"/>
      <w:szCs w:val="18"/>
    </w:rPr>
  </w:style>
  <w:style w:type="character" w:styleId="1074" w:customStyle="1">
    <w:name w:val="font11"/>
    <w:uiPriority w:val="0"/>
    <w:qFormat/>
    <w:rPr>
      <w:rFonts w:hint="eastAsia" w:ascii="仿宋" w:hAnsi="仿宋" w:eastAsia="仿宋" w:cs="仿宋"/>
      <w:color w:val="000000"/>
      <w:sz w:val="24"/>
      <w:szCs w:val="24"/>
      <w:u w:val="none"/>
    </w:rPr>
  </w:style>
  <w:style w:type="character" w:styleId="1075" w:customStyle="1">
    <w:name w:val="标题 字符"/>
    <w:link w:val="878"/>
    <w:uiPriority w:val="0"/>
    <w:qFormat/>
    <w:rPr>
      <w:sz w:val="48"/>
      <w:szCs w:val="48"/>
    </w:rPr>
  </w:style>
  <w:style w:type="character" w:styleId="1076" w:customStyle="1">
    <w:name w:val="正文文本缩进 2 字符1"/>
    <w:link w:val="856"/>
    <w:uiPriority w:val="0"/>
    <w:qFormat/>
    <w:rPr>
      <w:rFonts w:ascii="Times New Roman" w:hAnsi="Times New Roman" w:eastAsia="楷体_GB2312"/>
      <w:sz w:val="28"/>
    </w:rPr>
  </w:style>
  <w:style w:type="character" w:styleId="1077" w:customStyle="1">
    <w:name w:val="font41"/>
    <w:uiPriority w:val="0"/>
    <w:qFormat/>
    <w:rPr>
      <w:rFonts w:hint="eastAsia" w:ascii="宋体" w:hAnsi="宋体" w:eastAsia="宋体" w:cs="宋体"/>
      <w:color w:val="000000"/>
      <w:sz w:val="20"/>
      <w:szCs w:val="20"/>
      <w:u w:val="none"/>
    </w:rPr>
  </w:style>
  <w:style w:type="character" w:styleId="1078" w:customStyle="1">
    <w:name w:val="标题 9 字符1"/>
    <w:uiPriority w:val="9"/>
    <w:qFormat/>
    <w:rPr>
      <w:rFonts w:ascii="Arial" w:hAnsi="Arial" w:eastAsia="黑体"/>
      <w:sz w:val="21"/>
    </w:rPr>
  </w:style>
  <w:style w:type="character" w:styleId="1079" w:customStyle="1">
    <w:name w:val="正文文本缩进 3 Char1"/>
    <w:link w:val="1080"/>
    <w:uiPriority w:val="0"/>
    <w:qFormat/>
    <w:rPr>
      <w:rFonts w:ascii="Times New Roman" w:hAnsi="Times New Roman" w:eastAsia="宋体" w:cs="Times New Roman"/>
      <w:sz w:val="24"/>
    </w:rPr>
  </w:style>
  <w:style w:type="paragraph" w:styleId="1080" w:customStyle="1">
    <w:name w:val="正文文本缩进 31"/>
    <w:basedOn w:val="824"/>
    <w:next w:val="1081"/>
    <w:link w:val="1079"/>
    <w:uiPriority w:val="0"/>
    <w:unhideWhenUsed/>
    <w:qFormat/>
    <w:pPr>
      <w:ind w:firstLine="480"/>
      <w:jc w:val="left"/>
      <w:spacing w:line="440" w:lineRule="atLeast"/>
    </w:pPr>
    <w:rPr>
      <w:sz w:val="24"/>
      <w:szCs w:val="20"/>
    </w:rPr>
  </w:style>
  <w:style w:type="paragraph" w:styleId="1081" w:customStyle="1">
    <w:name w:val="目录 61"/>
    <w:basedOn w:val="1047"/>
    <w:next w:val="824"/>
    <w:uiPriority w:val="39"/>
    <w:unhideWhenUsed/>
    <w:qFormat/>
    <w:pPr>
      <w:ind w:left="1400" w:firstLine="3784"/>
      <w:spacing w:before="0" w:after="0" w:line="360" w:lineRule="auto"/>
      <w:widowControl/>
    </w:pPr>
    <w:rPr>
      <w:sz w:val="20"/>
      <w:szCs w:val="20"/>
    </w:rPr>
  </w:style>
  <w:style w:type="character" w:styleId="1082" w:customStyle="1">
    <w:name w:val="题注 字符"/>
    <w:uiPriority w:val="0"/>
    <w:qFormat/>
    <w:rPr>
      <w:sz w:val="21"/>
    </w:rPr>
  </w:style>
  <w:style w:type="character" w:styleId="1083" w:customStyle="1">
    <w:name w:val="脚注引用1"/>
    <w:uiPriority w:val="99"/>
    <w:unhideWhenUsed/>
    <w:qFormat/>
    <w:rPr>
      <w:rFonts w:ascii="Times New Roman" w:hAnsi="Times New Roman" w:eastAsia="宋体" w:cs="Times New Roman"/>
      <w:vertAlign w:val="superscript"/>
    </w:rPr>
  </w:style>
  <w:style w:type="character" w:styleId="1084" w:customStyle="1">
    <w:name w:val="样式1 Char"/>
    <w:link w:val="1044"/>
    <w:uiPriority w:val="0"/>
    <w:qFormat/>
    <w:rPr>
      <w:rFonts w:ascii="Times New Roman" w:hAnsi="Times New Roman"/>
      <w:sz w:val="21"/>
      <w:szCs w:val="21"/>
    </w:rPr>
  </w:style>
  <w:style w:type="character" w:styleId="1085" w:customStyle="1">
    <w:name w:val="标题 3 Char"/>
    <w:link w:val="1086"/>
    <w:uiPriority w:val="0"/>
    <w:qFormat/>
    <w:rPr>
      <w:rFonts w:ascii="Times New Roman" w:hAnsi="Times New Roman" w:eastAsia="宋体" w:cs="Times New Roman"/>
      <w:b/>
      <w:sz w:val="32"/>
      <w:szCs w:val="20"/>
    </w:rPr>
  </w:style>
  <w:style w:type="paragraph" w:styleId="1086" w:customStyle="1">
    <w:name w:val="标题 31"/>
    <w:basedOn w:val="824"/>
    <w:next w:val="1071"/>
    <w:link w:val="1085"/>
    <w:uiPriority w:val="0"/>
    <w:qFormat/>
    <w:pPr>
      <w:keepLines/>
      <w:keepNext/>
      <w:spacing w:before="260" w:after="260" w:line="416" w:lineRule="auto"/>
      <w:outlineLvl w:val="2"/>
    </w:pPr>
    <w:rPr>
      <w:b/>
      <w:sz w:val="32"/>
      <w:szCs w:val="20"/>
    </w:rPr>
  </w:style>
  <w:style w:type="character" w:styleId="1087" w:customStyle="1">
    <w:name w:val="列表段落 字符"/>
    <w:uiPriority w:val="34"/>
    <w:qFormat/>
    <w:rPr>
      <w:sz w:val="21"/>
      <w:szCs w:val="22"/>
    </w:rPr>
  </w:style>
  <w:style w:type="character" w:styleId="1088" w:customStyle="1">
    <w:name w:val="标题 1 字符"/>
    <w:link w:val="825"/>
    <w:uiPriority w:val="0"/>
    <w:qFormat/>
    <w:rPr>
      <w:rFonts w:ascii="Arial" w:hAnsi="Arial" w:eastAsia="Arial" w:cs="Arial"/>
      <w:sz w:val="40"/>
      <w:szCs w:val="40"/>
    </w:rPr>
  </w:style>
  <w:style w:type="character" w:styleId="1089" w:customStyle="1">
    <w:name w:val="页码1"/>
    <w:uiPriority w:val="99"/>
    <w:unhideWhenUsed/>
    <w:qFormat/>
    <w:rPr>
      <w:rFonts w:ascii="Times New Roman" w:hAnsi="Times New Roman" w:eastAsia="宋体" w:cs="Times New Roman"/>
      <w:sz w:val="20"/>
    </w:rPr>
  </w:style>
  <w:style w:type="character" w:styleId="1090" w:customStyle="1">
    <w:name w:val="3级标题 Char"/>
    <w:link w:val="1091"/>
    <w:uiPriority w:val="0"/>
    <w:qFormat/>
    <w:rPr>
      <w:rFonts w:eastAsia="华文中宋"/>
      <w:b/>
      <w:bCs/>
      <w:sz w:val="28"/>
      <w:szCs w:val="32"/>
    </w:rPr>
  </w:style>
  <w:style w:type="paragraph" w:styleId="1091" w:customStyle="1">
    <w:name w:val="3级标题"/>
    <w:basedOn w:val="826"/>
    <w:link w:val="1090"/>
    <w:uiPriority w:val="0"/>
    <w:qFormat/>
    <w:pPr>
      <w:spacing w:line="360" w:lineRule="auto"/>
      <w:tabs>
        <w:tab w:val="left" w:pos="1080" w:leader="none"/>
      </w:tabs>
    </w:pPr>
    <w:rPr>
      <w:rFonts w:ascii="Calibri" w:hAnsi="Calibri" w:eastAsia="华文中宋"/>
      <w:b/>
      <w:bCs/>
      <w:sz w:val="28"/>
      <w:szCs w:val="32"/>
    </w:rPr>
  </w:style>
  <w:style w:type="character" w:styleId="1092" w:customStyle="1">
    <w:name w:val="Header or footer|2_"/>
    <w:link w:val="1093"/>
    <w:uiPriority w:val="0"/>
    <w:qFormat/>
    <w:rPr>
      <w:lang w:val="zh-CN" w:bidi="zh-CN"/>
    </w:rPr>
  </w:style>
  <w:style w:type="paragraph" w:styleId="1093" w:customStyle="1">
    <w:name w:val="Header or footer|2"/>
    <w:basedOn w:val="824"/>
    <w:link w:val="1092"/>
    <w:uiPriority w:val="0"/>
    <w:qFormat/>
    <w:pPr>
      <w:jc w:val="left"/>
      <w:spacing w:after="0" w:line="240" w:lineRule="auto"/>
    </w:pPr>
    <w:rPr>
      <w:sz w:val="20"/>
      <w:szCs w:val="20"/>
      <w:lang w:val="zh-CN" w:bidi="zh-CN"/>
    </w:rPr>
  </w:style>
  <w:style w:type="character" w:styleId="1094" w:customStyle="1">
    <w:name w:val="apple-converted-space"/>
    <w:uiPriority w:val="0"/>
    <w:qFormat/>
  </w:style>
  <w:style w:type="character" w:styleId="1095" w:customStyle="1">
    <w:name w:val="title_emph1"/>
    <w:uiPriority w:val="0"/>
    <w:qFormat/>
    <w:rPr>
      <w:rFonts w:ascii="Arial" w:hAnsi="Arial" w:cs="Arial"/>
      <w:b/>
      <w:bCs/>
      <w:sz w:val="20"/>
      <w:szCs w:val="20"/>
    </w:rPr>
  </w:style>
  <w:style w:type="character" w:styleId="1096" w:customStyle="1">
    <w:name w:val="批注框文本 字符"/>
    <w:uiPriority w:val="99"/>
    <w:qFormat/>
    <w:rPr>
      <w:sz w:val="18"/>
      <w:szCs w:val="18"/>
    </w:rPr>
  </w:style>
  <w:style w:type="character" w:styleId="1097" w:customStyle="1">
    <w:name w:val="正文文本缩进 3 Char"/>
    <w:uiPriority w:val="99"/>
    <w:semiHidden/>
    <w:qFormat/>
    <w:rPr>
      <w:rFonts w:ascii="Calibri" w:hAnsi="Calibri" w:eastAsia="宋体" w:cs="Times New Roman"/>
      <w:sz w:val="16"/>
      <w:szCs w:val="16"/>
    </w:rPr>
  </w:style>
  <w:style w:type="character" w:styleId="1098" w:customStyle="1">
    <w:name w:val="正文文本首行缩进 2 字符1"/>
    <w:link w:val="1099"/>
    <w:uiPriority w:val="99"/>
    <w:qFormat/>
    <w:rPr>
      <w:rFonts w:ascii="Times New Roman" w:hAnsi="Times New Roman" w:eastAsia="楷体_GB2312"/>
      <w:sz w:val="28"/>
    </w:rPr>
  </w:style>
  <w:style w:type="paragraph" w:styleId="1099" w:customStyle="1">
    <w:name w:val="正文首行缩进 211"/>
    <w:basedOn w:val="847"/>
    <w:link w:val="1098"/>
    <w:uiPriority w:val="99"/>
    <w:qFormat/>
    <w:pPr>
      <w:ind w:left="420" w:firstLine="420"/>
      <w:spacing w:after="120"/>
    </w:pPr>
    <w:rPr>
      <w:rFonts w:ascii="Times New Roman" w:eastAsia="楷体_GB2312"/>
    </w:rPr>
  </w:style>
  <w:style w:type="character" w:styleId="1100" w:customStyle="1">
    <w:name w:val="标题 5 字符"/>
    <w:link w:val="829"/>
    <w:uiPriority w:val="9"/>
    <w:qFormat/>
    <w:rPr>
      <w:rFonts w:ascii="Arial" w:hAnsi="Arial" w:eastAsia="Arial" w:cs="Arial"/>
      <w:b/>
      <w:bCs/>
      <w:sz w:val="24"/>
      <w:szCs w:val="24"/>
    </w:rPr>
  </w:style>
  <w:style w:type="character" w:styleId="1101" w:customStyle="1">
    <w:name w:val="正文缩进 Char1"/>
    <w:uiPriority w:val="0"/>
    <w:qFormat/>
    <w:rPr>
      <w:rFonts w:ascii="Calibri" w:hAnsi="Calibri" w:eastAsia="宋体" w:cs="Times New Roman"/>
    </w:rPr>
  </w:style>
  <w:style w:type="character" w:styleId="1102" w:customStyle="1">
    <w:name w:val="页眉 字符"/>
    <w:link w:val="861"/>
    <w:uiPriority w:val="0"/>
    <w:qFormat/>
  </w:style>
  <w:style w:type="character" w:styleId="1103" w:customStyle="1">
    <w:name w:val="正文文本缩进 2 字符"/>
    <w:uiPriority w:val="0"/>
    <w:qFormat/>
    <w:rPr>
      <w:sz w:val="21"/>
      <w:szCs w:val="24"/>
    </w:rPr>
  </w:style>
  <w:style w:type="character" w:styleId="1104" w:customStyle="1">
    <w:name w:val="标题 7 字符1"/>
    <w:uiPriority w:val="9"/>
    <w:qFormat/>
    <w:rPr>
      <w:b/>
      <w:sz w:val="24"/>
    </w:rPr>
  </w:style>
  <w:style w:type="character" w:styleId="1105" w:customStyle="1">
    <w:name w:val="标题 5 字符1"/>
    <w:uiPriority w:val="9"/>
    <w:qFormat/>
    <w:rPr>
      <w:b/>
      <w:bCs/>
      <w:sz w:val="28"/>
      <w:szCs w:val="28"/>
    </w:rPr>
  </w:style>
  <w:style w:type="character" w:styleId="1106" w:customStyle="1">
    <w:name w:val="日期 字符1"/>
    <w:uiPriority w:val="0"/>
    <w:qFormat/>
    <w:rPr>
      <w:rFonts w:ascii="宋体" w:hAnsi="宋体" w:eastAsia="楷体_GB2312"/>
      <w:sz w:val="24"/>
    </w:rPr>
  </w:style>
  <w:style w:type="character" w:styleId="1107" w:customStyle="1">
    <w:name w:val="正文文本缩进 字符1"/>
    <w:link w:val="847"/>
    <w:uiPriority w:val="0"/>
    <w:qFormat/>
    <w:rPr>
      <w:rFonts w:ascii="宋体" w:hAnsi="Times New Roman"/>
      <w:sz w:val="28"/>
    </w:rPr>
  </w:style>
  <w:style w:type="paragraph" w:styleId="1108" w:customStyle="1">
    <w:name w:val="目录 611"/>
    <w:basedOn w:val="824"/>
    <w:next w:val="824"/>
    <w:uiPriority w:val="0"/>
    <w:unhideWhenUsed/>
    <w:qFormat/>
    <w:pPr>
      <w:ind w:left="1417"/>
      <w:spacing w:after="57"/>
    </w:pPr>
  </w:style>
  <w:style w:type="paragraph" w:styleId="1109" w:customStyle="1">
    <w:name w:val="目录 21"/>
    <w:basedOn w:val="824"/>
    <w:next w:val="824"/>
    <w:uiPriority w:val="39"/>
    <w:unhideWhenUsed/>
    <w:qFormat/>
    <w:pPr>
      <w:ind w:left="283"/>
      <w:spacing w:after="57"/>
    </w:pPr>
  </w:style>
  <w:style w:type="paragraph" w:styleId="1110" w:customStyle="1">
    <w:name w:val="目录 111"/>
    <w:basedOn w:val="824"/>
    <w:next w:val="824"/>
    <w:uiPriority w:val="0"/>
    <w:unhideWhenUsed/>
    <w:qFormat/>
    <w:pPr>
      <w:spacing w:after="57"/>
    </w:pPr>
  </w:style>
  <w:style w:type="paragraph" w:styleId="1111" w:customStyle="1">
    <w:name w:val="目录 31"/>
    <w:basedOn w:val="824"/>
    <w:next w:val="824"/>
    <w:uiPriority w:val="39"/>
    <w:unhideWhenUsed/>
    <w:qFormat/>
    <w:pPr>
      <w:ind w:left="567"/>
      <w:spacing w:after="57"/>
    </w:pPr>
  </w:style>
  <w:style w:type="paragraph" w:styleId="1112" w:customStyle="1">
    <w:name w:val="段"/>
    <w:next w:val="824"/>
    <w:uiPriority w:val="0"/>
    <w:qFormat/>
    <w:pPr>
      <w:ind w:firstLine="200"/>
      <w:jc w:val="both"/>
      <w:spacing w:after="160" w:line="360" w:lineRule="auto"/>
    </w:pPr>
    <w:rPr>
      <w:rFonts w:hint="default" w:ascii="Times New Roman" w:hAnsi="Times New Roman" w:eastAsia="宋体" w:cs="Times New Roman"/>
      <w:sz w:val="24"/>
      <w:szCs w:val="22"/>
    </w:rPr>
  </w:style>
  <w:style w:type="paragraph" w:styleId="1113" w:customStyle="1">
    <w:name w:val="目录 51"/>
    <w:basedOn w:val="824"/>
    <w:next w:val="824"/>
    <w:uiPriority w:val="0"/>
    <w:unhideWhenUsed/>
    <w:qFormat/>
    <w:pPr>
      <w:ind w:left="1134"/>
      <w:spacing w:after="57"/>
    </w:pPr>
  </w:style>
  <w:style w:type="paragraph" w:styleId="1114" w:customStyle="1">
    <w:name w:val="目录 41"/>
    <w:basedOn w:val="824"/>
    <w:next w:val="824"/>
    <w:uiPriority w:val="39"/>
    <w:unhideWhenUsed/>
    <w:qFormat/>
    <w:pPr>
      <w:ind w:left="850"/>
      <w:spacing w:after="57"/>
    </w:pPr>
  </w:style>
  <w:style w:type="paragraph" w:styleId="1115" w:customStyle="1">
    <w:name w:val="目录 91"/>
    <w:basedOn w:val="824"/>
    <w:next w:val="824"/>
    <w:uiPriority w:val="0"/>
    <w:unhideWhenUsed/>
    <w:qFormat/>
    <w:pPr>
      <w:ind w:left="2268"/>
      <w:spacing w:after="57"/>
    </w:pPr>
  </w:style>
  <w:style w:type="paragraph" w:styleId="1116" w:customStyle="1">
    <w:name w:val="目录 81"/>
    <w:basedOn w:val="824"/>
    <w:next w:val="824"/>
    <w:uiPriority w:val="0"/>
    <w:unhideWhenUsed/>
    <w:qFormat/>
    <w:pPr>
      <w:ind w:left="1984"/>
      <w:spacing w:after="57"/>
    </w:pPr>
  </w:style>
  <w:style w:type="paragraph" w:styleId="1117" w:customStyle="1">
    <w:name w:val="目录 71"/>
    <w:basedOn w:val="824"/>
    <w:next w:val="824"/>
    <w:uiPriority w:val="0"/>
    <w:unhideWhenUsed/>
    <w:qFormat/>
    <w:pPr>
      <w:ind w:left="1701"/>
      <w:spacing w:after="57"/>
    </w:pPr>
  </w:style>
  <w:style w:type="paragraph" w:styleId="1118" w:customStyle="1">
    <w:name w:val="p16"/>
    <w:basedOn w:val="824"/>
    <w:uiPriority w:val="0"/>
    <w:qFormat/>
    <w:pPr>
      <w:ind w:left="420"/>
      <w:spacing w:after="120" w:line="480" w:lineRule="auto"/>
      <w:widowControl/>
    </w:pPr>
    <w:rPr>
      <w:szCs w:val="21"/>
    </w:rPr>
  </w:style>
  <w:style w:type="paragraph" w:styleId="1119" w:customStyle="1">
    <w:name w:val="公文"/>
    <w:basedOn w:val="824"/>
    <w:uiPriority w:val="0"/>
    <w:qFormat/>
    <w:pPr>
      <w:ind w:firstLine="420"/>
      <w:spacing w:after="0" w:line="560" w:lineRule="exact"/>
    </w:pPr>
    <w:rPr>
      <w:rFonts w:ascii="仿宋_GB2312" w:hAnsi="仿宋_GB2312" w:eastAsia="仿宋_GB2312"/>
      <w:sz w:val="32"/>
    </w:rPr>
  </w:style>
  <w:style w:type="paragraph" w:styleId="1120" w:customStyle="1">
    <w:name w:val="Char Char1 Char Char Char Char Char Char Char"/>
    <w:basedOn w:val="824"/>
    <w:uiPriority w:val="0"/>
    <w:qFormat/>
    <w:pPr>
      <w:spacing w:after="0" w:line="240" w:lineRule="auto"/>
    </w:pPr>
    <w:rPr>
      <w:szCs w:val="20"/>
    </w:rPr>
  </w:style>
  <w:style w:type="paragraph" w:styleId="1121" w:customStyle="1">
    <w:name w:val="修订1"/>
    <w:uiPriority w:val="99"/>
    <w:unhideWhenUsed/>
    <w:qFormat/>
    <w:pPr>
      <w:spacing w:after="160" w:line="278" w:lineRule="auto"/>
    </w:pPr>
    <w:rPr>
      <w:rFonts w:hint="default" w:ascii="Times New Roman" w:hAnsi="Times New Roman" w:eastAsia="宋体" w:cs="Times New Roman"/>
      <w:sz w:val="21"/>
      <w:szCs w:val="24"/>
    </w:rPr>
  </w:style>
  <w:style w:type="paragraph" w:styleId="1122" w:customStyle="1">
    <w:name w:val="xl4836"/>
    <w:basedOn w:val="82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3" w:customStyle="1">
    <w:name w:val="font9"/>
    <w:basedOn w:val="824"/>
    <w:uiPriority w:val="0"/>
    <w:qFormat/>
    <w:pPr>
      <w:jc w:val="left"/>
      <w:spacing w:before="100" w:beforeAutospacing="1" w:after="100" w:afterAutospacing="1" w:line="240" w:lineRule="auto"/>
      <w:widowControl/>
    </w:pPr>
    <w:rPr>
      <w:rFonts w:ascii="宋体" w:hAnsi="宋体" w:cs="宋体"/>
      <w:color w:val="dbeef3"/>
      <w:sz w:val="18"/>
      <w:szCs w:val="18"/>
    </w:rPr>
  </w:style>
  <w:style w:type="paragraph" w:styleId="1124" w:customStyle="1">
    <w:name w:val="Char Char1"/>
    <w:basedOn w:val="824"/>
    <w:uiPriority w:val="0"/>
    <w:qFormat/>
    <w:pPr>
      <w:jc w:val="left"/>
      <w:spacing w:line="240" w:lineRule="exact"/>
      <w:widowControl/>
    </w:pPr>
    <w:rPr>
      <w:rFonts w:ascii="Verdana" w:hAnsi="Verdana"/>
      <w:sz w:val="20"/>
      <w:szCs w:val="20"/>
      <w:lang w:eastAsia="en-US"/>
    </w:rPr>
  </w:style>
  <w:style w:type="paragraph" w:styleId="1125" w:customStyle="1">
    <w:name w:val="普通(网站)1"/>
    <w:basedOn w:val="824"/>
    <w:uiPriority w:val="99"/>
    <w:qFormat/>
    <w:pPr>
      <w:jc w:val="left"/>
      <w:spacing w:beforeAutospacing="1" w:afterAutospacing="1"/>
    </w:pPr>
    <w:rPr>
      <w:sz w:val="24"/>
    </w:rPr>
  </w:style>
  <w:style w:type="paragraph" w:styleId="1126" w:customStyle="1">
    <w:name w:val="a"/>
    <w:basedOn w:val="824"/>
    <w:uiPriority w:val="0"/>
    <w:qFormat/>
    <w:pPr>
      <w:jc w:val="left"/>
      <w:spacing w:before="100" w:beforeAutospacing="1" w:after="100" w:afterAutospacing="1" w:line="240" w:lineRule="auto"/>
      <w:widowControl/>
    </w:pPr>
    <w:rPr>
      <w:rFonts w:ascii="宋体" w:hAnsi="宋体"/>
      <w:sz w:val="24"/>
    </w:rPr>
  </w:style>
  <w:style w:type="paragraph" w:styleId="1127" w:customStyle="1">
    <w:name w:val="p2"/>
    <w:basedOn w:val="824"/>
    <w:uiPriority w:val="0"/>
    <w:qFormat/>
    <w:pPr>
      <w:jc w:val="left"/>
      <w:spacing w:before="100" w:beforeAutospacing="1" w:after="100" w:afterAutospacing="1"/>
      <w:widowControl/>
    </w:pPr>
    <w:rPr>
      <w:rFonts w:ascii="宋体" w:hAnsi="宋体" w:cs="宋体"/>
      <w:sz w:val="24"/>
    </w:rPr>
  </w:style>
  <w:style w:type="paragraph" w:styleId="1128" w:customStyle="1">
    <w:name w:val="Plain Text1"/>
    <w:basedOn w:val="824"/>
    <w:uiPriority w:val="0"/>
    <w:qFormat/>
    <w:pPr>
      <w:spacing w:after="0" w:line="240" w:lineRule="auto"/>
    </w:pPr>
    <w:rPr>
      <w:rFonts w:hint="eastAsia" w:ascii="宋体" w:hAnsi="Courier New" w:eastAsia="楷体_GB2312"/>
      <w:sz w:val="28"/>
      <w:szCs w:val="20"/>
    </w:rPr>
  </w:style>
  <w:style w:type="paragraph" w:styleId="1129" w:customStyle="1">
    <w:name w:val="xl4842"/>
    <w:basedOn w:val="82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0" w:customStyle="1">
    <w:name w:val="xl26"/>
    <w:basedOn w:val="824"/>
    <w:uiPriority w:val="0"/>
    <w:qFormat/>
    <w:pPr>
      <w:jc w:val="center"/>
      <w:spacing w:before="100" w:beforeAutospacing="1" w:after="100" w:afterAutospacing="1" w:line="240" w:lineRule="auto"/>
      <w:widowControl/>
    </w:pPr>
    <w:rPr>
      <w:rFonts w:ascii="宋体" w:hAnsi="宋体"/>
      <w:sz w:val="24"/>
    </w:rPr>
  </w:style>
  <w:style w:type="paragraph" w:styleId="1131" w:customStyle="1">
    <w:name w:val="TOC 标题2"/>
    <w:basedOn w:val="825"/>
    <w:next w:val="824"/>
    <w:uiPriority w:val="39"/>
    <w:qFormat/>
    <w:pPr>
      <w:jc w:val="left"/>
      <w:spacing w:before="0" w:after="0" w:line="276" w:lineRule="auto"/>
      <w:widowControl/>
      <w:tabs>
        <w:tab w:val="left" w:pos="993" w:leader="none"/>
      </w:tabs>
      <w:outlineLvl w:val="9"/>
    </w:pPr>
    <w:rPr>
      <w:rFonts w:ascii="Cambria" w:hAnsi="Cambria" w:eastAsia="宋体"/>
      <w:b/>
      <w:bCs/>
      <w:color w:val="365f91"/>
      <w:sz w:val="28"/>
      <w:szCs w:val="28"/>
    </w:rPr>
  </w:style>
  <w:style w:type="paragraph" w:styleId="1132" w:customStyle="1">
    <w:name w:val="Andy_正文"/>
    <w:basedOn w:val="824"/>
    <w:uiPriority w:val="0"/>
    <w:qFormat/>
    <w:pPr>
      <w:ind w:firstLine="480"/>
      <w:spacing w:line="360" w:lineRule="auto"/>
    </w:pPr>
    <w:rPr>
      <w:sz w:val="24"/>
    </w:rPr>
  </w:style>
  <w:style w:type="paragraph" w:styleId="1133" w:customStyle="1">
    <w:name w:val="xl4839"/>
    <w:basedOn w:val="824"/>
    <w:uiPriority w:val="0"/>
    <w:qFormat/>
    <w:pPr>
      <w:jc w:val="left"/>
      <w:spacing w:before="100" w:beforeAutospacing="1" w:after="100" w:afterAutospacing="1" w:line="240" w:lineRule="auto"/>
      <w:widowControl/>
    </w:pPr>
    <w:rPr>
      <w:rFonts w:ascii="宋体" w:hAnsi="宋体" w:cs="宋体"/>
      <w:sz w:val="20"/>
      <w:szCs w:val="20"/>
    </w:rPr>
  </w:style>
  <w:style w:type="paragraph" w:styleId="1134" w:customStyle="1">
    <w:name w:val="引文目录1"/>
    <w:basedOn w:val="824"/>
    <w:next w:val="824"/>
    <w:uiPriority w:val="0"/>
    <w:qFormat/>
    <w:pPr>
      <w:ind w:left="420"/>
    </w:pPr>
  </w:style>
  <w:style w:type="paragraph" w:styleId="1135" w:customStyle="1">
    <w:name w:val="HTML 预设格式11"/>
    <w:basedOn w:val="824"/>
    <w:uiPriority w:val="0"/>
    <w:qFormat/>
    <w:pPr>
      <w:jc w:val="left"/>
      <w:spacing w:after="0"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36" w:customStyle="1">
    <w:name w:val="正文文本缩进2"/>
    <w:basedOn w:val="824"/>
    <w:next w:val="824"/>
    <w:uiPriority w:val="99"/>
    <w:unhideWhenUsed/>
    <w:qFormat/>
    <w:pPr>
      <w:ind w:left="420" w:firstLine="1188"/>
      <w:spacing w:line="360" w:lineRule="exact"/>
    </w:pPr>
  </w:style>
  <w:style w:type="paragraph" w:styleId="1137" w:customStyle="1">
    <w:name w:val="正文首行缩进 21"/>
    <w:basedOn w:val="1138"/>
    <w:uiPriority w:val="0"/>
    <w:qFormat/>
    <w:pPr>
      <w:ind w:firstLine="420"/>
    </w:pPr>
    <w:rPr>
      <w:rFonts w:eastAsia="楷体_GB2312"/>
      <w:sz w:val="28"/>
    </w:rPr>
  </w:style>
  <w:style w:type="paragraph" w:styleId="1138" w:customStyle="1">
    <w:name w:val="正文文本缩进1"/>
    <w:basedOn w:val="824"/>
    <w:next w:val="1139"/>
    <w:uiPriority w:val="0"/>
    <w:qFormat/>
    <w:pPr>
      <w:ind w:left="420"/>
      <w:spacing w:after="120"/>
    </w:pPr>
  </w:style>
  <w:style w:type="paragraph" w:styleId="1139" w:customStyle="1">
    <w:name w:val="寄信人地址1"/>
    <w:basedOn w:val="824"/>
    <w:uiPriority w:val="0"/>
    <w:qFormat/>
    <w:rPr>
      <w:rFonts w:ascii="Arial" w:hAnsi="Arial" w:cs="Arial"/>
    </w:rPr>
  </w:style>
  <w:style w:type="paragraph" w:styleId="1140" w:customStyle="1">
    <w:name w:val="xl4843"/>
    <w:basedOn w:val="824"/>
    <w:uiPriority w:val="0"/>
    <w:qFormat/>
    <w:pPr>
      <w:jc w:val="left"/>
      <w:spacing w:before="100" w:beforeAutospacing="1" w:after="100" w:afterAutospacing="1" w:line="240" w:lineRule="auto"/>
      <w:widowControl/>
    </w:pPr>
    <w:rPr>
      <w:rFonts w:ascii="宋体" w:hAnsi="宋体" w:cs="宋体"/>
      <w:sz w:val="20"/>
      <w:szCs w:val="20"/>
    </w:rPr>
  </w:style>
  <w:style w:type="paragraph" w:styleId="1141" w:customStyle="1">
    <w:name w:val="sec"/>
    <w:basedOn w:val="824"/>
    <w:uiPriority w:val="0"/>
    <w:qFormat/>
    <w:pPr>
      <w:jc w:val="left"/>
      <w:spacing w:before="100" w:beforeAutospacing="1" w:after="100" w:afterAutospacing="1" w:line="240" w:lineRule="auto"/>
      <w:widowControl/>
    </w:pPr>
    <w:rPr>
      <w:rFonts w:ascii="宋体" w:hAnsi="宋体" w:cs="宋体"/>
      <w:sz w:val="24"/>
    </w:rPr>
  </w:style>
  <w:style w:type="paragraph" w:styleId="1142" w:customStyle="1">
    <w:name w:val="xl71"/>
    <w:basedOn w:val="824"/>
    <w:uiPriority w:val="0"/>
    <w:qFormat/>
    <w:pPr>
      <w:jc w:val="center"/>
      <w:spacing w:before="100" w:beforeAutospacing="1" w:after="100" w:afterAutospacing="1" w:line="240" w:lineRule="auto"/>
      <w:shd w:val="clear" w:color="ff0000"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143" w:customStyle="1">
    <w:name w:val="表格1"/>
    <w:basedOn w:val="824"/>
    <w:uiPriority w:val="0"/>
    <w:qFormat/>
    <w:pPr>
      <w:ind w:left="72" w:right="72"/>
      <w:jc w:val="center"/>
      <w:spacing w:after="60" w:line="240" w:lineRule="auto"/>
    </w:pPr>
    <w:rPr>
      <w:szCs w:val="20"/>
    </w:rPr>
  </w:style>
  <w:style w:type="paragraph" w:styleId="1144" w:customStyle="1">
    <w:name w:val="1.1.1.1.1"/>
    <w:basedOn w:val="828"/>
    <w:uiPriority w:val="0"/>
    <w:qFormat/>
    <w:pPr>
      <w:ind w:left="992"/>
      <w:jc w:val="left"/>
      <w:spacing w:line="360" w:lineRule="auto"/>
      <w:tabs>
        <w:tab w:val="left" w:pos="992" w:leader="none"/>
        <w:tab w:val="left" w:pos="1080" w:leader="none"/>
      </w:tabs>
    </w:pPr>
    <w:rPr>
      <w:rFonts w:ascii="Times New Roman" w:hAnsi="Times New Roman" w:eastAsia="华文中宋"/>
      <w:sz w:val="24"/>
      <w:szCs w:val="28"/>
    </w:rPr>
  </w:style>
  <w:style w:type="paragraph" w:styleId="1145" w:customStyle="1">
    <w:name w:val="文本块1"/>
    <w:basedOn w:val="824"/>
    <w:uiPriority w:val="99"/>
    <w:unhideWhenUsed/>
    <w:qFormat/>
    <w:pPr>
      <w:ind w:left="630" w:right="-609" w:firstLine="420"/>
      <w:spacing w:line="360" w:lineRule="auto"/>
    </w:pPr>
    <w:rPr>
      <w:rFonts w:hint="eastAsia" w:ascii="仿宋_GB2312" w:eastAsia="仿宋_GB2312"/>
      <w:szCs w:val="20"/>
    </w:rPr>
  </w:style>
  <w:style w:type="paragraph" w:styleId="1146" w:customStyle="1">
    <w:name w:val="纯文本5"/>
    <w:basedOn w:val="824"/>
    <w:uiPriority w:val="0"/>
    <w:qFormat/>
    <w:rPr>
      <w:rFonts w:ascii="宋体" w:hAnsi="Courier New" w:eastAsia="楷体_GB2312"/>
      <w:sz w:val="26"/>
      <w:szCs w:val="20"/>
    </w:rPr>
  </w:style>
  <w:style w:type="paragraph" w:styleId="1147" w:customStyle="1">
    <w:name w:val="page_title"/>
    <w:basedOn w:val="824"/>
    <w:uiPriority w:val="0"/>
    <w:qFormat/>
    <w:pPr>
      <w:jc w:val="center"/>
      <w:spacing w:after="0" w:line="390" w:lineRule="atLeast"/>
    </w:pPr>
    <w:rPr>
      <w:rFonts w:ascii="微软雅黑" w:hAnsi="微软雅黑" w:eastAsia="微软雅黑"/>
      <w:sz w:val="33"/>
      <w:szCs w:val="33"/>
    </w:rPr>
  </w:style>
  <w:style w:type="paragraph" w:styleId="1148" w:customStyle="1">
    <w:name w:val="Char"/>
    <w:basedOn w:val="843"/>
    <w:uiPriority w:val="0"/>
    <w:qFormat/>
    <w:pPr>
      <w:spacing w:line="360" w:lineRule="auto"/>
    </w:pPr>
    <w:rPr>
      <w:rFonts w:ascii="Tahoma" w:hAnsi="Tahoma" w:eastAsia="宋体"/>
      <w:sz w:val="24"/>
      <w:szCs w:val="24"/>
    </w:rPr>
  </w:style>
  <w:style w:type="paragraph" w:styleId="1149" w:customStyle="1">
    <w:name w:val="默认段落字体 Para Char Char Char Char Char Char Char Char Char1 Char Char Char Char"/>
    <w:basedOn w:val="824"/>
    <w:uiPriority w:val="0"/>
    <w:qFormat/>
    <w:pPr>
      <w:jc w:val="left"/>
      <w:spacing w:after="0" w:line="240" w:lineRule="auto"/>
      <w:widowControl/>
    </w:pPr>
    <w:rPr>
      <w:rFonts w:ascii="Tahoma" w:hAnsi="Tahoma"/>
      <w:sz w:val="24"/>
      <w:szCs w:val="20"/>
    </w:rPr>
  </w:style>
  <w:style w:type="paragraph" w:styleId="1150" w:customStyle="1">
    <w:name w:val="xl65"/>
    <w:basedOn w:val="82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18"/>
      <w:szCs w:val="18"/>
    </w:rPr>
  </w:style>
  <w:style w:type="paragraph" w:styleId="1151" w:customStyle="1">
    <w:name w:val="Table Text"/>
    <w:basedOn w:val="824"/>
    <w:uiPriority w:val="0"/>
    <w:semiHidden/>
    <w:qFormat/>
    <w:pPr>
      <w:jc w:val="left"/>
      <w:spacing w:line="240" w:lineRule="auto"/>
      <w:widowControl/>
    </w:pPr>
    <w:rPr>
      <w:rFonts w:ascii="宋体" w:hAnsi="宋体" w:cs="宋体"/>
      <w:color w:val="000000"/>
      <w:sz w:val="24"/>
      <w:lang w:eastAsia="en-US"/>
    </w:rPr>
  </w:style>
  <w:style w:type="paragraph" w:styleId="1152" w:customStyle="1">
    <w:name w:val="Char1"/>
    <w:basedOn w:val="824"/>
    <w:uiPriority w:val="0"/>
    <w:qFormat/>
    <w:pPr>
      <w:ind w:left="-62" w:right="36"/>
      <w:jc w:val="left"/>
      <w:spacing w:line="240" w:lineRule="exact"/>
      <w:widowControl/>
    </w:pPr>
    <w:rPr>
      <w:rFonts w:ascii="Arial" w:hAnsi="Arial" w:eastAsia="Times New Roman"/>
      <w:sz w:val="20"/>
      <w:szCs w:val="20"/>
      <w:lang w:eastAsia="en-US"/>
    </w:rPr>
  </w:style>
  <w:style w:type="paragraph" w:styleId="1153" w:customStyle="1">
    <w:name w:val="Sangría 1"/>
    <w:basedOn w:val="824"/>
    <w:uiPriority w:val="99"/>
    <w:qFormat/>
    <w:pPr>
      <w:ind w:left="993" w:hanging="1764"/>
      <w:spacing w:before="80" w:after="80" w:line="240" w:lineRule="auto"/>
      <w:widowControl/>
      <w:tabs>
        <w:tab w:val="left" w:pos="993" w:leader="none"/>
        <w:tab w:val="left" w:pos="1764" w:leader="none"/>
        <w:tab w:val="right" w:pos="7513" w:leader="none"/>
      </w:tabs>
    </w:pPr>
    <w:rPr>
      <w:rFonts w:ascii="Verdana" w:hAnsi="Verdana" w:eastAsia="Times New Roman"/>
      <w:sz w:val="18"/>
      <w:szCs w:val="20"/>
      <w:lang w:val="en-GB"/>
    </w:rPr>
  </w:style>
  <w:style w:type="paragraph" w:styleId="1154" w:customStyle="1">
    <w:name w:val="font12"/>
    <w:basedOn w:val="824"/>
    <w:uiPriority w:val="0"/>
    <w:qFormat/>
    <w:pPr>
      <w:jc w:val="left"/>
      <w:spacing w:before="100" w:beforeAutospacing="1" w:after="100" w:afterAutospacing="1" w:line="240" w:lineRule="auto"/>
      <w:widowControl/>
    </w:pPr>
    <w:rPr>
      <w:rFonts w:ascii="宋体" w:hAnsi="宋体" w:cs="宋体"/>
      <w:sz w:val="18"/>
      <w:szCs w:val="18"/>
    </w:rPr>
  </w:style>
  <w:style w:type="paragraph" w:styleId="1155" w:customStyle="1">
    <w:name w:val="xl4841"/>
    <w:basedOn w:val="82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6" w:customStyle="1">
    <w:name w:val="1"/>
    <w:basedOn w:val="824"/>
    <w:uiPriority w:val="0"/>
    <w:qFormat/>
    <w:pPr>
      <w:jc w:val="left"/>
      <w:spacing w:line="240" w:lineRule="exact"/>
      <w:widowControl/>
    </w:pPr>
    <w:rPr>
      <w:rFonts w:ascii="Verdana" w:hAnsi="Verdana"/>
      <w:sz w:val="20"/>
      <w:szCs w:val="20"/>
      <w:lang w:eastAsia="en-US"/>
    </w:rPr>
  </w:style>
  <w:style w:type="paragraph" w:styleId="1157" w:customStyle="1">
    <w:name w:val="Table Paragraph"/>
    <w:basedOn w:val="824"/>
    <w:uiPriority w:val="1"/>
    <w:qFormat/>
    <w:pPr>
      <w:spacing w:after="0" w:line="240" w:lineRule="auto"/>
    </w:pPr>
    <w:rPr>
      <w:rFonts w:ascii="仿宋" w:hAnsi="仿宋" w:eastAsia="仿宋" w:cs="仿宋"/>
      <w:lang w:val="zh-CN" w:bidi="zh-CN"/>
    </w:rPr>
  </w:style>
  <w:style w:type="paragraph" w:styleId="1158" w:customStyle="1">
    <w:name w:val="xl73"/>
    <w:basedOn w:val="824"/>
    <w:uiPriority w:val="0"/>
    <w:qFormat/>
    <w:pPr>
      <w:jc w:val="center"/>
      <w:spacing w:before="100" w:beforeAutospacing="1" w:after="100" w:afterAutospacing="1" w:line="240" w:lineRule="auto"/>
      <w:shd w:val="clear" w:color="ff0000" w:fill="ffffff"/>
      <w:widowControl/>
      <w:pBdr>
        <w:top w:val="single" w:color="000000" w:sz="8" w:space="0"/>
        <w:left w:val="single" w:color="000000" w:sz="4" w:space="0"/>
        <w:right w:val="single" w:color="000000" w:sz="4" w:space="0"/>
      </w:pBdr>
    </w:pPr>
    <w:rPr>
      <w:rFonts w:ascii="黑体" w:hAnsi="黑体" w:eastAsia="黑体" w:cs="宋体"/>
      <w:color w:val="000000"/>
      <w:szCs w:val="21"/>
    </w:rPr>
  </w:style>
  <w:style w:type="paragraph" w:styleId="1159" w:customStyle="1">
    <w:name w:val="xl68"/>
    <w:basedOn w:val="824"/>
    <w:uiPriority w:val="0"/>
    <w:qFormat/>
    <w:pP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w:hAnsi="Arial" w:cs="Arial"/>
      <w:color w:val="000000"/>
      <w:sz w:val="18"/>
      <w:szCs w:val="18"/>
    </w:rPr>
  </w:style>
  <w:style w:type="paragraph" w:styleId="1160" w:customStyle="1">
    <w:name w:val="xl4837"/>
    <w:basedOn w:val="82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1" w:customStyle="1">
    <w:name w:val="xl74"/>
    <w:basedOn w:val="824"/>
    <w:uiPriority w:val="0"/>
    <w:qFormat/>
    <w:pPr>
      <w:jc w:val="left"/>
      <w:spacing w:before="100" w:beforeAutospacing="1" w:after="100" w:afterAutospacing="1" w:line="240" w:lineRule="auto"/>
      <w:shd w:val="clear" w:color="ff0000"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162" w:customStyle="1">
    <w:name w:val="目录 11"/>
    <w:basedOn w:val="824"/>
    <w:next w:val="824"/>
    <w:uiPriority w:val="39"/>
    <w:unhideWhenUsed/>
    <w:qFormat/>
    <w:pPr>
      <w:jc w:val="left"/>
    </w:pPr>
    <w:rPr>
      <w:rFonts w:eastAsia="楷体_GB2312"/>
      <w:sz w:val="24"/>
      <w:szCs w:val="20"/>
    </w:rPr>
  </w:style>
  <w:style w:type="paragraph" w:styleId="1163" w:customStyle="1">
    <w:name w:val="纯文本8"/>
    <w:basedOn w:val="824"/>
    <w:uiPriority w:val="0"/>
    <w:qFormat/>
    <w:pPr>
      <w:spacing w:line="240" w:lineRule="auto"/>
    </w:pPr>
    <w:rPr>
      <w:rFonts w:ascii="宋体" w:hAnsi="Courier New"/>
    </w:rPr>
  </w:style>
  <w:style w:type="paragraph" w:styleId="1164" w:customStyle="1">
    <w:name w:val="寄信人地址2"/>
    <w:basedOn w:val="824"/>
    <w:uiPriority w:val="0"/>
    <w:qFormat/>
    <w:rPr>
      <w:sz w:val="26"/>
    </w:rPr>
  </w:style>
  <w:style w:type="paragraph" w:styleId="1165" w:customStyle="1">
    <w:name w:val="纯文本10"/>
    <w:basedOn w:val="824"/>
    <w:uiPriority w:val="0"/>
    <w:qFormat/>
    <w:pPr>
      <w:jc w:val="left"/>
      <w:spacing w:line="240" w:lineRule="auto"/>
    </w:pPr>
    <w:rPr>
      <w:rFonts w:ascii="宋体" w:hAnsi="Courier New"/>
      <w:sz w:val="28"/>
    </w:rPr>
  </w:style>
  <w:style w:type="paragraph" w:styleId="1166" w:customStyle="1">
    <w:name w:val="正文 A"/>
    <w:uiPriority w:val="0"/>
    <w:qFormat/>
    <w:pPr>
      <w:jc w:val="both"/>
      <w:spacing w:after="160" w:line="278" w:lineRule="auto"/>
      <w:widowControl w:val="off"/>
      <w:framePr w:wrap="around" w:vAnchor="margin" w:hAnchor="text" w:yAlign="top"/>
    </w:pPr>
    <w:rPr>
      <w:rFonts w:hint="default" w:ascii="Times New Roman" w:hAnsi="Arial Unicode MS" w:eastAsia="Arial Unicode MS" w:cs="Arial Unicode MS"/>
      <w:color w:val="000000"/>
      <w:sz w:val="21"/>
      <w:szCs w:val="21"/>
    </w:rPr>
  </w:style>
  <w:style w:type="paragraph" w:styleId="1167" w:customStyle="1">
    <w:name w:val="列出段落1"/>
    <w:basedOn w:val="824"/>
    <w:uiPriority w:val="99"/>
    <w:qFormat/>
    <w:pPr>
      <w:ind w:firstLine="420"/>
    </w:pPr>
  </w:style>
  <w:style w:type="paragraph" w:styleId="1168" w:customStyle="1">
    <w:name w:val="_Style 5"/>
    <w:basedOn w:val="824"/>
    <w:uiPriority w:val="0"/>
    <w:qFormat/>
    <w:pPr>
      <w:contextualSpacing/>
      <w:ind w:left="720"/>
      <w:jc w:val="left"/>
      <w:spacing w:after="0" w:line="240" w:lineRule="auto"/>
      <w:widowControl/>
    </w:pPr>
    <w:rPr>
      <w:sz w:val="24"/>
      <w:lang w:eastAsia="en-US"/>
    </w:rPr>
  </w:style>
  <w:style w:type="paragraph" w:styleId="1169" w:customStyle="1">
    <w:name w:val="Char Char Char11"/>
    <w:basedOn w:val="824"/>
    <w:uiPriority w:val="0"/>
    <w:qFormat/>
    <w:pPr>
      <w:spacing w:after="0" w:line="240" w:lineRule="auto"/>
    </w:pPr>
  </w:style>
  <w:style w:type="paragraph" w:styleId="1170" w:customStyle="1">
    <w:name w:val="BodyTextIndent1"/>
    <w:basedOn w:val="824"/>
    <w:uiPriority w:val="0"/>
    <w:qFormat/>
    <w:pPr>
      <w:ind w:firstLine="560"/>
      <w:jc w:val="left"/>
      <w:spacing w:after="0" w:line="300" w:lineRule="auto"/>
    </w:pPr>
    <w:rPr>
      <w:sz w:val="28"/>
    </w:rPr>
  </w:style>
  <w:style w:type="paragraph" w:styleId="1171" w:customStyle="1">
    <w:name w:val="Char Char Char1 Char Char Char Char"/>
    <w:basedOn w:val="824"/>
    <w:uiPriority w:val="0"/>
    <w:qFormat/>
    <w:pPr>
      <w:jc w:val="left"/>
      <w:spacing w:line="240" w:lineRule="exact"/>
      <w:widowControl/>
    </w:pPr>
    <w:rPr>
      <w:sz w:val="24"/>
    </w:rPr>
  </w:style>
  <w:style w:type="paragraph" w:styleId="1172" w:customStyle="1">
    <w:name w:val="列表段落1"/>
    <w:basedOn w:val="824"/>
    <w:uiPriority w:val="34"/>
    <w:qFormat/>
    <w:pPr>
      <w:ind w:firstLine="420"/>
      <w:jc w:val="left"/>
      <w:spacing w:after="0" w:line="240" w:lineRule="auto"/>
      <w:widowControl/>
    </w:pPr>
    <w:rPr>
      <w:sz w:val="24"/>
    </w:rPr>
  </w:style>
  <w:style w:type="paragraph" w:styleId="1173" w:customStyle="1">
    <w:name w:val="纯文本4"/>
    <w:basedOn w:val="824"/>
    <w:uiPriority w:val="0"/>
    <w:qFormat/>
    <w:rPr>
      <w:rFonts w:ascii="宋体" w:hAnsi="Courier New" w:eastAsia="楷体_GB2312"/>
      <w:sz w:val="26"/>
      <w:szCs w:val="20"/>
    </w:rPr>
  </w:style>
  <w:style w:type="paragraph" w:styleId="1174" w:customStyle="1">
    <w:name w:val="xl70"/>
    <w:basedOn w:val="824"/>
    <w:uiPriority w:val="0"/>
    <w:qFormat/>
    <w:pPr>
      <w:jc w:val="center"/>
      <w:spacing w:before="100" w:beforeAutospacing="1" w:after="100" w:afterAutospacing="1" w:line="240" w:lineRule="auto"/>
      <w:shd w:val="clear" w:color="ff0000"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75" w:customStyle="1">
    <w:name w:val="文档结构图1"/>
    <w:basedOn w:val="824"/>
    <w:uiPriority w:val="0"/>
    <w:semiHidden/>
    <w:qFormat/>
    <w:pPr>
      <w:shd w:val="clear" w:color="auto" w:fill="000080"/>
    </w:pPr>
  </w:style>
  <w:style w:type="paragraph" w:styleId="1176" w:customStyle="1">
    <w:name w:val="xl66"/>
    <w:basedOn w:val="82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77" w:customStyle="1">
    <w:name w:val="xl72"/>
    <w:basedOn w:val="824"/>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78" w:customStyle="1">
    <w:name w:val="Char Char Char"/>
    <w:basedOn w:val="843"/>
    <w:uiPriority w:val="0"/>
    <w:qFormat/>
    <w:pPr>
      <w:spacing w:line="360" w:lineRule="auto"/>
    </w:pPr>
    <w:rPr>
      <w:rFonts w:ascii="Tahoma" w:hAnsi="Tahoma" w:eastAsia="宋体"/>
      <w:sz w:val="24"/>
      <w:szCs w:val="24"/>
    </w:rPr>
  </w:style>
  <w:style w:type="paragraph" w:styleId="1179" w:customStyle="1">
    <w:name w:val="Style1"/>
    <w:basedOn w:val="824"/>
    <w:uiPriority w:val="0"/>
    <w:qFormat/>
    <w:pPr>
      <w:widowControl/>
      <w:tabs>
        <w:tab w:val="left" w:pos="-720" w:leader="none"/>
      </w:tabs>
    </w:pPr>
    <w:rPr>
      <w:spacing w:val="-3"/>
      <w:sz w:val="24"/>
      <w:lang w:val="en-AU" w:eastAsia="en-US"/>
    </w:rPr>
  </w:style>
  <w:style w:type="paragraph" w:styleId="1180" w:customStyle="1">
    <w:name w:val="_Style 59"/>
    <w:basedOn w:val="824"/>
    <w:next w:val="824"/>
    <w:uiPriority w:val="0"/>
    <w:qFormat/>
    <w:pPr>
      <w:spacing w:after="200" w:line="240" w:lineRule="auto"/>
    </w:pPr>
    <w:rPr>
      <w:rFonts w:ascii="Tahoma" w:hAnsi="Tahoma"/>
      <w:sz w:val="22"/>
    </w:rPr>
  </w:style>
  <w:style w:type="paragraph" w:styleId="1181" w:customStyle="1">
    <w:name w:val="xl4834"/>
    <w:basedOn w:val="824"/>
    <w:uiPriority w:val="0"/>
    <w:qFormat/>
    <w:pPr>
      <w:jc w:val="left"/>
      <w:spacing w:before="100" w:beforeAutospacing="1" w:after="100" w:afterAutospacing="1" w:line="240" w:lineRule="auto"/>
      <w:widowControl/>
    </w:pPr>
    <w:rPr>
      <w:rFonts w:ascii="宋体" w:hAnsi="宋体" w:cs="宋体"/>
      <w:sz w:val="20"/>
      <w:szCs w:val="20"/>
    </w:rPr>
  </w:style>
  <w:style w:type="paragraph" w:styleId="1182" w:customStyle="1">
    <w:name w:val="xl4835"/>
    <w:basedOn w:val="82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3" w:customStyle="1">
    <w:name w:val="正文缩进1"/>
    <w:basedOn w:val="824"/>
    <w:next w:val="824"/>
    <w:uiPriority w:val="0"/>
    <w:qFormat/>
    <w:pPr>
      <w:ind w:firstLine="420"/>
    </w:pPr>
    <w:rPr>
      <w:rFonts w:eastAsia="楷体_GB2312"/>
      <w:sz w:val="24"/>
    </w:rPr>
  </w:style>
  <w:style w:type="paragraph" w:styleId="1184" w:customStyle="1">
    <w:name w:val="Char Char Char1 Char Char Char Char1"/>
    <w:basedOn w:val="824"/>
    <w:uiPriority w:val="0"/>
    <w:qFormat/>
    <w:pPr>
      <w:jc w:val="left"/>
      <w:spacing w:line="240" w:lineRule="exact"/>
      <w:widowControl/>
    </w:pPr>
    <w:rPr>
      <w:sz w:val="24"/>
    </w:rPr>
  </w:style>
  <w:style w:type="paragraph" w:styleId="1185" w:customStyle="1">
    <w:name w:val="Char Char Char1"/>
    <w:basedOn w:val="824"/>
    <w:uiPriority w:val="0"/>
    <w:qFormat/>
    <w:pPr>
      <w:spacing w:after="0" w:line="240" w:lineRule="auto"/>
    </w:pPr>
    <w:rPr>
      <w:rFonts w:ascii="Tahoma" w:hAnsi="Tahoma"/>
      <w:sz w:val="24"/>
      <w:szCs w:val="20"/>
    </w:rPr>
  </w:style>
  <w:style w:type="paragraph" w:styleId="1186" w:customStyle="1">
    <w:name w:val="xl4840"/>
    <w:basedOn w:val="82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7" w:customStyle="1">
    <w:name w:val="font10"/>
    <w:basedOn w:val="824"/>
    <w:uiPriority w:val="0"/>
    <w:qFormat/>
    <w:pPr>
      <w:jc w:val="left"/>
      <w:spacing w:before="100" w:beforeAutospacing="1" w:after="100" w:afterAutospacing="1" w:line="240" w:lineRule="auto"/>
      <w:widowControl/>
    </w:pPr>
    <w:rPr>
      <w:rFonts w:ascii="宋体" w:hAnsi="宋体" w:cs="宋体"/>
      <w:sz w:val="18"/>
      <w:szCs w:val="18"/>
    </w:rPr>
  </w:style>
  <w:style w:type="paragraph" w:styleId="1188" w:customStyle="1">
    <w:name w:val="style1"/>
    <w:basedOn w:val="824"/>
    <w:uiPriority w:val="0"/>
    <w:qFormat/>
    <w:pPr>
      <w:jc w:val="left"/>
      <w:spacing w:before="100" w:beforeAutospacing="1" w:after="100" w:afterAutospacing="1" w:line="240" w:lineRule="auto"/>
      <w:widowControl/>
    </w:pPr>
    <w:rPr>
      <w:rFonts w:ascii="宋体" w:hAnsi="宋体" w:cs="宋体"/>
      <w:sz w:val="24"/>
    </w:rPr>
  </w:style>
  <w:style w:type="paragraph" w:styleId="1189" w:customStyle="1">
    <w:name w:val="xl69"/>
    <w:basedOn w:val="824"/>
    <w:uiPriority w:val="0"/>
    <w:qFormat/>
    <w:pPr>
      <w:jc w:val="righ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90" w:customStyle="1">
    <w:name w:val="标题L"/>
    <w:basedOn w:val="824"/>
    <w:uiPriority w:val="0"/>
    <w:qFormat/>
    <w:pPr>
      <w:jc w:val="center"/>
      <w:spacing w:after="0" w:line="520" w:lineRule="exact"/>
    </w:pPr>
    <w:rPr>
      <w:rFonts w:eastAsia="文鼎大标宋简"/>
      <w:sz w:val="36"/>
      <w:szCs w:val="20"/>
    </w:rPr>
  </w:style>
  <w:style w:type="paragraph" w:styleId="1191" w:customStyle="1">
    <w:name w:val="Default"/>
    <w:uiPriority w:val="0"/>
    <w:qFormat/>
    <w:pPr>
      <w:spacing w:after="160" w:line="278" w:lineRule="auto"/>
      <w:widowControl w:val="off"/>
    </w:pPr>
    <w:rPr>
      <w:rFonts w:hint="default" w:ascii="黑体" w:hAnsi="Times New Roman" w:eastAsia="黑体" w:cs="黑体"/>
      <w:color w:val="000000"/>
      <w:sz w:val="24"/>
      <w:szCs w:val="24"/>
    </w:rPr>
  </w:style>
  <w:style w:type="paragraph" w:styleId="1192" w:customStyle="1">
    <w:name w:val="脚注文本1"/>
    <w:basedOn w:val="1047"/>
    <w:next w:val="1145"/>
    <w:uiPriority w:val="99"/>
    <w:unhideWhenUsed/>
    <w:qFormat/>
    <w:pPr>
      <w:ind w:firstLine="3584"/>
      <w:spacing w:before="0" w:after="0" w:line="360" w:lineRule="auto"/>
    </w:pPr>
    <w:rPr>
      <w:sz w:val="21"/>
      <w:szCs w:val="24"/>
    </w:rPr>
  </w:style>
  <w:style w:type="paragraph" w:styleId="1193" w:customStyle="1">
    <w:name w:val="默认段落字体 Para Char Char Char Char Char Char Char"/>
    <w:basedOn w:val="824"/>
    <w:uiPriority w:val="0"/>
    <w:qFormat/>
    <w:pPr>
      <w:spacing w:after="0" w:line="360" w:lineRule="auto"/>
    </w:pPr>
    <w:rPr>
      <w:rFonts w:ascii="Tahoma" w:hAnsi="Tahoma"/>
      <w:sz w:val="24"/>
      <w:szCs w:val="20"/>
    </w:rPr>
  </w:style>
  <w:style w:type="paragraph" w:styleId="1194" w:customStyle="1">
    <w:name w:val="首行缩进"/>
    <w:basedOn w:val="824"/>
    <w:uiPriority w:val="99"/>
    <w:qFormat/>
    <w:pPr>
      <w:ind w:firstLine="480"/>
    </w:pPr>
    <w:rPr>
      <w:rFonts w:eastAsia="楷体_GB2312"/>
      <w:sz w:val="28"/>
      <w:szCs w:val="20"/>
      <w:lang w:val="zh-CN"/>
    </w:rPr>
  </w:style>
  <w:style w:type="paragraph" w:styleId="1195" w:customStyle="1">
    <w:name w:val="luzhi 正文"/>
    <w:basedOn w:val="824"/>
    <w:uiPriority w:val="0"/>
    <w:qFormat/>
    <w:pPr>
      <w:ind w:firstLine="560"/>
      <w:spacing w:after="0" w:line="360" w:lineRule="auto"/>
    </w:pPr>
    <w:rPr>
      <w:rFonts w:hAnsi="宋体" w:cs="宋体"/>
      <w:sz w:val="28"/>
      <w:szCs w:val="20"/>
    </w:rPr>
  </w:style>
  <w:style w:type="paragraph" w:styleId="1196" w:customStyle="1">
    <w:name w:val="font7"/>
    <w:basedOn w:val="824"/>
    <w:uiPriority w:val="0"/>
    <w:qFormat/>
    <w:pPr>
      <w:jc w:val="left"/>
      <w:spacing w:before="100" w:beforeAutospacing="1" w:after="100" w:afterAutospacing="1" w:line="240" w:lineRule="auto"/>
      <w:widowControl/>
    </w:pPr>
    <w:rPr>
      <w:rFonts w:ascii="宋体" w:hAnsi="宋体" w:cs="宋体"/>
      <w:sz w:val="18"/>
      <w:szCs w:val="18"/>
    </w:rPr>
  </w:style>
  <w:style w:type="paragraph" w:styleId="1197" w:customStyle="1">
    <w:name w:val="Char Char"/>
    <w:basedOn w:val="824"/>
    <w:uiPriority w:val="0"/>
    <w:qFormat/>
    <w:pPr>
      <w:ind w:firstLine="200"/>
      <w:spacing w:after="0" w:line="360" w:lineRule="auto"/>
    </w:pPr>
    <w:rPr>
      <w:rFonts w:eastAsia="楷体_GB2312"/>
      <w:sz w:val="28"/>
      <w:szCs w:val="20"/>
    </w:rPr>
  </w:style>
  <w:style w:type="paragraph" w:styleId="1198" w:customStyle="1">
    <w:name w:val="p0"/>
    <w:basedOn w:val="824"/>
    <w:uiPriority w:val="0"/>
    <w:qFormat/>
    <w:pPr>
      <w:jc w:val="left"/>
      <w:spacing w:after="0" w:line="240" w:lineRule="auto"/>
      <w:widowControl/>
    </w:pPr>
    <w:rPr>
      <w:rFonts w:ascii="宋体" w:hAnsi="宋体" w:cs="宋体"/>
      <w:sz w:val="24"/>
    </w:rPr>
  </w:style>
  <w:style w:type="paragraph" w:styleId="1199" w:customStyle="1">
    <w:name w:val="列出段落12"/>
    <w:basedOn w:val="824"/>
    <w:uiPriority w:val="0"/>
    <w:qFormat/>
    <w:pPr>
      <w:ind w:firstLine="420"/>
      <w:spacing w:after="0" w:line="240" w:lineRule="auto"/>
    </w:pPr>
    <w:rPr>
      <w:rFonts w:ascii="宋体" w:hAnsi="宋体"/>
      <w:sz w:val="24"/>
    </w:rPr>
  </w:style>
  <w:style w:type="paragraph" w:styleId="1200" w:customStyle="1">
    <w:name w:val="+正文"/>
    <w:basedOn w:val="824"/>
    <w:uiPriority w:val="0"/>
    <w:qFormat/>
    <w:pPr>
      <w:ind w:firstLine="200"/>
    </w:pPr>
    <w:rPr>
      <w:sz w:val="24"/>
    </w:rPr>
  </w:style>
  <w:style w:type="paragraph" w:styleId="1201" w:customStyle="1">
    <w:name w:val="xl67"/>
    <w:basedOn w:val="82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02" w:customStyle="1">
    <w:name w:val="纯文本6"/>
    <w:basedOn w:val="824"/>
    <w:uiPriority w:val="0"/>
    <w:qFormat/>
    <w:rPr>
      <w:rFonts w:ascii="宋体" w:hAnsi="Courier New" w:eastAsia="楷体_GB2312"/>
      <w:sz w:val="26"/>
      <w:szCs w:val="20"/>
    </w:rPr>
  </w:style>
  <w:style w:type="paragraph" w:styleId="1203" w:customStyle="1">
    <w:name w:val="规范正文"/>
    <w:basedOn w:val="824"/>
    <w:uiPriority w:val="0"/>
    <w:qFormat/>
    <w:pPr>
      <w:ind w:left="480"/>
      <w:spacing w:after="0" w:line="360" w:lineRule="auto"/>
    </w:pPr>
    <w:rPr>
      <w:sz w:val="24"/>
      <w:szCs w:val="20"/>
    </w:rPr>
  </w:style>
  <w:style w:type="paragraph" w:styleId="1204" w:customStyle="1">
    <w:name w:val="Char Char Char Char1"/>
    <w:basedOn w:val="824"/>
    <w:uiPriority w:val="0"/>
    <w:qFormat/>
    <w:pPr>
      <w:ind w:firstLine="200"/>
      <w:spacing w:after="0" w:line="360" w:lineRule="auto"/>
    </w:pPr>
    <w:rPr>
      <w:rFonts w:ascii="Tahoma" w:hAnsi="Tahoma"/>
      <w:sz w:val="24"/>
      <w:szCs w:val="20"/>
    </w:rPr>
  </w:style>
  <w:style w:type="paragraph" w:styleId="1205" w:customStyle="1">
    <w:name w:val="TOC 标题1"/>
    <w:uiPriority w:val="39"/>
    <w:unhideWhenUsed/>
    <w:qFormat/>
    <w:pPr>
      <w:spacing w:after="160" w:line="278" w:lineRule="auto"/>
    </w:pPr>
    <w:rPr>
      <w:rFonts w:hint="default" w:ascii="Times New Roman" w:hAnsi="Times New Roman" w:eastAsia="宋体" w:cs="Times New Roman"/>
    </w:rPr>
  </w:style>
  <w:style w:type="paragraph" w:styleId="1206" w:customStyle="1">
    <w:name w:val="HTML 预设格式1"/>
    <w:basedOn w:val="824"/>
    <w:uiPriority w:val="0"/>
    <w:qFormat/>
    <w:pPr>
      <w:jc w:val="left"/>
      <w:spacing w:after="0"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207" w:customStyle="1">
    <w:name w:val="_正文段落"/>
    <w:basedOn w:val="824"/>
    <w:uiPriority w:val="0"/>
    <w:qFormat/>
    <w:pPr>
      <w:ind w:firstLine="480"/>
    </w:pPr>
    <w:rPr>
      <w:rFonts w:ascii="宋体" w:hAnsi="宋体"/>
      <w:sz w:val="24"/>
    </w:rPr>
  </w:style>
  <w:style w:type="paragraph" w:styleId="1208" w:customStyle="1">
    <w:name w:val="Char Char Char Char"/>
    <w:basedOn w:val="824"/>
    <w:uiPriority w:val="0"/>
    <w:qFormat/>
    <w:pPr>
      <w:ind w:firstLine="200"/>
      <w:spacing w:after="0" w:line="360" w:lineRule="auto"/>
    </w:pPr>
    <w:rPr>
      <w:rFonts w:ascii="Tahoma" w:hAnsi="Tahoma"/>
      <w:sz w:val="24"/>
      <w:szCs w:val="20"/>
    </w:rPr>
  </w:style>
  <w:style w:type="paragraph" w:styleId="1209" w:customStyle="1">
    <w:name w:val="列出段落5"/>
    <w:basedOn w:val="824"/>
    <w:uiPriority w:val="99"/>
    <w:qFormat/>
    <w:pPr>
      <w:ind w:firstLine="420"/>
      <w:jc w:val="left"/>
      <w:widowControl/>
    </w:pPr>
    <w:rPr>
      <w:sz w:val="24"/>
    </w:rPr>
  </w:style>
  <w:style w:type="paragraph" w:styleId="1210" w:customStyle="1">
    <w:name w:val="Body text|1"/>
    <w:basedOn w:val="824"/>
    <w:uiPriority w:val="0"/>
    <w:qFormat/>
    <w:pPr>
      <w:ind w:left="190" w:firstLine="650"/>
      <w:jc w:val="left"/>
      <w:spacing w:after="270" w:line="590" w:lineRule="exact"/>
    </w:pPr>
    <w:rPr>
      <w:rFonts w:ascii="宋体" w:hAnsi="宋体" w:cs="宋体"/>
      <w:sz w:val="20"/>
      <w:szCs w:val="22"/>
      <w:lang w:val="zh-TW" w:eastAsia="zh-TW" w:bidi="zh-TW"/>
    </w:rPr>
  </w:style>
  <w:style w:type="paragraph" w:styleId="1211" w:customStyle="1">
    <w:name w:val="纯文本2"/>
    <w:basedOn w:val="824"/>
    <w:uiPriority w:val="0"/>
    <w:qFormat/>
    <w:rPr>
      <w:rFonts w:ascii="宋体" w:hAnsi="Courier New"/>
    </w:rPr>
  </w:style>
  <w:style w:type="paragraph" w:styleId="1212" w:customStyle="1">
    <w:name w:val="xl4838"/>
    <w:basedOn w:val="824"/>
    <w:uiPriority w:val="0"/>
    <w:qFormat/>
    <w:pPr>
      <w:jc w:val="center"/>
      <w:spacing w:before="100" w:beforeAutospacing="1" w:after="100" w:afterAutospacing="1" w:line="240" w:lineRule="auto"/>
      <w:widowControl/>
    </w:pPr>
    <w:rPr>
      <w:rFonts w:ascii="宋体" w:hAnsi="宋体" w:cs="宋体"/>
      <w:sz w:val="20"/>
      <w:szCs w:val="20"/>
    </w:rPr>
  </w:style>
  <w:style w:type="paragraph" w:styleId="1213" w:customStyle="1">
    <w:name w:val="列出段落11"/>
    <w:basedOn w:val="824"/>
    <w:uiPriority w:val="34"/>
    <w:qFormat/>
    <w:pPr>
      <w:ind w:firstLine="420"/>
      <w:spacing w:after="0" w:line="240" w:lineRule="auto"/>
    </w:pPr>
    <w:rPr>
      <w:rFonts w:ascii="华文楷体" w:hAnsi="华文楷体" w:eastAsia="华文楷体"/>
      <w:szCs w:val="20"/>
    </w:rPr>
  </w:style>
  <w:style w:type="paragraph" w:styleId="1214" w:customStyle="1">
    <w:name w:val="font6"/>
    <w:basedOn w:val="824"/>
    <w:uiPriority w:val="0"/>
    <w:qFormat/>
    <w:pPr>
      <w:jc w:val="left"/>
      <w:spacing w:before="100" w:beforeAutospacing="1" w:after="100" w:afterAutospacing="1" w:line="240" w:lineRule="auto"/>
      <w:widowControl/>
    </w:pPr>
    <w:rPr>
      <w:rFonts w:ascii="宋体" w:hAnsi="宋体" w:cs="宋体"/>
      <w:color w:val="dbeef3"/>
      <w:sz w:val="18"/>
      <w:szCs w:val="18"/>
    </w:rPr>
  </w:style>
  <w:style w:type="paragraph" w:styleId="1215" w:customStyle="1">
    <w:name w:val="Char2 Char Char Char Char Char Char Char Char Char"/>
    <w:basedOn w:val="824"/>
    <w:uiPriority w:val="0"/>
    <w:qFormat/>
    <w:pPr>
      <w:ind w:firstLine="200"/>
      <w:spacing w:after="0" w:line="360" w:lineRule="auto"/>
    </w:pPr>
    <w:rPr>
      <w:rFonts w:ascii="Tahoma" w:hAnsi="Tahoma"/>
      <w:sz w:val="24"/>
      <w:szCs w:val="20"/>
    </w:rPr>
  </w:style>
  <w:style w:type="paragraph" w:styleId="1216" w:customStyle="1">
    <w:name w:val="xl75"/>
    <w:basedOn w:val="824"/>
    <w:uiPriority w:val="0"/>
    <w:qFormat/>
    <w:pPr>
      <w:jc w:val="left"/>
      <w:spacing w:before="100" w:beforeAutospacing="1" w:after="100" w:afterAutospacing="1" w:line="240" w:lineRule="auto"/>
      <w:shd w:val="clear" w:color="000000" w:fill="ffffff"/>
      <w:widowControl/>
      <w:pBdr>
        <w:top w:val="single" w:color="000000" w:sz="4" w:space="0"/>
        <w:left w:val="single" w:color="000000" w:sz="4" w:space="0"/>
        <w:right w:val="single" w:color="000000" w:sz="4" w:space="0"/>
      </w:pBdr>
    </w:pPr>
    <w:rPr>
      <w:rFonts w:ascii="宋体" w:hAnsi="宋体" w:cs="宋体"/>
      <w:color w:val="000000"/>
      <w:szCs w:val="21"/>
    </w:rPr>
  </w:style>
  <w:style w:type="paragraph" w:styleId="1217" w:customStyle="1">
    <w:name w:val="正文 New New New New"/>
    <w:uiPriority w:val="0"/>
    <w:qFormat/>
    <w:pPr>
      <w:jc w:val="both"/>
      <w:spacing w:after="160" w:line="278" w:lineRule="auto"/>
      <w:widowControl w:val="off"/>
    </w:pPr>
    <w:rPr>
      <w:rFonts w:hint="default" w:ascii="Times New Roman" w:hAnsi="Times New Roman" w:eastAsia="宋体" w:cs="Times New Roman"/>
      <w:sz w:val="21"/>
      <w:szCs w:val="24"/>
    </w:rPr>
  </w:style>
  <w:style w:type="paragraph" w:styleId="1218" w:customStyle="1">
    <w:name w:val="标题2"/>
    <w:basedOn w:val="826"/>
    <w:uiPriority w:val="0"/>
    <w:qFormat/>
    <w:pPr>
      <w:spacing w:before="0" w:after="0" w:line="413" w:lineRule="auto"/>
    </w:pPr>
    <w:rPr>
      <w:rFonts w:ascii="Cambria" w:hAnsi="Cambria" w:eastAsia="宋体"/>
      <w:b/>
      <w:bCs/>
      <w:sz w:val="32"/>
      <w:szCs w:val="32"/>
    </w:rPr>
  </w:style>
  <w:style w:type="paragraph" w:styleId="1219" w:customStyle="1">
    <w:name w:val="xl76"/>
    <w:basedOn w:val="824"/>
    <w:uiPriority w:val="0"/>
    <w:qFormat/>
    <w:pPr>
      <w:jc w:val="left"/>
      <w:spacing w:before="100" w:beforeAutospacing="1" w:after="100" w:afterAutospacing="1" w:line="240" w:lineRule="auto"/>
      <w:shd w:val="clear" w:color="000000" w:fill="ffffff"/>
      <w:widowControl/>
      <w:pBdr>
        <w:left w:val="single" w:color="000000" w:sz="4" w:space="0"/>
        <w:bottom w:val="single" w:color="000000" w:sz="4" w:space="0"/>
        <w:right w:val="single" w:color="000000" w:sz="4" w:space="0"/>
      </w:pBdr>
    </w:pPr>
    <w:rPr>
      <w:rFonts w:ascii="宋体" w:hAnsi="宋体" w:cs="宋体"/>
      <w:color w:val="000000"/>
      <w:szCs w:val="21"/>
    </w:rPr>
  </w:style>
  <w:style w:type="paragraph" w:styleId="1220" w:customStyle="1">
    <w:name w:val="NormalIndent1"/>
    <w:basedOn w:val="824"/>
    <w:uiPriority w:val="0"/>
    <w:qFormat/>
    <w:pPr>
      <w:ind w:firstLine="420"/>
      <w:jc w:val="left"/>
      <w:spacing w:after="0" w:line="240" w:lineRule="auto"/>
    </w:pPr>
    <w:rPr>
      <w:sz w:val="24"/>
      <w:szCs w:val="22"/>
    </w:rPr>
  </w:style>
  <w:style w:type="paragraph" w:styleId="1221" w:customStyle="1">
    <w:name w:val="Char2"/>
    <w:basedOn w:val="824"/>
    <w:uiPriority w:val="0"/>
    <w:qFormat/>
    <w:pPr>
      <w:spacing w:after="0" w:line="240" w:lineRule="auto"/>
    </w:pPr>
    <w:rPr>
      <w:rFonts w:ascii="仿宋_GB2312" w:eastAsia="仿宋_GB2312"/>
      <w:b/>
      <w:sz w:val="32"/>
      <w:szCs w:val="32"/>
    </w:rPr>
  </w:style>
  <w:style w:type="paragraph" w:styleId="1222" w:customStyle="1">
    <w:name w:val="Plain Text2"/>
    <w:basedOn w:val="824"/>
    <w:uiPriority w:val="0"/>
    <w:qFormat/>
    <w:pPr>
      <w:spacing w:after="0" w:line="240" w:lineRule="auto"/>
    </w:pPr>
    <w:rPr>
      <w:rFonts w:ascii="宋体" w:hAnsi="Courier New" w:eastAsia="楷体_GB2312"/>
      <w:sz w:val="26"/>
      <w:szCs w:val="20"/>
    </w:rPr>
  </w:style>
  <w:style w:type="paragraph" w:styleId="1223" w:customStyle="1">
    <w:name w:val="font5"/>
    <w:basedOn w:val="824"/>
    <w:uiPriority w:val="0"/>
    <w:qFormat/>
    <w:pPr>
      <w:jc w:val="left"/>
      <w:spacing w:before="100" w:beforeAutospacing="1" w:after="100" w:afterAutospacing="1" w:line="240" w:lineRule="auto"/>
      <w:widowControl/>
    </w:pPr>
    <w:rPr>
      <w:rFonts w:ascii="宋体" w:hAnsi="宋体" w:cs="宋体"/>
      <w:color w:val="dbeef3"/>
      <w:sz w:val="18"/>
      <w:szCs w:val="18"/>
    </w:rPr>
  </w:style>
  <w:style w:type="paragraph" w:styleId="1224" w:customStyle="1">
    <w:name w:val="Char2 Char Char Char Char Char Char Char Char Char1"/>
    <w:basedOn w:val="824"/>
    <w:uiPriority w:val="0"/>
    <w:qFormat/>
    <w:pPr>
      <w:ind w:firstLine="200"/>
      <w:spacing w:after="0" w:line="360" w:lineRule="auto"/>
    </w:pPr>
    <w:rPr>
      <w:rFonts w:ascii="Tahoma" w:hAnsi="Tahoma"/>
      <w:sz w:val="24"/>
      <w:szCs w:val="20"/>
    </w:rPr>
  </w:style>
  <w:style w:type="paragraph" w:styleId="1225" w:customStyle="1">
    <w:name w:val="Char Char2"/>
    <w:basedOn w:val="824"/>
    <w:uiPriority w:val="0"/>
    <w:qFormat/>
    <w:pPr>
      <w:ind w:firstLine="200"/>
      <w:spacing w:after="0" w:line="360" w:lineRule="auto"/>
    </w:pPr>
    <w:rPr>
      <w:sz w:val="28"/>
      <w:szCs w:val="20"/>
    </w:rPr>
  </w:style>
  <w:style w:type="paragraph" w:styleId="1226" w:customStyle="1">
    <w:name w:val="列出段落"/>
    <w:basedOn w:val="824"/>
    <w:uiPriority w:val="99"/>
    <w:qFormat/>
    <w:pPr>
      <w:ind w:firstLine="420"/>
    </w:pPr>
  </w:style>
  <w:style w:type="paragraph" w:styleId="1227" w:customStyle="1">
    <w:name w:val="TableOfAuthoring1"/>
    <w:basedOn w:val="824"/>
    <w:next w:val="824"/>
    <w:uiPriority w:val="0"/>
    <w:qFormat/>
    <w:pPr>
      <w:ind w:left="420"/>
    </w:pPr>
    <w:rPr>
      <w:rFonts w:eastAsia="楷体_GB2312"/>
    </w:rPr>
  </w:style>
  <w:style w:type="paragraph" w:styleId="1228" w:customStyle="1">
    <w:name w:val="p3"/>
    <w:basedOn w:val="824"/>
    <w:uiPriority w:val="0"/>
    <w:qFormat/>
    <w:pPr>
      <w:jc w:val="left"/>
      <w:spacing w:before="100" w:beforeAutospacing="1" w:after="100" w:afterAutospacing="1"/>
      <w:widowControl/>
    </w:pPr>
    <w:rPr>
      <w:rFonts w:ascii="宋体" w:hAnsi="宋体" w:cs="宋体"/>
      <w:sz w:val="24"/>
    </w:rPr>
  </w:style>
  <w:style w:type="paragraph" w:styleId="1229" w:customStyle="1">
    <w:name w:val="列出段落2"/>
    <w:basedOn w:val="824"/>
    <w:uiPriority w:val="34"/>
    <w:qFormat/>
    <w:pPr>
      <w:ind w:firstLine="200"/>
      <w:spacing w:after="0" w:line="240" w:lineRule="auto"/>
    </w:pPr>
  </w:style>
  <w:style w:type="paragraph" w:styleId="1230" w:customStyle="1">
    <w:name w:val="List Paragraph1"/>
    <w:basedOn w:val="824"/>
    <w:uiPriority w:val="0"/>
    <w:qFormat/>
    <w:pPr>
      <w:ind w:left="720"/>
      <w:jc w:val="left"/>
      <w:spacing w:after="0" w:line="240" w:lineRule="auto"/>
      <w:widowControl/>
    </w:pPr>
    <w:rPr>
      <w:sz w:val="24"/>
      <w:lang w:eastAsia="en-US"/>
    </w:rPr>
  </w:style>
  <w:style w:type="paragraph" w:styleId="1231" w:customStyle="1">
    <w:name w:val="纯文本21"/>
    <w:basedOn w:val="824"/>
    <w:uiPriority w:val="0"/>
    <w:qFormat/>
    <w:rPr>
      <w:rFonts w:ascii="宋体" w:hAnsi="Courier New"/>
    </w:rPr>
  </w:style>
  <w:style w:type="paragraph" w:styleId="1232" w:customStyle="1">
    <w:name w:val="样式 表格正文 + 两端对齐"/>
    <w:basedOn w:val="824"/>
    <w:uiPriority w:val="0"/>
    <w:qFormat/>
    <w:pPr>
      <w:spacing w:after="0" w:line="300" w:lineRule="auto"/>
    </w:pPr>
    <w:rPr>
      <w:sz w:val="24"/>
      <w:szCs w:val="20"/>
    </w:rPr>
  </w:style>
  <w:style w:type="paragraph" w:styleId="1233" w:customStyle="1">
    <w:name w:val="PlainText1"/>
    <w:basedOn w:val="824"/>
    <w:uiPriority w:val="0"/>
    <w:qFormat/>
    <w:pPr>
      <w:jc w:val="left"/>
      <w:widowControl/>
    </w:pPr>
    <w:rPr>
      <w:rFonts w:ascii="宋体" w:hAnsi="Courier New" w:eastAsia="楷体_GB2312"/>
      <w:sz w:val="26"/>
    </w:rPr>
  </w:style>
  <w:style w:type="paragraph" w:styleId="1234" w:customStyle="1">
    <w:name w:val="无间隔1"/>
    <w:uiPriority w:val="0"/>
    <w:qFormat/>
    <w:pPr>
      <w:jc w:val="both"/>
      <w:spacing w:after="160" w:line="278" w:lineRule="auto"/>
      <w:widowControl w:val="off"/>
    </w:pPr>
    <w:rPr>
      <w:rFonts w:hint="default" w:ascii="Times New Roman" w:hAnsi="Times New Roman" w:eastAsia="宋体" w:cs="Times New Roman"/>
      <w:sz w:val="21"/>
      <w:szCs w:val="22"/>
    </w:rPr>
  </w:style>
  <w:style w:type="paragraph" w:styleId="1235" w:customStyle="1">
    <w:name w:val="纯文本1"/>
    <w:basedOn w:val="824"/>
    <w:uiPriority w:val="0"/>
    <w:qFormat/>
    <w:rPr>
      <w:rFonts w:ascii="宋体" w:hAnsi="Courier New" w:eastAsia="楷体_GB2312"/>
      <w:sz w:val="28"/>
      <w:szCs w:val="20"/>
    </w:rPr>
  </w:style>
  <w:style w:type="paragraph" w:styleId="1236" w:customStyle="1">
    <w:name w:val="font8"/>
    <w:basedOn w:val="824"/>
    <w:uiPriority w:val="0"/>
    <w:qFormat/>
    <w:pPr>
      <w:jc w:val="left"/>
      <w:spacing w:before="100" w:beforeAutospacing="1" w:after="100" w:afterAutospacing="1" w:line="240" w:lineRule="auto"/>
      <w:widowControl/>
    </w:pPr>
    <w:rPr>
      <w:rFonts w:ascii="Arial" w:hAnsi="Arial" w:cs="Arial"/>
      <w:sz w:val="22"/>
      <w:szCs w:val="22"/>
    </w:rPr>
  </w:style>
  <w:style w:type="table" w:styleId="1237" w:customStyle="1">
    <w:name w:val="Bordered &amp; Lined - Accent"/>
    <w:uiPriority w:val="99"/>
    <w:qFormat/>
    <w:pPr>
      <w:spacing w:after="160" w:line="278" w:lineRule="auto"/>
    </w:pPr>
    <w:rPr>
      <w:color w:val="404040"/>
    </w:rPr>
    <w:tblPr>
      <w:tblCellMar>
        <w:left w:w="0" w:type="dxa"/>
        <w:top w:w="0" w:type="dxa"/>
        <w:right w:w="0" w:type="dxa"/>
        <w:bottom w:w="0" w:type="dxa"/>
      </w:tblCellMar>
    </w:tblPr>
  </w:style>
  <w:style w:type="table" w:styleId="1238" w:customStyle="1">
    <w:name w:val="List Table 3 - Accent 5"/>
    <w:uiPriority w:val="99"/>
    <w:qFormat/>
    <w:pPr>
      <w:spacing w:after="160" w:line="278" w:lineRule="auto"/>
    </w:pPr>
    <w:tblPr>
      <w:tblCellMar>
        <w:left w:w="0" w:type="dxa"/>
        <w:top w:w="0" w:type="dxa"/>
        <w:right w:w="0" w:type="dxa"/>
        <w:bottom w:w="0" w:type="dxa"/>
      </w:tblCellMar>
    </w:tblPr>
  </w:style>
  <w:style w:type="table" w:styleId="1239" w:customStyle="1">
    <w:name w:val="Grid Table 3 - Accent 6"/>
    <w:uiPriority w:val="99"/>
    <w:qFormat/>
    <w:pPr>
      <w:spacing w:after="160" w:line="278" w:lineRule="auto"/>
    </w:pPr>
    <w:tblPr>
      <w:tblCellMar>
        <w:left w:w="0" w:type="dxa"/>
        <w:top w:w="0" w:type="dxa"/>
        <w:right w:w="0" w:type="dxa"/>
        <w:bottom w:w="0" w:type="dxa"/>
      </w:tblCellMar>
    </w:tblPr>
  </w:style>
  <w:style w:type="table" w:styleId="1240" w:customStyle="1">
    <w:name w:val="网格表 6 彩色1"/>
    <w:uiPriority w:val="99"/>
    <w:qFormat/>
    <w:pPr>
      <w:spacing w:after="160" w:line="278" w:lineRule="auto"/>
    </w:pPr>
    <w:tblPr>
      <w:tblCellMar>
        <w:left w:w="0" w:type="dxa"/>
        <w:top w:w="0" w:type="dxa"/>
        <w:right w:w="0" w:type="dxa"/>
        <w:bottom w:w="0" w:type="dxa"/>
      </w:tblCellMar>
    </w:tblPr>
  </w:style>
  <w:style w:type="table" w:styleId="1241" w:customStyle="1">
    <w:name w:val="Grid Table 1 Light - Accent 1"/>
    <w:uiPriority w:val="99"/>
    <w:qFormat/>
    <w:pPr>
      <w:spacing w:after="160" w:line="278" w:lineRule="auto"/>
    </w:pPr>
    <w:tblPr>
      <w:tblCellMar>
        <w:left w:w="0" w:type="dxa"/>
        <w:top w:w="0" w:type="dxa"/>
        <w:right w:w="0" w:type="dxa"/>
        <w:bottom w:w="0" w:type="dxa"/>
      </w:tblCellMar>
    </w:tblPr>
  </w:style>
  <w:style w:type="table" w:styleId="1242" w:customStyle="1">
    <w:name w:val="Grid Table 1 Light - Accent 2"/>
    <w:uiPriority w:val="99"/>
    <w:qFormat/>
    <w:pPr>
      <w:spacing w:after="160" w:line="278" w:lineRule="auto"/>
    </w:pPr>
    <w:tblPr>
      <w:tblCellMar>
        <w:left w:w="0" w:type="dxa"/>
        <w:top w:w="0" w:type="dxa"/>
        <w:right w:w="0" w:type="dxa"/>
        <w:bottom w:w="0" w:type="dxa"/>
      </w:tblCellMar>
    </w:tblPr>
  </w:style>
  <w:style w:type="table" w:styleId="1243" w:customStyle="1">
    <w:name w:val="Bordered &amp; Lined - Accent 1"/>
    <w:uiPriority w:val="99"/>
    <w:qFormat/>
    <w:pPr>
      <w:spacing w:after="160" w:line="278" w:lineRule="auto"/>
    </w:pPr>
    <w:rPr>
      <w:color w:val="404040"/>
    </w:rPr>
    <w:tblPr>
      <w:tblCellMar>
        <w:left w:w="0" w:type="dxa"/>
        <w:top w:w="0" w:type="dxa"/>
        <w:right w:w="0" w:type="dxa"/>
        <w:bottom w:w="0" w:type="dxa"/>
      </w:tblCellMar>
    </w:tblPr>
  </w:style>
  <w:style w:type="table" w:styleId="1244" w:customStyle="1">
    <w:name w:val="List Table 1 Light - Accent 4"/>
    <w:uiPriority w:val="99"/>
    <w:qFormat/>
    <w:pPr>
      <w:spacing w:after="160" w:line="278" w:lineRule="auto"/>
    </w:pPr>
    <w:tblPr>
      <w:tblCellMar>
        <w:left w:w="0" w:type="dxa"/>
        <w:top w:w="0" w:type="dxa"/>
        <w:right w:w="0" w:type="dxa"/>
        <w:bottom w:w="0" w:type="dxa"/>
      </w:tblCellMar>
    </w:tblPr>
  </w:style>
  <w:style w:type="table" w:styleId="1245" w:customStyle="1">
    <w:name w:val="List Table 3 - Accent 1"/>
    <w:uiPriority w:val="99"/>
    <w:qFormat/>
    <w:pPr>
      <w:spacing w:after="160" w:line="278" w:lineRule="auto"/>
    </w:pPr>
    <w:tblPr>
      <w:tblCellMar>
        <w:left w:w="0" w:type="dxa"/>
        <w:top w:w="0" w:type="dxa"/>
        <w:right w:w="0" w:type="dxa"/>
        <w:bottom w:w="0" w:type="dxa"/>
      </w:tblCellMar>
    </w:tblPr>
  </w:style>
  <w:style w:type="table" w:styleId="1246" w:customStyle="1">
    <w:name w:val="List Table 1 Light - Accent 1"/>
    <w:uiPriority w:val="99"/>
    <w:qFormat/>
    <w:pPr>
      <w:spacing w:after="160" w:line="278" w:lineRule="auto"/>
    </w:pPr>
    <w:tblPr>
      <w:tblCellMar>
        <w:left w:w="0" w:type="dxa"/>
        <w:top w:w="0" w:type="dxa"/>
        <w:right w:w="0" w:type="dxa"/>
        <w:bottom w:w="0" w:type="dxa"/>
      </w:tblCellMar>
    </w:tblPr>
  </w:style>
  <w:style w:type="table" w:styleId="1247" w:customStyle="1">
    <w:name w:val="Grid Table 6 Colorful - Accent 3"/>
    <w:uiPriority w:val="99"/>
    <w:qFormat/>
    <w:pPr>
      <w:spacing w:after="160" w:line="278" w:lineRule="auto"/>
    </w:pPr>
    <w:tblPr>
      <w:tblCellMar>
        <w:left w:w="0" w:type="dxa"/>
        <w:top w:w="0" w:type="dxa"/>
        <w:right w:w="0" w:type="dxa"/>
        <w:bottom w:w="0" w:type="dxa"/>
      </w:tblCellMar>
    </w:tblPr>
  </w:style>
  <w:style w:type="table" w:styleId="1248" w:customStyle="1">
    <w:name w:val="Bordered &amp; Lined - Accent 4"/>
    <w:uiPriority w:val="99"/>
    <w:qFormat/>
    <w:pPr>
      <w:spacing w:after="160" w:line="278" w:lineRule="auto"/>
    </w:pPr>
    <w:rPr>
      <w:color w:val="404040"/>
    </w:rPr>
    <w:tblPr>
      <w:tblCellMar>
        <w:left w:w="0" w:type="dxa"/>
        <w:top w:w="0" w:type="dxa"/>
        <w:right w:w="0" w:type="dxa"/>
        <w:bottom w:w="0" w:type="dxa"/>
      </w:tblCellMar>
    </w:tblPr>
  </w:style>
  <w:style w:type="table" w:styleId="1249" w:customStyle="1">
    <w:name w:val="Bordered - Accent 6"/>
    <w:uiPriority w:val="99"/>
    <w:qFormat/>
    <w:pPr>
      <w:spacing w:after="160" w:line="278" w:lineRule="auto"/>
    </w:pPr>
    <w:tblPr>
      <w:tblCellMar>
        <w:left w:w="0" w:type="dxa"/>
        <w:top w:w="0" w:type="dxa"/>
        <w:right w:w="0" w:type="dxa"/>
        <w:bottom w:w="0" w:type="dxa"/>
      </w:tblCellMar>
    </w:tblPr>
  </w:style>
  <w:style w:type="table" w:styleId="1250" w:customStyle="1">
    <w:name w:val="网格表 41"/>
    <w:uiPriority w:val="59"/>
    <w:qFormat/>
    <w:pPr>
      <w:spacing w:after="160" w:line="278" w:lineRule="auto"/>
    </w:pPr>
    <w:tblPr>
      <w:tblCellMar>
        <w:left w:w="0" w:type="dxa"/>
        <w:top w:w="0" w:type="dxa"/>
        <w:right w:w="0" w:type="dxa"/>
        <w:bottom w:w="0" w:type="dxa"/>
      </w:tblCellMar>
    </w:tblPr>
  </w:style>
  <w:style w:type="table" w:styleId="1251" w:customStyle="1">
    <w:name w:val="List Table 5 Dark - Accent 1"/>
    <w:uiPriority w:val="99"/>
    <w:qFormat/>
    <w:pPr>
      <w:spacing w:after="160" w:line="278" w:lineRule="auto"/>
    </w:pPr>
    <w:tblPr>
      <w:tblCellMar>
        <w:left w:w="0" w:type="dxa"/>
        <w:top w:w="0" w:type="dxa"/>
        <w:right w:w="0" w:type="dxa"/>
        <w:bottom w:w="0" w:type="dxa"/>
      </w:tblCellMar>
    </w:tblPr>
  </w:style>
  <w:style w:type="table" w:styleId="1252" w:customStyle="1">
    <w:name w:val="Lined - Accent 4"/>
    <w:uiPriority w:val="99"/>
    <w:qFormat/>
    <w:pPr>
      <w:spacing w:after="160" w:line="278" w:lineRule="auto"/>
    </w:pPr>
    <w:rPr>
      <w:color w:val="404040"/>
    </w:rPr>
    <w:tblPr>
      <w:tblCellMar>
        <w:left w:w="0" w:type="dxa"/>
        <w:top w:w="0" w:type="dxa"/>
        <w:right w:w="0" w:type="dxa"/>
        <w:bottom w:w="0" w:type="dxa"/>
      </w:tblCellMar>
    </w:tblPr>
  </w:style>
  <w:style w:type="table" w:styleId="1253" w:customStyle="1">
    <w:name w:val="Grid Table 3 - Accent 1"/>
    <w:uiPriority w:val="99"/>
    <w:qFormat/>
    <w:pPr>
      <w:spacing w:after="160" w:line="278" w:lineRule="auto"/>
    </w:pPr>
    <w:tblPr>
      <w:tblCellMar>
        <w:left w:w="0" w:type="dxa"/>
        <w:top w:w="0" w:type="dxa"/>
        <w:right w:w="0" w:type="dxa"/>
        <w:bottom w:w="0" w:type="dxa"/>
      </w:tblCellMar>
    </w:tblPr>
  </w:style>
  <w:style w:type="table" w:styleId="1254" w:customStyle="1">
    <w:name w:val="List Table 7 Colorful - Accent 4"/>
    <w:uiPriority w:val="99"/>
    <w:qFormat/>
    <w:pPr>
      <w:spacing w:after="160" w:line="278" w:lineRule="auto"/>
    </w:pPr>
    <w:tblPr>
      <w:tblCellMar>
        <w:left w:w="0" w:type="dxa"/>
        <w:top w:w="0" w:type="dxa"/>
        <w:right w:w="0" w:type="dxa"/>
        <w:bottom w:w="0" w:type="dxa"/>
      </w:tblCellMar>
    </w:tblPr>
  </w:style>
  <w:style w:type="table" w:styleId="1255" w:customStyle="1">
    <w:name w:val="List Table 3 - Accent 4"/>
    <w:uiPriority w:val="99"/>
    <w:qFormat/>
    <w:pPr>
      <w:spacing w:after="160" w:line="278" w:lineRule="auto"/>
    </w:pPr>
    <w:tblPr>
      <w:tblCellMar>
        <w:left w:w="0" w:type="dxa"/>
        <w:top w:w="0" w:type="dxa"/>
        <w:right w:w="0" w:type="dxa"/>
        <w:bottom w:w="0" w:type="dxa"/>
      </w:tblCellMar>
    </w:tblPr>
  </w:style>
  <w:style w:type="table" w:styleId="1256" w:customStyle="1">
    <w:name w:val="普通表格1"/>
    <w:uiPriority w:val="99"/>
    <w:unhideWhenUsed/>
    <w:qFormat/>
    <w:pPr>
      <w:spacing w:after="160" w:line="278" w:lineRule="auto"/>
    </w:pPr>
    <w:tblPr>
      <w:tblCellMar>
        <w:left w:w="0" w:type="dxa"/>
        <w:top w:w="0" w:type="dxa"/>
        <w:right w:w="0" w:type="dxa"/>
        <w:bottom w:w="0" w:type="dxa"/>
      </w:tblCellMar>
    </w:tblPr>
  </w:style>
  <w:style w:type="table" w:styleId="1257" w:customStyle="1">
    <w:name w:val="清单表 21"/>
    <w:uiPriority w:val="99"/>
    <w:qFormat/>
    <w:pPr>
      <w:spacing w:after="160" w:line="278" w:lineRule="auto"/>
    </w:pPr>
    <w:tblPr>
      <w:tblCellMar>
        <w:left w:w="0" w:type="dxa"/>
        <w:top w:w="0" w:type="dxa"/>
        <w:right w:w="0" w:type="dxa"/>
        <w:bottom w:w="0" w:type="dxa"/>
      </w:tblCellMar>
    </w:tblPr>
  </w:style>
  <w:style w:type="table" w:styleId="1258" w:customStyle="1">
    <w:name w:val="Bordered - Accent 3"/>
    <w:uiPriority w:val="99"/>
    <w:qFormat/>
    <w:pPr>
      <w:spacing w:after="160" w:line="278" w:lineRule="auto"/>
    </w:pPr>
    <w:tblPr>
      <w:tblCellMar>
        <w:left w:w="0" w:type="dxa"/>
        <w:top w:w="0" w:type="dxa"/>
        <w:right w:w="0" w:type="dxa"/>
        <w:bottom w:w="0" w:type="dxa"/>
      </w:tblCellMar>
    </w:tblPr>
  </w:style>
  <w:style w:type="table" w:styleId="1259" w:customStyle="1">
    <w:name w:val="Grid Table 5 Dark - Accent 2"/>
    <w:uiPriority w:val="99"/>
    <w:qFormat/>
    <w:pPr>
      <w:spacing w:after="160" w:line="278" w:lineRule="auto"/>
    </w:pPr>
    <w:tblPr>
      <w:tblCellMar>
        <w:left w:w="0" w:type="dxa"/>
        <w:top w:w="0" w:type="dxa"/>
        <w:right w:w="0" w:type="dxa"/>
        <w:bottom w:w="0" w:type="dxa"/>
      </w:tblCellMar>
    </w:tblPr>
  </w:style>
  <w:style w:type="table" w:styleId="1260" w:customStyle="1">
    <w:name w:val="Grid Table 4 - Accent 1"/>
    <w:uiPriority w:val="59"/>
    <w:qFormat/>
    <w:pPr>
      <w:spacing w:after="160" w:line="278" w:lineRule="auto"/>
    </w:pPr>
    <w:tblPr>
      <w:tblCellMar>
        <w:left w:w="0" w:type="dxa"/>
        <w:top w:w="0" w:type="dxa"/>
        <w:right w:w="0" w:type="dxa"/>
        <w:bottom w:w="0" w:type="dxa"/>
      </w:tblCellMar>
    </w:tblPr>
  </w:style>
  <w:style w:type="table" w:styleId="1261" w:customStyle="1">
    <w:name w:val="Grid Table 2 - Accent 5"/>
    <w:uiPriority w:val="99"/>
    <w:qFormat/>
    <w:pPr>
      <w:spacing w:after="160" w:line="278" w:lineRule="auto"/>
    </w:pPr>
    <w:tblPr>
      <w:tblCellMar>
        <w:left w:w="0" w:type="dxa"/>
        <w:top w:w="0" w:type="dxa"/>
        <w:right w:w="0" w:type="dxa"/>
        <w:bottom w:w="0" w:type="dxa"/>
      </w:tblCellMar>
    </w:tblPr>
  </w:style>
  <w:style w:type="table" w:styleId="1262" w:customStyle="1">
    <w:name w:val="List Table 1 Light - Accent 5"/>
    <w:uiPriority w:val="99"/>
    <w:qFormat/>
    <w:pPr>
      <w:spacing w:after="160" w:line="278" w:lineRule="auto"/>
    </w:pPr>
    <w:tblPr>
      <w:tblCellMar>
        <w:left w:w="0" w:type="dxa"/>
        <w:top w:w="0" w:type="dxa"/>
        <w:right w:w="0" w:type="dxa"/>
        <w:bottom w:w="0" w:type="dxa"/>
      </w:tblCellMar>
    </w:tblPr>
  </w:style>
  <w:style w:type="table" w:styleId="1263" w:customStyle="1">
    <w:name w:val="List Table 5 Dark - Accent 5"/>
    <w:uiPriority w:val="99"/>
    <w:qFormat/>
    <w:pPr>
      <w:spacing w:after="160" w:line="278" w:lineRule="auto"/>
    </w:pPr>
    <w:tblPr>
      <w:tblCellMar>
        <w:left w:w="0" w:type="dxa"/>
        <w:top w:w="0" w:type="dxa"/>
        <w:right w:w="0" w:type="dxa"/>
        <w:bottom w:w="0" w:type="dxa"/>
      </w:tblCellMar>
    </w:tblPr>
  </w:style>
  <w:style w:type="table" w:styleId="1264" w:customStyle="1">
    <w:name w:val="网格表 31"/>
    <w:uiPriority w:val="99"/>
    <w:qFormat/>
    <w:pPr>
      <w:spacing w:after="160" w:line="278" w:lineRule="auto"/>
    </w:pPr>
    <w:tblPr>
      <w:tblCellMar>
        <w:left w:w="0" w:type="dxa"/>
        <w:top w:w="0" w:type="dxa"/>
        <w:right w:w="0" w:type="dxa"/>
        <w:bottom w:w="0" w:type="dxa"/>
      </w:tblCellMar>
    </w:tblPr>
  </w:style>
  <w:style w:type="table" w:styleId="1265" w:customStyle="1">
    <w:name w:val="网格型1"/>
    <w:basedOn w:val="1256"/>
    <w:uiPriority w:val="59"/>
    <w:qFormat/>
    <w:pPr>
      <w:jc w:val="both"/>
      <w:widowControl w:val="off"/>
    </w:pPr>
    <w:tblPr/>
  </w:style>
  <w:style w:type="table" w:styleId="1266" w:customStyle="1">
    <w:name w:val="无格式表格 31"/>
    <w:uiPriority w:val="99"/>
    <w:qFormat/>
    <w:pPr>
      <w:spacing w:after="160" w:line="278" w:lineRule="auto"/>
    </w:pPr>
    <w:tblPr>
      <w:tblCellMar>
        <w:left w:w="0" w:type="dxa"/>
        <w:top w:w="0" w:type="dxa"/>
        <w:right w:w="0" w:type="dxa"/>
        <w:bottom w:w="0" w:type="dxa"/>
      </w:tblCellMar>
    </w:tblPr>
  </w:style>
  <w:style w:type="table" w:styleId="1267" w:customStyle="1">
    <w:name w:val="List Table 4 - Accent 3"/>
    <w:uiPriority w:val="99"/>
    <w:qFormat/>
    <w:pPr>
      <w:spacing w:after="160" w:line="278" w:lineRule="auto"/>
    </w:pPr>
    <w:tblPr>
      <w:tblCellMar>
        <w:left w:w="0" w:type="dxa"/>
        <w:top w:w="0" w:type="dxa"/>
        <w:right w:w="0" w:type="dxa"/>
        <w:bottom w:w="0" w:type="dxa"/>
      </w:tblCellMar>
    </w:tblPr>
  </w:style>
  <w:style w:type="table" w:styleId="1268" w:customStyle="1">
    <w:name w:val="Bordered - Accent 2"/>
    <w:uiPriority w:val="99"/>
    <w:qFormat/>
    <w:pPr>
      <w:spacing w:after="160" w:line="278" w:lineRule="auto"/>
    </w:pPr>
    <w:tblPr>
      <w:tblCellMar>
        <w:left w:w="0" w:type="dxa"/>
        <w:top w:w="0" w:type="dxa"/>
        <w:right w:w="0" w:type="dxa"/>
        <w:bottom w:w="0" w:type="dxa"/>
      </w:tblCellMar>
    </w:tblPr>
  </w:style>
  <w:style w:type="table" w:styleId="1269" w:customStyle="1">
    <w:name w:val="网格表 21"/>
    <w:uiPriority w:val="99"/>
    <w:qFormat/>
    <w:pPr>
      <w:spacing w:after="160" w:line="278" w:lineRule="auto"/>
    </w:pPr>
    <w:tblPr>
      <w:tblCellMar>
        <w:left w:w="0" w:type="dxa"/>
        <w:top w:w="0" w:type="dxa"/>
        <w:right w:w="0" w:type="dxa"/>
        <w:bottom w:w="0" w:type="dxa"/>
      </w:tblCellMar>
    </w:tblPr>
  </w:style>
  <w:style w:type="table" w:styleId="1270" w:customStyle="1">
    <w:name w:val="Grid Table 4 - Accent 5"/>
    <w:uiPriority w:val="59"/>
    <w:qFormat/>
    <w:pPr>
      <w:spacing w:after="160" w:line="278" w:lineRule="auto"/>
    </w:pPr>
    <w:tblPr>
      <w:tblCellMar>
        <w:left w:w="0" w:type="dxa"/>
        <w:top w:w="0" w:type="dxa"/>
        <w:right w:w="0" w:type="dxa"/>
        <w:bottom w:w="0" w:type="dxa"/>
      </w:tblCellMar>
    </w:tblPr>
  </w:style>
  <w:style w:type="table" w:styleId="1271" w:customStyle="1">
    <w:name w:val="Grid Table 2 - Accent 1"/>
    <w:uiPriority w:val="99"/>
    <w:qFormat/>
    <w:pPr>
      <w:spacing w:after="160" w:line="278" w:lineRule="auto"/>
    </w:pPr>
    <w:tblPr>
      <w:tblCellMar>
        <w:left w:w="0" w:type="dxa"/>
        <w:top w:w="0" w:type="dxa"/>
        <w:right w:w="0" w:type="dxa"/>
        <w:bottom w:w="0" w:type="dxa"/>
      </w:tblCellMar>
    </w:tblPr>
  </w:style>
  <w:style w:type="table" w:styleId="1272" w:customStyle="1">
    <w:name w:val="Grid Table 5 Dark - Accent 3"/>
    <w:uiPriority w:val="99"/>
    <w:qFormat/>
    <w:pPr>
      <w:spacing w:after="160" w:line="278" w:lineRule="auto"/>
    </w:pPr>
    <w:tblPr>
      <w:tblCellMar>
        <w:left w:w="0" w:type="dxa"/>
        <w:top w:w="0" w:type="dxa"/>
        <w:right w:w="0" w:type="dxa"/>
        <w:bottom w:w="0" w:type="dxa"/>
      </w:tblCellMar>
    </w:tblPr>
  </w:style>
  <w:style w:type="table" w:styleId="1273" w:customStyle="1">
    <w:name w:val="Grid Table 2 - Accent 2"/>
    <w:uiPriority w:val="99"/>
    <w:qFormat/>
    <w:pPr>
      <w:spacing w:after="160" w:line="278" w:lineRule="auto"/>
    </w:pPr>
    <w:tblPr>
      <w:tblCellMar>
        <w:left w:w="0" w:type="dxa"/>
        <w:top w:w="0" w:type="dxa"/>
        <w:right w:w="0" w:type="dxa"/>
        <w:bottom w:w="0" w:type="dxa"/>
      </w:tblCellMar>
    </w:tblPr>
  </w:style>
  <w:style w:type="table" w:styleId="1274" w:customStyle="1">
    <w:name w:val="Grid Table 7 Colorful - Accent 2"/>
    <w:uiPriority w:val="99"/>
    <w:qFormat/>
    <w:pPr>
      <w:spacing w:after="160" w:line="278" w:lineRule="auto"/>
    </w:pPr>
    <w:tblPr>
      <w:tblCellMar>
        <w:left w:w="0" w:type="dxa"/>
        <w:top w:w="0" w:type="dxa"/>
        <w:right w:w="0" w:type="dxa"/>
        <w:bottom w:w="0" w:type="dxa"/>
      </w:tblCellMar>
    </w:tblPr>
  </w:style>
  <w:style w:type="table" w:styleId="1275" w:customStyle="1">
    <w:name w:val="无格式表格 41"/>
    <w:uiPriority w:val="99"/>
    <w:qFormat/>
    <w:pPr>
      <w:spacing w:after="160" w:line="278" w:lineRule="auto"/>
    </w:pPr>
    <w:tblPr>
      <w:tblCellMar>
        <w:left w:w="0" w:type="dxa"/>
        <w:top w:w="0" w:type="dxa"/>
        <w:right w:w="0" w:type="dxa"/>
        <w:bottom w:w="0" w:type="dxa"/>
      </w:tblCellMar>
    </w:tblPr>
  </w:style>
  <w:style w:type="table" w:styleId="1276" w:customStyle="1">
    <w:name w:val="无格式表格 51"/>
    <w:uiPriority w:val="99"/>
    <w:qFormat/>
    <w:pPr>
      <w:spacing w:after="160" w:line="278" w:lineRule="auto"/>
    </w:pPr>
    <w:tblPr>
      <w:tblCellMar>
        <w:left w:w="0" w:type="dxa"/>
        <w:top w:w="0" w:type="dxa"/>
        <w:right w:w="0" w:type="dxa"/>
        <w:bottom w:w="0" w:type="dxa"/>
      </w:tblCellMar>
    </w:tblPr>
  </w:style>
  <w:style w:type="table" w:styleId="1277" w:customStyle="1">
    <w:name w:val="List Table 4 - Accent 2"/>
    <w:uiPriority w:val="99"/>
    <w:qFormat/>
    <w:pPr>
      <w:spacing w:after="160" w:line="278" w:lineRule="auto"/>
    </w:pPr>
    <w:tblPr>
      <w:tblCellMar>
        <w:left w:w="0" w:type="dxa"/>
        <w:top w:w="0" w:type="dxa"/>
        <w:right w:w="0" w:type="dxa"/>
        <w:bottom w:w="0" w:type="dxa"/>
      </w:tblCellMar>
    </w:tblPr>
  </w:style>
  <w:style w:type="table" w:styleId="1278" w:customStyle="1">
    <w:name w:val="List Table 6 Colorful - Accent 5"/>
    <w:uiPriority w:val="99"/>
    <w:qFormat/>
    <w:pPr>
      <w:spacing w:after="160" w:line="278" w:lineRule="auto"/>
    </w:pPr>
    <w:tblPr>
      <w:tblCellMar>
        <w:left w:w="0" w:type="dxa"/>
        <w:top w:w="0" w:type="dxa"/>
        <w:right w:w="0" w:type="dxa"/>
        <w:bottom w:w="0" w:type="dxa"/>
      </w:tblCellMar>
    </w:tblPr>
  </w:style>
  <w:style w:type="table" w:styleId="1279" w:customStyle="1">
    <w:name w:val="List Table 7 Colorful - Accent 6"/>
    <w:uiPriority w:val="99"/>
    <w:qFormat/>
    <w:pPr>
      <w:spacing w:after="160" w:line="278" w:lineRule="auto"/>
    </w:pPr>
    <w:tblPr>
      <w:tblCellMar>
        <w:left w:w="0" w:type="dxa"/>
        <w:top w:w="0" w:type="dxa"/>
        <w:right w:w="0" w:type="dxa"/>
        <w:bottom w:w="0" w:type="dxa"/>
      </w:tblCellMar>
    </w:tblPr>
  </w:style>
  <w:style w:type="table" w:styleId="1280" w:customStyle="1">
    <w:name w:val="Grid Table 7 Colorful - Accent 6"/>
    <w:uiPriority w:val="99"/>
    <w:qFormat/>
    <w:pPr>
      <w:spacing w:after="160" w:line="278" w:lineRule="auto"/>
    </w:pPr>
    <w:tblPr>
      <w:tblCellMar>
        <w:left w:w="0" w:type="dxa"/>
        <w:top w:w="0" w:type="dxa"/>
        <w:right w:w="0" w:type="dxa"/>
        <w:bottom w:w="0" w:type="dxa"/>
      </w:tblCellMar>
    </w:tblPr>
  </w:style>
  <w:style w:type="table" w:styleId="1281" w:customStyle="1">
    <w:name w:val="List Table 2 - Accent 1"/>
    <w:uiPriority w:val="99"/>
    <w:qFormat/>
    <w:pPr>
      <w:spacing w:after="160" w:line="278" w:lineRule="auto"/>
    </w:pPr>
    <w:tblPr>
      <w:tblCellMar>
        <w:left w:w="0" w:type="dxa"/>
        <w:top w:w="0" w:type="dxa"/>
        <w:right w:w="0" w:type="dxa"/>
        <w:bottom w:w="0" w:type="dxa"/>
      </w:tblCellMar>
    </w:tblPr>
  </w:style>
  <w:style w:type="table" w:styleId="1282" w:customStyle="1">
    <w:name w:val="List Table 2 - Accent 3"/>
    <w:uiPriority w:val="99"/>
    <w:qFormat/>
    <w:pPr>
      <w:spacing w:after="160" w:line="278" w:lineRule="auto"/>
    </w:pPr>
    <w:tblPr>
      <w:tblCellMar>
        <w:left w:w="0" w:type="dxa"/>
        <w:top w:w="0" w:type="dxa"/>
        <w:right w:w="0" w:type="dxa"/>
        <w:bottom w:w="0" w:type="dxa"/>
      </w:tblCellMar>
    </w:tblPr>
  </w:style>
  <w:style w:type="table" w:styleId="1283" w:customStyle="1">
    <w:name w:val="清单表 6 彩色1"/>
    <w:uiPriority w:val="99"/>
    <w:qFormat/>
    <w:pPr>
      <w:spacing w:after="160" w:line="278" w:lineRule="auto"/>
    </w:pPr>
    <w:tblPr>
      <w:tblCellMar>
        <w:left w:w="0" w:type="dxa"/>
        <w:top w:w="0" w:type="dxa"/>
        <w:right w:w="0" w:type="dxa"/>
        <w:bottom w:w="0" w:type="dxa"/>
      </w:tblCellMar>
    </w:tblPr>
  </w:style>
  <w:style w:type="table" w:styleId="1284" w:customStyle="1">
    <w:name w:val="Lined - Accent 6"/>
    <w:uiPriority w:val="99"/>
    <w:qFormat/>
    <w:pPr>
      <w:spacing w:after="160" w:line="278" w:lineRule="auto"/>
    </w:pPr>
    <w:rPr>
      <w:color w:val="404040"/>
    </w:rPr>
    <w:tblPr>
      <w:tblCellMar>
        <w:left w:w="0" w:type="dxa"/>
        <w:top w:w="0" w:type="dxa"/>
        <w:right w:w="0" w:type="dxa"/>
        <w:bottom w:w="0" w:type="dxa"/>
      </w:tblCellMar>
    </w:tblPr>
  </w:style>
  <w:style w:type="table" w:styleId="1285" w:customStyle="1">
    <w:name w:val="Grid Table 2 - Accent 3"/>
    <w:uiPriority w:val="99"/>
    <w:qFormat/>
    <w:pPr>
      <w:spacing w:after="160" w:line="278" w:lineRule="auto"/>
    </w:pPr>
    <w:tblPr>
      <w:tblCellMar>
        <w:left w:w="0" w:type="dxa"/>
        <w:top w:w="0" w:type="dxa"/>
        <w:right w:w="0" w:type="dxa"/>
        <w:bottom w:w="0" w:type="dxa"/>
      </w:tblCellMar>
    </w:tblPr>
  </w:style>
  <w:style w:type="table" w:styleId="1286" w:customStyle="1">
    <w:name w:val="无格式表格 21"/>
    <w:uiPriority w:val="59"/>
    <w:qFormat/>
    <w:pPr>
      <w:spacing w:after="160" w:line="278" w:lineRule="auto"/>
    </w:pPr>
    <w:tblPr>
      <w:tblCellMar>
        <w:left w:w="0" w:type="dxa"/>
        <w:top w:w="0" w:type="dxa"/>
        <w:right w:w="0" w:type="dxa"/>
        <w:bottom w:w="0" w:type="dxa"/>
      </w:tblCellMar>
    </w:tblPr>
  </w:style>
  <w:style w:type="table" w:styleId="1287" w:customStyle="1">
    <w:name w:val="List Table 6 Colorful - Accent 6"/>
    <w:uiPriority w:val="99"/>
    <w:qFormat/>
    <w:pPr>
      <w:spacing w:after="160" w:line="278" w:lineRule="auto"/>
    </w:pPr>
    <w:tblPr>
      <w:tblCellMar>
        <w:left w:w="0" w:type="dxa"/>
        <w:top w:w="0" w:type="dxa"/>
        <w:right w:w="0" w:type="dxa"/>
        <w:bottom w:w="0" w:type="dxa"/>
      </w:tblCellMar>
    </w:tblPr>
  </w:style>
  <w:style w:type="table" w:styleId="1288" w:customStyle="1">
    <w:name w:val="网格表 1 浅色1"/>
    <w:uiPriority w:val="99"/>
    <w:qFormat/>
    <w:pPr>
      <w:spacing w:after="160" w:line="278" w:lineRule="auto"/>
    </w:pPr>
    <w:tblPr>
      <w:tblCellMar>
        <w:left w:w="0" w:type="dxa"/>
        <w:top w:w="0" w:type="dxa"/>
        <w:right w:w="0" w:type="dxa"/>
        <w:bottom w:w="0" w:type="dxa"/>
      </w:tblCellMar>
    </w:tblPr>
  </w:style>
  <w:style w:type="table" w:styleId="1289" w:customStyle="1">
    <w:name w:val="Grid Table 7 Colorful - Accent 4"/>
    <w:uiPriority w:val="99"/>
    <w:qFormat/>
    <w:pPr>
      <w:spacing w:after="160" w:line="278" w:lineRule="auto"/>
    </w:pPr>
    <w:tblPr>
      <w:tblCellMar>
        <w:left w:w="0" w:type="dxa"/>
        <w:top w:w="0" w:type="dxa"/>
        <w:right w:w="0" w:type="dxa"/>
        <w:bottom w:w="0" w:type="dxa"/>
      </w:tblCellMar>
    </w:tblPr>
  </w:style>
  <w:style w:type="table" w:styleId="1290" w:customStyle="1">
    <w:name w:val="Grid Table 3 - Accent 2"/>
    <w:uiPriority w:val="99"/>
    <w:qFormat/>
    <w:pPr>
      <w:spacing w:after="160" w:line="278" w:lineRule="auto"/>
    </w:pPr>
    <w:tblPr>
      <w:tblCellMar>
        <w:left w:w="0" w:type="dxa"/>
        <w:top w:w="0" w:type="dxa"/>
        <w:right w:w="0" w:type="dxa"/>
        <w:bottom w:w="0" w:type="dxa"/>
      </w:tblCellMar>
    </w:tblPr>
  </w:style>
  <w:style w:type="table" w:styleId="1291" w:customStyle="1">
    <w:name w:val="Grid Table 4 - Accent 2"/>
    <w:uiPriority w:val="59"/>
    <w:qFormat/>
    <w:pPr>
      <w:spacing w:after="160" w:line="278" w:lineRule="auto"/>
    </w:pPr>
    <w:tblPr>
      <w:tblCellMar>
        <w:left w:w="0" w:type="dxa"/>
        <w:top w:w="0" w:type="dxa"/>
        <w:right w:w="0" w:type="dxa"/>
        <w:bottom w:w="0" w:type="dxa"/>
      </w:tblCellMar>
    </w:tblPr>
  </w:style>
  <w:style w:type="table" w:styleId="1292" w:customStyle="1">
    <w:name w:val="List Table 2 - Accent 6"/>
    <w:uiPriority w:val="99"/>
    <w:qFormat/>
    <w:pPr>
      <w:spacing w:after="160" w:line="278" w:lineRule="auto"/>
    </w:pPr>
    <w:tblPr>
      <w:tblCellMar>
        <w:left w:w="0" w:type="dxa"/>
        <w:top w:w="0" w:type="dxa"/>
        <w:right w:w="0" w:type="dxa"/>
        <w:bottom w:w="0" w:type="dxa"/>
      </w:tblCellMar>
    </w:tblPr>
  </w:style>
  <w:style w:type="table" w:styleId="1293" w:customStyle="1">
    <w:name w:val="List Table 4 - Accent 5"/>
    <w:uiPriority w:val="99"/>
    <w:qFormat/>
    <w:pPr>
      <w:spacing w:after="160" w:line="278" w:lineRule="auto"/>
    </w:pPr>
    <w:tblPr>
      <w:tblCellMar>
        <w:left w:w="0" w:type="dxa"/>
        <w:top w:w="0" w:type="dxa"/>
        <w:right w:w="0" w:type="dxa"/>
        <w:bottom w:w="0" w:type="dxa"/>
      </w:tblCellMar>
    </w:tblPr>
  </w:style>
  <w:style w:type="table" w:styleId="1294" w:customStyle="1">
    <w:name w:val="List Table 4 - Accent 6"/>
    <w:uiPriority w:val="99"/>
    <w:qFormat/>
    <w:pPr>
      <w:spacing w:after="160" w:line="278" w:lineRule="auto"/>
    </w:pPr>
    <w:tblPr>
      <w:tblCellMar>
        <w:left w:w="0" w:type="dxa"/>
        <w:top w:w="0" w:type="dxa"/>
        <w:right w:w="0" w:type="dxa"/>
        <w:bottom w:w="0" w:type="dxa"/>
      </w:tblCellMar>
    </w:tblPr>
  </w:style>
  <w:style w:type="table" w:styleId="1295" w:customStyle="1">
    <w:name w:val="Grid Table 2 - Accent 4"/>
    <w:uiPriority w:val="99"/>
    <w:qFormat/>
    <w:pPr>
      <w:spacing w:after="160" w:line="278" w:lineRule="auto"/>
    </w:pPr>
    <w:tblPr>
      <w:tblCellMar>
        <w:left w:w="0" w:type="dxa"/>
        <w:top w:w="0" w:type="dxa"/>
        <w:right w:w="0" w:type="dxa"/>
        <w:bottom w:w="0" w:type="dxa"/>
      </w:tblCellMar>
    </w:tblPr>
  </w:style>
  <w:style w:type="table" w:styleId="1296" w:customStyle="1">
    <w:name w:val="List Table 7 Colorful - Accent 5"/>
    <w:uiPriority w:val="99"/>
    <w:qFormat/>
    <w:pPr>
      <w:spacing w:after="160" w:line="278" w:lineRule="auto"/>
    </w:pPr>
    <w:tblPr>
      <w:tblCellMar>
        <w:left w:w="0" w:type="dxa"/>
        <w:top w:w="0" w:type="dxa"/>
        <w:right w:w="0" w:type="dxa"/>
        <w:bottom w:w="0" w:type="dxa"/>
      </w:tblCellMar>
    </w:tblPr>
  </w:style>
  <w:style w:type="table" w:styleId="1297" w:customStyle="1">
    <w:name w:val="Grid Table 3 - Accent 4"/>
    <w:uiPriority w:val="99"/>
    <w:qFormat/>
    <w:pPr>
      <w:spacing w:after="160" w:line="278" w:lineRule="auto"/>
    </w:pPr>
    <w:tblPr>
      <w:tblCellMar>
        <w:left w:w="0" w:type="dxa"/>
        <w:top w:w="0" w:type="dxa"/>
        <w:right w:w="0" w:type="dxa"/>
        <w:bottom w:w="0" w:type="dxa"/>
      </w:tblCellMar>
    </w:tblPr>
  </w:style>
  <w:style w:type="table" w:styleId="1298" w:customStyle="1">
    <w:name w:val="Bordered"/>
    <w:uiPriority w:val="99"/>
    <w:qFormat/>
    <w:pPr>
      <w:spacing w:after="160" w:line="278" w:lineRule="auto"/>
    </w:pPr>
    <w:tblPr>
      <w:tblCellMar>
        <w:left w:w="0" w:type="dxa"/>
        <w:top w:w="0" w:type="dxa"/>
        <w:right w:w="0" w:type="dxa"/>
        <w:bottom w:w="0" w:type="dxa"/>
      </w:tblCellMar>
    </w:tblPr>
  </w:style>
  <w:style w:type="table" w:styleId="1299" w:customStyle="1">
    <w:name w:val="Bordered - Accent 5"/>
    <w:uiPriority w:val="99"/>
    <w:qFormat/>
    <w:pPr>
      <w:spacing w:after="160" w:line="278" w:lineRule="auto"/>
    </w:pPr>
    <w:tblPr>
      <w:tblCellMar>
        <w:left w:w="0" w:type="dxa"/>
        <w:top w:w="0" w:type="dxa"/>
        <w:right w:w="0" w:type="dxa"/>
        <w:bottom w:w="0" w:type="dxa"/>
      </w:tblCellMar>
    </w:tblPr>
  </w:style>
  <w:style w:type="table" w:styleId="1300" w:customStyle="1">
    <w:name w:val="Grid Table 3 - Accent 5"/>
    <w:uiPriority w:val="99"/>
    <w:qFormat/>
    <w:pPr>
      <w:spacing w:after="160" w:line="278" w:lineRule="auto"/>
    </w:pPr>
    <w:tblPr>
      <w:tblCellMar>
        <w:left w:w="0" w:type="dxa"/>
        <w:top w:w="0" w:type="dxa"/>
        <w:right w:w="0" w:type="dxa"/>
        <w:bottom w:w="0" w:type="dxa"/>
      </w:tblCellMar>
    </w:tblPr>
  </w:style>
  <w:style w:type="table" w:styleId="1301" w:customStyle="1">
    <w:name w:val="List Table 1 Light - Accent 3"/>
    <w:uiPriority w:val="99"/>
    <w:qFormat/>
    <w:pPr>
      <w:spacing w:after="160" w:line="278" w:lineRule="auto"/>
    </w:pPr>
    <w:tblPr>
      <w:tblCellMar>
        <w:left w:w="0" w:type="dxa"/>
        <w:top w:w="0" w:type="dxa"/>
        <w:right w:w="0" w:type="dxa"/>
        <w:bottom w:w="0" w:type="dxa"/>
      </w:tblCellMar>
    </w:tblPr>
  </w:style>
  <w:style w:type="table" w:styleId="1302" w:customStyle="1">
    <w:name w:val="List Table 6 Colorful - Accent 2"/>
    <w:uiPriority w:val="99"/>
    <w:qFormat/>
    <w:pPr>
      <w:spacing w:after="160" w:line="278" w:lineRule="auto"/>
    </w:pPr>
    <w:tblPr>
      <w:tblCellMar>
        <w:left w:w="0" w:type="dxa"/>
        <w:top w:w="0" w:type="dxa"/>
        <w:right w:w="0" w:type="dxa"/>
        <w:bottom w:w="0" w:type="dxa"/>
      </w:tblCellMar>
    </w:tblPr>
  </w:style>
  <w:style w:type="table" w:styleId="1303" w:customStyle="1">
    <w:name w:val="Grid Table 7 Colorful - Accent 5"/>
    <w:uiPriority w:val="99"/>
    <w:qFormat/>
    <w:pPr>
      <w:spacing w:after="160" w:line="278" w:lineRule="auto"/>
    </w:pPr>
    <w:tblPr>
      <w:tblCellMar>
        <w:left w:w="0" w:type="dxa"/>
        <w:top w:w="0" w:type="dxa"/>
        <w:right w:w="0" w:type="dxa"/>
        <w:bottom w:w="0" w:type="dxa"/>
      </w:tblCellMar>
    </w:tblPr>
  </w:style>
  <w:style w:type="table" w:styleId="1304" w:customStyle="1">
    <w:name w:val="Grid Table 6 Colorful - Accent 2"/>
    <w:uiPriority w:val="99"/>
    <w:qFormat/>
    <w:pPr>
      <w:spacing w:after="160" w:line="278" w:lineRule="auto"/>
    </w:pPr>
    <w:tblPr>
      <w:tblCellMar>
        <w:left w:w="0" w:type="dxa"/>
        <w:top w:w="0" w:type="dxa"/>
        <w:right w:w="0" w:type="dxa"/>
        <w:bottom w:w="0" w:type="dxa"/>
      </w:tblCellMar>
    </w:tblPr>
  </w:style>
  <w:style w:type="table" w:styleId="1305" w:customStyle="1">
    <w:name w:val="Grid Table 5 Dark - Accent 6"/>
    <w:uiPriority w:val="99"/>
    <w:qFormat/>
    <w:pPr>
      <w:spacing w:after="160" w:line="278" w:lineRule="auto"/>
    </w:pPr>
    <w:tblPr>
      <w:tblCellMar>
        <w:left w:w="0" w:type="dxa"/>
        <w:top w:w="0" w:type="dxa"/>
        <w:right w:w="0" w:type="dxa"/>
        <w:bottom w:w="0" w:type="dxa"/>
      </w:tblCellMar>
    </w:tblPr>
  </w:style>
  <w:style w:type="table" w:styleId="1306" w:customStyle="1">
    <w:name w:val="List Table 1 Light - Accent 2"/>
    <w:uiPriority w:val="99"/>
    <w:qFormat/>
    <w:pPr>
      <w:spacing w:after="160" w:line="278" w:lineRule="auto"/>
    </w:pPr>
    <w:tblPr>
      <w:tblCellMar>
        <w:left w:w="0" w:type="dxa"/>
        <w:top w:w="0" w:type="dxa"/>
        <w:right w:w="0" w:type="dxa"/>
        <w:bottom w:w="0" w:type="dxa"/>
      </w:tblCellMar>
    </w:tblPr>
  </w:style>
  <w:style w:type="table" w:styleId="1307" w:customStyle="1">
    <w:name w:val="Grid Table 1 Light - Accent 3"/>
    <w:uiPriority w:val="99"/>
    <w:qFormat/>
    <w:pPr>
      <w:spacing w:after="160" w:line="278" w:lineRule="auto"/>
    </w:pPr>
    <w:tblPr>
      <w:tblCellMar>
        <w:left w:w="0" w:type="dxa"/>
        <w:top w:w="0" w:type="dxa"/>
        <w:right w:w="0" w:type="dxa"/>
        <w:bottom w:w="0" w:type="dxa"/>
      </w:tblCellMar>
    </w:tblPr>
  </w:style>
  <w:style w:type="table" w:styleId="1308" w:customStyle="1">
    <w:name w:val="Grid Table 6 Colorful - Accent 1"/>
    <w:uiPriority w:val="99"/>
    <w:qFormat/>
    <w:pPr>
      <w:spacing w:after="160" w:line="278" w:lineRule="auto"/>
    </w:pPr>
    <w:tblPr>
      <w:tblCellMar>
        <w:left w:w="0" w:type="dxa"/>
        <w:top w:w="0" w:type="dxa"/>
        <w:right w:w="0" w:type="dxa"/>
        <w:bottom w:w="0" w:type="dxa"/>
      </w:tblCellMar>
    </w:tblPr>
  </w:style>
  <w:style w:type="table" w:styleId="1309" w:customStyle="1">
    <w:name w:val="List Table 3 - Accent 2"/>
    <w:uiPriority w:val="99"/>
    <w:qFormat/>
    <w:pPr>
      <w:spacing w:after="160" w:line="278" w:lineRule="auto"/>
    </w:pPr>
    <w:tblPr>
      <w:tblCellMar>
        <w:left w:w="0" w:type="dxa"/>
        <w:top w:w="0" w:type="dxa"/>
        <w:right w:w="0" w:type="dxa"/>
        <w:bottom w:w="0" w:type="dxa"/>
      </w:tblCellMar>
    </w:tblPr>
  </w:style>
  <w:style w:type="table" w:styleId="1310" w:customStyle="1">
    <w:name w:val="Bordered &amp; Lined - Accent 2"/>
    <w:uiPriority w:val="99"/>
    <w:qFormat/>
    <w:pPr>
      <w:spacing w:after="160" w:line="278" w:lineRule="auto"/>
    </w:pPr>
    <w:rPr>
      <w:color w:val="404040"/>
    </w:rPr>
    <w:tblPr>
      <w:tblCellMar>
        <w:left w:w="0" w:type="dxa"/>
        <w:top w:w="0" w:type="dxa"/>
        <w:right w:w="0" w:type="dxa"/>
        <w:bottom w:w="0" w:type="dxa"/>
      </w:tblCellMar>
    </w:tblPr>
  </w:style>
  <w:style w:type="table" w:styleId="1311" w:customStyle="1">
    <w:name w:val="Lined - Accent 2"/>
    <w:uiPriority w:val="99"/>
    <w:qFormat/>
    <w:pPr>
      <w:spacing w:after="160" w:line="278" w:lineRule="auto"/>
    </w:pPr>
    <w:rPr>
      <w:color w:val="404040"/>
    </w:rPr>
    <w:tblPr>
      <w:tblCellMar>
        <w:left w:w="0" w:type="dxa"/>
        <w:top w:w="0" w:type="dxa"/>
        <w:right w:w="0" w:type="dxa"/>
        <w:bottom w:w="0" w:type="dxa"/>
      </w:tblCellMar>
    </w:tblPr>
  </w:style>
  <w:style w:type="table" w:styleId="1312" w:customStyle="1">
    <w:name w:val="Grid Table 5 Dark- Accent 4"/>
    <w:uiPriority w:val="99"/>
    <w:qFormat/>
    <w:pPr>
      <w:spacing w:after="160" w:line="278" w:lineRule="auto"/>
    </w:pPr>
    <w:tblPr>
      <w:tblCellMar>
        <w:left w:w="0" w:type="dxa"/>
        <w:top w:w="0" w:type="dxa"/>
        <w:right w:w="0" w:type="dxa"/>
        <w:bottom w:w="0" w:type="dxa"/>
      </w:tblCellMar>
    </w:tblPr>
  </w:style>
  <w:style w:type="table" w:styleId="1313" w:customStyle="1">
    <w:name w:val="List Table 7 Colorful - Accent 3"/>
    <w:uiPriority w:val="99"/>
    <w:qFormat/>
    <w:pPr>
      <w:spacing w:after="160" w:line="278" w:lineRule="auto"/>
    </w:pPr>
    <w:tblPr>
      <w:tblCellMar>
        <w:left w:w="0" w:type="dxa"/>
        <w:top w:w="0" w:type="dxa"/>
        <w:right w:w="0" w:type="dxa"/>
        <w:bottom w:w="0" w:type="dxa"/>
      </w:tblCellMar>
    </w:tblPr>
  </w:style>
  <w:style w:type="table" w:styleId="1314" w:customStyle="1">
    <w:name w:val="List Table 2 - Accent 2"/>
    <w:uiPriority w:val="99"/>
    <w:qFormat/>
    <w:pPr>
      <w:spacing w:after="160" w:line="278" w:lineRule="auto"/>
    </w:pPr>
    <w:tblPr>
      <w:tblCellMar>
        <w:left w:w="0" w:type="dxa"/>
        <w:top w:w="0" w:type="dxa"/>
        <w:right w:w="0" w:type="dxa"/>
        <w:bottom w:w="0" w:type="dxa"/>
      </w:tblCellMar>
    </w:tblPr>
  </w:style>
  <w:style w:type="table" w:styleId="1315" w:customStyle="1">
    <w:name w:val="Lined - Accent 3"/>
    <w:uiPriority w:val="99"/>
    <w:qFormat/>
    <w:pPr>
      <w:spacing w:after="160" w:line="278" w:lineRule="auto"/>
    </w:pPr>
    <w:rPr>
      <w:color w:val="404040"/>
    </w:rPr>
    <w:tblPr>
      <w:tblCellMar>
        <w:left w:w="0" w:type="dxa"/>
        <w:top w:w="0" w:type="dxa"/>
        <w:right w:w="0" w:type="dxa"/>
        <w:bottom w:w="0" w:type="dxa"/>
      </w:tblCellMar>
    </w:tblPr>
  </w:style>
  <w:style w:type="table" w:styleId="1316" w:customStyle="1">
    <w:name w:val="Table Grid Light"/>
    <w:uiPriority w:val="59"/>
    <w:qFormat/>
    <w:pPr>
      <w:spacing w:after="160" w:line="278" w:lineRule="auto"/>
    </w:pPr>
    <w:tblPr>
      <w:tblCellMar>
        <w:left w:w="0" w:type="dxa"/>
        <w:top w:w="0" w:type="dxa"/>
        <w:right w:w="0" w:type="dxa"/>
        <w:bottom w:w="0" w:type="dxa"/>
      </w:tblCellMar>
    </w:tblPr>
  </w:style>
  <w:style w:type="table" w:styleId="1317" w:customStyle="1">
    <w:name w:val="List Table 4 - Accent 4"/>
    <w:uiPriority w:val="99"/>
    <w:qFormat/>
    <w:pPr>
      <w:spacing w:after="160" w:line="278" w:lineRule="auto"/>
    </w:pPr>
    <w:tblPr>
      <w:tblCellMar>
        <w:left w:w="0" w:type="dxa"/>
        <w:top w:w="0" w:type="dxa"/>
        <w:right w:w="0" w:type="dxa"/>
        <w:bottom w:w="0" w:type="dxa"/>
      </w:tblCellMar>
    </w:tblPr>
  </w:style>
  <w:style w:type="table" w:styleId="1318" w:customStyle="1">
    <w:name w:val="Bordered &amp; Lined - Accent 6"/>
    <w:uiPriority w:val="99"/>
    <w:qFormat/>
    <w:pPr>
      <w:spacing w:after="160" w:line="278" w:lineRule="auto"/>
    </w:pPr>
    <w:rPr>
      <w:color w:val="404040"/>
    </w:rPr>
    <w:tblPr>
      <w:tblCellMar>
        <w:left w:w="0" w:type="dxa"/>
        <w:top w:w="0" w:type="dxa"/>
        <w:right w:w="0" w:type="dxa"/>
        <w:bottom w:w="0" w:type="dxa"/>
      </w:tblCellMar>
    </w:tblPr>
  </w:style>
  <w:style w:type="table" w:styleId="1319" w:customStyle="1">
    <w:name w:val="Grid Table 1 Light - Accent 6"/>
    <w:uiPriority w:val="99"/>
    <w:qFormat/>
    <w:pPr>
      <w:spacing w:after="160" w:line="278" w:lineRule="auto"/>
    </w:pPr>
    <w:tblPr>
      <w:tblCellMar>
        <w:left w:w="0" w:type="dxa"/>
        <w:top w:w="0" w:type="dxa"/>
        <w:right w:w="0" w:type="dxa"/>
        <w:bottom w:w="0" w:type="dxa"/>
      </w:tblCellMar>
    </w:tblPr>
  </w:style>
  <w:style w:type="table" w:styleId="1320" w:customStyle="1">
    <w:name w:val="Grid Table 4 - Accent 3"/>
    <w:uiPriority w:val="59"/>
    <w:qFormat/>
    <w:pPr>
      <w:spacing w:after="160" w:line="278" w:lineRule="auto"/>
    </w:pPr>
    <w:tblPr>
      <w:tblCellMar>
        <w:left w:w="0" w:type="dxa"/>
        <w:top w:w="0" w:type="dxa"/>
        <w:right w:w="0" w:type="dxa"/>
        <w:bottom w:w="0" w:type="dxa"/>
      </w:tblCellMar>
    </w:tblPr>
  </w:style>
  <w:style w:type="table" w:styleId="1321" w:customStyle="1">
    <w:name w:val="Lined - Accent 1"/>
    <w:uiPriority w:val="99"/>
    <w:qFormat/>
    <w:pPr>
      <w:spacing w:after="160" w:line="278" w:lineRule="auto"/>
    </w:pPr>
    <w:rPr>
      <w:color w:val="404040"/>
    </w:rPr>
    <w:tblPr>
      <w:tblCellMar>
        <w:left w:w="0" w:type="dxa"/>
        <w:top w:w="0" w:type="dxa"/>
        <w:right w:w="0" w:type="dxa"/>
        <w:bottom w:w="0" w:type="dxa"/>
      </w:tblCellMar>
    </w:tblPr>
  </w:style>
  <w:style w:type="table" w:styleId="1322" w:customStyle="1">
    <w:name w:val="List Table 3 - Accent 6"/>
    <w:uiPriority w:val="99"/>
    <w:qFormat/>
    <w:pPr>
      <w:spacing w:after="160" w:line="278" w:lineRule="auto"/>
    </w:pPr>
    <w:tblPr>
      <w:tblCellMar>
        <w:left w:w="0" w:type="dxa"/>
        <w:top w:w="0" w:type="dxa"/>
        <w:right w:w="0" w:type="dxa"/>
        <w:bottom w:w="0" w:type="dxa"/>
      </w:tblCellMar>
    </w:tblPr>
  </w:style>
  <w:style w:type="table" w:styleId="1323" w:customStyle="1">
    <w:name w:val="清单表 7 彩色1"/>
    <w:uiPriority w:val="99"/>
    <w:qFormat/>
    <w:pPr>
      <w:spacing w:after="160" w:line="278" w:lineRule="auto"/>
    </w:pPr>
    <w:tblPr>
      <w:tblCellMar>
        <w:left w:w="0" w:type="dxa"/>
        <w:top w:w="0" w:type="dxa"/>
        <w:right w:w="0" w:type="dxa"/>
        <w:bottom w:w="0" w:type="dxa"/>
      </w:tblCellMar>
    </w:tblPr>
  </w:style>
  <w:style w:type="table" w:styleId="1324" w:customStyle="1">
    <w:name w:val="List Table 2 - Accent 4"/>
    <w:uiPriority w:val="99"/>
    <w:qFormat/>
    <w:pPr>
      <w:spacing w:after="160" w:line="278" w:lineRule="auto"/>
    </w:pPr>
    <w:tblPr>
      <w:tblCellMar>
        <w:left w:w="0" w:type="dxa"/>
        <w:top w:w="0" w:type="dxa"/>
        <w:right w:w="0" w:type="dxa"/>
        <w:bottom w:w="0" w:type="dxa"/>
      </w:tblCellMar>
    </w:tblPr>
  </w:style>
  <w:style w:type="table" w:styleId="1325" w:customStyle="1">
    <w:name w:val="清单表 1 浅色1"/>
    <w:uiPriority w:val="99"/>
    <w:qFormat/>
    <w:pPr>
      <w:spacing w:after="160" w:line="278" w:lineRule="auto"/>
    </w:pPr>
    <w:tblPr>
      <w:tblCellMar>
        <w:left w:w="0" w:type="dxa"/>
        <w:top w:w="0" w:type="dxa"/>
        <w:right w:w="0" w:type="dxa"/>
        <w:bottom w:w="0" w:type="dxa"/>
      </w:tblCellMar>
    </w:tblPr>
  </w:style>
  <w:style w:type="table" w:styleId="1326" w:customStyle="1">
    <w:name w:val="Grid Table 5 Dark - Accent 5"/>
    <w:uiPriority w:val="99"/>
    <w:qFormat/>
    <w:pPr>
      <w:spacing w:after="160" w:line="278" w:lineRule="auto"/>
    </w:pPr>
    <w:tblPr>
      <w:tblCellMar>
        <w:left w:w="0" w:type="dxa"/>
        <w:top w:w="0" w:type="dxa"/>
        <w:right w:w="0" w:type="dxa"/>
        <w:bottom w:w="0" w:type="dxa"/>
      </w:tblCellMar>
    </w:tblPr>
  </w:style>
  <w:style w:type="table" w:styleId="1327" w:customStyle="1">
    <w:name w:val="无格式表格 11"/>
    <w:uiPriority w:val="59"/>
    <w:qFormat/>
    <w:pPr>
      <w:spacing w:after="160" w:line="278" w:lineRule="auto"/>
    </w:pPr>
    <w:tblPr>
      <w:tblCellMar>
        <w:left w:w="0" w:type="dxa"/>
        <w:top w:w="0" w:type="dxa"/>
        <w:right w:w="0" w:type="dxa"/>
        <w:bottom w:w="0" w:type="dxa"/>
      </w:tblCellMar>
    </w:tblPr>
  </w:style>
  <w:style w:type="table" w:styleId="1328" w:customStyle="1">
    <w:name w:val="Lined - Accent 5"/>
    <w:uiPriority w:val="99"/>
    <w:qFormat/>
    <w:pPr>
      <w:spacing w:after="160" w:line="278" w:lineRule="auto"/>
    </w:pPr>
    <w:rPr>
      <w:color w:val="404040"/>
    </w:rPr>
    <w:tblPr>
      <w:tblCellMar>
        <w:left w:w="0" w:type="dxa"/>
        <w:top w:w="0" w:type="dxa"/>
        <w:right w:w="0" w:type="dxa"/>
        <w:bottom w:w="0" w:type="dxa"/>
      </w:tblCellMar>
    </w:tblPr>
  </w:style>
  <w:style w:type="table" w:styleId="1329" w:customStyle="1">
    <w:name w:val="List Table 7 Colorful - Accent 1"/>
    <w:uiPriority w:val="99"/>
    <w:qFormat/>
    <w:pPr>
      <w:spacing w:after="160" w:line="278" w:lineRule="auto"/>
    </w:pPr>
    <w:tblPr>
      <w:tblCellMar>
        <w:left w:w="0" w:type="dxa"/>
        <w:top w:w="0" w:type="dxa"/>
        <w:right w:w="0" w:type="dxa"/>
        <w:bottom w:w="0" w:type="dxa"/>
      </w:tblCellMar>
    </w:tblPr>
  </w:style>
  <w:style w:type="table" w:styleId="1330" w:customStyle="1">
    <w:name w:val="Grid Table 7 Colorful - Accent 1"/>
    <w:uiPriority w:val="99"/>
    <w:qFormat/>
    <w:pPr>
      <w:spacing w:after="160" w:line="278" w:lineRule="auto"/>
    </w:pPr>
    <w:tblPr>
      <w:tblCellMar>
        <w:left w:w="0" w:type="dxa"/>
        <w:top w:w="0" w:type="dxa"/>
        <w:right w:w="0" w:type="dxa"/>
        <w:bottom w:w="0" w:type="dxa"/>
      </w:tblCellMar>
    </w:tblPr>
  </w:style>
  <w:style w:type="table" w:styleId="1331" w:customStyle="1">
    <w:name w:val="网格表 7 彩色1"/>
    <w:uiPriority w:val="99"/>
    <w:qFormat/>
    <w:pPr>
      <w:spacing w:after="160" w:line="278" w:lineRule="auto"/>
    </w:pPr>
    <w:tblPr>
      <w:tblCellMar>
        <w:left w:w="0" w:type="dxa"/>
        <w:top w:w="0" w:type="dxa"/>
        <w:right w:w="0" w:type="dxa"/>
        <w:bottom w:w="0" w:type="dxa"/>
      </w:tblCellMar>
    </w:tblPr>
  </w:style>
  <w:style w:type="table" w:styleId="1332" w:customStyle="1">
    <w:name w:val="Grid Table 5 Dark- Accent 1"/>
    <w:uiPriority w:val="99"/>
    <w:qFormat/>
    <w:pPr>
      <w:spacing w:after="160" w:line="278" w:lineRule="auto"/>
    </w:pPr>
    <w:tblPr>
      <w:tblCellMar>
        <w:left w:w="0" w:type="dxa"/>
        <w:top w:w="0" w:type="dxa"/>
        <w:right w:w="0" w:type="dxa"/>
        <w:bottom w:w="0" w:type="dxa"/>
      </w:tblCellMar>
    </w:tblPr>
  </w:style>
  <w:style w:type="table" w:styleId="1333" w:customStyle="1">
    <w:name w:val="清单表 5 深色1"/>
    <w:uiPriority w:val="99"/>
    <w:qFormat/>
    <w:pPr>
      <w:spacing w:after="160" w:line="278" w:lineRule="auto"/>
    </w:pPr>
    <w:tblPr>
      <w:tblCellMar>
        <w:left w:w="0" w:type="dxa"/>
        <w:top w:w="0" w:type="dxa"/>
        <w:right w:w="0" w:type="dxa"/>
        <w:bottom w:w="0" w:type="dxa"/>
      </w:tblCellMar>
    </w:tblPr>
  </w:style>
  <w:style w:type="table" w:styleId="1334" w:customStyle="1">
    <w:name w:val="Grid Table 1 Light - Accent 4"/>
    <w:uiPriority w:val="99"/>
    <w:qFormat/>
    <w:pPr>
      <w:spacing w:after="160" w:line="278" w:lineRule="auto"/>
    </w:pPr>
    <w:tblPr>
      <w:tblCellMar>
        <w:left w:w="0" w:type="dxa"/>
        <w:top w:w="0" w:type="dxa"/>
        <w:right w:w="0" w:type="dxa"/>
        <w:bottom w:w="0" w:type="dxa"/>
      </w:tblCellMar>
    </w:tblPr>
  </w:style>
  <w:style w:type="table" w:styleId="1335" w:customStyle="1">
    <w:name w:val="Bordered &amp; Lined - Accent 5"/>
    <w:uiPriority w:val="99"/>
    <w:qFormat/>
    <w:pPr>
      <w:spacing w:after="160" w:line="278" w:lineRule="auto"/>
    </w:pPr>
    <w:rPr>
      <w:color w:val="404040"/>
    </w:rPr>
    <w:tblPr>
      <w:tblCellMar>
        <w:left w:w="0" w:type="dxa"/>
        <w:top w:w="0" w:type="dxa"/>
        <w:right w:w="0" w:type="dxa"/>
        <w:bottom w:w="0" w:type="dxa"/>
      </w:tblCellMar>
    </w:tblPr>
  </w:style>
  <w:style w:type="table" w:styleId="1336" w:customStyle="1">
    <w:name w:val="Bordered &amp; Lined - Accent 3"/>
    <w:uiPriority w:val="99"/>
    <w:qFormat/>
    <w:pPr>
      <w:spacing w:after="160" w:line="278" w:lineRule="auto"/>
    </w:pPr>
    <w:rPr>
      <w:color w:val="404040"/>
    </w:rPr>
    <w:tblPr>
      <w:tblCellMar>
        <w:left w:w="0" w:type="dxa"/>
        <w:top w:w="0" w:type="dxa"/>
        <w:right w:w="0" w:type="dxa"/>
        <w:bottom w:w="0" w:type="dxa"/>
      </w:tblCellMar>
    </w:tblPr>
  </w:style>
  <w:style w:type="table" w:styleId="1337" w:customStyle="1">
    <w:name w:val="List Table 5 Dark - Accent 6"/>
    <w:uiPriority w:val="99"/>
    <w:qFormat/>
    <w:pPr>
      <w:spacing w:after="160" w:line="278" w:lineRule="auto"/>
    </w:pPr>
    <w:tblPr>
      <w:tblCellMar>
        <w:left w:w="0" w:type="dxa"/>
        <w:top w:w="0" w:type="dxa"/>
        <w:right w:w="0" w:type="dxa"/>
        <w:bottom w:w="0" w:type="dxa"/>
      </w:tblCellMar>
    </w:tblPr>
  </w:style>
  <w:style w:type="table" w:styleId="1338" w:customStyle="1">
    <w:name w:val="Lined - Accent"/>
    <w:uiPriority w:val="99"/>
    <w:qFormat/>
    <w:pPr>
      <w:spacing w:after="160" w:line="278" w:lineRule="auto"/>
    </w:pPr>
    <w:rPr>
      <w:color w:val="404040"/>
    </w:rPr>
    <w:tblPr>
      <w:tblCellMar>
        <w:left w:w="0" w:type="dxa"/>
        <w:top w:w="0" w:type="dxa"/>
        <w:right w:w="0" w:type="dxa"/>
        <w:bottom w:w="0" w:type="dxa"/>
      </w:tblCellMar>
    </w:tblPr>
  </w:style>
  <w:style w:type="table" w:styleId="1339" w:customStyle="1">
    <w:name w:val="List Table 6 Colorful - Accent 1"/>
    <w:uiPriority w:val="99"/>
    <w:qFormat/>
    <w:pPr>
      <w:spacing w:after="160" w:line="278" w:lineRule="auto"/>
    </w:pPr>
    <w:tblPr>
      <w:tblCellMar>
        <w:left w:w="0" w:type="dxa"/>
        <w:top w:w="0" w:type="dxa"/>
        <w:right w:w="0" w:type="dxa"/>
        <w:bottom w:w="0" w:type="dxa"/>
      </w:tblCellMar>
    </w:tblPr>
  </w:style>
  <w:style w:type="table" w:styleId="1340" w:customStyle="1">
    <w:name w:val="List Table 1 Light - Accent 6"/>
    <w:uiPriority w:val="99"/>
    <w:qFormat/>
    <w:pPr>
      <w:spacing w:after="160" w:line="278" w:lineRule="auto"/>
    </w:pPr>
    <w:tblPr>
      <w:tblCellMar>
        <w:left w:w="0" w:type="dxa"/>
        <w:top w:w="0" w:type="dxa"/>
        <w:right w:w="0" w:type="dxa"/>
        <w:bottom w:w="0" w:type="dxa"/>
      </w:tblCellMar>
    </w:tblPr>
  </w:style>
  <w:style w:type="table" w:styleId="1341" w:customStyle="1">
    <w:name w:val="清单表 41"/>
    <w:uiPriority w:val="99"/>
    <w:qFormat/>
    <w:pPr>
      <w:spacing w:after="160" w:line="278" w:lineRule="auto"/>
    </w:pPr>
    <w:tblPr>
      <w:tblCellMar>
        <w:left w:w="0" w:type="dxa"/>
        <w:top w:w="0" w:type="dxa"/>
        <w:right w:w="0" w:type="dxa"/>
        <w:bottom w:w="0" w:type="dxa"/>
      </w:tblCellMar>
    </w:tblPr>
  </w:style>
  <w:style w:type="table" w:styleId="1342" w:customStyle="1">
    <w:name w:val="List Table 6 Colorful - Accent 4"/>
    <w:uiPriority w:val="99"/>
    <w:qFormat/>
    <w:pPr>
      <w:spacing w:after="160" w:line="278" w:lineRule="auto"/>
    </w:pPr>
    <w:tblPr>
      <w:tblCellMar>
        <w:left w:w="0" w:type="dxa"/>
        <w:top w:w="0" w:type="dxa"/>
        <w:right w:w="0" w:type="dxa"/>
        <w:bottom w:w="0" w:type="dxa"/>
      </w:tblCellMar>
    </w:tblPr>
  </w:style>
  <w:style w:type="table" w:styleId="1343" w:customStyle="1">
    <w:name w:val="清单表 31"/>
    <w:uiPriority w:val="99"/>
    <w:qFormat/>
    <w:pPr>
      <w:spacing w:after="160" w:line="278" w:lineRule="auto"/>
    </w:pPr>
    <w:tblPr>
      <w:tblCellMar>
        <w:left w:w="0" w:type="dxa"/>
        <w:top w:w="0" w:type="dxa"/>
        <w:right w:w="0" w:type="dxa"/>
        <w:bottom w:w="0" w:type="dxa"/>
      </w:tblCellMar>
    </w:tblPr>
  </w:style>
  <w:style w:type="table" w:styleId="1344" w:customStyle="1">
    <w:name w:val="Grid Table 2 - Accent 6"/>
    <w:uiPriority w:val="99"/>
    <w:qFormat/>
    <w:pPr>
      <w:spacing w:after="160" w:line="278" w:lineRule="auto"/>
    </w:pPr>
    <w:tblPr>
      <w:tblCellMar>
        <w:left w:w="0" w:type="dxa"/>
        <w:top w:w="0" w:type="dxa"/>
        <w:right w:w="0" w:type="dxa"/>
        <w:bottom w:w="0" w:type="dxa"/>
      </w:tblCellMar>
    </w:tblPr>
  </w:style>
  <w:style w:type="table" w:styleId="1345" w:customStyle="1">
    <w:name w:val="Grid Table 4 - Accent 6"/>
    <w:uiPriority w:val="59"/>
    <w:qFormat/>
    <w:pPr>
      <w:spacing w:after="160" w:line="278" w:lineRule="auto"/>
    </w:pPr>
    <w:tblPr>
      <w:tblCellMar>
        <w:left w:w="0" w:type="dxa"/>
        <w:top w:w="0" w:type="dxa"/>
        <w:right w:w="0" w:type="dxa"/>
        <w:bottom w:w="0" w:type="dxa"/>
      </w:tblCellMar>
    </w:tblPr>
  </w:style>
  <w:style w:type="table" w:styleId="1346" w:customStyle="1">
    <w:name w:val="List Table 5 Dark - Accent 3"/>
    <w:uiPriority w:val="99"/>
    <w:qFormat/>
    <w:pPr>
      <w:spacing w:after="160" w:line="278" w:lineRule="auto"/>
    </w:pPr>
    <w:tblPr>
      <w:tblCellMar>
        <w:left w:w="0" w:type="dxa"/>
        <w:top w:w="0" w:type="dxa"/>
        <w:right w:w="0" w:type="dxa"/>
        <w:bottom w:w="0" w:type="dxa"/>
      </w:tblCellMar>
    </w:tblPr>
  </w:style>
  <w:style w:type="table" w:styleId="1347" w:customStyle="1">
    <w:name w:val="Grid Table 7 Colorful - Accent 3"/>
    <w:uiPriority w:val="99"/>
    <w:qFormat/>
    <w:pPr>
      <w:spacing w:after="160" w:line="278" w:lineRule="auto"/>
    </w:pPr>
    <w:tblPr>
      <w:tblCellMar>
        <w:left w:w="0" w:type="dxa"/>
        <w:top w:w="0" w:type="dxa"/>
        <w:right w:w="0" w:type="dxa"/>
        <w:bottom w:w="0" w:type="dxa"/>
      </w:tblCellMar>
    </w:tblPr>
  </w:style>
  <w:style w:type="table" w:styleId="1348" w:customStyle="1">
    <w:name w:val="Grid Table 1 Light - Accent 5"/>
    <w:uiPriority w:val="99"/>
    <w:qFormat/>
    <w:pPr>
      <w:spacing w:after="160" w:line="278" w:lineRule="auto"/>
    </w:pPr>
    <w:tblPr>
      <w:tblCellMar>
        <w:left w:w="0" w:type="dxa"/>
        <w:top w:w="0" w:type="dxa"/>
        <w:right w:w="0" w:type="dxa"/>
        <w:bottom w:w="0" w:type="dxa"/>
      </w:tblCellMar>
    </w:tblPr>
  </w:style>
  <w:style w:type="table" w:styleId="1349" w:customStyle="1">
    <w:name w:val="Table Normal"/>
    <w:uiPriority w:val="0"/>
    <w:unhideWhenUsed/>
    <w:qFormat/>
    <w:pPr>
      <w:spacing w:after="160" w:line="278" w:lineRule="auto"/>
    </w:pPr>
    <w:tblPr>
      <w:tblCellMar>
        <w:left w:w="0" w:type="dxa"/>
        <w:top w:w="0" w:type="dxa"/>
        <w:right w:w="0" w:type="dxa"/>
        <w:bottom w:w="0" w:type="dxa"/>
      </w:tblCellMar>
    </w:tblPr>
  </w:style>
  <w:style w:type="table" w:styleId="1350" w:customStyle="1">
    <w:name w:val="List Table 6 Colorful - Accent 3"/>
    <w:uiPriority w:val="99"/>
    <w:qFormat/>
    <w:pPr>
      <w:spacing w:after="160" w:line="278" w:lineRule="auto"/>
    </w:pPr>
    <w:tblPr>
      <w:tblCellMar>
        <w:left w:w="0" w:type="dxa"/>
        <w:top w:w="0" w:type="dxa"/>
        <w:right w:w="0" w:type="dxa"/>
        <w:bottom w:w="0" w:type="dxa"/>
      </w:tblCellMar>
    </w:tblPr>
  </w:style>
  <w:style w:type="table" w:styleId="1351" w:customStyle="1">
    <w:name w:val="List Table 7 Colorful - Accent 2"/>
    <w:uiPriority w:val="99"/>
    <w:qFormat/>
    <w:pPr>
      <w:spacing w:after="160" w:line="278" w:lineRule="auto"/>
    </w:pPr>
    <w:tblPr>
      <w:tblCellMar>
        <w:left w:w="0" w:type="dxa"/>
        <w:top w:w="0" w:type="dxa"/>
        <w:right w:w="0" w:type="dxa"/>
        <w:bottom w:w="0" w:type="dxa"/>
      </w:tblCellMar>
    </w:tblPr>
  </w:style>
  <w:style w:type="table" w:styleId="1352" w:customStyle="1">
    <w:name w:val="Grid Table 3 - Accent 3"/>
    <w:uiPriority w:val="99"/>
    <w:qFormat/>
    <w:pPr>
      <w:spacing w:after="160" w:line="278" w:lineRule="auto"/>
    </w:pPr>
    <w:tblPr>
      <w:tblCellMar>
        <w:left w:w="0" w:type="dxa"/>
        <w:top w:w="0" w:type="dxa"/>
        <w:right w:w="0" w:type="dxa"/>
        <w:bottom w:w="0" w:type="dxa"/>
      </w:tblCellMar>
    </w:tblPr>
  </w:style>
  <w:style w:type="table" w:styleId="1353" w:customStyle="1">
    <w:name w:val="Grid Table 6 Colorful - Accent 5"/>
    <w:uiPriority w:val="99"/>
    <w:qFormat/>
    <w:pPr>
      <w:spacing w:after="160" w:line="278" w:lineRule="auto"/>
    </w:pPr>
    <w:tblPr>
      <w:tblCellMar>
        <w:left w:w="0" w:type="dxa"/>
        <w:top w:w="0" w:type="dxa"/>
        <w:right w:w="0" w:type="dxa"/>
        <w:bottom w:w="0" w:type="dxa"/>
      </w:tblCellMar>
    </w:tblPr>
  </w:style>
  <w:style w:type="table" w:styleId="1354" w:customStyle="1">
    <w:name w:val="List Table 5 Dark - Accent 4"/>
    <w:uiPriority w:val="99"/>
    <w:qFormat/>
    <w:pPr>
      <w:spacing w:after="160" w:line="278" w:lineRule="auto"/>
    </w:pPr>
    <w:tblPr>
      <w:tblCellMar>
        <w:left w:w="0" w:type="dxa"/>
        <w:top w:w="0" w:type="dxa"/>
        <w:right w:w="0" w:type="dxa"/>
        <w:bottom w:w="0" w:type="dxa"/>
      </w:tblCellMar>
    </w:tblPr>
  </w:style>
  <w:style w:type="table" w:styleId="1355" w:customStyle="1">
    <w:name w:val="Grid Table 6 Colorful - Accent 4"/>
    <w:uiPriority w:val="99"/>
    <w:qFormat/>
    <w:pPr>
      <w:spacing w:after="160" w:line="278" w:lineRule="auto"/>
    </w:pPr>
    <w:tblPr>
      <w:tblCellMar>
        <w:left w:w="0" w:type="dxa"/>
        <w:top w:w="0" w:type="dxa"/>
        <w:right w:w="0" w:type="dxa"/>
        <w:bottom w:w="0" w:type="dxa"/>
      </w:tblCellMar>
    </w:tblPr>
  </w:style>
  <w:style w:type="table" w:styleId="1356" w:customStyle="1">
    <w:name w:val="Bordered - Accent 4"/>
    <w:uiPriority w:val="99"/>
    <w:qFormat/>
    <w:pPr>
      <w:spacing w:after="160" w:line="278" w:lineRule="auto"/>
    </w:pPr>
    <w:tblPr>
      <w:tblCellMar>
        <w:left w:w="0" w:type="dxa"/>
        <w:top w:w="0" w:type="dxa"/>
        <w:right w:w="0" w:type="dxa"/>
        <w:bottom w:w="0" w:type="dxa"/>
      </w:tblCellMar>
    </w:tblPr>
  </w:style>
  <w:style w:type="table" w:styleId="1357" w:customStyle="1">
    <w:name w:val="List Table 3 - Accent 3"/>
    <w:uiPriority w:val="99"/>
    <w:qFormat/>
    <w:pPr>
      <w:spacing w:after="160" w:line="278" w:lineRule="auto"/>
    </w:pPr>
    <w:tblPr>
      <w:tblCellMar>
        <w:left w:w="0" w:type="dxa"/>
        <w:top w:w="0" w:type="dxa"/>
        <w:right w:w="0" w:type="dxa"/>
        <w:bottom w:w="0" w:type="dxa"/>
      </w:tblCellMar>
    </w:tblPr>
  </w:style>
  <w:style w:type="table" w:styleId="1358" w:customStyle="1">
    <w:name w:val="Bordered - Accent 1"/>
    <w:uiPriority w:val="99"/>
    <w:qFormat/>
    <w:pPr>
      <w:spacing w:after="160" w:line="278" w:lineRule="auto"/>
    </w:pPr>
    <w:tblPr>
      <w:tblCellMar>
        <w:left w:w="0" w:type="dxa"/>
        <w:top w:w="0" w:type="dxa"/>
        <w:right w:w="0" w:type="dxa"/>
        <w:bottom w:w="0" w:type="dxa"/>
      </w:tblCellMar>
    </w:tblPr>
  </w:style>
  <w:style w:type="table" w:styleId="1359" w:customStyle="1">
    <w:name w:val="List Table 2 - Accent 5"/>
    <w:uiPriority w:val="99"/>
    <w:qFormat/>
    <w:pPr>
      <w:spacing w:after="160" w:line="278" w:lineRule="auto"/>
    </w:pPr>
    <w:tblPr>
      <w:tblCellMar>
        <w:left w:w="0" w:type="dxa"/>
        <w:top w:w="0" w:type="dxa"/>
        <w:right w:w="0" w:type="dxa"/>
        <w:bottom w:w="0" w:type="dxa"/>
      </w:tblCellMar>
    </w:tblPr>
  </w:style>
  <w:style w:type="table" w:styleId="1360" w:customStyle="1">
    <w:name w:val="网格表 5 深色1"/>
    <w:uiPriority w:val="99"/>
    <w:qFormat/>
    <w:pPr>
      <w:spacing w:after="160" w:line="278" w:lineRule="auto"/>
    </w:pPr>
    <w:tblPr>
      <w:tblCellMar>
        <w:left w:w="0" w:type="dxa"/>
        <w:top w:w="0" w:type="dxa"/>
        <w:right w:w="0" w:type="dxa"/>
        <w:bottom w:w="0" w:type="dxa"/>
      </w:tblCellMar>
    </w:tblPr>
  </w:style>
  <w:style w:type="table" w:styleId="1361" w:customStyle="1">
    <w:name w:val="Grid Table 6 Colorful - Accent 6"/>
    <w:uiPriority w:val="99"/>
    <w:qFormat/>
    <w:pPr>
      <w:spacing w:after="160" w:line="278" w:lineRule="auto"/>
    </w:pPr>
    <w:tblPr>
      <w:tblCellMar>
        <w:left w:w="0" w:type="dxa"/>
        <w:top w:w="0" w:type="dxa"/>
        <w:right w:w="0" w:type="dxa"/>
        <w:bottom w:w="0" w:type="dxa"/>
      </w:tblCellMar>
    </w:tblPr>
  </w:style>
  <w:style w:type="table" w:styleId="1362" w:customStyle="1">
    <w:name w:val="Grid Table 4 - Accent 4"/>
    <w:uiPriority w:val="59"/>
    <w:qFormat/>
    <w:pPr>
      <w:spacing w:after="160" w:line="278" w:lineRule="auto"/>
    </w:pPr>
    <w:tblPr>
      <w:tblCellMar>
        <w:left w:w="0" w:type="dxa"/>
        <w:top w:w="0" w:type="dxa"/>
        <w:right w:w="0" w:type="dxa"/>
        <w:bottom w:w="0" w:type="dxa"/>
      </w:tblCellMar>
    </w:tblPr>
  </w:style>
  <w:style w:type="table" w:styleId="1363" w:customStyle="1">
    <w:name w:val="List Table 5 Dark - Accent 2"/>
    <w:uiPriority w:val="99"/>
    <w:qFormat/>
    <w:pPr>
      <w:spacing w:after="160" w:line="278" w:lineRule="auto"/>
    </w:pPr>
    <w:tblPr>
      <w:tblCellMar>
        <w:left w:w="0" w:type="dxa"/>
        <w:top w:w="0" w:type="dxa"/>
        <w:right w:w="0" w:type="dxa"/>
        <w:bottom w:w="0" w:type="dxa"/>
      </w:tblCellMar>
    </w:tblPr>
  </w:style>
  <w:style w:type="table" w:styleId="1364" w:customStyle="1">
    <w:name w:val="List Table 4 - Accent 1"/>
    <w:uiPriority w:val="99"/>
    <w:qFormat/>
    <w:pPr>
      <w:spacing w:after="160" w:line="278" w:lineRule="auto"/>
    </w:pPr>
    <w:tblPr>
      <w:tblCellMar>
        <w:left w:w="0" w:type="dxa"/>
        <w:top w:w="0" w:type="dxa"/>
        <w:right w:w="0" w:type="dxa"/>
        <w:bottom w:w="0" w:type="dxa"/>
      </w:tblCellMar>
    </w:tblPr>
  </w:style>
  <w:style w:type="numbering" w:styleId="13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晴</dc:creator>
  <cp:lastModifiedBy>姚天明</cp:lastModifiedBy>
  <cp:revision>95</cp:revision>
  <dcterms:created xsi:type="dcterms:W3CDTF">2024-07-15T09:28:00Z</dcterms:created>
  <dcterms:modified xsi:type="dcterms:W3CDTF">2026-04-02T02:23:19Z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734312F103FB4288A1D0FE626AFB61B8_13</vt:lpwstr>
  </property>
  <property fmtid="{D5CDD505-2E9C-101B-9397-08002B2CF9AE}" pid="4" name="KSOTemplateDocerSaveRecord">
    <vt:lpwstr>eyJoZGlkIjoiZjhlNzhmMzE2NWJmYzM3NWM4MjUxMmNlZmFmNWFhOGUiLCJ1c2VySWQiOiI1NTc4MjI3MTkifQ==</vt:lpwstr>
  </property>
</Properties>
</file>