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46D03">
      <w:pPr>
        <w:pStyle w:val="18"/>
        <w:spacing w:before="120" w:beforeAutospacing="0" w:after="120" w:afterAutospacing="0" w:line="360" w:lineRule="auto"/>
        <w:rPr>
          <w:highlight w:val="none"/>
        </w:rPr>
      </w:pPr>
      <w:r>
        <w:rPr>
          <w:highlight w:val="none"/>
        </w:rPr>
        <w:t> </w:t>
      </w:r>
    </w:p>
    <w:p w14:paraId="72A0BB0D">
      <w:pPr>
        <w:pStyle w:val="18"/>
        <w:spacing w:before="120" w:beforeAutospacing="0" w:after="120" w:afterAutospacing="0" w:line="360" w:lineRule="auto"/>
        <w:jc w:val="center"/>
        <w:rPr>
          <w:rFonts w:ascii="Arial" w:hAnsi="Arial" w:cs="Arial"/>
          <w:b/>
          <w:color w:val="000000"/>
          <w:sz w:val="84"/>
          <w:szCs w:val="84"/>
          <w:highlight w:val="none"/>
        </w:rPr>
      </w:pPr>
    </w:p>
    <w:p w14:paraId="7FA6E28E">
      <w:pPr>
        <w:pStyle w:val="18"/>
        <w:spacing w:before="120" w:beforeAutospacing="0" w:after="120" w:afterAutospacing="0" w:line="360" w:lineRule="auto"/>
        <w:jc w:val="center"/>
        <w:rPr>
          <w:highlight w:val="none"/>
        </w:rPr>
      </w:pPr>
      <w:r>
        <w:rPr>
          <w:rFonts w:ascii="Arial" w:hAnsi="Arial" w:cs="Arial"/>
          <w:b/>
          <w:color w:val="000000"/>
          <w:sz w:val="84"/>
          <w:szCs w:val="84"/>
          <w:highlight w:val="none"/>
        </w:rPr>
        <w:t>竞争性谈判文件</w:t>
      </w:r>
    </w:p>
    <w:p w14:paraId="22EC2343">
      <w:pPr>
        <w:pStyle w:val="18"/>
        <w:spacing w:before="120" w:beforeAutospacing="0" w:after="120" w:afterAutospacing="0" w:line="360" w:lineRule="auto"/>
        <w:ind w:firstLine="643" w:firstLineChars="200"/>
        <w:rPr>
          <w:rFonts w:hint="eastAsia" w:ascii="Arial" w:hAnsi="Arial" w:cs="Arial"/>
          <w:b/>
          <w:color w:val="000000"/>
          <w:sz w:val="32"/>
          <w:szCs w:val="32"/>
          <w:highlight w:val="none"/>
        </w:rPr>
      </w:pPr>
      <w:r>
        <w:rPr>
          <w:rFonts w:ascii="Arial" w:hAnsi="Arial" w:cs="Arial"/>
          <w:b/>
          <w:color w:val="000000"/>
          <w:sz w:val="32"/>
          <w:szCs w:val="32"/>
          <w:highlight w:val="none"/>
        </w:rPr>
        <w:t>项目名称：</w:t>
      </w:r>
      <w:r>
        <w:rPr>
          <w:rFonts w:hint="eastAsia" w:ascii="Arial" w:hAnsi="Arial" w:cs="Arial"/>
          <w:b/>
          <w:color w:val="000000"/>
          <w:sz w:val="32"/>
          <w:szCs w:val="32"/>
          <w:highlight w:val="none"/>
        </w:rPr>
        <w:t>射阳县植物保护站2026年中央粮油生产保障小麦</w:t>
      </w:r>
    </w:p>
    <w:p w14:paraId="4DACCA3B">
      <w:pPr>
        <w:pStyle w:val="18"/>
        <w:spacing w:before="120" w:beforeAutospacing="0" w:after="120" w:afterAutospacing="0" w:line="360" w:lineRule="auto"/>
        <w:ind w:firstLine="2249" w:firstLineChars="700"/>
        <w:rPr>
          <w:rFonts w:ascii="Arial" w:hAnsi="Arial" w:cs="Arial"/>
          <w:b/>
          <w:color w:val="000000"/>
          <w:sz w:val="32"/>
          <w:szCs w:val="32"/>
          <w:highlight w:val="none"/>
        </w:rPr>
      </w:pPr>
      <w:r>
        <w:rPr>
          <w:rFonts w:hint="eastAsia" w:ascii="Arial" w:hAnsi="Arial" w:cs="Arial"/>
          <w:b/>
          <w:color w:val="000000"/>
          <w:sz w:val="32"/>
          <w:szCs w:val="32"/>
          <w:highlight w:val="none"/>
        </w:rPr>
        <w:t>“一喷三防”氰烯·戊唑醇采购项目</w:t>
      </w:r>
    </w:p>
    <w:p w14:paraId="4D024FBC">
      <w:pPr>
        <w:pStyle w:val="18"/>
        <w:spacing w:before="120" w:beforeAutospacing="0" w:after="120" w:afterAutospacing="0" w:line="360" w:lineRule="auto"/>
        <w:ind w:firstLine="643" w:firstLineChars="200"/>
        <w:rPr>
          <w:highlight w:val="none"/>
        </w:rPr>
      </w:pPr>
      <w:r>
        <w:rPr>
          <w:rFonts w:ascii="Arial" w:hAnsi="Arial" w:cs="Arial"/>
          <w:b/>
          <w:color w:val="000000"/>
          <w:sz w:val="32"/>
          <w:szCs w:val="32"/>
          <w:highlight w:val="none"/>
        </w:rPr>
        <w:t>项目编号：</w:t>
      </w:r>
      <w:r>
        <w:rPr>
          <w:rFonts w:hint="eastAsia" w:ascii="Arial" w:hAnsi="Arial" w:cs="Arial"/>
          <w:b/>
          <w:color w:val="000000"/>
          <w:sz w:val="32"/>
          <w:szCs w:val="32"/>
          <w:highlight w:val="none"/>
        </w:rPr>
        <w:t>JSZC-320924-SYHY-T2026-0005</w:t>
      </w:r>
      <w:r>
        <w:rPr>
          <w:rFonts w:ascii="Arial" w:hAnsi="Arial" w:cs="Arial"/>
          <w:b/>
          <w:color w:val="FF0000"/>
          <w:sz w:val="32"/>
          <w:szCs w:val="32"/>
          <w:highlight w:val="none"/>
        </w:rPr>
        <w:t xml:space="preserve">             </w:t>
      </w:r>
    </w:p>
    <w:p w14:paraId="3C3E1C8B">
      <w:pPr>
        <w:pStyle w:val="18"/>
        <w:spacing w:before="120" w:beforeAutospacing="0" w:after="120" w:afterAutospacing="0" w:line="360" w:lineRule="auto"/>
        <w:ind w:firstLine="2249"/>
        <w:rPr>
          <w:highlight w:val="none"/>
        </w:rPr>
      </w:pPr>
      <w:r>
        <w:rPr>
          <w:rFonts w:ascii="Times New Roman" w:hAnsi="Times New Roman"/>
          <w:b/>
          <w:color w:val="000000"/>
          <w:sz w:val="30"/>
          <w:szCs w:val="30"/>
          <w:highlight w:val="none"/>
        </w:rPr>
        <w:t xml:space="preserve">     </w:t>
      </w:r>
    </w:p>
    <w:p w14:paraId="317809B6">
      <w:pPr>
        <w:pStyle w:val="18"/>
        <w:spacing w:beforeAutospacing="0" w:afterAutospacing="0" w:line="360" w:lineRule="auto"/>
        <w:rPr>
          <w:highlight w:val="none"/>
        </w:rPr>
      </w:pPr>
      <w:r>
        <w:rPr>
          <w:highlight w:val="none"/>
        </w:rPr>
        <w:t> </w:t>
      </w:r>
    </w:p>
    <w:p w14:paraId="2D19AEA2">
      <w:pPr>
        <w:pStyle w:val="18"/>
        <w:spacing w:beforeAutospacing="0" w:afterAutospacing="0" w:line="360" w:lineRule="auto"/>
        <w:rPr>
          <w:highlight w:val="none"/>
        </w:rPr>
      </w:pPr>
      <w:r>
        <w:rPr>
          <w:highlight w:val="none"/>
        </w:rPr>
        <w:t> </w:t>
      </w:r>
    </w:p>
    <w:p w14:paraId="2EA71B31">
      <w:pPr>
        <w:pStyle w:val="18"/>
        <w:spacing w:beforeAutospacing="0" w:afterAutospacing="0" w:line="360" w:lineRule="auto"/>
        <w:rPr>
          <w:highlight w:val="none"/>
        </w:rPr>
      </w:pPr>
      <w:r>
        <w:rPr>
          <w:highlight w:val="none"/>
        </w:rPr>
        <w:t> </w:t>
      </w:r>
    </w:p>
    <w:p w14:paraId="01DC6369">
      <w:pPr>
        <w:pStyle w:val="18"/>
        <w:spacing w:beforeAutospacing="0" w:afterAutospacing="0" w:line="360" w:lineRule="auto"/>
        <w:rPr>
          <w:highlight w:val="none"/>
        </w:rPr>
      </w:pPr>
      <w:r>
        <w:rPr>
          <w:highlight w:val="none"/>
        </w:rPr>
        <w:t> </w:t>
      </w:r>
    </w:p>
    <w:p w14:paraId="42E3370C">
      <w:pPr>
        <w:pStyle w:val="18"/>
        <w:spacing w:beforeAutospacing="0" w:afterAutospacing="0" w:line="360" w:lineRule="auto"/>
        <w:rPr>
          <w:highlight w:val="none"/>
        </w:rPr>
      </w:pPr>
      <w:r>
        <w:rPr>
          <w:highlight w:val="none"/>
        </w:rPr>
        <w:t> </w:t>
      </w:r>
    </w:p>
    <w:p w14:paraId="78ACE48A">
      <w:pPr>
        <w:pStyle w:val="18"/>
        <w:spacing w:beforeAutospacing="0" w:afterAutospacing="0" w:line="360" w:lineRule="auto"/>
        <w:rPr>
          <w:highlight w:val="none"/>
        </w:rPr>
      </w:pPr>
      <w:r>
        <w:rPr>
          <w:highlight w:val="none"/>
        </w:rPr>
        <w:t> </w:t>
      </w:r>
    </w:p>
    <w:p w14:paraId="0B0FFE0C">
      <w:pPr>
        <w:pStyle w:val="18"/>
        <w:spacing w:beforeAutospacing="0" w:afterAutospacing="0" w:line="360" w:lineRule="auto"/>
        <w:rPr>
          <w:highlight w:val="none"/>
        </w:rPr>
      </w:pPr>
      <w:r>
        <w:rPr>
          <w:highlight w:val="none"/>
        </w:rPr>
        <w:t> </w:t>
      </w:r>
    </w:p>
    <w:p w14:paraId="7619EF7E">
      <w:pPr>
        <w:pStyle w:val="18"/>
        <w:spacing w:before="120" w:beforeAutospacing="0" w:after="120" w:afterAutospacing="0" w:line="360" w:lineRule="auto"/>
        <w:jc w:val="center"/>
        <w:rPr>
          <w:rFonts w:hint="eastAsia" w:ascii="Arial" w:hAnsi="Arial" w:cs="Arial" w:eastAsiaTheme="minorEastAsia"/>
          <w:b/>
          <w:color w:val="000000"/>
          <w:sz w:val="36"/>
          <w:szCs w:val="36"/>
          <w:highlight w:val="none"/>
          <w:lang w:eastAsia="zh-CN"/>
        </w:rPr>
      </w:pPr>
      <w:r>
        <w:rPr>
          <w:rFonts w:hint="eastAsia" w:ascii="Arial" w:hAnsi="Arial" w:cs="Arial"/>
          <w:b/>
          <w:color w:val="000000"/>
          <w:sz w:val="36"/>
          <w:szCs w:val="36"/>
          <w:highlight w:val="none"/>
          <w:lang w:eastAsia="zh-CN"/>
        </w:rPr>
        <w:t>射阳县植物保护站</w:t>
      </w:r>
    </w:p>
    <w:p w14:paraId="6B71EAA6">
      <w:pPr>
        <w:pStyle w:val="18"/>
        <w:spacing w:before="120" w:beforeAutospacing="0" w:after="120" w:afterAutospacing="0" w:line="360" w:lineRule="auto"/>
        <w:jc w:val="center"/>
        <w:rPr>
          <w:rFonts w:hint="default" w:ascii="Arial" w:hAnsi="Arial" w:cs="Arial"/>
          <w:b/>
          <w:color w:val="000000"/>
          <w:sz w:val="36"/>
          <w:szCs w:val="36"/>
          <w:highlight w:val="none"/>
          <w:lang w:val="en-US" w:eastAsia="zh-CN"/>
        </w:rPr>
      </w:pPr>
      <w:r>
        <w:rPr>
          <w:rFonts w:hint="eastAsia" w:ascii="Arial" w:hAnsi="Arial" w:cs="Arial"/>
          <w:b/>
          <w:color w:val="000000"/>
          <w:sz w:val="36"/>
          <w:szCs w:val="36"/>
          <w:highlight w:val="none"/>
          <w:lang w:val="en-US" w:eastAsia="zh-CN"/>
        </w:rPr>
        <w:t>射阳宏远财会服务有限公司</w:t>
      </w:r>
    </w:p>
    <w:p w14:paraId="0580DF53">
      <w:pPr>
        <w:pStyle w:val="18"/>
        <w:spacing w:before="120" w:beforeAutospacing="0" w:after="120" w:afterAutospacing="0" w:line="360" w:lineRule="auto"/>
        <w:jc w:val="center"/>
        <w:rPr>
          <w:sz w:val="28"/>
          <w:szCs w:val="28"/>
          <w:highlight w:val="none"/>
        </w:rPr>
      </w:pPr>
      <w:r>
        <w:rPr>
          <w:rFonts w:hint="eastAsia" w:ascii="Arial" w:hAnsi="Arial" w:cs="Arial"/>
          <w:b/>
          <w:color w:val="000000"/>
          <w:sz w:val="36"/>
          <w:szCs w:val="36"/>
          <w:highlight w:val="none"/>
          <w:lang w:val="en-US" w:eastAsia="zh-CN"/>
        </w:rPr>
        <w:t>2026</w:t>
      </w:r>
      <w:r>
        <w:rPr>
          <w:rFonts w:ascii="Arial" w:hAnsi="Arial" w:cs="Arial"/>
          <w:b/>
          <w:color w:val="000000"/>
          <w:sz w:val="36"/>
          <w:szCs w:val="36"/>
          <w:highlight w:val="none"/>
        </w:rPr>
        <w:t>年</w:t>
      </w:r>
      <w:r>
        <w:rPr>
          <w:rFonts w:hint="eastAsia" w:ascii="Arial" w:hAnsi="Arial" w:cs="Arial"/>
          <w:b/>
          <w:color w:val="000000"/>
          <w:sz w:val="36"/>
          <w:szCs w:val="36"/>
          <w:highlight w:val="none"/>
          <w:lang w:val="en-US" w:eastAsia="zh-CN"/>
        </w:rPr>
        <w:t>4</w:t>
      </w:r>
      <w:r>
        <w:rPr>
          <w:rFonts w:ascii="Arial" w:hAnsi="Arial" w:cs="Arial"/>
          <w:b/>
          <w:color w:val="000000"/>
          <w:sz w:val="36"/>
          <w:szCs w:val="36"/>
          <w:highlight w:val="none"/>
        </w:rPr>
        <w:t>月</w:t>
      </w:r>
    </w:p>
    <w:p w14:paraId="3657660F">
      <w:pPr>
        <w:pStyle w:val="18"/>
        <w:spacing w:before="120" w:beforeAutospacing="0" w:after="120" w:afterAutospacing="0" w:line="360" w:lineRule="auto"/>
        <w:rPr>
          <w:highlight w:val="none"/>
        </w:rPr>
      </w:pPr>
      <w:r>
        <w:rPr>
          <w:rFonts w:ascii="Arial" w:hAnsi="Arial" w:cs="Arial"/>
          <w:color w:val="000000"/>
          <w:highlight w:val="none"/>
        </w:rPr>
        <w:t xml:space="preserve">                        </w:t>
      </w:r>
    </w:p>
    <w:p w14:paraId="38DE7553">
      <w:pPr>
        <w:pStyle w:val="18"/>
        <w:spacing w:before="120" w:beforeAutospacing="0" w:after="120" w:afterAutospacing="0" w:line="360" w:lineRule="auto"/>
        <w:jc w:val="center"/>
        <w:rPr>
          <w:highlight w:val="none"/>
        </w:rPr>
      </w:pPr>
      <w:r>
        <w:rPr>
          <w:highlight w:val="none"/>
        </w:rPr>
        <w:t> </w:t>
      </w:r>
    </w:p>
    <w:p w14:paraId="360FEE1F">
      <w:pPr>
        <w:pStyle w:val="18"/>
        <w:spacing w:beforeAutospacing="0" w:afterAutospacing="0" w:line="480" w:lineRule="auto"/>
        <w:jc w:val="center"/>
        <w:rPr>
          <w:rFonts w:ascii="Times New Roman" w:hAnsi="Times New Roman"/>
          <w:color w:val="000000"/>
          <w:sz w:val="21"/>
          <w:szCs w:val="21"/>
          <w:highlight w:val="none"/>
        </w:rPr>
        <w:sectPr>
          <w:pgSz w:w="11906" w:h="16838"/>
          <w:pgMar w:top="1134" w:right="1134" w:bottom="1134" w:left="1134" w:header="851" w:footer="992" w:gutter="0"/>
          <w:cols w:space="425" w:num="1"/>
          <w:docGrid w:type="lines" w:linePitch="312" w:charSpace="0"/>
        </w:sectPr>
      </w:pPr>
    </w:p>
    <w:p w14:paraId="0DC8AE4D">
      <w:pPr>
        <w:pStyle w:val="18"/>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479757206"/>
      <w:bookmarkStart w:id="1" w:name="_Toc20823272"/>
      <w:bookmarkStart w:id="2" w:name="_Toc16938516"/>
      <w:bookmarkStart w:id="3" w:name="_Toc513029200"/>
      <w:bookmarkStart w:id="4" w:name="_Toc523127445"/>
      <w:bookmarkStart w:id="5" w:name="_Toc120614210"/>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14263A96">
      <w:pPr>
        <w:pStyle w:val="18"/>
        <w:spacing w:beforeAutospacing="0" w:afterAutospacing="0" w:line="480" w:lineRule="auto"/>
        <w:jc w:val="both"/>
        <w:rPr>
          <w:highlight w:val="none"/>
        </w:rPr>
      </w:pPr>
      <w:r>
        <w:rPr>
          <w:highlight w:val="none"/>
        </w:rPr>
        <w:t> </w:t>
      </w:r>
    </w:p>
    <w:p w14:paraId="60801280">
      <w:pPr>
        <w:pStyle w:val="18"/>
        <w:tabs>
          <w:tab w:val="left" w:pos="1441"/>
        </w:tabs>
        <w:spacing w:beforeAutospacing="0" w:afterAutospacing="0" w:line="480" w:lineRule="auto"/>
        <w:ind w:left="2160" w:hanging="144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竞争性</w:t>
      </w:r>
      <w:r>
        <w:rPr>
          <w:rFonts w:hint="eastAsia" w:ascii="黑体" w:hAnsi="宋体" w:eastAsia="黑体" w:cs="黑体"/>
          <w:color w:val="000000"/>
          <w:sz w:val="36"/>
          <w:szCs w:val="36"/>
          <w:highlight w:val="none"/>
        </w:rPr>
        <w:t>谈判</w:t>
      </w:r>
      <w:r>
        <w:rPr>
          <w:rFonts w:hint="eastAsia" w:ascii="黑体" w:hAnsi="宋体" w:eastAsia="黑体" w:cs="黑体"/>
          <w:color w:val="000000"/>
          <w:sz w:val="36"/>
          <w:szCs w:val="36"/>
          <w:highlight w:val="none"/>
          <w:lang w:val="en-US" w:eastAsia="zh-CN"/>
        </w:rPr>
        <w:t>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 xml:space="preserve">1 </w:t>
      </w:r>
    </w:p>
    <w:p w14:paraId="4ED781E9">
      <w:pPr>
        <w:pStyle w:val="18"/>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供应商须知…………………………………</w:t>
      </w:r>
      <w:r>
        <w:rPr>
          <w:rFonts w:hint="eastAsia" w:ascii="黑体" w:hAnsi="宋体" w:eastAsia="黑体" w:cs="黑体"/>
          <w:color w:val="000000"/>
          <w:sz w:val="36"/>
          <w:szCs w:val="36"/>
          <w:highlight w:val="none"/>
          <w:lang w:val="en-US" w:eastAsia="zh-CN"/>
        </w:rPr>
        <w:t>4</w:t>
      </w:r>
      <w:r>
        <w:rPr>
          <w:rFonts w:hint="eastAsia" w:ascii="黑体" w:hAnsi="宋体" w:eastAsia="黑体" w:cs="黑体"/>
          <w:color w:val="000000"/>
          <w:sz w:val="36"/>
          <w:szCs w:val="36"/>
          <w:highlight w:val="none"/>
        </w:rPr>
        <w:t xml:space="preserve">  </w:t>
      </w:r>
    </w:p>
    <w:p w14:paraId="36320C46">
      <w:pPr>
        <w:pStyle w:val="18"/>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eastAsia="zh-CN"/>
        </w:rPr>
        <w:t>文本</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16</w:t>
      </w:r>
    </w:p>
    <w:p w14:paraId="0B3B732E">
      <w:pPr>
        <w:pStyle w:val="18"/>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20</w:t>
      </w:r>
    </w:p>
    <w:p w14:paraId="4AB499AE">
      <w:pPr>
        <w:pStyle w:val="18"/>
        <w:tabs>
          <w:tab w:val="left" w:pos="1441"/>
        </w:tabs>
        <w:spacing w:beforeAutospacing="0" w:afterAutospacing="0" w:line="480" w:lineRule="auto"/>
        <w:ind w:left="2160" w:hanging="144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评标方法和评标标准………………………23</w:t>
      </w:r>
    </w:p>
    <w:p w14:paraId="3B53A714">
      <w:pPr>
        <w:pStyle w:val="18"/>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响应文件格式………………………………</w:t>
      </w:r>
      <w:r>
        <w:rPr>
          <w:rFonts w:hint="eastAsia" w:ascii="黑体" w:hAnsi="宋体" w:eastAsia="黑体" w:cs="黑体"/>
          <w:color w:val="000000"/>
          <w:sz w:val="36"/>
          <w:szCs w:val="36"/>
          <w:highlight w:val="none"/>
          <w:lang w:val="en-US" w:eastAsia="zh-CN"/>
        </w:rPr>
        <w:t>26</w:t>
      </w:r>
    </w:p>
    <w:p w14:paraId="3206AA7B">
      <w:pPr>
        <w:pStyle w:val="18"/>
        <w:spacing w:beforeAutospacing="0" w:afterAutospacing="0"/>
        <w:jc w:val="both"/>
        <w:rPr>
          <w:highlight w:val="none"/>
        </w:rPr>
      </w:pPr>
      <w:r>
        <w:rPr>
          <w:highlight w:val="none"/>
        </w:rPr>
        <w:t> </w:t>
      </w:r>
    </w:p>
    <w:p w14:paraId="133FB42E">
      <w:pPr>
        <w:pStyle w:val="18"/>
        <w:spacing w:beforeAutospacing="0" w:afterAutospacing="0"/>
        <w:jc w:val="both"/>
        <w:rPr>
          <w:highlight w:val="none"/>
        </w:rPr>
      </w:pPr>
      <w:r>
        <w:rPr>
          <w:highlight w:val="none"/>
        </w:rPr>
        <w:t> </w:t>
      </w:r>
    </w:p>
    <w:p w14:paraId="336702E9">
      <w:pPr>
        <w:pStyle w:val="18"/>
        <w:spacing w:beforeAutospacing="0" w:afterAutospacing="0"/>
        <w:jc w:val="both"/>
        <w:rPr>
          <w:highlight w:val="none"/>
        </w:rPr>
      </w:pPr>
      <w:r>
        <w:rPr>
          <w:highlight w:val="none"/>
        </w:rPr>
        <w:t> </w:t>
      </w:r>
    </w:p>
    <w:p w14:paraId="0AA0822A">
      <w:pPr>
        <w:pStyle w:val="18"/>
        <w:spacing w:beforeAutospacing="0" w:afterAutospacing="0"/>
        <w:jc w:val="both"/>
        <w:rPr>
          <w:highlight w:val="none"/>
        </w:rPr>
      </w:pPr>
      <w:r>
        <w:rPr>
          <w:highlight w:val="none"/>
        </w:rPr>
        <w:t> </w:t>
      </w:r>
    </w:p>
    <w:p w14:paraId="7AA77943">
      <w:pPr>
        <w:pStyle w:val="18"/>
        <w:spacing w:beforeAutospacing="0" w:afterAutospacing="0"/>
        <w:jc w:val="both"/>
        <w:rPr>
          <w:highlight w:val="none"/>
        </w:rPr>
      </w:pPr>
      <w:r>
        <w:rPr>
          <w:highlight w:val="none"/>
        </w:rPr>
        <w:t> </w:t>
      </w:r>
    </w:p>
    <w:p w14:paraId="240B082F">
      <w:pPr>
        <w:pStyle w:val="18"/>
        <w:spacing w:beforeAutospacing="0" w:afterAutospacing="0"/>
        <w:jc w:val="both"/>
        <w:rPr>
          <w:highlight w:val="none"/>
        </w:rPr>
      </w:pPr>
      <w:r>
        <w:rPr>
          <w:highlight w:val="none"/>
        </w:rPr>
        <w:t> </w:t>
      </w:r>
    </w:p>
    <w:p w14:paraId="2C589F01">
      <w:pPr>
        <w:pStyle w:val="18"/>
        <w:spacing w:beforeAutospacing="0" w:afterAutospacing="0"/>
        <w:jc w:val="both"/>
        <w:rPr>
          <w:highlight w:val="none"/>
        </w:rPr>
      </w:pPr>
      <w:r>
        <w:rPr>
          <w:highlight w:val="none"/>
        </w:rPr>
        <w:t> </w:t>
      </w:r>
    </w:p>
    <w:p w14:paraId="016636E3">
      <w:pPr>
        <w:pStyle w:val="18"/>
        <w:spacing w:beforeAutospacing="0" w:afterAutospacing="0"/>
        <w:jc w:val="both"/>
        <w:rPr>
          <w:highlight w:val="none"/>
        </w:rPr>
      </w:pPr>
      <w:r>
        <w:rPr>
          <w:highlight w:val="none"/>
        </w:rPr>
        <w:t> </w:t>
      </w:r>
    </w:p>
    <w:p w14:paraId="694BD5FF">
      <w:pPr>
        <w:pStyle w:val="18"/>
        <w:spacing w:beforeAutospacing="0" w:afterAutospacing="0"/>
        <w:jc w:val="both"/>
        <w:rPr>
          <w:highlight w:val="none"/>
        </w:rPr>
      </w:pPr>
      <w:r>
        <w:rPr>
          <w:highlight w:val="none"/>
        </w:rPr>
        <w:t> </w:t>
      </w:r>
    </w:p>
    <w:p w14:paraId="19D4391A">
      <w:pPr>
        <w:pStyle w:val="18"/>
        <w:spacing w:beforeAutospacing="0" w:afterAutospacing="0"/>
        <w:jc w:val="both"/>
        <w:rPr>
          <w:highlight w:val="none"/>
        </w:rPr>
      </w:pPr>
      <w:r>
        <w:rPr>
          <w:highlight w:val="none"/>
        </w:rPr>
        <w:t> </w:t>
      </w:r>
    </w:p>
    <w:p w14:paraId="36B417CB">
      <w:pPr>
        <w:pStyle w:val="18"/>
        <w:spacing w:beforeAutospacing="0" w:afterAutospacing="0"/>
        <w:jc w:val="both"/>
        <w:rPr>
          <w:highlight w:val="none"/>
        </w:rPr>
      </w:pPr>
      <w:r>
        <w:rPr>
          <w:highlight w:val="none"/>
        </w:rPr>
        <w:t> </w:t>
      </w:r>
    </w:p>
    <w:p w14:paraId="4DC67D35">
      <w:pPr>
        <w:pStyle w:val="18"/>
        <w:spacing w:beforeAutospacing="0" w:afterAutospacing="0"/>
        <w:jc w:val="both"/>
        <w:rPr>
          <w:highlight w:val="none"/>
        </w:rPr>
      </w:pPr>
      <w:r>
        <w:rPr>
          <w:highlight w:val="none"/>
        </w:rPr>
        <w:t> </w:t>
      </w:r>
    </w:p>
    <w:p w14:paraId="5DC3C9EC">
      <w:pPr>
        <w:pStyle w:val="18"/>
        <w:spacing w:beforeAutospacing="0" w:afterAutospacing="0"/>
        <w:jc w:val="both"/>
        <w:rPr>
          <w:highlight w:val="none"/>
        </w:rPr>
      </w:pPr>
      <w:r>
        <w:rPr>
          <w:highlight w:val="none"/>
        </w:rPr>
        <w:t> </w:t>
      </w:r>
    </w:p>
    <w:p w14:paraId="237C9FEA">
      <w:pPr>
        <w:pStyle w:val="18"/>
        <w:spacing w:beforeAutospacing="0" w:afterAutospacing="0"/>
        <w:jc w:val="both"/>
        <w:rPr>
          <w:highlight w:val="none"/>
        </w:rPr>
      </w:pPr>
      <w:r>
        <w:rPr>
          <w:highlight w:val="none"/>
        </w:rPr>
        <w:t> </w:t>
      </w:r>
    </w:p>
    <w:p w14:paraId="2CDE3F6A">
      <w:pPr>
        <w:pStyle w:val="18"/>
        <w:spacing w:beforeAutospacing="0" w:afterAutospacing="0"/>
        <w:jc w:val="both"/>
        <w:rPr>
          <w:highlight w:val="none"/>
        </w:rPr>
      </w:pPr>
      <w:r>
        <w:rPr>
          <w:highlight w:val="none"/>
        </w:rPr>
        <w:t> </w:t>
      </w:r>
    </w:p>
    <w:p w14:paraId="26D2A73A">
      <w:pPr>
        <w:pStyle w:val="18"/>
        <w:spacing w:beforeAutospacing="0" w:afterAutospacing="0"/>
        <w:jc w:val="both"/>
        <w:rPr>
          <w:highlight w:val="none"/>
        </w:rPr>
      </w:pPr>
      <w:r>
        <w:rPr>
          <w:highlight w:val="none"/>
        </w:rPr>
        <w:t> </w:t>
      </w:r>
    </w:p>
    <w:p w14:paraId="7D3E7D90">
      <w:pPr>
        <w:pStyle w:val="18"/>
        <w:spacing w:beforeAutospacing="0" w:afterAutospacing="0"/>
        <w:jc w:val="both"/>
        <w:rPr>
          <w:highlight w:val="none"/>
        </w:rPr>
      </w:pPr>
      <w:r>
        <w:rPr>
          <w:highlight w:val="none"/>
        </w:rPr>
        <w:t> </w:t>
      </w:r>
    </w:p>
    <w:p w14:paraId="648E5AC3">
      <w:pPr>
        <w:pStyle w:val="18"/>
        <w:spacing w:beforeAutospacing="0" w:afterAutospacing="0"/>
        <w:jc w:val="both"/>
        <w:rPr>
          <w:highlight w:val="none"/>
        </w:rPr>
      </w:pPr>
      <w:r>
        <w:rPr>
          <w:highlight w:val="none"/>
        </w:rPr>
        <w:t> </w:t>
      </w:r>
    </w:p>
    <w:p w14:paraId="3C887F6C">
      <w:pPr>
        <w:pStyle w:val="18"/>
        <w:spacing w:beforeAutospacing="0" w:afterAutospacing="0"/>
        <w:jc w:val="both"/>
        <w:rPr>
          <w:highlight w:val="none"/>
        </w:rPr>
      </w:pPr>
      <w:r>
        <w:rPr>
          <w:highlight w:val="none"/>
        </w:rPr>
        <w:t> </w:t>
      </w:r>
    </w:p>
    <w:p w14:paraId="71295EB5">
      <w:pPr>
        <w:pStyle w:val="18"/>
        <w:spacing w:beforeAutospacing="0" w:afterAutospacing="0"/>
        <w:jc w:val="both"/>
        <w:rPr>
          <w:highlight w:val="none"/>
        </w:rPr>
      </w:pPr>
      <w:r>
        <w:rPr>
          <w:highlight w:val="none"/>
        </w:rPr>
        <w:t> </w:t>
      </w:r>
    </w:p>
    <w:p w14:paraId="2E94B8A2">
      <w:pPr>
        <w:pStyle w:val="18"/>
        <w:spacing w:beforeAutospacing="0" w:afterAutospacing="0"/>
        <w:jc w:val="both"/>
        <w:rPr>
          <w:highlight w:val="none"/>
        </w:rPr>
      </w:pPr>
      <w:r>
        <w:rPr>
          <w:highlight w:val="none"/>
        </w:rPr>
        <w:t> </w:t>
      </w:r>
    </w:p>
    <w:p w14:paraId="5CF961A6">
      <w:pPr>
        <w:pStyle w:val="18"/>
        <w:spacing w:beforeAutospacing="0" w:afterAutospacing="0"/>
        <w:jc w:val="both"/>
        <w:rPr>
          <w:highlight w:val="none"/>
        </w:rPr>
      </w:pPr>
      <w:r>
        <w:rPr>
          <w:highlight w:val="none"/>
        </w:rPr>
        <w:t> </w:t>
      </w:r>
    </w:p>
    <w:p w14:paraId="617D6BEB">
      <w:pPr>
        <w:pStyle w:val="18"/>
        <w:spacing w:beforeAutospacing="0" w:afterAutospacing="0"/>
        <w:jc w:val="both"/>
        <w:rPr>
          <w:highlight w:val="none"/>
        </w:rPr>
      </w:pPr>
    </w:p>
    <w:p w14:paraId="28139D80">
      <w:pPr>
        <w:pStyle w:val="18"/>
        <w:spacing w:beforeAutospacing="0" w:afterAutospacing="0"/>
        <w:jc w:val="both"/>
        <w:rPr>
          <w:highlight w:val="none"/>
        </w:rPr>
      </w:pPr>
    </w:p>
    <w:p w14:paraId="5F093678">
      <w:pPr>
        <w:pStyle w:val="18"/>
        <w:spacing w:beforeAutospacing="0" w:afterAutospacing="0"/>
        <w:jc w:val="both"/>
        <w:rPr>
          <w:highlight w:val="none"/>
        </w:rPr>
      </w:pPr>
    </w:p>
    <w:p w14:paraId="389317B5">
      <w:pPr>
        <w:pStyle w:val="18"/>
        <w:spacing w:beforeAutospacing="0" w:afterAutospacing="0"/>
        <w:jc w:val="both"/>
        <w:rPr>
          <w:highlight w:val="none"/>
        </w:rPr>
      </w:pPr>
      <w:r>
        <w:rPr>
          <w:highlight w:val="none"/>
        </w:rPr>
        <w:t> </w:t>
      </w:r>
    </w:p>
    <w:p w14:paraId="36E9FE25">
      <w:pPr>
        <w:pStyle w:val="18"/>
        <w:spacing w:beforeAutospacing="0" w:afterAutospacing="0"/>
        <w:jc w:val="both"/>
        <w:rPr>
          <w:highlight w:val="none"/>
        </w:rPr>
      </w:pPr>
      <w:r>
        <w:rPr>
          <w:highlight w:val="none"/>
        </w:rPr>
        <w:t> </w:t>
      </w:r>
    </w:p>
    <w:p w14:paraId="27ED2B35">
      <w:pPr>
        <w:pStyle w:val="18"/>
        <w:spacing w:beforeAutospacing="0" w:afterAutospacing="0"/>
        <w:jc w:val="both"/>
        <w:rPr>
          <w:highlight w:val="none"/>
        </w:rPr>
      </w:pPr>
    </w:p>
    <w:p w14:paraId="71C9D277">
      <w:pPr>
        <w:pStyle w:val="18"/>
        <w:spacing w:beforeAutospacing="0" w:afterAutospacing="0"/>
        <w:jc w:val="both"/>
        <w:rPr>
          <w:highlight w:val="none"/>
        </w:rPr>
      </w:pPr>
      <w:r>
        <w:rPr>
          <w:highlight w:val="none"/>
        </w:rPr>
        <w:t> </w:t>
      </w:r>
    </w:p>
    <w:p w14:paraId="6EC833B6">
      <w:pPr>
        <w:pStyle w:val="18"/>
        <w:spacing w:beforeAutospacing="0" w:afterAutospacing="0"/>
        <w:jc w:val="center"/>
        <w:rPr>
          <w:rFonts w:hint="eastAsia" w:ascii="黑体" w:hAnsi="宋体" w:eastAsia="黑体" w:cs="黑体"/>
          <w:color w:val="000000"/>
          <w:sz w:val="44"/>
          <w:szCs w:val="44"/>
          <w:highlight w:val="none"/>
        </w:rPr>
        <w:sectPr>
          <w:footerReference r:id="rId3" w:type="default"/>
          <w:pgSz w:w="11906" w:h="16838"/>
          <w:pgMar w:top="1134" w:right="1134" w:bottom="1134" w:left="1134" w:header="851" w:footer="992" w:gutter="0"/>
          <w:pgNumType w:start="1"/>
          <w:cols w:space="425" w:num="1"/>
          <w:docGrid w:type="lines" w:linePitch="312" w:charSpace="0"/>
        </w:sectPr>
      </w:pPr>
      <w:bookmarkStart w:id="6" w:name="_Toc28359086"/>
    </w:p>
    <w:p w14:paraId="6962FA02">
      <w:pPr>
        <w:pStyle w:val="18"/>
        <w:spacing w:beforeAutospacing="0" w:afterAutospacing="0"/>
        <w:jc w:val="center"/>
        <w:rPr>
          <w:rFonts w:hint="eastAsia" w:ascii="仿宋" w:hAnsi="仿宋" w:eastAsia="仿宋" w:cs="仿宋"/>
          <w:sz w:val="28"/>
          <w:szCs w:val="28"/>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竞争性</w:t>
      </w:r>
      <w:r>
        <w:rPr>
          <w:rFonts w:hint="eastAsia" w:ascii="黑体" w:hAnsi="宋体" w:eastAsia="黑体" w:cs="黑体"/>
          <w:color w:val="000000"/>
          <w:sz w:val="44"/>
          <w:szCs w:val="44"/>
          <w:highlight w:val="none"/>
        </w:rPr>
        <w:t>谈判</w:t>
      </w:r>
      <w:r>
        <w:rPr>
          <w:rFonts w:hint="eastAsia" w:ascii="黑体" w:hAnsi="宋体" w:eastAsia="黑体" w:cs="黑体"/>
          <w:color w:val="000000"/>
          <w:sz w:val="44"/>
          <w:szCs w:val="44"/>
          <w:highlight w:val="none"/>
          <w:lang w:val="en-US" w:eastAsia="zh-CN"/>
        </w:rPr>
        <w:t>公告</w:t>
      </w:r>
    </w:p>
    <w:p w14:paraId="78E53CCE">
      <w:pPr>
        <w:pStyle w:val="18"/>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4E4EA7F3">
      <w:pPr>
        <w:pStyle w:val="18"/>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射阳县植物保护站2026年中央粮油生产保障小麦“一喷三防”氰烯·戊唑醇采购项目</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项目的潜在供应商</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i w:val="0"/>
          <w:iCs w:val="0"/>
          <w:caps w:val="0"/>
          <w:color w:val="333333"/>
          <w:spacing w:val="0"/>
          <w:sz w:val="24"/>
          <w:szCs w:val="24"/>
          <w:highlight w:val="none"/>
          <w:shd w:val="clear" w:fill="FFFFFF"/>
        </w:rPr>
        <w:t>文件，方能参与政府采购项目）</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none"/>
        </w:rPr>
        <w:t>并于</w:t>
      </w:r>
      <w:r>
        <w:rPr>
          <w:rFonts w:hint="eastAsia" w:ascii="宋体" w:hAnsi="宋体" w:eastAsia="宋体" w:cs="宋体"/>
          <w:b w:val="0"/>
          <w:bCs w:val="0"/>
          <w:color w:val="000000"/>
          <w:sz w:val="24"/>
          <w:szCs w:val="24"/>
          <w:highlight w:val="none"/>
          <w:u w:val="none"/>
          <w:lang w:val="en-US" w:eastAsia="zh-CN"/>
        </w:rPr>
        <w:t>2026</w:t>
      </w:r>
      <w:r>
        <w:rPr>
          <w:rFonts w:hint="eastAsia" w:ascii="宋体" w:hAnsi="宋体" w:eastAsia="宋体" w:cs="宋体"/>
          <w:color w:val="000000"/>
          <w:sz w:val="24"/>
          <w:szCs w:val="24"/>
          <w:highlight w:val="none"/>
          <w:u w:val="none"/>
        </w:rPr>
        <w:t>年</w:t>
      </w:r>
      <w:r>
        <w:rPr>
          <w:rFonts w:hint="eastAsia" w:ascii="宋体" w:hAnsi="宋体" w:eastAsia="宋体" w:cs="宋体"/>
          <w:color w:val="000000"/>
          <w:sz w:val="24"/>
          <w:szCs w:val="24"/>
          <w:highlight w:val="none"/>
          <w:u w:val="none"/>
          <w:lang w:val="en-US" w:eastAsia="zh-CN"/>
        </w:rPr>
        <w:t>4</w:t>
      </w:r>
      <w:r>
        <w:rPr>
          <w:rFonts w:hint="eastAsia" w:ascii="宋体" w:hAnsi="宋体" w:eastAsia="宋体" w:cs="宋体"/>
          <w:color w:val="000000"/>
          <w:sz w:val="24"/>
          <w:szCs w:val="24"/>
          <w:highlight w:val="none"/>
          <w:u w:val="none"/>
        </w:rPr>
        <w:t>月</w:t>
      </w:r>
      <w:r>
        <w:rPr>
          <w:rFonts w:hint="eastAsia" w:ascii="宋体" w:hAnsi="宋体" w:eastAsia="宋体" w:cs="宋体"/>
          <w:color w:val="000000"/>
          <w:sz w:val="24"/>
          <w:szCs w:val="24"/>
          <w:highlight w:val="none"/>
          <w:u w:val="none"/>
          <w:lang w:val="en-US" w:eastAsia="zh-CN"/>
        </w:rPr>
        <w:t>14</w:t>
      </w:r>
      <w:r>
        <w:rPr>
          <w:rFonts w:hint="eastAsia" w:ascii="宋体" w:hAnsi="宋体" w:eastAsia="宋体" w:cs="宋体"/>
          <w:color w:val="000000"/>
          <w:sz w:val="24"/>
          <w:szCs w:val="24"/>
          <w:highlight w:val="none"/>
          <w:u w:val="none"/>
        </w:rPr>
        <w:t>日</w:t>
      </w:r>
      <w:r>
        <w:rPr>
          <w:rFonts w:hint="eastAsia" w:ascii="宋体" w:hAnsi="宋体" w:eastAsia="宋体" w:cs="宋体"/>
          <w:color w:val="000000"/>
          <w:sz w:val="24"/>
          <w:szCs w:val="24"/>
          <w:highlight w:val="none"/>
          <w:u w:val="none"/>
          <w:lang w:val="en-US" w:eastAsia="zh-CN"/>
        </w:rPr>
        <w:t>9</w:t>
      </w:r>
      <w:r>
        <w:rPr>
          <w:rFonts w:hint="eastAsia" w:ascii="宋体" w:hAnsi="宋体" w:eastAsia="宋体" w:cs="宋体"/>
          <w:color w:val="000000"/>
          <w:sz w:val="24"/>
          <w:szCs w:val="24"/>
          <w:highlight w:val="none"/>
          <w:u w:val="none"/>
        </w:rPr>
        <w:t>点</w:t>
      </w:r>
      <w:r>
        <w:rPr>
          <w:rFonts w:hint="eastAsia" w:ascii="宋体" w:hAnsi="宋体" w:eastAsia="宋体" w:cs="宋体"/>
          <w:color w:val="000000"/>
          <w:sz w:val="24"/>
          <w:szCs w:val="24"/>
          <w:highlight w:val="none"/>
          <w:u w:val="none"/>
          <w:lang w:val="en-US" w:eastAsia="zh-CN"/>
        </w:rPr>
        <w:t>00</w:t>
      </w:r>
      <w:r>
        <w:rPr>
          <w:rFonts w:hint="eastAsia" w:ascii="宋体" w:hAnsi="宋体" w:eastAsia="宋体" w:cs="宋体"/>
          <w:color w:val="000000"/>
          <w:sz w:val="24"/>
          <w:szCs w:val="24"/>
          <w:highlight w:val="none"/>
          <w:u w:val="none"/>
        </w:rPr>
        <w:t>分（北</w:t>
      </w:r>
      <w:r>
        <w:rPr>
          <w:rFonts w:hint="eastAsia" w:ascii="宋体" w:hAnsi="宋体" w:eastAsia="宋体" w:cs="宋体"/>
          <w:color w:val="000000"/>
          <w:sz w:val="24"/>
          <w:szCs w:val="24"/>
          <w:highlight w:val="none"/>
        </w:rPr>
        <w:t>京时间）前递交响应文件。</w:t>
      </w:r>
    </w:p>
    <w:p w14:paraId="607AEDEE">
      <w:pPr>
        <w:pStyle w:val="18"/>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499"/>
        <w:jc w:val="both"/>
        <w:textAlignment w:val="auto"/>
        <w:rPr>
          <w:rFonts w:hint="eastAsia" w:ascii="宋体" w:hAnsi="宋体" w:eastAsia="宋体" w:cs="宋体"/>
          <w:sz w:val="28"/>
          <w:szCs w:val="28"/>
          <w:highlight w:val="none"/>
        </w:rPr>
      </w:pPr>
      <w:bookmarkStart w:id="7" w:name="_Toc28359002"/>
      <w:bookmarkStart w:id="8" w:name="_Toc35393621"/>
      <w:bookmarkStart w:id="9" w:name="_Toc35393790"/>
      <w:bookmarkStart w:id="10" w:name="_Toc38985263"/>
      <w:bookmarkStart w:id="11" w:name="_Toc28359079"/>
      <w:bookmarkStart w:id="12" w:name="_Hlk24379207"/>
      <w:r>
        <w:rPr>
          <w:rFonts w:hint="eastAsia" w:ascii="宋体" w:hAnsi="宋体" w:eastAsia="宋体" w:cs="宋体"/>
          <w:b/>
          <w:color w:val="000000"/>
          <w:sz w:val="28"/>
          <w:szCs w:val="28"/>
          <w:highlight w:val="none"/>
        </w:rPr>
        <w:t>一、项目基本情况</w:t>
      </w:r>
      <w:bookmarkEnd w:id="7"/>
      <w:bookmarkEnd w:id="8"/>
      <w:bookmarkEnd w:id="9"/>
      <w:bookmarkEnd w:id="10"/>
      <w:bookmarkEnd w:id="11"/>
      <w:bookmarkEnd w:id="12"/>
    </w:p>
    <w:p w14:paraId="6420F81F">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1.项目编号：JSZC-320924-SYHY-T2026-0005</w:t>
      </w:r>
    </w:p>
    <w:p w14:paraId="46332B97">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2</w:t>
      </w:r>
      <w:r>
        <w:rPr>
          <w:rFonts w:hint="eastAsia" w:ascii="宋体" w:hAnsi="宋体" w:eastAsia="宋体" w:cs="宋体"/>
          <w:color w:val="auto"/>
          <w:sz w:val="24"/>
          <w:szCs w:val="24"/>
          <w:highlight w:val="none"/>
          <w:shd w:val="clear" w:color="auto" w:fill="auto"/>
        </w:rPr>
        <w:t>.项目名称：射阳县植物保护站2026年中央粮油生产保障小麦“一喷三防”氰烯·戊唑醇采购项目</w:t>
      </w:r>
    </w:p>
    <w:p w14:paraId="6CE9DE8E">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 xml:space="preserve">竞争性谈判 </w:t>
      </w:r>
    </w:p>
    <w:p w14:paraId="6FD839E6">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4.预算金额：325万元</w:t>
      </w:r>
    </w:p>
    <w:p w14:paraId="13F90F80">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w:t>
      </w:r>
      <w:r>
        <w:rPr>
          <w:rFonts w:hint="eastAsia" w:ascii="宋体" w:hAnsi="宋体" w:eastAsia="宋体" w:cs="宋体"/>
          <w:i w:val="0"/>
          <w:iCs w:val="0"/>
          <w:caps w:val="0"/>
          <w:color w:val="auto"/>
          <w:spacing w:val="0"/>
          <w:sz w:val="24"/>
          <w:szCs w:val="24"/>
          <w:highlight w:val="none"/>
          <w:shd w:val="clear" w:color="auto" w:fill="auto"/>
          <w:lang w:val="en-US" w:eastAsia="zh-CN"/>
        </w:rPr>
        <w:t>（单价）</w:t>
      </w:r>
      <w:r>
        <w:rPr>
          <w:rFonts w:hint="eastAsia" w:ascii="宋体" w:hAnsi="宋体" w:eastAsia="宋体" w:cs="宋体"/>
          <w:i w:val="0"/>
          <w:iCs w:val="0"/>
          <w:caps w:val="0"/>
          <w:color w:val="auto"/>
          <w:spacing w:val="0"/>
          <w:sz w:val="24"/>
          <w:szCs w:val="24"/>
          <w:highlight w:val="none"/>
          <w:shd w:val="clear" w:color="auto" w:fill="auto"/>
        </w:rPr>
        <w:t>限价：325万元，本项目设定最高</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单价</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限价19</w:t>
      </w:r>
      <w:r>
        <w:rPr>
          <w:rFonts w:hint="eastAsia" w:ascii="宋体" w:hAnsi="宋体" w:eastAsia="宋体" w:cs="宋体"/>
          <w:i w:val="0"/>
          <w:iCs w:val="0"/>
          <w:caps w:val="0"/>
          <w:color w:val="auto"/>
          <w:spacing w:val="0"/>
          <w:sz w:val="24"/>
          <w:szCs w:val="24"/>
          <w:highlight w:val="none"/>
          <w:shd w:val="clear" w:color="auto" w:fill="auto"/>
          <w:lang w:val="en-US" w:eastAsia="zh-CN"/>
        </w:rPr>
        <w:t>.</w:t>
      </w:r>
      <w:r>
        <w:rPr>
          <w:rFonts w:hint="eastAsia" w:ascii="宋体" w:hAnsi="宋体" w:eastAsia="宋体" w:cs="宋体"/>
          <w:i w:val="0"/>
          <w:iCs w:val="0"/>
          <w:caps w:val="0"/>
          <w:color w:val="auto"/>
          <w:spacing w:val="0"/>
          <w:sz w:val="24"/>
          <w:szCs w:val="24"/>
          <w:highlight w:val="none"/>
          <w:shd w:val="clear" w:color="auto" w:fill="auto"/>
        </w:rPr>
        <w:t>5</w:t>
      </w:r>
      <w:r>
        <w:rPr>
          <w:rFonts w:hint="eastAsia" w:ascii="宋体" w:hAnsi="宋体" w:eastAsia="宋体" w:cs="宋体"/>
          <w:i w:val="0"/>
          <w:iCs w:val="0"/>
          <w:caps w:val="0"/>
          <w:color w:val="auto"/>
          <w:spacing w:val="0"/>
          <w:sz w:val="24"/>
          <w:szCs w:val="24"/>
          <w:highlight w:val="none"/>
          <w:shd w:val="clear" w:color="auto" w:fill="auto"/>
          <w:lang w:eastAsia="zh-CN"/>
        </w:rPr>
        <w:t>万</w:t>
      </w:r>
      <w:r>
        <w:rPr>
          <w:rFonts w:hint="eastAsia" w:ascii="宋体" w:hAnsi="宋体" w:eastAsia="宋体" w:cs="宋体"/>
          <w:i w:val="0"/>
          <w:iCs w:val="0"/>
          <w:caps w:val="0"/>
          <w:color w:val="auto"/>
          <w:spacing w:val="0"/>
          <w:sz w:val="24"/>
          <w:szCs w:val="24"/>
          <w:highlight w:val="none"/>
          <w:shd w:val="clear" w:color="auto" w:fill="auto"/>
        </w:rPr>
        <w:t>元/千升，投标报价报单价，超过最高</w:t>
      </w:r>
      <w:r>
        <w:rPr>
          <w:rFonts w:hint="eastAsia" w:ascii="宋体" w:hAnsi="宋体" w:eastAsia="宋体" w:cs="宋体"/>
          <w:i w:val="0"/>
          <w:iCs w:val="0"/>
          <w:caps w:val="0"/>
          <w:color w:val="auto"/>
          <w:spacing w:val="0"/>
          <w:sz w:val="24"/>
          <w:szCs w:val="24"/>
          <w:highlight w:val="none"/>
          <w:shd w:val="clear" w:color="auto" w:fill="auto"/>
          <w:lang w:eastAsia="zh-CN"/>
        </w:rPr>
        <w:t>（单价）</w:t>
      </w:r>
      <w:r>
        <w:rPr>
          <w:rFonts w:hint="eastAsia" w:ascii="宋体" w:hAnsi="宋体" w:eastAsia="宋体" w:cs="宋体"/>
          <w:i w:val="0"/>
          <w:iCs w:val="0"/>
          <w:caps w:val="0"/>
          <w:color w:val="auto"/>
          <w:spacing w:val="0"/>
          <w:sz w:val="24"/>
          <w:szCs w:val="24"/>
          <w:highlight w:val="none"/>
          <w:shd w:val="clear" w:color="auto" w:fill="auto"/>
        </w:rPr>
        <w:t>限价的为无效响应</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本项目实施足额</w:t>
      </w:r>
      <w:r>
        <w:rPr>
          <w:rFonts w:hint="eastAsia" w:ascii="宋体" w:hAnsi="宋体" w:eastAsia="宋体" w:cs="宋体"/>
          <w:i w:val="0"/>
          <w:iCs w:val="0"/>
          <w:caps w:val="0"/>
          <w:color w:val="auto"/>
          <w:spacing w:val="0"/>
          <w:sz w:val="24"/>
          <w:szCs w:val="24"/>
          <w:highlight w:val="none"/>
          <w:shd w:val="clear" w:color="auto" w:fill="auto"/>
          <w:lang w:val="en-US" w:eastAsia="zh-CN"/>
        </w:rPr>
        <w:t>采购</w:t>
      </w:r>
      <w:r>
        <w:rPr>
          <w:rFonts w:hint="eastAsia" w:ascii="宋体" w:hAnsi="宋体" w:eastAsia="宋体" w:cs="宋体"/>
          <w:i w:val="0"/>
          <w:iCs w:val="0"/>
          <w:caps w:val="0"/>
          <w:color w:val="auto"/>
          <w:spacing w:val="0"/>
          <w:sz w:val="24"/>
          <w:szCs w:val="24"/>
          <w:highlight w:val="none"/>
          <w:shd w:val="clear" w:color="auto" w:fill="auto"/>
        </w:rPr>
        <w:t>。</w:t>
      </w:r>
    </w:p>
    <w:p w14:paraId="37BEC28E">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w:t>
      </w:r>
      <w:r>
        <w:rPr>
          <w:rFonts w:hint="eastAsia" w:ascii="宋体" w:hAnsi="宋体" w:eastAsia="宋体" w:cs="宋体"/>
          <w:color w:val="auto"/>
          <w:sz w:val="24"/>
          <w:szCs w:val="24"/>
          <w:highlight w:val="none"/>
          <w:shd w:val="clear" w:color="auto" w:fill="auto"/>
        </w:rPr>
        <w:t>采购范围内所有产品（480克/升氰烯菌酯▪戊唑醇悬浮剂）的供货、运输（送达至招标方指定地点并卸货）分发用工、产品使用技术培训、详细内容见本谈判文件第四章</w:t>
      </w:r>
      <w:r>
        <w:rPr>
          <w:rFonts w:hint="eastAsia" w:ascii="宋体" w:hAnsi="宋体" w:eastAsia="宋体" w:cs="宋体"/>
          <w:color w:val="auto"/>
          <w:sz w:val="24"/>
          <w:szCs w:val="24"/>
          <w:highlight w:val="none"/>
          <w:shd w:val="clear" w:color="auto" w:fill="auto"/>
          <w:lang w:eastAsia="zh-CN"/>
        </w:rPr>
        <w:t>。</w:t>
      </w:r>
    </w:p>
    <w:tbl>
      <w:tblPr>
        <w:tblStyle w:val="20"/>
        <w:tblW w:w="9823" w:type="dxa"/>
        <w:tblInd w:w="7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2537"/>
        <w:gridCol w:w="4320"/>
        <w:gridCol w:w="2966"/>
      </w:tblGrid>
      <w:tr w14:paraId="1AF2EC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29" w:hRule="exact"/>
        </w:trPr>
        <w:tc>
          <w:tcPr>
            <w:tcW w:w="253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7E6267E">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left="0" w:right="0"/>
              <w:jc w:val="center"/>
              <w:textAlignment w:val="auto"/>
              <w:rPr>
                <w:rFonts w:hint="eastAsia" w:ascii="宋体" w:hAnsi="宋体" w:eastAsia="宋体" w:cs="宋体"/>
                <w:b/>
                <w:bCs/>
                <w:color w:val="000000"/>
                <w:kern w:val="20"/>
                <w:sz w:val="24"/>
                <w:szCs w:val="24"/>
              </w:rPr>
            </w:pPr>
            <w:r>
              <w:rPr>
                <w:rFonts w:hint="eastAsia" w:ascii="宋体" w:hAnsi="宋体" w:eastAsia="宋体" w:cs="宋体"/>
                <w:b/>
                <w:bCs/>
                <w:color w:val="000000"/>
                <w:kern w:val="20"/>
                <w:sz w:val="24"/>
                <w:szCs w:val="24"/>
                <w:lang w:val="zh-TW" w:eastAsia="zh-TW"/>
              </w:rPr>
              <w:t>货物名称</w:t>
            </w:r>
          </w:p>
        </w:tc>
        <w:tc>
          <w:tcPr>
            <w:tcW w:w="43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8E66CE5">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right="0"/>
              <w:jc w:val="center"/>
              <w:textAlignment w:val="auto"/>
              <w:rPr>
                <w:rFonts w:hint="eastAsia" w:ascii="宋体" w:hAnsi="宋体" w:eastAsia="宋体" w:cs="宋体"/>
                <w:b/>
                <w:bCs/>
                <w:color w:val="000000"/>
                <w:kern w:val="20"/>
                <w:sz w:val="24"/>
                <w:szCs w:val="24"/>
              </w:rPr>
            </w:pPr>
            <w:r>
              <w:rPr>
                <w:rFonts w:hint="eastAsia" w:ascii="宋体" w:hAnsi="宋体" w:eastAsia="宋体" w:cs="宋体"/>
                <w:b/>
                <w:bCs/>
                <w:color w:val="000000"/>
                <w:kern w:val="20"/>
                <w:sz w:val="24"/>
                <w:szCs w:val="24"/>
              </w:rPr>
              <w:t>主要配置</w:t>
            </w:r>
          </w:p>
        </w:tc>
        <w:tc>
          <w:tcPr>
            <w:tcW w:w="296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CCCB9F9">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right="0"/>
              <w:jc w:val="center"/>
              <w:textAlignment w:val="auto"/>
              <w:rPr>
                <w:rFonts w:hint="eastAsia" w:ascii="宋体" w:hAnsi="宋体" w:eastAsia="宋体" w:cs="宋体"/>
                <w:b/>
                <w:bCs/>
                <w:color w:val="000000"/>
                <w:kern w:val="20"/>
                <w:sz w:val="24"/>
                <w:szCs w:val="24"/>
              </w:rPr>
            </w:pPr>
            <w:r>
              <w:rPr>
                <w:rFonts w:hint="eastAsia" w:ascii="宋体" w:hAnsi="宋体" w:eastAsia="宋体" w:cs="宋体"/>
                <w:b/>
                <w:bCs/>
                <w:color w:val="000000"/>
                <w:kern w:val="20"/>
                <w:sz w:val="24"/>
                <w:szCs w:val="24"/>
              </w:rPr>
              <w:t>包装规格</w:t>
            </w:r>
          </w:p>
        </w:tc>
      </w:tr>
      <w:tr w14:paraId="75D259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13" w:hRule="atLeast"/>
        </w:trPr>
        <w:tc>
          <w:tcPr>
            <w:tcW w:w="253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A92526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kern w:val="20"/>
                <w:sz w:val="24"/>
                <w:szCs w:val="24"/>
                <w:highlight w:val="none"/>
              </w:rPr>
            </w:pPr>
            <w:r>
              <w:rPr>
                <w:rFonts w:hint="eastAsia" w:ascii="宋体" w:hAnsi="宋体" w:eastAsia="宋体" w:cs="宋体"/>
                <w:color w:val="000000"/>
                <w:kern w:val="0"/>
                <w:sz w:val="24"/>
                <w:szCs w:val="24"/>
                <w:lang w:val="en-US" w:eastAsia="zh-CN" w:bidi="ar-SA"/>
              </w:rPr>
              <w:t>480克/升氰烯菌酯▪戊唑醇悬浮剂</w:t>
            </w:r>
          </w:p>
        </w:tc>
        <w:tc>
          <w:tcPr>
            <w:tcW w:w="43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3AD14AA">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left="0" w:leftChars="0" w:right="0" w:rightChars="0"/>
              <w:jc w:val="both"/>
              <w:textAlignment w:val="auto"/>
              <w:rPr>
                <w:rFonts w:hint="eastAsia" w:ascii="宋体" w:hAnsi="宋体" w:eastAsia="宋体" w:cs="宋体"/>
                <w:kern w:val="0"/>
                <w:sz w:val="24"/>
                <w:szCs w:val="24"/>
                <w:lang w:eastAsia="zh-CN"/>
              </w:rPr>
            </w:pPr>
            <w:r>
              <w:rPr>
                <w:rFonts w:hint="eastAsia" w:ascii="宋体" w:hAnsi="宋体" w:eastAsia="宋体" w:cs="宋体"/>
                <w:color w:val="000000"/>
                <w:kern w:val="0"/>
                <w:sz w:val="24"/>
                <w:szCs w:val="24"/>
                <w:lang w:val="en-US" w:eastAsia="zh-CN" w:bidi="ar-SA"/>
              </w:rPr>
              <w:t>有效成份含量氰烯菌酯360克/升、戊唑醇120克/升，登记对象含小麦赤霉病。</w:t>
            </w:r>
          </w:p>
        </w:tc>
        <w:tc>
          <w:tcPr>
            <w:tcW w:w="296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824F5BB">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left="0" w:leftChars="0" w:right="0" w:rightChars="0"/>
              <w:jc w:val="center"/>
              <w:textAlignment w:val="auto"/>
              <w:rPr>
                <w:rFonts w:hint="eastAsia" w:ascii="宋体" w:hAnsi="宋体" w:eastAsia="宋体" w:cs="宋体"/>
                <w:kern w:val="0"/>
                <w:sz w:val="24"/>
                <w:szCs w:val="24"/>
              </w:rPr>
            </w:pPr>
            <w:r>
              <w:rPr>
                <w:rFonts w:hint="eastAsia" w:ascii="宋体" w:hAnsi="宋体" w:eastAsia="宋体" w:cs="宋体"/>
                <w:color w:val="000000"/>
                <w:kern w:val="0"/>
                <w:sz w:val="24"/>
                <w:szCs w:val="24"/>
                <w:lang w:val="en-US" w:eastAsia="zh-CN" w:bidi="ar-SA"/>
              </w:rPr>
              <w:t>50ml/瓶、1000ml/瓶，大小包装数量各占50%。</w:t>
            </w:r>
          </w:p>
        </w:tc>
      </w:tr>
    </w:tbl>
    <w:p w14:paraId="62B21021">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评标方法：最低评标价法【即符合采购需求、质量和服务相等（质量和服务相等是指供应商提供的产品和服务均能满足谈判文件规定的实质性要求）且报价最低的原则（即投标药剂数量最多）确定为成交供应商】。</w:t>
      </w:r>
    </w:p>
    <w:p w14:paraId="7194A534">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w:t>
      </w:r>
      <w:r>
        <w:rPr>
          <w:rFonts w:hint="eastAsia" w:ascii="宋体" w:hAnsi="宋体" w:eastAsia="宋体" w:cs="宋体"/>
          <w:i w:val="0"/>
          <w:iCs w:val="0"/>
          <w:caps w:val="0"/>
          <w:color w:val="auto"/>
          <w:spacing w:val="0"/>
          <w:sz w:val="24"/>
          <w:szCs w:val="24"/>
          <w:highlight w:val="none"/>
          <w:shd w:val="clear" w:color="auto" w:fill="auto"/>
        </w:rPr>
        <w:t>.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p>
    <w:p w14:paraId="12B27459">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9.本项目不接受联合体参与谈判。</w:t>
      </w:r>
    </w:p>
    <w:p w14:paraId="71174AF2">
      <w:pPr>
        <w:pStyle w:val="18"/>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499"/>
        <w:jc w:val="both"/>
        <w:textAlignment w:val="auto"/>
        <w:rPr>
          <w:rFonts w:hint="eastAsia" w:ascii="宋体" w:hAnsi="宋体" w:eastAsia="宋体" w:cs="宋体"/>
          <w:b/>
          <w:color w:val="000000"/>
          <w:sz w:val="28"/>
          <w:szCs w:val="28"/>
          <w:highlight w:val="none"/>
        </w:rPr>
      </w:pPr>
      <w:bookmarkStart w:id="13" w:name="_Toc35393622"/>
      <w:bookmarkStart w:id="14" w:name="_Toc38985264"/>
      <w:bookmarkStart w:id="15" w:name="_Toc35393791"/>
      <w:bookmarkStart w:id="16" w:name="_Toc28359003"/>
      <w:bookmarkStart w:id="17" w:name="_Toc28359080"/>
      <w:r>
        <w:rPr>
          <w:rFonts w:hint="eastAsia" w:ascii="宋体" w:hAnsi="宋体" w:eastAsia="宋体" w:cs="宋体"/>
          <w:b/>
          <w:color w:val="000000"/>
          <w:sz w:val="28"/>
          <w:szCs w:val="28"/>
          <w:highlight w:val="none"/>
        </w:rPr>
        <w:t>二、申请人的资格要求</w:t>
      </w:r>
      <w:bookmarkEnd w:id="13"/>
      <w:bookmarkEnd w:id="14"/>
      <w:bookmarkEnd w:id="15"/>
      <w:bookmarkEnd w:id="16"/>
      <w:bookmarkEnd w:id="17"/>
    </w:p>
    <w:p w14:paraId="014E64A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1.满足《中华人民共和国政府采购法》第二十二条规定，并提供下列材料：</w:t>
      </w:r>
    </w:p>
    <w:p w14:paraId="1E2166D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 法人或者其他组织的营业执照等证明文件，自然人的身份证明；</w:t>
      </w:r>
    </w:p>
    <w:p w14:paraId="1F52491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1.2上一年度的财务状况报表（成立不满一年无需提供）；</w:t>
      </w:r>
    </w:p>
    <w:p w14:paraId="7DA0F06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7E42FBA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1.4具备履行合同所必需的设备和专业技术能力的书面声明；</w:t>
      </w:r>
    </w:p>
    <w:p w14:paraId="4E4BDCD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1.5参加政府采购活动前3年内在经营活动中没有重大违法记录的书面声明。</w:t>
      </w:r>
    </w:p>
    <w:p w14:paraId="18B3E62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1426939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100658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1.8单位负责人为同一人或者存在直接控股、管理关系的不同供应商，不得参加同一合同项下的政府采购活动。</w:t>
      </w:r>
    </w:p>
    <w:p w14:paraId="25DFC23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落实政府采购政策需满足的资格要求：本项目属于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506AF24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本项目的特定资格要求：供应商如是所投农药产品的生产企业的，须提供有效的农药经营许可证，同时具有有效的所投产品的农药登记证、农药生产许可证、企业标准证的扫描件；供应商如是所投农药产品经销商的，须提供有效的经销商农药经营许可证，同时提供有效的所投农药产品生产企业的农药登记证、农药生产许可证、企业标准证的扫描件。</w:t>
      </w:r>
    </w:p>
    <w:p w14:paraId="06323D24">
      <w:pPr>
        <w:pStyle w:val="18"/>
        <w:keepNext/>
        <w:keepLines/>
        <w:pageBreakBefore w:val="0"/>
        <w:widowControl w:val="0"/>
        <w:kinsoku/>
        <w:wordWrap/>
        <w:overflowPunct/>
        <w:topLinePunct w:val="0"/>
        <w:autoSpaceDE/>
        <w:autoSpaceDN/>
        <w:bidi w:val="0"/>
        <w:adjustRightInd/>
        <w:snapToGrid/>
        <w:spacing w:before="145" w:beforeAutospacing="0" w:after="145" w:afterAutospacing="0" w:line="340" w:lineRule="exact"/>
        <w:ind w:firstLine="499"/>
        <w:jc w:val="both"/>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三、获取</w:t>
      </w:r>
      <w:r>
        <w:rPr>
          <w:rFonts w:hint="eastAsia" w:ascii="宋体" w:hAnsi="宋体" w:eastAsia="宋体" w:cs="宋体"/>
          <w:b/>
          <w:color w:val="000000"/>
          <w:sz w:val="28"/>
          <w:szCs w:val="28"/>
          <w:highlight w:val="none"/>
          <w:lang w:val="en-US" w:eastAsia="zh-CN"/>
        </w:rPr>
        <w:t>谈判</w:t>
      </w:r>
      <w:r>
        <w:rPr>
          <w:rFonts w:hint="eastAsia" w:ascii="宋体" w:hAnsi="宋体" w:eastAsia="宋体" w:cs="宋体"/>
          <w:b/>
          <w:color w:val="000000"/>
          <w:sz w:val="28"/>
          <w:szCs w:val="28"/>
          <w:highlight w:val="none"/>
        </w:rPr>
        <w:t>文件</w:t>
      </w:r>
    </w:p>
    <w:p w14:paraId="3E7FA5F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pPr>
      <w:bookmarkStart w:id="18" w:name="_Toc28359082"/>
      <w:bookmarkStart w:id="19" w:name="_Toc35393793"/>
      <w:bookmarkStart w:id="20" w:name="_Toc35393624"/>
      <w:bookmarkStart w:id="21" w:name="_Toc38985266"/>
      <w:bookmarkStart w:id="22" w:name="_Toc28359005"/>
      <w:r>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t>1.时间：自谈判文件公告发布之日起3个工作日</w:t>
      </w:r>
      <w:bookmarkEnd w:id="18"/>
      <w:bookmarkEnd w:id="19"/>
      <w:bookmarkEnd w:id="20"/>
      <w:bookmarkEnd w:id="21"/>
      <w:bookmarkEnd w:id="22"/>
      <w:r>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t>；</w:t>
      </w:r>
    </w:p>
    <w:p w14:paraId="3FE7E4A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pPr>
      <w:r>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t>2.地点：“苏采云”系统内免费下载（投标人必须在苏采云系统中获取谈判文件，方能参与政府采购项目）；</w:t>
      </w:r>
    </w:p>
    <w:p w14:paraId="1CD7F0E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pPr>
      <w:r>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t>3.方式：本项目采用网上注册登记方式；</w:t>
      </w:r>
    </w:p>
    <w:p w14:paraId="1D7064F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pPr>
      <w:r>
        <w:rPr>
          <w:rFonts w:hint="eastAsia" w:ascii="宋体" w:hAnsi="宋体" w:eastAsia="宋体" w:cs="宋体"/>
          <w:i w:val="0"/>
          <w:iCs w:val="0"/>
          <w:caps w:val="0"/>
          <w:color w:val="auto"/>
          <w:spacing w:val="0"/>
          <w:kern w:val="2"/>
          <w:sz w:val="24"/>
          <w:szCs w:val="24"/>
          <w:highlight w:val="none"/>
          <w:shd w:val="clear" w:color="auto" w:fill="auto"/>
          <w:lang w:val="en-US" w:eastAsia="zh-CN" w:bidi="ar-SA"/>
        </w:rPr>
        <w:t>4.售价：0元。</w:t>
      </w:r>
    </w:p>
    <w:p w14:paraId="797327FA">
      <w:pPr>
        <w:pStyle w:val="18"/>
        <w:keepNext/>
        <w:keepLines/>
        <w:pageBreakBefore w:val="0"/>
        <w:widowControl w:val="0"/>
        <w:kinsoku/>
        <w:wordWrap/>
        <w:overflowPunct/>
        <w:topLinePunct w:val="0"/>
        <w:autoSpaceDE/>
        <w:autoSpaceDN/>
        <w:bidi w:val="0"/>
        <w:adjustRightInd/>
        <w:snapToGrid/>
        <w:spacing w:before="145" w:beforeAutospacing="0" w:after="145" w:afterAutospacing="0" w:line="340" w:lineRule="exact"/>
        <w:ind w:firstLine="499"/>
        <w:jc w:val="both"/>
        <w:textAlignment w:val="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四、响应文件</w:t>
      </w:r>
      <w:r>
        <w:rPr>
          <w:rFonts w:hint="eastAsia" w:ascii="宋体" w:hAnsi="宋体" w:eastAsia="宋体" w:cs="宋体"/>
          <w:b/>
          <w:color w:val="000000"/>
          <w:sz w:val="28"/>
          <w:szCs w:val="28"/>
          <w:highlight w:val="none"/>
          <w:lang w:val="en-US" w:eastAsia="zh-CN"/>
        </w:rPr>
        <w:t>提交</w:t>
      </w:r>
    </w:p>
    <w:p w14:paraId="3D1DBD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1.截止时间：2026年4月14日9点00分（北京时间）；</w:t>
      </w:r>
    </w:p>
    <w:p w14:paraId="601CF5B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2.地点：“苏采云”政府采购交易系统网上开标大厅。</w:t>
      </w:r>
    </w:p>
    <w:p w14:paraId="262F26B8">
      <w:pPr>
        <w:pStyle w:val="18"/>
        <w:keepNext/>
        <w:keepLines/>
        <w:pageBreakBefore w:val="0"/>
        <w:widowControl w:val="0"/>
        <w:kinsoku/>
        <w:wordWrap/>
        <w:overflowPunct/>
        <w:topLinePunct w:val="0"/>
        <w:autoSpaceDE/>
        <w:autoSpaceDN/>
        <w:bidi w:val="0"/>
        <w:adjustRightInd/>
        <w:snapToGrid/>
        <w:spacing w:before="145" w:beforeAutospacing="0" w:after="145" w:afterAutospacing="0" w:line="340" w:lineRule="exact"/>
        <w:ind w:firstLine="499"/>
        <w:jc w:val="both"/>
        <w:textAlignment w:val="auto"/>
        <w:rPr>
          <w:rFonts w:hint="eastAsia" w:ascii="宋体" w:hAnsi="宋体" w:eastAsia="宋体" w:cs="宋体"/>
          <w:b/>
          <w:color w:val="000000"/>
          <w:sz w:val="28"/>
          <w:szCs w:val="28"/>
          <w:highlight w:val="none"/>
        </w:rPr>
      </w:pPr>
      <w:bookmarkStart w:id="23" w:name="_Toc38985268"/>
      <w:bookmarkStart w:id="24" w:name="_Toc35393795"/>
      <w:bookmarkStart w:id="25" w:name="_Toc35393626"/>
      <w:r>
        <w:rPr>
          <w:rFonts w:hint="eastAsia" w:ascii="宋体" w:hAnsi="宋体" w:eastAsia="宋体" w:cs="宋体"/>
          <w:b/>
          <w:color w:val="000000"/>
          <w:sz w:val="28"/>
          <w:szCs w:val="28"/>
          <w:highlight w:val="none"/>
        </w:rPr>
        <w:t>五、开启</w:t>
      </w:r>
    </w:p>
    <w:p w14:paraId="30A1810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1.时间：2026年4月14日9点00分（北京时间）</w:t>
      </w:r>
      <w:bookmarkEnd w:id="23"/>
      <w:bookmarkEnd w:id="24"/>
      <w:bookmarkEnd w:id="25"/>
      <w:r>
        <w:rPr>
          <w:rFonts w:hint="eastAsia" w:ascii="宋体" w:hAnsi="宋体" w:eastAsia="宋体" w:cs="宋体"/>
          <w:color w:val="auto"/>
          <w:sz w:val="24"/>
          <w:szCs w:val="24"/>
          <w:highlight w:val="none"/>
          <w:shd w:val="clear" w:color="auto" w:fill="auto"/>
          <w:lang w:val="en-US" w:eastAsia="zh-CN"/>
        </w:rPr>
        <w:t>；</w:t>
      </w:r>
    </w:p>
    <w:p w14:paraId="21BA548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2.地点：苏采云“不见面”开标大厅。</w:t>
      </w:r>
    </w:p>
    <w:p w14:paraId="2C50AB7D">
      <w:pPr>
        <w:pStyle w:val="18"/>
        <w:keepNext/>
        <w:keepLines/>
        <w:pageBreakBefore w:val="0"/>
        <w:widowControl w:val="0"/>
        <w:kinsoku/>
        <w:wordWrap/>
        <w:overflowPunct/>
        <w:topLinePunct w:val="0"/>
        <w:autoSpaceDE/>
        <w:autoSpaceDN/>
        <w:bidi w:val="0"/>
        <w:adjustRightInd/>
        <w:snapToGrid/>
        <w:spacing w:before="145" w:beforeAutospacing="0" w:after="145" w:afterAutospacing="0" w:line="340" w:lineRule="exact"/>
        <w:ind w:firstLine="499"/>
        <w:jc w:val="both"/>
        <w:textAlignment w:val="auto"/>
        <w:rPr>
          <w:rFonts w:hint="eastAsia" w:ascii="宋体" w:hAnsi="宋体" w:eastAsia="宋体" w:cs="宋体"/>
          <w:b/>
          <w:color w:val="000000"/>
          <w:sz w:val="28"/>
          <w:szCs w:val="28"/>
          <w:highlight w:val="none"/>
          <w:lang w:val="en-US" w:eastAsia="zh-CN"/>
        </w:rPr>
      </w:pPr>
      <w:bookmarkStart w:id="26" w:name="_Toc28359094"/>
      <w:r>
        <w:rPr>
          <w:rFonts w:hint="eastAsia" w:ascii="宋体" w:hAnsi="宋体" w:eastAsia="宋体" w:cs="宋体"/>
          <w:b/>
          <w:color w:val="000000"/>
          <w:sz w:val="28"/>
          <w:szCs w:val="28"/>
          <w:highlight w:val="none"/>
          <w:lang w:val="en-US" w:eastAsia="zh-CN"/>
        </w:rPr>
        <w:t>六、公告期限</w:t>
      </w:r>
      <w:bookmarkEnd w:id="26"/>
    </w:p>
    <w:p w14:paraId="0E17604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40" w:lineRule="exact"/>
        <w:ind w:left="0" w:right="0" w:firstLine="561"/>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自本公告发布之日起3个工作日。</w:t>
      </w:r>
    </w:p>
    <w:p w14:paraId="6B39247A">
      <w:pPr>
        <w:pStyle w:val="18"/>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499"/>
        <w:jc w:val="both"/>
        <w:textAlignment w:val="auto"/>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七、其他补充事宜</w:t>
      </w:r>
    </w:p>
    <w:p w14:paraId="622C231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26349CE">
      <w:pPr>
        <w:pageBreakBefore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62EA1BC5">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 潜在供应商访问电子招标响应交易平台的网络地址和方法： </w:t>
      </w:r>
    </w:p>
    <w:p w14:paraId="4FC2A88F">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2.1“苏采云”系统用户注册--获取“CA 数字证书”--CA 绑定与登录--参与投标--下载</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文件（后缀名为“.kedt”）--将后缀名为“.kedt”的</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zip）--通过“苏采云”系统上传响应文件。具体见《“苏采云”系统供应商操作手册》（手册下载地址：苏采云系统-右侧消息通知栏）。 </w:t>
      </w:r>
    </w:p>
    <w:p w14:paraId="083FD0BB">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2.2 潜在投标人访问“苏采云”系统方法：江苏省政府采购网首页-“苏采云”链接。 </w:t>
      </w:r>
    </w:p>
    <w:p w14:paraId="72A5D3E4">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2.3 </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 xml:space="preserve">文件（后缀名为“.kedt”）、供应商操作手册及政府采购客户端工具可通过“苏采云”系统相应链接进行下载。 </w:t>
      </w:r>
    </w:p>
    <w:p w14:paraId="1F75B97E">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2.4 采购代理机构将数据电文形式的</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 xml:space="preserve">文件加载至“苏采云”系统，供潜在供应商下载或者查阅。 </w:t>
      </w:r>
    </w:p>
    <w:p w14:paraId="1318F1EC">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6C20849A">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18E1B14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3.有关本次谈判的事项若存在变动或修改，敬请及时关注采购代理机构在“中国政府采购网”“江苏政府采购网”“盐城市政府采购网”发布的更正公告。</w:t>
      </w:r>
    </w:p>
    <w:p w14:paraId="2E20E537">
      <w:pPr>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投标人不得提供虚假材料谋取中标成交的或采取不正当手段诋毁、排挤其他供应商。</w:t>
      </w:r>
    </w:p>
    <w:p w14:paraId="70760A34">
      <w:pPr>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投标人存在串通投标、以他人名义投标、弄虚作假等违法违规行为，或者无正当理由放弃投标、中标资格，造成项目招标失败的，不得参加该项目重新招标的投标。</w:t>
      </w:r>
    </w:p>
    <w:p w14:paraId="708B160B">
      <w:pPr>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 本次谈判不收取谈判保证金，不收取质量保证金。</w:t>
      </w:r>
    </w:p>
    <w:p w14:paraId="3EE5E00A">
      <w:pPr>
        <w:pStyle w:val="18"/>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499"/>
        <w:jc w:val="both"/>
        <w:textAlignment w:val="auto"/>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八、凡对本次采购提出询问，请按以下方式联系。</w:t>
      </w:r>
      <w:bookmarkEnd w:id="27"/>
    </w:p>
    <w:p w14:paraId="3B81171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5E15980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称：射阳县植物保护站  </w:t>
      </w:r>
    </w:p>
    <w:p w14:paraId="3C5E1FB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地址：射阳县鹤都路国投大厦  </w:t>
      </w:r>
    </w:p>
    <w:p w14:paraId="05B3F5C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联系人：吴站长              </w:t>
      </w:r>
    </w:p>
    <w:p w14:paraId="04F430C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联系方式：0515-82320016     </w:t>
      </w:r>
      <w:bookmarkStart w:id="28" w:name="_Toc28359009"/>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23D204A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5B6CC76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称：射阳宏远财会服务有限公司  </w:t>
      </w:r>
    </w:p>
    <w:p w14:paraId="166B0E3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 址：射阳县合德镇沿河路17-1号</w:t>
      </w:r>
    </w:p>
    <w:p w14:paraId="33911C9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联系人：曹红芹                     </w:t>
      </w:r>
    </w:p>
    <w:p w14:paraId="0F81A98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bookmarkStart w:id="29" w:name="_Toc28359087"/>
      <w:bookmarkStart w:id="30"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13851150809       </w:t>
      </w:r>
      <w:bookmarkEnd w:id="29"/>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08739D3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1CEDAD5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项目联系人：吴站长</w:t>
      </w:r>
    </w:p>
    <w:p w14:paraId="6E3FA19C">
      <w:pPr>
        <w:pStyle w:val="18"/>
        <w:spacing w:beforeAutospacing="0" w:afterAutospacing="0"/>
        <w:ind w:right="840"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电　　 话：0515-82320016　　</w:t>
      </w:r>
    </w:p>
    <w:p w14:paraId="2568DA9C">
      <w:pPr>
        <w:pStyle w:val="18"/>
        <w:spacing w:beforeAutospacing="0" w:afterAutospacing="0"/>
        <w:ind w:right="840"/>
        <w:jc w:val="both"/>
        <w:rPr>
          <w:color w:val="auto"/>
          <w:highlight w:val="none"/>
          <w:shd w:val="clear" w:color="auto" w:fill="auto"/>
        </w:rPr>
      </w:pPr>
    </w:p>
    <w:p w14:paraId="5A7AF32B">
      <w:pPr>
        <w:pStyle w:val="18"/>
        <w:spacing w:beforeAutospacing="0" w:afterAutospacing="0"/>
        <w:jc w:val="center"/>
        <w:rPr>
          <w:rFonts w:hint="eastAsia" w:ascii="黑体" w:hAnsi="宋体" w:eastAsia="黑体" w:cs="黑体"/>
          <w:color w:val="000000"/>
          <w:sz w:val="44"/>
          <w:szCs w:val="44"/>
          <w:highlight w:val="none"/>
        </w:rPr>
      </w:pPr>
      <w:bookmarkStart w:id="32" w:name="_Toc120614211"/>
      <w:r>
        <w:rPr>
          <w:rFonts w:hint="eastAsia" w:ascii="黑体" w:hAnsi="宋体" w:eastAsia="黑体" w:cs="黑体"/>
          <w:color w:val="000000"/>
          <w:sz w:val="44"/>
          <w:szCs w:val="44"/>
          <w:highlight w:val="none"/>
        </w:rPr>
        <w:t xml:space="preserve">第二章  </w:t>
      </w:r>
      <w:bookmarkEnd w:id="32"/>
      <w:r>
        <w:rPr>
          <w:rFonts w:hint="eastAsia" w:ascii="黑体" w:hAnsi="宋体" w:eastAsia="黑体" w:cs="黑体"/>
          <w:color w:val="000000"/>
          <w:sz w:val="44"/>
          <w:szCs w:val="44"/>
          <w:highlight w:val="none"/>
        </w:rPr>
        <w:t>供应商须知</w:t>
      </w:r>
    </w:p>
    <w:p w14:paraId="7339193D">
      <w:pPr>
        <w:pStyle w:val="18"/>
        <w:keepNext/>
        <w:keepLines/>
        <w:spacing w:before="145" w:beforeAutospacing="0" w:after="145" w:afterAutospacing="0" w:line="360" w:lineRule="auto"/>
        <w:ind w:firstLine="498"/>
        <w:jc w:val="both"/>
        <w:rPr>
          <w:color w:val="auto"/>
          <w:highlight w:val="none"/>
          <w:shd w:val="clear" w:color="auto" w:fill="auto"/>
        </w:rPr>
      </w:pPr>
      <w:bookmarkStart w:id="33" w:name="_Toc20823275"/>
      <w:bookmarkStart w:id="34" w:name="_Toc513029203"/>
      <w:bookmarkStart w:id="35" w:name="_Toc16938519"/>
      <w:bookmarkStart w:id="36" w:name="_Toc120614214"/>
      <w:r>
        <w:rPr>
          <w:rFonts w:ascii="Times New Roman" w:hAnsi="Times New Roman"/>
          <w:b/>
          <w:color w:val="auto"/>
          <w:sz w:val="32"/>
          <w:szCs w:val="32"/>
          <w:highlight w:val="none"/>
          <w:shd w:val="clear" w:color="auto" w:fill="auto"/>
        </w:rPr>
        <w:t>一、总则</w:t>
      </w:r>
      <w:bookmarkEnd w:id="33"/>
      <w:bookmarkEnd w:id="34"/>
      <w:bookmarkEnd w:id="35"/>
      <w:bookmarkEnd w:id="36"/>
    </w:p>
    <w:p w14:paraId="76301AE5">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37" w:name="_Toc20823276"/>
      <w:bookmarkStart w:id="38" w:name="_Toc16938520"/>
      <w:bookmarkStart w:id="39" w:name="_Toc458694821"/>
      <w:bookmarkStart w:id="40" w:name="_Toc513029204"/>
      <w:bookmarkStart w:id="41" w:name="_Hlt16619475"/>
      <w:r>
        <w:rPr>
          <w:rFonts w:hint="eastAsia" w:ascii="宋体" w:hAnsi="宋体" w:eastAsia="宋体" w:cs="宋体"/>
          <w:color w:val="auto"/>
          <w:sz w:val="24"/>
          <w:szCs w:val="24"/>
          <w:highlight w:val="none"/>
          <w:shd w:val="clear" w:color="auto" w:fill="auto"/>
        </w:rPr>
        <w:t>1</w:t>
      </w:r>
      <w:bookmarkEnd w:id="37"/>
      <w:r>
        <w:rPr>
          <w:rFonts w:hint="eastAsia" w:ascii="宋体" w:hAnsi="宋体" w:eastAsia="宋体" w:cs="宋体"/>
          <w:color w:val="auto"/>
          <w:sz w:val="24"/>
          <w:szCs w:val="24"/>
          <w:highlight w:val="none"/>
          <w:shd w:val="clear" w:color="auto" w:fill="auto"/>
        </w:rPr>
        <w:t>、采购方式</w:t>
      </w:r>
      <w:bookmarkEnd w:id="38"/>
      <w:bookmarkEnd w:id="39"/>
      <w:bookmarkEnd w:id="40"/>
    </w:p>
    <w:p w14:paraId="51164072">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本次政府采购活动采取竞争性谈判(以下简称谈判)方式，本谈判文件仅适用于谈判公告中所述项目。</w:t>
      </w:r>
    </w:p>
    <w:p w14:paraId="73F32008">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42" w:name="_Toc513029205"/>
      <w:bookmarkStart w:id="43" w:name="_Toc16938521"/>
      <w:bookmarkStart w:id="44" w:name="_Toc20823277"/>
      <w:r>
        <w:rPr>
          <w:rFonts w:hint="eastAsia" w:ascii="宋体" w:hAnsi="宋体" w:eastAsia="宋体" w:cs="宋体"/>
          <w:color w:val="auto"/>
          <w:sz w:val="24"/>
          <w:szCs w:val="24"/>
          <w:highlight w:val="none"/>
          <w:shd w:val="clear" w:color="auto" w:fill="auto"/>
        </w:rPr>
        <w:t>2、合格的</w:t>
      </w:r>
      <w:bookmarkEnd w:id="42"/>
      <w:bookmarkEnd w:id="43"/>
      <w:bookmarkEnd w:id="44"/>
      <w:r>
        <w:rPr>
          <w:rFonts w:hint="eastAsia" w:ascii="宋体" w:hAnsi="宋体" w:eastAsia="宋体" w:cs="宋体"/>
          <w:color w:val="auto"/>
          <w:sz w:val="24"/>
          <w:szCs w:val="24"/>
          <w:highlight w:val="none"/>
          <w:shd w:val="clear" w:color="auto" w:fill="auto"/>
        </w:rPr>
        <w:t>供应商</w:t>
      </w:r>
    </w:p>
    <w:p w14:paraId="6473E55F">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2.1满足谈判公告中供应商资格要求的规定。</w:t>
      </w:r>
    </w:p>
    <w:p w14:paraId="51ACDA2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满足本谈判文件实质性要求和条件的规定。</w:t>
      </w:r>
    </w:p>
    <w:p w14:paraId="4170807A">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魏碑_GBK" w:hAnsi="方正魏碑_GBK" w:eastAsia="方正魏碑_GBK" w:cs="方正魏碑_GBK"/>
          <w:color w:val="auto"/>
          <w:sz w:val="24"/>
          <w:szCs w:val="21"/>
        </w:rPr>
      </w:pPr>
      <w:bookmarkStart w:id="45" w:name="_Toc20823278"/>
      <w:bookmarkStart w:id="46" w:name="_Toc16938522"/>
      <w:bookmarkStart w:id="47" w:name="_Toc513029206"/>
      <w:bookmarkStart w:id="48" w:name="_Toc462564067"/>
      <w:bookmarkStart w:id="49" w:name="_Toc513029207"/>
      <w:bookmarkStart w:id="50" w:name="_Toc16938523"/>
      <w:bookmarkStart w:id="51" w:name="_Toc20823279"/>
      <w:r>
        <w:rPr>
          <w:rFonts w:hint="eastAsia" w:ascii="方正魏碑_GBK" w:hAnsi="方正魏碑_GBK" w:eastAsia="方正魏碑_GBK" w:cs="方正魏碑_GBK"/>
          <w:color w:val="auto"/>
          <w:sz w:val="24"/>
          <w:szCs w:val="21"/>
        </w:rPr>
        <w:t>3、适用法律</w:t>
      </w:r>
      <w:bookmarkEnd w:id="45"/>
      <w:bookmarkEnd w:id="46"/>
      <w:bookmarkEnd w:id="47"/>
      <w:r>
        <w:rPr>
          <w:rFonts w:hint="eastAsia" w:ascii="方正魏碑_GBK" w:hAnsi="方正魏碑_GBK" w:eastAsia="方正魏碑_GBK" w:cs="方正魏碑_GBK"/>
          <w:color w:val="auto"/>
          <w:sz w:val="24"/>
          <w:szCs w:val="21"/>
        </w:rPr>
        <w:t>和标准</w:t>
      </w:r>
    </w:p>
    <w:p w14:paraId="60757E93">
      <w:pPr>
        <w:pStyle w:val="18"/>
        <w:pageBreakBefore w:val="0"/>
        <w:widowControl w:val="0"/>
        <w:kinsoku/>
        <w:wordWrap/>
        <w:overflowPunct/>
        <w:topLinePunct w:val="0"/>
        <w:autoSpaceDE/>
        <w:autoSpaceDN/>
        <w:bidi w:val="0"/>
        <w:adjustRightInd/>
        <w:snapToGrid/>
        <w:spacing w:beforeAutospacing="0" w:afterAutospacing="0" w:line="3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61AA10AF">
      <w:pPr>
        <w:pageBreakBefore w:val="0"/>
        <w:widowControl w:val="0"/>
        <w:kinsoku/>
        <w:wordWrap/>
        <w:overflowPunct/>
        <w:topLinePunct w:val="0"/>
        <w:autoSpaceDE/>
        <w:autoSpaceDN/>
        <w:bidi w:val="0"/>
        <w:adjustRightInd/>
        <w:snapToGrid/>
        <w:spacing w:line="360" w:lineRule="exact"/>
        <w:ind w:firstLine="420" w:firstLineChars="175"/>
        <w:textAlignment w:val="auto"/>
        <w:rPr>
          <w:rFonts w:hint="eastAsia" w:ascii="宋体" w:hAnsi="宋体" w:eastAsia="宋体" w:cs="宋体"/>
          <w:color w:val="auto"/>
          <w:sz w:val="24"/>
          <w:szCs w:val="24"/>
          <w:highlight w:val="none"/>
          <w:shd w:val="clear" w:color="auto" w:fill="auto"/>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76A8C68E">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4、谈判费用</w:t>
      </w:r>
      <w:bookmarkEnd w:id="48"/>
      <w:bookmarkEnd w:id="49"/>
      <w:bookmarkEnd w:id="50"/>
      <w:bookmarkEnd w:id="51"/>
    </w:p>
    <w:p w14:paraId="32F2B7A1">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4.1供应商应自行承担所有与参加本次谈判有关的费用，无论谈判过程中的做法和结果如何，射阳宏远财会服务有限公司（以下简称采购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）在任何情况下均无义务和责任承担这些费用。</w:t>
      </w:r>
    </w:p>
    <w:p w14:paraId="2760E35D">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4.2本次谈判采购代理机构和采购人不收取标书工本费。</w:t>
      </w:r>
    </w:p>
    <w:p w14:paraId="78417B2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firstLine="480"/>
        <w:jc w:val="both"/>
        <w:textAlignment w:val="auto"/>
        <w:rPr>
          <w:rFonts w:hint="eastAsia" w:ascii="宋体" w:hAnsi="宋体" w:eastAsia="宋体" w:cs="宋体"/>
          <w:sz w:val="24"/>
          <w:lang w:eastAsia="zh-CN"/>
        </w:rPr>
      </w:pPr>
      <w:r>
        <w:rPr>
          <w:rFonts w:ascii="宋体" w:hAnsi="宋体" w:eastAsia="宋体" w:cs="宋体"/>
          <w:sz w:val="24"/>
          <w:lang w:eastAsia="zh-CN"/>
        </w:rPr>
        <w:t>4.</w:t>
      </w:r>
      <w:r>
        <w:rPr>
          <w:rFonts w:hint="eastAsia" w:ascii="宋体" w:hAnsi="宋体" w:eastAsia="宋体" w:cs="宋体"/>
          <w:sz w:val="24"/>
          <w:lang w:val="en-US" w:eastAsia="zh-CN"/>
        </w:rPr>
        <w:t>成交</w:t>
      </w:r>
      <w:r>
        <w:rPr>
          <w:rFonts w:hint="eastAsia" w:ascii="宋体" w:hAnsi="宋体" w:eastAsia="宋体" w:cs="宋体"/>
          <w:sz w:val="24"/>
          <w:lang w:eastAsia="zh-CN"/>
        </w:rPr>
        <w:t>服务费：本次</w:t>
      </w:r>
      <w:r>
        <w:rPr>
          <w:rFonts w:hint="eastAsia" w:ascii="宋体" w:hAnsi="宋体" w:eastAsia="宋体" w:cs="宋体"/>
          <w:sz w:val="24"/>
          <w:lang w:val="en-US" w:eastAsia="zh-CN"/>
        </w:rPr>
        <w:t>采购</w:t>
      </w:r>
      <w:r>
        <w:rPr>
          <w:rFonts w:hint="eastAsia" w:ascii="宋体" w:hAnsi="宋体" w:eastAsia="宋体" w:cs="宋体"/>
          <w:sz w:val="24"/>
          <w:lang w:eastAsia="zh-CN"/>
        </w:rPr>
        <w:t>代理服务费由</w:t>
      </w:r>
      <w:r>
        <w:rPr>
          <w:rFonts w:hint="eastAsia" w:ascii="宋体" w:hAnsi="宋体" w:eastAsia="宋体" w:cs="宋体"/>
          <w:sz w:val="24"/>
          <w:lang w:val="en-US" w:eastAsia="zh-CN"/>
        </w:rPr>
        <w:t>成交供应商</w:t>
      </w:r>
      <w:r>
        <w:rPr>
          <w:rFonts w:hint="eastAsia" w:ascii="宋体" w:hAnsi="宋体" w:eastAsia="宋体" w:cs="宋体"/>
          <w:sz w:val="24"/>
          <w:lang w:eastAsia="zh-CN"/>
        </w:rPr>
        <w:t>向采购代理机构支付。</w:t>
      </w:r>
      <w:r>
        <w:rPr>
          <w:rFonts w:hint="eastAsia" w:ascii="宋体" w:hAnsi="宋体" w:eastAsia="宋体" w:cs="宋体"/>
          <w:sz w:val="24"/>
          <w:lang w:val="en-US" w:eastAsia="zh-CN"/>
        </w:rPr>
        <w:t>成交供应商</w:t>
      </w:r>
      <w:r>
        <w:rPr>
          <w:rFonts w:hint="eastAsia" w:ascii="宋体" w:hAnsi="宋体" w:eastAsia="宋体" w:cs="宋体"/>
          <w:sz w:val="24"/>
          <w:lang w:eastAsia="zh-CN"/>
        </w:rPr>
        <w:t>须在领取</w:t>
      </w:r>
      <w:r>
        <w:rPr>
          <w:rFonts w:hint="eastAsia" w:ascii="宋体" w:hAnsi="宋体" w:eastAsia="宋体" w:cs="宋体"/>
          <w:sz w:val="24"/>
          <w:lang w:val="en-US" w:eastAsia="zh-CN"/>
        </w:rPr>
        <w:t>成交</w:t>
      </w:r>
      <w:r>
        <w:rPr>
          <w:rFonts w:hint="eastAsia" w:ascii="宋体" w:hAnsi="宋体" w:eastAsia="宋体" w:cs="宋体"/>
          <w:sz w:val="24"/>
          <w:lang w:eastAsia="zh-CN"/>
        </w:rPr>
        <w:t>通知书时向采购代理机构一次性付清。</w:t>
      </w:r>
    </w:p>
    <w:p w14:paraId="17ED895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firstLine="480"/>
        <w:jc w:val="both"/>
        <w:textAlignment w:val="auto"/>
        <w:rPr>
          <w:rFonts w:hint="eastAsia" w:ascii="宋体" w:hAnsi="宋体" w:eastAsia="宋体" w:cs="宋体"/>
          <w:sz w:val="24"/>
          <w:lang w:eastAsia="zh-CN"/>
        </w:rPr>
      </w:pPr>
      <w:r>
        <w:rPr>
          <w:rFonts w:hint="eastAsia" w:ascii="宋体" w:hAnsi="宋体" w:eastAsia="宋体" w:cs="宋体"/>
          <w:sz w:val="24"/>
          <w:lang w:val="en-US" w:eastAsia="zh-CN"/>
        </w:rPr>
        <w:t>4.4</w:t>
      </w:r>
      <w:r>
        <w:rPr>
          <w:rFonts w:hint="eastAsia" w:ascii="宋体" w:hAnsi="宋体" w:eastAsia="宋体" w:cs="宋体"/>
          <w:sz w:val="24"/>
          <w:lang w:eastAsia="zh-CN"/>
        </w:rPr>
        <w:t>收费标准：本次</w:t>
      </w:r>
      <w:r>
        <w:rPr>
          <w:rFonts w:hint="eastAsia" w:ascii="宋体" w:hAnsi="宋体" w:eastAsia="宋体" w:cs="宋体"/>
          <w:sz w:val="24"/>
          <w:lang w:val="en-US" w:eastAsia="zh-CN"/>
        </w:rPr>
        <w:t>采购</w:t>
      </w:r>
      <w:r>
        <w:rPr>
          <w:rFonts w:hint="eastAsia" w:ascii="宋体" w:hAnsi="宋体" w:eastAsia="宋体" w:cs="宋体"/>
          <w:sz w:val="24"/>
          <w:lang w:eastAsia="zh-CN"/>
        </w:rPr>
        <w:t>的代理服务费按《江苏省政府采购代理服务收费指导意见》的通知（苏政采协【2024】20号）收费标准进行计取（按差额定率分档累进法计算），中标金额50万元以下(含50万元)收取1.6%，50万元-400万元(含400万元) 收取1.5%；由成交供应商在领取成交通知书前一次性支付。（本条不单独列表报价，自行综合考虑在投标报价中，</w:t>
      </w:r>
      <w:r>
        <w:rPr>
          <w:rFonts w:hint="eastAsia" w:ascii="宋体" w:hAnsi="宋体" w:eastAsia="宋体" w:cs="宋体"/>
          <w:sz w:val="24"/>
          <w:lang w:val="en-US" w:eastAsia="zh-CN"/>
        </w:rPr>
        <w:t>成交</w:t>
      </w:r>
      <w:r>
        <w:rPr>
          <w:rFonts w:hint="eastAsia" w:ascii="宋体" w:hAnsi="宋体" w:eastAsia="宋体" w:cs="宋体"/>
          <w:sz w:val="24"/>
          <w:lang w:eastAsia="zh-CN"/>
        </w:rPr>
        <w:t>后采购人不再另行支付）。</w:t>
      </w:r>
    </w:p>
    <w:p w14:paraId="416C23D4">
      <w:pPr>
        <w:pStyle w:val="19"/>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收款帐户为：射阳宏远财会服务有限公司，开户行：中国建设银行股份有限公司射阳县支行，账号：32001737436052512853。</w:t>
      </w:r>
    </w:p>
    <w:p w14:paraId="69E10404">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5、谈判文</w:t>
      </w:r>
      <w:r>
        <w:rPr>
          <w:rFonts w:hint="eastAsia" w:ascii="宋体" w:hAnsi="宋体" w:eastAsia="宋体" w:cs="宋体"/>
          <w:color w:val="auto"/>
          <w:sz w:val="24"/>
          <w:szCs w:val="24"/>
          <w:highlight w:val="none"/>
          <w:shd w:val="clear" w:color="auto" w:fill="auto"/>
        </w:rPr>
        <w:t>件的约束力</w:t>
      </w:r>
    </w:p>
    <w:p w14:paraId="20DAE2F4">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5.1供应商一旦参加本项目采购活动，即被认为接受了本谈判文件的规定和约束。</w:t>
      </w:r>
    </w:p>
    <w:p w14:paraId="22C08415">
      <w:pPr>
        <w:pStyle w:val="18"/>
        <w:keepNext/>
        <w:keepLines/>
        <w:spacing w:before="145" w:beforeAutospacing="0" w:after="145" w:afterAutospacing="0" w:line="360" w:lineRule="auto"/>
        <w:ind w:firstLine="321"/>
        <w:jc w:val="both"/>
        <w:rPr>
          <w:rFonts w:hint="eastAsia" w:ascii="宋体" w:hAnsi="宋体" w:eastAsia="宋体" w:cs="宋体"/>
          <w:color w:val="auto"/>
          <w:sz w:val="24"/>
          <w:szCs w:val="24"/>
          <w:highlight w:val="none"/>
          <w:shd w:val="clear" w:color="auto" w:fill="auto"/>
        </w:rPr>
      </w:pPr>
      <w:bookmarkStart w:id="52" w:name="_Toc120614215"/>
      <w:bookmarkStart w:id="53" w:name="_Toc513029209"/>
      <w:bookmarkStart w:id="54" w:name="_Toc20823281"/>
      <w:bookmarkStart w:id="55" w:name="_Toc16938525"/>
      <w:r>
        <w:rPr>
          <w:rFonts w:hint="eastAsia" w:ascii="宋体" w:hAnsi="宋体" w:eastAsia="宋体" w:cs="宋体"/>
          <w:b/>
          <w:color w:val="auto"/>
          <w:sz w:val="24"/>
          <w:szCs w:val="24"/>
          <w:highlight w:val="none"/>
          <w:shd w:val="clear" w:color="auto" w:fill="auto"/>
        </w:rPr>
        <w:t>二、</w:t>
      </w:r>
      <w:bookmarkEnd w:id="52"/>
      <w:bookmarkEnd w:id="53"/>
      <w:bookmarkEnd w:id="54"/>
      <w:bookmarkEnd w:id="55"/>
      <w:r>
        <w:rPr>
          <w:rFonts w:hint="eastAsia" w:ascii="宋体" w:hAnsi="宋体" w:eastAsia="宋体" w:cs="宋体"/>
          <w:b/>
          <w:color w:val="auto"/>
          <w:sz w:val="24"/>
          <w:szCs w:val="24"/>
          <w:highlight w:val="none"/>
          <w:shd w:val="clear" w:color="auto" w:fill="auto"/>
        </w:rPr>
        <w:t>谈判文件</w:t>
      </w:r>
    </w:p>
    <w:p w14:paraId="69647989">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56" w:name="_Toc513029210"/>
      <w:bookmarkStart w:id="57" w:name="_Toc20823282"/>
      <w:bookmarkStart w:id="58" w:name="_Toc16938526"/>
      <w:r>
        <w:rPr>
          <w:rFonts w:hint="eastAsia" w:ascii="宋体" w:hAnsi="宋体" w:eastAsia="宋体" w:cs="宋体"/>
          <w:color w:val="auto"/>
          <w:sz w:val="24"/>
          <w:szCs w:val="24"/>
          <w:highlight w:val="none"/>
          <w:shd w:val="clear" w:color="auto" w:fill="auto"/>
        </w:rPr>
        <w:t>6、谈判文件构成</w:t>
      </w:r>
      <w:bookmarkEnd w:id="56"/>
      <w:bookmarkEnd w:id="57"/>
      <w:bookmarkEnd w:id="58"/>
    </w:p>
    <w:p w14:paraId="72B14392">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6.1谈判文件由以下部分组成：</w:t>
      </w:r>
    </w:p>
    <w:p w14:paraId="42D2B50B">
      <w:pPr>
        <w:pStyle w:val="18"/>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（1）谈判</w:t>
      </w:r>
      <w:r>
        <w:rPr>
          <w:rFonts w:hint="eastAsia" w:ascii="宋体" w:hAnsi="宋体" w:eastAsia="宋体" w:cs="宋体"/>
          <w:color w:val="auto"/>
          <w:sz w:val="24"/>
          <w:szCs w:val="24"/>
          <w:highlight w:val="none"/>
          <w:shd w:val="clear" w:color="auto" w:fill="auto"/>
          <w:lang w:val="en-US" w:eastAsia="zh-CN"/>
        </w:rPr>
        <w:t>公告</w:t>
      </w:r>
    </w:p>
    <w:p w14:paraId="641F79E0">
      <w:pPr>
        <w:pStyle w:val="18"/>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14:paraId="33B80FAD">
      <w:pPr>
        <w:pStyle w:val="18"/>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6A224AF0">
      <w:pPr>
        <w:pStyle w:val="18"/>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738FE126">
      <w:pPr>
        <w:pStyle w:val="18"/>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评标方法和评标标准</w:t>
      </w:r>
    </w:p>
    <w:p w14:paraId="55F0260B">
      <w:pPr>
        <w:pStyle w:val="18"/>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）响应文件格式</w:t>
      </w:r>
    </w:p>
    <w:p w14:paraId="65B9D1F3">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请仔细检查谈判文件是否齐全，如有缺漏请立即与</w:t>
      </w:r>
      <w:r>
        <w:rPr>
          <w:rFonts w:hint="eastAsia" w:ascii="宋体" w:hAnsi="宋体" w:eastAsia="宋体" w:cs="宋体"/>
          <w:color w:val="auto"/>
          <w:sz w:val="24"/>
          <w:szCs w:val="24"/>
          <w:highlight w:val="none"/>
          <w:shd w:val="clear" w:color="auto" w:fill="auto"/>
          <w:lang w:eastAsia="zh-CN"/>
        </w:rPr>
        <w:t>采购人或采购代理机构</w:t>
      </w:r>
      <w:r>
        <w:rPr>
          <w:rFonts w:hint="eastAsia" w:ascii="宋体" w:hAnsi="宋体" w:eastAsia="宋体" w:cs="宋体"/>
          <w:color w:val="auto"/>
          <w:sz w:val="24"/>
          <w:szCs w:val="24"/>
          <w:highlight w:val="none"/>
          <w:shd w:val="clear" w:color="auto" w:fill="auto"/>
        </w:rPr>
        <w:t>联系解决。</w:t>
      </w:r>
    </w:p>
    <w:p w14:paraId="41A5550D">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4C427DF5">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59" w:name="_Toc20823283"/>
      <w:bookmarkStart w:id="60" w:name="_Toc513029211"/>
      <w:bookmarkStart w:id="61" w:name="_Toc16938527"/>
      <w:bookmarkStart w:id="62" w:name="_Toc462564070"/>
      <w:r>
        <w:rPr>
          <w:rFonts w:hint="eastAsia" w:ascii="宋体" w:hAnsi="宋体" w:eastAsia="宋体" w:cs="宋体"/>
          <w:color w:val="auto"/>
          <w:sz w:val="24"/>
          <w:szCs w:val="24"/>
          <w:highlight w:val="none"/>
          <w:shd w:val="clear" w:color="auto" w:fill="auto"/>
        </w:rPr>
        <w:t>7、谈判文件的澄清</w:t>
      </w:r>
      <w:bookmarkEnd w:id="59"/>
      <w:bookmarkEnd w:id="60"/>
      <w:bookmarkEnd w:id="61"/>
      <w:bookmarkEnd w:id="62"/>
    </w:p>
    <w:p w14:paraId="3753447F">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 任何要求对谈判文件进行澄清的供应商，应在谈判截止期3个工作日前按谈判公告中的通讯地址，以书面形式通知</w:t>
      </w:r>
      <w:r>
        <w:rPr>
          <w:rFonts w:hint="eastAsia" w:ascii="宋体" w:hAnsi="宋体" w:eastAsia="宋体" w:cs="宋体"/>
          <w:color w:val="auto"/>
          <w:sz w:val="24"/>
          <w:szCs w:val="24"/>
          <w:highlight w:val="none"/>
          <w:shd w:val="clear" w:color="auto" w:fill="auto"/>
          <w:lang w:eastAsia="zh-CN"/>
        </w:rPr>
        <w:t>采购人</w:t>
      </w:r>
      <w:r>
        <w:rPr>
          <w:rFonts w:hint="eastAsia" w:ascii="宋体" w:hAnsi="宋体" w:eastAsia="宋体" w:cs="宋体"/>
          <w:color w:val="auto"/>
          <w:sz w:val="24"/>
          <w:szCs w:val="24"/>
          <w:highlight w:val="none"/>
          <w:shd w:val="clear" w:color="auto" w:fill="auto"/>
        </w:rPr>
        <w:t>。</w:t>
      </w:r>
    </w:p>
    <w:p w14:paraId="7075FBBD">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63" w:name="_Toc462564071"/>
      <w:bookmarkStart w:id="64" w:name="_Toc20823284"/>
      <w:bookmarkStart w:id="65" w:name="_Toc16938528"/>
      <w:bookmarkStart w:id="66" w:name="_Toc513029212"/>
      <w:r>
        <w:rPr>
          <w:rFonts w:hint="eastAsia" w:ascii="宋体" w:hAnsi="宋体" w:eastAsia="宋体" w:cs="宋体"/>
          <w:color w:val="auto"/>
          <w:sz w:val="24"/>
          <w:szCs w:val="24"/>
          <w:highlight w:val="none"/>
          <w:shd w:val="clear" w:color="auto" w:fill="auto"/>
        </w:rPr>
        <w:t>8、谈判文件的澄清和修改</w:t>
      </w:r>
      <w:bookmarkEnd w:id="63"/>
      <w:bookmarkEnd w:id="64"/>
      <w:bookmarkEnd w:id="65"/>
      <w:bookmarkEnd w:id="66"/>
    </w:p>
    <w:p w14:paraId="7C4A73D5">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在响应文件提交截止时间前，</w:t>
      </w:r>
      <w:r>
        <w:rPr>
          <w:rFonts w:hint="eastAsia" w:ascii="宋体" w:hAnsi="宋体" w:eastAsia="宋体" w:cs="宋体"/>
          <w:color w:val="auto"/>
          <w:sz w:val="24"/>
          <w:szCs w:val="24"/>
          <w:highlight w:val="none"/>
          <w:shd w:val="clear" w:color="auto" w:fill="auto"/>
          <w:lang w:eastAsia="zh-CN"/>
        </w:rPr>
        <w:t>采购人或采购代理机构</w:t>
      </w:r>
      <w:r>
        <w:rPr>
          <w:rFonts w:hint="eastAsia" w:ascii="宋体" w:hAnsi="宋体" w:eastAsia="宋体" w:cs="宋体"/>
          <w:color w:val="auto"/>
          <w:sz w:val="24"/>
          <w:szCs w:val="24"/>
          <w:highlight w:val="none"/>
          <w:shd w:val="clear" w:color="auto" w:fill="auto"/>
        </w:rPr>
        <w:t>可以对谈判文件进行澄清和修改,澄清或者修改的内容作为谈判文件的组成部分。澄清或者修改的内容可能影响响应文件编制的，</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盐城市政府采购网”上发布书面更正公告形式通知所有获取谈判文件的供应商,更正公告内容将作为谈判文件的组成部分，并对供应商具有约束力。不足3个工作日的，</w:t>
      </w:r>
      <w:r>
        <w:rPr>
          <w:rFonts w:hint="eastAsia" w:ascii="宋体" w:hAnsi="宋体" w:eastAsia="宋体" w:cs="宋体"/>
          <w:color w:val="auto"/>
          <w:sz w:val="24"/>
          <w:szCs w:val="24"/>
          <w:highlight w:val="none"/>
          <w:shd w:val="clear" w:color="auto" w:fill="auto"/>
          <w:lang w:eastAsia="zh-CN"/>
        </w:rPr>
        <w:t>采购人或采购代理机构</w:t>
      </w:r>
      <w:r>
        <w:rPr>
          <w:rFonts w:hint="eastAsia" w:ascii="宋体" w:hAnsi="宋体" w:eastAsia="宋体" w:cs="宋体"/>
          <w:color w:val="auto"/>
          <w:sz w:val="24"/>
          <w:szCs w:val="24"/>
          <w:highlight w:val="none"/>
          <w:shd w:val="clear" w:color="auto" w:fill="auto"/>
        </w:rPr>
        <w:t>将顺延提交首次响应文件截止时间。</w:t>
      </w:r>
    </w:p>
    <w:p w14:paraId="554C4858">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w:t>
      </w:r>
      <w:r>
        <w:rPr>
          <w:rFonts w:hint="eastAsia" w:ascii="宋体" w:hAnsi="宋体" w:eastAsia="宋体" w:cs="宋体"/>
          <w:color w:val="auto"/>
          <w:sz w:val="24"/>
          <w:szCs w:val="24"/>
          <w:highlight w:val="none"/>
          <w:shd w:val="clear" w:color="auto" w:fill="auto"/>
          <w:lang w:eastAsia="zh-CN"/>
        </w:rPr>
        <w:t>采购人</w:t>
      </w:r>
      <w:r>
        <w:rPr>
          <w:rFonts w:hint="eastAsia" w:ascii="宋体" w:hAnsi="宋体" w:eastAsia="宋体" w:cs="宋体"/>
          <w:color w:val="auto"/>
          <w:sz w:val="24"/>
          <w:szCs w:val="24"/>
          <w:highlight w:val="none"/>
          <w:shd w:val="clear" w:color="auto" w:fill="auto"/>
        </w:rPr>
        <w:t>可以视采购项目的具体情况，组织供应商进行现场考察或召开谈判前答疑会，但不单独或分别组织只有一个供应商参加的现场考察和答疑会。</w:t>
      </w:r>
    </w:p>
    <w:p w14:paraId="263EC033">
      <w:pPr>
        <w:pStyle w:val="18"/>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shd w:val="clear" w:color="auto" w:fill="auto"/>
        </w:rPr>
      </w:pPr>
      <w:bookmarkStart w:id="67" w:name="_Toc16938529"/>
      <w:bookmarkStart w:id="68" w:name="_Toc462564072"/>
      <w:bookmarkStart w:id="69" w:name="_Toc20823285"/>
      <w:bookmarkStart w:id="70" w:name="_Toc120614216"/>
      <w:bookmarkStart w:id="71" w:name="_Toc513029213"/>
      <w:r>
        <w:rPr>
          <w:rFonts w:hint="eastAsia" w:ascii="宋体" w:hAnsi="宋体" w:eastAsia="宋体" w:cs="宋体"/>
          <w:b/>
          <w:color w:val="auto"/>
          <w:sz w:val="24"/>
          <w:szCs w:val="24"/>
          <w:highlight w:val="none"/>
          <w:shd w:val="clear" w:color="auto" w:fill="auto"/>
        </w:rPr>
        <w:t>三、响应文件的编制</w:t>
      </w:r>
      <w:bookmarkEnd w:id="67"/>
      <w:bookmarkEnd w:id="68"/>
      <w:bookmarkEnd w:id="69"/>
      <w:bookmarkEnd w:id="70"/>
      <w:bookmarkEnd w:id="71"/>
    </w:p>
    <w:p w14:paraId="5C73C290">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72" w:name="_Toc20823286"/>
      <w:bookmarkStart w:id="73" w:name="_Toc462564073"/>
      <w:bookmarkStart w:id="74" w:name="_Toc513029214"/>
      <w:bookmarkStart w:id="75" w:name="_Toc16938530"/>
      <w:r>
        <w:rPr>
          <w:rFonts w:hint="eastAsia" w:ascii="宋体" w:hAnsi="宋体" w:eastAsia="宋体" w:cs="宋体"/>
          <w:color w:val="auto"/>
          <w:sz w:val="24"/>
          <w:szCs w:val="24"/>
          <w:highlight w:val="none"/>
          <w:shd w:val="clear" w:color="auto" w:fill="auto"/>
        </w:rPr>
        <w:t>9、响应文件的语言及度量衡单位</w:t>
      </w:r>
      <w:bookmarkEnd w:id="72"/>
      <w:bookmarkEnd w:id="73"/>
      <w:bookmarkEnd w:id="74"/>
      <w:bookmarkEnd w:id="75"/>
    </w:p>
    <w:p w14:paraId="3F88A372">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w:t>
      </w:r>
      <w:r>
        <w:rPr>
          <w:rFonts w:hint="eastAsia" w:ascii="宋体" w:hAnsi="宋体" w:eastAsia="宋体" w:cs="宋体"/>
          <w:color w:val="auto"/>
          <w:sz w:val="24"/>
          <w:szCs w:val="24"/>
          <w:highlight w:val="none"/>
          <w:shd w:val="clear" w:color="auto" w:fill="auto"/>
          <w:lang w:eastAsia="zh-CN"/>
        </w:rPr>
        <w:t>采购人或采购代理机构</w:t>
      </w:r>
      <w:r>
        <w:rPr>
          <w:rFonts w:hint="eastAsia" w:ascii="宋体" w:hAnsi="宋体" w:eastAsia="宋体" w:cs="宋体"/>
          <w:color w:val="auto"/>
          <w:sz w:val="24"/>
          <w:szCs w:val="24"/>
          <w:highlight w:val="none"/>
          <w:shd w:val="clear" w:color="auto" w:fill="auto"/>
        </w:rPr>
        <w:t>就有关谈判的所有来往通知、函件和文件均应使用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2B4AC5C0">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6AC51321">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76" w:name="_Toc513029215"/>
      <w:bookmarkStart w:id="77" w:name="_Toc20823287"/>
      <w:bookmarkStart w:id="78" w:name="_Toc462564074"/>
      <w:bookmarkStart w:id="79" w:name="_Toc16938531"/>
      <w:r>
        <w:rPr>
          <w:rFonts w:hint="eastAsia" w:ascii="宋体" w:hAnsi="宋体" w:eastAsia="宋体" w:cs="宋体"/>
          <w:color w:val="auto"/>
          <w:sz w:val="24"/>
          <w:szCs w:val="24"/>
          <w:highlight w:val="none"/>
          <w:shd w:val="clear" w:color="auto" w:fill="auto"/>
        </w:rPr>
        <w:t>10、响应文件构成</w:t>
      </w:r>
      <w:bookmarkEnd w:id="76"/>
      <w:bookmarkEnd w:id="77"/>
      <w:bookmarkEnd w:id="78"/>
      <w:bookmarkEnd w:id="79"/>
    </w:p>
    <w:p w14:paraId="07DC82DC">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10.1供应商编写的响应文件应包括资格证明文件、符合性证明文件、分项报价表、技术要求响应及偏离表、商务要求响应及偏离表、其他证明文件、谈判响应函等部分。</w:t>
      </w:r>
    </w:p>
    <w:p w14:paraId="6294BD8C">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如标书制作工具中格式和内容与</w:t>
      </w:r>
      <w:r>
        <w:rPr>
          <w:rFonts w:hint="eastAsia" w:ascii="宋体" w:hAnsi="宋体" w:eastAsia="宋体" w:cs="宋体"/>
          <w:i w:val="0"/>
          <w:iCs w:val="0"/>
          <w:caps w:val="0"/>
          <w:color w:val="auto"/>
          <w:spacing w:val="0"/>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盐城市政府采购网”发布的谈判文件不一致，请以</w:t>
      </w:r>
      <w:r>
        <w:rPr>
          <w:rFonts w:hint="eastAsia" w:ascii="宋体" w:hAnsi="宋体" w:eastAsia="宋体" w:cs="宋体"/>
          <w:i w:val="0"/>
          <w:iCs w:val="0"/>
          <w:caps w:val="0"/>
          <w:color w:val="auto"/>
          <w:spacing w:val="0"/>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盐城市政府采购网”发布的谈判文件为准。</w:t>
      </w:r>
    </w:p>
    <w:p w14:paraId="5D75275B">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80" w:name="_Toc513029216"/>
      <w:bookmarkStart w:id="81" w:name="_Toc49090507"/>
      <w:bookmarkStart w:id="82" w:name="_Toc49090508"/>
      <w:bookmarkStart w:id="83" w:name="_Toc14577357"/>
      <w:bookmarkStart w:id="84" w:name="_Toc49090509"/>
      <w:bookmarkStart w:id="85" w:name="_Toc14577354"/>
      <w:bookmarkStart w:id="86" w:name="_Toc513029219"/>
      <w:bookmarkStart w:id="87" w:name="_Toc14577355"/>
      <w:bookmarkStart w:id="88" w:name="_Hlt26670360"/>
      <w:bookmarkStart w:id="89" w:name="_Hlt26954838"/>
      <w:bookmarkStart w:id="90" w:name="_Hlt26668975"/>
      <w:r>
        <w:rPr>
          <w:rFonts w:hint="eastAsia" w:ascii="宋体" w:hAnsi="宋体" w:eastAsia="宋体" w:cs="宋体"/>
          <w:color w:val="auto"/>
          <w:sz w:val="24"/>
          <w:szCs w:val="24"/>
          <w:highlight w:val="none"/>
          <w:shd w:val="clear" w:color="auto" w:fill="auto"/>
        </w:rPr>
        <w:t>11、证明谈判响应标的符合谈判文件规定的文件</w:t>
      </w:r>
      <w:bookmarkEnd w:id="80"/>
      <w:bookmarkEnd w:id="81"/>
      <w:bookmarkEnd w:id="82"/>
      <w:bookmarkEnd w:id="83"/>
      <w:bookmarkEnd w:id="84"/>
      <w:bookmarkEnd w:id="85"/>
      <w:bookmarkEnd w:id="86"/>
      <w:bookmarkEnd w:id="87"/>
    </w:p>
    <w:p w14:paraId="569A2539">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11.1供应商应按照谈判文件要求提交证明文件，证明其及谈判响应标的符合谈判文件规定。</w:t>
      </w:r>
    </w:p>
    <w:p w14:paraId="6BB90F94">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11.2谈判文件对证明文件无明确形式要求的，证明文件可以以文字资料、图纸和数据等形式提交。</w:t>
      </w:r>
    </w:p>
    <w:p w14:paraId="1BE4CE7F">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5EE0F3EF">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12.1供应商应按照谈判文件规定格式填报分项报价表。</w:t>
      </w:r>
    </w:p>
    <w:p w14:paraId="54CC5CE8">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12.2谈判货币。响应文件中的单价和总价无特殊规定的采用人民币报价，以元为单位标注。谈判文件中另有规定的按规定执行。</w:t>
      </w:r>
    </w:p>
    <w:p w14:paraId="561DEAC4">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91" w:name="_Hlt26954846"/>
      <w:bookmarkStart w:id="92" w:name="_Hlt26954848"/>
      <w:bookmarkStart w:id="93" w:name="_Hlt26954731"/>
      <w:bookmarkStart w:id="94" w:name="_Hlt26670486"/>
      <w:bookmarkStart w:id="95" w:name="_Hlt26670482"/>
      <w:r>
        <w:rPr>
          <w:rFonts w:hint="eastAsia" w:ascii="宋体" w:hAnsi="宋体" w:eastAsia="宋体" w:cs="宋体"/>
          <w:color w:val="auto"/>
          <w:sz w:val="24"/>
          <w:szCs w:val="24"/>
          <w:highlight w:val="none"/>
          <w:shd w:val="clear" w:color="auto" w:fill="auto"/>
        </w:rPr>
        <w:t>13、技术要求响应及偏离表、商务要求响应及偏离表</w:t>
      </w:r>
    </w:p>
    <w:p w14:paraId="783EE96E">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13.1供应商需对谈判文件中的技术要求与商务要求逐项作出响应或偏离，并说明原因。</w:t>
      </w:r>
    </w:p>
    <w:p w14:paraId="291A24E9">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20C7B777">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14、服务承诺、培训计划、人员安排及其他</w:t>
      </w:r>
    </w:p>
    <w:p w14:paraId="5CD79EE9">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14.1供应商需根据谈判文件要求提供有关售后服务的管理制度，售后服务机构的分布情况，售后服务人员的数量、素质、技术水平及售后服务的反应能力等。</w:t>
      </w:r>
    </w:p>
    <w:p w14:paraId="1141FEAC">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14.2供应商需根据谈判文件要求提供培训计划。</w:t>
      </w:r>
    </w:p>
    <w:p w14:paraId="7681D35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14.3供应商需根据谈判文件要求提供谈判响应标的的主要组成部分、功能设计、实现思路及关键技术等。</w:t>
      </w:r>
    </w:p>
    <w:p w14:paraId="2BBDFA5F">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96" w:name="_Toc14577359"/>
      <w:bookmarkStart w:id="97" w:name="_Toc49090510"/>
      <w:r>
        <w:rPr>
          <w:rFonts w:hint="eastAsia" w:ascii="宋体" w:hAnsi="宋体" w:eastAsia="宋体" w:cs="宋体"/>
          <w:color w:val="auto"/>
          <w:sz w:val="24"/>
          <w:szCs w:val="24"/>
          <w:highlight w:val="none"/>
          <w:shd w:val="clear" w:color="auto" w:fill="auto"/>
        </w:rPr>
        <w:t>15、谈判响应函</w:t>
      </w:r>
      <w:bookmarkEnd w:id="96"/>
      <w:bookmarkEnd w:id="97"/>
    </w:p>
    <w:p w14:paraId="60B5D2D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15.1供应商应按照谈判文件中提供的格式完整、正确填写谈判响应函。</w:t>
      </w:r>
    </w:p>
    <w:p w14:paraId="0161BF92">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98" w:name="_Toc14577360"/>
      <w:bookmarkStart w:id="99" w:name="_Toc49090511"/>
      <w:r>
        <w:rPr>
          <w:rFonts w:hint="eastAsia" w:ascii="宋体" w:hAnsi="宋体" w:eastAsia="宋体" w:cs="宋体"/>
          <w:color w:val="auto"/>
          <w:sz w:val="24"/>
          <w:szCs w:val="24"/>
          <w:highlight w:val="none"/>
          <w:shd w:val="clear" w:color="auto" w:fill="auto"/>
        </w:rPr>
        <w:t>16、谈判有效期</w:t>
      </w:r>
      <w:bookmarkEnd w:id="98"/>
      <w:bookmarkEnd w:id="99"/>
    </w:p>
    <w:p w14:paraId="338B5D2F">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16.1谈判有效期为</w:t>
      </w:r>
      <w:r>
        <w:rPr>
          <w:rFonts w:hint="eastAsia" w:ascii="宋体" w:hAnsi="宋体" w:eastAsia="宋体" w:cs="宋体"/>
          <w:color w:val="auto"/>
          <w:sz w:val="24"/>
          <w:szCs w:val="24"/>
          <w:highlight w:val="none"/>
          <w:shd w:val="clear" w:color="auto" w:fill="auto"/>
          <w:lang w:eastAsia="zh-CN"/>
        </w:rPr>
        <w:t>采购人</w:t>
      </w:r>
      <w:r>
        <w:rPr>
          <w:rFonts w:hint="eastAsia" w:ascii="宋体" w:hAnsi="宋体" w:eastAsia="宋体" w:cs="宋体"/>
          <w:color w:val="auto"/>
          <w:sz w:val="24"/>
          <w:szCs w:val="24"/>
          <w:highlight w:val="none"/>
          <w:shd w:val="clear" w:color="auto" w:fill="auto"/>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shd w:val="clear" w:color="auto" w:fill="auto"/>
        </w:rPr>
        <w:t>。谈判有效期比规定短的将被视为非实质性响应谈判文件而予以拒绝。</w:t>
      </w:r>
    </w:p>
    <w:p w14:paraId="2A67C85E">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17、谈判有效期的延长</w:t>
      </w:r>
    </w:p>
    <w:p w14:paraId="574B79FA">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w:t>
      </w:r>
      <w:r>
        <w:rPr>
          <w:rFonts w:hint="eastAsia" w:ascii="宋体" w:hAnsi="宋体" w:eastAsia="宋体" w:cs="宋体"/>
          <w:color w:val="auto"/>
          <w:sz w:val="24"/>
          <w:szCs w:val="24"/>
          <w:highlight w:val="none"/>
          <w:shd w:val="clear" w:color="auto" w:fill="auto"/>
          <w:lang w:eastAsia="zh-CN"/>
        </w:rPr>
        <w:t>采购人或采购代理机构</w:t>
      </w:r>
      <w:r>
        <w:rPr>
          <w:rFonts w:hint="eastAsia" w:ascii="宋体" w:hAnsi="宋体" w:eastAsia="宋体" w:cs="宋体"/>
          <w:color w:val="auto"/>
          <w:sz w:val="24"/>
          <w:szCs w:val="24"/>
          <w:highlight w:val="none"/>
          <w:shd w:val="clear" w:color="auto" w:fill="auto"/>
        </w:rPr>
        <w:t>于原谈判有效期满之前，可向供应商提出延长谈判有效期的要求。这种要求与答复均应采用书面形式。供应商可以拒绝采购人或采购代理机构的这一要求而放弃谈判，同意延长谈判有效期的供应商既不能要求也不允许修改其响应文件。受谈判有效期约束的所有权利与义务均延长至新的有效期。</w:t>
      </w:r>
    </w:p>
    <w:p w14:paraId="2342F24A">
      <w:pPr>
        <w:pStyle w:val="18"/>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shd w:val="clear" w:color="auto" w:fill="auto"/>
        </w:rPr>
      </w:pPr>
      <w:bookmarkStart w:id="100" w:name="_Toc20823296"/>
      <w:bookmarkStart w:id="101" w:name="_Toc16938540"/>
      <w:bookmarkStart w:id="102" w:name="_Toc513029224"/>
      <w:bookmarkStart w:id="103" w:name="_Toc120614217"/>
      <w:bookmarkStart w:id="104" w:name="_Hlt26954852"/>
      <w:bookmarkStart w:id="105" w:name="_Hlt26954739"/>
      <w:r>
        <w:rPr>
          <w:rFonts w:hint="eastAsia" w:ascii="宋体" w:hAnsi="宋体" w:eastAsia="宋体" w:cs="宋体"/>
          <w:b/>
          <w:color w:val="auto"/>
          <w:sz w:val="24"/>
          <w:szCs w:val="24"/>
          <w:highlight w:val="none"/>
          <w:shd w:val="clear" w:color="auto" w:fill="auto"/>
        </w:rPr>
        <w:t>四、响应文件的递交</w:t>
      </w:r>
      <w:bookmarkEnd w:id="100"/>
      <w:bookmarkEnd w:id="101"/>
      <w:bookmarkEnd w:id="102"/>
      <w:bookmarkEnd w:id="103"/>
    </w:p>
    <w:p w14:paraId="36D2DBC6">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06" w:name="_Toc513029225"/>
      <w:bookmarkStart w:id="107" w:name="_Toc20823297"/>
      <w:bookmarkStart w:id="108" w:name="_Toc462564084"/>
      <w:bookmarkStart w:id="109" w:name="_Toc16938541"/>
      <w:r>
        <w:rPr>
          <w:rFonts w:hint="eastAsia" w:ascii="宋体" w:hAnsi="宋体" w:eastAsia="宋体" w:cs="宋体"/>
          <w:color w:val="auto"/>
          <w:sz w:val="24"/>
          <w:szCs w:val="24"/>
          <w:highlight w:val="none"/>
          <w:shd w:val="clear" w:color="auto" w:fill="auto"/>
        </w:rPr>
        <w:t>18、电子谈判</w:t>
      </w:r>
      <w:bookmarkEnd w:id="106"/>
      <w:bookmarkEnd w:id="107"/>
      <w:bookmarkEnd w:id="108"/>
      <w:bookmarkEnd w:id="109"/>
      <w:r>
        <w:rPr>
          <w:rFonts w:hint="eastAsia" w:ascii="宋体" w:hAnsi="宋体" w:eastAsia="宋体" w:cs="宋体"/>
          <w:color w:val="auto"/>
          <w:sz w:val="24"/>
          <w:szCs w:val="24"/>
          <w:highlight w:val="none"/>
          <w:shd w:val="clear" w:color="auto" w:fill="auto"/>
        </w:rPr>
        <w:t>响应文件的递交</w:t>
      </w:r>
    </w:p>
    <w:p w14:paraId="7F1B6461">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18.1供应商应当按照《操作手册》规定，在提交响应文件截止时间前制作并上传电子响应文件。</w:t>
      </w:r>
      <w:bookmarkStart w:id="110" w:name="_Toc20823298"/>
      <w:bookmarkEnd w:id="110"/>
      <w:bookmarkStart w:id="111" w:name="_Toc16938542"/>
      <w:bookmarkEnd w:id="111"/>
      <w:bookmarkStart w:id="112" w:name="_Toc513029226"/>
    </w:p>
    <w:p w14:paraId="0D52B80C">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5EB963DF">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19.1供应商上传电子响应文件的时间不得迟于谈判公告中规定的提交响应文件截止时间。</w:t>
      </w:r>
    </w:p>
    <w:p w14:paraId="1850C268">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供应商应充分考虑到网络环境、网络带宽等风险因素，如因供应商自身原因造成的电子响应文件上传不成功的按照本谈判文件第二章第26.3.2条规定做无效响应处理。</w:t>
      </w:r>
    </w:p>
    <w:p w14:paraId="4662ACA9">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19.2 采购人或采购代理机构可以按照规定，通过修改谈判文件酌情延长提交响应文件截止日期，在此情况下，供应商的所有权利和义务以及供应商受制的截止日期均应以延长后新的截止日期为准。</w:t>
      </w:r>
    </w:p>
    <w:p w14:paraId="09E670D4">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13" w:name="_Toc513029227"/>
      <w:bookmarkStart w:id="114" w:name="_Toc16938543"/>
      <w:bookmarkStart w:id="115" w:name="_Toc20823299"/>
      <w:r>
        <w:rPr>
          <w:rFonts w:hint="eastAsia" w:ascii="宋体" w:hAnsi="宋体" w:eastAsia="宋体" w:cs="宋体"/>
          <w:color w:val="auto"/>
          <w:sz w:val="24"/>
          <w:szCs w:val="24"/>
          <w:highlight w:val="none"/>
          <w:shd w:val="clear" w:color="auto" w:fill="auto"/>
        </w:rPr>
        <w:t>20、响应文件</w:t>
      </w:r>
      <w:bookmarkEnd w:id="113"/>
      <w:bookmarkEnd w:id="114"/>
      <w:bookmarkEnd w:id="115"/>
      <w:r>
        <w:rPr>
          <w:rFonts w:hint="eastAsia" w:ascii="宋体" w:hAnsi="宋体" w:eastAsia="宋体" w:cs="宋体"/>
          <w:color w:val="auto"/>
          <w:sz w:val="24"/>
          <w:szCs w:val="24"/>
          <w:highlight w:val="none"/>
          <w:shd w:val="clear" w:color="auto" w:fill="auto"/>
        </w:rPr>
        <w:t>的拒收</w:t>
      </w:r>
    </w:p>
    <w:p w14:paraId="5BD6BA10">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20.1 采购人或采购代理机构拒绝接收在其规定的提交响应文件截止时间后上传的任何电子响应文件。</w:t>
      </w:r>
    </w:p>
    <w:p w14:paraId="4ADFE341">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16" w:name="_Toc513029228"/>
      <w:bookmarkStart w:id="117" w:name="_Toc16938544"/>
      <w:bookmarkStart w:id="118" w:name="_Toc20823300"/>
      <w:r>
        <w:rPr>
          <w:rFonts w:hint="eastAsia" w:ascii="宋体" w:hAnsi="宋体" w:eastAsia="宋体" w:cs="宋体"/>
          <w:color w:val="auto"/>
          <w:sz w:val="24"/>
          <w:szCs w:val="24"/>
          <w:highlight w:val="none"/>
          <w:shd w:val="clear" w:color="auto" w:fill="auto"/>
        </w:rPr>
        <w:t>21、响应文件的撤回和修改</w:t>
      </w:r>
      <w:bookmarkEnd w:id="116"/>
      <w:bookmarkEnd w:id="117"/>
      <w:bookmarkEnd w:id="118"/>
    </w:p>
    <w:p w14:paraId="53A7B827">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0A4DA704">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78F91B32">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供应商可在提交响应文件截止时间前，撤回其电子响应文件，具体操作方法见《操作手册》。</w:t>
      </w:r>
    </w:p>
    <w:p w14:paraId="6824A200">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21.1.2供应商撤回电子响应文件，则认为其不再参与本项目谈判活动。</w:t>
      </w:r>
    </w:p>
    <w:p w14:paraId="7B9E4783">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5C467739">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供应商可在提交响应文件截止时间前，对其电子响应文件进行修改，具体操作方法见《操作手册》。</w:t>
      </w:r>
    </w:p>
    <w:p w14:paraId="1B3CEACF">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在提交响应文件截止时间之后，供应商不得对其电子响应文件作任何修改。</w:t>
      </w:r>
    </w:p>
    <w:p w14:paraId="235878EB">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在提交响应文件截止时间至谈判文件中规定的谈判有效期满之间的这段时间内，供应商不得撤回其响应文件。</w:t>
      </w:r>
    </w:p>
    <w:p w14:paraId="3138CC91">
      <w:pPr>
        <w:pStyle w:val="18"/>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shd w:val="clear" w:color="auto" w:fill="auto"/>
        </w:rPr>
      </w:pPr>
      <w:bookmarkStart w:id="119" w:name="_Toc120614218"/>
      <w:bookmarkStart w:id="120" w:name="_Toc513029229"/>
      <w:bookmarkStart w:id="121" w:name="_Toc16938545"/>
      <w:bookmarkStart w:id="122" w:name="_Toc20823301"/>
      <w:r>
        <w:rPr>
          <w:rFonts w:hint="eastAsia" w:ascii="宋体" w:hAnsi="宋体" w:eastAsia="宋体" w:cs="宋体"/>
          <w:b/>
          <w:color w:val="auto"/>
          <w:sz w:val="24"/>
          <w:szCs w:val="24"/>
          <w:highlight w:val="none"/>
          <w:shd w:val="clear" w:color="auto" w:fill="auto"/>
        </w:rPr>
        <w:t>五、响应文件的解密与评审</w:t>
      </w:r>
      <w:bookmarkEnd w:id="119"/>
      <w:bookmarkEnd w:id="120"/>
      <w:bookmarkEnd w:id="121"/>
      <w:bookmarkEnd w:id="122"/>
    </w:p>
    <w:p w14:paraId="3E7D2F3E">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23" w:name="_Toc20823302"/>
      <w:bookmarkStart w:id="124" w:name="_Toc513029230"/>
      <w:bookmarkStart w:id="125" w:name="_Toc16938546"/>
      <w:r>
        <w:rPr>
          <w:rFonts w:hint="eastAsia" w:ascii="宋体" w:hAnsi="宋体" w:eastAsia="宋体" w:cs="宋体"/>
          <w:color w:val="auto"/>
          <w:sz w:val="24"/>
          <w:szCs w:val="24"/>
          <w:highlight w:val="none"/>
          <w:shd w:val="clear" w:color="auto" w:fill="auto"/>
        </w:rPr>
        <w:t>22、</w:t>
      </w:r>
      <w:bookmarkEnd w:id="123"/>
      <w:bookmarkEnd w:id="124"/>
      <w:bookmarkEnd w:id="125"/>
      <w:r>
        <w:rPr>
          <w:rFonts w:hint="eastAsia" w:ascii="宋体" w:hAnsi="宋体" w:eastAsia="宋体" w:cs="宋体"/>
          <w:color w:val="auto"/>
          <w:sz w:val="24"/>
          <w:szCs w:val="24"/>
          <w:highlight w:val="none"/>
          <w:shd w:val="clear" w:color="auto" w:fill="auto"/>
        </w:rPr>
        <w:t>响应文件解密</w:t>
      </w:r>
    </w:p>
    <w:p w14:paraId="20139798">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22.1供应商应当按照《操作手册》规定，在苏采云系统规定的时间内对谈判响应文件进行解密。</w:t>
      </w:r>
    </w:p>
    <w:p w14:paraId="7235C633">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26" w:name="_Toc20823303"/>
      <w:bookmarkStart w:id="127" w:name="_Toc513029231"/>
      <w:bookmarkStart w:id="128" w:name="_Toc16938547"/>
      <w:r>
        <w:rPr>
          <w:rFonts w:hint="eastAsia" w:ascii="宋体" w:hAnsi="宋体" w:eastAsia="宋体" w:cs="宋体"/>
          <w:color w:val="auto"/>
          <w:sz w:val="24"/>
          <w:szCs w:val="24"/>
          <w:highlight w:val="none"/>
          <w:shd w:val="clear" w:color="auto" w:fill="auto"/>
        </w:rPr>
        <w:t>23、谈判小组</w:t>
      </w:r>
      <w:bookmarkEnd w:id="126"/>
      <w:bookmarkEnd w:id="127"/>
      <w:bookmarkEnd w:id="128"/>
    </w:p>
    <w:p w14:paraId="3171C6B9">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23.1采购人或采购代理机构将组织谈判小组对响应文件进行评审。谈判小组由采购人代表和有关技术、经济等方面的专家组成，且人员构成符合政府采购有关规定。</w:t>
      </w:r>
    </w:p>
    <w:p w14:paraId="5AF876D6">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候选</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w:t>
      </w:r>
    </w:p>
    <w:p w14:paraId="07B7D59E">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24、评审过程的保密与公正</w:t>
      </w:r>
    </w:p>
    <w:p w14:paraId="76771E4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24.1谈判小组、采购人和采购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人员、相关监督人员等与评审工作有关的人员，对评审情况以及在评审过程中获悉的国家秘密、商业秘密负有保密责任。</w:t>
      </w:r>
    </w:p>
    <w:p w14:paraId="2A6CB05D">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视为</w:t>
      </w:r>
      <w:r>
        <w:rPr>
          <w:rFonts w:hint="eastAsia" w:ascii="宋体" w:hAnsi="宋体" w:eastAsia="宋体" w:cs="宋体"/>
          <w:color w:val="auto"/>
          <w:sz w:val="24"/>
          <w:szCs w:val="24"/>
          <w:highlight w:val="none"/>
          <w:shd w:val="clear" w:color="auto" w:fill="auto"/>
        </w:rPr>
        <w:t>无效响应文件。</w:t>
      </w:r>
    </w:p>
    <w:p w14:paraId="0A77A31F">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24.3在项目评审期间，采购人或采购代理机构将设专门人员与供应商联系。</w:t>
      </w:r>
    </w:p>
    <w:p w14:paraId="6FA337D7">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24.4 采购</w:t>
      </w:r>
      <w:r>
        <w:rPr>
          <w:rFonts w:hint="eastAsia" w:ascii="宋体" w:hAnsi="宋体" w:eastAsia="宋体" w:cs="宋体"/>
          <w:color w:val="auto"/>
          <w:sz w:val="24"/>
          <w:szCs w:val="24"/>
          <w:highlight w:val="none"/>
          <w:shd w:val="clear" w:color="auto" w:fill="auto"/>
          <w:lang w:eastAsia="zh-CN"/>
        </w:rPr>
        <w:t>人、</w:t>
      </w:r>
      <w:r>
        <w:rPr>
          <w:rFonts w:hint="eastAsia" w:ascii="宋体" w:hAnsi="宋体" w:eastAsia="宋体" w:cs="宋体"/>
          <w:color w:val="auto"/>
          <w:sz w:val="24"/>
          <w:szCs w:val="24"/>
          <w:highlight w:val="none"/>
          <w:shd w:val="clear" w:color="auto" w:fill="auto"/>
          <w:lang w:val="en-US" w:eastAsia="zh-CN"/>
        </w:rPr>
        <w:t>采购代理机构</w:t>
      </w:r>
      <w:r>
        <w:rPr>
          <w:rFonts w:hint="eastAsia" w:ascii="宋体" w:hAnsi="宋体" w:eastAsia="宋体" w:cs="宋体"/>
          <w:color w:val="auto"/>
          <w:sz w:val="24"/>
          <w:szCs w:val="24"/>
          <w:highlight w:val="none"/>
          <w:shd w:val="clear" w:color="auto" w:fill="auto"/>
        </w:rPr>
        <w:t>和谈判小组不向未成交的供应商解释未成交原因，也不公布评审过程中的相关细节。</w:t>
      </w:r>
    </w:p>
    <w:p w14:paraId="3674C652">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29" w:name="_Toc513029232"/>
      <w:bookmarkStart w:id="130" w:name="_Toc20823304"/>
      <w:bookmarkStart w:id="131" w:name="_Toc16938548"/>
      <w:r>
        <w:rPr>
          <w:rFonts w:hint="eastAsia" w:ascii="宋体" w:hAnsi="宋体" w:eastAsia="宋体" w:cs="宋体"/>
          <w:color w:val="auto"/>
          <w:sz w:val="24"/>
          <w:szCs w:val="24"/>
          <w:highlight w:val="none"/>
          <w:shd w:val="clear" w:color="auto" w:fill="auto"/>
        </w:rPr>
        <w:t>25、评审过程中</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澄清</w:t>
      </w:r>
      <w:bookmarkEnd w:id="129"/>
      <w:bookmarkEnd w:id="130"/>
      <w:bookmarkEnd w:id="131"/>
    </w:p>
    <w:p w14:paraId="2EA78D2C">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p>
    <w:p w14:paraId="6AA5062A">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BA995CC">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 接到谈判小组澄清、说明和更正要求的供应商如未按规定做出澄清、说明和更正，其风险由供应商自行承担。</w:t>
      </w:r>
    </w:p>
    <w:p w14:paraId="15D4DC7B">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32" w:name="_Toc20823305"/>
      <w:bookmarkStart w:id="133" w:name="_Toc16938549"/>
      <w:bookmarkStart w:id="134" w:name="_Toc513029233"/>
      <w:r>
        <w:rPr>
          <w:rFonts w:hint="eastAsia" w:ascii="宋体" w:hAnsi="宋体" w:eastAsia="宋体" w:cs="宋体"/>
          <w:color w:val="auto"/>
          <w:sz w:val="24"/>
          <w:szCs w:val="24"/>
          <w:highlight w:val="none"/>
          <w:shd w:val="clear" w:color="auto" w:fill="auto"/>
        </w:rPr>
        <w:t>26、对响应文件的审</w:t>
      </w:r>
      <w:bookmarkEnd w:id="132"/>
      <w:bookmarkEnd w:id="133"/>
      <w:bookmarkEnd w:id="134"/>
      <w:r>
        <w:rPr>
          <w:rFonts w:hint="eastAsia" w:ascii="宋体" w:hAnsi="宋体" w:eastAsia="宋体" w:cs="宋体"/>
          <w:color w:val="auto"/>
          <w:sz w:val="24"/>
          <w:szCs w:val="24"/>
          <w:highlight w:val="none"/>
          <w:shd w:val="clear" w:color="auto" w:fill="auto"/>
        </w:rPr>
        <w:t>查</w:t>
      </w:r>
    </w:p>
    <w:p w14:paraId="2894062B">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23E4BE1A">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资格审查：由谈判小组依据法律法规和谈判文件的规定，对响应文件中的资格证明文件进行审查，以确定供应商是否具备参加谈判的资格。</w:t>
      </w:r>
    </w:p>
    <w:p w14:paraId="4B9C9A3D">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谈判小组在进行资格审查的同时，将在“信用中国”网站（www.creditchina.gov.cn）查询供应商的信用记录，以确定供应商是否具备谈判资格,查询结果留存并归档。</w:t>
      </w:r>
    </w:p>
    <w:p w14:paraId="27AC4870">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4605ACEE">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符合性审查：依据谈判文件的规定，由谈判小组从响应文件的有效性、完整性和对谈判文件的响应程度进行审查，以确定是否对谈判文件的实质性要求作出响应。</w:t>
      </w:r>
    </w:p>
    <w:p w14:paraId="7B98A219">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未通过资格审查或符合性审查的供应商，谈判小组将在苏采云系统中告知未通过资格审查或符合性审查的原因，评审结束后，谈判小组将不再告知未通过资格审查或符合性审查的原因。</w:t>
      </w:r>
    </w:p>
    <w:p w14:paraId="38DF975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26.2在详细评审之前，谈判小组将首先审查每份响应文件是否实质性响应了谈判文件的要求。实质性响应的响应文件应该是与谈判文件要求的条款、条件和规格相符，没有重大偏离或保留。</w:t>
      </w:r>
    </w:p>
    <w:p w14:paraId="4B432370">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所谓重大偏离或保留是指与谈判文件规定的实质性要求存在负偏离，或者在实质上与谈判文件不一致，而且限制了合同中买方和采购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722A5590">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26.3未实质性响应谈判文件的情形</w:t>
      </w:r>
    </w:p>
    <w:p w14:paraId="4105306E">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73A4576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26.3.2供应商未按照谈判文件要求上传电子响应文件的。</w:t>
      </w:r>
    </w:p>
    <w:p w14:paraId="349BCB77">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26.3.3同一供应商提交两个（含两个）以上不同的响应文件或者最后报价的。</w:t>
      </w:r>
    </w:p>
    <w:p w14:paraId="43EEA79F">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26.3.4供应商不具备谈判文件中规定资格要求的。</w:t>
      </w:r>
    </w:p>
    <w:p w14:paraId="00C2FD08">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62E522D4">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26.3.6不符合谈判文件中规定的实质性要求和条件的</w:t>
      </w:r>
      <w:r>
        <w:rPr>
          <w:rFonts w:hint="eastAsia" w:ascii="宋体" w:hAnsi="宋体" w:eastAsia="宋体" w:cs="宋体"/>
          <w:i/>
          <w:color w:val="auto"/>
          <w:sz w:val="24"/>
          <w:szCs w:val="24"/>
          <w:highlight w:val="none"/>
          <w:u w:val="single"/>
          <w:shd w:val="clear" w:color="auto" w:fill="auto"/>
        </w:rPr>
        <w:t>（本谈判文件中斜体且有下划线部分为实质性要求和条件）。</w:t>
      </w:r>
    </w:p>
    <w:p w14:paraId="71C75241">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FF3F2F8">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26.3.8响应文件含有采购人不能接受的附加条件的。</w:t>
      </w:r>
    </w:p>
    <w:p w14:paraId="6467CF22">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26.3.9本项目采购产品被财政部、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532822FF">
      <w:pPr>
        <w:pStyle w:val="18"/>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26.3.10</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谈判小组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51721DDE">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（一）评审过程中出现下列情形之一的，谈判小组应当启动异常低价响应审查程序：</w:t>
      </w:r>
    </w:p>
    <w:p w14:paraId="029D404A">
      <w:pPr>
        <w:pStyle w:val="18"/>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8"/>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8"/>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6B93ED46">
      <w:pPr>
        <w:pStyle w:val="18"/>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6E14DBF3">
      <w:pPr>
        <w:pStyle w:val="18"/>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09516AE">
      <w:pPr>
        <w:pStyle w:val="18"/>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8"/>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8"/>
        <w:pageBreakBefore w:val="0"/>
        <w:widowControl w:val="0"/>
        <w:kinsoku/>
        <w:wordWrap/>
        <w:overflowPunct/>
        <w:topLinePunct w:val="0"/>
        <w:autoSpaceDE/>
        <w:autoSpaceDN/>
        <w:bidi w:val="0"/>
        <w:adjustRightInd/>
        <w:snapToGrid/>
        <w:spacing w:before="0" w:beforeAutospacing="0" w:after="0" w:afterAutospacing="0" w:line="360" w:lineRule="exact"/>
        <w:ind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8"/>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590A1893">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响应文件未按照谈判文件要求加盖CA电子公章的。</w:t>
      </w:r>
    </w:p>
    <w:p w14:paraId="266D1D17">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26.4未实质性响应谈判文件的响应文件按无效响应处理。</w:t>
      </w:r>
    </w:p>
    <w:p w14:paraId="1CC5959C">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26.5如果响应文件实质上没有响应谈判文件的要求，谈判小组将予以拒绝，供应商不得通过修改或撤销</w:t>
      </w:r>
      <w:r>
        <w:rPr>
          <w:rFonts w:hint="eastAsia" w:ascii="宋体" w:hAnsi="宋体" w:eastAsia="宋体" w:cs="宋体"/>
          <w:color w:val="auto"/>
          <w:sz w:val="24"/>
          <w:szCs w:val="24"/>
          <w:highlight w:val="none"/>
          <w:shd w:val="clear" w:color="auto" w:fill="auto"/>
          <w:lang w:eastAsia="zh-CN"/>
        </w:rPr>
        <w:t>不符</w:t>
      </w:r>
      <w:r>
        <w:rPr>
          <w:rFonts w:hint="eastAsia" w:ascii="宋体" w:hAnsi="宋体" w:eastAsia="宋体" w:cs="宋体"/>
          <w:color w:val="auto"/>
          <w:sz w:val="24"/>
          <w:szCs w:val="24"/>
          <w:highlight w:val="none"/>
          <w:shd w:val="clear" w:color="auto" w:fill="auto"/>
        </w:rPr>
        <w:t>合要求的偏离或保留而使其成为实质性响应的文件。</w:t>
      </w:r>
    </w:p>
    <w:p w14:paraId="2F7B2917">
      <w:pPr>
        <w:pStyle w:val="18"/>
        <w:keepNext/>
        <w:keepLines/>
        <w:pageBreakBefore w:val="0"/>
        <w:widowControl w:val="0"/>
        <w:kinsoku/>
        <w:wordWrap/>
        <w:overflowPunct/>
        <w:topLinePunct w:val="0"/>
        <w:autoSpaceDE/>
        <w:autoSpaceDN/>
        <w:bidi w:val="0"/>
        <w:adjustRightInd/>
        <w:snapToGrid/>
        <w:spacing w:before="145" w:beforeAutospacing="0" w:after="145" w:afterAutospacing="0" w:line="360" w:lineRule="exact"/>
        <w:ind w:firstLine="482"/>
        <w:jc w:val="both"/>
        <w:textAlignment w:val="auto"/>
        <w:rPr>
          <w:rFonts w:hint="eastAsia" w:ascii="宋体" w:hAnsi="宋体" w:eastAsia="宋体" w:cs="宋体"/>
          <w:color w:val="auto"/>
          <w:sz w:val="24"/>
          <w:szCs w:val="24"/>
          <w:highlight w:val="none"/>
          <w:shd w:val="clear" w:color="auto" w:fill="auto"/>
        </w:rPr>
      </w:pPr>
      <w:bookmarkStart w:id="135" w:name="_Toc16938550"/>
      <w:bookmarkStart w:id="136" w:name="_Toc20823306"/>
      <w:bookmarkStart w:id="137" w:name="_Toc513029234"/>
      <w:r>
        <w:rPr>
          <w:rFonts w:hint="eastAsia" w:ascii="宋体" w:hAnsi="宋体" w:eastAsia="宋体" w:cs="宋体"/>
          <w:color w:val="auto"/>
          <w:sz w:val="24"/>
          <w:szCs w:val="24"/>
          <w:highlight w:val="none"/>
          <w:shd w:val="clear" w:color="auto" w:fill="auto"/>
        </w:rPr>
        <w:t>26.6供应商在项目评审全过程中应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，并安排专人与采购</w:t>
      </w:r>
      <w:r>
        <w:rPr>
          <w:rFonts w:hint="eastAsia" w:ascii="宋体" w:hAnsi="宋体" w:eastAsia="宋体" w:cs="宋体"/>
          <w:color w:val="auto"/>
          <w:sz w:val="24"/>
          <w:szCs w:val="24"/>
          <w:highlight w:val="none"/>
          <w:shd w:val="clear" w:color="auto" w:fill="auto"/>
          <w:lang w:eastAsia="zh-CN"/>
        </w:rPr>
        <w:t>人</w:t>
      </w:r>
      <w:r>
        <w:rPr>
          <w:rFonts w:hint="eastAsia" w:ascii="宋体" w:hAnsi="宋体" w:eastAsia="宋体" w:cs="宋体"/>
          <w:color w:val="auto"/>
          <w:sz w:val="24"/>
          <w:szCs w:val="24"/>
          <w:highlight w:val="none"/>
          <w:shd w:val="clear" w:color="auto" w:fill="auto"/>
          <w:lang w:val="en-US" w:eastAsia="zh-CN"/>
        </w:rPr>
        <w:t>或采购代理机构</w:t>
      </w:r>
      <w:r>
        <w:rPr>
          <w:rFonts w:hint="eastAsia" w:ascii="宋体" w:hAnsi="宋体" w:eastAsia="宋体" w:cs="宋体"/>
          <w:color w:val="auto"/>
          <w:sz w:val="24"/>
          <w:szCs w:val="24"/>
          <w:highlight w:val="none"/>
          <w:shd w:val="clear" w:color="auto" w:fill="auto"/>
        </w:rPr>
        <w:t>及谈判小组联系。</w:t>
      </w:r>
      <w:bookmarkEnd w:id="135"/>
      <w:bookmarkEnd w:id="136"/>
      <w:bookmarkEnd w:id="137"/>
    </w:p>
    <w:p w14:paraId="6DB32D13">
      <w:pPr>
        <w:pStyle w:val="18"/>
        <w:keepNext/>
        <w:keepLines/>
        <w:spacing w:before="145" w:beforeAutospacing="0" w:after="145" w:afterAutospacing="0" w:line="360" w:lineRule="auto"/>
        <w:ind w:firstLine="482"/>
        <w:jc w:val="both"/>
        <w:rPr>
          <w:rFonts w:hint="default"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六、定标</w:t>
      </w:r>
    </w:p>
    <w:p w14:paraId="04F1C3BF">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27、谈判程序及成交原则</w:t>
      </w:r>
    </w:p>
    <w:p w14:paraId="02C496AE">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27.1谈判程序</w:t>
      </w:r>
    </w:p>
    <w:p w14:paraId="1A8388B0">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b/>
          <w:bCs/>
          <w:color w:val="auto"/>
          <w:sz w:val="24"/>
          <w:szCs w:val="24"/>
          <w:highlight w:val="yellow"/>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eastAsia="宋体" w:cs="宋体"/>
          <w:b/>
          <w:bCs/>
          <w:color w:val="auto"/>
          <w:sz w:val="24"/>
          <w:szCs w:val="24"/>
          <w:highlight w:val="yellow"/>
          <w:shd w:val="clear" w:color="auto" w:fill="auto"/>
        </w:rPr>
        <w:t>（所有邀请等待时间5分钟，5分钟内所邀请供应商无响应，视同放弃谈判的权利，由下一家进行谈判，不再后补）</w:t>
      </w:r>
    </w:p>
    <w:p w14:paraId="63758A28">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6D581E3E">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1FA5FE9D">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0DAD40F4">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27.1.3供应商未在谈判小组规定的时间内在苏采云系统中提交最后报价的视为放弃谈判，其响应文件按无效响应处理，</w:t>
      </w:r>
      <w:r>
        <w:rPr>
          <w:rFonts w:hint="eastAsia" w:ascii="宋体" w:hAnsi="宋体" w:eastAsia="宋体" w:cs="宋体"/>
          <w:b/>
          <w:bCs/>
          <w:color w:val="auto"/>
          <w:sz w:val="24"/>
          <w:szCs w:val="24"/>
          <w:highlight w:val="none"/>
          <w:shd w:val="clear" w:color="auto" w:fill="auto"/>
        </w:rPr>
        <w:t>最后报价格式表须加盖CA电子公章,否则视为未提交最后报价。</w:t>
      </w:r>
      <w:r>
        <w:rPr>
          <w:rFonts w:hint="eastAsia" w:ascii="宋体" w:hAnsi="宋体" w:eastAsia="宋体" w:cs="宋体"/>
          <w:color w:val="auto"/>
          <w:sz w:val="24"/>
          <w:szCs w:val="24"/>
          <w:highlight w:val="none"/>
          <w:shd w:val="clear" w:color="auto" w:fill="auto"/>
        </w:rPr>
        <w:t>已提交响应文件的供应商，在提交最后报价之前，可以根据谈判情况退出谈判，并在苏采云系统中提交“退出谈判函”并加盖CA电子公章。</w:t>
      </w:r>
    </w:p>
    <w:p w14:paraId="2895608A">
      <w:pPr>
        <w:keepNext w:val="0"/>
        <w:keepLines w:val="0"/>
        <w:pageBreakBefore w:val="0"/>
        <w:widowControl w:val="0"/>
        <w:kinsoku/>
        <w:wordWrap/>
        <w:overflowPunct/>
        <w:topLinePunct w:val="0"/>
        <w:autoSpaceDE/>
        <w:autoSpaceDN/>
        <w:bidi w:val="0"/>
        <w:adjustRightInd/>
        <w:snapToGrid/>
        <w:spacing w:line="360" w:lineRule="exact"/>
        <w:ind w:left="0" w:firstLine="476"/>
        <w:textAlignment w:val="auto"/>
        <w:rPr>
          <w:rFonts w:hint="eastAsia" w:ascii="宋体" w:hAnsi="宋体"/>
          <w:b/>
          <w:bCs/>
          <w:color w:val="auto"/>
          <w:sz w:val="24"/>
          <w:szCs w:val="20"/>
        </w:rPr>
      </w:pPr>
      <w:r>
        <w:rPr>
          <w:rFonts w:hint="eastAsia" w:ascii="宋体" w:hAnsi="宋体"/>
          <w:b/>
          <w:bCs/>
          <w:color w:val="auto"/>
          <w:sz w:val="24"/>
          <w:szCs w:val="20"/>
          <w:lang w:val="en-US" w:eastAsia="zh-CN"/>
        </w:rPr>
        <w:t>27.1.4</w:t>
      </w:r>
      <w:r>
        <w:rPr>
          <w:rFonts w:hint="eastAsia" w:ascii="宋体" w:hAnsi="宋体"/>
          <w:b/>
          <w:bCs/>
          <w:color w:val="auto"/>
          <w:sz w:val="24"/>
          <w:szCs w:val="20"/>
        </w:rPr>
        <w:t>谈判结束后，谈判进入报价环节，谈判小组应当要求所有参加谈判的供应商在20分钟内进行最后报价，二轮报价不得高于首次报价。</w:t>
      </w:r>
      <w:r>
        <w:rPr>
          <w:rFonts w:hint="eastAsia" w:ascii="宋体" w:hAnsi="宋体"/>
          <w:b/>
          <w:bCs/>
          <w:color w:val="auto"/>
          <w:sz w:val="24"/>
          <w:szCs w:val="20"/>
          <w:highlight w:val="yellow"/>
        </w:rPr>
        <w:t>本项目二次报价为最后报价</w:t>
      </w:r>
      <w:r>
        <w:rPr>
          <w:rFonts w:hint="eastAsia" w:ascii="宋体" w:hAnsi="宋体"/>
          <w:b/>
          <w:color w:val="auto"/>
          <w:sz w:val="24"/>
          <w:szCs w:val="20"/>
          <w:highlight w:val="yellow"/>
        </w:rPr>
        <w:t>（具体格式以苏采云系统为准）</w:t>
      </w:r>
      <w:r>
        <w:rPr>
          <w:rFonts w:hint="eastAsia" w:ascii="宋体" w:hAnsi="宋体"/>
          <w:b/>
          <w:bCs/>
          <w:color w:val="auto"/>
          <w:sz w:val="24"/>
          <w:szCs w:val="20"/>
        </w:rPr>
        <w:t>，在规定的时间内未进行最后报价的供应商视为弃权。在规定时间内提交最后报价的供应商不得少于3家。</w:t>
      </w:r>
    </w:p>
    <w:p w14:paraId="4A37E53B">
      <w:pPr>
        <w:keepNext w:val="0"/>
        <w:keepLines w:val="0"/>
        <w:pageBreakBefore w:val="0"/>
        <w:widowControl w:val="0"/>
        <w:kinsoku/>
        <w:wordWrap/>
        <w:overflowPunct/>
        <w:topLinePunct w:val="0"/>
        <w:autoSpaceDE/>
        <w:autoSpaceDN/>
        <w:bidi w:val="0"/>
        <w:adjustRightInd/>
        <w:snapToGrid/>
        <w:spacing w:line="360" w:lineRule="exact"/>
        <w:ind w:left="0" w:firstLine="476"/>
        <w:textAlignment w:val="auto"/>
        <w:rPr>
          <w:rFonts w:hint="eastAsia" w:ascii="宋体" w:hAnsi="宋体" w:eastAsia="宋体" w:cs="宋体"/>
          <w:color w:val="auto"/>
          <w:sz w:val="24"/>
          <w:szCs w:val="24"/>
          <w:highlight w:val="none"/>
          <w:shd w:val="clear" w:color="auto" w:fill="auto"/>
        </w:rPr>
      </w:pPr>
      <w:r>
        <w:rPr>
          <w:rFonts w:hint="eastAsia" w:ascii="宋体" w:hAnsi="宋体" w:cs="宋体"/>
          <w:b/>
          <w:bCs/>
          <w:color w:val="auto"/>
          <w:sz w:val="24"/>
          <w:lang w:val="en-US" w:eastAsia="zh-CN"/>
        </w:rPr>
        <w:t>27.1.5评审方法：本次采购评标方法为最低评标价法。采用最低评标价法的，</w:t>
      </w:r>
      <w:r>
        <w:rPr>
          <w:rFonts w:hint="eastAsia" w:ascii="宋体" w:hAnsi="宋体" w:cs="宋体"/>
          <w:b/>
          <w:bCs/>
          <w:color w:val="auto"/>
          <w:sz w:val="24"/>
        </w:rPr>
        <w:t>评标结果按投标</w:t>
      </w:r>
      <w:r>
        <w:rPr>
          <w:rFonts w:hint="eastAsia" w:ascii="宋体" w:hAnsi="宋体" w:cs="宋体"/>
          <w:b/>
          <w:bCs/>
          <w:color w:val="auto"/>
          <w:sz w:val="24"/>
          <w:lang w:val="en-US" w:eastAsia="zh-CN"/>
        </w:rPr>
        <w:t>单价</w:t>
      </w:r>
      <w:r>
        <w:rPr>
          <w:rFonts w:hint="eastAsia" w:ascii="宋体" w:hAnsi="宋体" w:cs="宋体"/>
          <w:b/>
          <w:bCs/>
          <w:color w:val="auto"/>
          <w:sz w:val="24"/>
        </w:rPr>
        <w:t>报价由低到高顺序排列。投标</w:t>
      </w:r>
      <w:r>
        <w:rPr>
          <w:rFonts w:hint="eastAsia" w:ascii="宋体" w:hAnsi="宋体" w:cs="宋体"/>
          <w:b/>
          <w:bCs/>
          <w:color w:val="auto"/>
          <w:sz w:val="24"/>
          <w:lang w:val="en-US" w:eastAsia="zh-CN"/>
        </w:rPr>
        <w:t>单价</w:t>
      </w:r>
      <w:r>
        <w:rPr>
          <w:rFonts w:hint="eastAsia" w:ascii="宋体" w:hAnsi="宋体" w:cs="宋体"/>
          <w:b/>
          <w:bCs/>
          <w:color w:val="auto"/>
          <w:sz w:val="24"/>
        </w:rPr>
        <w:t>报价相同的并列，</w:t>
      </w:r>
      <w:r>
        <w:rPr>
          <w:rFonts w:hint="eastAsia" w:ascii="宋体" w:hAnsi="宋体" w:cs="宋体"/>
          <w:b/>
          <w:bCs/>
          <w:color w:val="auto"/>
          <w:sz w:val="24"/>
          <w:lang w:val="en-US" w:eastAsia="zh-CN"/>
        </w:rPr>
        <w:t>响应</w:t>
      </w:r>
      <w:r>
        <w:rPr>
          <w:rFonts w:hint="eastAsia" w:ascii="宋体" w:hAnsi="宋体" w:cs="宋体"/>
          <w:b/>
          <w:bCs/>
          <w:color w:val="auto"/>
          <w:sz w:val="24"/>
        </w:rPr>
        <w:t>文件满足</w:t>
      </w:r>
      <w:r>
        <w:rPr>
          <w:rFonts w:hint="eastAsia" w:ascii="宋体" w:hAnsi="宋体" w:cs="宋体"/>
          <w:b/>
          <w:bCs/>
          <w:color w:val="auto"/>
          <w:sz w:val="24"/>
          <w:lang w:eastAsia="zh-CN"/>
        </w:rPr>
        <w:t>谈判</w:t>
      </w:r>
      <w:r>
        <w:rPr>
          <w:rFonts w:hint="eastAsia" w:ascii="宋体" w:hAnsi="宋体" w:cs="宋体"/>
          <w:b/>
          <w:bCs/>
          <w:color w:val="auto"/>
          <w:sz w:val="24"/>
        </w:rPr>
        <w:t>文件全部实质性要求且投标</w:t>
      </w:r>
      <w:r>
        <w:rPr>
          <w:rFonts w:hint="eastAsia" w:ascii="宋体" w:hAnsi="宋体" w:cs="宋体"/>
          <w:b/>
          <w:bCs/>
          <w:color w:val="auto"/>
          <w:sz w:val="24"/>
          <w:lang w:val="en-US" w:eastAsia="zh-CN"/>
        </w:rPr>
        <w:t>单价</w:t>
      </w:r>
      <w:r>
        <w:rPr>
          <w:rFonts w:hint="eastAsia" w:ascii="宋体" w:hAnsi="宋体" w:cs="宋体"/>
          <w:b/>
          <w:bCs/>
          <w:color w:val="auto"/>
          <w:sz w:val="24"/>
        </w:rPr>
        <w:t>报价最低(二轮报价)的</w:t>
      </w:r>
      <w:r>
        <w:rPr>
          <w:rFonts w:hint="eastAsia" w:ascii="宋体" w:hAnsi="宋体" w:cs="宋体"/>
          <w:b/>
          <w:bCs/>
          <w:color w:val="auto"/>
          <w:sz w:val="24"/>
          <w:lang w:val="en-US" w:eastAsia="zh-CN"/>
        </w:rPr>
        <w:t>供应商</w:t>
      </w:r>
      <w:r>
        <w:rPr>
          <w:rFonts w:hint="eastAsia" w:ascii="宋体" w:hAnsi="宋体" w:cs="宋体"/>
          <w:b/>
          <w:bCs/>
          <w:color w:val="auto"/>
          <w:sz w:val="24"/>
        </w:rPr>
        <w:t>为排名第一的</w:t>
      </w:r>
      <w:r>
        <w:rPr>
          <w:rFonts w:hint="eastAsia" w:ascii="宋体" w:hAnsi="宋体" w:cs="宋体"/>
          <w:b/>
          <w:bCs/>
          <w:color w:val="auto"/>
          <w:sz w:val="24"/>
          <w:lang w:val="en-US" w:eastAsia="zh-CN"/>
        </w:rPr>
        <w:t>成交</w:t>
      </w:r>
      <w:r>
        <w:rPr>
          <w:rFonts w:hint="eastAsia" w:ascii="宋体" w:hAnsi="宋体" w:cs="宋体"/>
          <w:b/>
          <w:bCs/>
          <w:color w:val="auto"/>
          <w:sz w:val="24"/>
        </w:rPr>
        <w:t>候选</w:t>
      </w:r>
      <w:r>
        <w:rPr>
          <w:rFonts w:hint="eastAsia" w:ascii="宋体" w:hAnsi="宋体" w:cs="宋体"/>
          <w:b/>
          <w:bCs/>
          <w:color w:val="auto"/>
          <w:sz w:val="24"/>
          <w:lang w:val="en-US" w:eastAsia="zh-CN"/>
        </w:rPr>
        <w:t>供应商</w:t>
      </w:r>
      <w:r>
        <w:rPr>
          <w:rFonts w:hint="eastAsia" w:ascii="宋体" w:hAnsi="宋体" w:cs="宋体"/>
          <w:b/>
          <w:bCs/>
          <w:color w:val="auto"/>
          <w:sz w:val="24"/>
        </w:rPr>
        <w:t>。如二轮报价出现相同报价情形，由报价相同的</w:t>
      </w:r>
      <w:r>
        <w:rPr>
          <w:rFonts w:hint="eastAsia" w:ascii="宋体" w:hAnsi="宋体" w:cs="宋体"/>
          <w:b/>
          <w:bCs/>
          <w:color w:val="auto"/>
          <w:sz w:val="24"/>
          <w:lang w:val="en-US" w:eastAsia="zh-CN"/>
        </w:rPr>
        <w:t>供应商</w:t>
      </w:r>
      <w:r>
        <w:rPr>
          <w:rFonts w:hint="eastAsia" w:ascii="宋体" w:hAnsi="宋体" w:cs="宋体"/>
          <w:b/>
          <w:bCs/>
          <w:color w:val="auto"/>
          <w:sz w:val="24"/>
        </w:rPr>
        <w:t>进行多轮报价直至出现投标</w:t>
      </w:r>
      <w:r>
        <w:rPr>
          <w:rFonts w:hint="eastAsia" w:ascii="宋体" w:hAnsi="宋体" w:cs="宋体"/>
          <w:b/>
          <w:bCs/>
          <w:color w:val="auto"/>
          <w:sz w:val="24"/>
          <w:lang w:val="en-US" w:eastAsia="zh-CN"/>
        </w:rPr>
        <w:t>单价</w:t>
      </w:r>
      <w:r>
        <w:rPr>
          <w:rFonts w:hint="eastAsia" w:ascii="宋体" w:hAnsi="宋体" w:cs="宋体"/>
          <w:b/>
          <w:bCs/>
          <w:color w:val="auto"/>
          <w:sz w:val="24"/>
        </w:rPr>
        <w:t>报价最低</w:t>
      </w:r>
      <w:r>
        <w:rPr>
          <w:rFonts w:hint="eastAsia" w:ascii="宋体" w:hAnsi="宋体" w:cs="宋体"/>
          <w:b/>
          <w:bCs/>
          <w:color w:val="auto"/>
          <w:sz w:val="24"/>
          <w:lang w:eastAsia="zh-CN"/>
        </w:rPr>
        <w:t>的</w:t>
      </w:r>
      <w:r>
        <w:rPr>
          <w:rFonts w:hint="eastAsia" w:ascii="宋体" w:hAnsi="宋体" w:cs="宋体"/>
          <w:b/>
          <w:bCs/>
          <w:color w:val="auto"/>
          <w:sz w:val="24"/>
          <w:lang w:val="en-US" w:eastAsia="zh-CN"/>
        </w:rPr>
        <w:t>供应商</w:t>
      </w:r>
      <w:r>
        <w:rPr>
          <w:rFonts w:hint="eastAsia" w:ascii="宋体" w:hAnsi="宋体" w:cs="宋体"/>
          <w:b/>
          <w:bCs/>
          <w:color w:val="auto"/>
          <w:sz w:val="24"/>
        </w:rPr>
        <w:t>人。</w:t>
      </w:r>
    </w:p>
    <w:p w14:paraId="43A61A2A">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 成交原则</w:t>
      </w:r>
    </w:p>
    <w:p w14:paraId="1400E317">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27.2.1谈判小组将从质量和服务均能满足</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文件实质性响应要求的供应商中，按照最后报价由低到高顺序推荐3名成交候选供应商，并编写评审报告。采购人从评审报告提出的成交候选供应商中，根据质量和服务均能满足</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文件实质性响应要求且最后报价最低的原则确定成交供应商。</w:t>
      </w:r>
    </w:p>
    <w:p w14:paraId="07349FE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3922A4F4">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27.2.3 供应商的最后报价如相同，则优先采购 “环境标志产品”或“节能产品”；若均非“环境标志产品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最新公布的《节能产品品目清单》内的产品。</w:t>
      </w:r>
    </w:p>
    <w:p w14:paraId="3CC88A2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27.2.4 采购人确定成交供应商后，</w:t>
      </w:r>
      <w:r>
        <w:rPr>
          <w:rFonts w:hint="eastAsia" w:ascii="宋体" w:hAnsi="宋体" w:eastAsia="宋体" w:cs="宋体"/>
          <w:color w:val="auto"/>
          <w:sz w:val="24"/>
          <w:szCs w:val="24"/>
          <w:highlight w:val="none"/>
          <w:shd w:val="clear" w:color="auto" w:fill="auto"/>
          <w:lang w:val="en-US" w:eastAsia="zh-CN"/>
        </w:rPr>
        <w:t>采购人或采购代理机构</w:t>
      </w:r>
      <w:r>
        <w:rPr>
          <w:rFonts w:hint="eastAsia" w:ascii="宋体" w:hAnsi="宋体" w:eastAsia="宋体" w:cs="宋体"/>
          <w:color w:val="auto"/>
          <w:sz w:val="24"/>
          <w:szCs w:val="24"/>
          <w:highlight w:val="none"/>
          <w:shd w:val="clear" w:color="auto" w:fill="auto"/>
        </w:rPr>
        <w:t>将在</w:t>
      </w:r>
      <w:r>
        <w:rPr>
          <w:rFonts w:hint="eastAsia" w:ascii="宋体" w:hAnsi="宋体" w:eastAsia="宋体" w:cs="宋体"/>
          <w:i w:val="0"/>
          <w:iCs w:val="0"/>
          <w:caps w:val="0"/>
          <w:color w:val="auto"/>
          <w:spacing w:val="0"/>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盐城市政府采购网”发布成交结果公告，公告期限为1个工作日。</w:t>
      </w:r>
    </w:p>
    <w:p w14:paraId="528860FB">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采购活动终止的情况</w:t>
      </w:r>
    </w:p>
    <w:p w14:paraId="260054B9">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出现下列情形之一的，本次竞争性谈判采购活动将被终止：</w:t>
      </w:r>
    </w:p>
    <w:p w14:paraId="5C6759E4">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.1因情况变化，不再符合规定的竞争性谈判采购方式适用情形的。</w:t>
      </w:r>
    </w:p>
    <w:p w14:paraId="0E8DF52A">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.2出现影响采购公正的违法、违规行为的。</w:t>
      </w:r>
    </w:p>
    <w:p w14:paraId="1923AA93">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.3在采购过程中符合要求的供应商或者最后报价未超过采购预算的供应商不足3家的。</w:t>
      </w:r>
    </w:p>
    <w:p w14:paraId="0AC0740E">
      <w:pPr>
        <w:pStyle w:val="18"/>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27.3.4在苏采云系统规定时间内成功解密电子响应文件的供应商不足3家的。</w:t>
      </w:r>
    </w:p>
    <w:p w14:paraId="6BACB9B9">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2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28、成交供应商被取消成交资格情形</w:t>
      </w:r>
    </w:p>
    <w:p w14:paraId="6149819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若有充分证据证明，成交供应商出现下列情况之一的，一经查实，将被取消成交资格：</w:t>
      </w:r>
    </w:p>
    <w:p w14:paraId="1F529B39">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28.1提供虚假材料谋取成交的。</w:t>
      </w:r>
    </w:p>
    <w:p w14:paraId="4F1D8A4C">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28.2与评审专家、采购人、其他供应商或者采购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工作人员恶意串通的。</w:t>
      </w:r>
    </w:p>
    <w:p w14:paraId="7BF77660">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28.3向评审专家、采购人或采购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工作人员行贿或者提供其他不正当利益的。</w:t>
      </w:r>
    </w:p>
    <w:p w14:paraId="20402A24">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28.4恶意竞争，最后报价明显低于其自身合理成本且又无法提供证明的。</w:t>
      </w:r>
    </w:p>
    <w:p w14:paraId="1E8A6C58">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28.5不满足本谈判文件规定的实质性要求，但在评审过程中又未被谈判小组发现的。</w:t>
      </w:r>
    </w:p>
    <w:p w14:paraId="0C19BD83">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28.6成交后无正当理由拒不与采购人签订政府采购合同或者未按照谈判文件确定的事项签订政府采购合同</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文件的。</w:t>
      </w:r>
    </w:p>
    <w:p w14:paraId="0ACF675C">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28.7将政府采购合同转包的。</w:t>
      </w:r>
    </w:p>
    <w:p w14:paraId="51C496C1">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bookmarkStart w:id="138" w:name="_Toc200451960"/>
      <w:r>
        <w:rPr>
          <w:rFonts w:hint="eastAsia" w:ascii="宋体" w:hAnsi="宋体" w:eastAsia="宋体" w:cs="宋体"/>
          <w:color w:val="auto"/>
          <w:sz w:val="24"/>
          <w:szCs w:val="24"/>
          <w:highlight w:val="none"/>
          <w:shd w:val="clear" w:color="auto" w:fill="auto"/>
        </w:rPr>
        <w:t>29、质疑处理</w:t>
      </w:r>
      <w:bookmarkEnd w:id="138"/>
    </w:p>
    <w:p w14:paraId="72A89900">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 提出质疑的供应商应当是参与所质疑项目采购活动的供应商。潜在供应商依法获取其可质疑</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，可以对</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文件提出质疑。</w:t>
      </w:r>
    </w:p>
    <w:p w14:paraId="78AE325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29.2供应商认为</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过程和</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或采购人提出质疑。上述应知其权益受到损害之日，是指：</w:t>
      </w:r>
    </w:p>
    <w:p w14:paraId="30A5F44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29.2.1对可以质疑的</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文件提出质疑的，为收到</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文件之日或者</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文件公告期限届满之日。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29.2.2对采购过程提出质疑的，为各采购程序环节结束之日。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29.2.3对成交结果提出质疑的，为成交结果公告期限届满之日。</w:t>
      </w:r>
    </w:p>
    <w:p w14:paraId="315230B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、采购人将只对供应商第一次质疑作出答复。</w:t>
      </w:r>
    </w:p>
    <w:p w14:paraId="76EB3CA9">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29.3质疑函必须按照本谈判文件中《质疑函范本》要求的格式和内容进行填写。</w:t>
      </w:r>
      <w:r>
        <w:rPr>
          <w:rFonts w:hint="eastAsia" w:ascii="宋体" w:hAnsi="宋体"/>
          <w:color w:val="000000" w:themeColor="text1"/>
          <w:sz w:val="24"/>
          <w:szCs w:val="20"/>
          <w:lang w:val="zh-CN"/>
          <w14:textFill>
            <w14:solidFill>
              <w14:schemeClr w14:val="tx1"/>
            </w14:solidFill>
          </w14:textFill>
        </w:rPr>
        <w:t>质疑函应包括以下主要内容，并按照“谁主张、谁举证”的原则，附上必要的证明材料（证明材料中如涉及到产品功能或技术指标的，应出具相关制造商的证明文件），否则，代理公司或采购人不予受理。</w:t>
      </w:r>
    </w:p>
    <w:p w14:paraId="6D2FE004">
      <w:pPr>
        <w:pStyle w:val="18"/>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提出，由采购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负责答复。</w:t>
      </w:r>
    </w:p>
    <w:p w14:paraId="76D53226">
      <w:pPr>
        <w:pageBreakBefore w:val="0"/>
        <w:widowControl w:val="0"/>
        <w:tabs>
          <w:tab w:val="left" w:pos="1331"/>
        </w:tabs>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采购人及采购代理机构只接收以纸质原件形式送达的质疑,采购人和采购代理机构不接受未填写快递运单的快件。</w:t>
      </w:r>
    </w:p>
    <w:p w14:paraId="3CE53797">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2FE6B05B">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18525677">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53A2A5F2">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4E58EFC4">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 未参加谈判活动的供应商或在谈判活动中自身权益未受到损害的供应商所提出的质疑。</w:t>
      </w:r>
    </w:p>
    <w:p w14:paraId="263EFCC8">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29.5.5供应商组成联合体参加谈判，联合体中任何一方或多方未按要求签字、盖章、加盖公章的质疑。</w:t>
      </w:r>
    </w:p>
    <w:p w14:paraId="41A0D641">
      <w:pPr>
        <w:pStyle w:val="18"/>
        <w:pageBreakBefore w:val="0"/>
        <w:widowControl w:val="0"/>
        <w:kinsoku/>
        <w:wordWrap/>
        <w:overflowPunct/>
        <w:topLinePunct w:val="0"/>
        <w:autoSpaceDE/>
        <w:autoSpaceDN/>
        <w:bidi w:val="0"/>
        <w:adjustRightInd/>
        <w:snapToGrid/>
        <w:spacing w:beforeAutospacing="0" w:afterAutospacing="0" w:line="360" w:lineRule="exact"/>
        <w:ind w:firstLine="46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val="en-US" w:eastAsia="zh-CN"/>
        </w:rPr>
        <w:t>采购人或</w:t>
      </w:r>
      <w:r>
        <w:rPr>
          <w:rFonts w:hint="eastAsia" w:ascii="宋体" w:hAnsi="宋体" w:eastAsia="宋体" w:cs="宋体"/>
          <w:color w:val="auto"/>
          <w:sz w:val="24"/>
          <w:szCs w:val="24"/>
          <w:highlight w:val="none"/>
          <w:shd w:val="clear" w:color="auto" w:fill="auto"/>
        </w:rPr>
        <w:t>采购</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2D9AC989">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2801CEA0">
      <w:pPr>
        <w:pStyle w:val="18"/>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AFCA3FC">
      <w:pPr>
        <w:pStyle w:val="18"/>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4FC2790C">
      <w:pPr>
        <w:pStyle w:val="18"/>
        <w:keepNext/>
        <w:keepLines/>
        <w:spacing w:before="145" w:beforeAutospacing="0" w:after="145" w:afterAutospacing="0" w:line="360" w:lineRule="auto"/>
        <w:ind w:firstLine="482" w:firstLineChars="200"/>
        <w:jc w:val="both"/>
        <w:rPr>
          <w:rFonts w:hint="eastAsia" w:ascii="宋体" w:hAnsi="宋体" w:eastAsia="宋体" w:cs="宋体"/>
          <w:color w:val="auto"/>
          <w:sz w:val="24"/>
          <w:szCs w:val="24"/>
          <w:highlight w:val="none"/>
          <w:shd w:val="clear" w:color="auto" w:fill="auto"/>
        </w:rPr>
      </w:pPr>
      <w:bookmarkStart w:id="139" w:name="_Toc513029236"/>
      <w:bookmarkStart w:id="140" w:name="_Toc20823308"/>
      <w:bookmarkStart w:id="141" w:name="_Toc120614220"/>
      <w:bookmarkStart w:id="142" w:name="_Toc16938552"/>
      <w:r>
        <w:rPr>
          <w:rFonts w:hint="eastAsia" w:ascii="宋体" w:hAnsi="宋体" w:eastAsia="宋体" w:cs="宋体"/>
          <w:b/>
          <w:color w:val="auto"/>
          <w:sz w:val="24"/>
          <w:szCs w:val="24"/>
          <w:highlight w:val="none"/>
          <w:shd w:val="clear" w:color="auto" w:fill="auto"/>
        </w:rPr>
        <w:t>七、授予合同</w:t>
      </w:r>
      <w:bookmarkEnd w:id="139"/>
      <w:bookmarkEnd w:id="140"/>
      <w:bookmarkEnd w:id="141"/>
      <w:bookmarkEnd w:id="142"/>
    </w:p>
    <w:p w14:paraId="3AB1C586">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bookmarkStart w:id="143" w:name="_Toc513029237"/>
      <w:bookmarkStart w:id="144" w:name="_Toc20823309"/>
      <w:bookmarkStart w:id="145" w:name="_Toc16938553"/>
      <w:r>
        <w:rPr>
          <w:rFonts w:hint="eastAsia" w:ascii="宋体" w:hAnsi="宋体" w:eastAsia="宋体" w:cs="宋体"/>
          <w:color w:val="auto"/>
          <w:sz w:val="24"/>
          <w:szCs w:val="24"/>
          <w:highlight w:val="none"/>
          <w:shd w:val="clear" w:color="auto" w:fill="auto"/>
        </w:rPr>
        <w:t>31. 签订合同</w:t>
      </w:r>
      <w:bookmarkEnd w:id="143"/>
      <w:bookmarkEnd w:id="144"/>
      <w:bookmarkEnd w:id="145"/>
    </w:p>
    <w:p w14:paraId="19165A83">
      <w:pPr>
        <w:pStyle w:val="18"/>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31.l成交供应商应当在成交通知书发出之日起三十日内（原则上应在15日内签订采购合同），按照谈判文件确定的事项与采购人签订政府采购合同。</w:t>
      </w:r>
    </w:p>
    <w:p w14:paraId="797F2CCB">
      <w:pPr>
        <w:pStyle w:val="18"/>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31.2谈判文件、成交供应商的响应文件及谈判过程中有关澄清、承诺文件均应作为合同附件。</w:t>
      </w:r>
    </w:p>
    <w:p w14:paraId="665C557F">
      <w:pPr>
        <w:pStyle w:val="18"/>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 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4BF1EE6E">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442D57FA">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8"/>
        <w:pageBreakBefore w:val="0"/>
        <w:widowControl w:val="0"/>
        <w:numPr>
          <w:ilvl w:val="0"/>
          <w:numId w:val="0"/>
        </w:numPr>
        <w:kinsoku/>
        <w:wordWrap/>
        <w:overflowPunct/>
        <w:topLinePunct w:val="0"/>
        <w:autoSpaceDE/>
        <w:autoSpaceDN/>
        <w:bidi w:val="0"/>
        <w:adjustRightInd/>
        <w:snapToGrid/>
        <w:spacing w:beforeAutospacing="0" w:afterAutospacing="0" w:line="360" w:lineRule="exact"/>
        <w:ind w:left="474" w:leftChars="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8"/>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4C9CBD8E">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竞争性谈判公告</w:t>
      </w:r>
      <w:r>
        <w:rPr>
          <w:rFonts w:hint="eastAsia" w:ascii="宋体" w:hAnsi="宋体" w:eastAsia="宋体" w:cs="宋体"/>
          <w:color w:val="auto"/>
          <w:sz w:val="24"/>
          <w:szCs w:val="24"/>
          <w:highlight w:val="none"/>
          <w:shd w:val="clear" w:color="auto" w:fill="auto"/>
        </w:rPr>
        <w:t>》。</w:t>
      </w:r>
    </w:p>
    <w:p w14:paraId="66321B5E">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18"/>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1.本项目对采购本国产品给予政策支持，具体内容见谈判文件“第五章 评标方法与评标标准”。</w:t>
      </w:r>
    </w:p>
    <w:p w14:paraId="6E8BCEDC">
      <w:pPr>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DAAEDE">
      <w:pPr>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numPr>
          <w:ilvl w:val="0"/>
          <w:numId w:val="0"/>
        </w:numPr>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40F02B3A">
      <w:pPr>
        <w:pStyle w:val="28"/>
        <w:pageBreakBefore w:val="0"/>
        <w:widowControl w:val="0"/>
        <w:kinsoku/>
        <w:wordWrap/>
        <w:overflowPunct/>
        <w:topLinePunct w:val="0"/>
        <w:autoSpaceDE/>
        <w:autoSpaceDN/>
        <w:bidi w:val="0"/>
        <w:adjustRightInd/>
        <w:snapToGrid/>
        <w:spacing w:after="0" w:line="360" w:lineRule="exact"/>
        <w:ind w:left="0" w:firstLine="56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履约保证金的缴纳比例和是否缴纳由采购人与成交供应商协商确定。确需收取履约保证金的，履约保证金的缴纳形式：</w:t>
      </w:r>
    </w:p>
    <w:p w14:paraId="5EB031AC">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23108FD2">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kern w:val="0"/>
          <w:sz w:val="24"/>
          <w:szCs w:val="24"/>
          <w:highlight w:val="none"/>
          <w:u w:val="single"/>
          <w:shd w:val="clear" w:color="auto" w:fill="auto"/>
          <w:lang w:val="en-US" w:eastAsia="zh-CN" w:bidi="ar-SA"/>
        </w:rPr>
        <w:t>30</w:t>
      </w:r>
      <w:r>
        <w:rPr>
          <w:rFonts w:hint="eastAsia" w:ascii="宋体" w:hAnsi="宋体" w:eastAsia="宋体" w:cs="宋体"/>
          <w:color w:val="auto"/>
          <w:kern w:val="0"/>
          <w:sz w:val="24"/>
          <w:szCs w:val="24"/>
          <w:highlight w:val="none"/>
          <w:shd w:val="clear" w:color="auto" w:fill="auto"/>
          <w:lang w:val="en-US" w:eastAsia="zh-CN" w:bidi="ar-SA"/>
        </w:rPr>
        <w:t>%（原则上不低于合同金额的30%）。在签订合同时，中标、成交供应商明确书面表示无需预付款或者主动要求降低预付款比例的，采购人可就预付款比例作相应调整。</w:t>
      </w:r>
    </w:p>
    <w:p w14:paraId="53289C7D">
      <w:pPr>
        <w:pStyle w:val="28"/>
        <w:spacing w:after="0" w:line="520" w:lineRule="exact"/>
        <w:ind w:left="0" w:firstLine="560"/>
        <w:rPr>
          <w:rFonts w:hint="eastAsia" w:ascii="宋体" w:hAnsi="宋体" w:eastAsia="宋体" w:cs="宋体"/>
          <w:color w:val="auto"/>
          <w:kern w:val="0"/>
          <w:sz w:val="24"/>
          <w:szCs w:val="24"/>
          <w:highlight w:val="none"/>
          <w:shd w:val="clear" w:color="auto" w:fill="auto"/>
          <w:lang w:val="en-US" w:eastAsia="zh-CN" w:bidi="ar-SA"/>
        </w:rPr>
      </w:pPr>
    </w:p>
    <w:p w14:paraId="531EBA22">
      <w:pPr>
        <w:pStyle w:val="18"/>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7D7FE9A4">
      <w:pPr>
        <w:rPr>
          <w:rFonts w:hint="eastAsia" w:ascii="宋体" w:hAnsi="宋体" w:eastAsia="宋体" w:cs="宋体"/>
          <w:color w:val="auto"/>
          <w:sz w:val="24"/>
          <w:szCs w:val="24"/>
          <w:highlight w:val="none"/>
          <w:shd w:val="clear" w:color="auto" w:fill="auto"/>
          <w:lang w:val="en-US" w:eastAsia="zh-CN"/>
        </w:rPr>
      </w:pPr>
    </w:p>
    <w:p w14:paraId="14C80380">
      <w:pPr>
        <w:pStyle w:val="18"/>
        <w:keepNext/>
        <w:spacing w:beforeAutospacing="0" w:afterAutospacing="0"/>
        <w:ind w:firstLine="26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1096A07A">
      <w:pPr>
        <w:pStyle w:val="18"/>
        <w:keepNext/>
        <w:spacing w:beforeAutospacing="0" w:afterAutospacing="0"/>
        <w:ind w:firstLine="26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325EB4A2">
      <w:pPr>
        <w:pStyle w:val="18"/>
        <w:keepNext/>
        <w:spacing w:beforeAutospacing="0" w:afterAutospacing="0"/>
        <w:ind w:firstLine="26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6079979F">
      <w:pPr>
        <w:rPr>
          <w:rFonts w:hint="eastAsia" w:ascii="宋体" w:hAnsi="宋体" w:eastAsia="宋体" w:cs="宋体"/>
          <w:color w:val="auto"/>
          <w:sz w:val="24"/>
          <w:szCs w:val="24"/>
          <w:highlight w:val="none"/>
          <w:shd w:val="clear" w:color="auto" w:fill="auto"/>
        </w:rPr>
      </w:pPr>
    </w:p>
    <w:p w14:paraId="120CB64E">
      <w:pPr>
        <w:rPr>
          <w:rFonts w:hint="eastAsia" w:ascii="宋体" w:hAnsi="宋体" w:cs="宋体"/>
          <w:b/>
          <w:color w:val="auto"/>
          <w:sz w:val="44"/>
          <w:szCs w:val="40"/>
          <w:highlight w:val="none"/>
          <w:shd w:val="clear" w:color="auto" w:fill="auto"/>
        </w:rPr>
      </w:pPr>
      <w:bookmarkStart w:id="146" w:name="_Toc479757211"/>
      <w:bookmarkStart w:id="147" w:name="_Toc120614244"/>
      <w:bookmarkStart w:id="148" w:name="_Toc20823346"/>
      <w:bookmarkStart w:id="149" w:name="_Toc16938590"/>
      <w:bookmarkStart w:id="150" w:name="_Toc462564139"/>
      <w:bookmarkStart w:id="151" w:name="_Hlt16619369"/>
      <w:bookmarkStart w:id="152" w:name="_Hlt16619350"/>
      <w:r>
        <w:rPr>
          <w:rFonts w:hint="eastAsia" w:ascii="宋体" w:hAnsi="宋体" w:cs="宋体"/>
          <w:b/>
          <w:color w:val="auto"/>
          <w:sz w:val="44"/>
          <w:szCs w:val="40"/>
          <w:highlight w:val="none"/>
          <w:shd w:val="clear" w:color="auto" w:fill="auto"/>
        </w:rPr>
        <w:br w:type="page"/>
      </w:r>
    </w:p>
    <w:p w14:paraId="57309A9E">
      <w:pPr>
        <w:pStyle w:val="18"/>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第三</w:t>
      </w:r>
      <w:r>
        <w:rPr>
          <w:rFonts w:hint="eastAsia" w:ascii="黑体" w:hAnsi="宋体" w:eastAsia="黑体" w:cs="黑体"/>
          <w:color w:val="000000"/>
          <w:sz w:val="44"/>
          <w:szCs w:val="44"/>
          <w:highlight w:val="none"/>
          <w:lang w:eastAsia="zh-CN"/>
        </w:rPr>
        <w:t>章</w:t>
      </w:r>
      <w:r>
        <w:rPr>
          <w:rFonts w:hint="eastAsia" w:ascii="黑体" w:hAnsi="宋体" w:eastAsia="黑体" w:cs="黑体"/>
          <w:color w:val="000000"/>
          <w:sz w:val="44"/>
          <w:szCs w:val="44"/>
          <w:highlight w:val="none"/>
        </w:rPr>
        <w:t xml:space="preserve">  合同文本</w:t>
      </w:r>
    </w:p>
    <w:p w14:paraId="72EB4233">
      <w:pPr>
        <w:pStyle w:val="18"/>
        <w:spacing w:beforeAutospacing="0" w:afterAutospacing="0" w:line="0" w:lineRule="atLeast"/>
        <w:ind w:firstLine="480"/>
        <w:jc w:val="both"/>
      </w:pPr>
      <w:bookmarkStart w:id="153" w:name="_Toc16938559"/>
      <w:bookmarkStart w:id="154" w:name="_Toc20823315"/>
      <w:bookmarkStart w:id="155" w:name="_Toc513029243"/>
      <w:bookmarkStart w:id="156" w:name="EB6d2006462e294de090c16e672cecc3bd"/>
      <w:r>
        <w:rPr>
          <w:rFonts w:hint="eastAsia" w:ascii="宋体" w:hAnsi="宋体" w:eastAsia="宋体" w:cs="宋体"/>
          <w:color w:val="000000"/>
        </w:rPr>
        <w:t>以下为</w:t>
      </w:r>
      <w:r>
        <w:rPr>
          <w:rFonts w:hint="eastAsia" w:ascii="宋体" w:hAnsi="宋体" w:eastAsia="宋体" w:cs="宋体"/>
          <w:color w:val="000000"/>
          <w:lang w:val="en-US" w:eastAsia="zh-CN"/>
        </w:rPr>
        <w:t>成交</w:t>
      </w:r>
      <w:r>
        <w:rPr>
          <w:rFonts w:hint="eastAsia" w:ascii="宋体" w:hAnsi="宋体" w:eastAsia="宋体" w:cs="宋体"/>
          <w:color w:val="000000"/>
        </w:rPr>
        <w:t>后签定本项目合同的通用条款，</w:t>
      </w:r>
      <w:r>
        <w:rPr>
          <w:rFonts w:hint="eastAsia" w:ascii="宋体" w:hAnsi="宋体" w:eastAsia="宋体" w:cs="宋体"/>
          <w:color w:val="000000"/>
          <w:lang w:val="en-US" w:eastAsia="zh-CN"/>
        </w:rPr>
        <w:t>成交供应商</w:t>
      </w:r>
      <w:r>
        <w:rPr>
          <w:rFonts w:hint="eastAsia" w:ascii="宋体" w:hAnsi="宋体" w:eastAsia="宋体" w:cs="宋体"/>
          <w:color w:val="000000"/>
        </w:rPr>
        <w:t>不得提出实质性的修改。</w:t>
      </w:r>
      <w:bookmarkEnd w:id="153"/>
      <w:bookmarkEnd w:id="154"/>
      <w:bookmarkEnd w:id="155"/>
    </w:p>
    <w:p w14:paraId="745DECC8">
      <w:pPr>
        <w:pStyle w:val="18"/>
        <w:spacing w:before="145" w:beforeAutospacing="0" w:after="145" w:afterAutospacing="0"/>
        <w:jc w:val="center"/>
        <w:outlineLvl w:val="0"/>
      </w:pPr>
      <w:bookmarkStart w:id="157" w:name="_Toc24764"/>
      <w:r>
        <w:rPr>
          <w:rFonts w:hint="eastAsia" w:ascii="宋体" w:hAnsi="宋体" w:eastAsia="宋体" w:cs="宋体"/>
          <w:b/>
          <w:color w:val="000000"/>
          <w:sz w:val="30"/>
          <w:szCs w:val="30"/>
        </w:rPr>
        <w:t>盐城市政府采购合同（货物）（合同编号）</w:t>
      </w:r>
      <w:bookmarkEnd w:id="157"/>
    </w:p>
    <w:p w14:paraId="5CD08CD9">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项目名称：                        </w:t>
      </w:r>
    </w:p>
    <w:p w14:paraId="05C7FCC9">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项目编号：</w:t>
      </w:r>
    </w:p>
    <w:p w14:paraId="4A176DAB">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甲方：（买方）_________</w:t>
      </w:r>
    </w:p>
    <w:p w14:paraId="15C4B443">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乙方：（卖方）_________</w:t>
      </w:r>
    </w:p>
    <w:p w14:paraId="50813DEB">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甲、乙双方根据</w:t>
      </w:r>
      <w:r>
        <w:rPr>
          <w:rFonts w:hint="eastAsia"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项目竞争性谈判的采购结果，签署本合同。</w:t>
      </w:r>
    </w:p>
    <w:p w14:paraId="46A110D4">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58" w:name="_Toc31871"/>
      <w:r>
        <w:rPr>
          <w:rFonts w:hint="eastAsia" w:ascii="宋体" w:hAnsi="宋体" w:eastAsia="宋体" w:cs="Times New Roman"/>
          <w:b/>
          <w:bCs/>
          <w:color w:val="000000"/>
          <w:kern w:val="2"/>
          <w:sz w:val="24"/>
          <w:szCs w:val="24"/>
          <w:lang w:val="en-US" w:eastAsia="zh-CN" w:bidi="ar-SA"/>
        </w:rPr>
        <w:t>一、合同内容</w:t>
      </w:r>
      <w:bookmarkEnd w:id="158"/>
    </w:p>
    <w:p w14:paraId="35FCE6CC">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1.1 标的名称：</w:t>
      </w:r>
    </w:p>
    <w:p w14:paraId="10D4529F">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1.2 标的质量：</w:t>
      </w:r>
    </w:p>
    <w:p w14:paraId="5C53A842">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1.3 标的数量（规模）：</w:t>
      </w:r>
    </w:p>
    <w:p w14:paraId="5C3B9760">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1.4 履行时间（期限）：</w:t>
      </w:r>
    </w:p>
    <w:p w14:paraId="65FE7BF2">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1.5 履行地点：</w:t>
      </w:r>
    </w:p>
    <w:p w14:paraId="248F67D1">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1.6 履行方式：</w:t>
      </w:r>
    </w:p>
    <w:p w14:paraId="108B3685">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1.7 包装方式：</w:t>
      </w:r>
    </w:p>
    <w:p w14:paraId="04BFEA59">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59" w:name="_Toc21458"/>
      <w:r>
        <w:rPr>
          <w:rFonts w:hint="eastAsia" w:ascii="宋体" w:hAnsi="宋体" w:eastAsia="宋体" w:cs="Times New Roman"/>
          <w:b/>
          <w:bCs/>
          <w:color w:val="000000"/>
          <w:kern w:val="2"/>
          <w:sz w:val="24"/>
          <w:szCs w:val="24"/>
          <w:lang w:val="en-US" w:eastAsia="zh-CN" w:bidi="ar-SA"/>
        </w:rPr>
        <w:t>二、合同金额</w:t>
      </w:r>
      <w:bookmarkEnd w:id="159"/>
    </w:p>
    <w:p w14:paraId="79B92881">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2.1 本合同金额为（大写）：_______圆（___元）人民币。</w:t>
      </w:r>
    </w:p>
    <w:p w14:paraId="64D0BBE3">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0" w:name="_Toc7861"/>
      <w:r>
        <w:rPr>
          <w:rFonts w:hint="eastAsia" w:ascii="宋体" w:hAnsi="宋体" w:eastAsia="宋体" w:cs="Times New Roman"/>
          <w:b/>
          <w:bCs/>
          <w:color w:val="000000"/>
          <w:kern w:val="2"/>
          <w:sz w:val="24"/>
          <w:szCs w:val="24"/>
          <w:lang w:val="en-US" w:eastAsia="zh-CN" w:bidi="ar-SA"/>
        </w:rPr>
        <w:t>三、技术资料</w:t>
      </w:r>
      <w:bookmarkEnd w:id="160"/>
    </w:p>
    <w:p w14:paraId="6536824A">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3.1乙方应按谈判文件规定的时间向甲方提供使用货物(包含与货物相关的服务)的有关技术资料。</w:t>
      </w:r>
    </w:p>
    <w:p w14:paraId="01A05CC8">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25EB102">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1" w:name="_Toc6508"/>
      <w:r>
        <w:rPr>
          <w:rFonts w:hint="eastAsia" w:ascii="宋体" w:hAnsi="宋体" w:eastAsia="宋体" w:cs="Times New Roman"/>
          <w:b/>
          <w:bCs/>
          <w:color w:val="000000"/>
          <w:kern w:val="2"/>
          <w:sz w:val="24"/>
          <w:szCs w:val="24"/>
          <w:lang w:val="en-US" w:eastAsia="zh-CN" w:bidi="ar-SA"/>
        </w:rPr>
        <w:t>四、知识产权</w:t>
      </w:r>
      <w:bookmarkEnd w:id="161"/>
    </w:p>
    <w:p w14:paraId="28762546">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4.1乙方应保证甲方在使用、接受本合同货物（包含与货物相关的服务）或其任何一部分时不受第三方提出侵犯其专利权、版权、商标权和工业设计权等知识产权的起诉。一旦出现侵权，由乙方负全部责任。</w:t>
      </w:r>
    </w:p>
    <w:p w14:paraId="39CA65EF">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2" w:name="_Toc27991"/>
      <w:r>
        <w:rPr>
          <w:rFonts w:hint="eastAsia" w:ascii="宋体" w:hAnsi="宋体" w:eastAsia="宋体" w:cs="Times New Roman"/>
          <w:b/>
          <w:bCs/>
          <w:color w:val="000000"/>
          <w:kern w:val="2"/>
          <w:sz w:val="24"/>
          <w:szCs w:val="24"/>
          <w:lang w:val="en-US" w:eastAsia="zh-CN" w:bidi="ar-SA"/>
        </w:rPr>
        <w:t>五、产权担保</w:t>
      </w:r>
      <w:bookmarkEnd w:id="162"/>
    </w:p>
    <w:p w14:paraId="7604D073">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5.1 乙方保证所交付的货物（包含与货物相关的服务）的所有权完全属于乙方且无任何抵押、查封等产权瑕疵。</w:t>
      </w:r>
    </w:p>
    <w:p w14:paraId="2CFE495A">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3" w:name="_Toc25300"/>
      <w:r>
        <w:rPr>
          <w:rFonts w:hint="eastAsia" w:ascii="宋体" w:hAnsi="宋体" w:eastAsia="宋体" w:cs="Times New Roman"/>
          <w:b/>
          <w:bCs/>
          <w:color w:val="000000"/>
          <w:kern w:val="2"/>
          <w:sz w:val="24"/>
          <w:szCs w:val="24"/>
          <w:lang w:val="en-US" w:eastAsia="zh-CN" w:bidi="ar-SA"/>
        </w:rPr>
        <w:t>六、履约保证金</w:t>
      </w:r>
      <w:bookmarkEnd w:id="163"/>
    </w:p>
    <w:p w14:paraId="35D648F6">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6.1 乙方交纳人民币_________元作为本合同的履约保证金。</w:t>
      </w:r>
    </w:p>
    <w:p w14:paraId="265D0D3B">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6.2合同履行结束后，甲方应及时退还交纳的履约保证金。</w:t>
      </w:r>
    </w:p>
    <w:p w14:paraId="60563E0D">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6.3履约保证金的退还：</w:t>
      </w:r>
    </w:p>
    <w:p w14:paraId="3888B9E1">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6.3.1方式：无息退还至供应商缴纳履约保证金的账户。如为保函，在到期时自行失效。</w:t>
      </w:r>
    </w:p>
    <w:p w14:paraId="786016DA">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6.3.2时间：验收合格且采购人收到发票后30日内。</w:t>
      </w:r>
    </w:p>
    <w:p w14:paraId="524659CC">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6.3.3条件：按合同要求全部履约完成并经采购人验收合格，且采购人收到中标人出具的发票。</w:t>
      </w:r>
    </w:p>
    <w:p w14:paraId="44048D6C">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6.3.4不予退还情形：</w:t>
      </w:r>
    </w:p>
    <w:p w14:paraId="5AC95A87">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除不可抗力情况外，供应商出现下列情形之一的，其履约保证金，采购人将视情节决定不予退还或部分不予退还。</w:t>
      </w:r>
    </w:p>
    <w:p w14:paraId="42FF2404">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（1）成交供应商无正当理由拒绝签订合同的，或者在签订合同时向采购人提出附加条件或者更改合同实质性内容要求的；</w:t>
      </w:r>
    </w:p>
    <w:p w14:paraId="27A95DB9">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（2）成交供应商不履行与采购人订立的合同的；</w:t>
      </w:r>
    </w:p>
    <w:p w14:paraId="7EB6D5E7">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（3）成交供应商所供货物或服务不符合谈判文件规定要求的；</w:t>
      </w:r>
    </w:p>
    <w:p w14:paraId="26B3BBF5">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（4）成交供应商采取欺骗、弄虚作假方式投标的或与其它供应商串通投标的；</w:t>
      </w:r>
    </w:p>
    <w:p w14:paraId="0D3CD31C">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（5）成交供应商将合同内容转包、违法分包的；</w:t>
      </w:r>
    </w:p>
    <w:p w14:paraId="3BA218CA">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（6）成交供应商故意捏造事实或伪造证明材料，进行虚假恶意投诉或反映的。</w:t>
      </w:r>
    </w:p>
    <w:p w14:paraId="20C70E2E">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6.3.5逾期退还的违约责任：采购人逾期无故未退还履约保证金的，按中国人民银行同期贷款基准利率上浮20%后的利率支付超期资金占用费，但因供应商自身原因导致无法及时退还的除外。</w:t>
      </w:r>
    </w:p>
    <w:p w14:paraId="04EB8C73">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4" w:name="_Toc13906"/>
      <w:r>
        <w:rPr>
          <w:rFonts w:hint="eastAsia" w:ascii="宋体" w:hAnsi="宋体" w:eastAsia="宋体" w:cs="Times New Roman"/>
          <w:b/>
          <w:bCs/>
          <w:color w:val="000000"/>
          <w:kern w:val="2"/>
          <w:sz w:val="24"/>
          <w:szCs w:val="24"/>
          <w:lang w:val="en-US" w:eastAsia="zh-CN" w:bidi="ar-SA"/>
        </w:rPr>
        <w:t>七、合同转包或分包</w:t>
      </w:r>
      <w:bookmarkEnd w:id="164"/>
    </w:p>
    <w:p w14:paraId="7A70D034">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7.1乙方不得将合同标的转包给他人履行。</w:t>
      </w:r>
    </w:p>
    <w:p w14:paraId="16981D7D">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7.2乙方不得将合同标的分包给他人履行。</w:t>
      </w:r>
    </w:p>
    <w:p w14:paraId="6B8EA628">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7.3乙方如有转包或未经甲方同意的分包行为，甲方有权给予终止合同。</w:t>
      </w:r>
    </w:p>
    <w:p w14:paraId="7A4C884C">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5" w:name="_Toc18663"/>
      <w:r>
        <w:rPr>
          <w:rFonts w:hint="eastAsia" w:ascii="宋体" w:hAnsi="宋体" w:eastAsia="宋体" w:cs="Times New Roman"/>
          <w:b/>
          <w:bCs/>
          <w:color w:val="000000"/>
          <w:kern w:val="2"/>
          <w:sz w:val="24"/>
          <w:szCs w:val="24"/>
          <w:lang w:val="en-US" w:eastAsia="zh-CN" w:bidi="ar-SA"/>
        </w:rPr>
        <w:t>八、合同款项支付</w:t>
      </w:r>
      <w:bookmarkEnd w:id="165"/>
    </w:p>
    <w:p w14:paraId="406C724D">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8.1合同款项的支付方式及进度安排</w:t>
      </w:r>
    </w:p>
    <w:p w14:paraId="3F43DF6C">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8.1.1本项目落实预付款制度，合同签订时，经采购人与成交供应商根据实际情况协商一致，可支付合同总价的30%作为项目启动预付款；（在签订合同时，成交供应商明确书面表示无需预付款或者主动要求降低预付款比例的，采购人可就预付款比例作相应调整）。</w:t>
      </w:r>
    </w:p>
    <w:p w14:paraId="62658E35">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b/>
          <w:bCs/>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8.1.2</w:t>
      </w:r>
      <w:bookmarkStart w:id="166" w:name="_Toc12072"/>
      <w:r>
        <w:rPr>
          <w:rFonts w:hint="eastAsia" w:ascii="宋体" w:hAnsi="宋体" w:eastAsia="宋体" w:cs="Times New Roman"/>
          <w:color w:val="000000"/>
          <w:kern w:val="2"/>
          <w:sz w:val="24"/>
          <w:szCs w:val="24"/>
          <w:highlight w:val="none"/>
          <w:lang w:val="en-US" w:eastAsia="zh-CN" w:bidi="ar-SA"/>
        </w:rPr>
        <w:t>成交供应商按照合同规定将成交产品送至采购人指定地点，供货全面完成经项目验收合格，成交供应商提供全额发票，无服务问题，在财政拨款到位后10日内一次性全部结清。以上付款均不计任何利息和相关费用，付款一律通过银行结转。</w:t>
      </w:r>
    </w:p>
    <w:p w14:paraId="53C4E4AD">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九、税费</w:t>
      </w:r>
      <w:bookmarkEnd w:id="166"/>
    </w:p>
    <w:p w14:paraId="64BEBEF2">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9.1本合同执行中相关的一切税费均由乙方负担。</w:t>
      </w:r>
    </w:p>
    <w:p w14:paraId="7DA6EE5C">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7" w:name="_Toc4930"/>
      <w:r>
        <w:rPr>
          <w:rFonts w:hint="eastAsia" w:ascii="宋体" w:hAnsi="宋体" w:eastAsia="宋体" w:cs="Times New Roman"/>
          <w:b/>
          <w:bCs/>
          <w:color w:val="000000"/>
          <w:kern w:val="2"/>
          <w:sz w:val="24"/>
          <w:szCs w:val="24"/>
          <w:lang w:val="en-US" w:eastAsia="zh-CN" w:bidi="ar-SA"/>
        </w:rPr>
        <w:t>十、项目验收</w:t>
      </w:r>
      <w:bookmarkEnd w:id="167"/>
    </w:p>
    <w:p w14:paraId="66D81711">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10.1 甲方依法组织履约验收工作。</w:t>
      </w:r>
    </w:p>
    <w:p w14:paraId="43C1E35C">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D67A525">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10.3 对于实际使用人和甲方分离的项目，甲方邀请实际使用人参与验收。</w:t>
      </w:r>
    </w:p>
    <w:p w14:paraId="21642ABB">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10.4 如有必要，甲方邀请参加本项目的其他供应商或第三方专业机构及专家参与验收，相关意见将作为验收书的参考资料。</w:t>
      </w:r>
    </w:p>
    <w:p w14:paraId="6B4AA140">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10.5 甲方成立验收小组，按照采购合同的约定对乙方的履约情况进行验收。验收时间、验收标准见谈判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E1042DB">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A61A8BB">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8" w:name="_Toc923"/>
      <w:r>
        <w:rPr>
          <w:rFonts w:hint="eastAsia" w:ascii="宋体" w:hAnsi="宋体" w:eastAsia="宋体" w:cs="Times New Roman"/>
          <w:b/>
          <w:bCs/>
          <w:color w:val="000000"/>
          <w:kern w:val="2"/>
          <w:sz w:val="24"/>
          <w:szCs w:val="24"/>
          <w:lang w:val="en-US" w:eastAsia="zh-CN" w:bidi="ar-SA"/>
        </w:rPr>
        <w:t>十一、货物的包装、发运及运输</w:t>
      </w:r>
      <w:bookmarkEnd w:id="168"/>
    </w:p>
    <w:p w14:paraId="146D262F">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2EF08B94">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11.2 使用说明书、质量检验证明书、随配附件和工具以及清单一并附于货物内。</w:t>
      </w:r>
    </w:p>
    <w:p w14:paraId="76DEADC1">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11.3 乙方在货物发运手续办理完毕后24小时内或货到甲方48小时前通知甲方，以准备接货。</w:t>
      </w:r>
    </w:p>
    <w:p w14:paraId="2BE07136">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11.4 货物在交付甲方前发生的风险均由乙方负责。</w:t>
      </w:r>
    </w:p>
    <w:p w14:paraId="3C397DC1">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11.5 货物在规定的交付期限内由乙方送达甲方指定的地点视为交付，乙方同时需通知甲方货物已送达。</w:t>
      </w:r>
    </w:p>
    <w:p w14:paraId="3A9DFB01">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69" w:name="_Toc16832"/>
      <w:r>
        <w:rPr>
          <w:rFonts w:hint="eastAsia" w:ascii="宋体" w:hAnsi="宋体" w:eastAsia="宋体" w:cs="Times New Roman"/>
          <w:b/>
          <w:bCs/>
          <w:color w:val="000000"/>
          <w:kern w:val="2"/>
          <w:sz w:val="24"/>
          <w:szCs w:val="24"/>
          <w:lang w:val="en-US" w:eastAsia="zh-CN" w:bidi="ar-SA"/>
        </w:rPr>
        <w:t>十二、违约责任</w:t>
      </w:r>
      <w:bookmarkEnd w:id="169"/>
    </w:p>
    <w:p w14:paraId="3F581189">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12.1 甲方无正当理由拒收货物的，甲方向乙方偿付拒收货款总值</w:t>
      </w:r>
      <w:r>
        <w:rPr>
          <w:rFonts w:hint="eastAsia" w:ascii="宋体" w:hAnsi="宋体" w:eastAsia="宋体" w:cs="Times New Roman"/>
          <w:color w:val="000000"/>
          <w:kern w:val="2"/>
          <w:sz w:val="24"/>
          <w:szCs w:val="24"/>
          <w:u w:val="single"/>
          <w:lang w:val="en-US" w:eastAsia="zh-CN" w:bidi="ar-SA"/>
        </w:rPr>
        <w:t>   </w:t>
      </w:r>
      <w:r>
        <w:rPr>
          <w:rFonts w:hint="eastAsia" w:ascii="宋体" w:hAnsi="宋体" w:eastAsia="宋体" w:cs="Times New Roman"/>
          <w:color w:val="000000"/>
          <w:kern w:val="2"/>
          <w:sz w:val="24"/>
          <w:szCs w:val="24"/>
          <w:lang w:val="en-US" w:eastAsia="zh-CN" w:bidi="ar-SA"/>
        </w:rPr>
        <w:t xml:space="preserve"> 的违约金。</w:t>
      </w:r>
    </w:p>
    <w:p w14:paraId="36DCB0A2">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12.2 甲方无故逾期验收和办理货款支付手续的,甲方应按逾期付款总额每日 </w:t>
      </w:r>
      <w:r>
        <w:rPr>
          <w:rFonts w:hint="eastAsia" w:ascii="宋体" w:hAnsi="宋体" w:eastAsia="宋体" w:cs="Times New Roman"/>
          <w:color w:val="000000"/>
          <w:kern w:val="2"/>
          <w:sz w:val="24"/>
          <w:szCs w:val="24"/>
          <w:u w:val="single"/>
          <w:lang w:val="en-US" w:eastAsia="zh-CN" w:bidi="ar-SA"/>
        </w:rPr>
        <w:t>  </w:t>
      </w:r>
      <w:r>
        <w:rPr>
          <w:rFonts w:hint="eastAsia" w:ascii="宋体" w:hAnsi="宋体" w:eastAsia="宋体" w:cs="Times New Roman"/>
          <w:color w:val="000000"/>
          <w:kern w:val="2"/>
          <w:sz w:val="24"/>
          <w:szCs w:val="24"/>
          <w:lang w:val="en-US" w:eastAsia="zh-CN" w:bidi="ar-SA"/>
        </w:rPr>
        <w:t xml:space="preserve"> 向乙方支付违约金。</w:t>
      </w:r>
    </w:p>
    <w:p w14:paraId="58AC6A77">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12.3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Times New Roman"/>
          <w:color w:val="000000"/>
          <w:kern w:val="2"/>
          <w:sz w:val="24"/>
          <w:szCs w:val="24"/>
          <w:u w:val="single"/>
          <w:lang w:val="en-US" w:eastAsia="zh-CN" w:bidi="ar-SA"/>
        </w:rPr>
        <w:t>   </w:t>
      </w:r>
      <w:r>
        <w:rPr>
          <w:rFonts w:hint="eastAsia" w:ascii="宋体" w:hAnsi="宋体" w:eastAsia="宋体" w:cs="Times New Roman"/>
          <w:color w:val="000000"/>
          <w:kern w:val="2"/>
          <w:sz w:val="24"/>
          <w:szCs w:val="24"/>
          <w:lang w:val="en-US" w:eastAsia="zh-CN" w:bidi="ar-SA"/>
        </w:rPr>
        <w:t xml:space="preserve"> 的违约金，如造成甲方损失超过违约金的，超出部分由乙方继续承担赔偿责任。 </w:t>
      </w:r>
    </w:p>
    <w:p w14:paraId="22B14AC4">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12.4 乙方所交的货物品种、型号、规格、技术参数、质量不符合合同规定及谈判文件规定标准的，甲方有权拒收该货物，乙方愿意更换货物但逾期交货的，按乙方逾期交货处理。乙方拒绝更换货物的，甲方可单方面解除合同。</w:t>
      </w:r>
    </w:p>
    <w:p w14:paraId="1C57FC14">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70" w:name="_Toc27958"/>
      <w:r>
        <w:rPr>
          <w:rFonts w:hint="eastAsia" w:ascii="宋体" w:hAnsi="宋体" w:eastAsia="宋体" w:cs="Times New Roman"/>
          <w:b/>
          <w:bCs/>
          <w:color w:val="000000"/>
          <w:kern w:val="2"/>
          <w:sz w:val="24"/>
          <w:szCs w:val="24"/>
          <w:lang w:val="en-US" w:eastAsia="zh-CN" w:bidi="ar-SA"/>
        </w:rPr>
        <w:t>十三、不可抗力事件处理</w:t>
      </w:r>
      <w:bookmarkEnd w:id="170"/>
    </w:p>
    <w:p w14:paraId="6FF3381F">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13.1 在合同有效期内，任何一方因不可抗力事件导致不能履行合同，则合同履行期可延长，其延长期与不可抗力影响期相同。</w:t>
      </w:r>
    </w:p>
    <w:p w14:paraId="50C174A3">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13.2 不可抗力事件发生后，应立即通知对方，并寄送有关权威机构出具的证明。</w:t>
      </w:r>
    </w:p>
    <w:p w14:paraId="22A8928A">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13.3 不可抗力事件延续120天以上，双方应通过友好协商，确定是否继续履行合同。</w:t>
      </w:r>
    </w:p>
    <w:p w14:paraId="74B3C89D">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71" w:name="_Toc16082"/>
      <w:r>
        <w:rPr>
          <w:rFonts w:hint="eastAsia" w:ascii="宋体" w:hAnsi="宋体" w:eastAsia="宋体" w:cs="Times New Roman"/>
          <w:b/>
          <w:bCs/>
          <w:color w:val="000000"/>
          <w:kern w:val="2"/>
          <w:sz w:val="24"/>
          <w:szCs w:val="24"/>
          <w:lang w:val="en-US" w:eastAsia="zh-CN" w:bidi="ar-SA"/>
        </w:rPr>
        <w:t>十四、解决争议的方法</w:t>
      </w:r>
      <w:bookmarkEnd w:id="171"/>
    </w:p>
    <w:p w14:paraId="7157AD9E">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14.1甲乙双方因合同签订、履行而发生的一切争议，应通过友好协商解决。如协商不成由甲方住所地人民法院管辖。</w:t>
      </w:r>
    </w:p>
    <w:p w14:paraId="7142405F">
      <w:pPr>
        <w:pStyle w:val="31"/>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outlineLvl w:val="0"/>
        <w:rPr>
          <w:rFonts w:hint="eastAsia" w:ascii="宋体" w:hAnsi="宋体" w:eastAsia="宋体" w:cs="Times New Roman"/>
          <w:b/>
          <w:bCs/>
          <w:color w:val="000000"/>
          <w:kern w:val="2"/>
          <w:sz w:val="24"/>
          <w:szCs w:val="24"/>
          <w:lang w:val="en-US" w:eastAsia="zh-CN" w:bidi="ar-SA"/>
        </w:rPr>
      </w:pPr>
      <w:bookmarkStart w:id="172" w:name="_Toc31987"/>
      <w:r>
        <w:rPr>
          <w:rFonts w:hint="eastAsia" w:ascii="宋体" w:hAnsi="宋体" w:eastAsia="宋体" w:cs="Times New Roman"/>
          <w:b/>
          <w:bCs/>
          <w:color w:val="000000"/>
          <w:kern w:val="2"/>
          <w:sz w:val="24"/>
          <w:szCs w:val="24"/>
          <w:lang w:val="en-US" w:eastAsia="zh-CN" w:bidi="ar-SA"/>
        </w:rPr>
        <w:t>十五、合同生效及其它</w:t>
      </w:r>
      <w:bookmarkEnd w:id="172"/>
    </w:p>
    <w:p w14:paraId="595A7075">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15.1 合同经双方法定代表人或授权委托代表人签字并加盖单位公章后生效。</w:t>
      </w:r>
    </w:p>
    <w:p w14:paraId="69291825">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15.2本合同未尽事宜，遵照《民法典》、《政府采购法》有关条文执行。</w:t>
      </w:r>
    </w:p>
    <w:p w14:paraId="359C3859">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15.3 本合同正本一式两份，具有同等法律效力，甲方、乙方各执一份。</w:t>
      </w:r>
    </w:p>
    <w:p w14:paraId="1DB12548">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甲方：                        乙方： </w:t>
      </w:r>
    </w:p>
    <w:p w14:paraId="20A57BC2">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地址：                        地址： </w:t>
      </w:r>
    </w:p>
    <w:p w14:paraId="609650A8">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法定代表人或授权代表：        法定代表人或授权代表：</w:t>
      </w:r>
    </w:p>
    <w:p w14:paraId="0AFFDA1F">
      <w:pPr>
        <w:pStyle w:val="31"/>
        <w:keepNext w:val="0"/>
        <w:keepLines w:val="0"/>
        <w:pageBreakBefore w:val="0"/>
        <w:widowControl w:val="0"/>
        <w:kinsoku/>
        <w:wordWrap/>
        <w:overflowPunct/>
        <w:topLinePunct w:val="0"/>
        <w:autoSpaceDE/>
        <w:autoSpaceDN/>
        <w:bidi w:val="0"/>
        <w:adjustRightInd/>
        <w:snapToGrid/>
        <w:spacing w:line="360" w:lineRule="exact"/>
        <w:ind w:firstLine="720" w:firstLineChars="3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联系电话：                联系电话：          </w:t>
      </w:r>
    </w:p>
    <w:p w14:paraId="40689379">
      <w:pPr>
        <w:pStyle w:val="3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w:t>
      </w:r>
    </w:p>
    <w:p w14:paraId="451E7CA7">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Fonts w:hint="eastAsia" w:ascii="黑体" w:hAnsi="宋体" w:eastAsia="黑体" w:cs="黑体"/>
          <w:color w:val="auto"/>
          <w:sz w:val="44"/>
          <w:szCs w:val="44"/>
          <w:highlight w:val="none"/>
          <w:shd w:val="clear" w:color="auto" w:fill="auto"/>
        </w:rPr>
      </w:pPr>
      <w:r>
        <w:rPr>
          <w:rFonts w:hint="eastAsia" w:ascii="宋体" w:hAnsi="宋体" w:eastAsia="宋体" w:cs="Times New Roman"/>
          <w:color w:val="000000"/>
          <w:kern w:val="2"/>
          <w:sz w:val="24"/>
          <w:szCs w:val="24"/>
          <w:lang w:val="en-US" w:eastAsia="zh-CN" w:bidi="ar-SA"/>
        </w:rPr>
        <w:t>签订日期：      年    月   日</w:t>
      </w:r>
      <w:r>
        <w:rPr>
          <w:rFonts w:hint="eastAsia" w:ascii="黑体" w:hAnsi="宋体" w:eastAsia="黑体" w:cs="黑体"/>
          <w:color w:val="000000"/>
          <w:sz w:val="44"/>
          <w:szCs w:val="44"/>
        </w:rPr>
        <w:br w:type="page"/>
      </w:r>
      <w:bookmarkEnd w:id="156"/>
    </w:p>
    <w:p w14:paraId="3215C4AD">
      <w:pPr>
        <w:pStyle w:val="18"/>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第</w:t>
      </w:r>
      <w:bookmarkEnd w:id="146"/>
      <w:r>
        <w:rPr>
          <w:rFonts w:hint="eastAsia" w:ascii="黑体" w:hAnsi="宋体" w:eastAsia="黑体" w:cs="黑体"/>
          <w:color w:val="000000"/>
          <w:sz w:val="44"/>
          <w:szCs w:val="44"/>
          <w:highlight w:val="none"/>
        </w:rPr>
        <w:t>四章 采购需求</w:t>
      </w:r>
      <w:bookmarkEnd w:id="147"/>
      <w:bookmarkEnd w:id="148"/>
      <w:bookmarkEnd w:id="149"/>
      <w:bookmarkEnd w:id="150"/>
      <w:bookmarkStart w:id="173" w:name="_Toc49090575"/>
      <w:bookmarkEnd w:id="173"/>
      <w:bookmarkStart w:id="174" w:name="_Toc26554093"/>
      <w:bookmarkEnd w:id="174"/>
    </w:p>
    <w:p w14:paraId="076F3955">
      <w:pPr>
        <w:pStyle w:val="18"/>
        <w:spacing w:before="120" w:beforeAutospacing="0" w:after="12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项目属性：货物类项目</w:t>
      </w:r>
    </w:p>
    <w:p w14:paraId="36B022CC">
      <w:pPr>
        <w:pStyle w:val="31"/>
        <w:numPr>
          <w:ilvl w:val="0"/>
          <w:numId w:val="1"/>
        </w:numPr>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r>
        <w:rPr>
          <w:rFonts w:hint="eastAsia" w:ascii="宋体" w:hAnsi="宋体" w:eastAsia="宋体" w:cs="Times New Roman"/>
          <w:b/>
          <w:bCs/>
          <w:color w:val="000000"/>
          <w:kern w:val="2"/>
          <w:sz w:val="28"/>
          <w:szCs w:val="28"/>
          <w:lang w:val="en-US" w:eastAsia="zh-CN" w:bidi="ar-SA"/>
        </w:rPr>
        <w:t>项目概况</w:t>
      </w:r>
    </w:p>
    <w:p w14:paraId="3003D5F2">
      <w:pPr>
        <w:spacing w:line="480" w:lineRule="exact"/>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1.项目编号：JSZC-320924-SYHY-T2026-0005</w:t>
      </w:r>
      <w:bookmarkStart w:id="224" w:name="_GoBack"/>
      <w:bookmarkEnd w:id="224"/>
    </w:p>
    <w:p w14:paraId="040B54C7">
      <w:pPr>
        <w:spacing w:line="480" w:lineRule="exact"/>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2.项目名称：射阳县植物保护站2026年中央粮油生产保障小麦“一喷三防”氰烯·戊唑醇采购项目</w:t>
      </w:r>
    </w:p>
    <w:p w14:paraId="7FB8BEF2">
      <w:pPr>
        <w:spacing w:line="480" w:lineRule="exact"/>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3.采购方式：竞争性谈判</w:t>
      </w:r>
    </w:p>
    <w:p w14:paraId="7E4A2FB6">
      <w:pPr>
        <w:spacing w:line="480" w:lineRule="exact"/>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4.预算金额：3</w:t>
      </w:r>
      <w:r>
        <w:rPr>
          <w:rFonts w:hint="eastAsia" w:ascii="宋体" w:hAnsi="宋体" w:cs="宋体"/>
          <w:color w:val="000000" w:themeColor="text1"/>
          <w:sz w:val="24"/>
          <w:lang w:val="en-US" w:eastAsia="zh-CN"/>
          <w14:textFill>
            <w14:solidFill>
              <w14:schemeClr w14:val="tx1"/>
            </w14:solidFill>
          </w14:textFill>
        </w:rPr>
        <w:t>25</w:t>
      </w:r>
      <w:r>
        <w:rPr>
          <w:rFonts w:hint="eastAsia" w:ascii="宋体" w:hAnsi="宋体" w:cs="宋体"/>
          <w:color w:val="000000" w:themeColor="text1"/>
          <w:sz w:val="24"/>
          <w14:textFill>
            <w14:solidFill>
              <w14:schemeClr w14:val="tx1"/>
            </w14:solidFill>
          </w14:textFill>
        </w:rPr>
        <w:t>万元。</w:t>
      </w:r>
    </w:p>
    <w:p w14:paraId="19FBA070">
      <w:pPr>
        <w:spacing w:line="480" w:lineRule="exact"/>
        <w:ind w:firstLine="48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.最高（单价）限价：325万元，本项目设定最高单价限价19.5万元/千升，投标报价报单价，超过最高（单价）限价的为无效响应，本项目实施足额采购。</w:t>
      </w:r>
    </w:p>
    <w:p w14:paraId="2ABF0B60">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.采购需求：</w:t>
      </w:r>
      <w:bookmarkStart w:id="175" w:name="_Toc21967"/>
      <w:bookmarkStart w:id="176" w:name="_Toc5242"/>
      <w:r>
        <w:rPr>
          <w:rFonts w:hint="eastAsia" w:ascii="宋体" w:hAnsi="宋体" w:eastAsia="宋体" w:cs="宋体"/>
          <w:color w:val="auto"/>
          <w:sz w:val="24"/>
          <w:szCs w:val="24"/>
          <w:highlight w:val="none"/>
          <w:shd w:val="clear" w:color="auto" w:fill="auto"/>
        </w:rPr>
        <w:t>采购范围内所有产品（480克/升氰烯菌酯▪戊唑醇悬浮剂）的供货、运输（送达至招标方指定地点并卸货）分发用工、产品使用技术培训</w:t>
      </w:r>
      <w:r>
        <w:rPr>
          <w:rFonts w:hint="eastAsia" w:ascii="宋体" w:hAnsi="宋体" w:eastAsia="宋体" w:cs="宋体"/>
          <w:color w:val="auto"/>
          <w:sz w:val="24"/>
          <w:szCs w:val="24"/>
          <w:highlight w:val="none"/>
          <w:shd w:val="clear" w:color="auto" w:fill="auto"/>
          <w:lang w:eastAsia="zh-CN"/>
        </w:rPr>
        <w:t>。</w:t>
      </w:r>
    </w:p>
    <w:tbl>
      <w:tblPr>
        <w:tblStyle w:val="20"/>
        <w:tblW w:w="9823" w:type="dxa"/>
        <w:tblInd w:w="7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2537"/>
        <w:gridCol w:w="4320"/>
        <w:gridCol w:w="2966"/>
      </w:tblGrid>
      <w:tr w14:paraId="70110A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29" w:hRule="exact"/>
        </w:trPr>
        <w:tc>
          <w:tcPr>
            <w:tcW w:w="253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FB93DD0">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left="0" w:right="0"/>
              <w:jc w:val="center"/>
              <w:textAlignment w:val="auto"/>
              <w:rPr>
                <w:rFonts w:hint="eastAsia" w:ascii="宋体" w:hAnsi="宋体" w:eastAsia="宋体" w:cs="宋体"/>
                <w:b/>
                <w:bCs/>
                <w:color w:val="000000"/>
                <w:kern w:val="20"/>
                <w:sz w:val="24"/>
                <w:szCs w:val="24"/>
              </w:rPr>
            </w:pPr>
            <w:r>
              <w:rPr>
                <w:rFonts w:hint="eastAsia" w:ascii="宋体" w:hAnsi="宋体" w:eastAsia="宋体" w:cs="宋体"/>
                <w:b/>
                <w:bCs/>
                <w:color w:val="000000"/>
                <w:kern w:val="20"/>
                <w:sz w:val="24"/>
                <w:szCs w:val="24"/>
                <w:lang w:val="zh-TW" w:eastAsia="zh-TW"/>
              </w:rPr>
              <w:t>货物名称</w:t>
            </w:r>
          </w:p>
        </w:tc>
        <w:tc>
          <w:tcPr>
            <w:tcW w:w="43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9394450">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right="0"/>
              <w:jc w:val="center"/>
              <w:textAlignment w:val="auto"/>
              <w:rPr>
                <w:rFonts w:hint="eastAsia" w:ascii="宋体" w:hAnsi="宋体" w:eastAsia="宋体" w:cs="宋体"/>
                <w:b/>
                <w:bCs/>
                <w:color w:val="000000"/>
                <w:kern w:val="20"/>
                <w:sz w:val="24"/>
                <w:szCs w:val="24"/>
              </w:rPr>
            </w:pPr>
            <w:r>
              <w:rPr>
                <w:rFonts w:hint="eastAsia" w:ascii="宋体" w:hAnsi="宋体" w:eastAsia="宋体" w:cs="宋体"/>
                <w:b/>
                <w:bCs/>
                <w:color w:val="000000"/>
                <w:kern w:val="20"/>
                <w:sz w:val="24"/>
                <w:szCs w:val="24"/>
              </w:rPr>
              <w:t>主要配置</w:t>
            </w:r>
          </w:p>
        </w:tc>
        <w:tc>
          <w:tcPr>
            <w:tcW w:w="296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B8A9265">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right="0"/>
              <w:jc w:val="center"/>
              <w:textAlignment w:val="auto"/>
              <w:rPr>
                <w:rFonts w:hint="eastAsia" w:ascii="宋体" w:hAnsi="宋体" w:eastAsia="宋体" w:cs="宋体"/>
                <w:b/>
                <w:bCs/>
                <w:color w:val="000000"/>
                <w:kern w:val="20"/>
                <w:sz w:val="24"/>
                <w:szCs w:val="24"/>
              </w:rPr>
            </w:pPr>
            <w:r>
              <w:rPr>
                <w:rFonts w:hint="eastAsia" w:ascii="宋体" w:hAnsi="宋体" w:eastAsia="宋体" w:cs="宋体"/>
                <w:b/>
                <w:bCs/>
                <w:color w:val="000000"/>
                <w:kern w:val="20"/>
                <w:sz w:val="24"/>
                <w:szCs w:val="24"/>
              </w:rPr>
              <w:t>包装规格</w:t>
            </w:r>
          </w:p>
        </w:tc>
      </w:tr>
      <w:tr w14:paraId="492B3E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13" w:hRule="atLeast"/>
        </w:trPr>
        <w:tc>
          <w:tcPr>
            <w:tcW w:w="253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F0930A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kern w:val="20"/>
                <w:sz w:val="24"/>
                <w:szCs w:val="24"/>
                <w:highlight w:val="none"/>
              </w:rPr>
            </w:pPr>
            <w:r>
              <w:rPr>
                <w:rFonts w:hint="eastAsia" w:ascii="宋体" w:hAnsi="宋体" w:eastAsia="宋体" w:cs="宋体"/>
                <w:color w:val="000000"/>
                <w:kern w:val="0"/>
                <w:sz w:val="24"/>
                <w:szCs w:val="24"/>
                <w:lang w:val="en-US" w:eastAsia="zh-CN" w:bidi="ar-SA"/>
              </w:rPr>
              <w:t>480克/升氰烯菌酯▪戊唑醇悬浮剂</w:t>
            </w:r>
          </w:p>
        </w:tc>
        <w:tc>
          <w:tcPr>
            <w:tcW w:w="43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D5F7291">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left="0" w:leftChars="0" w:right="0" w:rightChars="0"/>
              <w:jc w:val="both"/>
              <w:textAlignment w:val="auto"/>
              <w:rPr>
                <w:rFonts w:hint="eastAsia" w:ascii="宋体" w:hAnsi="宋体" w:eastAsia="宋体" w:cs="宋体"/>
                <w:kern w:val="0"/>
                <w:sz w:val="24"/>
                <w:szCs w:val="24"/>
                <w:lang w:eastAsia="zh-CN"/>
              </w:rPr>
            </w:pPr>
            <w:r>
              <w:rPr>
                <w:rFonts w:hint="eastAsia" w:ascii="宋体" w:hAnsi="宋体" w:eastAsia="宋体" w:cs="宋体"/>
                <w:color w:val="000000"/>
                <w:kern w:val="0"/>
                <w:sz w:val="24"/>
                <w:szCs w:val="24"/>
                <w:lang w:val="en-US" w:eastAsia="zh-CN" w:bidi="ar-SA"/>
              </w:rPr>
              <w:t>有效成份含量氰烯菌酯360克/升、戊唑醇120克/升，登记对象含小麦赤霉病。</w:t>
            </w:r>
          </w:p>
        </w:tc>
        <w:tc>
          <w:tcPr>
            <w:tcW w:w="296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EB3D0A7">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left="0" w:leftChars="0" w:right="0" w:rightChars="0"/>
              <w:jc w:val="center"/>
              <w:textAlignment w:val="auto"/>
              <w:rPr>
                <w:rFonts w:hint="eastAsia" w:ascii="宋体" w:hAnsi="宋体" w:eastAsia="宋体" w:cs="宋体"/>
                <w:kern w:val="0"/>
                <w:sz w:val="24"/>
                <w:szCs w:val="24"/>
              </w:rPr>
            </w:pPr>
            <w:r>
              <w:rPr>
                <w:rFonts w:hint="eastAsia" w:ascii="宋体" w:hAnsi="宋体" w:eastAsia="宋体" w:cs="宋体"/>
                <w:color w:val="000000"/>
                <w:kern w:val="0"/>
                <w:sz w:val="24"/>
                <w:szCs w:val="24"/>
                <w:lang w:val="en-US" w:eastAsia="zh-CN" w:bidi="ar-SA"/>
              </w:rPr>
              <w:t>50ml/瓶、1000ml/瓶，大小包装数量各占50%。</w:t>
            </w:r>
          </w:p>
        </w:tc>
      </w:tr>
    </w:tbl>
    <w:p w14:paraId="63E05FBA">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评标方法：最低评标价法【即符合采购需求、质量和服务相等（质量和服务相等是指供应商提供的产品和服务均能满足谈判文件规定的实质性要求）且报价最低的原则（即投标药剂数量最多）确定为成交供应商】。</w:t>
      </w:r>
    </w:p>
    <w:p w14:paraId="06EEE8BE">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r>
        <w:rPr>
          <w:rFonts w:hint="eastAsia" w:ascii="宋体" w:hAnsi="宋体" w:eastAsia="宋体" w:cs="Times New Roman"/>
          <w:b/>
          <w:bCs/>
          <w:color w:val="000000"/>
          <w:kern w:val="2"/>
          <w:sz w:val="28"/>
          <w:szCs w:val="28"/>
          <w:lang w:val="en-US" w:eastAsia="zh-CN" w:bidi="ar-SA"/>
        </w:rPr>
        <w:t>二、技术资料与服务</w:t>
      </w:r>
      <w:bookmarkEnd w:id="175"/>
      <w:bookmarkEnd w:id="176"/>
    </w:p>
    <w:p w14:paraId="5578C390">
      <w:pPr>
        <w:snapToGrid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1、成交后提供产品合格证，质量保证书等技术文件中文一份。</w:t>
      </w:r>
    </w:p>
    <w:p w14:paraId="63AD399A">
      <w:pPr>
        <w:snapToGrid w:val="0"/>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2、培训：成交供应商给采购人的至少1名技术人员提供1个工作日以上的培训（包括基本原理、操作使用及日常维护）。</w:t>
      </w:r>
    </w:p>
    <w:p w14:paraId="21DE2384">
      <w:pPr>
        <w:snapToGrid w:val="0"/>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3、质保：产品售出后，如在使用过程中遇到因产品质量问题造成农户生产损失，由供货商承担，因人为因素出现的损失不在售后质保范围内。</w:t>
      </w:r>
    </w:p>
    <w:p w14:paraId="107A6EBF">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bookmarkStart w:id="177" w:name="_Toc13353"/>
      <w:bookmarkStart w:id="178" w:name="_Toc17249"/>
      <w:r>
        <w:rPr>
          <w:rFonts w:hint="eastAsia" w:ascii="宋体" w:hAnsi="宋体" w:eastAsia="宋体" w:cs="Times New Roman"/>
          <w:b/>
          <w:bCs/>
          <w:color w:val="000000"/>
          <w:kern w:val="2"/>
          <w:sz w:val="28"/>
          <w:szCs w:val="28"/>
          <w:lang w:val="en-US" w:eastAsia="zh-CN" w:bidi="ar-SA"/>
        </w:rPr>
        <w:t>三、交货要求</w:t>
      </w:r>
      <w:bookmarkEnd w:id="177"/>
      <w:bookmarkEnd w:id="178"/>
    </w:p>
    <w:p w14:paraId="305454A7">
      <w:pPr>
        <w:snapToGrid w:val="0"/>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 xml:space="preserve">1、报价指供应到户价格，包括所投产品生产、包装、运输、上下力资、仓储、质量检验、宣传培训、保险、税费等为完成本项目发生的所有费用。供应商应承诺在合同约定供货期间内送货完毕，货物送达指定地点，做好售后服务、技术指导，同时对上述要求做出详细工作方案。   </w:t>
      </w:r>
    </w:p>
    <w:p w14:paraId="455A7E2D">
      <w:pPr>
        <w:snapToGrid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bookmarkStart w:id="179" w:name="_Toc4511"/>
      <w:r>
        <w:rPr>
          <w:rFonts w:hint="eastAsia" w:ascii="宋体" w:hAnsi="宋体" w:eastAsia="宋体" w:cs="宋体"/>
          <w:color w:val="000000"/>
          <w:kern w:val="0"/>
          <w:sz w:val="24"/>
          <w:szCs w:val="24"/>
          <w:highlight w:val="none"/>
          <w:lang w:val="en-US" w:eastAsia="zh-CN" w:bidi="ar-SA"/>
        </w:rPr>
        <w:t>2、农药产品质量应符合国家标准或相关企业标准，产品在江苏未出现农业生产事故。所供药品的生产日期必须为2026年1月1日之后，产品包装规格剂量、使用量根据采购人具体需求情况供货。所有产品包装必须符合现行《农药包装通则》、《农药产品标签通则》等规定。</w:t>
      </w:r>
    </w:p>
    <w:p w14:paraId="3EFBB591">
      <w:pPr>
        <w:snapToGrid w:val="0"/>
        <w:spacing w:line="360" w:lineRule="auto"/>
        <w:ind w:firstLine="482"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yellow"/>
          <w:lang w:val="en-US" w:eastAsia="zh-CN" w:bidi="ar-SA"/>
        </w:rPr>
        <w:t>3、承诺函：</w:t>
      </w:r>
      <w:r>
        <w:rPr>
          <w:rFonts w:hint="eastAsia" w:ascii="宋体" w:hAnsi="宋体" w:eastAsia="宋体" w:cs="宋体"/>
          <w:b/>
          <w:bCs/>
          <w:color w:val="0000FF"/>
          <w:kern w:val="0"/>
          <w:sz w:val="24"/>
          <w:szCs w:val="24"/>
          <w:highlight w:val="yellow"/>
          <w:lang w:val="en-US" w:eastAsia="zh-CN" w:bidi="ar-SA"/>
        </w:rPr>
        <w:t>（供应商须在响应文件中提供承诺函，否则视为无效投标）</w:t>
      </w:r>
    </w:p>
    <w:p w14:paraId="70789E48">
      <w:pPr>
        <w:snapToGrid w:val="0"/>
        <w:spacing w:line="360" w:lineRule="auto"/>
        <w:ind w:firstLine="480" w:firstLineChars="200"/>
        <w:rPr>
          <w:rFonts w:hint="eastAsia" w:ascii="宋体" w:hAnsi="宋体" w:eastAsia="宋体" w:cs="宋体"/>
          <w:color w:val="000000"/>
          <w:kern w:val="0"/>
          <w:sz w:val="24"/>
          <w:szCs w:val="24"/>
          <w:highlight w:val="none"/>
          <w:u w:val="single"/>
          <w:lang w:val="en-US" w:eastAsia="zh-CN" w:bidi="ar-SA"/>
        </w:rPr>
      </w:pPr>
      <w:r>
        <w:rPr>
          <w:rFonts w:hint="eastAsia" w:ascii="宋体" w:hAnsi="宋体" w:eastAsia="宋体" w:cs="宋体"/>
          <w:color w:val="000000"/>
          <w:kern w:val="0"/>
          <w:sz w:val="24"/>
          <w:szCs w:val="24"/>
          <w:highlight w:val="none"/>
          <w:lang w:val="en-US" w:eastAsia="zh-CN" w:bidi="ar-SA"/>
        </w:rPr>
        <w:t>因本项目属于政府采购开展实施的惠农补助应急实施事项，小麦赤霉病防控季节性很强，为保证项目的顺利实施。投标供应商须承诺：</w:t>
      </w:r>
      <w:r>
        <w:rPr>
          <w:rFonts w:hint="eastAsia" w:ascii="宋体" w:hAnsi="宋体" w:eastAsia="宋体" w:cs="宋体"/>
          <w:color w:val="000000"/>
          <w:kern w:val="0"/>
          <w:sz w:val="24"/>
          <w:szCs w:val="24"/>
          <w:highlight w:val="none"/>
          <w:u w:val="single"/>
          <w:lang w:val="en-US" w:eastAsia="zh-CN" w:bidi="ar-SA"/>
        </w:rPr>
        <w:t>我公司保证现货货源充足，成交后按照采购人的通知及时签订合同和供货，未按采购人通知要求执行的，我公司自动放弃该项目成交资格。</w:t>
      </w:r>
    </w:p>
    <w:p w14:paraId="79DF2038">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bookmarkStart w:id="180" w:name="_Toc23491"/>
      <w:r>
        <w:rPr>
          <w:rFonts w:hint="eastAsia" w:ascii="宋体" w:hAnsi="宋体" w:eastAsia="宋体" w:cs="Times New Roman"/>
          <w:b/>
          <w:bCs/>
          <w:color w:val="000000"/>
          <w:kern w:val="2"/>
          <w:sz w:val="28"/>
          <w:szCs w:val="28"/>
          <w:lang w:val="en-US" w:eastAsia="zh-CN" w:bidi="ar-SA"/>
        </w:rPr>
        <w:t>四、质量要求</w:t>
      </w:r>
      <w:bookmarkEnd w:id="179"/>
      <w:bookmarkEnd w:id="180"/>
    </w:p>
    <w:p w14:paraId="139D772D">
      <w:pPr>
        <w:snapToGrid w:val="0"/>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质保期：供应商须按国家或行业规定提供原厂商质保服务，所投货物的免费质保期为二年（若国家和/或生产厂家对本项目所涉及货物的质量保证期的规定高于本项目的要求，应按国家和/或生产厂家的规定执行）。在质保期内，投标方应对由设计、工艺或材料的缺陷而发生的任何不足负责。质保期内供应商所有服务不得收取任何费用。并符合谈判文件中技术要求、国家现行的相关规范标准及有关部门最新颁布的相应的最新标准。</w:t>
      </w:r>
    </w:p>
    <w:p w14:paraId="50C9E446">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bookmarkStart w:id="181" w:name="_Toc817"/>
      <w:bookmarkStart w:id="182" w:name="_Toc8122"/>
      <w:r>
        <w:rPr>
          <w:rFonts w:hint="eastAsia" w:ascii="宋体" w:hAnsi="宋体" w:eastAsia="宋体" w:cs="Times New Roman"/>
          <w:b/>
          <w:bCs/>
          <w:color w:val="000000"/>
          <w:kern w:val="2"/>
          <w:sz w:val="28"/>
          <w:szCs w:val="28"/>
          <w:lang w:val="en-US" w:eastAsia="zh-CN" w:bidi="ar-SA"/>
        </w:rPr>
        <w:t>五、合同履行期限及地点</w:t>
      </w:r>
      <w:bookmarkEnd w:id="181"/>
    </w:p>
    <w:p w14:paraId="5E1E88E8">
      <w:pPr>
        <w:numPr>
          <w:ilvl w:val="0"/>
          <w:numId w:val="0"/>
        </w:numPr>
        <w:snapToGrid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p>
    <w:p w14:paraId="3DB92836">
      <w:pPr>
        <w:snapToGrid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2、履约地点：射阳县植物保护站指定地点。</w:t>
      </w:r>
    </w:p>
    <w:p w14:paraId="0B2F4AA1">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bookmarkStart w:id="183" w:name="_Toc23460"/>
      <w:r>
        <w:rPr>
          <w:rFonts w:hint="eastAsia" w:ascii="宋体" w:hAnsi="宋体" w:eastAsia="宋体" w:cs="Times New Roman"/>
          <w:b/>
          <w:bCs/>
          <w:color w:val="000000"/>
          <w:kern w:val="2"/>
          <w:sz w:val="28"/>
          <w:szCs w:val="28"/>
          <w:lang w:val="en-US" w:eastAsia="zh-CN" w:bidi="ar-SA"/>
        </w:rPr>
        <w:t>六、付款方式</w:t>
      </w:r>
      <w:bookmarkEnd w:id="182"/>
      <w:bookmarkEnd w:id="183"/>
      <w:r>
        <w:rPr>
          <w:rFonts w:hint="eastAsia" w:ascii="宋体" w:hAnsi="宋体" w:eastAsia="宋体" w:cs="Times New Roman"/>
          <w:b/>
          <w:bCs/>
          <w:color w:val="000000"/>
          <w:kern w:val="2"/>
          <w:sz w:val="28"/>
          <w:szCs w:val="28"/>
          <w:lang w:val="en-US" w:eastAsia="zh-CN" w:bidi="ar-SA"/>
        </w:rPr>
        <w:tab/>
      </w:r>
    </w:p>
    <w:p w14:paraId="5D9AF278">
      <w:pPr>
        <w:snapToGrid w:val="0"/>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本项目落实预付款制度，合同签订时，经采购人与成交供应商根据实际情况协商一致，可支付合同总价的30%作为项目启动预付款；（在签订合同时，成交供应商明确书面表示无需预付款或者主动要求降低预付款比例的，采购人可就预付款比例作相应调整）。</w:t>
      </w:r>
    </w:p>
    <w:p w14:paraId="0CC1D9A7">
      <w:pPr>
        <w:snapToGrid w:val="0"/>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成交供应商按照合同规定将中标产品送至采购人指定地点，供货全面完成经项目验收合格，成交供应商提供全额发票，无服务问题，在财政拨款到位后10日内一次性全部结清。以上付款均不计任何利息和相关费用，付款一律通过银行结转。</w:t>
      </w:r>
    </w:p>
    <w:p w14:paraId="24CB2393">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bookmarkStart w:id="184" w:name="_Toc20401"/>
      <w:bookmarkStart w:id="185" w:name="_Toc10694"/>
      <w:r>
        <w:rPr>
          <w:rFonts w:hint="eastAsia" w:ascii="宋体" w:hAnsi="宋体" w:eastAsia="宋体" w:cs="Times New Roman"/>
          <w:b/>
          <w:bCs/>
          <w:color w:val="000000"/>
          <w:kern w:val="2"/>
          <w:sz w:val="28"/>
          <w:szCs w:val="28"/>
          <w:lang w:val="en-US" w:eastAsia="zh-CN" w:bidi="ar-SA"/>
        </w:rPr>
        <w:t>七、验收要求</w:t>
      </w:r>
      <w:bookmarkEnd w:id="184"/>
      <w:bookmarkEnd w:id="185"/>
    </w:p>
    <w:p w14:paraId="266FB080">
      <w:pPr>
        <w:keepNext w:val="0"/>
        <w:keepLines w:val="0"/>
        <w:pageBreakBefore w:val="0"/>
        <w:kinsoku/>
        <w:wordWrap/>
        <w:overflowPunct/>
        <w:topLinePunct w:val="0"/>
        <w:autoSpaceDE/>
        <w:autoSpaceDN/>
        <w:bidi w:val="0"/>
        <w:adjustRightInd/>
        <w:snapToGrid/>
        <w:spacing w:line="460" w:lineRule="exact"/>
        <w:ind w:right="33" w:firstLine="480"/>
        <w:jc w:val="left"/>
        <w:textAlignment w:val="auto"/>
        <w:rPr>
          <w:rFonts w:hint="eastAsia" w:ascii="宋体" w:hAnsi="宋体" w:eastAsia="宋体" w:cs="宋体"/>
          <w:sz w:val="24"/>
          <w:szCs w:val="24"/>
          <w:lang w:val="en-US" w:eastAsia="zh-CN"/>
        </w:rPr>
      </w:pPr>
      <w:bookmarkStart w:id="186" w:name="_Toc25294"/>
      <w:r>
        <w:rPr>
          <w:rFonts w:hint="eastAsia" w:ascii="宋体" w:hAnsi="宋体" w:cs="宋体"/>
          <w:sz w:val="24"/>
          <w:szCs w:val="24"/>
        </w:rPr>
        <w:t>采购人根据国家有关规定、</w:t>
      </w:r>
      <w:r>
        <w:rPr>
          <w:rFonts w:hint="eastAsia" w:ascii="宋体" w:hAnsi="宋体" w:cs="宋体"/>
          <w:sz w:val="24"/>
          <w:szCs w:val="24"/>
          <w:lang w:val="en-US" w:eastAsia="zh-CN"/>
        </w:rPr>
        <w:t>谈判</w:t>
      </w:r>
      <w:r>
        <w:rPr>
          <w:rFonts w:hint="eastAsia" w:ascii="宋体" w:hAnsi="宋体" w:cs="宋体"/>
          <w:sz w:val="24"/>
          <w:szCs w:val="24"/>
        </w:rPr>
        <w:t>文件、</w:t>
      </w:r>
      <w:r>
        <w:rPr>
          <w:rFonts w:hint="eastAsia" w:ascii="宋体" w:hAnsi="宋体" w:cs="宋体"/>
          <w:sz w:val="24"/>
          <w:szCs w:val="24"/>
          <w:lang w:val="en-US" w:eastAsia="zh-CN"/>
        </w:rPr>
        <w:t>成交供应商</w:t>
      </w:r>
      <w:r>
        <w:rPr>
          <w:rFonts w:hint="eastAsia" w:ascii="宋体" w:hAnsi="宋体" w:cs="宋体"/>
          <w:sz w:val="24"/>
          <w:szCs w:val="24"/>
        </w:rPr>
        <w:t>的</w:t>
      </w:r>
      <w:r>
        <w:rPr>
          <w:rFonts w:hint="eastAsia" w:ascii="宋体" w:hAnsi="宋体" w:cs="宋体"/>
          <w:sz w:val="24"/>
          <w:szCs w:val="24"/>
          <w:lang w:val="en-US" w:eastAsia="zh-CN"/>
        </w:rPr>
        <w:t>响应文件</w:t>
      </w:r>
      <w:r>
        <w:rPr>
          <w:rFonts w:hint="eastAsia" w:ascii="宋体" w:hAnsi="宋体" w:cs="宋体"/>
          <w:sz w:val="24"/>
          <w:szCs w:val="24"/>
        </w:rPr>
        <w:t>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szCs w:val="24"/>
          <w:lang w:val="en-US" w:eastAsia="zh-CN"/>
        </w:rPr>
        <w:t>。</w:t>
      </w:r>
    </w:p>
    <w:p w14:paraId="2C5673A9">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bookmarkStart w:id="187" w:name="_Toc11750"/>
      <w:r>
        <w:rPr>
          <w:rFonts w:hint="eastAsia" w:ascii="宋体" w:hAnsi="宋体" w:eastAsia="宋体" w:cs="Times New Roman"/>
          <w:b/>
          <w:bCs/>
          <w:color w:val="000000"/>
          <w:kern w:val="2"/>
          <w:sz w:val="28"/>
          <w:szCs w:val="28"/>
          <w:lang w:val="en-US" w:eastAsia="zh-CN" w:bidi="ar-SA"/>
        </w:rPr>
        <w:t>八、安全管理要求</w:t>
      </w:r>
      <w:bookmarkEnd w:id="186"/>
      <w:bookmarkEnd w:id="187"/>
    </w:p>
    <w:p w14:paraId="7949489C">
      <w:pPr>
        <w:keepNext w:val="0"/>
        <w:keepLines w:val="0"/>
        <w:pageBreakBefore w:val="0"/>
        <w:kinsoku/>
        <w:wordWrap/>
        <w:overflowPunct/>
        <w:topLinePunct w:val="0"/>
        <w:autoSpaceDE/>
        <w:autoSpaceDN/>
        <w:bidi w:val="0"/>
        <w:adjustRightInd/>
        <w:snapToGrid/>
        <w:spacing w:line="460" w:lineRule="exact"/>
        <w:ind w:right="33" w:firstLine="480"/>
        <w:jc w:val="left"/>
        <w:textAlignment w:val="auto"/>
        <w:rPr>
          <w:rFonts w:hint="eastAsia" w:ascii="宋体" w:hAnsi="宋体" w:cs="宋体"/>
          <w:sz w:val="24"/>
          <w:szCs w:val="24"/>
        </w:rPr>
      </w:pPr>
      <w:r>
        <w:rPr>
          <w:rFonts w:hint="eastAsia" w:ascii="宋体" w:hAnsi="宋体" w:cs="宋体"/>
          <w:sz w:val="24"/>
          <w:szCs w:val="24"/>
        </w:rPr>
        <w:t>为贯彻“安全第一，预防为主”方针，</w:t>
      </w:r>
      <w:r>
        <w:rPr>
          <w:rFonts w:hint="eastAsia" w:ascii="宋体" w:hAnsi="宋体" w:cs="宋体"/>
          <w:sz w:val="24"/>
          <w:szCs w:val="24"/>
          <w:lang w:val="en-US" w:eastAsia="zh-CN"/>
        </w:rPr>
        <w:t>成交供应商</w:t>
      </w:r>
      <w:r>
        <w:rPr>
          <w:rFonts w:hint="eastAsia" w:ascii="宋体" w:hAnsi="宋体" w:cs="宋体"/>
          <w:sz w:val="24"/>
          <w:szCs w:val="24"/>
        </w:rPr>
        <w:t>在投标产品运输过程中，必须遵守国家和地方关于劳动安全、劳务用工等法律法规及规章制度，制定严格的安全措施，加强安全监督管理，对运输过程中发生的人身伤害、</w:t>
      </w:r>
      <w:r>
        <w:rPr>
          <w:rFonts w:hint="eastAsia" w:ascii="宋体" w:hAnsi="宋体" w:cs="宋体"/>
          <w:sz w:val="24"/>
          <w:szCs w:val="24"/>
          <w:lang w:val="en-US" w:eastAsia="zh-CN"/>
        </w:rPr>
        <w:t>货物及设备</w:t>
      </w:r>
      <w:r>
        <w:rPr>
          <w:rFonts w:hint="eastAsia" w:ascii="宋体" w:hAnsi="宋体" w:cs="宋体"/>
          <w:sz w:val="24"/>
          <w:szCs w:val="24"/>
        </w:rPr>
        <w:t>损坏事故承担安全责任，并按国家有关规定，为服务人员进行人身保险，配备合格的劳动防护用品、安全用具。若发生安全问题，由</w:t>
      </w:r>
      <w:r>
        <w:rPr>
          <w:rFonts w:hint="eastAsia" w:ascii="宋体" w:hAnsi="宋体" w:cs="宋体"/>
          <w:sz w:val="24"/>
          <w:szCs w:val="24"/>
          <w:lang w:val="en-US" w:eastAsia="zh-CN"/>
        </w:rPr>
        <w:t>成交供应商</w:t>
      </w:r>
      <w:r>
        <w:rPr>
          <w:rFonts w:hint="eastAsia" w:ascii="宋体" w:hAnsi="宋体" w:cs="宋体"/>
          <w:sz w:val="24"/>
          <w:szCs w:val="24"/>
        </w:rPr>
        <w:t>自行负责处理并承担一切经济和法律责任，其与</w:t>
      </w:r>
      <w:r>
        <w:rPr>
          <w:rFonts w:hint="eastAsia" w:ascii="宋体" w:hAnsi="宋体" w:cs="宋体"/>
          <w:sz w:val="24"/>
          <w:szCs w:val="24"/>
          <w:lang w:val="en-US" w:eastAsia="zh-CN"/>
        </w:rPr>
        <w:t>采购人</w:t>
      </w:r>
      <w:r>
        <w:rPr>
          <w:rFonts w:hint="eastAsia" w:ascii="宋体" w:hAnsi="宋体" w:cs="宋体"/>
          <w:sz w:val="24"/>
          <w:szCs w:val="24"/>
        </w:rPr>
        <w:t>一切无关，同时按合同要求保证进度，按时交货使用。</w:t>
      </w:r>
    </w:p>
    <w:p w14:paraId="29435C87">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bookmarkStart w:id="188" w:name="_Toc14113"/>
      <w:r>
        <w:rPr>
          <w:rFonts w:hint="eastAsia" w:ascii="宋体" w:hAnsi="宋体" w:eastAsia="宋体" w:cs="Times New Roman"/>
          <w:b/>
          <w:bCs/>
          <w:color w:val="000000"/>
          <w:kern w:val="2"/>
          <w:sz w:val="28"/>
          <w:szCs w:val="28"/>
          <w:lang w:val="en-US" w:eastAsia="zh-CN" w:bidi="ar-SA"/>
        </w:rPr>
        <w:t>九、特别说明</w:t>
      </w:r>
      <w:bookmarkEnd w:id="188"/>
    </w:p>
    <w:p w14:paraId="2344107C">
      <w:pPr>
        <w:keepNext w:val="0"/>
        <w:keepLines w:val="0"/>
        <w:pageBreakBefore w:val="0"/>
        <w:widowControl w:val="0"/>
        <w:kinsoku/>
        <w:wordWrap/>
        <w:overflowPunct/>
        <w:topLinePunct w:val="0"/>
        <w:autoSpaceDE/>
        <w:autoSpaceDN/>
        <w:bidi w:val="0"/>
        <w:adjustRightInd/>
        <w:snapToGrid/>
        <w:spacing w:line="460" w:lineRule="exact"/>
        <w:ind w:right="34" w:firstLine="480"/>
        <w:jc w:val="left"/>
        <w:textAlignment w:val="auto"/>
        <w:rPr>
          <w:rFonts w:hint="eastAsia" w:ascii="宋体" w:hAnsi="宋体" w:cs="宋体"/>
          <w:sz w:val="24"/>
          <w:szCs w:val="24"/>
        </w:rPr>
      </w:pPr>
      <w:r>
        <w:rPr>
          <w:rFonts w:hint="eastAsia" w:ascii="宋体" w:hAnsi="宋体" w:cs="宋体"/>
          <w:sz w:val="24"/>
          <w:szCs w:val="24"/>
        </w:rPr>
        <w:t>1、所报配置为主要配置，其他按标准配置配备；不得在原厂标准配置的基础上减少或降低技术配置。</w:t>
      </w:r>
    </w:p>
    <w:p w14:paraId="581A68EF">
      <w:pPr>
        <w:keepNext w:val="0"/>
        <w:keepLines w:val="0"/>
        <w:pageBreakBefore w:val="0"/>
        <w:widowControl w:val="0"/>
        <w:kinsoku/>
        <w:wordWrap/>
        <w:overflowPunct/>
        <w:topLinePunct w:val="0"/>
        <w:autoSpaceDE/>
        <w:autoSpaceDN/>
        <w:bidi w:val="0"/>
        <w:adjustRightInd/>
        <w:snapToGrid/>
        <w:spacing w:line="460" w:lineRule="exact"/>
        <w:ind w:right="34" w:rightChars="0" w:firstLine="480" w:firstLineChars="0"/>
        <w:jc w:val="left"/>
        <w:textAlignment w:val="auto"/>
        <w:outlineLvl w:val="9"/>
        <w:rPr>
          <w:rFonts w:hint="eastAsia" w:ascii="宋体" w:hAnsi="宋体" w:cs="宋体"/>
          <w:sz w:val="24"/>
          <w:szCs w:val="24"/>
        </w:rPr>
      </w:pPr>
      <w:r>
        <w:rPr>
          <w:rFonts w:hint="eastAsia" w:ascii="宋体" w:hAnsi="宋体" w:cs="宋体"/>
          <w:sz w:val="24"/>
          <w:szCs w:val="24"/>
        </w:rPr>
        <w:t>2、报价含交付使用前一切费用；本次</w:t>
      </w:r>
      <w:r>
        <w:rPr>
          <w:rFonts w:hint="eastAsia" w:ascii="宋体" w:hAnsi="宋体" w:cs="宋体"/>
          <w:sz w:val="24"/>
          <w:szCs w:val="24"/>
          <w:lang w:val="en-US" w:eastAsia="zh-CN"/>
        </w:rPr>
        <w:t>采购</w:t>
      </w:r>
      <w:r>
        <w:rPr>
          <w:rFonts w:hint="eastAsia" w:ascii="宋体" w:hAnsi="宋体" w:cs="宋体"/>
          <w:sz w:val="24"/>
          <w:szCs w:val="24"/>
        </w:rPr>
        <w:t>不接受选择性报价。</w:t>
      </w:r>
    </w:p>
    <w:p w14:paraId="78EEA79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b w:val="0"/>
          <w:bCs w:val="0"/>
          <w:sz w:val="24"/>
          <w:szCs w:val="24"/>
          <w:highlight w:val="none"/>
          <w:lang w:val="en-US" w:eastAsia="zh-CN"/>
        </w:rPr>
      </w:pPr>
      <w:r>
        <w:rPr>
          <w:rFonts w:hint="eastAsia" w:ascii="宋体" w:hAnsi="宋体" w:cs="宋体"/>
          <w:sz w:val="24"/>
          <w:szCs w:val="24"/>
          <w:lang w:val="en-US" w:eastAsia="zh-CN"/>
        </w:rPr>
        <w:t>3</w:t>
      </w:r>
      <w:r>
        <w:rPr>
          <w:rFonts w:hint="eastAsia" w:ascii="宋体" w:hAnsi="宋体" w:cs="宋体"/>
          <w:sz w:val="24"/>
          <w:szCs w:val="24"/>
        </w:rPr>
        <w:t>、对本项目</w:t>
      </w:r>
      <w:r>
        <w:rPr>
          <w:rFonts w:hint="eastAsia" w:ascii="宋体" w:hAnsi="宋体" w:cs="宋体"/>
          <w:sz w:val="24"/>
          <w:szCs w:val="24"/>
          <w:lang w:val="en-US" w:eastAsia="zh-CN"/>
        </w:rPr>
        <w:t>供应商</w:t>
      </w:r>
      <w:r>
        <w:rPr>
          <w:rFonts w:hint="eastAsia" w:ascii="宋体" w:hAnsi="宋体" w:cs="宋体"/>
          <w:sz w:val="24"/>
          <w:szCs w:val="24"/>
        </w:rPr>
        <w:t>资格要求、项目需求、评标标准等的质疑由采购</w:t>
      </w:r>
      <w:r>
        <w:rPr>
          <w:rFonts w:hint="eastAsia" w:ascii="宋体" w:hAnsi="宋体" w:cs="宋体"/>
          <w:sz w:val="24"/>
          <w:szCs w:val="24"/>
          <w:lang w:eastAsia="zh-CN"/>
        </w:rPr>
        <w:t>人</w:t>
      </w:r>
      <w:r>
        <w:rPr>
          <w:rFonts w:hint="eastAsia" w:ascii="宋体" w:hAnsi="宋体" w:cs="宋体"/>
          <w:sz w:val="24"/>
          <w:szCs w:val="24"/>
        </w:rPr>
        <w:t>负责答复；</w:t>
      </w:r>
      <w:r>
        <w:rPr>
          <w:rFonts w:hint="eastAsia" w:ascii="宋体" w:hAnsi="宋体" w:cs="宋体"/>
          <w:sz w:val="24"/>
          <w:szCs w:val="24"/>
          <w:lang w:val="en-US" w:eastAsia="zh-CN"/>
        </w:rPr>
        <w:t>采购人</w:t>
      </w:r>
      <w:r>
        <w:rPr>
          <w:rFonts w:hint="eastAsia" w:ascii="宋体" w:hAnsi="宋体" w:cs="宋体"/>
          <w:sz w:val="24"/>
          <w:szCs w:val="24"/>
        </w:rPr>
        <w:t>具有项目的解释权，质疑函和答复须同时报采购代理机构备案管理。</w:t>
      </w:r>
    </w:p>
    <w:p w14:paraId="67960044">
      <w:pPr>
        <w:spacing w:line="360" w:lineRule="auto"/>
        <w:ind w:firstLine="480" w:firstLineChars="200"/>
        <w:jc w:val="left"/>
        <w:outlineLvl w:val="9"/>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4、根据《农药生产许可管理办法》第十八条 农药生产企业应当按照产品质量标准和生产许可证的规定组织生产，确保农药产品与登记农药一致，对农药产品质量负责。农药生产企业在其农药生产许可范围内，依据《农药管理条例》第十九条的规定，可以接受新农药研制者和其他农药生产企业的委托，加工或者分装农药；也可以接受向中国出口农药的企业委托，分装农药。</w:t>
      </w:r>
    </w:p>
    <w:p w14:paraId="422AD664">
      <w:pPr>
        <w:pStyle w:val="31"/>
        <w:spacing w:line="360" w:lineRule="auto"/>
        <w:ind w:firstLine="562" w:firstLineChars="200"/>
        <w:outlineLvl w:val="0"/>
        <w:rPr>
          <w:rFonts w:hint="eastAsia" w:ascii="宋体" w:hAnsi="宋体" w:eastAsia="宋体" w:cs="Times New Roman"/>
          <w:b/>
          <w:bCs/>
          <w:color w:val="000000"/>
          <w:kern w:val="2"/>
          <w:sz w:val="28"/>
          <w:szCs w:val="28"/>
          <w:lang w:val="en-US" w:eastAsia="zh-CN" w:bidi="ar-SA"/>
        </w:rPr>
      </w:pPr>
      <w:bookmarkStart w:id="189" w:name="_Toc30476"/>
      <w:r>
        <w:rPr>
          <w:rFonts w:hint="eastAsia" w:ascii="宋体" w:hAnsi="宋体" w:eastAsia="宋体" w:cs="Times New Roman"/>
          <w:b/>
          <w:bCs/>
          <w:color w:val="000000"/>
          <w:kern w:val="2"/>
          <w:sz w:val="28"/>
          <w:szCs w:val="28"/>
          <w:lang w:val="en-US" w:eastAsia="zh-CN" w:bidi="ar-SA"/>
        </w:rPr>
        <w:t>十、采购标的对应的小微企业划分标准所属行业一览表</w:t>
      </w:r>
      <w:bookmarkEnd w:id="189"/>
    </w:p>
    <w:tbl>
      <w:tblPr>
        <w:tblStyle w:val="20"/>
        <w:tblW w:w="8914" w:type="dxa"/>
        <w:jc w:val="center"/>
        <w:tblCellSpacing w:w="0" w:type="dxa"/>
        <w:tblLayout w:type="fixed"/>
        <w:tblCellMar>
          <w:top w:w="0" w:type="dxa"/>
          <w:left w:w="108" w:type="dxa"/>
          <w:bottom w:w="0" w:type="dxa"/>
          <w:right w:w="108" w:type="dxa"/>
        </w:tblCellMar>
      </w:tblPr>
      <w:tblGrid>
        <w:gridCol w:w="945"/>
        <w:gridCol w:w="3880"/>
        <w:gridCol w:w="4089"/>
      </w:tblGrid>
      <w:tr w14:paraId="3276B53F">
        <w:tblPrEx>
          <w:tblCellMar>
            <w:top w:w="0" w:type="dxa"/>
            <w:left w:w="108" w:type="dxa"/>
            <w:bottom w:w="0" w:type="dxa"/>
            <w:right w:w="108" w:type="dxa"/>
          </w:tblCellMar>
        </w:tblPrEx>
        <w:trPr>
          <w:tblCellSpacing w:w="0" w:type="dxa"/>
          <w:jc w:val="center"/>
        </w:trPr>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B45E">
            <w:pPr>
              <w:pStyle w:val="32"/>
              <w:spacing w:line="360" w:lineRule="auto"/>
              <w:ind w:firstLine="0"/>
              <w:jc w:val="center"/>
              <w:rPr>
                <w:rFonts w:ascii="宋体" w:hAnsi="宋体" w:eastAsia="宋体"/>
                <w:sz w:val="24"/>
              </w:rPr>
            </w:pPr>
            <w:r>
              <w:rPr>
                <w:rFonts w:hint="eastAsia" w:ascii="宋体" w:hAnsi="宋体" w:eastAsia="宋体"/>
                <w:sz w:val="24"/>
              </w:rPr>
              <w:t>序号</w:t>
            </w:r>
          </w:p>
        </w:tc>
        <w:tc>
          <w:tcPr>
            <w:tcW w:w="3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F2C8C">
            <w:pPr>
              <w:pStyle w:val="32"/>
              <w:spacing w:line="360" w:lineRule="auto"/>
              <w:ind w:firstLine="473"/>
              <w:jc w:val="center"/>
              <w:rPr>
                <w:rFonts w:ascii="宋体" w:hAnsi="宋体" w:eastAsia="宋体"/>
                <w:sz w:val="24"/>
              </w:rPr>
            </w:pPr>
            <w:r>
              <w:rPr>
                <w:rFonts w:hint="eastAsia" w:ascii="宋体" w:hAnsi="宋体" w:eastAsia="宋体"/>
                <w:sz w:val="24"/>
              </w:rPr>
              <w:t>采购标的</w:t>
            </w:r>
          </w:p>
        </w:tc>
        <w:tc>
          <w:tcPr>
            <w:tcW w:w="4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923E">
            <w:pPr>
              <w:pStyle w:val="32"/>
              <w:spacing w:line="360" w:lineRule="auto"/>
              <w:ind w:firstLine="0"/>
              <w:jc w:val="center"/>
              <w:rPr>
                <w:rFonts w:ascii="宋体" w:hAnsi="宋体" w:eastAsia="宋体"/>
                <w:sz w:val="24"/>
              </w:rPr>
            </w:pPr>
            <w:r>
              <w:rPr>
                <w:rFonts w:hint="eastAsia" w:ascii="宋体" w:hAnsi="宋体" w:eastAsia="宋体"/>
                <w:sz w:val="24"/>
              </w:rPr>
              <w:t>对应</w:t>
            </w:r>
            <w:r>
              <w:rPr>
                <w:rFonts w:hint="eastAsia" w:ascii="宋体" w:hAnsi="宋体" w:eastAsia="宋体"/>
                <w:sz w:val="24"/>
                <w:lang w:val="en-US" w:eastAsia="zh-CN"/>
              </w:rPr>
              <w:t>小微</w:t>
            </w:r>
            <w:r>
              <w:rPr>
                <w:rFonts w:hint="eastAsia" w:ascii="宋体" w:hAnsi="宋体" w:eastAsia="宋体"/>
                <w:sz w:val="24"/>
              </w:rPr>
              <w:t>企业划分标准所属行业</w:t>
            </w:r>
          </w:p>
        </w:tc>
      </w:tr>
      <w:tr w14:paraId="4FCD6A06">
        <w:tblPrEx>
          <w:tblCellMar>
            <w:top w:w="0" w:type="dxa"/>
            <w:left w:w="108" w:type="dxa"/>
            <w:bottom w:w="0" w:type="dxa"/>
            <w:right w:w="108" w:type="dxa"/>
          </w:tblCellMar>
        </w:tblPrEx>
        <w:trPr>
          <w:trHeight w:val="291" w:hRule="atLeast"/>
          <w:tblCellSpacing w:w="0" w:type="dxa"/>
          <w:jc w:val="center"/>
        </w:trPr>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8F6E">
            <w:pPr>
              <w:pStyle w:val="32"/>
              <w:spacing w:line="360" w:lineRule="auto"/>
              <w:ind w:left="0" w:leftChars="0" w:firstLine="0" w:firstLineChars="0"/>
              <w:jc w:val="center"/>
              <w:rPr>
                <w:rFonts w:ascii="宋体" w:hAnsi="宋体" w:eastAsia="宋体"/>
                <w:sz w:val="24"/>
              </w:rPr>
            </w:pPr>
            <w:r>
              <w:rPr>
                <w:rFonts w:hint="eastAsia" w:ascii="宋体" w:hAnsi="宋体" w:eastAsia="宋体"/>
                <w:sz w:val="24"/>
              </w:rPr>
              <w:t>1</w:t>
            </w:r>
          </w:p>
        </w:tc>
        <w:tc>
          <w:tcPr>
            <w:tcW w:w="3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FC09">
            <w:pPr>
              <w:spacing w:line="400" w:lineRule="exact"/>
              <w:jc w:val="center"/>
              <w:rPr>
                <w:rFonts w:hint="eastAsia" w:ascii="宋体" w:hAnsi="宋体" w:eastAsia="宋体"/>
                <w:sz w:val="24"/>
                <w:lang w:val="en-US" w:eastAsia="zh-CN"/>
              </w:rPr>
            </w:pPr>
            <w:r>
              <w:rPr>
                <w:rFonts w:hint="eastAsia" w:ascii="宋体" w:hAnsi="宋体" w:eastAsia="宋体" w:cs="宋体"/>
                <w:color w:val="000000"/>
                <w:kern w:val="0"/>
                <w:sz w:val="24"/>
                <w:szCs w:val="24"/>
                <w:lang w:val="en-US" w:eastAsia="zh-CN" w:bidi="ar-SA"/>
              </w:rPr>
              <w:t>480克/升氰烯菌酯▪戊唑醇悬浮剂</w:t>
            </w:r>
          </w:p>
        </w:tc>
        <w:tc>
          <w:tcPr>
            <w:tcW w:w="4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BC1A6">
            <w:pPr>
              <w:pStyle w:val="32"/>
              <w:spacing w:line="360" w:lineRule="auto"/>
              <w:ind w:left="0" w:leftChars="0" w:firstLine="0" w:firstLineChars="0"/>
              <w:jc w:val="center"/>
              <w:rPr>
                <w:rFonts w:hint="eastAsia" w:ascii="宋体" w:hAnsi="宋体" w:eastAsia="宋体"/>
                <w:sz w:val="24"/>
                <w:lang w:eastAsia="zh-CN"/>
              </w:rPr>
            </w:pPr>
            <w:r>
              <w:rPr>
                <w:rFonts w:hint="eastAsia" w:ascii="宋体" w:hAnsi="宋体" w:eastAsia="宋体"/>
                <w:sz w:val="24"/>
                <w:lang w:val="en-US" w:eastAsia="zh-CN"/>
              </w:rPr>
              <w:t>工业</w:t>
            </w:r>
          </w:p>
        </w:tc>
      </w:tr>
    </w:tbl>
    <w:p w14:paraId="1A1AA4CD">
      <w:pPr>
        <w:pStyle w:val="18"/>
        <w:spacing w:before="120" w:beforeAutospacing="0" w:after="120" w:afterAutospacing="0" w:line="360" w:lineRule="auto"/>
        <w:ind w:firstLine="441"/>
        <w:rPr>
          <w:rFonts w:hint="eastAsia" w:ascii="宋体" w:hAnsi="宋体" w:eastAsia="宋体" w:cs="宋体"/>
          <w:b/>
          <w:color w:val="auto"/>
          <w:sz w:val="24"/>
          <w:szCs w:val="24"/>
          <w:highlight w:val="none"/>
          <w:shd w:val="clear" w:color="auto" w:fill="auto"/>
        </w:rPr>
      </w:pPr>
    </w:p>
    <w:p w14:paraId="4FD70DF0">
      <w:pPr>
        <w:pStyle w:val="18"/>
        <w:spacing w:before="120" w:beforeAutospacing="0" w:after="120" w:afterAutospacing="0" w:line="360" w:lineRule="auto"/>
        <w:ind w:firstLine="441"/>
        <w:rPr>
          <w:rFonts w:hint="eastAsia" w:ascii="宋体" w:hAnsi="宋体" w:eastAsia="宋体" w:cs="宋体"/>
          <w:b/>
          <w:color w:val="auto"/>
          <w:sz w:val="24"/>
          <w:szCs w:val="24"/>
          <w:highlight w:val="none"/>
          <w:shd w:val="clear" w:color="auto" w:fill="auto"/>
        </w:rPr>
      </w:pPr>
    </w:p>
    <w:p w14:paraId="0169F4F5">
      <w:pPr>
        <w:pStyle w:val="18"/>
        <w:spacing w:before="120" w:beforeAutospacing="0" w:after="120" w:afterAutospacing="0" w:line="360" w:lineRule="auto"/>
        <w:ind w:firstLine="441"/>
        <w:rPr>
          <w:rFonts w:hint="eastAsia" w:ascii="宋体" w:hAnsi="宋体" w:eastAsia="宋体" w:cs="宋体"/>
          <w:b/>
          <w:color w:val="auto"/>
          <w:sz w:val="24"/>
          <w:szCs w:val="24"/>
          <w:highlight w:val="none"/>
          <w:shd w:val="clear" w:color="auto" w:fill="auto"/>
        </w:rPr>
      </w:pPr>
    </w:p>
    <w:p w14:paraId="54324A7B">
      <w:pPr>
        <w:pStyle w:val="18"/>
        <w:spacing w:before="120" w:beforeAutospacing="0" w:after="120" w:afterAutospacing="0" w:line="360" w:lineRule="auto"/>
        <w:ind w:firstLine="441"/>
        <w:rPr>
          <w:rFonts w:hint="eastAsia" w:ascii="宋体" w:hAnsi="宋体" w:eastAsia="宋体" w:cs="宋体"/>
          <w:b/>
          <w:color w:val="auto"/>
          <w:sz w:val="24"/>
          <w:szCs w:val="24"/>
          <w:highlight w:val="none"/>
          <w:shd w:val="clear" w:color="auto" w:fill="auto"/>
        </w:rPr>
      </w:pPr>
    </w:p>
    <w:p w14:paraId="4C2CE9AC">
      <w:pPr>
        <w:pStyle w:val="18"/>
        <w:spacing w:before="120" w:beforeAutospacing="0" w:after="120" w:afterAutospacing="0" w:line="360" w:lineRule="auto"/>
        <w:ind w:firstLine="441"/>
        <w:rPr>
          <w:rFonts w:hint="eastAsia" w:ascii="宋体" w:hAnsi="宋体" w:eastAsia="宋体" w:cs="宋体"/>
          <w:b/>
          <w:color w:val="auto"/>
          <w:sz w:val="24"/>
          <w:szCs w:val="24"/>
          <w:highlight w:val="none"/>
          <w:shd w:val="clear" w:color="auto" w:fill="auto"/>
        </w:rPr>
      </w:pPr>
    </w:p>
    <w:p w14:paraId="4040266B">
      <w:pPr>
        <w:pStyle w:val="18"/>
        <w:spacing w:before="120" w:beforeAutospacing="0" w:after="120" w:afterAutospacing="0" w:line="360" w:lineRule="auto"/>
        <w:ind w:firstLine="441"/>
        <w:rPr>
          <w:rFonts w:hint="eastAsia" w:ascii="宋体" w:hAnsi="宋体" w:eastAsia="宋体" w:cs="宋体"/>
          <w:b/>
          <w:color w:val="auto"/>
          <w:sz w:val="24"/>
          <w:szCs w:val="24"/>
          <w:highlight w:val="none"/>
          <w:shd w:val="clear" w:color="auto" w:fill="auto"/>
        </w:rPr>
      </w:pPr>
    </w:p>
    <w:p w14:paraId="6432161E">
      <w:pPr>
        <w:pStyle w:val="18"/>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w:t xml:space="preserve">第五章  </w:t>
      </w:r>
      <w:r>
        <w:rPr>
          <w:rFonts w:hint="eastAsia" w:ascii="黑体" w:hAnsi="宋体" w:eastAsia="黑体" w:cs="黑体"/>
          <w:color w:val="000000"/>
          <w:sz w:val="44"/>
          <w:szCs w:val="44"/>
          <w:highlight w:val="none"/>
        </w:rPr>
        <w:t>评标方法和评标标准</w:t>
      </w:r>
    </w:p>
    <w:p w14:paraId="1979BE6F">
      <w:pPr>
        <w:spacing w:line="480" w:lineRule="exact"/>
        <w:ind w:firstLine="482"/>
        <w:jc w:val="left"/>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lang w:val="en-US" w:eastAsia="zh-CN"/>
          <w14:textFill>
            <w14:solidFill>
              <w14:schemeClr w14:val="tx1"/>
            </w14:solidFill>
          </w14:textFill>
        </w:rPr>
        <w:t>一、评标方法和评标标准</w:t>
      </w:r>
    </w:p>
    <w:p w14:paraId="3FFA9AF9">
      <w:pPr>
        <w:pStyle w:val="18"/>
        <w:spacing w:before="120" w:beforeAutospacing="0" w:after="120" w:afterAutospacing="0" w:line="360" w:lineRule="auto"/>
        <w:ind w:firstLine="44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低评标价法【即符合采购需求、质量和服务相等（质量和服务相等是指供应商提供的产品和服务均能满足谈判文件规定的实质性要求）且报价最低的原则（即投标药剂数量最多）确定为成交供应商】。采用最低评标价法的，评标结果按投标报价由低到高顺序排列。投标报价相同的并列，</w:t>
      </w:r>
      <w:r>
        <w:rPr>
          <w:rFonts w:hint="eastAsia" w:ascii="宋体" w:hAnsi="宋体" w:cs="宋体"/>
          <w:color w:val="000000" w:themeColor="text1"/>
          <w:sz w:val="24"/>
          <w:lang w:val="en-US" w:eastAsia="zh-CN"/>
          <w14:textFill>
            <w14:solidFill>
              <w14:schemeClr w14:val="tx1"/>
            </w14:solidFill>
          </w14:textFill>
        </w:rPr>
        <w:t>响应</w:t>
      </w:r>
      <w:r>
        <w:rPr>
          <w:rFonts w:hint="eastAsia" w:ascii="宋体" w:hAnsi="宋体" w:cs="宋体"/>
          <w:color w:val="000000" w:themeColor="text1"/>
          <w:sz w:val="24"/>
          <w14:textFill>
            <w14:solidFill>
              <w14:schemeClr w14:val="tx1"/>
            </w14:solidFill>
          </w14:textFill>
        </w:rPr>
        <w:t>文件满足</w:t>
      </w:r>
      <w:r>
        <w:rPr>
          <w:rFonts w:hint="eastAsia" w:ascii="宋体" w:hAnsi="宋体" w:cs="宋体"/>
          <w:color w:val="000000" w:themeColor="text1"/>
          <w:sz w:val="24"/>
          <w:lang w:val="en-US" w:eastAsia="zh-CN"/>
          <w14:textFill>
            <w14:solidFill>
              <w14:schemeClr w14:val="tx1"/>
            </w14:solidFill>
          </w14:textFill>
        </w:rPr>
        <w:t>谈判</w:t>
      </w:r>
      <w:r>
        <w:rPr>
          <w:rFonts w:hint="eastAsia" w:ascii="宋体" w:hAnsi="宋体" w:cs="宋体"/>
          <w:color w:val="000000" w:themeColor="text1"/>
          <w:sz w:val="24"/>
          <w14:textFill>
            <w14:solidFill>
              <w14:schemeClr w14:val="tx1"/>
            </w14:solidFill>
          </w14:textFill>
        </w:rPr>
        <w:t>文件全部实质性要求且</w:t>
      </w:r>
      <w:r>
        <w:rPr>
          <w:rFonts w:hint="eastAsia" w:ascii="宋体" w:hAnsi="宋体" w:cs="宋体"/>
          <w:color w:val="000000" w:themeColor="text1"/>
          <w:sz w:val="24"/>
          <w:lang w:val="en-US" w:eastAsia="zh-CN"/>
          <w14:textFill>
            <w14:solidFill>
              <w14:schemeClr w14:val="tx1"/>
            </w14:solidFill>
          </w14:textFill>
        </w:rPr>
        <w:t>投标</w:t>
      </w:r>
      <w:r>
        <w:rPr>
          <w:rFonts w:hint="eastAsia" w:ascii="宋体" w:hAnsi="宋体" w:cs="宋体"/>
          <w:color w:val="000000" w:themeColor="text1"/>
          <w:sz w:val="24"/>
          <w14:textFill>
            <w14:solidFill>
              <w14:schemeClr w14:val="tx1"/>
            </w14:solidFill>
          </w14:textFill>
        </w:rPr>
        <w:t>单价报价最低(二轮报价)的</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为排名第一的</w:t>
      </w:r>
      <w:r>
        <w:rPr>
          <w:rFonts w:hint="eastAsia" w:ascii="宋体" w:hAnsi="宋体" w:cs="宋体"/>
          <w:color w:val="000000" w:themeColor="text1"/>
          <w:sz w:val="24"/>
          <w:lang w:val="en-US" w:eastAsia="zh-CN"/>
          <w14:textFill>
            <w14:solidFill>
              <w14:schemeClr w14:val="tx1"/>
            </w14:solidFill>
          </w14:textFill>
        </w:rPr>
        <w:t>成交</w:t>
      </w:r>
      <w:r>
        <w:rPr>
          <w:rFonts w:hint="eastAsia" w:ascii="宋体" w:hAnsi="宋体" w:cs="宋体"/>
          <w:color w:val="000000" w:themeColor="text1"/>
          <w:sz w:val="24"/>
          <w14:textFill>
            <w14:solidFill>
              <w14:schemeClr w14:val="tx1"/>
            </w14:solidFill>
          </w14:textFill>
        </w:rPr>
        <w:t>候选</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。如二轮报价出现相同报价情形，由报价相同的</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进行多轮报价直至出现投标报价最低投标</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w:t>
      </w:r>
    </w:p>
    <w:p w14:paraId="340A1F04">
      <w:pPr>
        <w:spacing w:line="360" w:lineRule="auto"/>
        <w:ind w:firstLine="480" w:firstLineChars="0"/>
        <w:outlineLvl w:val="0"/>
        <w:rPr>
          <w:rFonts w:hint="eastAsia" w:ascii="宋体" w:hAnsi="宋体" w:eastAsia="宋体" w:cs="宋体"/>
          <w:b/>
          <w:bCs/>
          <w:color w:val="000000"/>
          <w:sz w:val="24"/>
          <w:szCs w:val="20"/>
        </w:rPr>
      </w:pPr>
      <w:bookmarkStart w:id="190" w:name="_Toc1640"/>
      <w:r>
        <w:rPr>
          <w:rFonts w:hint="eastAsia" w:ascii="宋体" w:hAnsi="宋体" w:eastAsia="宋体" w:cs="宋体"/>
          <w:b/>
          <w:bCs/>
          <w:color w:val="000000"/>
          <w:sz w:val="24"/>
          <w:szCs w:val="20"/>
        </w:rPr>
        <w:t>二、政府采购政策功能落实</w:t>
      </w:r>
      <w:bookmarkEnd w:id="190"/>
    </w:p>
    <w:p w14:paraId="75BCDF44">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1、中小微型企业有关政策</w:t>
      </w:r>
    </w:p>
    <w:p w14:paraId="0A2303B4">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1）根据工信部等部委发布的《关于印发中小企业划型标准规定的通知》（工信部联企业〔2011〕300号），根据具体品目确定相应标准。符合上述条件的小微型企业应按照谈判文件中的格式要求提供《中小企业声明函》。</w:t>
      </w:r>
    </w:p>
    <w:p w14:paraId="53325402">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p>
    <w:p w14:paraId="316C7505">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（3）供应商须按照谈判文件要求提供相应的《企业声明函》（格式附后），不提供声明函或有弄虚作假的，将依法承担相应责任。</w:t>
      </w:r>
    </w:p>
    <w:p w14:paraId="516930E9">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（4）根据工信部等部委发布的《关于印发中小企业划型标准规定的通知》（工信部联企业【2011】300号）文件规定自行填写，根据具体品目确定相应标准。</w:t>
      </w:r>
    </w:p>
    <w:p w14:paraId="02E61382">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（5）以上规定未尽事项，按《政府采购促进中小企业发展管理办法》 （财库【2020】46号）等有关制度规定执行。</w:t>
      </w:r>
    </w:p>
    <w:p w14:paraId="0CC18083">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2、监狱和戒毒企业</w:t>
      </w:r>
    </w:p>
    <w:p w14:paraId="4D594D38">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（1）本项目对监狱和戒毒企业（简称监狱企业）视同小型、微型企业。</w:t>
      </w:r>
    </w:p>
    <w:p w14:paraId="1FFDC4B5">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6D81384D">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（3）监狱企业标准请参照《关于政府采购支持监狱企业发展有关问题的通知》（财库[2014]68号）。</w:t>
      </w:r>
    </w:p>
    <w:p w14:paraId="24FB1C87">
      <w:pPr>
        <w:pStyle w:val="33"/>
        <w:spacing w:line="360" w:lineRule="auto"/>
        <w:ind w:firstLine="480"/>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3、残疾人福利单位、监狱企业属于小型、微型企业的，不重复享受政策。</w:t>
      </w:r>
    </w:p>
    <w:p w14:paraId="7EC09D99">
      <w:pPr>
        <w:pStyle w:val="33"/>
        <w:spacing w:line="360" w:lineRule="auto"/>
        <w:ind w:firstLine="480"/>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E6AE1F4">
      <w:pPr>
        <w:pStyle w:val="33"/>
        <w:spacing w:line="360" w:lineRule="auto"/>
        <w:ind w:firstLine="480"/>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5、供应商对于投标产品的商品包装、快递包装应按照“财办库〔2020〕123号《关于印发《商品包装政府采购需求标准（试行）》、《快递包装政府采购需求标准（试行）》的通知》”执行。</w:t>
      </w:r>
    </w:p>
    <w:p w14:paraId="256B32B9">
      <w:pPr>
        <w:pStyle w:val="33"/>
        <w:spacing w:line="360" w:lineRule="auto"/>
        <w:ind w:firstLine="480"/>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6、本文件中若涉及到数据中心采购，应按照《&lt;绿色数据中心政府采购需求标准（试行）&gt;的通知》（财库〔2023〕7号）执行。</w:t>
      </w:r>
    </w:p>
    <w:p w14:paraId="532E505D">
      <w:pPr>
        <w:pStyle w:val="18"/>
        <w:spacing w:before="120" w:beforeAutospacing="0" w:after="120" w:afterAutospacing="0" w:line="360" w:lineRule="auto"/>
        <w:ind w:firstLine="439"/>
        <w:rPr>
          <w:rFonts w:hint="eastAsia" w:ascii="宋体" w:hAnsi="宋体" w:eastAsia="宋体" w:cs="宋体"/>
          <w:color w:val="000000"/>
          <w:kern w:val="2"/>
          <w:sz w:val="24"/>
          <w:szCs w:val="20"/>
          <w:lang w:val="en-US" w:eastAsia="zh-CN" w:bidi="ar-SA"/>
        </w:rPr>
      </w:pPr>
      <w:r>
        <w:rPr>
          <w:rFonts w:hint="eastAsia" w:ascii="宋体" w:hAnsi="宋体" w:eastAsia="宋体" w:cs="宋体"/>
          <w:color w:val="000000"/>
          <w:kern w:val="2"/>
          <w:sz w:val="24"/>
          <w:szCs w:val="20"/>
          <w:lang w:val="en-US" w:eastAsia="zh-CN" w:bidi="ar-SA"/>
        </w:rPr>
        <w:t>7、采购本国产品的支持政策</w:t>
      </w:r>
    </w:p>
    <w:p w14:paraId="5135B6F0">
      <w:pPr>
        <w:spacing w:line="400" w:lineRule="exact"/>
        <w:ind w:firstLine="482"/>
        <w:jc w:val="lef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val="0"/>
          <w:bCs w:val="0"/>
          <w:color w:val="000000" w:themeColor="text1"/>
          <w:sz w:val="24"/>
          <w:szCs w:val="24"/>
          <w:u w:val="single"/>
          <w14:textFill>
            <w14:solidFill>
              <w14:schemeClr w14:val="tx1"/>
            </w14:solidFill>
          </w14:textFill>
        </w:rPr>
        <w:t>20%</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的价格扣除，用扣除后的价格参与评审。</w:t>
      </w:r>
    </w:p>
    <w:p w14:paraId="69261816">
      <w:pPr>
        <w:spacing w:line="400" w:lineRule="exact"/>
        <w:ind w:firstLine="482"/>
        <w:jc w:val="lef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val="0"/>
          <w:bCs w:val="0"/>
          <w:color w:val="000000" w:themeColor="text1"/>
          <w:sz w:val="24"/>
          <w:szCs w:val="24"/>
          <w:u w:val="single"/>
          <w14:textFill>
            <w14:solidFill>
              <w14:schemeClr w14:val="tx1"/>
            </w14:solidFill>
          </w14:textFill>
        </w:rPr>
        <w:t>80%</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以上时（供应商需在“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val="0"/>
          <w:bCs w:val="0"/>
          <w:color w:val="000000" w:themeColor="text1"/>
          <w:sz w:val="24"/>
          <w:szCs w:val="24"/>
          <w:u w:val="single"/>
          <w14:textFill>
            <w14:solidFill>
              <w14:schemeClr w14:val="tx1"/>
            </w14:solidFill>
          </w14:textFill>
        </w:rPr>
        <w:t>20%</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的价格扣除，用扣除后的价格参与评审。供应商未填写比例数值，或比例数值</w:t>
      </w:r>
      <w:r>
        <w:rPr>
          <w:rFonts w:hint="eastAsia" w:asciiTheme="minorEastAsia" w:hAnsiTheme="minorEastAsia" w:eastAsiaTheme="minorEastAsia" w:cstheme="minorEastAsia"/>
          <w:b w:val="0"/>
          <w:bCs w:val="0"/>
          <w:color w:val="000000" w:themeColor="text1"/>
          <w:sz w:val="24"/>
          <w:szCs w:val="24"/>
          <w:highlight w:val="yellow"/>
          <w14:textFill>
            <w14:solidFill>
              <w14:schemeClr w14:val="tx1"/>
            </w14:solidFill>
          </w14:textFill>
        </w:rPr>
        <w:t>未达到</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80%的，将不享受本国产品价格评审优惠。</w:t>
      </w:r>
    </w:p>
    <w:p w14:paraId="1FEFAE6A">
      <w:pPr>
        <w:spacing w:line="400" w:lineRule="exact"/>
        <w:ind w:firstLine="482"/>
        <w:jc w:val="lef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.3 供应商需按照</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谈判文件</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的要求提供《关于符合本国产品标准的声明函》（以下简称《声明函》），如不提供将不享受本国产品价格评审优惠。</w:t>
      </w:r>
    </w:p>
    <w:p w14:paraId="0D650FE1">
      <w:pPr>
        <w:spacing w:line="400" w:lineRule="exact"/>
        <w:ind w:firstLine="482"/>
        <w:jc w:val="lef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.4 供应商需在《声明函》中逐一、准确填写产品名称、厂名、生产厂址三项信息，三项信息中任意一项未填写的视为该项产品不符合本国产品标准，不享受本国产品价格评审优惠。</w:t>
      </w:r>
    </w:p>
    <w:p w14:paraId="000B9041">
      <w:pPr>
        <w:spacing w:line="400" w:lineRule="exact"/>
        <w:ind w:firstLine="482"/>
        <w:jc w:val="left"/>
        <w:rPr>
          <w:rFonts w:hint="eastAsia" w:hAnsi="宋体"/>
          <w:b/>
          <w:bCs w:val="0"/>
          <w:color w:val="auto"/>
          <w:sz w:val="24"/>
          <w:szCs w:val="24"/>
        </w:rPr>
      </w:pPr>
      <w:r>
        <w:rPr>
          <w:rFonts w:hint="eastAsia" w:asciiTheme="minorEastAsia" w:hAnsiTheme="minorEastAsia" w:cstheme="minorEastAsia"/>
          <w:b w:val="0"/>
          <w:bCs w:val="0"/>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themeColor="text1"/>
          <w:sz w:val="24"/>
          <w:szCs w:val="24"/>
          <w:lang w:val="en-US" w:eastAsia="zh-CN"/>
          <w14:textFill>
            <w14:solidFill>
              <w14:schemeClr w14:val="tx1"/>
            </w14:solidFill>
          </w14:textFill>
        </w:rPr>
        <w:t>在苏采云系统</w:t>
      </w:r>
      <w:r>
        <w:rPr>
          <w:rFonts w:hint="eastAsia" w:ascii="宋体" w:hAnsi="宋体" w:eastAsia="宋体" w:cs="宋体"/>
          <w:b w:val="0"/>
          <w:bCs w:val="0"/>
          <w:color w:val="000000" w:themeColor="text1"/>
          <w:sz w:val="24"/>
          <w:szCs w:val="24"/>
          <w14:textFill>
            <w14:solidFill>
              <w14:schemeClr w14:val="tx1"/>
            </w14:solidFill>
          </w14:textFill>
        </w:rPr>
        <w:t>要求</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供应商作出必要的澄清、说明或者补正。经澄清、说明或者补正的《声明函》仍然不符合《国务院办公厅关于在政府采购中实施本国产品标准及相关政策的通知》（国办发〔2025〕34号）和</w:t>
      </w:r>
      <w:r>
        <w:rPr>
          <w:rFonts w:hint="eastAsia" w:asciiTheme="minorEastAsia" w:hAnsiTheme="minorEastAsia" w:cstheme="minorEastAsia"/>
          <w:b w:val="0"/>
          <w:bCs w:val="0"/>
          <w:color w:val="000000" w:themeColor="text1"/>
          <w:sz w:val="24"/>
          <w:szCs w:val="24"/>
          <w:lang w:eastAsia="zh-CN"/>
          <w14:textFill>
            <w14:solidFill>
              <w14:schemeClr w14:val="tx1"/>
            </w14:solidFill>
          </w14:textFill>
        </w:rPr>
        <w:t>谈判文件</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规定的，供应商提供的相关产品视为不符合本国产品标准。</w:t>
      </w:r>
    </w:p>
    <w:p w14:paraId="0C8B11F5">
      <w:pPr>
        <w:keepNext w:val="0"/>
        <w:keepLines w:val="0"/>
        <w:pageBreakBefore w:val="0"/>
        <w:widowControl w:val="0"/>
        <w:kinsoku/>
        <w:wordWrap/>
        <w:overflowPunct/>
        <w:topLinePunct w:val="0"/>
        <w:autoSpaceDE/>
        <w:autoSpaceDN/>
        <w:bidi w:val="0"/>
        <w:adjustRightInd/>
        <w:snapToGrid/>
        <w:spacing w:line="450" w:lineRule="exact"/>
        <w:ind w:firstLine="480"/>
        <w:textAlignment w:val="auto"/>
        <w:rPr>
          <w:rFonts w:hint="eastAsia" w:hAnsi="宋体"/>
          <w:b/>
          <w:bCs w:val="0"/>
          <w:color w:val="auto"/>
          <w:sz w:val="24"/>
          <w:szCs w:val="24"/>
        </w:rPr>
      </w:pPr>
      <w:r>
        <w:rPr>
          <w:rFonts w:hint="eastAsia" w:hAnsi="宋体"/>
          <w:b/>
          <w:bCs w:val="0"/>
          <w:color w:val="auto"/>
          <w:sz w:val="24"/>
          <w:szCs w:val="24"/>
        </w:rPr>
        <w:t>备注：</w:t>
      </w:r>
    </w:p>
    <w:p w14:paraId="1A33087B">
      <w:pPr>
        <w:keepNext w:val="0"/>
        <w:keepLines w:val="0"/>
        <w:pageBreakBefore w:val="0"/>
        <w:widowControl w:val="0"/>
        <w:kinsoku/>
        <w:wordWrap/>
        <w:overflowPunct/>
        <w:topLinePunct w:val="0"/>
        <w:autoSpaceDE/>
        <w:autoSpaceDN/>
        <w:bidi w:val="0"/>
        <w:adjustRightInd/>
        <w:snapToGrid/>
        <w:spacing w:line="450" w:lineRule="exact"/>
        <w:ind w:firstLine="480"/>
        <w:textAlignment w:val="auto"/>
        <w:rPr>
          <w:rFonts w:hint="eastAsia" w:hAnsi="宋体"/>
          <w:b/>
          <w:bCs/>
          <w:color w:val="auto"/>
          <w:sz w:val="24"/>
          <w:szCs w:val="24"/>
        </w:rPr>
      </w:pPr>
      <w:r>
        <w:rPr>
          <w:rFonts w:hint="eastAsia" w:hAnsi="宋体"/>
          <w:b/>
          <w:bCs w:val="0"/>
          <w:color w:val="auto"/>
          <w:sz w:val="24"/>
          <w:szCs w:val="24"/>
          <w:lang w:val="en-US" w:eastAsia="zh-CN"/>
        </w:rPr>
        <w:t>谈判</w:t>
      </w:r>
      <w:r>
        <w:rPr>
          <w:rFonts w:hint="eastAsia" w:hAnsi="宋体"/>
          <w:b/>
          <w:bCs w:val="0"/>
          <w:color w:val="auto"/>
          <w:sz w:val="24"/>
          <w:szCs w:val="24"/>
        </w:rPr>
        <w:t>文件</w:t>
      </w:r>
      <w:r>
        <w:rPr>
          <w:rFonts w:hint="eastAsia" w:hAnsi="宋体"/>
          <w:b/>
          <w:bCs/>
          <w:color w:val="auto"/>
          <w:sz w:val="24"/>
          <w:szCs w:val="24"/>
        </w:rPr>
        <w:t>中要求提供的证明材料均以原件扫描加盖所要求的公章在</w:t>
      </w:r>
      <w:r>
        <w:rPr>
          <w:rFonts w:hint="eastAsia" w:hAnsi="宋体"/>
          <w:b/>
          <w:bCs/>
          <w:color w:val="auto"/>
          <w:sz w:val="24"/>
          <w:szCs w:val="24"/>
          <w:lang w:val="en-US" w:eastAsia="zh-CN"/>
        </w:rPr>
        <w:t>响应</w:t>
      </w:r>
      <w:r>
        <w:rPr>
          <w:rFonts w:hint="eastAsia" w:hAnsi="宋体"/>
          <w:b/>
          <w:bCs/>
          <w:color w:val="auto"/>
          <w:sz w:val="24"/>
          <w:szCs w:val="24"/>
        </w:rPr>
        <w:t>文件中反映，相关证明材料须按要求完整提供且不得涂改，本项目所须提供的证明材料均应原件扫描（如原件是彩色件，则扫描件须是彩色）。</w:t>
      </w:r>
    </w:p>
    <w:p w14:paraId="571B743E">
      <w:pPr>
        <w:keepNext w:val="0"/>
        <w:keepLines w:val="0"/>
        <w:pageBreakBefore w:val="0"/>
        <w:widowControl w:val="0"/>
        <w:kinsoku/>
        <w:wordWrap/>
        <w:overflowPunct/>
        <w:topLinePunct w:val="0"/>
        <w:autoSpaceDE/>
        <w:autoSpaceDN/>
        <w:bidi w:val="0"/>
        <w:adjustRightInd/>
        <w:snapToGrid/>
        <w:spacing w:line="450" w:lineRule="exact"/>
        <w:ind w:firstLine="480"/>
        <w:textAlignment w:val="auto"/>
        <w:rPr>
          <w:rFonts w:hint="eastAsia" w:hAnsi="宋体"/>
          <w:bCs/>
          <w:color w:val="000000"/>
          <w:sz w:val="24"/>
          <w:szCs w:val="24"/>
        </w:rPr>
      </w:pPr>
      <w:r>
        <w:rPr>
          <w:rFonts w:hint="eastAsia" w:hAnsi="宋体"/>
          <w:bCs/>
          <w:color w:val="000000"/>
          <w:sz w:val="24"/>
          <w:szCs w:val="24"/>
        </w:rPr>
        <w:t>采购人有权在规定的时间内（</w:t>
      </w:r>
      <w:r>
        <w:rPr>
          <w:rFonts w:hint="eastAsia" w:hAnsi="宋体"/>
          <w:bCs/>
          <w:color w:val="000000"/>
          <w:sz w:val="24"/>
          <w:szCs w:val="24"/>
          <w:lang w:val="en-US" w:eastAsia="zh-CN"/>
        </w:rPr>
        <w:t>成交</w:t>
      </w:r>
      <w:r>
        <w:rPr>
          <w:rFonts w:hint="eastAsia" w:hAnsi="宋体"/>
          <w:bCs/>
          <w:color w:val="000000"/>
          <w:sz w:val="24"/>
          <w:szCs w:val="24"/>
        </w:rPr>
        <w:t>公示或质疑期间及其他采购人明确要求的时间内）对</w:t>
      </w:r>
      <w:r>
        <w:rPr>
          <w:rFonts w:hint="eastAsia" w:hAnsi="宋体"/>
          <w:bCs/>
          <w:color w:val="000000"/>
          <w:sz w:val="24"/>
          <w:szCs w:val="24"/>
          <w:lang w:val="en-US" w:eastAsia="zh-CN"/>
        </w:rPr>
        <w:t>成交供应商</w:t>
      </w:r>
      <w:r>
        <w:rPr>
          <w:rFonts w:hint="eastAsia" w:hAnsi="宋体"/>
          <w:bCs/>
          <w:color w:val="000000"/>
          <w:sz w:val="24"/>
          <w:szCs w:val="24"/>
        </w:rPr>
        <w:t>或其他</w:t>
      </w:r>
      <w:r>
        <w:rPr>
          <w:rFonts w:hint="eastAsia" w:hAnsi="宋体"/>
          <w:bCs/>
          <w:color w:val="000000"/>
          <w:sz w:val="24"/>
          <w:szCs w:val="24"/>
          <w:lang w:val="en-US" w:eastAsia="zh-CN"/>
        </w:rPr>
        <w:t>供应商</w:t>
      </w:r>
      <w:r>
        <w:rPr>
          <w:rFonts w:hint="eastAsia" w:hAnsi="宋体"/>
          <w:bCs/>
          <w:color w:val="000000"/>
          <w:sz w:val="24"/>
          <w:szCs w:val="24"/>
        </w:rPr>
        <w:t>提供的与</w:t>
      </w:r>
      <w:r>
        <w:rPr>
          <w:rFonts w:hint="eastAsia" w:hAnsi="宋体"/>
          <w:bCs/>
          <w:color w:val="000000"/>
          <w:sz w:val="24"/>
          <w:szCs w:val="24"/>
          <w:lang w:val="en-US" w:eastAsia="zh-CN"/>
        </w:rPr>
        <w:t>采购</w:t>
      </w:r>
      <w:r>
        <w:rPr>
          <w:rFonts w:hint="eastAsia" w:hAnsi="宋体"/>
          <w:bCs/>
          <w:color w:val="000000"/>
          <w:sz w:val="24"/>
          <w:szCs w:val="24"/>
        </w:rPr>
        <w:t>需求、评分办法相关的材料等评分依据（原件）的真实性进行复查。如未在采购人规定的时间内提交，采购人有权根据政府采购法律法规处理。如发现有通过提供虚假证明文件</w:t>
      </w:r>
      <w:r>
        <w:rPr>
          <w:rFonts w:hint="eastAsia" w:hAnsi="宋体"/>
          <w:bCs/>
          <w:color w:val="000000"/>
          <w:sz w:val="24"/>
          <w:szCs w:val="24"/>
          <w:lang w:val="en-US" w:eastAsia="zh-CN"/>
        </w:rPr>
        <w:t>获得中标</w:t>
      </w:r>
      <w:r>
        <w:rPr>
          <w:rFonts w:hint="eastAsia" w:hAnsi="宋体"/>
          <w:bCs/>
          <w:color w:val="000000"/>
          <w:sz w:val="24"/>
          <w:szCs w:val="24"/>
        </w:rPr>
        <w:t>，将取消</w:t>
      </w:r>
      <w:r>
        <w:rPr>
          <w:rFonts w:hint="eastAsia" w:hAnsi="宋体"/>
          <w:bCs/>
          <w:color w:val="000000"/>
          <w:sz w:val="24"/>
          <w:szCs w:val="24"/>
          <w:lang w:val="en-US" w:eastAsia="zh-CN"/>
        </w:rPr>
        <w:t>成交</w:t>
      </w:r>
      <w:r>
        <w:rPr>
          <w:rFonts w:hint="eastAsia" w:hAnsi="宋体"/>
          <w:bCs/>
          <w:color w:val="000000"/>
          <w:sz w:val="24"/>
          <w:szCs w:val="24"/>
        </w:rPr>
        <w:t>资格，并提请监督机构按照政府采购相关法规处理。</w:t>
      </w:r>
    </w:p>
    <w:p w14:paraId="394E00C6">
      <w:pPr>
        <w:pStyle w:val="18"/>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p>
    <w:p w14:paraId="1CD145F6">
      <w:pPr>
        <w:pStyle w:val="18"/>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62BEFCE4">
      <w:pPr>
        <w:pStyle w:val="18"/>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76A02CEF">
      <w:pPr>
        <w:pStyle w:val="18"/>
        <w:spacing w:beforeAutospacing="0" w:afterAutospacing="0"/>
        <w:ind w:firstLine="60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5702028B">
      <w:pPr>
        <w:pStyle w:val="18"/>
        <w:spacing w:beforeAutospacing="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2578481F">
      <w:pPr>
        <w:pStyle w:val="18"/>
        <w:spacing w:beforeAutospacing="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7F6E2DFD">
      <w:pPr>
        <w:pStyle w:val="18"/>
        <w:spacing w:beforeAutospacing="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2A556DCE">
      <w:pPr>
        <w:pStyle w:val="18"/>
        <w:spacing w:beforeAutospacing="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412368B2">
      <w:pPr>
        <w:pStyle w:val="18"/>
        <w:spacing w:beforeAutospacing="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39A4CB8F">
      <w:pPr>
        <w:pStyle w:val="18"/>
        <w:spacing w:beforeAutospacing="0" w:afterAutospacing="0"/>
        <w:jc w:val="both"/>
        <w:rPr>
          <w:color w:val="auto"/>
          <w:highlight w:val="none"/>
          <w:shd w:val="clear" w:color="auto" w:fill="auto"/>
        </w:rPr>
      </w:pPr>
      <w:r>
        <w:rPr>
          <w:color w:val="auto"/>
          <w:highlight w:val="none"/>
          <w:shd w:val="clear" w:color="auto" w:fill="auto"/>
        </w:rPr>
        <w:t> </w:t>
      </w:r>
    </w:p>
    <w:p w14:paraId="7484F878">
      <w:pPr>
        <w:pStyle w:val="18"/>
        <w:spacing w:beforeAutospacing="0" w:afterAutospacing="0"/>
        <w:jc w:val="both"/>
        <w:rPr>
          <w:color w:val="auto"/>
          <w:highlight w:val="none"/>
          <w:shd w:val="clear" w:color="auto" w:fill="auto"/>
        </w:rPr>
      </w:pPr>
      <w:r>
        <w:rPr>
          <w:color w:val="auto"/>
          <w:highlight w:val="none"/>
          <w:shd w:val="clear" w:color="auto" w:fill="auto"/>
        </w:rPr>
        <w:t> </w:t>
      </w:r>
    </w:p>
    <w:p w14:paraId="480D744F">
      <w:pPr>
        <w:pStyle w:val="18"/>
        <w:spacing w:beforeAutospacing="0" w:afterAutospacing="0"/>
        <w:jc w:val="both"/>
        <w:rPr>
          <w:color w:val="auto"/>
          <w:highlight w:val="none"/>
          <w:shd w:val="clear" w:color="auto" w:fill="auto"/>
        </w:rPr>
      </w:pPr>
      <w:r>
        <w:rPr>
          <w:color w:val="auto"/>
          <w:highlight w:val="none"/>
          <w:shd w:val="clear" w:color="auto" w:fill="auto"/>
        </w:rPr>
        <w:t> </w:t>
      </w:r>
    </w:p>
    <w:p w14:paraId="1727302C">
      <w:pPr>
        <w:pStyle w:val="18"/>
        <w:spacing w:beforeAutospacing="0" w:afterAutospacing="0"/>
        <w:jc w:val="both"/>
        <w:rPr>
          <w:color w:val="auto"/>
          <w:highlight w:val="none"/>
          <w:shd w:val="clear" w:color="auto" w:fill="auto"/>
        </w:rPr>
      </w:pPr>
      <w:r>
        <w:rPr>
          <w:color w:val="auto"/>
          <w:highlight w:val="none"/>
          <w:shd w:val="clear" w:color="auto" w:fill="auto"/>
        </w:rPr>
        <w:t> </w:t>
      </w:r>
    </w:p>
    <w:p w14:paraId="54543ADA">
      <w:pPr>
        <w:pStyle w:val="18"/>
        <w:spacing w:beforeAutospacing="0" w:afterAutospacing="0"/>
        <w:jc w:val="both"/>
        <w:rPr>
          <w:color w:val="auto"/>
          <w:highlight w:val="none"/>
          <w:shd w:val="clear" w:color="auto" w:fill="auto"/>
        </w:rPr>
      </w:pPr>
      <w:r>
        <w:rPr>
          <w:color w:val="auto"/>
          <w:highlight w:val="none"/>
          <w:shd w:val="clear" w:color="auto" w:fill="auto"/>
        </w:rPr>
        <w:t> </w:t>
      </w:r>
    </w:p>
    <w:p w14:paraId="72FE0E03">
      <w:pPr>
        <w:pStyle w:val="18"/>
        <w:tabs>
          <w:tab w:val="left" w:pos="6205"/>
        </w:tabs>
        <w:spacing w:beforeAutospacing="0" w:afterAutospacing="0"/>
        <w:jc w:val="both"/>
        <w:rPr>
          <w:color w:val="auto"/>
          <w:highlight w:val="none"/>
          <w:shd w:val="clear" w:color="auto" w:fill="auto"/>
        </w:rPr>
      </w:pPr>
      <w:r>
        <w:rPr>
          <w:color w:val="auto"/>
          <w:highlight w:val="none"/>
          <w:shd w:val="clear" w:color="auto" w:fill="auto"/>
        </w:rPr>
        <w:t> </w:t>
      </w:r>
    </w:p>
    <w:p w14:paraId="5D85A4C3">
      <w:pPr>
        <w:pStyle w:val="18"/>
        <w:tabs>
          <w:tab w:val="left" w:pos="6205"/>
        </w:tabs>
        <w:spacing w:beforeAutospacing="0" w:afterAutospacing="0"/>
        <w:jc w:val="both"/>
        <w:rPr>
          <w:color w:val="auto"/>
          <w:highlight w:val="none"/>
          <w:shd w:val="clear" w:color="auto" w:fill="auto"/>
        </w:rPr>
      </w:pPr>
      <w:r>
        <w:rPr>
          <w:color w:val="auto"/>
          <w:highlight w:val="none"/>
          <w:shd w:val="clear" w:color="auto" w:fill="auto"/>
        </w:rPr>
        <w:t> </w:t>
      </w:r>
    </w:p>
    <w:p w14:paraId="1D70D0A8">
      <w:pPr>
        <w:pStyle w:val="18"/>
        <w:spacing w:beforeAutospacing="0" w:afterAutospacing="0"/>
        <w:jc w:val="both"/>
        <w:rPr>
          <w:color w:val="auto"/>
          <w:highlight w:val="none"/>
          <w:shd w:val="clear" w:color="auto" w:fill="auto"/>
        </w:rPr>
      </w:pPr>
      <w:bookmarkStart w:id="191" w:name="_Toc120614281"/>
      <w:r>
        <w:rPr>
          <w:color w:val="auto"/>
          <w:highlight w:val="none"/>
          <w:shd w:val="clear" w:color="auto" w:fill="auto"/>
        </w:rPr>
        <w:t> </w:t>
      </w:r>
    </w:p>
    <w:p w14:paraId="77E8D718">
      <w:pPr>
        <w:pStyle w:val="18"/>
        <w:spacing w:beforeAutospacing="0" w:afterAutospacing="0"/>
        <w:jc w:val="both"/>
        <w:rPr>
          <w:color w:val="auto"/>
          <w:highlight w:val="none"/>
          <w:shd w:val="clear" w:color="auto" w:fill="auto"/>
        </w:rPr>
      </w:pPr>
      <w:r>
        <w:rPr>
          <w:color w:val="auto"/>
          <w:highlight w:val="none"/>
          <w:shd w:val="clear" w:color="auto" w:fill="auto"/>
        </w:rPr>
        <w:t> </w:t>
      </w:r>
    </w:p>
    <w:p w14:paraId="17E59D9B">
      <w:pPr>
        <w:pStyle w:val="18"/>
        <w:spacing w:beforeAutospacing="0" w:afterAutospacing="0"/>
        <w:jc w:val="both"/>
        <w:rPr>
          <w:color w:val="auto"/>
          <w:highlight w:val="none"/>
          <w:shd w:val="clear" w:color="auto" w:fill="auto"/>
        </w:rPr>
      </w:pPr>
      <w:r>
        <w:rPr>
          <w:color w:val="auto"/>
          <w:highlight w:val="none"/>
          <w:shd w:val="clear" w:color="auto" w:fill="auto"/>
        </w:rPr>
        <w:t> </w:t>
      </w:r>
    </w:p>
    <w:p w14:paraId="6561FCD0">
      <w:pPr>
        <w:pStyle w:val="18"/>
        <w:spacing w:beforeAutospacing="0" w:afterAutospacing="0"/>
        <w:jc w:val="both"/>
        <w:rPr>
          <w:color w:val="auto"/>
          <w:highlight w:val="none"/>
          <w:shd w:val="clear" w:color="auto" w:fill="auto"/>
        </w:rPr>
      </w:pPr>
      <w:r>
        <w:rPr>
          <w:color w:val="auto"/>
          <w:highlight w:val="none"/>
          <w:shd w:val="clear" w:color="auto" w:fill="auto"/>
        </w:rPr>
        <w:t> </w:t>
      </w:r>
    </w:p>
    <w:p w14:paraId="51DE7B34">
      <w:pPr>
        <w:pStyle w:val="18"/>
        <w:spacing w:beforeAutospacing="0" w:afterAutospacing="0"/>
        <w:jc w:val="both"/>
        <w:rPr>
          <w:color w:val="auto"/>
          <w:highlight w:val="none"/>
          <w:shd w:val="clear" w:color="auto" w:fill="auto"/>
        </w:rPr>
      </w:pPr>
    </w:p>
    <w:p w14:paraId="60B64830">
      <w:pPr>
        <w:pStyle w:val="18"/>
        <w:spacing w:beforeAutospacing="0" w:afterAutospacing="0"/>
        <w:jc w:val="both"/>
        <w:rPr>
          <w:color w:val="auto"/>
          <w:highlight w:val="none"/>
          <w:shd w:val="clear" w:color="auto" w:fill="auto"/>
        </w:rPr>
      </w:pPr>
    </w:p>
    <w:p w14:paraId="36E2B8A2">
      <w:pPr>
        <w:pStyle w:val="18"/>
        <w:spacing w:beforeAutospacing="0" w:afterAutospacing="0"/>
        <w:jc w:val="both"/>
        <w:rPr>
          <w:color w:val="auto"/>
          <w:highlight w:val="none"/>
          <w:shd w:val="clear" w:color="auto" w:fill="auto"/>
        </w:rPr>
      </w:pPr>
    </w:p>
    <w:p w14:paraId="42573A4C">
      <w:pPr>
        <w:pStyle w:val="18"/>
        <w:spacing w:beforeAutospacing="0" w:afterAutospacing="0"/>
        <w:jc w:val="both"/>
        <w:rPr>
          <w:color w:val="auto"/>
          <w:highlight w:val="none"/>
          <w:shd w:val="clear" w:color="auto" w:fill="auto"/>
        </w:rPr>
      </w:pPr>
    </w:p>
    <w:p w14:paraId="6C445E60">
      <w:pPr>
        <w:pStyle w:val="18"/>
        <w:spacing w:beforeAutospacing="0" w:afterAutospacing="0"/>
        <w:jc w:val="both"/>
        <w:rPr>
          <w:color w:val="auto"/>
          <w:highlight w:val="none"/>
          <w:shd w:val="clear" w:color="auto" w:fill="auto"/>
        </w:rPr>
      </w:pPr>
    </w:p>
    <w:p w14:paraId="0AC4D3C1">
      <w:pPr>
        <w:pStyle w:val="18"/>
        <w:spacing w:beforeAutospacing="0" w:afterAutospacing="0"/>
        <w:jc w:val="both"/>
        <w:rPr>
          <w:color w:val="auto"/>
          <w:highlight w:val="none"/>
          <w:shd w:val="clear" w:color="auto" w:fill="auto"/>
        </w:rPr>
      </w:pPr>
      <w:r>
        <w:rPr>
          <w:color w:val="auto"/>
          <w:highlight w:val="none"/>
          <w:shd w:val="clear" w:color="auto" w:fill="auto"/>
        </w:rPr>
        <w:t> </w:t>
      </w:r>
    </w:p>
    <w:p w14:paraId="311F6584">
      <w:pPr>
        <w:pStyle w:val="18"/>
        <w:spacing w:beforeAutospacing="0" w:afterAutospacing="0"/>
        <w:jc w:val="both"/>
        <w:rPr>
          <w:color w:val="auto"/>
          <w:highlight w:val="none"/>
          <w:shd w:val="clear" w:color="auto" w:fill="auto"/>
        </w:rPr>
      </w:pPr>
      <w:r>
        <w:rPr>
          <w:color w:val="auto"/>
          <w:highlight w:val="none"/>
          <w:shd w:val="clear" w:color="auto" w:fill="auto"/>
        </w:rPr>
        <w:t> </w:t>
      </w:r>
    </w:p>
    <w:p w14:paraId="2411AE52">
      <w:pPr>
        <w:pStyle w:val="18"/>
        <w:keepNext/>
        <w:spacing w:beforeAutospacing="0" w:afterAutospacing="0"/>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第</w:t>
      </w:r>
      <w:r>
        <w:rPr>
          <w:rFonts w:hint="eastAsia" w:ascii="黑体" w:hAnsi="宋体" w:eastAsia="黑体" w:cs="黑体"/>
          <w:color w:val="auto"/>
          <w:sz w:val="44"/>
          <w:szCs w:val="44"/>
          <w:highlight w:val="none"/>
          <w:shd w:val="clear" w:color="auto" w:fill="auto"/>
          <w:lang w:val="en-US" w:eastAsia="zh-CN"/>
        </w:rPr>
        <w:t>六</w:t>
      </w:r>
      <w:r>
        <w:rPr>
          <w:rFonts w:hint="eastAsia" w:ascii="黑体" w:hAnsi="宋体" w:eastAsia="黑体" w:cs="黑体"/>
          <w:color w:val="auto"/>
          <w:sz w:val="44"/>
          <w:szCs w:val="44"/>
          <w:highlight w:val="none"/>
          <w:shd w:val="clear" w:color="auto" w:fill="auto"/>
        </w:rPr>
        <w:t xml:space="preserve">章  响应文件格式 </w:t>
      </w:r>
    </w:p>
    <w:p w14:paraId="11E25D8C">
      <w:pPr>
        <w:pStyle w:val="18"/>
        <w:spacing w:beforeAutospacing="0" w:afterAutospacing="0"/>
        <w:jc w:val="center"/>
        <w:rPr>
          <w:color w:val="auto"/>
          <w:highlight w:val="none"/>
          <w:shd w:val="clear" w:color="auto" w:fill="auto"/>
        </w:rPr>
      </w:pPr>
      <w:bookmarkStart w:id="192" w:name="_Toc49090576"/>
      <w:bookmarkEnd w:id="192"/>
      <w:bookmarkStart w:id="193" w:name="_Toc120614282"/>
      <w:bookmarkEnd w:id="193"/>
      <w:bookmarkStart w:id="194" w:name="_Toc26554094"/>
      <w:bookmarkStart w:id="195" w:name="_Hlt26671244"/>
      <w:bookmarkStart w:id="196" w:name="_Hlt26955039"/>
      <w:r>
        <w:rPr>
          <w:rFonts w:hint="eastAsia" w:ascii="宋体" w:hAnsi="宋体" w:eastAsia="宋体" w:cs="宋体"/>
          <w:b/>
          <w:color w:val="auto"/>
          <w:sz w:val="72"/>
          <w:szCs w:val="72"/>
          <w:highlight w:val="none"/>
          <w:shd w:val="clear" w:color="auto" w:fill="auto"/>
        </w:rPr>
        <w:t>响  应  文  件</w:t>
      </w:r>
    </w:p>
    <w:p w14:paraId="0272C729">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60C19480">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6A10B675">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7515BD4C">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7C58E46C">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660655A1">
      <w:pPr>
        <w:pStyle w:val="18"/>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xml:space="preserve">            </w:t>
      </w:r>
    </w:p>
    <w:p w14:paraId="05D25914">
      <w:pPr>
        <w:pStyle w:val="18"/>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编 号：</w:t>
      </w:r>
      <w:r>
        <w:rPr>
          <w:rFonts w:hint="eastAsia" w:ascii="宋体" w:hAnsi="宋体" w:eastAsia="宋体" w:cs="宋体"/>
          <w:b/>
          <w:color w:val="auto"/>
          <w:sz w:val="36"/>
          <w:szCs w:val="36"/>
          <w:highlight w:val="none"/>
          <w:u w:val="single"/>
          <w:shd w:val="clear" w:color="auto" w:fill="auto"/>
        </w:rPr>
        <w:t xml:space="preserve">            </w:t>
      </w:r>
    </w:p>
    <w:p w14:paraId="15F1DA22">
      <w:pPr>
        <w:pStyle w:val="18"/>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p>
    <w:p w14:paraId="76D9D070">
      <w:pPr>
        <w:pStyle w:val="18"/>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xml:space="preserve">                    </w:t>
      </w:r>
    </w:p>
    <w:p w14:paraId="6EFB8551">
      <w:pPr>
        <w:pStyle w:val="18"/>
        <w:spacing w:beforeAutospacing="0" w:afterAutospacing="0" w:line="0" w:lineRule="atLeast"/>
        <w:jc w:val="center"/>
        <w:rPr>
          <w:color w:val="auto"/>
          <w:highlight w:val="none"/>
          <w:shd w:val="clear" w:color="auto" w:fill="auto"/>
        </w:rPr>
      </w:pPr>
    </w:p>
    <w:p w14:paraId="61ADEA87">
      <w:pPr>
        <w:pStyle w:val="18"/>
        <w:spacing w:beforeAutospacing="0" w:afterAutospacing="0" w:line="0" w:lineRule="atLeast"/>
        <w:jc w:val="center"/>
        <w:rPr>
          <w:color w:val="auto"/>
          <w:highlight w:val="none"/>
          <w:shd w:val="clear" w:color="auto" w:fill="auto"/>
        </w:rPr>
      </w:pPr>
    </w:p>
    <w:p w14:paraId="0607A0B8">
      <w:pPr>
        <w:pStyle w:val="18"/>
        <w:spacing w:beforeAutospacing="0" w:afterAutospacing="0" w:line="0" w:lineRule="atLeast"/>
        <w:jc w:val="center"/>
        <w:rPr>
          <w:color w:val="auto"/>
          <w:highlight w:val="none"/>
          <w:shd w:val="clear" w:color="auto" w:fill="auto"/>
        </w:rPr>
      </w:pPr>
    </w:p>
    <w:p w14:paraId="2D2244EB">
      <w:pPr>
        <w:pStyle w:val="18"/>
        <w:spacing w:beforeAutospacing="0" w:afterAutospacing="0" w:line="0" w:lineRule="atLeast"/>
        <w:jc w:val="center"/>
        <w:rPr>
          <w:color w:val="auto"/>
          <w:highlight w:val="none"/>
          <w:shd w:val="clear" w:color="auto" w:fill="auto"/>
        </w:rPr>
      </w:pPr>
    </w:p>
    <w:p w14:paraId="1F65D24C">
      <w:pPr>
        <w:pStyle w:val="18"/>
        <w:spacing w:beforeAutospacing="0" w:afterAutospacing="0" w:line="0" w:lineRule="atLeast"/>
        <w:jc w:val="center"/>
        <w:rPr>
          <w:color w:val="auto"/>
          <w:highlight w:val="none"/>
          <w:shd w:val="clear" w:color="auto" w:fill="auto"/>
        </w:rPr>
      </w:pPr>
    </w:p>
    <w:p w14:paraId="61046141">
      <w:pPr>
        <w:pStyle w:val="18"/>
        <w:spacing w:beforeAutospacing="0" w:afterAutospacing="0" w:line="0" w:lineRule="atLeast"/>
        <w:jc w:val="center"/>
        <w:rPr>
          <w:color w:val="auto"/>
          <w:highlight w:val="none"/>
          <w:shd w:val="clear" w:color="auto" w:fill="auto"/>
        </w:rPr>
      </w:pPr>
    </w:p>
    <w:p w14:paraId="718B14C1">
      <w:pPr>
        <w:pStyle w:val="18"/>
        <w:spacing w:beforeAutospacing="0" w:afterAutospacing="0" w:line="0" w:lineRule="atLeast"/>
        <w:jc w:val="center"/>
        <w:rPr>
          <w:color w:val="auto"/>
          <w:highlight w:val="none"/>
          <w:shd w:val="clear" w:color="auto" w:fill="auto"/>
        </w:rPr>
      </w:pPr>
    </w:p>
    <w:p w14:paraId="09454411">
      <w:pPr>
        <w:pStyle w:val="18"/>
        <w:spacing w:beforeAutospacing="0" w:afterAutospacing="0" w:line="0" w:lineRule="atLeast"/>
        <w:jc w:val="center"/>
        <w:rPr>
          <w:color w:val="auto"/>
          <w:highlight w:val="none"/>
          <w:shd w:val="clear" w:color="auto" w:fill="auto"/>
        </w:rPr>
      </w:pPr>
    </w:p>
    <w:p w14:paraId="0A414A6D">
      <w:pPr>
        <w:pStyle w:val="18"/>
        <w:spacing w:beforeAutospacing="0" w:afterAutospacing="0" w:line="0" w:lineRule="atLeast"/>
        <w:jc w:val="center"/>
        <w:rPr>
          <w:color w:val="auto"/>
          <w:highlight w:val="none"/>
          <w:shd w:val="clear" w:color="auto" w:fill="auto"/>
        </w:rPr>
      </w:pPr>
    </w:p>
    <w:p w14:paraId="59123FDF">
      <w:pPr>
        <w:pStyle w:val="18"/>
        <w:spacing w:beforeAutospacing="0" w:afterAutospacing="0" w:line="0" w:lineRule="atLeast"/>
        <w:jc w:val="center"/>
        <w:rPr>
          <w:color w:val="auto"/>
          <w:highlight w:val="none"/>
          <w:shd w:val="clear" w:color="auto" w:fill="auto"/>
        </w:rPr>
      </w:pPr>
    </w:p>
    <w:p w14:paraId="31533BD4">
      <w:pPr>
        <w:pStyle w:val="18"/>
        <w:spacing w:beforeAutospacing="0" w:afterAutospacing="0" w:line="0" w:lineRule="atLeast"/>
        <w:jc w:val="center"/>
        <w:rPr>
          <w:color w:val="auto"/>
          <w:highlight w:val="none"/>
          <w:shd w:val="clear" w:color="auto" w:fill="auto"/>
        </w:rPr>
      </w:pPr>
    </w:p>
    <w:p w14:paraId="25CD53F7">
      <w:pPr>
        <w:pStyle w:val="18"/>
        <w:spacing w:beforeAutospacing="0" w:afterAutospacing="0" w:line="0" w:lineRule="atLeast"/>
        <w:jc w:val="center"/>
        <w:rPr>
          <w:color w:val="auto"/>
          <w:highlight w:val="none"/>
          <w:shd w:val="clear" w:color="auto" w:fill="auto"/>
        </w:rPr>
      </w:pPr>
    </w:p>
    <w:p w14:paraId="25392448">
      <w:pPr>
        <w:pStyle w:val="18"/>
        <w:spacing w:beforeAutospacing="0" w:afterAutospacing="0" w:line="0" w:lineRule="atLeast"/>
        <w:jc w:val="center"/>
        <w:rPr>
          <w:color w:val="auto"/>
          <w:highlight w:val="none"/>
          <w:shd w:val="clear" w:color="auto" w:fill="auto"/>
        </w:rPr>
      </w:pPr>
    </w:p>
    <w:p w14:paraId="4C23D8D0">
      <w:pPr>
        <w:pStyle w:val="18"/>
        <w:spacing w:beforeAutospacing="0" w:afterAutospacing="0" w:line="0" w:lineRule="atLeast"/>
        <w:jc w:val="center"/>
        <w:rPr>
          <w:color w:val="auto"/>
          <w:highlight w:val="none"/>
          <w:shd w:val="clear" w:color="auto" w:fill="auto"/>
        </w:rPr>
      </w:pPr>
    </w:p>
    <w:p w14:paraId="545E534B">
      <w:pPr>
        <w:pStyle w:val="18"/>
        <w:spacing w:beforeAutospacing="0" w:afterAutospacing="0" w:line="0" w:lineRule="atLeast"/>
        <w:jc w:val="center"/>
        <w:rPr>
          <w:color w:val="auto"/>
          <w:highlight w:val="none"/>
          <w:shd w:val="clear" w:color="auto" w:fill="auto"/>
        </w:rPr>
      </w:pPr>
    </w:p>
    <w:p w14:paraId="6C4B4E03">
      <w:pPr>
        <w:pStyle w:val="18"/>
        <w:spacing w:beforeAutospacing="0" w:afterAutospacing="0" w:line="0" w:lineRule="atLeast"/>
        <w:jc w:val="center"/>
        <w:rPr>
          <w:color w:val="auto"/>
          <w:highlight w:val="none"/>
          <w:shd w:val="clear" w:color="auto" w:fill="auto"/>
        </w:rPr>
      </w:pPr>
    </w:p>
    <w:p w14:paraId="72524AF9">
      <w:pPr>
        <w:pStyle w:val="18"/>
        <w:spacing w:beforeAutospacing="0" w:afterAutospacing="0" w:line="0" w:lineRule="atLeast"/>
        <w:jc w:val="center"/>
        <w:rPr>
          <w:color w:val="auto"/>
          <w:highlight w:val="none"/>
          <w:shd w:val="clear" w:color="auto" w:fill="auto"/>
        </w:rPr>
      </w:pPr>
    </w:p>
    <w:p w14:paraId="0018DB8B">
      <w:pPr>
        <w:pStyle w:val="18"/>
        <w:spacing w:beforeAutospacing="0" w:afterAutospacing="0" w:line="0" w:lineRule="atLeast"/>
        <w:jc w:val="center"/>
        <w:rPr>
          <w:color w:val="auto"/>
          <w:highlight w:val="none"/>
          <w:shd w:val="clear" w:color="auto" w:fill="auto"/>
        </w:rPr>
      </w:pPr>
    </w:p>
    <w:p w14:paraId="3F66D322">
      <w:pPr>
        <w:pStyle w:val="18"/>
        <w:spacing w:beforeAutospacing="0" w:afterAutospacing="0" w:line="0" w:lineRule="atLeast"/>
        <w:jc w:val="center"/>
        <w:rPr>
          <w:color w:val="auto"/>
          <w:highlight w:val="none"/>
          <w:shd w:val="clear" w:color="auto" w:fill="auto"/>
        </w:rPr>
      </w:pPr>
    </w:p>
    <w:p w14:paraId="73B9E937">
      <w:pPr>
        <w:pStyle w:val="18"/>
        <w:spacing w:beforeAutospacing="0" w:afterAutospacing="0" w:line="0" w:lineRule="atLeast"/>
        <w:jc w:val="center"/>
        <w:rPr>
          <w:color w:val="auto"/>
          <w:highlight w:val="none"/>
          <w:shd w:val="clear" w:color="auto" w:fill="auto"/>
        </w:rPr>
      </w:pPr>
    </w:p>
    <w:p w14:paraId="070D5CD5">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3884591">
      <w:pPr>
        <w:pStyle w:val="18"/>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9F1FA72">
      <w:pPr>
        <w:rPr>
          <w:color w:val="auto"/>
          <w:highlight w:val="none"/>
          <w:shd w:val="clear" w:color="auto" w:fill="auto"/>
        </w:rPr>
      </w:pPr>
      <w:r>
        <w:rPr>
          <w:color w:val="auto"/>
          <w:highlight w:val="none"/>
          <w:shd w:val="clear" w:color="auto" w:fill="auto"/>
        </w:rPr>
        <w:br w:type="page"/>
      </w:r>
    </w:p>
    <w:p w14:paraId="5BC24895">
      <w:pPr>
        <w:pStyle w:val="18"/>
        <w:spacing w:beforeAutospacing="0" w:afterAutospacing="0" w:line="0" w:lineRule="atLeast"/>
        <w:jc w:val="both"/>
        <w:rPr>
          <w:color w:val="auto"/>
          <w:highlight w:val="none"/>
          <w:shd w:val="clear" w:color="auto" w:fill="auto"/>
        </w:rPr>
      </w:pPr>
    </w:p>
    <w:p w14:paraId="3F9540BC">
      <w:pPr>
        <w:pStyle w:val="18"/>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56EC4CB4">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6D80DBE">
      <w:pPr>
        <w:pStyle w:val="18"/>
        <w:keepNext w:val="0"/>
        <w:keepLines w:val="0"/>
        <w:pageBreakBefore w:val="0"/>
        <w:kinsoku/>
        <w:wordWrap/>
        <w:overflowPunct/>
        <w:topLinePunct w:val="0"/>
        <w:autoSpaceDE/>
        <w:autoSpaceDN/>
        <w:bidi w:val="0"/>
        <w:adjustRightInd/>
        <w:snapToGrid/>
        <w:spacing w:beforeAutospacing="0" w:afterAutospacing="0" w:line="360" w:lineRule="exact"/>
        <w:ind w:left="48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一、法人或者其他组织的营业执照等证明文件，自然人的身份证明</w:t>
      </w:r>
    </w:p>
    <w:p w14:paraId="794E3DF9">
      <w:pPr>
        <w:keepNext w:val="0"/>
        <w:keepLines w:val="0"/>
        <w:pageBreakBefore w:val="0"/>
        <w:tabs>
          <w:tab w:val="left" w:pos="1331"/>
        </w:tabs>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二、上一年度的财务状况报表（至少提供资产负债表、利润表、现金流量表，谈判供应商成立不满一年无需提供）</w:t>
      </w:r>
    </w:p>
    <w:p w14:paraId="263D3016">
      <w:pPr>
        <w:pStyle w:val="18"/>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eastAsia="zh-CN"/>
        </w:rPr>
        <w:t>三、</w:t>
      </w:r>
      <w:r>
        <w:rPr>
          <w:rFonts w:hint="eastAsia" w:ascii="宋体" w:hAnsi="宋体" w:eastAsia="宋体" w:cs="宋体"/>
          <w:i w:val="0"/>
          <w:iCs/>
          <w:color w:val="auto"/>
          <w:highlight w:val="none"/>
          <w:u w:val="none"/>
          <w:shd w:val="clear" w:color="auto" w:fill="auto"/>
        </w:rPr>
        <w:t>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363D14D7">
      <w:pPr>
        <w:pStyle w:val="18"/>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ind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四</w:t>
      </w:r>
      <w:r>
        <w:rPr>
          <w:rFonts w:hint="eastAsia" w:ascii="宋体" w:hAnsi="宋体" w:eastAsia="宋体" w:cs="宋体"/>
          <w:i w:val="0"/>
          <w:iCs/>
          <w:color w:val="auto"/>
          <w:highlight w:val="none"/>
          <w:u w:val="none"/>
          <w:shd w:val="clear" w:color="auto" w:fill="auto"/>
        </w:rPr>
        <w:t>、具备履行合同所必需的设备和专业技术能力的书面声明</w:t>
      </w:r>
    </w:p>
    <w:p w14:paraId="68EB0586">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五、参加政府采购活动前 3 年内在经营活动中没有重大违法记录的书面声明</w:t>
      </w:r>
    </w:p>
    <w:p w14:paraId="5A39131D">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六、特定资格要求的证明文件（如果本项目设置特定资格要求，则需要提供）</w:t>
      </w:r>
    </w:p>
    <w:p w14:paraId="273AE0C7">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七、法人授权书</w:t>
      </w:r>
    </w:p>
    <w:p w14:paraId="0020D188">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八、谈判响应函</w:t>
      </w:r>
    </w:p>
    <w:p w14:paraId="736F9A4F">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3D1B7B68">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十、残疾人福利性单位声明函</w:t>
      </w:r>
    </w:p>
    <w:p w14:paraId="5F20A955">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关于符合本国产品标准的声明函</w:t>
      </w:r>
    </w:p>
    <w:p w14:paraId="37CAF748">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二</w:t>
      </w:r>
      <w:r>
        <w:rPr>
          <w:rFonts w:hint="eastAsia" w:ascii="宋体" w:hAnsi="宋体" w:eastAsia="宋体" w:cs="宋体"/>
          <w:i w:val="0"/>
          <w:iCs/>
          <w:color w:val="auto"/>
          <w:highlight w:val="none"/>
          <w:u w:val="none"/>
          <w:shd w:val="clear" w:color="auto" w:fill="auto"/>
        </w:rPr>
        <w:t>、分项报价表</w:t>
      </w:r>
    </w:p>
    <w:p w14:paraId="44BA6BFB">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eastAsia="zh-CN"/>
        </w:rPr>
        <w:t>三</w:t>
      </w:r>
      <w:r>
        <w:rPr>
          <w:rFonts w:hint="eastAsia" w:ascii="宋体" w:hAnsi="宋体" w:eastAsia="宋体" w:cs="宋体"/>
          <w:i w:val="0"/>
          <w:iCs/>
          <w:color w:val="auto"/>
          <w:highlight w:val="none"/>
          <w:u w:val="none"/>
          <w:shd w:val="clear" w:color="auto" w:fill="auto"/>
        </w:rPr>
        <w:t>、技术要求响应及偏离表</w:t>
      </w:r>
    </w:p>
    <w:p w14:paraId="02C22548">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十四、资格性审查响应对照表</w:t>
      </w:r>
    </w:p>
    <w:p w14:paraId="62A80CDA">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十五、</w:t>
      </w:r>
      <w:r>
        <w:rPr>
          <w:rFonts w:hint="eastAsia" w:ascii="宋体" w:hAnsi="宋体" w:eastAsia="宋体" w:cs="宋体"/>
          <w:i w:val="0"/>
          <w:iCs/>
          <w:color w:val="auto"/>
          <w:highlight w:val="none"/>
          <w:u w:val="none"/>
          <w:shd w:val="clear" w:color="auto" w:fill="auto"/>
        </w:rPr>
        <w:t>商务要求响应及偏离表</w:t>
      </w:r>
    </w:p>
    <w:p w14:paraId="48EFFF5A">
      <w:pPr>
        <w:pStyle w:val="18"/>
        <w:keepNext w:val="0"/>
        <w:keepLines w:val="0"/>
        <w:pageBreakBefore w:val="0"/>
        <w:kinsoku/>
        <w:wordWrap/>
        <w:overflowPunct/>
        <w:topLinePunct w:val="0"/>
        <w:autoSpaceDE/>
        <w:autoSpaceDN/>
        <w:bidi w:val="0"/>
        <w:adjustRightInd/>
        <w:snapToGrid/>
        <w:spacing w:beforeAutospacing="0" w:afterAutospacing="0" w:line="360" w:lineRule="exact"/>
        <w:ind w:left="480"/>
        <w:jc w:val="both"/>
        <w:textAlignment w:val="auto"/>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六</w:t>
      </w:r>
      <w:r>
        <w:rPr>
          <w:rFonts w:hint="eastAsia" w:ascii="宋体" w:hAnsi="宋体" w:eastAsia="宋体" w:cs="宋体"/>
          <w:i w:val="0"/>
          <w:iCs/>
          <w:color w:val="auto"/>
          <w:highlight w:val="none"/>
          <w:u w:val="none"/>
          <w:shd w:val="clear" w:color="auto" w:fill="auto"/>
        </w:rPr>
        <w:t>、开标一览表</w:t>
      </w:r>
    </w:p>
    <w:p w14:paraId="660B8D16">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七</w:t>
      </w:r>
      <w:r>
        <w:rPr>
          <w:rFonts w:hint="eastAsia" w:ascii="宋体" w:hAnsi="宋体" w:eastAsia="宋体" w:cs="宋体"/>
          <w:i w:val="0"/>
          <w:iCs/>
          <w:color w:val="auto"/>
          <w:highlight w:val="none"/>
          <w:u w:val="none"/>
          <w:shd w:val="clear" w:color="auto" w:fill="auto"/>
        </w:rPr>
        <w:t>、盐城市政府采购事前信用承诺书</w:t>
      </w:r>
    </w:p>
    <w:p w14:paraId="65870BB9">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color w:val="auto"/>
          <w:highlight w:val="none"/>
          <w:shd w:val="clear" w:color="auto" w:fill="auto"/>
        </w:rPr>
      </w:pPr>
    </w:p>
    <w:p w14:paraId="6886DD24">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color w:val="auto"/>
          <w:highlight w:val="none"/>
          <w:shd w:val="clear" w:color="auto" w:fill="auto"/>
        </w:rPr>
      </w:pPr>
    </w:p>
    <w:p w14:paraId="5A47F993">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color w:val="auto"/>
          <w:highlight w:val="none"/>
          <w:shd w:val="clear" w:color="auto" w:fill="auto"/>
        </w:rPr>
      </w:pPr>
    </w:p>
    <w:p w14:paraId="5DE66E1C">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color w:val="auto"/>
          <w:highlight w:val="none"/>
          <w:shd w:val="clear" w:color="auto" w:fill="auto"/>
        </w:rPr>
      </w:pPr>
    </w:p>
    <w:p w14:paraId="18990EBF">
      <w:pPr>
        <w:pStyle w:val="18"/>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color w:val="auto"/>
          <w:highlight w:val="none"/>
          <w:shd w:val="clear" w:color="auto" w:fill="auto"/>
        </w:rPr>
      </w:pPr>
    </w:p>
    <w:p w14:paraId="2744DC84">
      <w:pPr>
        <w:pStyle w:val="18"/>
        <w:spacing w:beforeAutospacing="0" w:afterAutospacing="0" w:line="0" w:lineRule="atLeast"/>
        <w:ind w:firstLine="480"/>
        <w:jc w:val="both"/>
        <w:rPr>
          <w:color w:val="auto"/>
          <w:highlight w:val="none"/>
          <w:shd w:val="clear" w:color="auto" w:fill="auto"/>
        </w:rPr>
      </w:pPr>
    </w:p>
    <w:p w14:paraId="2591896C">
      <w:pPr>
        <w:pStyle w:val="18"/>
        <w:spacing w:beforeAutospacing="0" w:afterAutospacing="0" w:line="0" w:lineRule="atLeast"/>
        <w:ind w:firstLine="480"/>
        <w:jc w:val="both"/>
        <w:rPr>
          <w:color w:val="auto"/>
          <w:highlight w:val="none"/>
          <w:shd w:val="clear" w:color="auto" w:fill="auto"/>
        </w:rPr>
      </w:pPr>
    </w:p>
    <w:p w14:paraId="5E9C429F">
      <w:pPr>
        <w:pStyle w:val="18"/>
        <w:spacing w:beforeAutospacing="0" w:afterAutospacing="0" w:line="0" w:lineRule="atLeast"/>
        <w:ind w:firstLine="480"/>
        <w:jc w:val="both"/>
        <w:rPr>
          <w:color w:val="auto"/>
          <w:highlight w:val="none"/>
          <w:shd w:val="clear" w:color="auto" w:fill="auto"/>
        </w:rPr>
      </w:pPr>
    </w:p>
    <w:p w14:paraId="45E621D8">
      <w:pPr>
        <w:pStyle w:val="18"/>
        <w:spacing w:beforeAutospacing="0" w:afterAutospacing="0" w:line="0" w:lineRule="atLeast"/>
        <w:ind w:firstLine="480"/>
        <w:jc w:val="both"/>
        <w:rPr>
          <w:color w:val="auto"/>
          <w:highlight w:val="none"/>
          <w:shd w:val="clear" w:color="auto" w:fill="auto"/>
        </w:rPr>
      </w:pPr>
    </w:p>
    <w:p w14:paraId="5676E11E">
      <w:pPr>
        <w:pStyle w:val="18"/>
        <w:spacing w:beforeAutospacing="0" w:afterAutospacing="0" w:line="0" w:lineRule="atLeast"/>
        <w:ind w:firstLine="480"/>
        <w:jc w:val="both"/>
        <w:rPr>
          <w:color w:val="auto"/>
          <w:highlight w:val="none"/>
          <w:shd w:val="clear" w:color="auto" w:fill="auto"/>
        </w:rPr>
      </w:pPr>
    </w:p>
    <w:p w14:paraId="73AD9CFF">
      <w:pPr>
        <w:pStyle w:val="18"/>
        <w:spacing w:beforeAutospacing="0" w:afterAutospacing="0" w:line="0" w:lineRule="atLeast"/>
        <w:ind w:firstLine="480"/>
        <w:jc w:val="both"/>
        <w:rPr>
          <w:color w:val="auto"/>
          <w:highlight w:val="none"/>
          <w:shd w:val="clear" w:color="auto" w:fill="auto"/>
        </w:rPr>
      </w:pPr>
    </w:p>
    <w:p w14:paraId="16C826B4">
      <w:pPr>
        <w:pStyle w:val="18"/>
        <w:spacing w:beforeAutospacing="0" w:afterAutospacing="0" w:line="0" w:lineRule="atLeast"/>
        <w:ind w:firstLine="480"/>
        <w:jc w:val="both"/>
        <w:rPr>
          <w:color w:val="auto"/>
          <w:highlight w:val="none"/>
          <w:shd w:val="clear" w:color="auto" w:fill="auto"/>
        </w:rPr>
      </w:pPr>
    </w:p>
    <w:p w14:paraId="0A818A21">
      <w:pPr>
        <w:pStyle w:val="1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5BE082D">
      <w:pPr>
        <w:pStyle w:val="1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DEB0BFA">
      <w:pPr>
        <w:pStyle w:val="1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79FEA76D">
      <w:pPr>
        <w:pStyle w:val="1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C45530E">
      <w:pPr>
        <w:pStyle w:val="1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C71A700">
      <w:pPr>
        <w:pStyle w:val="18"/>
        <w:spacing w:beforeAutospacing="0" w:afterAutospacing="0" w:line="0" w:lineRule="atLeast"/>
        <w:ind w:firstLine="480"/>
        <w:jc w:val="both"/>
        <w:rPr>
          <w:color w:val="auto"/>
          <w:highlight w:val="none"/>
          <w:shd w:val="clear" w:color="auto" w:fill="auto"/>
        </w:rPr>
      </w:pPr>
    </w:p>
    <w:p w14:paraId="03DA9621">
      <w:pPr>
        <w:pStyle w:val="18"/>
        <w:spacing w:beforeAutospacing="0" w:afterAutospacing="0" w:line="0" w:lineRule="atLeast"/>
        <w:ind w:firstLine="480"/>
        <w:jc w:val="both"/>
        <w:rPr>
          <w:color w:val="auto"/>
          <w:highlight w:val="none"/>
          <w:shd w:val="clear" w:color="auto" w:fill="auto"/>
        </w:rPr>
      </w:pPr>
    </w:p>
    <w:p w14:paraId="1EC7274A">
      <w:pPr>
        <w:pStyle w:val="18"/>
        <w:spacing w:beforeAutospacing="0" w:afterAutospacing="0" w:line="0" w:lineRule="atLeast"/>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730CC53F">
      <w:pPr>
        <w:pStyle w:val="1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CED2B5D">
      <w:pPr>
        <w:pStyle w:val="18"/>
        <w:spacing w:beforeAutospacing="0" w:afterAutospacing="0"/>
        <w:jc w:val="both"/>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二、上一年度的财务状况报</w:t>
      </w:r>
      <w:r>
        <w:rPr>
          <w:rFonts w:hint="eastAsia" w:ascii="黑体" w:hAnsi="宋体" w:eastAsia="黑体" w:cs="黑体"/>
          <w:i/>
          <w:color w:val="auto"/>
          <w:sz w:val="32"/>
          <w:szCs w:val="32"/>
          <w:highlight w:val="none"/>
          <w:u w:val="single"/>
          <w:shd w:val="clear" w:color="auto" w:fill="auto"/>
          <w:lang w:val="en-US" w:eastAsia="zh-CN"/>
        </w:rPr>
        <w:t>表</w:t>
      </w:r>
    </w:p>
    <w:p w14:paraId="40E40A8F">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（至少提供资产负债表、利润表、现金流量表，谈判供应商成立不满一年无需提供）</w:t>
      </w:r>
    </w:p>
    <w:p w14:paraId="2B6E0F00">
      <w:pPr>
        <w:pStyle w:val="18"/>
        <w:spacing w:beforeAutospacing="0" w:afterAutospacing="0"/>
        <w:jc w:val="both"/>
        <w:rPr>
          <w:color w:val="auto"/>
          <w:highlight w:val="none"/>
          <w:shd w:val="clear" w:color="auto" w:fill="auto"/>
        </w:rPr>
      </w:pPr>
      <w:r>
        <w:rPr>
          <w:color w:val="auto"/>
          <w:highlight w:val="none"/>
          <w:shd w:val="clear" w:color="auto" w:fill="auto"/>
        </w:rPr>
        <w:t> </w:t>
      </w:r>
    </w:p>
    <w:p w14:paraId="286458FA">
      <w:pPr>
        <w:pStyle w:val="18"/>
        <w:spacing w:beforeAutospacing="0" w:afterAutospacing="0"/>
        <w:jc w:val="both"/>
        <w:rPr>
          <w:color w:val="auto"/>
          <w:highlight w:val="none"/>
          <w:shd w:val="clear" w:color="auto" w:fill="auto"/>
        </w:rPr>
      </w:pPr>
      <w:r>
        <w:rPr>
          <w:color w:val="auto"/>
          <w:highlight w:val="none"/>
          <w:shd w:val="clear" w:color="auto" w:fill="auto"/>
        </w:rPr>
        <w:t> </w:t>
      </w:r>
      <w:r>
        <w:rPr>
          <w:rFonts w:hint="eastAsia" w:ascii="黑体" w:hAnsi="宋体" w:eastAsia="黑体" w:cs="黑体"/>
          <w:i/>
          <w:color w:val="auto"/>
          <w:sz w:val="32"/>
          <w:szCs w:val="32"/>
          <w:highlight w:val="none"/>
          <w:u w:val="single"/>
          <w:shd w:val="clear" w:color="auto" w:fill="auto"/>
          <w:lang w:eastAsia="zh-CN"/>
        </w:rPr>
        <w:t>三</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79845855">
      <w:pPr>
        <w:pStyle w:val="18"/>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5E49CCA0">
      <w:pPr>
        <w:pStyle w:val="18"/>
        <w:spacing w:beforeAutospacing="0" w:afterAutospacing="0"/>
        <w:jc w:val="both"/>
        <w:rPr>
          <w:color w:val="auto"/>
          <w:highlight w:val="none"/>
          <w:shd w:val="clear" w:color="auto" w:fill="auto"/>
        </w:rPr>
      </w:pPr>
    </w:p>
    <w:p w14:paraId="72C6C7E1">
      <w:pPr>
        <w:pStyle w:val="18"/>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40931C90">
      <w:pPr>
        <w:pStyle w:val="18"/>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21B67B49">
      <w:pPr>
        <w:pStyle w:val="18"/>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6DD9454B">
      <w:pPr>
        <w:pStyle w:val="18"/>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4E1F38CE">
      <w:pPr>
        <w:pStyle w:val="18"/>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36B6D2C3">
      <w:pPr>
        <w:pStyle w:val="18"/>
        <w:spacing w:beforeAutospacing="0" w:afterAutospacing="0" w:line="0" w:lineRule="atLeast"/>
        <w:jc w:val="both"/>
        <w:rPr>
          <w:color w:val="auto"/>
          <w:highlight w:val="none"/>
          <w:shd w:val="clear" w:color="auto" w:fill="auto"/>
        </w:rPr>
      </w:pPr>
      <w:r>
        <w:rPr>
          <w:rFonts w:hint="eastAsia" w:ascii="宋体" w:hAnsi="宋体" w:eastAsia="宋体" w:cs="宋体"/>
          <w:b/>
          <w:color w:val="auto"/>
          <w:sz w:val="44"/>
          <w:szCs w:val="44"/>
          <w:highlight w:val="none"/>
          <w:shd w:val="clear" w:color="auto" w:fill="auto"/>
        </w:rPr>
        <w:t>      声  明</w:t>
      </w:r>
    </w:p>
    <w:p w14:paraId="5670D4B4">
      <w:pPr>
        <w:pStyle w:val="18"/>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44D900F5">
      <w:pPr>
        <w:pStyle w:val="18"/>
        <w:spacing w:beforeAutospacing="0" w:afterAutospacing="0"/>
        <w:jc w:val="both"/>
        <w:rPr>
          <w:color w:val="auto"/>
          <w:highlight w:val="none"/>
          <w:shd w:val="clear" w:color="auto" w:fill="auto"/>
        </w:rPr>
      </w:pPr>
      <w:r>
        <w:rPr>
          <w:color w:val="auto"/>
          <w:highlight w:val="none"/>
          <w:shd w:val="clear" w:color="auto" w:fill="auto"/>
        </w:rPr>
        <w:t> </w:t>
      </w:r>
    </w:p>
    <w:p w14:paraId="527EB042">
      <w:pPr>
        <w:pStyle w:val="18"/>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1B0EDD2F">
      <w:pPr>
        <w:pStyle w:val="18"/>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6CF3A0F8">
      <w:pPr>
        <w:pStyle w:val="18"/>
        <w:spacing w:beforeAutospacing="0" w:afterAutospacing="0"/>
        <w:jc w:val="center"/>
        <w:rPr>
          <w:rFonts w:ascii="黑体" w:hAnsi="宋体" w:eastAsia="黑体" w:cs="黑体"/>
          <w:i/>
          <w:color w:val="auto"/>
          <w:sz w:val="32"/>
          <w:szCs w:val="32"/>
          <w:highlight w:val="none"/>
          <w:u w:val="single"/>
          <w:shd w:val="clear" w:color="auto" w:fill="auto"/>
        </w:rPr>
      </w:pPr>
      <w:bookmarkStart w:id="197" w:name="_Toc120614284"/>
    </w:p>
    <w:p w14:paraId="26A5A972">
      <w:pPr>
        <w:pStyle w:val="18"/>
        <w:spacing w:beforeAutospacing="0" w:afterAutospacing="0"/>
        <w:jc w:val="center"/>
        <w:rPr>
          <w:rFonts w:ascii="黑体" w:hAnsi="宋体" w:eastAsia="黑体" w:cs="黑体"/>
          <w:i/>
          <w:color w:val="auto"/>
          <w:sz w:val="32"/>
          <w:szCs w:val="32"/>
          <w:highlight w:val="none"/>
          <w:u w:val="single"/>
          <w:shd w:val="clear" w:color="auto" w:fill="auto"/>
        </w:rPr>
      </w:pPr>
    </w:p>
    <w:p w14:paraId="0C2D93E2">
      <w:pPr>
        <w:pStyle w:val="18"/>
        <w:spacing w:beforeAutospacing="0" w:afterAutospacing="0"/>
        <w:jc w:val="center"/>
        <w:rPr>
          <w:rFonts w:ascii="黑体" w:hAnsi="宋体" w:eastAsia="黑体" w:cs="黑体"/>
          <w:i/>
          <w:color w:val="auto"/>
          <w:sz w:val="32"/>
          <w:szCs w:val="32"/>
          <w:highlight w:val="none"/>
          <w:u w:val="single"/>
          <w:shd w:val="clear" w:color="auto" w:fill="auto"/>
        </w:rPr>
      </w:pPr>
    </w:p>
    <w:p w14:paraId="4A25F832">
      <w:pPr>
        <w:pStyle w:val="18"/>
        <w:spacing w:beforeAutospacing="0" w:afterAutospacing="0"/>
        <w:jc w:val="center"/>
        <w:rPr>
          <w:rFonts w:ascii="黑体" w:hAnsi="宋体" w:eastAsia="黑体" w:cs="黑体"/>
          <w:i/>
          <w:color w:val="auto"/>
          <w:sz w:val="32"/>
          <w:szCs w:val="32"/>
          <w:highlight w:val="none"/>
          <w:u w:val="single"/>
          <w:shd w:val="clear" w:color="auto" w:fill="auto"/>
        </w:rPr>
      </w:pPr>
    </w:p>
    <w:p w14:paraId="262C3761">
      <w:pPr>
        <w:pStyle w:val="18"/>
        <w:spacing w:beforeAutospacing="0" w:afterAutospacing="0"/>
        <w:jc w:val="center"/>
        <w:rPr>
          <w:rFonts w:ascii="黑体" w:hAnsi="宋体" w:eastAsia="黑体" w:cs="黑体"/>
          <w:i/>
          <w:color w:val="auto"/>
          <w:sz w:val="32"/>
          <w:szCs w:val="32"/>
          <w:highlight w:val="none"/>
          <w:u w:val="single"/>
          <w:shd w:val="clear" w:color="auto" w:fill="auto"/>
        </w:rPr>
      </w:pPr>
    </w:p>
    <w:p w14:paraId="0EFE2CE2">
      <w:pPr>
        <w:pStyle w:val="18"/>
        <w:spacing w:beforeAutospacing="0" w:afterAutospacing="0"/>
        <w:jc w:val="center"/>
        <w:rPr>
          <w:rFonts w:ascii="黑体" w:hAnsi="宋体" w:eastAsia="黑体" w:cs="黑体"/>
          <w:i/>
          <w:color w:val="auto"/>
          <w:sz w:val="32"/>
          <w:szCs w:val="32"/>
          <w:highlight w:val="none"/>
          <w:u w:val="single"/>
          <w:shd w:val="clear" w:color="auto" w:fill="auto"/>
        </w:rPr>
      </w:pPr>
    </w:p>
    <w:p w14:paraId="078C7436">
      <w:pPr>
        <w:pStyle w:val="18"/>
        <w:spacing w:beforeAutospacing="0" w:afterAutospacing="0"/>
        <w:jc w:val="center"/>
        <w:rPr>
          <w:rFonts w:ascii="黑体" w:hAnsi="宋体" w:eastAsia="黑体" w:cs="黑体"/>
          <w:i/>
          <w:color w:val="auto"/>
          <w:sz w:val="32"/>
          <w:szCs w:val="32"/>
          <w:highlight w:val="none"/>
          <w:u w:val="single"/>
          <w:shd w:val="clear" w:color="auto" w:fill="auto"/>
        </w:rPr>
      </w:pPr>
    </w:p>
    <w:p w14:paraId="7B8867AA">
      <w:pPr>
        <w:pStyle w:val="18"/>
        <w:spacing w:beforeAutospacing="0" w:afterAutospacing="0"/>
        <w:jc w:val="center"/>
        <w:rPr>
          <w:rFonts w:ascii="黑体" w:hAnsi="宋体" w:eastAsia="黑体" w:cs="黑体"/>
          <w:i/>
          <w:color w:val="auto"/>
          <w:sz w:val="32"/>
          <w:szCs w:val="32"/>
          <w:highlight w:val="none"/>
          <w:u w:val="single"/>
          <w:shd w:val="clear" w:color="auto" w:fill="auto"/>
        </w:rPr>
      </w:pPr>
    </w:p>
    <w:p w14:paraId="0D38DC26">
      <w:pPr>
        <w:pStyle w:val="18"/>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34DEEA52">
      <w:pPr>
        <w:pStyle w:val="18"/>
        <w:tabs>
          <w:tab w:val="left" w:pos="360"/>
        </w:tabs>
        <w:spacing w:beforeAutospacing="0" w:afterAutospacing="0"/>
        <w:ind w:firstLine="480"/>
        <w:jc w:val="both"/>
      </w:pPr>
      <w:bookmarkStart w:id="198" w:name="_Hlt26671380"/>
      <w:bookmarkStart w:id="199" w:name="_格式3__银行出具的资信证明"/>
      <w:bookmarkStart w:id="200" w:name="_Hlt26955070"/>
      <w:r>
        <w:rPr>
          <w:rFonts w:ascii="Times New Roman" w:hAnsi="Times New Roman"/>
          <w:color w:val="000000"/>
        </w:rPr>
        <w:t>本授权书声明：____________（</w:t>
      </w:r>
      <w:r>
        <w:rPr>
          <w:rFonts w:hint="eastAsia" w:ascii="Times New Roman" w:hAnsi="Times New Roman"/>
          <w:color w:val="000000"/>
          <w:lang w:val="en-US" w:eastAsia="zh-CN"/>
        </w:rPr>
        <w:t>供应商</w:t>
      </w:r>
      <w:r>
        <w:rPr>
          <w:rFonts w:ascii="Times New Roman" w:hAnsi="Times New Roman"/>
          <w:color w:val="000000"/>
        </w:rPr>
        <w:t>名称）授权________________（被授权人的姓名）为我方就</w:t>
      </w:r>
      <w:r>
        <w:rPr>
          <w:rFonts w:hint="eastAsia" w:ascii="Times New Roman" w:hAnsi="Times New Roman"/>
          <w:color w:val="000000"/>
          <w:u w:val="single"/>
        </w:rPr>
        <w:t>JSZC-320924-SYHY-T2026-0005</w:t>
      </w:r>
      <w:r>
        <w:rPr>
          <w:rFonts w:ascii="Times New Roman" w:hAnsi="Times New Roman"/>
          <w:color w:val="000000"/>
        </w:rPr>
        <w:t>号项目采购活动的合法代理人，以本单位名义全权处理一切与该项目采购有关的事务。</w:t>
      </w:r>
    </w:p>
    <w:p w14:paraId="7A509417">
      <w:pPr>
        <w:pStyle w:val="18"/>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3356E589">
      <w:pPr>
        <w:pStyle w:val="18"/>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70DF83B5">
      <w:pPr>
        <w:pStyle w:val="18"/>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7A28C04B">
      <w:pPr>
        <w:pStyle w:val="18"/>
        <w:tabs>
          <w:tab w:val="left" w:pos="360"/>
        </w:tabs>
        <w:spacing w:beforeAutospacing="0" w:afterAutospacing="0"/>
        <w:ind w:firstLine="1200"/>
        <w:jc w:val="both"/>
      </w:pPr>
      <w:r>
        <w:rPr>
          <w:rFonts w:ascii="Times New Roman" w:hAnsi="Times New Roman"/>
          <w:color w:val="000000"/>
        </w:rPr>
        <w:t>授权单位名称：</w:t>
      </w:r>
      <w:r>
        <w:rPr>
          <w:rFonts w:ascii="Times New Roman" w:hAnsi="Times New Roman"/>
          <w:color w:val="000000"/>
          <w:u w:val="single"/>
        </w:rPr>
        <w:t>（加盖CA电子公章）</w:t>
      </w:r>
    </w:p>
    <w:p w14:paraId="46AD6C02">
      <w:pPr>
        <w:pStyle w:val="18"/>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59EE314A">
      <w:pPr>
        <w:pStyle w:val="18"/>
        <w:tabs>
          <w:tab w:val="left" w:pos="360"/>
        </w:tabs>
        <w:spacing w:beforeAutospacing="0" w:afterAutospacing="0"/>
        <w:ind w:firstLine="480"/>
        <w:jc w:val="both"/>
      </w:pPr>
      <w:r>
        <w:rPr>
          <w:rFonts w:ascii="Times New Roman" w:hAnsi="Times New Roman"/>
          <w:color w:val="000000"/>
        </w:rPr>
        <w:t>      日期：</w:t>
      </w:r>
      <w:r>
        <w:rPr>
          <w:rFonts w:ascii="Times New Roman" w:hAnsi="Times New Roman"/>
          <w:color w:val="000000"/>
          <w:u w:val="single"/>
        </w:rPr>
        <w:t xml:space="preserve">                                         </w:t>
      </w:r>
    </w:p>
    <w:p w14:paraId="440EA0CC">
      <w:pPr>
        <w:pStyle w:val="18"/>
        <w:spacing w:beforeAutospacing="0" w:afterAutospacing="0"/>
        <w:ind w:firstLine="420"/>
        <w:jc w:val="both"/>
      </w:pPr>
      <w:r>
        <w:t> </w:t>
      </w:r>
    </w:p>
    <w:p w14:paraId="364B0B23">
      <w:pPr>
        <w:pStyle w:val="18"/>
        <w:spacing w:beforeAutospacing="0" w:afterAutospacing="0"/>
        <w:jc w:val="both"/>
      </w:pPr>
      <w:r>
        <w:t> </w:t>
      </w:r>
    </w:p>
    <w:tbl>
      <w:tblPr>
        <w:tblStyle w:val="20"/>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2"/>
        <w:gridCol w:w="4215"/>
      </w:tblGrid>
      <w:tr w14:paraId="14A15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382" w:type="dxa"/>
            <w:tcBorders>
              <w:top w:val="single" w:color="auto" w:sz="4" w:space="0"/>
              <w:left w:val="single" w:color="auto" w:sz="4" w:space="0"/>
              <w:bottom w:val="single" w:color="auto" w:sz="4" w:space="0"/>
              <w:right w:val="single" w:color="auto" w:sz="4" w:space="0"/>
            </w:tcBorders>
            <w:noWrap w:val="0"/>
            <w:vAlign w:val="center"/>
          </w:tcPr>
          <w:p w14:paraId="08E664B3">
            <w:pPr>
              <w:spacing w:line="600" w:lineRule="exact"/>
              <w:jc w:val="center"/>
              <w:rPr>
                <w:color w:val="000000"/>
                <w:sz w:val="24"/>
              </w:rPr>
            </w:pPr>
            <w:r>
              <w:rPr>
                <w:rFonts w:hint="eastAsia"/>
                <w:color w:val="000000"/>
                <w:sz w:val="24"/>
              </w:rPr>
              <w:t>法定代表人有效身份证明</w:t>
            </w:r>
          </w:p>
        </w:tc>
        <w:tc>
          <w:tcPr>
            <w:tcW w:w="4215" w:type="dxa"/>
            <w:tcBorders>
              <w:top w:val="single" w:color="auto" w:sz="4" w:space="0"/>
              <w:left w:val="single" w:color="auto" w:sz="4" w:space="0"/>
              <w:bottom w:val="single" w:color="auto" w:sz="4" w:space="0"/>
              <w:right w:val="single" w:color="auto" w:sz="4" w:space="0"/>
            </w:tcBorders>
            <w:noWrap w:val="0"/>
            <w:vAlign w:val="center"/>
          </w:tcPr>
          <w:p w14:paraId="608AEDDC">
            <w:pPr>
              <w:spacing w:line="600" w:lineRule="exact"/>
              <w:jc w:val="center"/>
              <w:rPr>
                <w:color w:val="000000"/>
                <w:sz w:val="24"/>
              </w:rPr>
            </w:pPr>
            <w:r>
              <w:rPr>
                <w:rFonts w:hint="eastAsia"/>
                <w:color w:val="000000"/>
                <w:sz w:val="24"/>
              </w:rPr>
              <w:t>法定代表人有效身份证明</w:t>
            </w:r>
          </w:p>
        </w:tc>
      </w:tr>
      <w:tr w14:paraId="67DF9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0" w:hRule="atLeast"/>
          <w:jc w:val="center"/>
        </w:trPr>
        <w:tc>
          <w:tcPr>
            <w:tcW w:w="4382" w:type="dxa"/>
            <w:tcBorders>
              <w:top w:val="single" w:color="auto" w:sz="4" w:space="0"/>
              <w:left w:val="single" w:color="auto" w:sz="4" w:space="0"/>
              <w:bottom w:val="single" w:color="auto" w:sz="4" w:space="0"/>
              <w:right w:val="single" w:color="auto" w:sz="4" w:space="0"/>
            </w:tcBorders>
            <w:noWrap w:val="0"/>
            <w:vAlign w:val="center"/>
          </w:tcPr>
          <w:p w14:paraId="50200E36">
            <w:pPr>
              <w:spacing w:line="600" w:lineRule="exact"/>
              <w:jc w:val="center"/>
              <w:rPr>
                <w:color w:val="000000"/>
                <w:sz w:val="24"/>
              </w:rPr>
            </w:pPr>
            <w:r>
              <w:rPr>
                <w:rFonts w:hint="eastAsia"/>
                <w:color w:val="000000"/>
                <w:sz w:val="24"/>
              </w:rPr>
              <w:t>正面</w:t>
            </w:r>
          </w:p>
        </w:tc>
        <w:tc>
          <w:tcPr>
            <w:tcW w:w="4215" w:type="dxa"/>
            <w:tcBorders>
              <w:top w:val="single" w:color="auto" w:sz="4" w:space="0"/>
              <w:left w:val="single" w:color="auto" w:sz="4" w:space="0"/>
              <w:bottom w:val="single" w:color="auto" w:sz="4" w:space="0"/>
              <w:right w:val="single" w:color="auto" w:sz="4" w:space="0"/>
            </w:tcBorders>
            <w:noWrap w:val="0"/>
            <w:vAlign w:val="center"/>
          </w:tcPr>
          <w:p w14:paraId="08FE3E05">
            <w:pPr>
              <w:spacing w:line="600" w:lineRule="exact"/>
              <w:jc w:val="center"/>
              <w:rPr>
                <w:color w:val="000000"/>
                <w:sz w:val="24"/>
              </w:rPr>
            </w:pPr>
            <w:r>
              <w:rPr>
                <w:rFonts w:hint="eastAsia"/>
                <w:color w:val="000000"/>
                <w:sz w:val="24"/>
              </w:rPr>
              <w:t>背面</w:t>
            </w:r>
          </w:p>
        </w:tc>
      </w:tr>
    </w:tbl>
    <w:p w14:paraId="4C9ABE3E">
      <w:pPr>
        <w:pStyle w:val="18"/>
        <w:spacing w:beforeAutospacing="0" w:afterAutospacing="0"/>
        <w:jc w:val="both"/>
        <w:rPr>
          <w:rFonts w:hint="eastAsia" w:ascii="宋体" w:hAnsi="宋体" w:eastAsia="宋体" w:cs="宋体"/>
        </w:rPr>
      </w:pPr>
    </w:p>
    <w:p w14:paraId="4C2F0D97">
      <w:pPr>
        <w:pStyle w:val="18"/>
        <w:spacing w:beforeAutospacing="0" w:afterAutospacing="0"/>
        <w:ind w:firstLine="420"/>
        <w:jc w:val="both"/>
        <w:rPr>
          <w:rFonts w:hint="eastAsia" w:ascii="宋体" w:hAnsi="宋体" w:eastAsia="宋体" w:cs="宋体"/>
        </w:rPr>
      </w:pPr>
    </w:p>
    <w:p w14:paraId="1224851D">
      <w:pPr>
        <w:pStyle w:val="18"/>
        <w:spacing w:beforeAutospacing="0" w:afterAutospacing="0"/>
        <w:ind w:firstLine="420"/>
        <w:jc w:val="both"/>
        <w:rPr>
          <w:rFonts w:hint="eastAsia" w:ascii="宋体" w:hAnsi="宋体" w:eastAsia="宋体" w:cs="宋体"/>
        </w:rPr>
      </w:pPr>
    </w:p>
    <w:tbl>
      <w:tblPr>
        <w:tblStyle w:val="20"/>
        <w:tblpPr w:leftFromText="180" w:rightFromText="180" w:vertAnchor="text" w:horzAnchor="page" w:tblpX="1635" w:tblpY="246"/>
        <w:tblOverlap w:val="never"/>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389"/>
      </w:tblGrid>
      <w:tr w14:paraId="0BCA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4395" w:type="dxa"/>
            <w:tcBorders>
              <w:top w:val="single" w:color="auto" w:sz="4" w:space="0"/>
              <w:left w:val="single" w:color="auto" w:sz="4" w:space="0"/>
              <w:bottom w:val="single" w:color="auto" w:sz="4" w:space="0"/>
              <w:right w:val="single" w:color="auto" w:sz="4" w:space="0"/>
            </w:tcBorders>
            <w:noWrap w:val="0"/>
            <w:vAlign w:val="center"/>
          </w:tcPr>
          <w:p w14:paraId="13F2F6B2">
            <w:pPr>
              <w:spacing w:line="600" w:lineRule="exact"/>
              <w:jc w:val="center"/>
              <w:rPr>
                <w:color w:val="000000"/>
                <w:sz w:val="24"/>
              </w:rPr>
            </w:pPr>
            <w:r>
              <w:rPr>
                <w:rFonts w:hint="eastAsia"/>
                <w:color w:val="000000"/>
                <w:sz w:val="24"/>
              </w:rPr>
              <w:t>被授权人有效身份证明</w:t>
            </w:r>
          </w:p>
        </w:tc>
        <w:tc>
          <w:tcPr>
            <w:tcW w:w="4389" w:type="dxa"/>
            <w:tcBorders>
              <w:top w:val="single" w:color="auto" w:sz="4" w:space="0"/>
              <w:left w:val="single" w:color="auto" w:sz="4" w:space="0"/>
              <w:bottom w:val="single" w:color="auto" w:sz="4" w:space="0"/>
              <w:right w:val="single" w:color="auto" w:sz="4" w:space="0"/>
            </w:tcBorders>
            <w:noWrap w:val="0"/>
            <w:vAlign w:val="center"/>
          </w:tcPr>
          <w:p w14:paraId="2D3DC31F">
            <w:pPr>
              <w:spacing w:line="600" w:lineRule="exact"/>
              <w:jc w:val="center"/>
              <w:rPr>
                <w:color w:val="000000"/>
                <w:sz w:val="24"/>
              </w:rPr>
            </w:pPr>
            <w:r>
              <w:rPr>
                <w:rFonts w:hint="eastAsia"/>
                <w:color w:val="000000"/>
                <w:sz w:val="24"/>
              </w:rPr>
              <w:t>被授权人有效身份证明</w:t>
            </w:r>
          </w:p>
        </w:tc>
      </w:tr>
      <w:tr w14:paraId="3FEE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0" w:hRule="atLeast"/>
        </w:trPr>
        <w:tc>
          <w:tcPr>
            <w:tcW w:w="4395" w:type="dxa"/>
            <w:tcBorders>
              <w:top w:val="single" w:color="auto" w:sz="4" w:space="0"/>
              <w:left w:val="single" w:color="auto" w:sz="4" w:space="0"/>
              <w:bottom w:val="single" w:color="auto" w:sz="4" w:space="0"/>
              <w:right w:val="single" w:color="auto" w:sz="4" w:space="0"/>
            </w:tcBorders>
            <w:noWrap w:val="0"/>
            <w:vAlign w:val="center"/>
          </w:tcPr>
          <w:p w14:paraId="4E1B6716">
            <w:pPr>
              <w:spacing w:line="600" w:lineRule="exact"/>
              <w:jc w:val="center"/>
              <w:rPr>
                <w:color w:val="000000"/>
                <w:sz w:val="24"/>
              </w:rPr>
            </w:pPr>
            <w:r>
              <w:rPr>
                <w:rFonts w:hint="eastAsia"/>
                <w:color w:val="000000"/>
                <w:sz w:val="24"/>
              </w:rPr>
              <w:t>正面</w:t>
            </w:r>
          </w:p>
        </w:tc>
        <w:tc>
          <w:tcPr>
            <w:tcW w:w="4389" w:type="dxa"/>
            <w:tcBorders>
              <w:top w:val="single" w:color="auto" w:sz="4" w:space="0"/>
              <w:left w:val="single" w:color="auto" w:sz="4" w:space="0"/>
              <w:bottom w:val="single" w:color="auto" w:sz="4" w:space="0"/>
              <w:right w:val="single" w:color="auto" w:sz="4" w:space="0"/>
            </w:tcBorders>
            <w:noWrap w:val="0"/>
            <w:vAlign w:val="center"/>
          </w:tcPr>
          <w:p w14:paraId="69FF093B">
            <w:pPr>
              <w:spacing w:line="600" w:lineRule="exact"/>
              <w:jc w:val="center"/>
              <w:rPr>
                <w:color w:val="000000"/>
                <w:sz w:val="24"/>
              </w:rPr>
            </w:pPr>
            <w:r>
              <w:rPr>
                <w:rFonts w:hint="eastAsia"/>
                <w:color w:val="000000"/>
                <w:sz w:val="24"/>
              </w:rPr>
              <w:t>背面</w:t>
            </w:r>
          </w:p>
        </w:tc>
      </w:tr>
    </w:tbl>
    <w:p w14:paraId="5F1BE49E">
      <w:pPr>
        <w:pStyle w:val="18"/>
        <w:keepNext/>
        <w:keepLines/>
        <w:spacing w:before="260" w:beforeAutospacing="0" w:after="260" w:afterAutospacing="0" w:line="415" w:lineRule="auto"/>
        <w:ind w:firstLine="3390"/>
        <w:jc w:val="both"/>
        <w:rPr>
          <w:rFonts w:hint="eastAsia" w:ascii="宋体" w:hAnsi="宋体" w:eastAsia="宋体" w:cs="宋体"/>
          <w:b/>
          <w:color w:val="000000"/>
        </w:rPr>
      </w:pPr>
    </w:p>
    <w:p w14:paraId="08D618D6">
      <w:pPr>
        <w:pStyle w:val="18"/>
        <w:keepNext/>
        <w:keepLines/>
        <w:spacing w:before="260" w:beforeAutospacing="0" w:after="260" w:afterAutospacing="0" w:line="415" w:lineRule="auto"/>
        <w:ind w:firstLine="3390"/>
        <w:jc w:val="both"/>
        <w:rPr>
          <w:rFonts w:hint="eastAsia" w:ascii="宋体" w:hAnsi="宋体" w:eastAsia="宋体" w:cs="宋体"/>
          <w:b/>
          <w:color w:val="000000"/>
        </w:rPr>
      </w:pPr>
    </w:p>
    <w:p w14:paraId="4D0305E8">
      <w:pPr>
        <w:pStyle w:val="18"/>
        <w:keepNext/>
        <w:keepLines/>
        <w:spacing w:before="260" w:beforeAutospacing="0" w:after="260" w:afterAutospacing="0" w:line="415" w:lineRule="auto"/>
        <w:jc w:val="both"/>
        <w:rPr>
          <w:rFonts w:hint="eastAsia" w:ascii="宋体" w:hAnsi="宋体" w:eastAsia="宋体" w:cs="宋体"/>
          <w:b/>
          <w:color w:val="000000"/>
        </w:rPr>
      </w:pPr>
    </w:p>
    <w:p w14:paraId="6AB92D67">
      <w:pPr>
        <w:pStyle w:val="18"/>
        <w:keepNext/>
        <w:keepLines/>
        <w:spacing w:before="260" w:beforeAutospacing="0" w:after="260" w:afterAutospacing="0" w:line="415" w:lineRule="auto"/>
        <w:ind w:firstLine="3390" w:firstLineChars="0"/>
        <w:jc w:val="both"/>
        <w:outlineLvl w:val="0"/>
        <w:rPr>
          <w:rFonts w:hint="eastAsia" w:ascii="黑体" w:hAnsi="宋体" w:eastAsia="黑体" w:cs="黑体"/>
          <w:b/>
          <w:i/>
          <w:color w:val="auto"/>
          <w:sz w:val="32"/>
          <w:szCs w:val="32"/>
          <w:highlight w:val="none"/>
          <w:u w:val="single"/>
          <w:shd w:val="clear" w:color="auto" w:fill="auto"/>
        </w:rPr>
      </w:pPr>
      <w:r>
        <w:rPr>
          <w:rFonts w:hint="eastAsia" w:ascii="宋体" w:hAnsi="宋体" w:eastAsia="宋体" w:cs="宋体"/>
          <w:b/>
          <w:color w:val="000000"/>
        </w:rPr>
        <w:br w:type="page"/>
      </w:r>
    </w:p>
    <w:p w14:paraId="207CF9B0">
      <w:pPr>
        <w:pStyle w:val="18"/>
        <w:tabs>
          <w:tab w:val="left" w:pos="360"/>
        </w:tabs>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八、谈判响应函</w:t>
      </w:r>
    </w:p>
    <w:p w14:paraId="407D5DD4">
      <w:pPr>
        <w:pStyle w:val="18"/>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致：射阳县植物保护站、射阳宏远财会服务有限公司</w:t>
      </w:r>
    </w:p>
    <w:p w14:paraId="74080DFC">
      <w:pPr>
        <w:pStyle w:val="18"/>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w:t>
      </w:r>
      <w:r>
        <w:rPr>
          <w:rFonts w:hint="eastAsia" w:ascii="宋体" w:hAnsi="宋体" w:eastAsia="宋体" w:cs="宋体"/>
          <w:color w:val="auto"/>
          <w:highlight w:val="none"/>
          <w:shd w:val="clear" w:color="auto" w:fill="auto"/>
        </w:rPr>
        <w:t>方的</w:t>
      </w:r>
      <w:r>
        <w:rPr>
          <w:rFonts w:hint="eastAsia" w:ascii="宋体" w:hAnsi="宋体" w:eastAsia="宋体" w:cs="宋体"/>
          <w:color w:val="auto"/>
          <w:highlight w:val="none"/>
          <w:u w:val="single"/>
          <w:shd w:val="clear" w:color="auto" w:fill="auto"/>
        </w:rPr>
        <w:t>JSZC-320924-SYHY-T2026-0005</w:t>
      </w:r>
      <w:r>
        <w:rPr>
          <w:rFonts w:hint="eastAsia" w:ascii="宋体" w:hAnsi="宋体" w:eastAsia="宋体" w:cs="宋体"/>
          <w:color w:val="auto"/>
          <w:highlight w:val="none"/>
          <w:shd w:val="clear" w:color="auto" w:fill="auto"/>
        </w:rPr>
        <w:t>号谈判文件</w:t>
      </w:r>
      <w:r>
        <w:rPr>
          <w:rFonts w:hint="eastAsia" w:ascii="宋体" w:hAnsi="宋体" w:eastAsia="宋体" w:cs="宋体"/>
          <w:color w:val="auto"/>
          <w:highlight w:val="none"/>
          <w:shd w:val="clear" w:color="auto" w:fill="auto"/>
        </w:rPr>
        <w:t>，正式授权下述签字人______(姓名)代表我方______________（供应商的名称），全权处理本次项目谈判的有关事宜。</w:t>
      </w:r>
    </w:p>
    <w:p w14:paraId="50BA4856">
      <w:pPr>
        <w:pStyle w:val="18"/>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20B8A4D8">
      <w:pPr>
        <w:pStyle w:val="18"/>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1.按谈判文件规定的各项要求，向买方提供所需货物、服务（包含与货物相关的服务及与服务相关的货物）。</w:t>
      </w:r>
    </w:p>
    <w:p w14:paraId="535A9719">
      <w:pPr>
        <w:pStyle w:val="18"/>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2.我们已详细审核全部谈判文件及其有效补充文件，我们知道必须放弃提出含糊不清或误解问题的权利。</w:t>
      </w:r>
    </w:p>
    <w:p w14:paraId="6F58BD1B">
      <w:pPr>
        <w:pStyle w:val="18"/>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3.我们同意从规定的开标日期起遵循本响应文件，并在规定的谈判有效期期满之前均具有约束力。</w:t>
      </w:r>
    </w:p>
    <w:p w14:paraId="414638BD">
      <w:pPr>
        <w:pStyle w:val="18"/>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4.同意向贵方提供贵方可能另外要求的与谈判有关的任何证据或资料，并保证我方已提供和将要提供的文件是真实的、准确的。</w:t>
      </w:r>
    </w:p>
    <w:p w14:paraId="5B09C07A">
      <w:pPr>
        <w:pStyle w:val="18"/>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5.一旦我方成交,我方将根据谈判文件的规定，严格履行合同的责任和义务,并保证在谈判文件规定的时间完成项目，交付买方验收、使用。</w:t>
      </w:r>
    </w:p>
    <w:p w14:paraId="22216927">
      <w:pPr>
        <w:pStyle w:val="18"/>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6.我方与本谈判有关的正式通讯地址为：</w:t>
      </w:r>
    </w:p>
    <w:p w14:paraId="268CBE47">
      <w:pPr>
        <w:pStyle w:val="18"/>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29E00A28">
      <w:pPr>
        <w:pStyle w:val="18"/>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220B45B1">
      <w:pPr>
        <w:pStyle w:val="18"/>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626EEAE8">
      <w:pPr>
        <w:pStyle w:val="18"/>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18D8578B">
      <w:pPr>
        <w:pStyle w:val="18"/>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0F073781">
      <w:pPr>
        <w:pStyle w:val="18"/>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5F65A442">
      <w:pPr>
        <w:pStyle w:val="18"/>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14:paraId="3F001DD0">
      <w:pPr>
        <w:pStyle w:val="1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F410A77">
      <w:pPr>
        <w:pStyle w:val="1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A2BD04A">
      <w:pPr>
        <w:pStyle w:val="1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6662F10">
      <w:pPr>
        <w:pStyle w:val="18"/>
        <w:spacing w:beforeAutospacing="0" w:afterAutospacing="0" w:line="0" w:lineRule="atLeast"/>
        <w:ind w:firstLine="240"/>
        <w:jc w:val="center"/>
        <w:rPr>
          <w:color w:val="auto"/>
          <w:highlight w:val="none"/>
          <w:shd w:val="clear" w:color="auto" w:fill="auto"/>
        </w:rPr>
      </w:pPr>
    </w:p>
    <w:p w14:paraId="72C4C10D">
      <w:pPr>
        <w:pStyle w:val="18"/>
        <w:spacing w:beforeAutospacing="0" w:afterAutospacing="0" w:line="0" w:lineRule="atLeast"/>
        <w:ind w:firstLine="240"/>
        <w:jc w:val="center"/>
        <w:rPr>
          <w:color w:val="auto"/>
          <w:highlight w:val="none"/>
          <w:shd w:val="clear" w:color="auto" w:fill="auto"/>
        </w:rPr>
      </w:pPr>
    </w:p>
    <w:p w14:paraId="52AD8BB7">
      <w:pPr>
        <w:pStyle w:val="18"/>
        <w:spacing w:beforeAutospacing="0" w:afterAutospacing="0" w:line="0" w:lineRule="atLeast"/>
        <w:ind w:firstLine="240"/>
        <w:jc w:val="center"/>
        <w:rPr>
          <w:color w:val="auto"/>
          <w:highlight w:val="none"/>
          <w:shd w:val="clear" w:color="auto" w:fill="auto"/>
        </w:rPr>
      </w:pPr>
    </w:p>
    <w:p w14:paraId="35625D72">
      <w:pPr>
        <w:pStyle w:val="18"/>
        <w:spacing w:beforeAutospacing="0" w:afterAutospacing="0" w:line="0" w:lineRule="atLeast"/>
        <w:ind w:firstLine="240"/>
        <w:jc w:val="center"/>
        <w:rPr>
          <w:color w:val="auto"/>
          <w:highlight w:val="none"/>
          <w:shd w:val="clear" w:color="auto" w:fill="auto"/>
        </w:rPr>
      </w:pPr>
    </w:p>
    <w:p w14:paraId="59A41739">
      <w:pPr>
        <w:pStyle w:val="18"/>
        <w:spacing w:beforeAutospacing="0" w:afterAutospacing="0" w:line="0" w:lineRule="atLeast"/>
        <w:ind w:firstLine="240"/>
        <w:jc w:val="center"/>
        <w:rPr>
          <w:color w:val="auto"/>
          <w:highlight w:val="none"/>
          <w:shd w:val="clear" w:color="auto" w:fill="auto"/>
        </w:rPr>
      </w:pPr>
    </w:p>
    <w:p w14:paraId="0A162D14">
      <w:pPr>
        <w:pStyle w:val="18"/>
        <w:spacing w:beforeAutospacing="0" w:afterAutospacing="0" w:line="0" w:lineRule="atLeast"/>
        <w:ind w:firstLine="240"/>
        <w:jc w:val="center"/>
        <w:rPr>
          <w:color w:val="auto"/>
          <w:highlight w:val="none"/>
          <w:shd w:val="clear" w:color="auto" w:fill="auto"/>
        </w:rPr>
      </w:pPr>
    </w:p>
    <w:p w14:paraId="15CE0BCE">
      <w:pPr>
        <w:pStyle w:val="18"/>
        <w:spacing w:beforeAutospacing="0" w:afterAutospacing="0" w:line="0" w:lineRule="atLeast"/>
        <w:ind w:firstLine="240"/>
        <w:jc w:val="center"/>
        <w:rPr>
          <w:color w:val="auto"/>
          <w:highlight w:val="none"/>
          <w:shd w:val="clear" w:color="auto" w:fill="auto"/>
        </w:rPr>
      </w:pPr>
    </w:p>
    <w:p w14:paraId="7E4C0697">
      <w:pPr>
        <w:pStyle w:val="18"/>
        <w:spacing w:beforeAutospacing="0" w:afterAutospacing="0" w:line="0" w:lineRule="atLeast"/>
        <w:ind w:firstLine="240"/>
        <w:jc w:val="center"/>
        <w:rPr>
          <w:color w:val="auto"/>
          <w:highlight w:val="none"/>
          <w:shd w:val="clear" w:color="auto" w:fill="auto"/>
        </w:rPr>
      </w:pPr>
    </w:p>
    <w:p w14:paraId="398E4D30">
      <w:pPr>
        <w:pStyle w:val="18"/>
        <w:spacing w:beforeAutospacing="0" w:afterAutospacing="0" w:line="0" w:lineRule="atLeast"/>
        <w:ind w:firstLine="240"/>
        <w:jc w:val="center"/>
        <w:rPr>
          <w:color w:val="auto"/>
          <w:highlight w:val="none"/>
          <w:shd w:val="clear" w:color="auto" w:fill="auto"/>
        </w:rPr>
      </w:pPr>
    </w:p>
    <w:p w14:paraId="4BEE35D8">
      <w:pPr>
        <w:pStyle w:val="18"/>
        <w:spacing w:beforeAutospacing="0" w:afterAutospacing="0" w:line="0" w:lineRule="atLeast"/>
        <w:ind w:firstLine="240"/>
        <w:jc w:val="center"/>
        <w:rPr>
          <w:color w:val="auto"/>
          <w:highlight w:val="none"/>
          <w:shd w:val="clear" w:color="auto" w:fill="auto"/>
        </w:rPr>
      </w:pPr>
    </w:p>
    <w:p w14:paraId="6D281737">
      <w:pPr>
        <w:pStyle w:val="18"/>
        <w:spacing w:beforeAutospacing="0" w:afterAutospacing="0" w:line="0" w:lineRule="atLeast"/>
        <w:ind w:firstLine="240"/>
        <w:jc w:val="center"/>
        <w:rPr>
          <w:color w:val="auto"/>
          <w:highlight w:val="none"/>
          <w:shd w:val="clear" w:color="auto" w:fill="auto"/>
        </w:rPr>
      </w:pPr>
    </w:p>
    <w:p w14:paraId="5224F20F">
      <w:pPr>
        <w:pStyle w:val="18"/>
        <w:spacing w:beforeAutospacing="0" w:afterAutospacing="0" w:line="0" w:lineRule="atLeast"/>
        <w:ind w:firstLine="240"/>
        <w:jc w:val="center"/>
        <w:rPr>
          <w:color w:val="auto"/>
          <w:highlight w:val="none"/>
          <w:shd w:val="clear" w:color="auto" w:fill="auto"/>
        </w:rPr>
      </w:pPr>
    </w:p>
    <w:p w14:paraId="542C010D">
      <w:pPr>
        <w:pStyle w:val="1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5F343AED">
      <w:pPr>
        <w:pStyle w:val="1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6A1FDB7F">
      <w:pPr>
        <w:pStyle w:val="18"/>
        <w:spacing w:beforeAutospacing="0" w:afterAutospacing="0" w:line="0" w:lineRule="atLeast"/>
        <w:ind w:firstLine="321"/>
        <w:jc w:val="center"/>
        <w:rPr>
          <w:color w:val="auto"/>
          <w:highlight w:val="none"/>
          <w:shd w:val="clear" w:color="auto" w:fill="auto"/>
        </w:rPr>
      </w:pPr>
      <w:r>
        <w:rPr>
          <w:color w:val="auto"/>
          <w:highlight w:val="none"/>
          <w:shd w:val="clear" w:color="auto" w:fill="auto"/>
        </w:rPr>
        <w:t> </w:t>
      </w:r>
    </w:p>
    <w:p w14:paraId="76E9D5C9">
      <w:pPr>
        <w:pStyle w:val="18"/>
        <w:spacing w:beforeAutospacing="0" w:afterAutospacing="0" w:line="0" w:lineRule="atLeast"/>
        <w:jc w:val="center"/>
        <w:rPr>
          <w:color w:val="auto"/>
          <w:highlight w:val="none"/>
        </w:rPr>
      </w:pPr>
    </w:p>
    <w:p w14:paraId="411700E8">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01670077">
      <w:pPr>
        <w:pStyle w:val="18"/>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p>
    <w:p w14:paraId="3751E010">
      <w:pPr>
        <w:spacing w:line="500" w:lineRule="exact"/>
        <w:ind w:firstLine="480"/>
        <w:jc w:val="both"/>
        <w:rPr>
          <w:rFonts w:hint="eastAsia"/>
          <w:color w:val="auto"/>
          <w:sz w:val="24"/>
          <w:highlight w:val="none"/>
        </w:rPr>
      </w:pPr>
    </w:p>
    <w:p w14:paraId="496C1F79">
      <w:pPr>
        <w:spacing w:line="500" w:lineRule="exact"/>
        <w:ind w:firstLine="480"/>
        <w:jc w:val="both"/>
        <w:rPr>
          <w:rFonts w:hint="eastAsia"/>
          <w:color w:val="auto"/>
          <w:sz w:val="24"/>
          <w:highlight w:val="none"/>
        </w:rPr>
      </w:pPr>
      <w:r>
        <w:rPr>
          <w:rFonts w:hint="eastAsia"/>
          <w:color w:val="auto"/>
          <w:sz w:val="24"/>
          <w:highlight w:val="none"/>
        </w:rPr>
        <w:t>本公司郑重声明，根据《政府采购促进中小企业发展管理办法》(财库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)的规定，本公司参加</w:t>
      </w:r>
      <w:r>
        <w:rPr>
          <w:rFonts w:hint="eastAsia"/>
          <w:color w:val="auto"/>
          <w:sz w:val="24"/>
          <w:highlight w:val="none"/>
          <w:u w:val="single"/>
        </w:rPr>
        <w:t>射阳宏远财会服务有限公司</w:t>
      </w:r>
      <w:r>
        <w:rPr>
          <w:rFonts w:hint="eastAsia"/>
          <w:color w:val="auto"/>
          <w:sz w:val="24"/>
          <w:highlight w:val="none"/>
        </w:rPr>
        <w:t>组织的</w:t>
      </w:r>
      <w:r>
        <w:rPr>
          <w:rFonts w:hint="eastAsia"/>
          <w:color w:val="auto"/>
          <w:sz w:val="24"/>
          <w:highlight w:val="none"/>
          <w:u w:val="single"/>
          <w:lang w:eastAsia="zh-CN"/>
        </w:rPr>
        <w:t>射阳县植物保护站</w:t>
      </w:r>
      <w:r>
        <w:rPr>
          <w:rFonts w:hint="eastAsia"/>
          <w:color w:val="auto"/>
          <w:sz w:val="24"/>
          <w:highlight w:val="none"/>
        </w:rPr>
        <w:t>，采购编号为</w:t>
      </w:r>
      <w:r>
        <w:rPr>
          <w:rFonts w:hint="eastAsia"/>
          <w:color w:val="auto"/>
          <w:sz w:val="24"/>
          <w:highlight w:val="none"/>
          <w:u w:val="single"/>
        </w:rPr>
        <w:t>JSZC-320924-SYHY-T2026-0005</w:t>
      </w:r>
      <w:r>
        <w:rPr>
          <w:rFonts w:hint="eastAsia"/>
          <w:color w:val="auto"/>
          <w:sz w:val="24"/>
          <w:highlight w:val="none"/>
          <w:u w:val="single"/>
        </w:rPr>
        <w:t xml:space="preserve"> </w:t>
      </w:r>
      <w:r>
        <w:rPr>
          <w:rFonts w:hint="eastAsia"/>
          <w:color w:val="auto"/>
          <w:sz w:val="24"/>
          <w:highlight w:val="none"/>
        </w:rPr>
        <w:t>的</w:t>
      </w:r>
      <w:r>
        <w:rPr>
          <w:rFonts w:hint="eastAsia"/>
          <w:color w:val="auto"/>
          <w:sz w:val="24"/>
          <w:highlight w:val="none"/>
          <w:u w:val="single"/>
        </w:rPr>
        <w:t>射阳县植物保护站2026年中央粮油生产保障小麦“一喷三防”氰烯·戊唑醇采购项目</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企业制造。相关企业的具体情况如下：</w:t>
      </w:r>
    </w:p>
    <w:p w14:paraId="4486B871">
      <w:pPr>
        <w:pStyle w:val="18"/>
        <w:widowControl w:val="0"/>
        <w:spacing w:before="0" w:beforeAutospacing="0" w:after="0" w:afterAutospacing="0" w:line="360" w:lineRule="auto"/>
        <w:ind w:firstLine="360"/>
        <w:jc w:val="both"/>
        <w:rPr>
          <w:rFonts w:hint="eastAsia" w:eastAsiaTheme="minorEastAsia"/>
          <w:color w:val="auto"/>
          <w:highlight w:val="none"/>
          <w:lang w:eastAsia="zh-CN"/>
        </w:rPr>
      </w:pP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工业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r>
        <w:rPr>
          <w:rFonts w:hint="eastAsia"/>
          <w:color w:val="auto"/>
          <w:highlight w:val="none"/>
          <w:u w:val="single"/>
          <w:lang w:eastAsia="zh-CN"/>
        </w:rPr>
        <w:t>。</w:t>
      </w:r>
    </w:p>
    <w:p w14:paraId="62779450">
      <w:pPr>
        <w:pStyle w:val="18"/>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5E35515">
      <w:pPr>
        <w:pStyle w:val="18"/>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6E99FD6">
      <w:pPr>
        <w:pStyle w:val="18"/>
        <w:widowControl w:val="0"/>
        <w:spacing w:before="0" w:beforeAutospacing="0" w:after="0" w:afterAutospacing="0" w:line="360" w:lineRule="auto"/>
        <w:ind w:right="720"/>
        <w:jc w:val="both"/>
        <w:rPr>
          <w:color w:val="auto"/>
          <w:highlight w:val="none"/>
        </w:rPr>
      </w:pPr>
      <w:r>
        <w:rPr>
          <w:color w:val="auto"/>
          <w:highlight w:val="none"/>
        </w:rPr>
        <w:t> </w:t>
      </w:r>
    </w:p>
    <w:p w14:paraId="4026C033">
      <w:pPr>
        <w:pStyle w:val="18"/>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218AE162">
      <w:pPr>
        <w:pStyle w:val="18"/>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09B20EFD">
      <w:pPr>
        <w:pStyle w:val="18"/>
        <w:spacing w:beforeAutospacing="0" w:afterAutospacing="0" w:line="0" w:lineRule="atLeast"/>
        <w:ind w:firstLine="240"/>
        <w:jc w:val="both"/>
        <w:rPr>
          <w:color w:val="auto"/>
          <w:highlight w:val="none"/>
        </w:rPr>
      </w:pPr>
      <w:r>
        <w:rPr>
          <w:color w:val="auto"/>
          <w:highlight w:val="none"/>
        </w:rPr>
        <w:t> </w:t>
      </w:r>
    </w:p>
    <w:p w14:paraId="5FD8B9FE">
      <w:pPr>
        <w:pStyle w:val="1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1A55B8B9">
      <w:pPr>
        <w:pStyle w:val="18"/>
        <w:spacing w:beforeAutospacing="0" w:afterAutospacing="0" w:line="0" w:lineRule="atLeast"/>
        <w:jc w:val="center"/>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rPr>
        <w:br w:type="page"/>
      </w:r>
    </w:p>
    <w:p w14:paraId="33103111">
      <w:pPr>
        <w:pStyle w:val="18"/>
        <w:spacing w:beforeAutospacing="0" w:afterAutospacing="0" w:line="0" w:lineRule="atLeast"/>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十、残疾人福利性单位声明函</w:t>
      </w:r>
    </w:p>
    <w:p w14:paraId="2BEB1B1A">
      <w:pPr>
        <w:pStyle w:val="18"/>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〔2017〕141号</w:t>
      </w:r>
      <w:r>
        <w:rPr>
          <w:rFonts w:hint="eastAsia" w:ascii="宋体" w:hAnsi="宋体" w:eastAsia="宋体" w:cs="宋体"/>
          <w:color w:val="auto"/>
          <w:highlight w:val="none"/>
          <w:shd w:val="clear" w:color="auto" w:fill="auto"/>
        </w:rPr>
        <w:t>）的规定，本单位为符合条件的残疾人福利性单位，且本单位参加射阳县植物保护站单位的</w:t>
      </w:r>
      <w:r>
        <w:rPr>
          <w:rFonts w:hint="eastAsia" w:ascii="宋体" w:hAnsi="宋体" w:eastAsia="宋体" w:cs="宋体"/>
          <w:color w:val="auto"/>
          <w:highlight w:val="none"/>
          <w:shd w:val="clear" w:color="auto" w:fill="auto"/>
          <w:lang w:val="en-US" w:eastAsia="zh-CN"/>
        </w:rPr>
        <w:t>谈判</w:t>
      </w:r>
      <w:r>
        <w:rPr>
          <w:rFonts w:hint="eastAsia" w:ascii="宋体" w:hAnsi="宋体" w:eastAsia="宋体" w:cs="宋体"/>
          <w:color w:val="auto"/>
          <w:highlight w:val="none"/>
          <w:shd w:val="clear" w:color="auto" w:fill="auto"/>
        </w:rPr>
        <w:t>文件编号为</w:t>
      </w:r>
      <w:r>
        <w:rPr>
          <w:rFonts w:hint="eastAsia" w:ascii="宋体" w:hAnsi="宋体" w:eastAsia="宋体" w:cs="宋体"/>
          <w:color w:val="auto"/>
          <w:highlight w:val="none"/>
          <w:u w:val="single"/>
          <w:shd w:val="clear" w:color="auto" w:fill="auto"/>
        </w:rPr>
        <w:t>JSZC-320924-SYHY-T2026-0005</w:t>
      </w:r>
      <w:r>
        <w:rPr>
          <w:rFonts w:hint="eastAsia" w:ascii="宋体" w:hAnsi="宋体" w:eastAsia="宋体" w:cs="宋体"/>
          <w:color w:val="auto"/>
          <w:highlight w:val="none"/>
          <w:shd w:val="clear" w:color="auto" w:fill="auto"/>
        </w:rPr>
        <w:t>的</w:t>
      </w:r>
      <w:r>
        <w:rPr>
          <w:rFonts w:hint="eastAsia" w:ascii="宋体" w:hAnsi="宋体" w:eastAsia="宋体" w:cs="宋体"/>
          <w:color w:val="auto"/>
          <w:highlight w:val="none"/>
          <w:u w:val="single"/>
          <w:shd w:val="clear" w:color="auto" w:fill="auto"/>
        </w:rPr>
        <w:t xml:space="preserve">射阳县植物保护站2026年中央粮油生产保障小麦“一喷三防”氰烯·戊唑醇采购项目 </w:t>
      </w:r>
      <w:r>
        <w:rPr>
          <w:rFonts w:hint="eastAsia" w:ascii="宋体" w:hAnsi="宋体" w:eastAsia="宋体" w:cs="宋体"/>
          <w:color w:val="auto"/>
          <w:highlight w:val="none"/>
          <w:shd w:val="clear" w:color="auto" w:fill="auto"/>
        </w:rPr>
        <w:t>项目采购活动提供本单位制造的货物，或者提供其他残疾人福利性单位制造的货物（不包括使用非残疾人福利性单位注册商标的货物）。</w:t>
      </w:r>
    </w:p>
    <w:p w14:paraId="015A878E">
      <w:pPr>
        <w:pStyle w:val="18"/>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本单位对上述声明的真实性负责。如有虚假，将依法承担相应责任。</w:t>
      </w:r>
    </w:p>
    <w:p w14:paraId="70C62C50">
      <w:pPr>
        <w:pStyle w:val="1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628094D">
      <w:pPr>
        <w:pStyle w:val="18"/>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备注：1、供应商如不提供此声明函，价格将不做相应扣除</w:t>
      </w:r>
      <w:r>
        <w:rPr>
          <w:rFonts w:hint="eastAsia" w:ascii="宋体" w:hAnsi="宋体" w:eastAsia="宋体" w:cs="宋体"/>
          <w:color w:val="auto"/>
          <w:highlight w:val="none"/>
          <w:shd w:val="clear" w:color="auto" w:fill="auto"/>
          <w:lang w:eastAsia="zh-CN"/>
        </w:rPr>
        <w:t>（如项目全面面向中小企业，则资格审查不通过）</w:t>
      </w:r>
      <w:r>
        <w:rPr>
          <w:rFonts w:hint="eastAsia" w:ascii="宋体" w:hAnsi="宋体" w:eastAsia="宋体" w:cs="宋体"/>
          <w:color w:val="auto"/>
          <w:highlight w:val="none"/>
          <w:shd w:val="clear" w:color="auto" w:fill="auto"/>
        </w:rPr>
        <w:t>。2、成交供应商为残疾人福利单位的，此声明函将随成交结果同时公告，接受社会监督</w:t>
      </w:r>
    </w:p>
    <w:p w14:paraId="4ABC7C20">
      <w:pPr>
        <w:pStyle w:val="18"/>
        <w:spacing w:beforeAutospacing="0" w:afterAutospacing="0" w:line="0" w:lineRule="atLeast"/>
        <w:ind w:firstLine="624"/>
        <w:jc w:val="both"/>
        <w:rPr>
          <w:color w:val="auto"/>
          <w:highlight w:val="none"/>
          <w:shd w:val="clear" w:color="auto" w:fill="auto"/>
        </w:rPr>
      </w:pPr>
      <w:r>
        <w:rPr>
          <w:color w:val="auto"/>
          <w:highlight w:val="none"/>
          <w:shd w:val="clear" w:color="auto" w:fill="auto"/>
        </w:rPr>
        <w:t> </w:t>
      </w:r>
    </w:p>
    <w:p w14:paraId="40427466">
      <w:pPr>
        <w:pStyle w:val="18"/>
        <w:tabs>
          <w:tab w:val="left" w:pos="4864"/>
        </w:tabs>
        <w:spacing w:beforeAutospacing="0" w:afterAutospacing="0" w:line="0" w:lineRule="atLeast"/>
        <w:ind w:right="1560" w:firstLine="624"/>
        <w:jc w:val="center"/>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供应商全称（加盖CA电子公章）：</w:t>
      </w:r>
    </w:p>
    <w:p w14:paraId="68F72940">
      <w:pPr>
        <w:pStyle w:val="18"/>
        <w:tabs>
          <w:tab w:val="left" w:pos="4864"/>
        </w:tabs>
        <w:spacing w:beforeAutospacing="0" w:afterAutospacing="0" w:line="0" w:lineRule="atLeast"/>
        <w:ind w:right="1560" w:firstLine="480"/>
        <w:jc w:val="center"/>
        <w:rPr>
          <w:color w:val="auto"/>
          <w:highlight w:val="none"/>
          <w:shd w:val="clear" w:color="auto" w:fill="auto"/>
        </w:rPr>
      </w:pPr>
      <w:r>
        <w:rPr>
          <w:rFonts w:hint="eastAsia" w:ascii="宋体" w:hAnsi="宋体" w:eastAsia="宋体" w:cs="宋体"/>
          <w:color w:val="auto"/>
          <w:highlight w:val="none"/>
          <w:shd w:val="clear" w:color="auto" w:fill="auto"/>
        </w:rPr>
        <w:t>        日  期：</w:t>
      </w:r>
    </w:p>
    <w:p w14:paraId="6735614B">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B2EAD94">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DD73145">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18CD6744">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1853F04">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41F7792">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2F2E02D">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D2D7AF6">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46EFDADD">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257D57A7">
      <w:pPr>
        <w:pStyle w:val="1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455DA63A">
      <w:pPr>
        <w:pStyle w:val="18"/>
        <w:spacing w:beforeAutospacing="0" w:afterAutospacing="0" w:line="0" w:lineRule="atLeast"/>
        <w:jc w:val="center"/>
        <w:rPr>
          <w:color w:val="auto"/>
          <w:highlight w:val="none"/>
          <w:shd w:val="clear" w:color="auto" w:fill="auto"/>
        </w:rPr>
      </w:pPr>
    </w:p>
    <w:p w14:paraId="06D96393">
      <w:pPr>
        <w:pStyle w:val="18"/>
        <w:spacing w:beforeAutospacing="0" w:afterAutospacing="0" w:line="0" w:lineRule="atLeast"/>
        <w:jc w:val="center"/>
        <w:rPr>
          <w:color w:val="auto"/>
          <w:highlight w:val="none"/>
          <w:shd w:val="clear" w:color="auto" w:fill="auto"/>
        </w:rPr>
      </w:pPr>
    </w:p>
    <w:p w14:paraId="761B8925">
      <w:pPr>
        <w:pStyle w:val="18"/>
        <w:spacing w:beforeAutospacing="0" w:afterAutospacing="0" w:line="0" w:lineRule="atLeast"/>
        <w:jc w:val="center"/>
        <w:rPr>
          <w:color w:val="auto"/>
          <w:highlight w:val="none"/>
          <w:shd w:val="clear" w:color="auto" w:fill="auto"/>
        </w:rPr>
      </w:pPr>
    </w:p>
    <w:p w14:paraId="394F618C">
      <w:pPr>
        <w:pStyle w:val="18"/>
        <w:spacing w:beforeAutospacing="0" w:afterAutospacing="0" w:line="0" w:lineRule="atLeast"/>
        <w:jc w:val="center"/>
        <w:rPr>
          <w:color w:val="auto"/>
          <w:highlight w:val="none"/>
          <w:shd w:val="clear" w:color="auto" w:fill="auto"/>
        </w:rPr>
      </w:pPr>
    </w:p>
    <w:p w14:paraId="1BA77EDA">
      <w:pPr>
        <w:pStyle w:val="18"/>
        <w:spacing w:beforeAutospacing="0" w:afterAutospacing="0" w:line="0" w:lineRule="atLeast"/>
        <w:jc w:val="center"/>
        <w:rPr>
          <w:color w:val="auto"/>
          <w:highlight w:val="none"/>
          <w:shd w:val="clear" w:color="auto" w:fill="auto"/>
        </w:rPr>
      </w:pPr>
    </w:p>
    <w:p w14:paraId="19F5D917">
      <w:pPr>
        <w:pStyle w:val="18"/>
        <w:spacing w:beforeAutospacing="0" w:afterAutospacing="0" w:line="0" w:lineRule="atLeast"/>
        <w:jc w:val="center"/>
        <w:rPr>
          <w:color w:val="auto"/>
          <w:highlight w:val="none"/>
          <w:shd w:val="clear" w:color="auto" w:fill="auto"/>
        </w:rPr>
      </w:pPr>
    </w:p>
    <w:p w14:paraId="76083315">
      <w:pPr>
        <w:pStyle w:val="18"/>
        <w:spacing w:beforeAutospacing="0" w:afterAutospacing="0" w:line="0" w:lineRule="atLeast"/>
        <w:jc w:val="center"/>
        <w:rPr>
          <w:color w:val="auto"/>
          <w:highlight w:val="none"/>
          <w:shd w:val="clear" w:color="auto" w:fill="auto"/>
        </w:rPr>
      </w:pPr>
    </w:p>
    <w:p w14:paraId="0C11D6CE">
      <w:pPr>
        <w:pStyle w:val="18"/>
        <w:spacing w:beforeAutospacing="0" w:afterAutospacing="0" w:line="0" w:lineRule="atLeast"/>
        <w:jc w:val="center"/>
        <w:rPr>
          <w:color w:val="auto"/>
          <w:highlight w:val="none"/>
          <w:shd w:val="clear" w:color="auto" w:fill="auto"/>
        </w:rPr>
      </w:pPr>
    </w:p>
    <w:p w14:paraId="155ABC9D">
      <w:pPr>
        <w:pStyle w:val="18"/>
        <w:spacing w:beforeAutospacing="0" w:afterAutospacing="0" w:line="0" w:lineRule="atLeast"/>
        <w:jc w:val="center"/>
        <w:rPr>
          <w:color w:val="auto"/>
          <w:highlight w:val="none"/>
          <w:shd w:val="clear" w:color="auto" w:fill="auto"/>
        </w:rPr>
      </w:pPr>
    </w:p>
    <w:p w14:paraId="3FAB9132">
      <w:pPr>
        <w:pStyle w:val="18"/>
        <w:spacing w:beforeAutospacing="0" w:afterAutospacing="0" w:line="0" w:lineRule="atLeast"/>
        <w:jc w:val="center"/>
        <w:rPr>
          <w:color w:val="auto"/>
          <w:highlight w:val="none"/>
          <w:shd w:val="clear" w:color="auto" w:fill="auto"/>
        </w:rPr>
      </w:pPr>
    </w:p>
    <w:p w14:paraId="4DDD684D">
      <w:pPr>
        <w:pStyle w:val="18"/>
        <w:spacing w:beforeAutospacing="0" w:afterAutospacing="0" w:line="0" w:lineRule="atLeast"/>
        <w:jc w:val="center"/>
        <w:rPr>
          <w:color w:val="auto"/>
          <w:highlight w:val="none"/>
          <w:shd w:val="clear" w:color="auto" w:fill="auto"/>
        </w:rPr>
      </w:pPr>
    </w:p>
    <w:p w14:paraId="0EE53CC9">
      <w:pPr>
        <w:pStyle w:val="18"/>
        <w:spacing w:beforeAutospacing="0" w:afterAutospacing="0" w:line="0" w:lineRule="atLeast"/>
        <w:jc w:val="center"/>
        <w:rPr>
          <w:color w:val="auto"/>
          <w:highlight w:val="none"/>
          <w:shd w:val="clear" w:color="auto" w:fill="auto"/>
        </w:rPr>
      </w:pPr>
    </w:p>
    <w:p w14:paraId="19E8FCB9">
      <w:pPr>
        <w:pStyle w:val="18"/>
        <w:spacing w:beforeAutospacing="0" w:afterAutospacing="0" w:line="0" w:lineRule="atLeast"/>
        <w:jc w:val="center"/>
        <w:rPr>
          <w:color w:val="auto"/>
          <w:highlight w:val="none"/>
          <w:shd w:val="clear" w:color="auto" w:fill="auto"/>
        </w:rPr>
      </w:pPr>
    </w:p>
    <w:p w14:paraId="4A6C7B8E">
      <w:pPr>
        <w:pStyle w:val="18"/>
        <w:spacing w:beforeAutospacing="0" w:afterAutospacing="0" w:line="0" w:lineRule="atLeast"/>
        <w:jc w:val="center"/>
        <w:rPr>
          <w:color w:val="auto"/>
          <w:highlight w:val="none"/>
          <w:shd w:val="clear" w:color="auto" w:fill="auto"/>
        </w:rPr>
      </w:pPr>
    </w:p>
    <w:p w14:paraId="211B8222">
      <w:pPr>
        <w:pStyle w:val="18"/>
        <w:spacing w:beforeAutospacing="0" w:afterAutospacing="0" w:line="0" w:lineRule="atLeast"/>
        <w:jc w:val="center"/>
        <w:rPr>
          <w:color w:val="auto"/>
          <w:highlight w:val="none"/>
          <w:shd w:val="clear" w:color="auto" w:fill="auto"/>
        </w:rPr>
      </w:pPr>
    </w:p>
    <w:p w14:paraId="2142782B">
      <w:pPr>
        <w:pStyle w:val="18"/>
        <w:spacing w:beforeAutospacing="0" w:afterAutospacing="0" w:line="0" w:lineRule="atLeast"/>
        <w:jc w:val="center"/>
        <w:rPr>
          <w:color w:val="auto"/>
          <w:highlight w:val="none"/>
          <w:shd w:val="clear" w:color="auto" w:fill="auto"/>
        </w:rPr>
      </w:pPr>
    </w:p>
    <w:p w14:paraId="11942443">
      <w:pPr>
        <w:pStyle w:val="18"/>
        <w:spacing w:beforeAutospacing="0" w:afterAutospacing="0" w:line="0" w:lineRule="atLeast"/>
        <w:jc w:val="center"/>
        <w:rPr>
          <w:color w:val="auto"/>
          <w:highlight w:val="none"/>
          <w:shd w:val="clear" w:color="auto" w:fill="auto"/>
        </w:rPr>
      </w:pPr>
    </w:p>
    <w:p w14:paraId="40749E0C">
      <w:pPr>
        <w:pStyle w:val="18"/>
        <w:spacing w:beforeAutospacing="0" w:afterAutospacing="0" w:line="0" w:lineRule="atLeast"/>
        <w:jc w:val="center"/>
        <w:rPr>
          <w:color w:val="auto"/>
          <w:highlight w:val="none"/>
          <w:shd w:val="clear" w:color="auto" w:fill="auto"/>
        </w:rPr>
      </w:pPr>
    </w:p>
    <w:p w14:paraId="7E918363">
      <w:pPr>
        <w:pStyle w:val="18"/>
        <w:spacing w:beforeAutospacing="0" w:afterAutospacing="0" w:line="0" w:lineRule="atLeast"/>
        <w:jc w:val="center"/>
        <w:rPr>
          <w:color w:val="auto"/>
          <w:highlight w:val="none"/>
          <w:shd w:val="clear" w:color="auto" w:fill="auto"/>
        </w:rPr>
      </w:pPr>
    </w:p>
    <w:p w14:paraId="259B3C03">
      <w:pPr>
        <w:pStyle w:val="18"/>
        <w:spacing w:beforeAutospacing="0" w:afterAutospacing="0" w:line="0" w:lineRule="atLeast"/>
        <w:jc w:val="center"/>
        <w:rPr>
          <w:color w:val="auto"/>
          <w:highlight w:val="none"/>
          <w:shd w:val="clear" w:color="auto" w:fill="auto"/>
        </w:rPr>
      </w:pPr>
    </w:p>
    <w:p w14:paraId="4090AF2D">
      <w:pPr>
        <w:pStyle w:val="18"/>
        <w:spacing w:beforeAutospacing="0" w:afterAutospacing="0" w:line="0" w:lineRule="atLeast"/>
        <w:jc w:val="center"/>
        <w:rPr>
          <w:color w:val="auto"/>
          <w:highlight w:val="none"/>
          <w:shd w:val="clear" w:color="auto" w:fill="auto"/>
        </w:rPr>
      </w:pPr>
    </w:p>
    <w:p w14:paraId="4C137507">
      <w:pPr>
        <w:pStyle w:val="18"/>
        <w:spacing w:beforeAutospacing="0" w:afterAutospacing="0" w:line="0" w:lineRule="atLeast"/>
        <w:jc w:val="center"/>
        <w:rPr>
          <w:color w:val="auto"/>
          <w:highlight w:val="none"/>
          <w:shd w:val="clear" w:color="auto" w:fill="auto"/>
        </w:rPr>
      </w:pPr>
    </w:p>
    <w:p w14:paraId="495FEC8C">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jc w:val="center"/>
        <w:outlineLvl w:val="0"/>
        <w:rPr>
          <w:b/>
          <w:bCs/>
          <w:color w:val="000000" w:themeColor="text1"/>
          <w14:textFill>
            <w14:solidFill>
              <w14:schemeClr w14:val="tx1"/>
            </w14:solidFill>
          </w14:textFill>
        </w:rPr>
      </w:pPr>
      <w:r>
        <w:rPr>
          <w:rFonts w:ascii="黑体" w:hAnsi="宋体" w:eastAsia="黑体" w:cs="黑体"/>
          <w:b/>
          <w:bCs/>
          <w:color w:val="000000" w:themeColor="text1"/>
          <w:sz w:val="32"/>
          <w:szCs w:val="32"/>
          <w14:textFill>
            <w14:solidFill>
              <w14:schemeClr w14:val="tx1"/>
            </w14:solidFill>
          </w14:textFill>
        </w:rPr>
        <w:t>十一、关于符合本国产品标准的声明函</w:t>
      </w:r>
    </w:p>
    <w:p w14:paraId="3BA3AD49">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000000" w:themeColor="text1"/>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 </w:t>
      </w:r>
    </w:p>
    <w:p w14:paraId="4816501E">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FDA5EB7">
      <w:pPr>
        <w:pStyle w:val="18"/>
        <w:keepNext w:val="0"/>
        <w:keepLines w:val="0"/>
        <w:widowControl w:val="0"/>
        <w:numPr>
          <w:ilvl w:val="0"/>
          <w:numId w:val="2"/>
        </w:numPr>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宋体" w:hAnsi="宋体" w:eastAsia="宋体" w:cs="宋体"/>
          <w:b w:val="0"/>
          <w:bCs w:val="0"/>
          <w:color w:val="000000" w:themeColor="text1"/>
          <w:sz w:val="24"/>
          <w:szCs w:val="24"/>
          <w:shd w:val="clear" w:color="auto" w:fill="FFFFFF"/>
          <w14:textFill>
            <w14:solidFill>
              <w14:schemeClr w14:val="tx1"/>
            </w14:solidFill>
          </w14:textFill>
        </w:rPr>
      </w:pPr>
      <w:r>
        <w:rPr>
          <w:rFonts w:ascii="宋体" w:hAnsi="宋体" w:eastAsia="宋体" w:cs="宋体"/>
          <w:b w:val="0"/>
          <w:bCs w:val="0"/>
          <w:color w:val="000000" w:themeColor="text1"/>
          <w:sz w:val="24"/>
          <w:szCs w:val="24"/>
          <w:u w:val="single"/>
          <w:shd w:val="clear" w:color="auto" w:fill="FFFFFF"/>
          <w14:textFill>
            <w14:solidFill>
              <w14:schemeClr w14:val="tx1"/>
            </w14:solidFill>
          </w14:textFill>
        </w:rPr>
        <w:t>（产品名称1）</w:t>
      </w:r>
      <w:r>
        <w:rPr>
          <w:rFonts w:ascii="宋体" w:hAnsi="宋体" w:eastAsia="宋体" w:cs="宋体"/>
          <w:b w:val="0"/>
          <w:bCs w:val="0"/>
          <w:color w:val="000000" w:themeColor="text1"/>
          <w:sz w:val="24"/>
          <w:szCs w:val="24"/>
          <w:shd w:val="clear" w:color="auto" w:fill="FFFFFF"/>
          <w:vertAlign w:val="superscript"/>
          <w14:textFill>
            <w14:solidFill>
              <w14:schemeClr w14:val="tx1"/>
            </w14:solidFill>
          </w14:textFill>
        </w:rPr>
        <w:t>1</w:t>
      </w:r>
      <w:r>
        <w:rPr>
          <w:rFonts w:ascii="宋体" w:hAnsi="宋体" w:eastAsia="宋体" w:cs="宋体"/>
          <w:b w:val="0"/>
          <w:bCs w:val="0"/>
          <w:color w:val="000000" w:themeColor="text1"/>
          <w:sz w:val="24"/>
          <w:szCs w:val="24"/>
          <w:shd w:val="clear" w:color="auto" w:fill="FFFFFF"/>
          <w14:textFill>
            <w14:solidFill>
              <w14:schemeClr w14:val="tx1"/>
            </w14:solidFill>
          </w14:textFill>
        </w:rPr>
        <w:t>，生产厂为</w:t>
      </w:r>
      <w:r>
        <w:rPr>
          <w:rFonts w:ascii="宋体" w:hAnsi="宋体" w:eastAsia="宋体" w:cs="宋体"/>
          <w:b w:val="0"/>
          <w:bCs w:val="0"/>
          <w:color w:val="000000" w:themeColor="text1"/>
          <w:sz w:val="24"/>
          <w:szCs w:val="24"/>
          <w:u w:val="single"/>
          <w:shd w:val="clear" w:color="auto" w:fill="FFFFFF"/>
          <w14:textFill>
            <w14:solidFill>
              <w14:schemeClr w14:val="tx1"/>
            </w14:solidFill>
          </w14:textFill>
        </w:rPr>
        <w:t>（厂名）</w:t>
      </w:r>
      <w:r>
        <w:rPr>
          <w:rFonts w:ascii="宋体" w:hAnsi="宋体" w:eastAsia="宋体" w:cs="宋体"/>
          <w:b w:val="0"/>
          <w:bCs w:val="0"/>
          <w:color w:val="000000" w:themeColor="text1"/>
          <w:sz w:val="24"/>
          <w:szCs w:val="24"/>
          <w:shd w:val="clear" w:color="auto" w:fill="FFFFFF"/>
          <w:vertAlign w:val="superscript"/>
          <w14:textFill>
            <w14:solidFill>
              <w14:schemeClr w14:val="tx1"/>
            </w14:solidFill>
          </w14:textFill>
        </w:rPr>
        <w:t>2</w:t>
      </w:r>
      <w:r>
        <w:rPr>
          <w:rFonts w:ascii="宋体" w:hAnsi="宋体" w:eastAsia="宋体" w:cs="宋体"/>
          <w:b w:val="0"/>
          <w:bCs w:val="0"/>
          <w:color w:val="000000" w:themeColor="text1"/>
          <w:sz w:val="24"/>
          <w:szCs w:val="24"/>
          <w:shd w:val="clear" w:color="auto" w:fill="FFFFFF"/>
          <w14:textFill>
            <w14:solidFill>
              <w14:schemeClr w14:val="tx1"/>
            </w14:solidFill>
          </w14:textFill>
        </w:rPr>
        <w:t>，厂址为</w:t>
      </w:r>
      <w:r>
        <w:rPr>
          <w:rFonts w:ascii="宋体" w:hAnsi="宋体" w:eastAsia="宋体" w:cs="宋体"/>
          <w:b w:val="0"/>
          <w:bCs w:val="0"/>
          <w:color w:val="000000" w:themeColor="text1"/>
          <w:sz w:val="24"/>
          <w:szCs w:val="24"/>
          <w:u w:val="single"/>
          <w:shd w:val="clear" w:color="auto" w:fill="FFFFFF"/>
          <w14:textFill>
            <w14:solidFill>
              <w14:schemeClr w14:val="tx1"/>
            </w14:solidFill>
          </w14:textFill>
        </w:rPr>
        <w:t>（生产厂址）</w:t>
      </w:r>
      <w:r>
        <w:rPr>
          <w:rFonts w:ascii="宋体" w:hAnsi="宋体" w:eastAsia="宋体" w:cs="宋体"/>
          <w:b w:val="0"/>
          <w:bCs w:val="0"/>
          <w:color w:val="000000" w:themeColor="text1"/>
          <w:sz w:val="24"/>
          <w:szCs w:val="24"/>
          <w:shd w:val="clear" w:color="auto" w:fill="FFFFFF"/>
          <w14:textFill>
            <w14:solidFill>
              <w14:schemeClr w14:val="tx1"/>
            </w14:solidFill>
          </w14:textFill>
        </w:rPr>
        <w:t>。</w:t>
      </w:r>
    </w:p>
    <w:p w14:paraId="15AB8142">
      <w:pPr>
        <w:pStyle w:val="1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42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shd w:val="clear" w:color="auto" w:fill="FFFFFF"/>
          <w14:textFill>
            <w14:solidFill>
              <w14:schemeClr w14:val="tx1"/>
            </w14:solidFill>
          </w14:textFill>
        </w:rPr>
        <w:t>2.</w:t>
      </w:r>
      <w:r>
        <w:rPr>
          <w:rFonts w:ascii="宋体" w:hAnsi="宋体" w:eastAsia="宋体" w:cs="宋体"/>
          <w:b w:val="0"/>
          <w:bCs w:val="0"/>
          <w:color w:val="000000" w:themeColor="text1"/>
          <w:sz w:val="24"/>
          <w:szCs w:val="24"/>
          <w:u w:val="single"/>
          <w:shd w:val="clear" w:color="auto" w:fill="FFFFFF"/>
          <w14:textFill>
            <w14:solidFill>
              <w14:schemeClr w14:val="tx1"/>
            </w14:solidFill>
          </w14:textFill>
        </w:rPr>
        <w:t>（产品名称2）</w:t>
      </w:r>
      <w:r>
        <w:rPr>
          <w:rFonts w:ascii="宋体" w:hAnsi="宋体" w:eastAsia="宋体" w:cs="宋体"/>
          <w:b w:val="0"/>
          <w:bCs w:val="0"/>
          <w:color w:val="000000" w:themeColor="text1"/>
          <w:sz w:val="24"/>
          <w:szCs w:val="24"/>
          <w:shd w:val="clear" w:color="auto" w:fill="FFFFFF"/>
          <w14:textFill>
            <w14:solidFill>
              <w14:schemeClr w14:val="tx1"/>
            </w14:solidFill>
          </w14:textFill>
        </w:rPr>
        <w:t>，生产厂为</w:t>
      </w:r>
      <w:r>
        <w:rPr>
          <w:rFonts w:ascii="宋体" w:hAnsi="宋体" w:eastAsia="宋体" w:cs="宋体"/>
          <w:b w:val="0"/>
          <w:bCs w:val="0"/>
          <w:color w:val="000000" w:themeColor="text1"/>
          <w:sz w:val="24"/>
          <w:szCs w:val="24"/>
          <w:u w:val="single"/>
          <w:shd w:val="clear" w:color="auto" w:fill="FFFFFF"/>
          <w14:textFill>
            <w14:solidFill>
              <w14:schemeClr w14:val="tx1"/>
            </w14:solidFill>
          </w14:textFill>
        </w:rPr>
        <w:t>（厂名）</w:t>
      </w:r>
      <w:r>
        <w:rPr>
          <w:rFonts w:ascii="宋体" w:hAnsi="宋体" w:eastAsia="宋体" w:cs="宋体"/>
          <w:b w:val="0"/>
          <w:bCs w:val="0"/>
          <w:color w:val="000000" w:themeColor="text1"/>
          <w:sz w:val="24"/>
          <w:szCs w:val="24"/>
          <w:shd w:val="clear" w:color="auto" w:fill="FFFFFF"/>
          <w14:textFill>
            <w14:solidFill>
              <w14:schemeClr w14:val="tx1"/>
            </w14:solidFill>
          </w14:textFill>
        </w:rPr>
        <w:t>，厂址为</w:t>
      </w:r>
      <w:r>
        <w:rPr>
          <w:rFonts w:ascii="宋体" w:hAnsi="宋体" w:eastAsia="宋体" w:cs="宋体"/>
          <w:b w:val="0"/>
          <w:bCs w:val="0"/>
          <w:color w:val="000000" w:themeColor="text1"/>
          <w:sz w:val="24"/>
          <w:szCs w:val="24"/>
          <w:u w:val="single"/>
          <w:shd w:val="clear" w:color="auto" w:fill="FFFFFF"/>
          <w14:textFill>
            <w14:solidFill>
              <w14:schemeClr w14:val="tx1"/>
            </w14:solidFill>
          </w14:textFill>
        </w:rPr>
        <w:t>（生产厂址）</w:t>
      </w:r>
      <w:r>
        <w:rPr>
          <w:rFonts w:ascii="宋体" w:hAnsi="宋体" w:eastAsia="宋体" w:cs="宋体"/>
          <w:b w:val="0"/>
          <w:bCs w:val="0"/>
          <w:color w:val="000000" w:themeColor="text1"/>
          <w:sz w:val="24"/>
          <w:szCs w:val="24"/>
          <w:shd w:val="clear" w:color="auto" w:fill="FFFFFF"/>
          <w14:textFill>
            <w14:solidFill>
              <w14:schemeClr w14:val="tx1"/>
            </w14:solidFill>
          </w14:textFill>
        </w:rPr>
        <w:t>。</w:t>
      </w:r>
    </w:p>
    <w:p w14:paraId="3807FAF4">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shd w:val="clear" w:color="auto" w:fill="FFFFFF"/>
          <w14:textFill>
            <w14:solidFill>
              <w14:schemeClr w14:val="tx1"/>
            </w14:solidFill>
          </w14:textFill>
        </w:rPr>
        <w:t>……</w:t>
      </w:r>
    </w:p>
    <w:p w14:paraId="28A1ACD2">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shd w:val="clear" w:color="auto" w:fill="FFFFFF"/>
          <w14:textFill>
            <w14:solidFill>
              <w14:schemeClr w14:val="tx1"/>
            </w14:solidFill>
          </w14:textFill>
        </w:rPr>
        <w:t>本公司（单位）对上述声明内容的真实性负责。如有虚假，愿承担相应法律责任。</w:t>
      </w:r>
    </w:p>
    <w:p w14:paraId="17580A1A">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w:t>
      </w:r>
    </w:p>
    <w:p w14:paraId="7BFB9A49">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right="480" w:firstLine="5040" w:firstLineChars="210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shd w:val="clear" w:color="auto" w:fill="FFFFFF"/>
          <w14:textFill>
            <w14:solidFill>
              <w14:schemeClr w14:val="tx1"/>
            </w14:solidFill>
          </w14:textFill>
        </w:rPr>
        <w:t>公司（单位）名称（盖章）：　</w:t>
      </w:r>
    </w:p>
    <w:p w14:paraId="56ECD9FE">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shd w:val="clear" w:color="auto" w:fill="FFFFFF"/>
          <w14:textFill>
            <w14:solidFill>
              <w14:schemeClr w14:val="tx1"/>
            </w14:solidFill>
          </w14:textFill>
        </w:rPr>
        <w:t>                   日期：　   年　  月　  日         </w:t>
      </w:r>
    </w:p>
    <w:p w14:paraId="466FE214">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val="0"/>
          <w:bCs w:val="0"/>
          <w:color w:val="000000" w:themeColor="text1"/>
          <w:sz w:val="24"/>
          <w:szCs w:val="24"/>
          <w:shd w:val="clear" w:color="auto" w:fill="FFFFFF"/>
          <w14:textFill>
            <w14:solidFill>
              <w14:schemeClr w14:val="tx1"/>
            </w14:solidFill>
          </w14:textFill>
        </w:rPr>
      </w:pPr>
    </w:p>
    <w:p w14:paraId="7739D1C2">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val="0"/>
          <w:bCs w:val="0"/>
          <w:color w:val="000000" w:themeColor="text1"/>
          <w:sz w:val="24"/>
          <w:szCs w:val="24"/>
          <w:shd w:val="clear" w:color="auto" w:fill="FFFFFF"/>
          <w14:textFill>
            <w14:solidFill>
              <w14:schemeClr w14:val="tx1"/>
            </w14:solidFill>
          </w14:textFill>
        </w:rPr>
      </w:pPr>
    </w:p>
    <w:p w14:paraId="288E11ED">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shd w:val="clear" w:color="auto" w:fill="FFFFFF"/>
          <w14:textFill>
            <w14:solidFill>
              <w14:schemeClr w14:val="tx1"/>
            </w14:solidFill>
          </w14:textFill>
        </w:rPr>
        <w:t>__________________</w:t>
      </w:r>
    </w:p>
    <w:p w14:paraId="26B1CED9">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shd w:val="clear" w:color="auto" w:fill="FFFFFF"/>
          <w14:textFill>
            <w14:solidFill>
              <w14:schemeClr w14:val="tx1"/>
            </w14:solidFill>
          </w14:textFill>
        </w:rPr>
        <w:t>1.产品如有型号，请在“产品名称”栏一并填写。</w:t>
      </w:r>
    </w:p>
    <w:p w14:paraId="14C6E878">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000000" w:themeColor="text1"/>
          <w14:textFill>
            <w14:solidFill>
              <w14:schemeClr w14:val="tx1"/>
            </w14:solidFill>
          </w14:textFill>
        </w:rPr>
      </w:pPr>
      <w:r>
        <w:rPr>
          <w:rFonts w:ascii="宋体" w:hAnsi="宋体" w:eastAsia="宋体" w:cs="宋体"/>
          <w:b w:val="0"/>
          <w:bCs w:val="0"/>
          <w:color w:val="000000" w:themeColor="text1"/>
          <w:sz w:val="24"/>
          <w:szCs w:val="24"/>
          <w:shd w:val="clear" w:color="auto" w:fill="FFFFFF"/>
          <w14:textFill>
            <w14:solidFill>
              <w14:schemeClr w14:val="tx1"/>
            </w14:solidFill>
          </w14:textFill>
        </w:rPr>
        <w:t>2.生产厂名与厂址应与生产厂营业执照载明的相关信息保持一致。</w:t>
      </w:r>
    </w:p>
    <w:p w14:paraId="1E374233">
      <w:pPr>
        <w:numPr>
          <w:ilvl w:val="0"/>
          <w:numId w:val="0"/>
        </w:numPr>
        <w:rPr>
          <w:rFonts w:hint="eastAsia" w:ascii="宋体" w:hAnsi="宋体" w:eastAsia="宋体" w:cs="宋体"/>
          <w:b w:val="0"/>
          <w:bCs w:val="0"/>
          <w:color w:val="000000" w:themeColor="text1"/>
          <w:sz w:val="24"/>
          <w:szCs w:val="24"/>
          <w:shd w:val="clear" w:color="auto" w:fill="FFFFFF"/>
          <w:lang w:val="en-US" w:eastAsia="zh-CN"/>
          <w14:textFill>
            <w14:solidFill>
              <w14:schemeClr w14:val="tx1"/>
            </w14:solidFill>
          </w14:textFill>
        </w:rPr>
      </w:pPr>
    </w:p>
    <w:p w14:paraId="60194A86">
      <w:pPr>
        <w:numPr>
          <w:ilvl w:val="0"/>
          <w:numId w:val="0"/>
        </w:numPr>
        <w:ind w:firstLine="480" w:firstLineChars="200"/>
        <w:rPr>
          <w:rFonts w:hint="eastAsia" w:ascii="宋体" w:hAnsi="宋体" w:eastAsia="宋体" w:cs="宋体"/>
          <w:b w:val="0"/>
          <w:bCs w:val="0"/>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shd w:val="clear" w:color="auto" w:fill="FFFFFF"/>
          <w:lang w:val="en-US" w:eastAsia="zh-CN"/>
          <w14:textFill>
            <w14:solidFill>
              <w14:schemeClr w14:val="tx1"/>
            </w14:solidFill>
          </w14:textFill>
        </w:rPr>
        <w:t>备注：</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000000" w:themeColor="text1"/>
          <w:sz w:val="24"/>
          <w:szCs w:val="24"/>
          <w:highlight w:val="none"/>
          <w:u w:val="single"/>
          <w:lang w:val="en-US" w:eastAsia="zh-CN" w:bidi="ar-SA"/>
          <w14:textFill>
            <w14:solidFill>
              <w14:schemeClr w14:val="tx1"/>
            </w14:solidFill>
          </w14:textFill>
        </w:rPr>
        <w:t>故，如供应商所提供产品为本国产品的，应当对其提供的产品出具《关于符合本国产品标准的声明函》（以下简称《声明函》），不出具《声明函》的，不享受政府采购对本国产品的支持政策。</w:t>
      </w:r>
    </w:p>
    <w:p w14:paraId="3B8D31BC">
      <w:pPr>
        <w:jc w:val="center"/>
        <w:rPr>
          <w:rFonts w:hint="eastAsia" w:asciiTheme="minorEastAsia" w:hAnsiTheme="minorEastAsia" w:eastAsiaTheme="minorEastAsia" w:cstheme="minorEastAsia"/>
          <w:b/>
          <w:color w:val="000000"/>
          <w:sz w:val="24"/>
          <w:szCs w:val="24"/>
        </w:rPr>
      </w:pPr>
    </w:p>
    <w:p w14:paraId="3764C62B">
      <w:pPr>
        <w:spacing w:line="241" w:lineRule="auto"/>
        <w:rPr>
          <w:rFonts w:ascii="Arial"/>
          <w:sz w:val="21"/>
        </w:rPr>
      </w:pPr>
    </w:p>
    <w:p w14:paraId="5C74B25B">
      <w:pPr>
        <w:spacing w:line="241" w:lineRule="auto"/>
        <w:rPr>
          <w:rFonts w:ascii="Arial"/>
          <w:sz w:val="21"/>
        </w:rPr>
      </w:pPr>
    </w:p>
    <w:p w14:paraId="59FA9411">
      <w:pPr>
        <w:pStyle w:val="18"/>
        <w:spacing w:beforeAutospacing="0" w:afterAutospacing="0" w:line="0" w:lineRule="atLeast"/>
        <w:jc w:val="center"/>
        <w:rPr>
          <w:highlight w:val="none"/>
        </w:rPr>
      </w:pPr>
      <w:r>
        <w:rPr>
          <w:highlight w:val="none"/>
        </w:rPr>
        <w:t> </w:t>
      </w:r>
    </w:p>
    <w:p w14:paraId="24879B48">
      <w:pPr>
        <w:pStyle w:val="18"/>
        <w:spacing w:beforeAutospacing="0" w:afterAutospacing="0" w:line="0" w:lineRule="atLeast"/>
        <w:jc w:val="center"/>
        <w:rPr>
          <w:highlight w:val="none"/>
        </w:rPr>
      </w:pPr>
    </w:p>
    <w:p w14:paraId="18A83768">
      <w:pPr>
        <w:pStyle w:val="18"/>
        <w:spacing w:beforeAutospacing="0" w:afterAutospacing="0" w:line="0" w:lineRule="atLeast"/>
        <w:jc w:val="center"/>
        <w:rPr>
          <w:highlight w:val="none"/>
        </w:rPr>
      </w:pPr>
    </w:p>
    <w:p w14:paraId="0355F666">
      <w:pPr>
        <w:pStyle w:val="18"/>
        <w:spacing w:beforeAutospacing="0" w:afterAutospacing="0" w:line="0" w:lineRule="atLeast"/>
        <w:jc w:val="center"/>
        <w:rPr>
          <w:color w:val="auto"/>
          <w:highlight w:val="none"/>
          <w:shd w:val="clear" w:color="auto" w:fill="auto"/>
        </w:rPr>
      </w:pPr>
    </w:p>
    <w:p w14:paraId="5AE44A7C">
      <w:pPr>
        <w:pStyle w:val="18"/>
        <w:spacing w:beforeAutospacing="0" w:afterAutospacing="0" w:line="0" w:lineRule="atLeast"/>
        <w:jc w:val="center"/>
        <w:rPr>
          <w:color w:val="auto"/>
          <w:highlight w:val="none"/>
          <w:shd w:val="clear" w:color="auto" w:fill="auto"/>
        </w:rPr>
      </w:pPr>
    </w:p>
    <w:p w14:paraId="032DF405">
      <w:pPr>
        <w:pStyle w:val="18"/>
        <w:spacing w:beforeAutospacing="0" w:afterAutospacing="0" w:line="0" w:lineRule="atLeast"/>
        <w:jc w:val="center"/>
        <w:rPr>
          <w:color w:val="auto"/>
          <w:highlight w:val="none"/>
          <w:shd w:val="clear" w:color="auto" w:fill="auto"/>
        </w:rPr>
      </w:pPr>
    </w:p>
    <w:p w14:paraId="3E19018E">
      <w:pPr>
        <w:rPr>
          <w:rFonts w:hint="eastAsia" w:ascii="黑体" w:hAnsi="宋体" w:eastAsia="黑体" w:cs="黑体"/>
          <w:b/>
          <w:color w:val="auto"/>
          <w:sz w:val="32"/>
          <w:szCs w:val="32"/>
          <w:highlight w:val="none"/>
          <w:shd w:val="clear" w:color="auto" w:fill="auto"/>
        </w:rPr>
      </w:pPr>
    </w:p>
    <w:p w14:paraId="2B8A0AEE">
      <w:pPr>
        <w:pStyle w:val="18"/>
        <w:spacing w:beforeAutospacing="0" w:afterAutospacing="0"/>
        <w:jc w:val="both"/>
        <w:rPr>
          <w:color w:val="auto"/>
          <w:highlight w:val="none"/>
          <w:shd w:val="clear" w:color="auto" w:fill="auto"/>
        </w:rPr>
      </w:pPr>
    </w:p>
    <w:p w14:paraId="71AD3453">
      <w:pPr>
        <w:pStyle w:val="18"/>
        <w:spacing w:beforeAutospacing="0" w:afterAutospacing="0"/>
        <w:jc w:val="both"/>
        <w:rPr>
          <w:color w:val="auto"/>
          <w:highlight w:val="none"/>
          <w:shd w:val="clear" w:color="auto" w:fill="auto"/>
        </w:rPr>
      </w:pPr>
    </w:p>
    <w:p w14:paraId="73920D30">
      <w:pPr>
        <w:pStyle w:val="18"/>
        <w:spacing w:beforeAutospacing="0" w:afterAutospacing="0"/>
        <w:jc w:val="both"/>
        <w:rPr>
          <w:color w:val="auto"/>
          <w:highlight w:val="none"/>
          <w:shd w:val="clear" w:color="auto" w:fill="auto"/>
        </w:rPr>
      </w:pPr>
    </w:p>
    <w:p w14:paraId="171FEA75">
      <w:pPr>
        <w:pStyle w:val="18"/>
        <w:spacing w:beforeAutospacing="0" w:afterAutospacing="0"/>
        <w:jc w:val="both"/>
        <w:rPr>
          <w:color w:val="auto"/>
          <w:highlight w:val="none"/>
          <w:shd w:val="clear" w:color="auto" w:fill="auto"/>
        </w:rPr>
      </w:pPr>
    </w:p>
    <w:p w14:paraId="4B15183F">
      <w:pPr>
        <w:pStyle w:val="18"/>
        <w:spacing w:beforeAutospacing="0" w:afterAutospacing="0"/>
        <w:jc w:val="both"/>
        <w:rPr>
          <w:color w:val="auto"/>
          <w:highlight w:val="none"/>
          <w:shd w:val="clear" w:color="auto" w:fill="auto"/>
        </w:rPr>
      </w:pPr>
    </w:p>
    <w:p w14:paraId="03957AF1">
      <w:pPr>
        <w:pStyle w:val="18"/>
        <w:spacing w:beforeAutospacing="0" w:afterAutospacing="0"/>
        <w:jc w:val="both"/>
        <w:rPr>
          <w:color w:val="auto"/>
          <w:highlight w:val="none"/>
          <w:shd w:val="clear" w:color="auto" w:fill="auto"/>
        </w:rPr>
      </w:pPr>
    </w:p>
    <w:p w14:paraId="1A189F0D">
      <w:pPr>
        <w:pStyle w:val="18"/>
        <w:spacing w:beforeAutospacing="0" w:afterAutospacing="0"/>
        <w:jc w:val="both"/>
        <w:rPr>
          <w:color w:val="auto"/>
          <w:highlight w:val="none"/>
          <w:shd w:val="clear" w:color="auto" w:fill="auto"/>
        </w:rPr>
      </w:pPr>
    </w:p>
    <w:p w14:paraId="0571E4FA">
      <w:pPr>
        <w:pStyle w:val="18"/>
        <w:spacing w:beforeAutospacing="0" w:afterAutospacing="0"/>
        <w:jc w:val="both"/>
        <w:rPr>
          <w:color w:val="auto"/>
          <w:highlight w:val="none"/>
          <w:shd w:val="clear" w:color="auto" w:fill="auto"/>
        </w:rPr>
      </w:pPr>
    </w:p>
    <w:p w14:paraId="7C00C9EF">
      <w:pPr>
        <w:pStyle w:val="18"/>
        <w:spacing w:beforeAutospacing="0" w:afterAutospacing="0"/>
        <w:jc w:val="both"/>
        <w:rPr>
          <w:rFonts w:hint="eastAsia" w:ascii="黑体" w:hAnsi="宋体" w:eastAsia="黑体" w:cs="黑体"/>
          <w:b/>
          <w:color w:val="auto"/>
          <w:sz w:val="32"/>
          <w:szCs w:val="32"/>
          <w:highlight w:val="none"/>
          <w:shd w:val="clear" w:color="auto" w:fill="auto"/>
        </w:rPr>
      </w:pPr>
    </w:p>
    <w:p w14:paraId="07AF6F5E">
      <w:pPr>
        <w:pStyle w:val="18"/>
        <w:numPr>
          <w:ilvl w:val="0"/>
          <w:numId w:val="3"/>
        </w:numPr>
        <w:spacing w:beforeAutospacing="0" w:afterAutospacing="0"/>
        <w:jc w:val="center"/>
        <w:outlineLvl w:val="0"/>
        <w:rPr>
          <w:rFonts w:hint="eastAsia" w:ascii="黑体" w:hAnsi="宋体" w:eastAsia="黑体" w:cs="黑体"/>
          <w:b/>
          <w:i/>
          <w:color w:val="000000"/>
          <w:sz w:val="32"/>
          <w:szCs w:val="32"/>
          <w:u w:val="single"/>
        </w:rPr>
      </w:pPr>
      <w:bookmarkStart w:id="201" w:name="_Toc18660"/>
      <w:r>
        <w:rPr>
          <w:rFonts w:hint="eastAsia" w:ascii="黑体" w:hAnsi="宋体" w:eastAsia="黑体" w:cs="黑体"/>
          <w:b/>
          <w:i/>
          <w:color w:val="000000"/>
          <w:sz w:val="32"/>
          <w:szCs w:val="32"/>
          <w:u w:val="single"/>
        </w:rPr>
        <w:t>分项报价表</w:t>
      </w:r>
      <w:bookmarkEnd w:id="201"/>
    </w:p>
    <w:tbl>
      <w:tblPr>
        <w:tblStyle w:val="20"/>
        <w:tblW w:w="10207" w:type="dxa"/>
        <w:tblCellSpacing w:w="0" w:type="dxa"/>
        <w:tblInd w:w="10" w:type="dxa"/>
        <w:tblLayout w:type="fixed"/>
        <w:tblCellMar>
          <w:top w:w="0" w:type="dxa"/>
          <w:left w:w="108" w:type="dxa"/>
          <w:bottom w:w="0" w:type="dxa"/>
          <w:right w:w="108" w:type="dxa"/>
        </w:tblCellMar>
      </w:tblPr>
      <w:tblGrid>
        <w:gridCol w:w="1181"/>
        <w:gridCol w:w="891"/>
        <w:gridCol w:w="1809"/>
        <w:gridCol w:w="825"/>
        <w:gridCol w:w="1618"/>
        <w:gridCol w:w="1894"/>
        <w:gridCol w:w="1989"/>
      </w:tblGrid>
      <w:tr w14:paraId="2D46536F">
        <w:tblPrEx>
          <w:tblCellMar>
            <w:top w:w="0" w:type="dxa"/>
            <w:left w:w="108" w:type="dxa"/>
            <w:bottom w:w="0" w:type="dxa"/>
            <w:right w:w="108" w:type="dxa"/>
          </w:tblCellMar>
        </w:tblPrEx>
        <w:trPr>
          <w:trHeight w:val="294" w:hRule="atLeast"/>
          <w:tblCellSpacing w:w="0" w:type="dxa"/>
        </w:trPr>
        <w:tc>
          <w:tcPr>
            <w:tcW w:w="1181" w:type="dxa"/>
            <w:tcBorders>
              <w:top w:val="single" w:color="000000" w:sz="4" w:space="0"/>
              <w:left w:val="single" w:color="000000" w:sz="4" w:space="0"/>
              <w:bottom w:val="single" w:color="000000" w:sz="4" w:space="0"/>
              <w:right w:val="single" w:color="000000" w:sz="4" w:space="0"/>
            </w:tcBorders>
            <w:vAlign w:val="center"/>
          </w:tcPr>
          <w:p w14:paraId="7BB3E408">
            <w:pPr>
              <w:pStyle w:val="18"/>
              <w:spacing w:beforeAutospacing="0" w:afterAutospacing="0" w:line="0" w:lineRule="atLeast"/>
              <w:jc w:val="center"/>
            </w:pPr>
            <w:r>
              <w:rPr>
                <w:rFonts w:hint="eastAsia" w:ascii="宋体" w:hAnsi="宋体" w:cs="宋体"/>
              </w:rPr>
              <w:t>产品</w:t>
            </w:r>
          </w:p>
          <w:p w14:paraId="0C653351">
            <w:pPr>
              <w:pStyle w:val="18"/>
              <w:spacing w:beforeAutospacing="0" w:afterAutospacing="0" w:line="0" w:lineRule="atLeast"/>
              <w:jc w:val="center"/>
            </w:pPr>
            <w:r>
              <w:rPr>
                <w:rFonts w:hint="eastAsia" w:ascii="宋体" w:hAnsi="宋体" w:cs="宋体"/>
              </w:rPr>
              <w:t>名称</w:t>
            </w:r>
          </w:p>
        </w:tc>
        <w:tc>
          <w:tcPr>
            <w:tcW w:w="891" w:type="dxa"/>
            <w:tcBorders>
              <w:top w:val="single" w:color="000000" w:sz="4" w:space="0"/>
              <w:left w:val="single" w:color="000000" w:sz="4" w:space="0"/>
              <w:bottom w:val="single" w:color="000000" w:sz="4" w:space="0"/>
              <w:right w:val="single" w:color="000000" w:sz="4" w:space="0"/>
            </w:tcBorders>
            <w:vAlign w:val="center"/>
          </w:tcPr>
          <w:p w14:paraId="53704BBA">
            <w:pPr>
              <w:pStyle w:val="18"/>
              <w:spacing w:beforeAutospacing="0" w:afterAutospacing="0" w:line="0" w:lineRule="atLeast"/>
              <w:jc w:val="center"/>
            </w:pPr>
            <w:r>
              <w:rPr>
                <w:rFonts w:hint="eastAsia" w:ascii="宋体" w:hAnsi="宋体" w:cs="宋体"/>
              </w:rPr>
              <w:t>品牌</w:t>
            </w:r>
          </w:p>
        </w:tc>
        <w:tc>
          <w:tcPr>
            <w:tcW w:w="1809" w:type="dxa"/>
            <w:tcBorders>
              <w:top w:val="single" w:color="000000" w:sz="4" w:space="0"/>
              <w:left w:val="single" w:color="000000" w:sz="4" w:space="0"/>
              <w:bottom w:val="single" w:color="000000" w:sz="4" w:space="0"/>
              <w:right w:val="single" w:color="000000" w:sz="4" w:space="0"/>
            </w:tcBorders>
            <w:vAlign w:val="center"/>
          </w:tcPr>
          <w:p w14:paraId="24819E29">
            <w:pPr>
              <w:pStyle w:val="18"/>
              <w:spacing w:beforeAutospacing="0" w:afterAutospacing="0" w:line="0" w:lineRule="atLeast"/>
              <w:jc w:val="center"/>
            </w:pPr>
            <w:r>
              <w:rPr>
                <w:rFonts w:hint="eastAsia" w:ascii="宋体" w:hAnsi="宋体" w:cs="宋体"/>
              </w:rPr>
              <w:t>规格</w:t>
            </w:r>
          </w:p>
          <w:p w14:paraId="0598BDBA">
            <w:pPr>
              <w:pStyle w:val="18"/>
              <w:spacing w:beforeAutospacing="0" w:afterAutospacing="0" w:line="0" w:lineRule="atLeast"/>
              <w:jc w:val="center"/>
            </w:pPr>
            <w:r>
              <w:rPr>
                <w:rFonts w:hint="eastAsia" w:ascii="宋体" w:hAnsi="宋体" w:cs="宋体"/>
              </w:rPr>
              <w:t>型号</w:t>
            </w:r>
          </w:p>
        </w:tc>
        <w:tc>
          <w:tcPr>
            <w:tcW w:w="825" w:type="dxa"/>
            <w:tcBorders>
              <w:top w:val="single" w:color="000000" w:sz="4" w:space="0"/>
              <w:left w:val="single" w:color="000000" w:sz="4" w:space="0"/>
              <w:bottom w:val="single" w:color="000000" w:sz="4" w:space="0"/>
              <w:right w:val="single" w:color="000000" w:sz="4" w:space="0"/>
            </w:tcBorders>
            <w:vAlign w:val="center"/>
          </w:tcPr>
          <w:p w14:paraId="715DC1DB">
            <w:pPr>
              <w:pStyle w:val="18"/>
              <w:spacing w:beforeAutospacing="0" w:afterAutospacing="0" w:line="0" w:lineRule="atLeast"/>
              <w:jc w:val="center"/>
            </w:pPr>
            <w:r>
              <w:rPr>
                <w:rFonts w:hint="eastAsia" w:ascii="宋体" w:hAnsi="宋体" w:cs="宋体"/>
              </w:rPr>
              <w:t>产地</w:t>
            </w:r>
          </w:p>
        </w:tc>
        <w:tc>
          <w:tcPr>
            <w:tcW w:w="1618" w:type="dxa"/>
            <w:tcBorders>
              <w:top w:val="single" w:color="000000" w:sz="4" w:space="0"/>
              <w:left w:val="single" w:color="000000" w:sz="4" w:space="0"/>
              <w:bottom w:val="single" w:color="000000" w:sz="4" w:space="0"/>
              <w:right w:val="single" w:color="000000" w:sz="4" w:space="0"/>
            </w:tcBorders>
            <w:vAlign w:val="center"/>
          </w:tcPr>
          <w:p w14:paraId="7DEE1123">
            <w:pPr>
              <w:pStyle w:val="18"/>
              <w:spacing w:beforeAutospacing="0" w:afterAutospacing="0" w:line="0" w:lineRule="atLeast"/>
              <w:jc w:val="center"/>
            </w:pPr>
            <w:r>
              <w:rPr>
                <w:rFonts w:hint="eastAsia" w:ascii="宋体" w:hAnsi="宋体" w:cs="宋体"/>
              </w:rPr>
              <w:t>数量</w:t>
            </w:r>
          </w:p>
        </w:tc>
        <w:tc>
          <w:tcPr>
            <w:tcW w:w="1894" w:type="dxa"/>
            <w:tcBorders>
              <w:top w:val="single" w:color="000000" w:sz="4" w:space="0"/>
              <w:left w:val="single" w:color="000000" w:sz="4" w:space="0"/>
              <w:bottom w:val="single" w:color="000000" w:sz="4" w:space="0"/>
              <w:right w:val="single" w:color="000000" w:sz="4" w:space="0"/>
            </w:tcBorders>
            <w:vAlign w:val="center"/>
          </w:tcPr>
          <w:p w14:paraId="557BE209">
            <w:pPr>
              <w:pStyle w:val="18"/>
              <w:spacing w:beforeAutospacing="0" w:afterAutospacing="0" w:line="0" w:lineRule="atLeast"/>
              <w:jc w:val="center"/>
            </w:pPr>
            <w:r>
              <w:rPr>
                <w:rFonts w:hint="eastAsia" w:ascii="宋体" w:hAnsi="宋体" w:cs="宋体"/>
                <w:lang w:val="en-US" w:eastAsia="zh-CN"/>
              </w:rPr>
              <w:t>投标</w:t>
            </w:r>
            <w:r>
              <w:rPr>
                <w:rFonts w:hint="eastAsia" w:ascii="宋体" w:hAnsi="宋体" w:cs="宋体"/>
              </w:rPr>
              <w:t>单价</w:t>
            </w:r>
            <w:r>
              <w:rPr>
                <w:rFonts w:hint="eastAsia" w:ascii="宋体" w:hAnsi="宋体"/>
                <w:kern w:val="2"/>
                <w:sz w:val="24"/>
                <w:szCs w:val="24"/>
                <w:highlight w:val="none"/>
              </w:rPr>
              <w:t>（元）</w:t>
            </w:r>
          </w:p>
        </w:tc>
        <w:tc>
          <w:tcPr>
            <w:tcW w:w="1989" w:type="dxa"/>
            <w:tcBorders>
              <w:top w:val="single" w:color="000000" w:sz="4" w:space="0"/>
              <w:left w:val="single" w:color="000000" w:sz="4" w:space="0"/>
              <w:bottom w:val="single" w:color="000000" w:sz="4" w:space="0"/>
              <w:right w:val="single" w:color="000000" w:sz="4" w:space="0"/>
            </w:tcBorders>
            <w:vAlign w:val="center"/>
          </w:tcPr>
          <w:p w14:paraId="10A8C922">
            <w:pPr>
              <w:pStyle w:val="18"/>
              <w:spacing w:beforeAutospacing="0" w:afterAutospacing="0" w:line="0" w:lineRule="atLeast"/>
              <w:jc w:val="center"/>
            </w:pPr>
            <w:r>
              <w:rPr>
                <w:rFonts w:hint="eastAsia" w:ascii="宋体" w:hAnsi="宋体" w:cs="宋体"/>
                <w:b w:val="0"/>
                <w:bCs w:val="0"/>
                <w:color w:val="000000"/>
                <w:kern w:val="2"/>
                <w:sz w:val="24"/>
                <w:szCs w:val="24"/>
                <w:highlight w:val="none"/>
                <w:lang w:val="en-US" w:eastAsia="zh-CN"/>
              </w:rPr>
              <w:t>投标总报价</w:t>
            </w:r>
            <w:r>
              <w:rPr>
                <w:rFonts w:hint="eastAsia" w:ascii="宋体" w:hAnsi="宋体"/>
                <w:kern w:val="2"/>
                <w:sz w:val="24"/>
                <w:szCs w:val="24"/>
                <w:highlight w:val="none"/>
              </w:rPr>
              <w:t>（元）</w:t>
            </w:r>
          </w:p>
        </w:tc>
      </w:tr>
      <w:tr w14:paraId="7F9D9820">
        <w:tblPrEx>
          <w:tblCellMar>
            <w:top w:w="0" w:type="dxa"/>
            <w:left w:w="108" w:type="dxa"/>
            <w:bottom w:w="0" w:type="dxa"/>
            <w:right w:w="108" w:type="dxa"/>
          </w:tblCellMar>
        </w:tblPrEx>
        <w:trPr>
          <w:trHeight w:val="696" w:hRule="atLeast"/>
          <w:tblCellSpacing w:w="0" w:type="dxa"/>
        </w:trPr>
        <w:tc>
          <w:tcPr>
            <w:tcW w:w="1181" w:type="dxa"/>
            <w:vMerge w:val="restart"/>
            <w:tcBorders>
              <w:top w:val="single" w:color="000000" w:sz="4" w:space="0"/>
              <w:left w:val="single" w:color="000000" w:sz="4" w:space="0"/>
              <w:right w:val="single" w:color="000000" w:sz="4" w:space="0"/>
            </w:tcBorders>
            <w:vAlign w:val="center"/>
          </w:tcPr>
          <w:p w14:paraId="7691AAC1">
            <w:pPr>
              <w:pStyle w:val="18"/>
              <w:spacing w:beforeAutospacing="0" w:afterAutospacing="0" w:line="0" w:lineRule="atLeast"/>
              <w:jc w:val="both"/>
            </w:pPr>
            <w:r>
              <w:t> </w:t>
            </w:r>
            <w:r>
              <w:rPr>
                <w:rFonts w:hint="eastAsia" w:ascii="宋体" w:hAnsi="宋体" w:eastAsia="宋体" w:cs="宋体"/>
                <w:color w:val="000000"/>
                <w:kern w:val="0"/>
                <w:sz w:val="24"/>
                <w:szCs w:val="24"/>
                <w:lang w:val="en-US" w:eastAsia="zh-CN" w:bidi="ar-SA"/>
              </w:rPr>
              <w:t>480克/升氰烯菌酯▪戊唑醇悬浮剂</w:t>
            </w:r>
          </w:p>
        </w:tc>
        <w:tc>
          <w:tcPr>
            <w:tcW w:w="891" w:type="dxa"/>
            <w:tcBorders>
              <w:top w:val="single" w:color="000000" w:sz="4" w:space="0"/>
              <w:left w:val="single" w:color="000000" w:sz="4" w:space="0"/>
              <w:bottom w:val="single" w:color="000000" w:sz="4" w:space="0"/>
              <w:right w:val="single" w:color="000000" w:sz="4" w:space="0"/>
            </w:tcBorders>
            <w:vAlign w:val="center"/>
          </w:tcPr>
          <w:p w14:paraId="5A8BC66B">
            <w:pPr>
              <w:pStyle w:val="18"/>
              <w:spacing w:beforeAutospacing="0" w:afterAutospacing="0" w:line="0" w:lineRule="atLeast"/>
              <w:jc w:val="both"/>
            </w:pPr>
            <w:r>
              <w:t> </w:t>
            </w:r>
          </w:p>
        </w:tc>
        <w:tc>
          <w:tcPr>
            <w:tcW w:w="1809" w:type="dxa"/>
            <w:tcBorders>
              <w:top w:val="single" w:color="000000" w:sz="4" w:space="0"/>
              <w:left w:val="single" w:color="000000" w:sz="4" w:space="0"/>
              <w:bottom w:val="single" w:color="000000" w:sz="4" w:space="0"/>
              <w:right w:val="single" w:color="000000" w:sz="4" w:space="0"/>
            </w:tcBorders>
            <w:vAlign w:val="top"/>
          </w:tcPr>
          <w:p w14:paraId="55F275F3">
            <w:pPr>
              <w:keepNext w:val="0"/>
              <w:keepLines w:val="0"/>
              <w:widowControl/>
              <w:suppressLineNumbers w:val="0"/>
              <w:spacing w:before="0" w:beforeAutospacing="0" w:afterAutospacing="0" w:line="240" w:lineRule="exact"/>
              <w:ind w:left="0" w:right="0"/>
              <w:jc w:val="both"/>
              <w:rPr>
                <w:rFonts w:hint="eastAsia" w:ascii="宋体" w:hAnsi="宋体"/>
                <w:kern w:val="2"/>
                <w:sz w:val="24"/>
                <w:szCs w:val="24"/>
                <w:highlight w:val="none"/>
              </w:rPr>
            </w:pPr>
          </w:p>
          <w:p w14:paraId="6A86E97C">
            <w:pPr>
              <w:keepNext w:val="0"/>
              <w:keepLines w:val="0"/>
              <w:widowControl/>
              <w:suppressLineNumbers w:val="0"/>
              <w:spacing w:before="0" w:beforeAutospacing="0" w:afterAutospacing="0" w:line="240" w:lineRule="exact"/>
              <w:ind w:left="0" w:leftChars="0" w:right="0" w:rightChars="0"/>
              <w:jc w:val="center"/>
            </w:pPr>
            <w:r>
              <w:rPr>
                <w:rFonts w:hint="eastAsia" w:ascii="宋体" w:hAnsi="宋体"/>
                <w:kern w:val="2"/>
                <w:sz w:val="24"/>
                <w:szCs w:val="24"/>
                <w:highlight w:val="none"/>
              </w:rPr>
              <w:t>50毫升/瓶</w:t>
            </w:r>
          </w:p>
        </w:tc>
        <w:tc>
          <w:tcPr>
            <w:tcW w:w="825" w:type="dxa"/>
            <w:tcBorders>
              <w:top w:val="single" w:color="000000" w:sz="4" w:space="0"/>
              <w:left w:val="single" w:color="000000" w:sz="4" w:space="0"/>
              <w:bottom w:val="single" w:color="000000" w:sz="4" w:space="0"/>
              <w:right w:val="single" w:color="000000" w:sz="4" w:space="0"/>
            </w:tcBorders>
            <w:vAlign w:val="center"/>
          </w:tcPr>
          <w:p w14:paraId="648F531E">
            <w:pPr>
              <w:pStyle w:val="18"/>
              <w:spacing w:beforeAutospacing="0" w:afterAutospacing="0" w:line="0" w:lineRule="atLeast"/>
              <w:jc w:val="both"/>
            </w:pPr>
            <w:r>
              <w:t> </w:t>
            </w:r>
          </w:p>
        </w:tc>
        <w:tc>
          <w:tcPr>
            <w:tcW w:w="1618" w:type="dxa"/>
            <w:tcBorders>
              <w:top w:val="single" w:color="000000" w:sz="4" w:space="0"/>
              <w:left w:val="single" w:color="000000" w:sz="4" w:space="0"/>
              <w:bottom w:val="single" w:color="000000" w:sz="4" w:space="0"/>
              <w:right w:val="single" w:color="000000" w:sz="4" w:space="0"/>
            </w:tcBorders>
            <w:vAlign w:val="center"/>
          </w:tcPr>
          <w:p w14:paraId="2EBD6E24">
            <w:pPr>
              <w:pStyle w:val="18"/>
              <w:spacing w:beforeAutospacing="0" w:afterAutospacing="0" w:line="0" w:lineRule="atLeast"/>
              <w:jc w:val="both"/>
            </w:pPr>
            <w:r>
              <w:t> </w:t>
            </w:r>
            <w:r>
              <w:rPr>
                <w:rFonts w:hint="eastAsia" w:ascii="宋体" w:hAnsi="Calibri"/>
                <w:kern w:val="2"/>
                <w:sz w:val="24"/>
                <w:szCs w:val="24"/>
                <w:highlight w:val="none"/>
                <w:u w:val="single"/>
              </w:rPr>
              <w:t xml:space="preserve">     </w:t>
            </w:r>
            <w:r>
              <w:rPr>
                <w:rFonts w:ascii="宋体" w:hAnsi="宋体" w:eastAsia="宋体" w:cs="宋体"/>
                <w:b w:val="0"/>
                <w:bCs w:val="0"/>
                <w:color w:val="000000"/>
                <w:sz w:val="24"/>
                <w:szCs w:val="24"/>
              </w:rPr>
              <w:t>千升</w:t>
            </w:r>
          </w:p>
        </w:tc>
        <w:tc>
          <w:tcPr>
            <w:tcW w:w="1894" w:type="dxa"/>
            <w:vMerge w:val="restart"/>
            <w:tcBorders>
              <w:top w:val="single" w:color="000000" w:sz="4" w:space="0"/>
              <w:left w:val="single" w:color="000000" w:sz="4" w:space="0"/>
              <w:right w:val="single" w:color="000000" w:sz="4" w:space="0"/>
            </w:tcBorders>
            <w:vAlign w:val="center"/>
          </w:tcPr>
          <w:p w14:paraId="13052F57">
            <w:pPr>
              <w:pStyle w:val="18"/>
              <w:spacing w:beforeAutospacing="0" w:afterAutospacing="0" w:line="0" w:lineRule="atLeast"/>
              <w:jc w:val="both"/>
            </w:pPr>
            <w:r>
              <w:rPr>
                <w:rFonts w:hint="eastAsia" w:ascii="宋体" w:hAnsi="宋体" w:cs="宋体"/>
                <w:b w:val="0"/>
                <w:bCs w:val="0"/>
                <w:kern w:val="0"/>
                <w:sz w:val="24"/>
                <w:szCs w:val="24"/>
                <w:u w:val="single"/>
                <w:lang w:val="en-US" w:eastAsia="zh-CN"/>
              </w:rPr>
              <w:t xml:space="preserve">     </w:t>
            </w:r>
            <w:r>
              <w:rPr>
                <w:rFonts w:hint="eastAsia" w:ascii="宋体" w:hAnsi="宋体" w:eastAsia="宋体" w:cs="宋体"/>
                <w:b w:val="0"/>
                <w:bCs w:val="0"/>
                <w:kern w:val="0"/>
                <w:sz w:val="24"/>
                <w:szCs w:val="24"/>
                <w:lang w:val="en-US" w:eastAsia="zh-CN"/>
              </w:rPr>
              <w:t>元/</w:t>
            </w:r>
            <w:r>
              <w:rPr>
                <w:rFonts w:ascii="宋体" w:hAnsi="宋体" w:eastAsia="宋体" w:cs="宋体"/>
                <w:b w:val="0"/>
                <w:bCs w:val="0"/>
                <w:color w:val="000000"/>
                <w:sz w:val="24"/>
                <w:szCs w:val="24"/>
              </w:rPr>
              <w:t>千升</w:t>
            </w:r>
          </w:p>
        </w:tc>
        <w:tc>
          <w:tcPr>
            <w:tcW w:w="1989" w:type="dxa"/>
            <w:tcBorders>
              <w:top w:val="single" w:color="000000" w:sz="4" w:space="0"/>
              <w:left w:val="single" w:color="000000" w:sz="4" w:space="0"/>
              <w:bottom w:val="single" w:color="000000" w:sz="4" w:space="0"/>
              <w:right w:val="single" w:color="000000" w:sz="4" w:space="0"/>
            </w:tcBorders>
            <w:vAlign w:val="center"/>
          </w:tcPr>
          <w:p w14:paraId="2F5AB3BB">
            <w:pPr>
              <w:pStyle w:val="18"/>
              <w:spacing w:beforeAutospacing="0" w:afterAutospacing="0" w:line="0" w:lineRule="atLeast"/>
              <w:jc w:val="center"/>
            </w:pPr>
            <w:r>
              <w:rPr>
                <w:rFonts w:hint="eastAsia" w:ascii="宋体" w:hAnsi="宋体"/>
                <w:kern w:val="2"/>
                <w:sz w:val="24"/>
                <w:szCs w:val="24"/>
                <w:highlight w:val="none"/>
                <w:lang w:val="en-US" w:eastAsia="zh-CN"/>
              </w:rPr>
              <w:t>1625000.00元</w:t>
            </w:r>
          </w:p>
        </w:tc>
      </w:tr>
      <w:tr w14:paraId="44BBE7F1">
        <w:tblPrEx>
          <w:tblCellMar>
            <w:top w:w="0" w:type="dxa"/>
            <w:left w:w="108" w:type="dxa"/>
            <w:bottom w:w="0" w:type="dxa"/>
            <w:right w:w="108" w:type="dxa"/>
          </w:tblCellMar>
        </w:tblPrEx>
        <w:trPr>
          <w:trHeight w:val="724" w:hRule="atLeast"/>
          <w:tblCellSpacing w:w="0" w:type="dxa"/>
        </w:trPr>
        <w:tc>
          <w:tcPr>
            <w:tcW w:w="1181" w:type="dxa"/>
            <w:vMerge w:val="continue"/>
            <w:tcBorders>
              <w:left w:val="single" w:color="000000" w:sz="4" w:space="0"/>
              <w:bottom w:val="single" w:color="000000" w:sz="4" w:space="0"/>
              <w:right w:val="single" w:color="000000" w:sz="4" w:space="0"/>
            </w:tcBorders>
            <w:vAlign w:val="center"/>
          </w:tcPr>
          <w:p w14:paraId="45981195">
            <w:pPr>
              <w:pStyle w:val="18"/>
              <w:spacing w:beforeAutospacing="0" w:afterAutospacing="0" w:line="0" w:lineRule="atLeast"/>
              <w:jc w:val="both"/>
            </w:pPr>
          </w:p>
        </w:tc>
        <w:tc>
          <w:tcPr>
            <w:tcW w:w="891" w:type="dxa"/>
            <w:tcBorders>
              <w:top w:val="single" w:color="000000" w:sz="4" w:space="0"/>
              <w:left w:val="single" w:color="000000" w:sz="4" w:space="0"/>
              <w:bottom w:val="single" w:color="000000" w:sz="4" w:space="0"/>
              <w:right w:val="single" w:color="000000" w:sz="4" w:space="0"/>
            </w:tcBorders>
            <w:vAlign w:val="center"/>
          </w:tcPr>
          <w:p w14:paraId="40E82DB5">
            <w:pPr>
              <w:pStyle w:val="18"/>
              <w:spacing w:beforeAutospacing="0" w:afterAutospacing="0" w:line="0" w:lineRule="atLeast"/>
              <w:jc w:val="both"/>
            </w:pPr>
          </w:p>
        </w:tc>
        <w:tc>
          <w:tcPr>
            <w:tcW w:w="1809" w:type="dxa"/>
            <w:tcBorders>
              <w:top w:val="single" w:color="000000" w:sz="4" w:space="0"/>
              <w:left w:val="single" w:color="000000" w:sz="4" w:space="0"/>
              <w:bottom w:val="single" w:color="000000" w:sz="4" w:space="0"/>
              <w:right w:val="single" w:color="000000" w:sz="4" w:space="0"/>
            </w:tcBorders>
            <w:vAlign w:val="top"/>
          </w:tcPr>
          <w:p w14:paraId="732308F8">
            <w:pPr>
              <w:keepNext w:val="0"/>
              <w:keepLines w:val="0"/>
              <w:widowControl/>
              <w:suppressLineNumbers w:val="0"/>
              <w:spacing w:before="0" w:beforeAutospacing="0" w:afterAutospacing="0" w:line="240" w:lineRule="exact"/>
              <w:ind w:left="0" w:leftChars="0" w:right="0" w:rightChars="0"/>
              <w:jc w:val="center"/>
              <w:rPr>
                <w:rFonts w:hint="eastAsia" w:ascii="宋体" w:hAnsi="宋体" w:eastAsia="宋体" w:cs="宋体"/>
                <w:kern w:val="0"/>
                <w:sz w:val="24"/>
                <w:szCs w:val="24"/>
              </w:rPr>
            </w:pPr>
          </w:p>
          <w:p w14:paraId="755955CF">
            <w:pPr>
              <w:keepNext w:val="0"/>
              <w:keepLines w:val="0"/>
              <w:widowControl/>
              <w:suppressLineNumbers w:val="0"/>
              <w:spacing w:before="0" w:beforeAutospacing="0" w:afterAutospacing="0" w:line="240" w:lineRule="exact"/>
              <w:ind w:left="0" w:leftChars="0" w:right="0" w:rightChars="0"/>
              <w:jc w:val="center"/>
            </w:pPr>
            <w:r>
              <w:rPr>
                <w:rFonts w:hint="eastAsia" w:ascii="宋体" w:hAnsi="宋体" w:eastAsia="宋体" w:cs="宋体"/>
                <w:kern w:val="0"/>
                <w:sz w:val="24"/>
                <w:szCs w:val="24"/>
              </w:rPr>
              <w:t>1000毫升/瓶</w:t>
            </w:r>
          </w:p>
        </w:tc>
        <w:tc>
          <w:tcPr>
            <w:tcW w:w="825" w:type="dxa"/>
            <w:tcBorders>
              <w:top w:val="single" w:color="000000" w:sz="4" w:space="0"/>
              <w:left w:val="single" w:color="000000" w:sz="4" w:space="0"/>
              <w:bottom w:val="single" w:color="000000" w:sz="4" w:space="0"/>
              <w:right w:val="single" w:color="000000" w:sz="4" w:space="0"/>
            </w:tcBorders>
            <w:vAlign w:val="center"/>
          </w:tcPr>
          <w:p w14:paraId="0D28CB3A">
            <w:pPr>
              <w:pStyle w:val="18"/>
              <w:spacing w:beforeAutospacing="0" w:afterAutospacing="0" w:line="0" w:lineRule="atLeast"/>
              <w:jc w:val="both"/>
            </w:pPr>
          </w:p>
        </w:tc>
        <w:tc>
          <w:tcPr>
            <w:tcW w:w="1618" w:type="dxa"/>
            <w:tcBorders>
              <w:top w:val="single" w:color="000000" w:sz="4" w:space="0"/>
              <w:left w:val="single" w:color="000000" w:sz="4" w:space="0"/>
              <w:bottom w:val="single" w:color="000000" w:sz="4" w:space="0"/>
              <w:right w:val="single" w:color="000000" w:sz="4" w:space="0"/>
            </w:tcBorders>
            <w:vAlign w:val="center"/>
          </w:tcPr>
          <w:p w14:paraId="1153B408">
            <w:pPr>
              <w:pStyle w:val="18"/>
              <w:spacing w:beforeAutospacing="0" w:afterAutospacing="0" w:line="0" w:lineRule="atLeast"/>
              <w:jc w:val="both"/>
            </w:pPr>
            <w:r>
              <w:rPr>
                <w:rFonts w:hint="eastAsia" w:ascii="宋体" w:hAnsi="Calibri"/>
                <w:kern w:val="2"/>
                <w:sz w:val="24"/>
                <w:szCs w:val="24"/>
                <w:highlight w:val="none"/>
                <w:u w:val="single"/>
              </w:rPr>
              <w:t xml:space="preserve">     </w:t>
            </w:r>
            <w:r>
              <w:rPr>
                <w:rFonts w:ascii="宋体" w:hAnsi="宋体" w:eastAsia="宋体" w:cs="宋体"/>
                <w:b w:val="0"/>
                <w:bCs w:val="0"/>
                <w:color w:val="000000"/>
                <w:sz w:val="24"/>
                <w:szCs w:val="24"/>
              </w:rPr>
              <w:t>千升</w:t>
            </w:r>
          </w:p>
        </w:tc>
        <w:tc>
          <w:tcPr>
            <w:tcW w:w="1894" w:type="dxa"/>
            <w:vMerge w:val="continue"/>
            <w:tcBorders>
              <w:left w:val="single" w:color="000000" w:sz="4" w:space="0"/>
              <w:bottom w:val="single" w:color="000000" w:sz="4" w:space="0"/>
              <w:right w:val="single" w:color="000000" w:sz="4" w:space="0"/>
            </w:tcBorders>
            <w:vAlign w:val="center"/>
          </w:tcPr>
          <w:p w14:paraId="514E893E">
            <w:pPr>
              <w:pStyle w:val="18"/>
              <w:spacing w:beforeAutospacing="0" w:afterAutospacing="0" w:line="0" w:lineRule="atLeast"/>
              <w:jc w:val="both"/>
            </w:pPr>
          </w:p>
        </w:tc>
        <w:tc>
          <w:tcPr>
            <w:tcW w:w="1989" w:type="dxa"/>
            <w:tcBorders>
              <w:top w:val="single" w:color="000000" w:sz="4" w:space="0"/>
              <w:left w:val="single" w:color="000000" w:sz="4" w:space="0"/>
              <w:bottom w:val="single" w:color="000000" w:sz="4" w:space="0"/>
              <w:right w:val="single" w:color="000000" w:sz="4" w:space="0"/>
            </w:tcBorders>
            <w:vAlign w:val="center"/>
          </w:tcPr>
          <w:p w14:paraId="413B5CC3">
            <w:pPr>
              <w:pStyle w:val="18"/>
              <w:spacing w:beforeAutospacing="0" w:afterAutospacing="0" w:line="0" w:lineRule="atLeast"/>
              <w:jc w:val="center"/>
            </w:pPr>
            <w:r>
              <w:rPr>
                <w:rFonts w:hint="eastAsia" w:ascii="宋体" w:hAnsi="宋体"/>
                <w:kern w:val="2"/>
                <w:sz w:val="24"/>
                <w:szCs w:val="24"/>
                <w:highlight w:val="none"/>
                <w:lang w:val="en-US" w:eastAsia="zh-CN"/>
              </w:rPr>
              <w:t>1625000.00元</w:t>
            </w:r>
          </w:p>
        </w:tc>
      </w:tr>
      <w:tr w14:paraId="0717DD67">
        <w:tblPrEx>
          <w:tblCellMar>
            <w:top w:w="0" w:type="dxa"/>
            <w:left w:w="108" w:type="dxa"/>
            <w:bottom w:w="0" w:type="dxa"/>
            <w:right w:w="108" w:type="dxa"/>
          </w:tblCellMar>
        </w:tblPrEx>
        <w:trPr>
          <w:trHeight w:val="724" w:hRule="atLeast"/>
          <w:tblCellSpacing w:w="0" w:type="dxa"/>
        </w:trPr>
        <w:tc>
          <w:tcPr>
            <w:tcW w:w="10207" w:type="dxa"/>
            <w:gridSpan w:val="7"/>
            <w:tcBorders>
              <w:top w:val="single" w:color="000000" w:sz="4" w:space="0"/>
              <w:left w:val="single" w:color="000000" w:sz="4" w:space="0"/>
              <w:bottom w:val="single" w:color="000000" w:sz="4" w:space="0"/>
              <w:right w:val="single" w:color="000000" w:sz="4" w:space="0"/>
            </w:tcBorders>
            <w:vAlign w:val="center"/>
          </w:tcPr>
          <w:p w14:paraId="20E2E158">
            <w:pPr>
              <w:pStyle w:val="18"/>
              <w:spacing w:beforeAutospacing="0" w:afterAutospacing="0" w:line="0" w:lineRule="atLeast"/>
              <w:jc w:val="both"/>
            </w:pPr>
            <w:r>
              <w:rPr>
                <w:rFonts w:hint="eastAsia" w:ascii="黑体" w:eastAsia="黑体" w:cs="Times New Roman"/>
                <w:kern w:val="2"/>
                <w:sz w:val="24"/>
                <w:szCs w:val="24"/>
              </w:rPr>
              <w:t>投标总报价（大写</w:t>
            </w:r>
            <w:r>
              <w:rPr>
                <w:rFonts w:hint="eastAsia" w:ascii="黑体" w:eastAsia="黑体"/>
                <w:kern w:val="2"/>
                <w:sz w:val="24"/>
                <w:szCs w:val="24"/>
              </w:rPr>
              <w:t xml:space="preserve">）： </w:t>
            </w:r>
            <w:r>
              <w:rPr>
                <w:rFonts w:hint="eastAsia" w:ascii="黑体" w:eastAsia="黑体"/>
                <w:kern w:val="2"/>
                <w:sz w:val="24"/>
                <w:szCs w:val="24"/>
                <w:lang w:val="en-US" w:eastAsia="zh-CN"/>
              </w:rPr>
              <w:t>叁佰贰拾伍</w:t>
            </w:r>
            <w:r>
              <w:rPr>
                <w:rFonts w:hint="eastAsia" w:ascii="黑体" w:eastAsia="黑体"/>
                <w:kern w:val="2"/>
                <w:sz w:val="24"/>
                <w:szCs w:val="24"/>
              </w:rPr>
              <w:t>万元整   小写：</w:t>
            </w:r>
            <w:r>
              <w:rPr>
                <w:rFonts w:hint="eastAsia" w:ascii="黑体" w:eastAsia="黑体"/>
                <w:kern w:val="2"/>
                <w:sz w:val="24"/>
                <w:szCs w:val="24"/>
                <w:lang w:val="en-US" w:eastAsia="zh-CN"/>
              </w:rPr>
              <w:t>325</w:t>
            </w:r>
            <w:r>
              <w:rPr>
                <w:rFonts w:hint="eastAsia" w:ascii="黑体" w:eastAsia="黑体"/>
                <w:kern w:val="2"/>
                <w:sz w:val="24"/>
                <w:szCs w:val="24"/>
              </w:rPr>
              <w:t xml:space="preserve">0000.00元       </w:t>
            </w:r>
          </w:p>
        </w:tc>
      </w:tr>
      <w:tr w14:paraId="301B3DD4">
        <w:tblPrEx>
          <w:tblCellMar>
            <w:top w:w="0" w:type="dxa"/>
            <w:left w:w="108" w:type="dxa"/>
            <w:bottom w:w="0" w:type="dxa"/>
            <w:right w:w="108" w:type="dxa"/>
          </w:tblCellMar>
        </w:tblPrEx>
        <w:trPr>
          <w:trHeight w:val="724" w:hRule="atLeast"/>
          <w:tblCellSpacing w:w="0" w:type="dxa"/>
        </w:trPr>
        <w:tc>
          <w:tcPr>
            <w:tcW w:w="10207" w:type="dxa"/>
            <w:gridSpan w:val="7"/>
            <w:tcBorders>
              <w:top w:val="single" w:color="000000" w:sz="4" w:space="0"/>
              <w:left w:val="single" w:color="000000" w:sz="4" w:space="0"/>
              <w:bottom w:val="single" w:color="000000" w:sz="4" w:space="0"/>
              <w:right w:val="single" w:color="000000" w:sz="4" w:space="0"/>
            </w:tcBorders>
            <w:vAlign w:val="center"/>
          </w:tcPr>
          <w:p w14:paraId="5D245A76">
            <w:pPr>
              <w:pageBreakBefore w:val="0"/>
              <w:kinsoku/>
              <w:wordWrap/>
              <w:overflowPunct/>
              <w:topLinePunct w:val="0"/>
              <w:autoSpaceDE/>
              <w:autoSpaceDN/>
              <w:bidi w:val="0"/>
              <w:adjustRightInd w:val="0"/>
              <w:snapToGrid/>
              <w:spacing w:line="360" w:lineRule="exact"/>
              <w:ind w:right="33" w:rightChars="0"/>
              <w:jc w:val="left"/>
              <w:textAlignment w:val="baseline"/>
            </w:pPr>
            <w:r>
              <w:rPr>
                <w:rFonts w:hint="eastAsia" w:ascii="黑体" w:eastAsia="黑体"/>
                <w:kern w:val="2"/>
                <w:sz w:val="24"/>
                <w:szCs w:val="24"/>
              </w:rPr>
              <w:t>合同履行期限：</w:t>
            </w:r>
            <w:r>
              <w:rPr>
                <w:rFonts w:hint="eastAsia" w:ascii="宋体" w:hAnsi="宋体" w:eastAsia="宋体" w:cs="宋体"/>
                <w:color w:val="000000"/>
                <w:sz w:val="24"/>
                <w:szCs w:val="32"/>
                <w:lang w:val="en-US" w:eastAsia="zh-CN"/>
              </w:rPr>
              <w:t>成交供应商合同签订后3日内按照采购人要求分批完成供货，送货到采购人指定地点并装卸完毕，每批的供货时间和数量由采购人确定，成交供应商必须在24小时内送货到位，不得以批量小为由拒绝送货或延期供货。</w:t>
            </w:r>
          </w:p>
        </w:tc>
      </w:tr>
      <w:tr w14:paraId="322DEAFC">
        <w:tblPrEx>
          <w:tblCellMar>
            <w:top w:w="0" w:type="dxa"/>
            <w:left w:w="108" w:type="dxa"/>
            <w:bottom w:w="0" w:type="dxa"/>
            <w:right w:w="108" w:type="dxa"/>
          </w:tblCellMar>
        </w:tblPrEx>
        <w:trPr>
          <w:trHeight w:val="724" w:hRule="atLeast"/>
          <w:tblCellSpacing w:w="0" w:type="dxa"/>
        </w:trPr>
        <w:tc>
          <w:tcPr>
            <w:tcW w:w="10207" w:type="dxa"/>
            <w:gridSpan w:val="7"/>
            <w:tcBorders>
              <w:top w:val="single" w:color="000000" w:sz="4" w:space="0"/>
              <w:left w:val="single" w:color="000000" w:sz="4" w:space="0"/>
              <w:bottom w:val="single" w:color="000000" w:sz="4" w:space="0"/>
              <w:right w:val="single" w:color="000000" w:sz="4" w:space="0"/>
            </w:tcBorders>
            <w:vAlign w:val="center"/>
          </w:tcPr>
          <w:p w14:paraId="0AD93759">
            <w:pPr>
              <w:keepNext w:val="0"/>
              <w:keepLines w:val="0"/>
              <w:widowControl/>
              <w:suppressLineNumbers w:val="0"/>
              <w:spacing w:before="0" w:beforeAutospacing="0" w:afterAutospacing="0" w:line="240" w:lineRule="exact"/>
              <w:ind w:left="0" w:leftChars="0" w:right="0" w:rightChars="0"/>
              <w:jc w:val="left"/>
            </w:pPr>
            <w:r>
              <w:rPr>
                <w:rFonts w:hint="eastAsia" w:ascii="黑体" w:eastAsia="黑体"/>
                <w:kern w:val="2"/>
                <w:sz w:val="24"/>
                <w:szCs w:val="24"/>
              </w:rPr>
              <w:t>备注：</w:t>
            </w:r>
            <w:r>
              <w:rPr>
                <w:rFonts w:hint="eastAsia" w:ascii="黑体" w:eastAsia="黑体"/>
                <w:kern w:val="2"/>
                <w:sz w:val="24"/>
                <w:szCs w:val="24"/>
                <w:lang w:val="en-US" w:eastAsia="zh-CN"/>
              </w:rPr>
              <w:t>投标单价</w:t>
            </w:r>
            <w:r>
              <w:rPr>
                <w:rFonts w:hint="eastAsia" w:ascii="黑体" w:eastAsia="黑体"/>
                <w:kern w:val="2"/>
                <w:sz w:val="24"/>
                <w:szCs w:val="24"/>
              </w:rPr>
              <w:t>保留小数点后两位</w:t>
            </w:r>
            <w:r>
              <w:rPr>
                <w:rFonts w:hint="eastAsia" w:ascii="黑体" w:eastAsia="黑体"/>
                <w:kern w:val="2"/>
                <w:sz w:val="24"/>
                <w:szCs w:val="24"/>
                <w:lang w:eastAsia="zh-CN"/>
              </w:rPr>
              <w:t>。</w:t>
            </w:r>
          </w:p>
        </w:tc>
      </w:tr>
    </w:tbl>
    <w:p w14:paraId="1A837B74">
      <w:pPr>
        <w:pStyle w:val="18"/>
        <w:spacing w:beforeAutospacing="0" w:afterAutospacing="0"/>
        <w:jc w:val="both"/>
        <w:rPr>
          <w:rFonts w:hint="eastAsia" w:ascii="宋体" w:hAnsi="宋体" w:cs="宋体"/>
          <w:b/>
          <w:bCs/>
        </w:rPr>
      </w:pPr>
      <w:r>
        <w:rPr>
          <w:rFonts w:hint="eastAsia" w:ascii="宋体" w:hAnsi="宋体" w:cs="宋体"/>
          <w:b/>
          <w:bCs/>
        </w:rPr>
        <w:t>备注：</w:t>
      </w:r>
    </w:p>
    <w:p w14:paraId="1474C56D">
      <w:pPr>
        <w:pStyle w:val="18"/>
        <w:spacing w:beforeAutospacing="0" w:afterAutospacing="0"/>
        <w:ind w:firstLine="480" w:firstLineChars="200"/>
        <w:jc w:val="both"/>
        <w:rPr>
          <w:rFonts w:ascii="宋体" w:hAnsi="宋体" w:cs="宋体"/>
          <w:b w:val="0"/>
          <w:bCs w:val="0"/>
        </w:rPr>
      </w:pPr>
      <w:r>
        <w:rPr>
          <w:rFonts w:hint="eastAsia" w:ascii="宋体" w:hAnsi="宋体" w:cs="宋体"/>
          <w:b w:val="0"/>
          <w:bCs w:val="0"/>
        </w:rPr>
        <w:t>1.投标报价采用总承包方式，“投标</w:t>
      </w:r>
      <w:r>
        <w:rPr>
          <w:rFonts w:hint="eastAsia" w:ascii="宋体" w:hAnsi="宋体" w:cs="宋体"/>
          <w:b w:val="0"/>
          <w:bCs w:val="0"/>
          <w:lang w:val="en-US" w:eastAsia="zh-CN"/>
        </w:rPr>
        <w:t>单价</w:t>
      </w:r>
      <w:r>
        <w:rPr>
          <w:rFonts w:hint="eastAsia" w:ascii="宋体" w:hAnsi="宋体" w:cs="宋体"/>
          <w:b w:val="0"/>
          <w:bCs w:val="0"/>
        </w:rPr>
        <w:t>报价”应包括所投货物（包含与货物相关的服务）费用、测试验收费、培训费、税金、国际国内运输保险、报关清关、开证、办理全套免税手续费用及其他有关的为完成本项目发生的所有费用，</w:t>
      </w:r>
      <w:r>
        <w:rPr>
          <w:rFonts w:hint="eastAsia" w:ascii="宋体" w:hAnsi="宋体" w:cs="宋体"/>
          <w:b w:val="0"/>
          <w:bCs w:val="0"/>
          <w:lang w:eastAsia="zh-CN"/>
        </w:rPr>
        <w:t>谈判文件</w:t>
      </w:r>
      <w:r>
        <w:rPr>
          <w:rFonts w:hint="eastAsia" w:ascii="宋体" w:hAnsi="宋体" w:cs="宋体"/>
          <w:b w:val="0"/>
          <w:bCs w:val="0"/>
        </w:rPr>
        <w:t>中另有规定的除外。</w:t>
      </w:r>
    </w:p>
    <w:p w14:paraId="2B31ADD9">
      <w:pPr>
        <w:pStyle w:val="18"/>
        <w:spacing w:beforeAutospacing="0" w:afterAutospacing="0"/>
        <w:ind w:firstLine="480" w:firstLineChars="200"/>
        <w:jc w:val="both"/>
        <w:rPr>
          <w:rFonts w:ascii="宋体" w:hAnsi="宋体" w:cs="宋体"/>
          <w:b w:val="0"/>
          <w:bCs w:val="0"/>
        </w:rPr>
      </w:pPr>
      <w:r>
        <w:rPr>
          <w:rFonts w:hint="eastAsia" w:ascii="宋体" w:hAnsi="宋体" w:cs="宋体"/>
          <w:b w:val="0"/>
          <w:bCs w:val="0"/>
        </w:rPr>
        <w:t>2.</w:t>
      </w:r>
      <w:r>
        <w:rPr>
          <w:rFonts w:ascii="Times New Roman" w:hAnsi="Times New Roman"/>
          <w:b w:val="0"/>
          <w:bCs w:val="0"/>
          <w:sz w:val="21"/>
          <w:szCs w:val="21"/>
        </w:rPr>
        <w:t xml:space="preserve"> “</w:t>
      </w:r>
      <w:r>
        <w:rPr>
          <w:rFonts w:hint="eastAsia" w:ascii="宋体" w:hAnsi="宋体" w:cs="宋体"/>
          <w:b w:val="0"/>
          <w:bCs w:val="0"/>
        </w:rPr>
        <w:t>投标分项报价表</w:t>
      </w:r>
      <w:r>
        <w:rPr>
          <w:rFonts w:ascii="Times New Roman" w:hAnsi="Times New Roman"/>
          <w:b w:val="0"/>
          <w:bCs w:val="0"/>
          <w:sz w:val="21"/>
          <w:szCs w:val="21"/>
        </w:rPr>
        <w:t>”</w:t>
      </w:r>
      <w:r>
        <w:rPr>
          <w:rFonts w:hint="eastAsia" w:ascii="宋体" w:hAnsi="宋体" w:cs="宋体"/>
          <w:b w:val="0"/>
          <w:bCs w:val="0"/>
        </w:rPr>
        <w:t>中“投标</w:t>
      </w:r>
      <w:r>
        <w:rPr>
          <w:rFonts w:hint="eastAsia" w:ascii="宋体" w:hAnsi="宋体" w:cs="宋体"/>
          <w:b w:val="0"/>
          <w:bCs w:val="0"/>
          <w:lang w:val="en-US" w:eastAsia="zh-CN"/>
        </w:rPr>
        <w:t>单价</w:t>
      </w:r>
      <w:r>
        <w:rPr>
          <w:rFonts w:hint="eastAsia" w:ascii="宋体" w:hAnsi="宋体" w:cs="宋体"/>
          <w:b w:val="0"/>
          <w:bCs w:val="0"/>
        </w:rPr>
        <w:t>”数额应当与“开标一览表”中“投标</w:t>
      </w:r>
      <w:r>
        <w:rPr>
          <w:rFonts w:hint="eastAsia" w:ascii="宋体" w:hAnsi="宋体" w:cs="宋体"/>
          <w:b w:val="0"/>
          <w:bCs w:val="0"/>
          <w:lang w:val="en-US" w:eastAsia="zh-CN"/>
        </w:rPr>
        <w:t>单价</w:t>
      </w:r>
      <w:r>
        <w:rPr>
          <w:rFonts w:hint="eastAsia" w:ascii="宋体" w:hAnsi="宋体" w:cs="宋体"/>
          <w:b w:val="0"/>
          <w:bCs w:val="0"/>
        </w:rPr>
        <w:t>”数额一致。</w:t>
      </w:r>
    </w:p>
    <w:p w14:paraId="6B753616">
      <w:pPr>
        <w:pStyle w:val="18"/>
        <w:spacing w:beforeAutospacing="0" w:afterAutospacing="0"/>
        <w:ind w:firstLine="480" w:firstLineChars="200"/>
        <w:jc w:val="both"/>
        <w:rPr>
          <w:rFonts w:ascii="宋体" w:hAnsi="宋体" w:cs="宋体"/>
          <w:b w:val="0"/>
          <w:bCs w:val="0"/>
        </w:rPr>
      </w:pPr>
      <w:r>
        <w:rPr>
          <w:rFonts w:hint="eastAsia" w:ascii="宋体" w:hAnsi="宋体" w:cs="宋体"/>
          <w:b w:val="0"/>
          <w:bCs w:val="0"/>
        </w:rPr>
        <w:t>3.报价单必须认真填写，包括产品的品牌、规格、型号、价格、数量</w:t>
      </w:r>
      <w:r>
        <w:rPr>
          <w:rFonts w:hint="eastAsia" w:ascii="宋体" w:hAnsi="宋体" w:cs="宋体"/>
          <w:b w:val="0"/>
          <w:bCs w:val="0"/>
          <w:lang w:val="en-US" w:eastAsia="zh-CN"/>
        </w:rPr>
        <w:t>等</w:t>
      </w:r>
      <w:r>
        <w:rPr>
          <w:rFonts w:hint="eastAsia" w:ascii="宋体" w:hAnsi="宋体" w:cs="宋体"/>
          <w:b w:val="0"/>
          <w:bCs w:val="0"/>
        </w:rPr>
        <w:t>，如有不能写明的，须在备注上说明原因，不能简单的写上国产或定制等内容，否则有可能会被评标委员会判定为投标无效。 </w:t>
      </w:r>
    </w:p>
    <w:p w14:paraId="51482AC5">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4.投标数量×投标单价≧投标总报价</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325万元</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，否则做无效标处理。</w:t>
      </w:r>
    </w:p>
    <w:p w14:paraId="41A4AABC">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 w:val="0"/>
          <w:bCs w:val="0"/>
          <w:sz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 xml:space="preserve">.填报数量栏时，如遇到总价除以单价，除不尽的情况，数量一律按进一位填写。   </w:t>
      </w:r>
    </w:p>
    <w:p w14:paraId="4E1201D5">
      <w:pPr>
        <w:pStyle w:val="18"/>
        <w:spacing w:beforeAutospacing="0" w:afterAutospacing="0"/>
        <w:ind w:firstLine="480" w:firstLineChars="200"/>
        <w:jc w:val="both"/>
        <w:rPr>
          <w:rFonts w:ascii="宋体" w:hAnsi="宋体" w:cs="宋体"/>
          <w:b w:val="0"/>
          <w:bCs w:val="0"/>
        </w:rPr>
      </w:pPr>
      <w:r>
        <w:rPr>
          <w:rFonts w:hint="eastAsia" w:ascii="宋体" w:hAnsi="宋体" w:cs="宋体"/>
          <w:b w:val="0"/>
          <w:bCs w:val="0"/>
          <w:lang w:val="en-US" w:eastAsia="zh-CN"/>
        </w:rPr>
        <w:t>6</w:t>
      </w:r>
      <w:r>
        <w:rPr>
          <w:rFonts w:hint="eastAsia" w:ascii="宋体" w:hAnsi="宋体" w:cs="宋体"/>
          <w:b w:val="0"/>
          <w:bCs w:val="0"/>
        </w:rPr>
        <w:t>.在符合采购需求、质量和服务的前提下，按供应商的报价单价最低（即</w:t>
      </w:r>
      <w:r>
        <w:rPr>
          <w:rFonts w:hint="eastAsia" w:ascii="宋体" w:hAnsi="宋体" w:cs="宋体"/>
          <w:b w:val="0"/>
          <w:bCs w:val="0"/>
          <w:lang w:val="en-US" w:eastAsia="zh-CN"/>
        </w:rPr>
        <w:t>供货</w:t>
      </w:r>
      <w:r>
        <w:rPr>
          <w:rFonts w:hint="eastAsia" w:ascii="宋体" w:hAnsi="宋体" w:cs="宋体"/>
          <w:b w:val="0"/>
          <w:bCs w:val="0"/>
        </w:rPr>
        <w:t>数量最多），确定为</w:t>
      </w:r>
      <w:r>
        <w:rPr>
          <w:rFonts w:hint="eastAsia" w:ascii="宋体" w:hAnsi="宋体" w:cs="宋体"/>
          <w:b w:val="0"/>
          <w:bCs w:val="0"/>
          <w:lang w:val="en-US" w:eastAsia="zh-CN"/>
        </w:rPr>
        <w:t>成交供应商</w:t>
      </w:r>
      <w:r>
        <w:rPr>
          <w:rFonts w:hint="eastAsia" w:ascii="宋体" w:hAnsi="宋体" w:cs="宋体"/>
          <w:b w:val="0"/>
          <w:bCs w:val="0"/>
        </w:rPr>
        <w:t xml:space="preserve">。  </w:t>
      </w:r>
    </w:p>
    <w:p w14:paraId="50173E29">
      <w:pPr>
        <w:autoSpaceDE w:val="0"/>
        <w:autoSpaceDN w:val="0"/>
        <w:spacing w:line="560" w:lineRule="exact"/>
        <w:ind w:firstLine="5160" w:firstLineChars="2150"/>
        <w:rPr>
          <w:sz w:val="24"/>
          <w:szCs w:val="24"/>
        </w:rPr>
      </w:pPr>
    </w:p>
    <w:p w14:paraId="44F2452B">
      <w:pPr>
        <w:autoSpaceDE w:val="0"/>
        <w:autoSpaceDN w:val="0"/>
        <w:spacing w:line="560" w:lineRule="exact"/>
        <w:ind w:firstLine="5160" w:firstLineChars="2150"/>
        <w:rPr>
          <w:rFonts w:hAnsi="宋体"/>
          <w:bCs/>
          <w:sz w:val="24"/>
          <w:szCs w:val="24"/>
        </w:rPr>
      </w:pPr>
      <w:r>
        <w:rPr>
          <w:rFonts w:hint="eastAsia"/>
          <w:sz w:val="24"/>
          <w:szCs w:val="24"/>
          <w:lang w:val="en-US" w:eastAsia="zh-CN"/>
        </w:rPr>
        <w:t>供应商</w:t>
      </w:r>
      <w:r>
        <w:rPr>
          <w:rFonts w:hint="eastAsia" w:ascii="宋体" w:hAnsi="宋体"/>
          <w:sz w:val="24"/>
          <w:szCs w:val="24"/>
        </w:rPr>
        <w:t>（加盖CA电子签章）</w:t>
      </w:r>
      <w:r>
        <w:rPr>
          <w:rFonts w:hint="eastAsia" w:hAnsi="宋体"/>
          <w:bCs/>
          <w:sz w:val="24"/>
          <w:szCs w:val="24"/>
        </w:rPr>
        <w:t>：</w:t>
      </w:r>
    </w:p>
    <w:p w14:paraId="7DC339D4">
      <w:pPr>
        <w:autoSpaceDE w:val="0"/>
        <w:autoSpaceDN w:val="0"/>
        <w:spacing w:line="560" w:lineRule="exact"/>
        <w:ind w:firstLine="5160" w:firstLineChars="2150"/>
        <w:rPr>
          <w:sz w:val="24"/>
          <w:szCs w:val="24"/>
        </w:rPr>
      </w:pPr>
      <w:r>
        <w:rPr>
          <w:rFonts w:hint="eastAsia"/>
          <w:sz w:val="24"/>
          <w:szCs w:val="24"/>
        </w:rPr>
        <w:t>日期：</w:t>
      </w:r>
      <w:r>
        <w:rPr>
          <w:sz w:val="24"/>
          <w:szCs w:val="24"/>
        </w:rPr>
        <w:t xml:space="preserve">      </w:t>
      </w:r>
      <w:r>
        <w:rPr>
          <w:rFonts w:hint="eastAsia"/>
          <w:sz w:val="24"/>
          <w:szCs w:val="24"/>
        </w:rPr>
        <w:t>年</w:t>
      </w:r>
      <w:r>
        <w:rPr>
          <w:sz w:val="24"/>
          <w:szCs w:val="24"/>
        </w:rPr>
        <w:t xml:space="preserve">     </w:t>
      </w:r>
      <w:r>
        <w:rPr>
          <w:rFonts w:hint="eastAsia"/>
          <w:sz w:val="24"/>
          <w:szCs w:val="24"/>
        </w:rPr>
        <w:t>月</w:t>
      </w:r>
      <w:r>
        <w:rPr>
          <w:sz w:val="24"/>
          <w:szCs w:val="24"/>
        </w:rPr>
        <w:t xml:space="preserve">     </w:t>
      </w:r>
      <w:r>
        <w:rPr>
          <w:rFonts w:hint="eastAsia"/>
          <w:sz w:val="24"/>
          <w:szCs w:val="24"/>
        </w:rPr>
        <w:t>日</w:t>
      </w:r>
    </w:p>
    <w:p w14:paraId="3E8DE572">
      <w:pPr>
        <w:pStyle w:val="18"/>
        <w:spacing w:beforeAutospacing="0" w:afterAutospacing="0"/>
        <w:jc w:val="both"/>
        <w:rPr>
          <w:color w:val="auto"/>
          <w:highlight w:val="none"/>
          <w:shd w:val="clear" w:color="auto" w:fill="auto"/>
        </w:rPr>
      </w:pPr>
    </w:p>
    <w:p w14:paraId="24F1B24A">
      <w:pPr>
        <w:pStyle w:val="18"/>
        <w:spacing w:beforeAutospacing="0" w:afterAutospacing="0"/>
        <w:jc w:val="both"/>
        <w:rPr>
          <w:color w:val="auto"/>
          <w:highlight w:val="none"/>
          <w:shd w:val="clear" w:color="auto" w:fill="auto"/>
        </w:rPr>
      </w:pPr>
      <w:r>
        <w:rPr>
          <w:color w:val="auto"/>
          <w:highlight w:val="none"/>
          <w:shd w:val="clear" w:color="auto" w:fill="auto"/>
        </w:rPr>
        <w:t> </w:t>
      </w:r>
    </w:p>
    <w:p w14:paraId="1E4F304E">
      <w:pPr>
        <w:pStyle w:val="18"/>
        <w:spacing w:beforeAutospacing="0" w:afterAutospacing="0"/>
        <w:jc w:val="both"/>
        <w:rPr>
          <w:color w:val="auto"/>
          <w:highlight w:val="none"/>
          <w:shd w:val="clear" w:color="auto" w:fill="auto"/>
        </w:rPr>
      </w:pPr>
      <w:r>
        <w:rPr>
          <w:color w:val="auto"/>
          <w:highlight w:val="none"/>
          <w:shd w:val="clear" w:color="auto" w:fill="auto"/>
        </w:rPr>
        <w:t> </w:t>
      </w:r>
    </w:p>
    <w:p w14:paraId="0C749679">
      <w:pPr>
        <w:pStyle w:val="18"/>
        <w:spacing w:beforeAutospacing="0" w:afterAutospacing="0"/>
        <w:jc w:val="both"/>
        <w:rPr>
          <w:color w:val="auto"/>
          <w:highlight w:val="none"/>
          <w:shd w:val="clear" w:color="auto" w:fill="auto"/>
        </w:rPr>
      </w:pPr>
    </w:p>
    <w:p w14:paraId="1705E216">
      <w:pPr>
        <w:pStyle w:val="18"/>
        <w:spacing w:beforeAutospacing="0" w:afterAutospacing="0"/>
        <w:jc w:val="both"/>
        <w:rPr>
          <w:color w:val="auto"/>
          <w:highlight w:val="none"/>
          <w:shd w:val="clear" w:color="auto" w:fill="auto"/>
        </w:rPr>
      </w:pPr>
    </w:p>
    <w:p w14:paraId="572CFFB9">
      <w:pPr>
        <w:pStyle w:val="18"/>
        <w:spacing w:beforeAutospacing="0" w:afterAutospacing="0"/>
        <w:jc w:val="both"/>
        <w:rPr>
          <w:color w:val="auto"/>
          <w:highlight w:val="none"/>
          <w:shd w:val="clear" w:color="auto" w:fill="auto"/>
        </w:rPr>
      </w:pPr>
    </w:p>
    <w:p w14:paraId="271DDD87">
      <w:pPr>
        <w:pStyle w:val="18"/>
        <w:spacing w:beforeAutospacing="0" w:afterAutospacing="0"/>
        <w:jc w:val="both"/>
        <w:rPr>
          <w:color w:val="auto"/>
          <w:highlight w:val="none"/>
          <w:shd w:val="clear" w:color="auto" w:fill="auto"/>
        </w:rPr>
      </w:pPr>
    </w:p>
    <w:p w14:paraId="2126D7D6">
      <w:pPr>
        <w:pStyle w:val="18"/>
        <w:spacing w:beforeAutospacing="0" w:afterAutospacing="0"/>
        <w:jc w:val="both"/>
        <w:rPr>
          <w:color w:val="auto"/>
          <w:highlight w:val="none"/>
          <w:shd w:val="clear" w:color="auto" w:fill="auto"/>
        </w:rPr>
      </w:pPr>
    </w:p>
    <w:p w14:paraId="440610A2">
      <w:pPr>
        <w:pStyle w:val="18"/>
        <w:spacing w:beforeAutospacing="0" w:afterAutospacing="0"/>
        <w:jc w:val="both"/>
        <w:rPr>
          <w:color w:val="auto"/>
          <w:highlight w:val="none"/>
          <w:shd w:val="clear" w:color="auto" w:fill="auto"/>
        </w:rPr>
      </w:pPr>
    </w:p>
    <w:p w14:paraId="5E0FCBFF">
      <w:pPr>
        <w:pStyle w:val="18"/>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eastAsia="zh-CN"/>
        </w:rPr>
        <w:t>三</w:t>
      </w:r>
      <w:r>
        <w:rPr>
          <w:rFonts w:hint="eastAsia" w:ascii="黑体" w:hAnsi="宋体" w:eastAsia="黑体" w:cs="黑体"/>
          <w:b/>
          <w:color w:val="auto"/>
          <w:sz w:val="32"/>
          <w:szCs w:val="32"/>
          <w:highlight w:val="none"/>
          <w:shd w:val="clear" w:color="auto" w:fill="auto"/>
        </w:rPr>
        <w:t>、技术要求响应及偏离表</w:t>
      </w:r>
    </w:p>
    <w:tbl>
      <w:tblPr>
        <w:tblStyle w:val="20"/>
        <w:tblW w:w="9830" w:type="dxa"/>
        <w:tblCellSpacing w:w="0" w:type="dxa"/>
        <w:tblInd w:w="10" w:type="dxa"/>
        <w:tblLayout w:type="fixed"/>
        <w:tblCellMar>
          <w:top w:w="0" w:type="dxa"/>
          <w:left w:w="108" w:type="dxa"/>
          <w:bottom w:w="0" w:type="dxa"/>
          <w:right w:w="108" w:type="dxa"/>
        </w:tblCellMar>
      </w:tblPr>
      <w:tblGrid>
        <w:gridCol w:w="538"/>
        <w:gridCol w:w="3026"/>
        <w:gridCol w:w="2608"/>
        <w:gridCol w:w="2235"/>
        <w:gridCol w:w="1423"/>
      </w:tblGrid>
      <w:tr w14:paraId="33BF0D7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4ABB">
            <w:pPr>
              <w:pStyle w:val="18"/>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B80B">
            <w:pPr>
              <w:pStyle w:val="18"/>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谈判文件要求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468A">
            <w:pPr>
              <w:pStyle w:val="18"/>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7B947">
            <w:pPr>
              <w:pStyle w:val="18"/>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1F391">
            <w:pPr>
              <w:pStyle w:val="18"/>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0349BA8A">
            <w:pPr>
              <w:pStyle w:val="18"/>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247EB6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8469">
            <w:pPr>
              <w:pStyle w:val="18"/>
              <w:spacing w:beforeAutospacing="0" w:afterAutospacing="0"/>
              <w:jc w:val="center"/>
              <w:rPr>
                <w:rFonts w:hint="eastAsia" w:eastAsiaTheme="minorEastAsia"/>
                <w:color w:val="auto"/>
                <w:highlight w:val="none"/>
                <w:shd w:val="clear" w:color="auto" w:fill="auto"/>
                <w:lang w:val="en-US" w:eastAsia="zh-CN"/>
              </w:rPr>
            </w:pPr>
            <w:r>
              <w:rPr>
                <w:color w:val="auto"/>
                <w:highlight w:val="none"/>
                <w:shd w:val="clear" w:color="auto" w:fill="auto"/>
              </w:rPr>
              <w:t> </w:t>
            </w:r>
            <w:r>
              <w:rPr>
                <w:rFonts w:hint="eastAsia"/>
                <w:color w:val="auto"/>
                <w:highlight w:val="none"/>
                <w:shd w:val="clear" w:color="auto" w:fill="auto"/>
                <w:lang w:val="en-US" w:eastAsia="zh-CN"/>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524D">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bCs/>
                <w:kern w:val="20"/>
                <w:sz w:val="24"/>
                <w:szCs w:val="24"/>
                <w:highlight w:val="none"/>
                <w:lang w:val="en-US" w:eastAsia="zh-CN" w:bidi="ar-SA"/>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A898">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left="0" w:leftChars="0" w:right="0" w:rightChars="0"/>
              <w:jc w:val="both"/>
              <w:textAlignment w:val="auto"/>
              <w:rPr>
                <w:rFonts w:hint="eastAsia" w:ascii="宋体" w:hAnsi="宋体" w:eastAsia="宋体" w:cs="宋体"/>
                <w:kern w:val="0"/>
                <w:sz w:val="24"/>
                <w:szCs w:val="24"/>
                <w:lang w:val="en-US" w:eastAsia="zh-CN" w:bidi="ar-SA"/>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B98C">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exact"/>
              <w:ind w:left="0" w:leftChars="0" w:right="0" w:rightChars="0"/>
              <w:jc w:val="center"/>
              <w:textAlignment w:val="auto"/>
              <w:rPr>
                <w:rFonts w:hint="eastAsia" w:ascii="宋体" w:hAnsi="宋体" w:eastAsia="宋体" w:cs="宋体"/>
                <w:kern w:val="0"/>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E846">
            <w:pPr>
              <w:pStyle w:val="18"/>
              <w:spacing w:beforeAutospacing="0" w:afterAutospacing="0"/>
              <w:jc w:val="center"/>
              <w:rPr>
                <w:color w:val="auto"/>
                <w:highlight w:val="none"/>
                <w:shd w:val="clear" w:color="auto" w:fill="auto"/>
              </w:rPr>
            </w:pPr>
            <w:r>
              <w:rPr>
                <w:color w:val="auto"/>
                <w:highlight w:val="none"/>
                <w:shd w:val="clear" w:color="auto" w:fill="auto"/>
              </w:rPr>
              <w:t> </w:t>
            </w:r>
          </w:p>
        </w:tc>
      </w:tr>
      <w:tr w14:paraId="15AA25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A383">
            <w:pPr>
              <w:pStyle w:val="18"/>
              <w:spacing w:beforeAutospacing="0" w:afterAutospacing="0"/>
              <w:jc w:val="center"/>
              <w:rPr>
                <w:rFonts w:hint="eastAsia" w:eastAsiaTheme="minorEastAsia"/>
                <w:color w:val="auto"/>
                <w:highlight w:val="none"/>
                <w:shd w:val="clear" w:color="auto" w:fill="auto"/>
                <w:lang w:val="en-US" w:eastAsia="zh-CN"/>
              </w:rPr>
            </w:pPr>
            <w:r>
              <w:rPr>
                <w:color w:val="auto"/>
                <w:highlight w:val="none"/>
                <w:shd w:val="clear" w:color="auto" w:fill="auto"/>
              </w:rPr>
              <w:t> </w:t>
            </w:r>
            <w:r>
              <w:rPr>
                <w:rFonts w:hint="eastAsia"/>
                <w:color w:val="auto"/>
                <w:highlight w:val="none"/>
                <w:shd w:val="clear" w:color="auto" w:fill="auto"/>
                <w:lang w:val="en-US" w:eastAsia="zh-CN"/>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CD95">
            <w:pPr>
              <w:pStyle w:val="18"/>
              <w:spacing w:beforeAutospacing="0" w:afterAutospacing="0"/>
              <w:jc w:val="center"/>
              <w:rPr>
                <w:color w:val="auto"/>
                <w:highlight w:val="none"/>
                <w:shd w:val="clear" w:color="auto" w:fill="auto"/>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43A2">
            <w:pPr>
              <w:pStyle w:val="18"/>
              <w:spacing w:beforeAutospacing="0" w:afterAutospacing="0"/>
              <w:jc w:val="center"/>
              <w:rPr>
                <w:color w:val="auto"/>
                <w:highlight w:val="none"/>
                <w:shd w:val="clear" w:color="auto" w:fill="auto"/>
              </w:rPr>
            </w:pPr>
            <w:r>
              <w:rPr>
                <w:color w:val="auto"/>
                <w:highlight w:val="none"/>
                <w:shd w:val="clear" w:color="auto" w:fill="auto"/>
              </w:rPr>
              <w:t> </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6ECF2">
            <w:pPr>
              <w:pStyle w:val="18"/>
              <w:spacing w:beforeAutospacing="0" w:afterAutospacing="0"/>
              <w:jc w:val="center"/>
              <w:rPr>
                <w:color w:val="auto"/>
                <w:highlight w:val="none"/>
                <w:shd w:val="clear" w:color="auto" w:fill="auto"/>
              </w:rPr>
            </w:pPr>
            <w:r>
              <w:rPr>
                <w:color w:val="auto"/>
                <w:highlight w:val="none"/>
                <w:shd w:val="clear" w:color="auto" w:fill="auto"/>
              </w:rPr>
              <w:t> </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13ED">
            <w:pPr>
              <w:pStyle w:val="18"/>
              <w:spacing w:beforeAutospacing="0" w:afterAutospacing="0"/>
              <w:jc w:val="center"/>
              <w:rPr>
                <w:color w:val="auto"/>
                <w:highlight w:val="none"/>
                <w:shd w:val="clear" w:color="auto" w:fill="auto"/>
              </w:rPr>
            </w:pPr>
            <w:r>
              <w:rPr>
                <w:color w:val="auto"/>
                <w:highlight w:val="none"/>
                <w:shd w:val="clear" w:color="auto" w:fill="auto"/>
              </w:rPr>
              <w:t> </w:t>
            </w:r>
          </w:p>
        </w:tc>
      </w:tr>
      <w:tr w14:paraId="2F7CB43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3494">
            <w:pPr>
              <w:pStyle w:val="18"/>
              <w:spacing w:beforeAutospacing="0" w:afterAutospacing="0"/>
              <w:jc w:val="center"/>
              <w:rPr>
                <w:rFonts w:hint="eastAsia" w:eastAsiaTheme="minorEastAsia"/>
                <w:color w:val="auto"/>
                <w:highlight w:val="none"/>
                <w:shd w:val="clear" w:color="auto" w:fill="auto"/>
                <w:lang w:val="en-US" w:eastAsia="zh-CN"/>
              </w:rPr>
            </w:pPr>
            <w:r>
              <w:rPr>
                <w:color w:val="auto"/>
                <w:highlight w:val="none"/>
                <w:shd w:val="clear" w:color="auto" w:fill="auto"/>
              </w:rPr>
              <w:t> </w:t>
            </w:r>
            <w:r>
              <w:rPr>
                <w:rFonts w:hint="eastAsia"/>
                <w:color w:val="auto"/>
                <w:highlight w:val="none"/>
                <w:shd w:val="clear" w:color="auto" w:fill="auto"/>
                <w:lang w:val="en-US" w:eastAsia="zh-CN"/>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4661">
            <w:pPr>
              <w:pStyle w:val="18"/>
              <w:spacing w:beforeAutospacing="0" w:afterAutospacing="0"/>
              <w:jc w:val="both"/>
              <w:rPr>
                <w:color w:val="auto"/>
                <w:highlight w:val="none"/>
                <w:shd w:val="clear" w:color="auto" w:fill="auto"/>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FBBE">
            <w:pPr>
              <w:pStyle w:val="18"/>
              <w:spacing w:beforeAutospacing="0" w:afterAutospacing="0"/>
              <w:jc w:val="center"/>
              <w:rPr>
                <w:color w:val="auto"/>
                <w:highlight w:val="none"/>
                <w:shd w:val="clear" w:color="auto" w:fill="auto"/>
              </w:rPr>
            </w:pPr>
            <w:r>
              <w:rPr>
                <w:color w:val="auto"/>
                <w:highlight w:val="none"/>
                <w:shd w:val="clear" w:color="auto" w:fill="auto"/>
              </w:rPr>
              <w:t> </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074A">
            <w:pPr>
              <w:pStyle w:val="18"/>
              <w:spacing w:beforeAutospacing="0" w:afterAutospacing="0"/>
              <w:jc w:val="center"/>
              <w:rPr>
                <w:color w:val="auto"/>
                <w:highlight w:val="none"/>
                <w:shd w:val="clear" w:color="auto" w:fill="auto"/>
              </w:rPr>
            </w:pPr>
            <w:r>
              <w:rPr>
                <w:color w:val="auto"/>
                <w:highlight w:val="none"/>
                <w:shd w:val="clear" w:color="auto" w:fill="auto"/>
              </w:rPr>
              <w:t> </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A216">
            <w:pPr>
              <w:pStyle w:val="18"/>
              <w:spacing w:beforeAutospacing="0" w:afterAutospacing="0"/>
              <w:jc w:val="center"/>
              <w:rPr>
                <w:color w:val="auto"/>
                <w:highlight w:val="none"/>
                <w:shd w:val="clear" w:color="auto" w:fill="auto"/>
              </w:rPr>
            </w:pPr>
            <w:r>
              <w:rPr>
                <w:color w:val="auto"/>
                <w:highlight w:val="none"/>
                <w:shd w:val="clear" w:color="auto" w:fill="auto"/>
              </w:rPr>
              <w:t> </w:t>
            </w:r>
          </w:p>
        </w:tc>
      </w:tr>
      <w:tr w14:paraId="289A237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EE77">
            <w:pPr>
              <w:pStyle w:val="18"/>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D0BE">
            <w:pPr>
              <w:pStyle w:val="18"/>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B73E">
            <w:pPr>
              <w:pStyle w:val="18"/>
              <w:spacing w:beforeAutospacing="0" w:afterAutospacing="0"/>
              <w:jc w:val="center"/>
              <w:rPr>
                <w:color w:val="auto"/>
                <w:highlight w:val="none"/>
                <w:shd w:val="clear" w:color="auto" w:fill="auto"/>
              </w:rPr>
            </w:pPr>
            <w:r>
              <w:rPr>
                <w:color w:val="auto"/>
                <w:highlight w:val="none"/>
                <w:shd w:val="clear" w:color="auto" w:fill="auto"/>
              </w:rPr>
              <w:t> </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2CE3">
            <w:pPr>
              <w:pStyle w:val="18"/>
              <w:spacing w:beforeAutospacing="0" w:afterAutospacing="0"/>
              <w:jc w:val="center"/>
              <w:rPr>
                <w:color w:val="auto"/>
                <w:highlight w:val="none"/>
                <w:shd w:val="clear" w:color="auto" w:fill="auto"/>
              </w:rPr>
            </w:pPr>
            <w:r>
              <w:rPr>
                <w:color w:val="auto"/>
                <w:highlight w:val="none"/>
                <w:shd w:val="clear" w:color="auto" w:fill="auto"/>
              </w:rPr>
              <w:t> </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8E3D">
            <w:pPr>
              <w:pStyle w:val="18"/>
              <w:spacing w:beforeAutospacing="0" w:afterAutospacing="0"/>
              <w:jc w:val="center"/>
              <w:rPr>
                <w:color w:val="auto"/>
                <w:highlight w:val="none"/>
                <w:shd w:val="clear" w:color="auto" w:fill="auto"/>
              </w:rPr>
            </w:pPr>
            <w:r>
              <w:rPr>
                <w:color w:val="auto"/>
                <w:highlight w:val="none"/>
                <w:shd w:val="clear" w:color="auto" w:fill="auto"/>
              </w:rPr>
              <w:t> </w:t>
            </w:r>
          </w:p>
        </w:tc>
      </w:tr>
    </w:tbl>
    <w:p w14:paraId="6F3C788C">
      <w:pPr>
        <w:pStyle w:val="18"/>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2BEC9D54">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1D4995D1">
      <w:pPr>
        <w:autoSpaceDE w:val="0"/>
        <w:autoSpaceDN w:val="0"/>
        <w:spacing w:line="560" w:lineRule="exact"/>
        <w:ind w:firstLine="4680" w:firstLineChars="1950"/>
        <w:rPr>
          <w:rFonts w:hint="eastAsia" w:ascii="宋体" w:hAnsi="宋体"/>
          <w:color w:val="000000"/>
          <w:sz w:val="24"/>
        </w:rPr>
      </w:pPr>
      <w:r>
        <w:rPr>
          <w:rFonts w:hint="eastAsia" w:ascii="宋体" w:hAnsi="宋体"/>
          <w:color w:val="000000"/>
          <w:sz w:val="24"/>
          <w:lang w:val="en-US" w:eastAsia="zh-CN"/>
        </w:rPr>
        <w:t>供应商</w:t>
      </w:r>
      <w:r>
        <w:rPr>
          <w:rFonts w:hint="eastAsia" w:ascii="宋体" w:hAnsi="宋体"/>
          <w:color w:val="000000"/>
          <w:sz w:val="24"/>
        </w:rPr>
        <w:t>（加盖CA电子签章）：</w:t>
      </w:r>
    </w:p>
    <w:p w14:paraId="239E6FCD">
      <w:pPr>
        <w:pStyle w:val="14"/>
        <w:spacing w:line="560" w:lineRule="exact"/>
        <w:ind w:left="0" w:right="0" w:firstLine="4340" w:firstLineChars="1550"/>
        <w:rPr>
          <w:rFonts w:hAnsi="宋体"/>
          <w:bCs/>
          <w:sz w:val="28"/>
        </w:rPr>
      </w:pPr>
      <w:r>
        <w:rPr>
          <w:rFonts w:hint="eastAsia" w:hAnsi="宋体"/>
          <w:bCs/>
          <w:sz w:val="28"/>
        </w:rPr>
        <w:t>日期：</w:t>
      </w:r>
      <w:r>
        <w:rPr>
          <w:rFonts w:hAnsi="宋体"/>
          <w:bCs/>
          <w:sz w:val="28"/>
          <w:u w:val="single"/>
        </w:rPr>
        <w:t xml:space="preserve">      </w:t>
      </w:r>
      <w:r>
        <w:rPr>
          <w:rFonts w:hint="eastAsia" w:hAnsi="宋体"/>
          <w:bCs/>
          <w:sz w:val="28"/>
        </w:rPr>
        <w:t>年</w:t>
      </w:r>
      <w:r>
        <w:rPr>
          <w:rFonts w:hAnsi="宋体"/>
          <w:bCs/>
          <w:sz w:val="28"/>
        </w:rPr>
        <w:t xml:space="preserve"> </w:t>
      </w:r>
      <w:r>
        <w:rPr>
          <w:rFonts w:hAnsi="宋体"/>
          <w:bCs/>
          <w:sz w:val="28"/>
          <w:u w:val="single"/>
        </w:rPr>
        <w:t xml:space="preserve">    </w:t>
      </w:r>
      <w:r>
        <w:rPr>
          <w:rFonts w:hint="eastAsia" w:hAnsi="宋体"/>
          <w:bCs/>
          <w:sz w:val="28"/>
        </w:rPr>
        <w:t>月</w:t>
      </w:r>
      <w:r>
        <w:rPr>
          <w:rFonts w:hAnsi="宋体"/>
          <w:bCs/>
          <w:sz w:val="28"/>
        </w:rPr>
        <w:t xml:space="preserve"> </w:t>
      </w:r>
      <w:r>
        <w:rPr>
          <w:rFonts w:hAnsi="宋体"/>
          <w:bCs/>
          <w:sz w:val="28"/>
          <w:u w:val="single"/>
        </w:rPr>
        <w:t xml:space="preserve">    </w:t>
      </w:r>
      <w:r>
        <w:rPr>
          <w:rFonts w:hint="eastAsia" w:hAnsi="宋体"/>
          <w:bCs/>
          <w:sz w:val="28"/>
        </w:rPr>
        <w:t>日</w:t>
      </w:r>
    </w:p>
    <w:p w14:paraId="4AA55376">
      <w:pPr>
        <w:autoSpaceDE w:val="0"/>
        <w:autoSpaceDN w:val="0"/>
        <w:adjustRightInd w:val="0"/>
        <w:spacing w:line="420" w:lineRule="auto"/>
        <w:rPr>
          <w:rFonts w:ascii="宋体" w:hAnsi="宋体"/>
          <w:szCs w:val="28"/>
        </w:rPr>
      </w:pPr>
    </w:p>
    <w:p w14:paraId="005FE422">
      <w:pPr>
        <w:ind w:firstLine="422" w:firstLineChars="200"/>
        <w:jc w:val="both"/>
        <w:outlineLvl w:val="9"/>
        <w:rPr>
          <w:rFonts w:ascii="宋体" w:hAnsi="宋体"/>
          <w:b/>
          <w:sz w:val="32"/>
          <w:szCs w:val="32"/>
        </w:rPr>
      </w:pPr>
      <w:r>
        <w:rPr>
          <w:rFonts w:hint="eastAsia" w:ascii="宋体" w:hAnsi="宋体" w:cs="宋体"/>
          <w:b/>
          <w:bCs/>
          <w:szCs w:val="28"/>
          <w:lang w:val="zh-CN"/>
        </w:rPr>
        <w:t>注：各</w:t>
      </w:r>
      <w:r>
        <w:rPr>
          <w:rFonts w:hint="eastAsia" w:ascii="宋体" w:hAnsi="宋体" w:cs="宋体"/>
          <w:b/>
          <w:bCs/>
          <w:szCs w:val="28"/>
          <w:lang w:val="en-US" w:eastAsia="zh-CN"/>
        </w:rPr>
        <w:t>供应商</w:t>
      </w:r>
      <w:r>
        <w:rPr>
          <w:rFonts w:hint="eastAsia" w:ascii="宋体" w:hAnsi="宋体" w:cs="宋体"/>
          <w:b/>
          <w:bCs/>
          <w:szCs w:val="28"/>
          <w:lang w:val="zh-CN"/>
        </w:rPr>
        <w:t>按照</w:t>
      </w:r>
      <w:r>
        <w:rPr>
          <w:rFonts w:hint="eastAsia" w:ascii="宋体" w:hAnsi="宋体" w:cs="宋体"/>
          <w:b/>
          <w:bCs/>
          <w:szCs w:val="28"/>
          <w:lang w:val="en-US" w:eastAsia="zh-CN"/>
        </w:rPr>
        <w:t>谈判</w:t>
      </w:r>
      <w:r>
        <w:rPr>
          <w:rFonts w:hint="eastAsia" w:ascii="宋体" w:hAnsi="宋体" w:cs="宋体"/>
          <w:b/>
          <w:bCs/>
          <w:szCs w:val="28"/>
          <w:lang w:val="zh-CN"/>
        </w:rPr>
        <w:t>文件技术要求逐条列出，并作出详细对比说明；如不全或表述不清，有可能导致后果，则责任自负。</w:t>
      </w:r>
    </w:p>
    <w:p w14:paraId="2E96A5FE">
      <w:pPr>
        <w:rPr>
          <w:rFonts w:ascii="黑体" w:hAnsi="Arial" w:eastAsia="黑体"/>
          <w:color w:val="000000"/>
          <w:sz w:val="32"/>
          <w:szCs w:val="21"/>
        </w:rPr>
      </w:pPr>
    </w:p>
    <w:p w14:paraId="16BB8941">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2B74ACF3">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18CAD7B7">
      <w:pPr>
        <w:pStyle w:val="18"/>
        <w:spacing w:beforeAutospacing="0" w:afterAutospacing="0"/>
        <w:jc w:val="center"/>
        <w:rPr>
          <w:color w:val="auto"/>
          <w:highlight w:val="none"/>
          <w:shd w:val="clear" w:color="auto" w:fill="auto"/>
        </w:rPr>
      </w:pPr>
    </w:p>
    <w:p w14:paraId="7889A240">
      <w:pPr>
        <w:pStyle w:val="18"/>
        <w:spacing w:beforeAutospacing="0" w:afterAutospacing="0"/>
        <w:jc w:val="center"/>
        <w:rPr>
          <w:color w:val="auto"/>
          <w:highlight w:val="none"/>
          <w:shd w:val="clear" w:color="auto" w:fill="auto"/>
        </w:rPr>
      </w:pPr>
    </w:p>
    <w:p w14:paraId="1287DF64">
      <w:pPr>
        <w:pStyle w:val="18"/>
        <w:spacing w:beforeAutospacing="0" w:afterAutospacing="0"/>
        <w:jc w:val="center"/>
        <w:rPr>
          <w:color w:val="auto"/>
          <w:highlight w:val="none"/>
          <w:shd w:val="clear" w:color="auto" w:fill="auto"/>
        </w:rPr>
      </w:pPr>
    </w:p>
    <w:p w14:paraId="68B9945C">
      <w:pPr>
        <w:pStyle w:val="18"/>
        <w:spacing w:beforeAutospacing="0" w:afterAutospacing="0"/>
        <w:jc w:val="center"/>
        <w:rPr>
          <w:color w:val="auto"/>
          <w:highlight w:val="none"/>
          <w:shd w:val="clear" w:color="auto" w:fill="auto"/>
        </w:rPr>
      </w:pPr>
    </w:p>
    <w:p w14:paraId="0F0C688E">
      <w:pPr>
        <w:pStyle w:val="18"/>
        <w:spacing w:beforeAutospacing="0" w:afterAutospacing="0"/>
        <w:jc w:val="center"/>
        <w:rPr>
          <w:color w:val="auto"/>
          <w:highlight w:val="none"/>
          <w:shd w:val="clear" w:color="auto" w:fill="auto"/>
        </w:rPr>
      </w:pPr>
    </w:p>
    <w:p w14:paraId="743F5172">
      <w:pPr>
        <w:pStyle w:val="18"/>
        <w:spacing w:beforeAutospacing="0" w:afterAutospacing="0"/>
        <w:jc w:val="center"/>
        <w:rPr>
          <w:color w:val="auto"/>
          <w:highlight w:val="none"/>
          <w:shd w:val="clear" w:color="auto" w:fill="auto"/>
        </w:rPr>
      </w:pPr>
    </w:p>
    <w:p w14:paraId="03A8FAAC">
      <w:pPr>
        <w:pStyle w:val="18"/>
        <w:spacing w:beforeAutospacing="0" w:afterAutospacing="0"/>
        <w:jc w:val="center"/>
        <w:rPr>
          <w:color w:val="auto"/>
          <w:highlight w:val="none"/>
          <w:shd w:val="clear" w:color="auto" w:fill="auto"/>
        </w:rPr>
      </w:pPr>
    </w:p>
    <w:p w14:paraId="6C856C4C">
      <w:pPr>
        <w:pStyle w:val="18"/>
        <w:spacing w:beforeAutospacing="0" w:afterAutospacing="0"/>
        <w:jc w:val="center"/>
        <w:rPr>
          <w:color w:val="auto"/>
          <w:highlight w:val="none"/>
          <w:shd w:val="clear" w:color="auto" w:fill="auto"/>
        </w:rPr>
      </w:pPr>
    </w:p>
    <w:p w14:paraId="4851903D">
      <w:pPr>
        <w:pStyle w:val="18"/>
        <w:spacing w:beforeAutospacing="0" w:afterAutospacing="0"/>
        <w:jc w:val="center"/>
        <w:rPr>
          <w:color w:val="auto"/>
          <w:highlight w:val="none"/>
          <w:shd w:val="clear" w:color="auto" w:fill="auto"/>
        </w:rPr>
      </w:pPr>
    </w:p>
    <w:p w14:paraId="3DB2CDF5">
      <w:pPr>
        <w:pStyle w:val="18"/>
        <w:spacing w:beforeAutospacing="0" w:afterAutospacing="0"/>
        <w:jc w:val="center"/>
        <w:rPr>
          <w:color w:val="auto"/>
          <w:highlight w:val="none"/>
          <w:shd w:val="clear" w:color="auto" w:fill="auto"/>
        </w:rPr>
      </w:pPr>
    </w:p>
    <w:p w14:paraId="3A3C3B2F">
      <w:pPr>
        <w:pStyle w:val="18"/>
        <w:spacing w:beforeAutospacing="0" w:afterAutospacing="0"/>
        <w:jc w:val="center"/>
        <w:rPr>
          <w:color w:val="auto"/>
          <w:highlight w:val="none"/>
          <w:shd w:val="clear" w:color="auto" w:fill="auto"/>
        </w:rPr>
      </w:pPr>
    </w:p>
    <w:p w14:paraId="3BEF76CE">
      <w:pPr>
        <w:pStyle w:val="18"/>
        <w:spacing w:beforeAutospacing="0" w:afterAutospacing="0"/>
        <w:jc w:val="center"/>
        <w:rPr>
          <w:color w:val="auto"/>
          <w:highlight w:val="none"/>
          <w:shd w:val="clear" w:color="auto" w:fill="auto"/>
        </w:rPr>
      </w:pPr>
    </w:p>
    <w:p w14:paraId="76550C34">
      <w:pPr>
        <w:pStyle w:val="18"/>
        <w:spacing w:beforeAutospacing="0" w:afterAutospacing="0"/>
        <w:jc w:val="center"/>
        <w:rPr>
          <w:color w:val="auto"/>
          <w:highlight w:val="none"/>
          <w:shd w:val="clear" w:color="auto" w:fill="auto"/>
        </w:rPr>
      </w:pPr>
    </w:p>
    <w:p w14:paraId="16FBE030">
      <w:pPr>
        <w:pStyle w:val="18"/>
        <w:spacing w:beforeAutospacing="0" w:afterAutospacing="0"/>
        <w:jc w:val="center"/>
        <w:rPr>
          <w:color w:val="auto"/>
          <w:highlight w:val="none"/>
          <w:shd w:val="clear" w:color="auto" w:fill="auto"/>
        </w:rPr>
      </w:pPr>
    </w:p>
    <w:p w14:paraId="21D831DA">
      <w:pPr>
        <w:pStyle w:val="18"/>
        <w:spacing w:beforeAutospacing="0" w:afterAutospacing="0"/>
        <w:jc w:val="center"/>
        <w:rPr>
          <w:color w:val="auto"/>
          <w:highlight w:val="none"/>
          <w:shd w:val="clear" w:color="auto" w:fill="auto"/>
        </w:rPr>
      </w:pPr>
    </w:p>
    <w:p w14:paraId="14EB7145">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38F3CB43">
      <w:pPr>
        <w:pStyle w:val="18"/>
        <w:spacing w:beforeAutospacing="0" w:afterAutospacing="0"/>
        <w:jc w:val="both"/>
        <w:rPr>
          <w:color w:val="auto"/>
          <w:highlight w:val="none"/>
          <w:shd w:val="clear" w:color="auto" w:fill="auto"/>
        </w:rPr>
      </w:pPr>
      <w:r>
        <w:rPr>
          <w:color w:val="auto"/>
          <w:highlight w:val="none"/>
          <w:shd w:val="clear" w:color="auto" w:fill="auto"/>
        </w:rPr>
        <w:t> </w:t>
      </w:r>
    </w:p>
    <w:p w14:paraId="4152BDC4">
      <w:pPr>
        <w:jc w:val="center"/>
        <w:outlineLvl w:val="0"/>
        <w:rPr>
          <w:rFonts w:ascii="黑体" w:hAnsi="黑体" w:eastAsia="黑体"/>
          <w:b/>
          <w:color w:val="000000"/>
          <w:sz w:val="32"/>
          <w:szCs w:val="32"/>
        </w:rPr>
      </w:pPr>
      <w:r>
        <w:rPr>
          <w:rFonts w:hint="eastAsia" w:ascii="黑体" w:hAnsi="黑体" w:eastAsia="黑体"/>
          <w:b/>
          <w:color w:val="000000"/>
          <w:sz w:val="32"/>
          <w:szCs w:val="32"/>
        </w:rPr>
        <w:t> </w:t>
      </w:r>
      <w:r>
        <w:rPr>
          <w:rFonts w:hint="eastAsia" w:ascii="黑体" w:hAnsi="黑体" w:eastAsia="黑体"/>
          <w:b/>
          <w:color w:val="000000"/>
          <w:sz w:val="32"/>
          <w:szCs w:val="32"/>
          <w:lang w:val="en-US" w:eastAsia="zh-CN"/>
        </w:rPr>
        <w:t>十四、</w:t>
      </w:r>
      <w:r>
        <w:rPr>
          <w:rFonts w:hint="eastAsia" w:ascii="黑体" w:hAnsi="黑体" w:eastAsia="黑体"/>
          <w:b/>
          <w:color w:val="000000"/>
          <w:sz w:val="32"/>
          <w:szCs w:val="32"/>
        </w:rPr>
        <w:t>资格性审查响应对照表</w:t>
      </w:r>
    </w:p>
    <w:tbl>
      <w:tblPr>
        <w:tblStyle w:val="20"/>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074"/>
        <w:gridCol w:w="1560"/>
      </w:tblGrid>
      <w:tr w14:paraId="1031C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72418EF">
            <w:pPr>
              <w:snapToGrid w:val="0"/>
              <w:spacing w:line="240" w:lineRule="atLeast"/>
              <w:jc w:val="center"/>
              <w:rPr>
                <w:rFonts w:hint="eastAsia" w:asciiTheme="minorEastAsia" w:hAnsiTheme="minorEastAsia" w:eastAsiaTheme="minorEastAsia" w:cstheme="minorEastAsia"/>
                <w:color w:val="000000"/>
                <w:kern w:val="0"/>
                <w:sz w:val="24"/>
                <w:szCs w:val="24"/>
                <w:highlight w:val="none"/>
                <w:lang w:val="en-US" w:eastAsia="zh-CN" w:bidi="ar-SA"/>
              </w:rPr>
            </w:pPr>
            <w:r>
              <w:rPr>
                <w:rFonts w:hint="eastAsia" w:asciiTheme="minorEastAsia" w:hAnsiTheme="minorEastAsia" w:eastAsiaTheme="minorEastAsia" w:cstheme="minorEastAsia"/>
                <w:color w:val="000000"/>
                <w:kern w:val="0"/>
                <w:sz w:val="24"/>
                <w:szCs w:val="24"/>
                <w:highlight w:val="none"/>
                <w:lang w:val="en-US" w:eastAsia="zh-CN" w:bidi="ar-SA"/>
              </w:rPr>
              <w:t>序号</w:t>
            </w:r>
          </w:p>
        </w:tc>
        <w:tc>
          <w:tcPr>
            <w:tcW w:w="5447" w:type="dxa"/>
            <w:vAlign w:val="center"/>
          </w:tcPr>
          <w:p w14:paraId="193CFF67">
            <w:pPr>
              <w:snapToGrid w:val="0"/>
              <w:spacing w:line="240" w:lineRule="atLeast"/>
              <w:jc w:val="center"/>
              <w:rPr>
                <w:rFonts w:hint="eastAsia" w:asciiTheme="minorEastAsia" w:hAnsiTheme="minorEastAsia" w:eastAsiaTheme="minorEastAsia" w:cstheme="minorEastAsia"/>
                <w:color w:val="000000"/>
                <w:kern w:val="0"/>
                <w:sz w:val="24"/>
                <w:szCs w:val="24"/>
                <w:highlight w:val="none"/>
                <w:lang w:val="en-US" w:eastAsia="zh-CN" w:bidi="ar-SA"/>
              </w:rPr>
            </w:pPr>
            <w:r>
              <w:rPr>
                <w:rFonts w:hint="eastAsia" w:asciiTheme="minorEastAsia" w:hAnsiTheme="minorEastAsia" w:eastAsiaTheme="minorEastAsia" w:cstheme="minorEastAsia"/>
                <w:color w:val="000000"/>
                <w:kern w:val="0"/>
                <w:sz w:val="24"/>
                <w:szCs w:val="24"/>
                <w:highlight w:val="none"/>
                <w:lang w:val="en-US" w:eastAsia="zh-CN" w:bidi="ar-SA"/>
              </w:rPr>
              <w:t>资格性审查响应内容</w:t>
            </w:r>
          </w:p>
        </w:tc>
        <w:tc>
          <w:tcPr>
            <w:tcW w:w="2074" w:type="dxa"/>
            <w:vAlign w:val="center"/>
          </w:tcPr>
          <w:p w14:paraId="19E8C4A6">
            <w:pPr>
              <w:snapToGrid w:val="0"/>
              <w:spacing w:line="240" w:lineRule="atLeast"/>
              <w:jc w:val="center"/>
              <w:rPr>
                <w:rFonts w:hint="eastAsia" w:asciiTheme="minorEastAsia" w:hAnsiTheme="minorEastAsia" w:eastAsiaTheme="minorEastAsia" w:cstheme="minorEastAsia"/>
                <w:color w:val="000000"/>
                <w:kern w:val="0"/>
                <w:sz w:val="24"/>
                <w:szCs w:val="24"/>
                <w:highlight w:val="none"/>
                <w:lang w:val="en-US" w:eastAsia="zh-CN" w:bidi="ar-SA"/>
              </w:rPr>
            </w:pPr>
            <w:r>
              <w:rPr>
                <w:rFonts w:hint="eastAsia" w:asciiTheme="minorEastAsia" w:hAnsiTheme="minorEastAsia" w:eastAsiaTheme="minorEastAsia" w:cstheme="minorEastAsia"/>
                <w:color w:val="000000"/>
                <w:kern w:val="0"/>
                <w:sz w:val="24"/>
                <w:szCs w:val="24"/>
                <w:highlight w:val="none"/>
                <w:lang w:val="en-US" w:eastAsia="zh-CN" w:bidi="ar-SA"/>
              </w:rPr>
              <w:t>是否响应</w:t>
            </w:r>
          </w:p>
          <w:p w14:paraId="0DC072A4">
            <w:pPr>
              <w:snapToGrid w:val="0"/>
              <w:spacing w:line="240" w:lineRule="atLeast"/>
              <w:jc w:val="center"/>
              <w:rPr>
                <w:rFonts w:hint="eastAsia" w:asciiTheme="minorEastAsia" w:hAnsiTheme="minorEastAsia" w:eastAsiaTheme="minorEastAsia" w:cstheme="minorEastAsia"/>
                <w:color w:val="000000"/>
                <w:kern w:val="0"/>
                <w:sz w:val="24"/>
                <w:szCs w:val="24"/>
                <w:highlight w:val="none"/>
                <w:lang w:val="en-US" w:eastAsia="zh-CN" w:bidi="ar-SA"/>
              </w:rPr>
            </w:pPr>
            <w:r>
              <w:rPr>
                <w:rFonts w:hint="eastAsia" w:asciiTheme="minorEastAsia" w:hAnsiTheme="minorEastAsia" w:eastAsiaTheme="minorEastAsia" w:cstheme="minorEastAsia"/>
                <w:color w:val="000000"/>
                <w:kern w:val="0"/>
                <w:sz w:val="24"/>
                <w:szCs w:val="24"/>
                <w:highlight w:val="none"/>
                <w:lang w:val="en-US" w:eastAsia="zh-CN" w:bidi="ar-SA"/>
              </w:rPr>
              <w:t>（填是或者否）</w:t>
            </w:r>
          </w:p>
        </w:tc>
        <w:tc>
          <w:tcPr>
            <w:tcW w:w="1560" w:type="dxa"/>
            <w:vAlign w:val="center"/>
          </w:tcPr>
          <w:p w14:paraId="4D8D5A47">
            <w:pPr>
              <w:snapToGrid w:val="0"/>
              <w:spacing w:line="240" w:lineRule="atLeast"/>
              <w:jc w:val="center"/>
              <w:rPr>
                <w:rFonts w:hint="eastAsia" w:asciiTheme="minorEastAsia" w:hAnsiTheme="minorEastAsia" w:eastAsiaTheme="minorEastAsia" w:cstheme="minorEastAsia"/>
                <w:color w:val="000000"/>
                <w:kern w:val="0"/>
                <w:sz w:val="24"/>
                <w:szCs w:val="24"/>
                <w:highlight w:val="none"/>
                <w:lang w:val="en-US" w:eastAsia="zh-CN" w:bidi="ar-SA"/>
              </w:rPr>
            </w:pPr>
            <w:r>
              <w:rPr>
                <w:rFonts w:hint="eastAsia" w:asciiTheme="minorEastAsia" w:hAnsiTheme="minorEastAsia" w:eastAsiaTheme="minorEastAsia" w:cstheme="minorEastAsia"/>
                <w:color w:val="000000"/>
                <w:kern w:val="0"/>
                <w:sz w:val="24"/>
                <w:szCs w:val="24"/>
                <w:highlight w:val="none"/>
                <w:lang w:val="en-US" w:eastAsia="zh-CN" w:bidi="ar-SA"/>
              </w:rPr>
              <w:t>备注</w:t>
            </w:r>
          </w:p>
        </w:tc>
      </w:tr>
      <w:tr w14:paraId="0A2A4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CB3127F">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1</w:t>
            </w:r>
          </w:p>
        </w:tc>
        <w:tc>
          <w:tcPr>
            <w:tcW w:w="5447" w:type="dxa"/>
          </w:tcPr>
          <w:p w14:paraId="1E93B06D">
            <w:pPr>
              <w:rPr>
                <w:rFonts w:hint="eastAsia" w:asciiTheme="minorEastAsia" w:hAnsiTheme="minorEastAsia" w:eastAsiaTheme="minorEastAsia" w:cstheme="minorEastAsia"/>
                <w:iCs/>
                <w:sz w:val="24"/>
                <w:szCs w:val="22"/>
                <w:lang w:eastAsia="zh-CN"/>
              </w:rPr>
            </w:pPr>
            <w:r>
              <w:rPr>
                <w:rFonts w:hint="eastAsia" w:ascii="宋体" w:hAnsi="宋体" w:eastAsia="宋体" w:cs="宋体"/>
                <w:color w:val="auto"/>
                <w:sz w:val="24"/>
                <w:szCs w:val="24"/>
                <w:highlight w:val="none"/>
                <w:shd w:val="clear" w:color="auto" w:fill="auto"/>
                <w:lang w:val="en-US" w:eastAsia="zh-CN"/>
              </w:rPr>
              <w:t>法人或者其他组织的营业执照等证明文件，自然人的身份证明；</w:t>
            </w:r>
          </w:p>
        </w:tc>
        <w:tc>
          <w:tcPr>
            <w:tcW w:w="2074" w:type="dxa"/>
            <w:vAlign w:val="center"/>
          </w:tcPr>
          <w:p w14:paraId="323B210B">
            <w:pPr>
              <w:rPr>
                <w:rFonts w:hint="eastAsia" w:asciiTheme="minorEastAsia" w:hAnsiTheme="minorEastAsia" w:eastAsiaTheme="minorEastAsia" w:cstheme="minorEastAsia"/>
                <w:b/>
              </w:rPr>
            </w:pPr>
          </w:p>
        </w:tc>
        <w:tc>
          <w:tcPr>
            <w:tcW w:w="1560" w:type="dxa"/>
            <w:vAlign w:val="center"/>
          </w:tcPr>
          <w:p w14:paraId="554B4D28">
            <w:pPr>
              <w:rPr>
                <w:rFonts w:hint="eastAsia" w:asciiTheme="minorEastAsia" w:hAnsiTheme="minorEastAsia" w:eastAsiaTheme="minorEastAsia" w:cstheme="minorEastAsia"/>
                <w:b/>
              </w:rPr>
            </w:pPr>
          </w:p>
        </w:tc>
      </w:tr>
      <w:tr w14:paraId="3CBBE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3925B0A">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2</w:t>
            </w:r>
          </w:p>
        </w:tc>
        <w:tc>
          <w:tcPr>
            <w:tcW w:w="5447" w:type="dxa"/>
            <w:vAlign w:val="center"/>
          </w:tcPr>
          <w:p w14:paraId="0EE9405B">
            <w:pPr>
              <w:rPr>
                <w:rFonts w:hint="eastAsia" w:asciiTheme="minorEastAsia" w:hAnsiTheme="minorEastAsia" w:eastAsiaTheme="minorEastAsia" w:cstheme="minorEastAsia"/>
                <w:iCs/>
                <w:sz w:val="24"/>
                <w:szCs w:val="22"/>
                <w:lang w:eastAsia="zh-CN"/>
              </w:rPr>
            </w:pPr>
            <w:r>
              <w:rPr>
                <w:rFonts w:hint="eastAsia" w:ascii="宋体" w:hAnsi="宋体" w:eastAsia="宋体" w:cs="宋体"/>
                <w:color w:val="auto"/>
                <w:sz w:val="24"/>
                <w:szCs w:val="24"/>
                <w:highlight w:val="none"/>
                <w:shd w:val="clear" w:color="auto" w:fill="auto"/>
                <w:lang w:val="en-US" w:eastAsia="zh-CN"/>
              </w:rPr>
              <w:t>上一年度的财务状况报表（成立不满一年无需提供）；</w:t>
            </w:r>
          </w:p>
        </w:tc>
        <w:tc>
          <w:tcPr>
            <w:tcW w:w="2074" w:type="dxa"/>
            <w:vAlign w:val="center"/>
          </w:tcPr>
          <w:p w14:paraId="4A150B99">
            <w:pPr>
              <w:rPr>
                <w:rFonts w:hint="eastAsia" w:asciiTheme="minorEastAsia" w:hAnsiTheme="minorEastAsia" w:eastAsiaTheme="minorEastAsia" w:cstheme="minorEastAsia"/>
              </w:rPr>
            </w:pPr>
          </w:p>
        </w:tc>
        <w:tc>
          <w:tcPr>
            <w:tcW w:w="1560" w:type="dxa"/>
            <w:vAlign w:val="center"/>
          </w:tcPr>
          <w:p w14:paraId="37AFC6D7">
            <w:pPr>
              <w:rPr>
                <w:rFonts w:hint="eastAsia" w:asciiTheme="minorEastAsia" w:hAnsiTheme="minorEastAsia" w:eastAsiaTheme="minorEastAsia" w:cstheme="minorEastAsia"/>
              </w:rPr>
            </w:pPr>
          </w:p>
        </w:tc>
      </w:tr>
      <w:tr w14:paraId="5937D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2E8C6BFF">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3</w:t>
            </w:r>
          </w:p>
        </w:tc>
        <w:tc>
          <w:tcPr>
            <w:tcW w:w="5447" w:type="dxa"/>
            <w:vAlign w:val="center"/>
          </w:tcPr>
          <w:p w14:paraId="06E3AE1A">
            <w:pPr>
              <w:rPr>
                <w:rFonts w:hint="eastAsia" w:asciiTheme="minorEastAsia" w:hAnsiTheme="minorEastAsia" w:eastAsiaTheme="minorEastAsia" w:cstheme="minorEastAsia"/>
                <w:iCs/>
                <w:sz w:val="24"/>
                <w:szCs w:val="22"/>
                <w:lang w:eastAsia="zh-CN"/>
              </w:rPr>
            </w:pPr>
            <w:r>
              <w:rPr>
                <w:rFonts w:hint="eastAsia" w:ascii="宋体" w:hAnsi="宋体" w:eastAsia="宋体" w:cs="宋体"/>
                <w:color w:val="auto"/>
                <w:sz w:val="24"/>
                <w:szCs w:val="24"/>
                <w:highlight w:val="none"/>
                <w:shd w:val="clear" w:color="auto" w:fill="auto"/>
                <w:lang w:val="en-US" w:eastAsia="zh-CN"/>
              </w:rPr>
              <w:t>依法缴纳税收和社会保障资金的相关材料（提供提交响应文件截止时间前一年内至少一个月依法缴纳税收及缴纳社会保障资金的证明材料。供应商依法享受缓缴、免缴税收、社会保障资金的提供证明材料。）；</w:t>
            </w:r>
          </w:p>
        </w:tc>
        <w:tc>
          <w:tcPr>
            <w:tcW w:w="2074" w:type="dxa"/>
            <w:vAlign w:val="center"/>
          </w:tcPr>
          <w:p w14:paraId="1A877456">
            <w:pPr>
              <w:rPr>
                <w:rFonts w:hint="eastAsia" w:asciiTheme="minorEastAsia" w:hAnsiTheme="minorEastAsia" w:eastAsiaTheme="minorEastAsia" w:cstheme="minorEastAsia"/>
              </w:rPr>
            </w:pPr>
          </w:p>
        </w:tc>
        <w:tc>
          <w:tcPr>
            <w:tcW w:w="1560" w:type="dxa"/>
            <w:vAlign w:val="center"/>
          </w:tcPr>
          <w:p w14:paraId="48E004B2">
            <w:pPr>
              <w:rPr>
                <w:rFonts w:hint="eastAsia" w:asciiTheme="minorEastAsia" w:hAnsiTheme="minorEastAsia" w:eastAsiaTheme="minorEastAsia" w:cstheme="minorEastAsia"/>
              </w:rPr>
            </w:pPr>
          </w:p>
        </w:tc>
      </w:tr>
      <w:tr w14:paraId="3E196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vAlign w:val="center"/>
          </w:tcPr>
          <w:p w14:paraId="693684E2">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4</w:t>
            </w:r>
          </w:p>
        </w:tc>
        <w:tc>
          <w:tcPr>
            <w:tcW w:w="5447" w:type="dxa"/>
            <w:vAlign w:val="center"/>
          </w:tcPr>
          <w:p w14:paraId="549982A6">
            <w:pPr>
              <w:rPr>
                <w:rFonts w:hint="eastAsia" w:asciiTheme="minorEastAsia" w:hAnsiTheme="minorEastAsia" w:eastAsiaTheme="minorEastAsia" w:cstheme="minorEastAsia"/>
                <w:iCs/>
                <w:sz w:val="24"/>
                <w:szCs w:val="22"/>
              </w:rPr>
            </w:pPr>
            <w:r>
              <w:rPr>
                <w:rFonts w:hint="eastAsia" w:ascii="宋体" w:hAnsi="宋体" w:eastAsia="宋体" w:cs="宋体"/>
                <w:color w:val="auto"/>
                <w:sz w:val="24"/>
                <w:szCs w:val="24"/>
                <w:highlight w:val="none"/>
                <w:shd w:val="clear" w:color="auto" w:fill="auto"/>
                <w:lang w:val="en-US" w:eastAsia="zh-CN"/>
              </w:rPr>
              <w:t>具备履行合同所必需的设备和专业技术能力的书面声明；</w:t>
            </w:r>
          </w:p>
        </w:tc>
        <w:tc>
          <w:tcPr>
            <w:tcW w:w="2074" w:type="dxa"/>
            <w:vAlign w:val="center"/>
          </w:tcPr>
          <w:p w14:paraId="44480D87">
            <w:pPr>
              <w:rPr>
                <w:rFonts w:hint="eastAsia" w:asciiTheme="minorEastAsia" w:hAnsiTheme="minorEastAsia" w:eastAsiaTheme="minorEastAsia" w:cstheme="minorEastAsia"/>
              </w:rPr>
            </w:pPr>
          </w:p>
        </w:tc>
        <w:tc>
          <w:tcPr>
            <w:tcW w:w="1560" w:type="dxa"/>
            <w:vAlign w:val="center"/>
          </w:tcPr>
          <w:p w14:paraId="3CCECE8D">
            <w:pPr>
              <w:rPr>
                <w:rFonts w:hint="eastAsia" w:asciiTheme="minorEastAsia" w:hAnsiTheme="minorEastAsia" w:eastAsiaTheme="minorEastAsia" w:cstheme="minorEastAsia"/>
              </w:rPr>
            </w:pPr>
          </w:p>
        </w:tc>
      </w:tr>
      <w:tr w14:paraId="774A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26A2ABA">
            <w:pPr>
              <w:jc w:val="center"/>
              <w:rPr>
                <w:rFonts w:hint="eastAsia" w:asciiTheme="minorEastAsia" w:hAnsiTheme="minorEastAsia" w:eastAsiaTheme="minorEastAsia" w:cstheme="minorEastAsia"/>
                <w:iCs/>
                <w:sz w:val="24"/>
                <w:szCs w:val="22"/>
              </w:rPr>
            </w:pPr>
            <w:r>
              <w:rPr>
                <w:rFonts w:hint="eastAsia" w:asciiTheme="minorEastAsia" w:hAnsiTheme="minorEastAsia" w:eastAsiaTheme="minorEastAsia" w:cstheme="minorEastAsia"/>
                <w:iCs/>
                <w:sz w:val="24"/>
                <w:szCs w:val="22"/>
              </w:rPr>
              <w:t>5</w:t>
            </w:r>
          </w:p>
        </w:tc>
        <w:tc>
          <w:tcPr>
            <w:tcW w:w="5447" w:type="dxa"/>
            <w:vAlign w:val="center"/>
          </w:tcPr>
          <w:p w14:paraId="057D388D">
            <w:pPr>
              <w:rPr>
                <w:rFonts w:hint="eastAsia" w:asciiTheme="minorEastAsia" w:hAnsiTheme="minorEastAsia" w:eastAsiaTheme="minorEastAsia" w:cstheme="minorEastAsia"/>
                <w:iCs/>
                <w:sz w:val="24"/>
                <w:szCs w:val="22"/>
                <w:lang w:eastAsia="zh-CN"/>
              </w:rPr>
            </w:pPr>
            <w:r>
              <w:rPr>
                <w:rFonts w:hint="eastAsia" w:ascii="宋体" w:hAnsi="宋体" w:eastAsia="宋体" w:cs="宋体"/>
                <w:color w:val="auto"/>
                <w:sz w:val="24"/>
                <w:szCs w:val="24"/>
                <w:highlight w:val="none"/>
                <w:shd w:val="clear" w:color="auto" w:fill="auto"/>
                <w:lang w:val="en-US" w:eastAsia="zh-CN"/>
              </w:rPr>
              <w:t>参加政府采购活动前3年内在经营活动中没有重大违法记录的书面声明。</w:t>
            </w:r>
          </w:p>
        </w:tc>
        <w:tc>
          <w:tcPr>
            <w:tcW w:w="2074" w:type="dxa"/>
            <w:vAlign w:val="center"/>
          </w:tcPr>
          <w:p w14:paraId="0FE696A0">
            <w:pPr>
              <w:rPr>
                <w:rFonts w:hint="eastAsia" w:asciiTheme="minorEastAsia" w:hAnsiTheme="minorEastAsia" w:eastAsiaTheme="minorEastAsia" w:cstheme="minorEastAsia"/>
              </w:rPr>
            </w:pPr>
          </w:p>
        </w:tc>
        <w:tc>
          <w:tcPr>
            <w:tcW w:w="1560" w:type="dxa"/>
            <w:vAlign w:val="center"/>
          </w:tcPr>
          <w:p w14:paraId="4A9CF9E3">
            <w:pPr>
              <w:rPr>
                <w:rFonts w:hint="eastAsia" w:asciiTheme="minorEastAsia" w:hAnsiTheme="minorEastAsia" w:eastAsiaTheme="minorEastAsia" w:cstheme="minorEastAsia"/>
              </w:rPr>
            </w:pPr>
          </w:p>
        </w:tc>
      </w:tr>
      <w:tr w14:paraId="5D53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A60C7CF">
            <w:pPr>
              <w:jc w:val="center"/>
              <w:rPr>
                <w:rFonts w:hint="default" w:asciiTheme="minorEastAsia" w:hAnsiTheme="minorEastAsia" w:eastAsiaTheme="minorEastAsia" w:cstheme="minorEastAsia"/>
                <w:iCs/>
                <w:sz w:val="24"/>
                <w:szCs w:val="22"/>
                <w:lang w:val="en-US" w:eastAsia="zh-CN"/>
              </w:rPr>
            </w:pPr>
            <w:r>
              <w:rPr>
                <w:rFonts w:hint="eastAsia" w:asciiTheme="minorEastAsia" w:hAnsiTheme="minorEastAsia" w:cstheme="minorEastAsia"/>
                <w:iCs/>
                <w:sz w:val="24"/>
                <w:szCs w:val="22"/>
                <w:lang w:val="en-US" w:eastAsia="zh-CN"/>
              </w:rPr>
              <w:t>6</w:t>
            </w:r>
          </w:p>
        </w:tc>
        <w:tc>
          <w:tcPr>
            <w:tcW w:w="5447" w:type="dxa"/>
            <w:vAlign w:val="center"/>
          </w:tcPr>
          <w:p w14:paraId="7679837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right="0"/>
              <w:jc w:val="both"/>
              <w:textAlignment w:val="auto"/>
              <w:rPr>
                <w:rFonts w:hint="eastAsia" w:asciiTheme="minorEastAsia" w:hAnsiTheme="minorEastAsia" w:eastAsiaTheme="minorEastAsia" w:cstheme="minorEastAsia"/>
                <w:iCs/>
                <w:sz w:val="24"/>
                <w:szCs w:val="22"/>
                <w:lang w:val="en-US" w:eastAsia="zh-CN"/>
              </w:rPr>
            </w:pPr>
            <w:r>
              <w:rPr>
                <w:rFonts w:hint="eastAsia" w:ascii="宋体" w:hAnsi="宋体" w:eastAsia="宋体" w:cs="宋体"/>
                <w:color w:val="auto"/>
                <w:sz w:val="24"/>
                <w:szCs w:val="24"/>
                <w:highlight w:val="none"/>
                <w:shd w:val="clear" w:color="auto" w:fill="auto"/>
                <w:lang w:val="en-US" w:eastAsia="zh-CN"/>
              </w:rPr>
              <w:t>单位负责人为同一人或者存在直接控股、管理关系的不同供应商，不得参加同一合同项下的政府采购活动。</w:t>
            </w:r>
          </w:p>
        </w:tc>
        <w:tc>
          <w:tcPr>
            <w:tcW w:w="2074" w:type="dxa"/>
            <w:vAlign w:val="center"/>
          </w:tcPr>
          <w:p w14:paraId="5F4BA862">
            <w:pPr>
              <w:rPr>
                <w:rFonts w:hint="eastAsia" w:asciiTheme="minorEastAsia" w:hAnsiTheme="minorEastAsia" w:eastAsiaTheme="minorEastAsia" w:cstheme="minorEastAsia"/>
              </w:rPr>
            </w:pPr>
          </w:p>
        </w:tc>
        <w:tc>
          <w:tcPr>
            <w:tcW w:w="1560" w:type="dxa"/>
            <w:vAlign w:val="center"/>
          </w:tcPr>
          <w:p w14:paraId="221FE106">
            <w:pPr>
              <w:rPr>
                <w:rFonts w:hint="eastAsia" w:asciiTheme="minorEastAsia" w:hAnsiTheme="minorEastAsia" w:eastAsiaTheme="minorEastAsia" w:cstheme="minorEastAsia"/>
              </w:rPr>
            </w:pPr>
          </w:p>
        </w:tc>
      </w:tr>
      <w:tr w14:paraId="4779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46" w:type="dxa"/>
            <w:vAlign w:val="center"/>
          </w:tcPr>
          <w:p w14:paraId="29175A3E">
            <w:pPr>
              <w:jc w:val="center"/>
              <w:rPr>
                <w:rFonts w:hint="eastAsia" w:asciiTheme="minorEastAsia" w:hAnsiTheme="minorEastAsia" w:eastAsiaTheme="minorEastAsia" w:cstheme="minorEastAsia"/>
                <w:iCs/>
                <w:sz w:val="24"/>
                <w:szCs w:val="22"/>
                <w:lang w:val="en-US" w:eastAsia="zh-CN"/>
              </w:rPr>
            </w:pPr>
            <w:r>
              <w:rPr>
                <w:rFonts w:hint="eastAsia" w:asciiTheme="minorEastAsia" w:hAnsiTheme="minorEastAsia" w:cstheme="minorEastAsia"/>
                <w:iCs/>
                <w:sz w:val="24"/>
                <w:szCs w:val="22"/>
                <w:lang w:val="en-US" w:eastAsia="zh-CN"/>
              </w:rPr>
              <w:t>7</w:t>
            </w:r>
          </w:p>
        </w:tc>
        <w:tc>
          <w:tcPr>
            <w:tcW w:w="5447" w:type="dxa"/>
            <w:vAlign w:val="center"/>
          </w:tcPr>
          <w:p w14:paraId="05DF15A2">
            <w:pPr>
              <w:rPr>
                <w:rFonts w:hint="eastAsia" w:asciiTheme="minorEastAsia" w:hAnsiTheme="minorEastAsia" w:eastAsiaTheme="minorEastAsia" w:cstheme="minorEastAsia"/>
                <w:iCs/>
                <w:sz w:val="24"/>
                <w:szCs w:val="22"/>
              </w:rPr>
            </w:pPr>
            <w:r>
              <w:rPr>
                <w:rFonts w:hint="eastAsia" w:ascii="宋体" w:hAnsi="宋体" w:eastAsia="宋体" w:cs="宋体"/>
                <w:color w:val="auto"/>
                <w:sz w:val="24"/>
                <w:szCs w:val="24"/>
                <w:highlight w:val="none"/>
                <w:shd w:val="clear" w:color="auto" w:fill="auto"/>
                <w:lang w:val="en-US" w:eastAsia="zh-CN"/>
              </w:rPr>
              <w:t>供应商如是所投农药产品的生产企业的，须提供有效的农药经营许可证，同时具有有效的所投产品的农药登记证、农药生产许可证、企业标准证的扫描件；供应商如是所投农药产品经销商的，须提供有效的经销商农药经营许可证，同时提供有效的所投农药产品生产企业的农药登记证、农药生产许可证、企业标准证的扫描件。</w:t>
            </w:r>
          </w:p>
        </w:tc>
        <w:tc>
          <w:tcPr>
            <w:tcW w:w="2074" w:type="dxa"/>
            <w:vAlign w:val="center"/>
          </w:tcPr>
          <w:p w14:paraId="6E08F4C1">
            <w:pPr>
              <w:rPr>
                <w:rFonts w:hint="eastAsia" w:asciiTheme="minorEastAsia" w:hAnsiTheme="minorEastAsia" w:eastAsiaTheme="minorEastAsia" w:cstheme="minorEastAsia"/>
              </w:rPr>
            </w:pPr>
          </w:p>
        </w:tc>
        <w:tc>
          <w:tcPr>
            <w:tcW w:w="1560" w:type="dxa"/>
            <w:vAlign w:val="center"/>
          </w:tcPr>
          <w:p w14:paraId="0A432E36">
            <w:pPr>
              <w:rPr>
                <w:rFonts w:hint="eastAsia" w:asciiTheme="minorEastAsia" w:hAnsiTheme="minorEastAsia" w:eastAsiaTheme="minorEastAsia" w:cstheme="minorEastAsia"/>
              </w:rPr>
            </w:pPr>
          </w:p>
        </w:tc>
      </w:tr>
      <w:tr w14:paraId="2CF5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46" w:type="dxa"/>
            <w:vAlign w:val="center"/>
          </w:tcPr>
          <w:p w14:paraId="3BE4D178">
            <w:pPr>
              <w:rPr>
                <w:rFonts w:hint="eastAsia" w:asciiTheme="minorEastAsia" w:hAnsiTheme="minorEastAsia" w:eastAsiaTheme="minorEastAsia" w:cstheme="minorEastAsia"/>
              </w:rPr>
            </w:pPr>
          </w:p>
        </w:tc>
        <w:tc>
          <w:tcPr>
            <w:tcW w:w="5447" w:type="dxa"/>
            <w:vAlign w:val="center"/>
          </w:tcPr>
          <w:p w14:paraId="7DF6C072">
            <w:pPr>
              <w:snapToGrid w:val="0"/>
              <w:spacing w:line="590" w:lineRule="atLeast"/>
              <w:rPr>
                <w:rFonts w:hint="eastAsia" w:asciiTheme="minorEastAsia" w:hAnsiTheme="minorEastAsia" w:eastAsiaTheme="minorEastAsia" w:cstheme="minorEastAsia"/>
                <w:iCs/>
                <w:sz w:val="24"/>
              </w:rPr>
            </w:pPr>
          </w:p>
        </w:tc>
        <w:tc>
          <w:tcPr>
            <w:tcW w:w="2074" w:type="dxa"/>
            <w:vAlign w:val="center"/>
          </w:tcPr>
          <w:p w14:paraId="5B17ECC4">
            <w:pPr>
              <w:rPr>
                <w:rFonts w:hint="eastAsia" w:asciiTheme="minorEastAsia" w:hAnsiTheme="minorEastAsia" w:eastAsiaTheme="minorEastAsia" w:cstheme="minorEastAsia"/>
              </w:rPr>
            </w:pPr>
          </w:p>
        </w:tc>
        <w:tc>
          <w:tcPr>
            <w:tcW w:w="1560" w:type="dxa"/>
            <w:vAlign w:val="center"/>
          </w:tcPr>
          <w:p w14:paraId="50959E8D">
            <w:pPr>
              <w:rPr>
                <w:rFonts w:hint="eastAsia" w:asciiTheme="minorEastAsia" w:hAnsiTheme="minorEastAsia" w:eastAsiaTheme="minorEastAsia" w:cstheme="minorEastAsia"/>
              </w:rPr>
            </w:pPr>
          </w:p>
        </w:tc>
      </w:tr>
    </w:tbl>
    <w:p w14:paraId="68822787">
      <w:pPr>
        <w:autoSpaceDE w:val="0"/>
        <w:autoSpaceDN w:val="0"/>
        <w:ind w:firstLine="210"/>
        <w:rPr>
          <w:rFonts w:cs="宋体"/>
          <w:szCs w:val="28"/>
          <w:lang w:val="zh-CN"/>
        </w:rPr>
      </w:pPr>
    </w:p>
    <w:p w14:paraId="10E11E67">
      <w:pPr>
        <w:autoSpaceDE w:val="0"/>
        <w:autoSpaceDN w:val="0"/>
        <w:ind w:firstLine="210"/>
        <w:rPr>
          <w:rFonts w:cs="宋体"/>
          <w:szCs w:val="28"/>
          <w:lang w:val="zh-CN"/>
        </w:rPr>
      </w:pPr>
      <w:r>
        <w:rPr>
          <w:rFonts w:hint="eastAsia" w:cs="宋体"/>
          <w:color w:val="FF0000"/>
          <w:szCs w:val="28"/>
          <w:lang w:val="zh-CN"/>
        </w:rPr>
        <w:t>注：本表须明确填写并按谈判文件要求提供材料，否则资格性检查无法通过。</w:t>
      </w:r>
    </w:p>
    <w:p w14:paraId="4D68A64B">
      <w:pPr>
        <w:pStyle w:val="18"/>
        <w:spacing w:beforeAutospacing="0" w:afterAutospacing="0"/>
        <w:jc w:val="both"/>
        <w:rPr>
          <w:color w:val="auto"/>
          <w:highlight w:val="none"/>
          <w:shd w:val="clear" w:color="auto" w:fill="auto"/>
        </w:rPr>
      </w:pPr>
    </w:p>
    <w:p w14:paraId="27241279">
      <w:pPr>
        <w:pStyle w:val="18"/>
        <w:spacing w:beforeAutospacing="0" w:afterAutospacing="0"/>
        <w:jc w:val="both"/>
        <w:rPr>
          <w:color w:val="auto"/>
          <w:highlight w:val="none"/>
          <w:shd w:val="clear" w:color="auto" w:fill="auto"/>
        </w:rPr>
      </w:pPr>
    </w:p>
    <w:p w14:paraId="59FA9852">
      <w:pPr>
        <w:pStyle w:val="18"/>
        <w:spacing w:beforeAutospacing="0" w:afterAutospacing="0"/>
        <w:jc w:val="both"/>
        <w:rPr>
          <w:color w:val="auto"/>
          <w:highlight w:val="none"/>
          <w:shd w:val="clear" w:color="auto" w:fill="auto"/>
        </w:rPr>
      </w:pPr>
    </w:p>
    <w:p w14:paraId="0258EEB3">
      <w:pPr>
        <w:pStyle w:val="18"/>
        <w:spacing w:beforeAutospacing="0" w:afterAutospacing="0"/>
        <w:jc w:val="both"/>
        <w:rPr>
          <w:color w:val="auto"/>
          <w:highlight w:val="none"/>
          <w:shd w:val="clear" w:color="auto" w:fill="auto"/>
        </w:rPr>
      </w:pPr>
    </w:p>
    <w:p w14:paraId="3D7A5188">
      <w:pPr>
        <w:pStyle w:val="18"/>
        <w:spacing w:beforeAutospacing="0" w:afterAutospacing="0"/>
        <w:jc w:val="both"/>
        <w:rPr>
          <w:color w:val="auto"/>
          <w:highlight w:val="none"/>
          <w:shd w:val="clear" w:color="auto" w:fill="auto"/>
        </w:rPr>
      </w:pPr>
    </w:p>
    <w:p w14:paraId="1C191EBA">
      <w:pPr>
        <w:pStyle w:val="18"/>
        <w:spacing w:beforeAutospacing="0" w:afterAutospacing="0"/>
        <w:jc w:val="both"/>
        <w:rPr>
          <w:color w:val="auto"/>
          <w:highlight w:val="none"/>
          <w:shd w:val="clear" w:color="auto" w:fill="auto"/>
        </w:rPr>
      </w:pPr>
    </w:p>
    <w:p w14:paraId="7E35FC3F">
      <w:pPr>
        <w:pStyle w:val="18"/>
        <w:spacing w:beforeAutospacing="0" w:afterAutospacing="0"/>
        <w:jc w:val="both"/>
        <w:rPr>
          <w:color w:val="auto"/>
          <w:highlight w:val="none"/>
          <w:shd w:val="clear" w:color="auto" w:fill="auto"/>
        </w:rPr>
      </w:pPr>
    </w:p>
    <w:p w14:paraId="355E1B94">
      <w:pPr>
        <w:pStyle w:val="18"/>
        <w:spacing w:beforeAutospacing="0" w:afterAutospacing="0"/>
        <w:jc w:val="both"/>
        <w:rPr>
          <w:color w:val="auto"/>
          <w:highlight w:val="none"/>
          <w:shd w:val="clear" w:color="auto" w:fill="auto"/>
        </w:rPr>
      </w:pPr>
      <w:r>
        <w:rPr>
          <w:color w:val="auto"/>
          <w:highlight w:val="none"/>
          <w:shd w:val="clear" w:color="auto" w:fill="auto"/>
        </w:rPr>
        <w:t> </w:t>
      </w:r>
    </w:p>
    <w:p w14:paraId="48320846">
      <w:pPr>
        <w:pStyle w:val="18"/>
        <w:spacing w:beforeAutospacing="0" w:afterAutospacing="0"/>
        <w:jc w:val="both"/>
        <w:rPr>
          <w:color w:val="auto"/>
          <w:highlight w:val="none"/>
          <w:shd w:val="clear" w:color="auto" w:fill="auto"/>
        </w:rPr>
      </w:pPr>
      <w:r>
        <w:rPr>
          <w:color w:val="auto"/>
          <w:highlight w:val="none"/>
          <w:shd w:val="clear" w:color="auto" w:fill="auto"/>
        </w:rPr>
        <w:t> </w:t>
      </w:r>
    </w:p>
    <w:p w14:paraId="740BE13E">
      <w:pPr>
        <w:pStyle w:val="18"/>
        <w:spacing w:beforeAutospacing="0" w:afterAutospacing="0"/>
        <w:jc w:val="both"/>
        <w:rPr>
          <w:color w:val="auto"/>
          <w:highlight w:val="none"/>
          <w:shd w:val="clear" w:color="auto" w:fill="auto"/>
        </w:rPr>
      </w:pPr>
    </w:p>
    <w:p w14:paraId="66264404">
      <w:pPr>
        <w:pStyle w:val="18"/>
        <w:spacing w:beforeAutospacing="0" w:afterAutospacing="0"/>
        <w:jc w:val="both"/>
        <w:rPr>
          <w:color w:val="auto"/>
          <w:highlight w:val="none"/>
          <w:shd w:val="clear" w:color="auto" w:fill="auto"/>
        </w:rPr>
      </w:pPr>
    </w:p>
    <w:p w14:paraId="377CBF86">
      <w:pPr>
        <w:pStyle w:val="18"/>
        <w:spacing w:beforeAutospacing="0" w:afterAutospacing="0"/>
        <w:jc w:val="both"/>
        <w:rPr>
          <w:color w:val="auto"/>
          <w:highlight w:val="none"/>
          <w:shd w:val="clear" w:color="auto" w:fill="auto"/>
        </w:rPr>
      </w:pPr>
    </w:p>
    <w:p w14:paraId="7DD0F93E">
      <w:pPr>
        <w:pStyle w:val="18"/>
        <w:spacing w:beforeAutospacing="0" w:afterAutospacing="0"/>
        <w:jc w:val="center"/>
        <w:rPr>
          <w:color w:val="auto"/>
          <w:highlight w:val="none"/>
          <w:shd w:val="clear" w:color="auto" w:fill="auto"/>
        </w:rPr>
      </w:pPr>
      <w:bookmarkStart w:id="202" w:name="_Hlt26955054"/>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五</w:t>
      </w:r>
      <w:r>
        <w:rPr>
          <w:rFonts w:hint="eastAsia" w:ascii="黑体" w:hAnsi="宋体" w:eastAsia="黑体" w:cs="黑体"/>
          <w:b/>
          <w:color w:val="auto"/>
          <w:sz w:val="32"/>
          <w:szCs w:val="32"/>
          <w:highlight w:val="none"/>
          <w:shd w:val="clear" w:color="auto" w:fill="auto"/>
        </w:rPr>
        <w:t>、商务要求响应及偏离表</w:t>
      </w:r>
    </w:p>
    <w:tbl>
      <w:tblPr>
        <w:tblStyle w:val="20"/>
        <w:tblW w:w="9682" w:type="dxa"/>
        <w:tblCellSpacing w:w="0" w:type="dxa"/>
        <w:tblInd w:w="10" w:type="dxa"/>
        <w:tblLayout w:type="fixed"/>
        <w:tblCellMar>
          <w:top w:w="0" w:type="dxa"/>
          <w:left w:w="108" w:type="dxa"/>
          <w:bottom w:w="0" w:type="dxa"/>
          <w:right w:w="108" w:type="dxa"/>
        </w:tblCellMar>
      </w:tblPr>
      <w:tblGrid>
        <w:gridCol w:w="538"/>
        <w:gridCol w:w="3677"/>
        <w:gridCol w:w="1957"/>
        <w:gridCol w:w="2620"/>
        <w:gridCol w:w="890"/>
      </w:tblGrid>
      <w:tr w14:paraId="1E322BE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D12CA">
            <w:pPr>
              <w:pStyle w:val="18"/>
              <w:spacing w:beforeAutospacing="0" w:afterAutospacing="0"/>
              <w:jc w:val="center"/>
            </w:pPr>
            <w:bookmarkStart w:id="203" w:name="_Hlt24879081"/>
            <w:bookmarkStart w:id="204" w:name="_Hlt26580838"/>
            <w:bookmarkStart w:id="205" w:name="_Hlt26609391"/>
            <w:bookmarkStart w:id="206" w:name="_Hlt26955064"/>
            <w:bookmarkStart w:id="207" w:name="_Hlt26782999"/>
            <w:bookmarkStart w:id="208" w:name="_Hlt26955056"/>
            <w:bookmarkStart w:id="209" w:name="_Hlt26671372"/>
            <w:bookmarkStart w:id="210" w:name="_Hlt26671343"/>
            <w:r>
              <w:rPr>
                <w:rFonts w:hint="eastAsia" w:ascii="宋体" w:hAnsi="宋体" w:eastAsia="宋体" w:cs="宋体"/>
                <w:color w:val="000000"/>
              </w:rPr>
              <w:t>序号</w:t>
            </w:r>
            <w:bookmarkEnd w:id="203"/>
            <w:bookmarkEnd w:id="204"/>
            <w:bookmarkEnd w:id="205"/>
            <w:bookmarkEnd w:id="206"/>
            <w:bookmarkEnd w:id="207"/>
            <w:bookmarkEnd w:id="208"/>
            <w:bookmarkEnd w:id="209"/>
            <w:bookmarkEnd w:id="210"/>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CAB17">
            <w:pPr>
              <w:pStyle w:val="18"/>
              <w:spacing w:beforeAutospacing="0" w:afterAutospacing="0"/>
              <w:jc w:val="center"/>
            </w:pPr>
            <w:r>
              <w:rPr>
                <w:rFonts w:hint="eastAsia" w:ascii="宋体" w:hAnsi="宋体" w:eastAsia="宋体" w:cs="宋体"/>
                <w:color w:val="000000"/>
                <w:lang w:val="en-US" w:eastAsia="zh-CN"/>
              </w:rPr>
              <w:t>谈判</w:t>
            </w:r>
            <w:r>
              <w:rPr>
                <w:rFonts w:hint="eastAsia" w:ascii="宋体" w:hAnsi="宋体" w:eastAsia="宋体" w:cs="宋体"/>
                <w:color w:val="000000"/>
              </w:rPr>
              <w:t>文件要求</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72788">
            <w:pPr>
              <w:pStyle w:val="18"/>
              <w:spacing w:beforeAutospacing="0" w:afterAutospacing="0"/>
              <w:jc w:val="center"/>
            </w:pPr>
            <w:r>
              <w:rPr>
                <w:rFonts w:hint="eastAsia" w:ascii="宋体" w:hAnsi="宋体" w:eastAsia="宋体" w:cs="宋体"/>
                <w:color w:val="000000"/>
              </w:rPr>
              <w:t>投标响应情况</w:t>
            </w: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B9EE8">
            <w:pPr>
              <w:pStyle w:val="18"/>
              <w:spacing w:beforeAutospacing="0" w:afterAutospacing="0"/>
              <w:jc w:val="center"/>
            </w:pPr>
            <w:r>
              <w:rPr>
                <w:rFonts w:hint="eastAsia" w:ascii="宋体" w:hAnsi="宋体" w:eastAsia="宋体" w:cs="宋体"/>
                <w:color w:val="000000"/>
              </w:rPr>
              <w:t>正偏离、符合或负偏离</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A8E91">
            <w:pPr>
              <w:pStyle w:val="18"/>
              <w:spacing w:beforeAutospacing="0" w:afterAutospacing="0"/>
              <w:jc w:val="center"/>
            </w:pPr>
            <w:r>
              <w:rPr>
                <w:rFonts w:hint="eastAsia" w:ascii="宋体" w:hAnsi="宋体" w:eastAsia="宋体" w:cs="宋体"/>
                <w:color w:val="000000"/>
              </w:rPr>
              <w:t>证明</w:t>
            </w:r>
          </w:p>
          <w:p w14:paraId="11E10CEF">
            <w:pPr>
              <w:pStyle w:val="18"/>
              <w:spacing w:beforeAutospacing="0" w:afterAutospacing="0"/>
              <w:jc w:val="center"/>
            </w:pPr>
            <w:r>
              <w:rPr>
                <w:rFonts w:hint="eastAsia" w:ascii="宋体" w:hAnsi="宋体" w:eastAsia="宋体" w:cs="宋体"/>
                <w:color w:val="000000"/>
              </w:rPr>
              <w:t>材料</w:t>
            </w:r>
          </w:p>
        </w:tc>
      </w:tr>
      <w:tr w14:paraId="5751AD6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48FC0F">
            <w:pPr>
              <w:pStyle w:val="18"/>
              <w:spacing w:beforeAutospacing="0" w:afterAutospacing="0"/>
              <w:jc w:val="center"/>
            </w:pPr>
            <w:r>
              <w:rPr>
                <w:rFonts w:hint="eastAsia"/>
                <w:lang w:val="en-US" w:eastAsia="zh-CN"/>
              </w:rPr>
              <w:t>1</w:t>
            </w: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2E9B3">
            <w:pPr>
              <w:pStyle w:val="18"/>
              <w:spacing w:beforeAutospacing="0" w:afterAutospacing="0"/>
              <w:jc w:val="center"/>
            </w:pPr>
            <w:r>
              <w:rPr>
                <w:rFonts w:hint="eastAsia"/>
              </w:rPr>
              <w:t>最高</w:t>
            </w:r>
            <w:r>
              <w:rPr>
                <w:rFonts w:hint="eastAsia"/>
                <w:lang w:val="en-US" w:eastAsia="zh-CN"/>
              </w:rPr>
              <w:t>（单价）</w:t>
            </w:r>
            <w:r>
              <w:rPr>
                <w:rFonts w:hint="eastAsia"/>
              </w:rPr>
              <w:t>限价</w:t>
            </w:r>
            <w:r>
              <w:t>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8A3827">
            <w:pPr>
              <w:pStyle w:val="18"/>
              <w:spacing w:beforeAutospacing="0" w:afterAutospacing="0"/>
              <w:jc w:val="center"/>
            </w:pPr>
            <w:r>
              <w:t> </w:t>
            </w: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61E9D">
            <w:pPr>
              <w:pStyle w:val="18"/>
              <w:spacing w:beforeAutospacing="0" w:afterAutospacing="0"/>
              <w:jc w:val="center"/>
            </w:pPr>
            <w:r>
              <w:t>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23835">
            <w:pPr>
              <w:pStyle w:val="18"/>
              <w:spacing w:beforeAutospacing="0" w:afterAutospacing="0"/>
              <w:jc w:val="center"/>
            </w:pPr>
            <w:r>
              <w:t> </w:t>
            </w:r>
          </w:p>
        </w:tc>
      </w:tr>
      <w:tr w14:paraId="55B7B1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D4BDA">
            <w:pPr>
              <w:pStyle w:val="18"/>
              <w:spacing w:beforeAutospacing="0" w:afterAutospacing="0"/>
              <w:jc w:val="center"/>
              <w:rPr>
                <w:rFonts w:hint="eastAsia" w:eastAsia="宋体"/>
                <w:lang w:val="en-US" w:eastAsia="zh-CN"/>
              </w:rPr>
            </w:pPr>
            <w:r>
              <w:t> </w:t>
            </w:r>
            <w:r>
              <w:rPr>
                <w:rFonts w:hint="eastAsia"/>
                <w:lang w:val="en-US" w:eastAsia="zh-CN"/>
              </w:rPr>
              <w:t>2</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20E3C">
            <w:pPr>
              <w:pStyle w:val="18"/>
              <w:spacing w:beforeAutospacing="0" w:afterAutospacing="0"/>
              <w:jc w:val="center"/>
              <w:rPr>
                <w:rFonts w:hint="default" w:eastAsia="宋体"/>
                <w:lang w:val="en-US" w:eastAsia="zh-CN"/>
              </w:rPr>
            </w:pPr>
            <w:r>
              <w:rPr>
                <w:rFonts w:hint="eastAsia"/>
                <w:lang w:val="en-US" w:eastAsia="zh-CN"/>
              </w:rPr>
              <w:t>质保期</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41F5D">
            <w:pPr>
              <w:pStyle w:val="18"/>
              <w:spacing w:beforeAutospacing="0" w:afterAutospacing="0"/>
              <w:jc w:val="center"/>
            </w:pPr>
            <w:r>
              <w:t> </w:t>
            </w: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DE9D8">
            <w:pPr>
              <w:pStyle w:val="18"/>
              <w:spacing w:beforeAutospacing="0" w:afterAutospacing="0"/>
              <w:jc w:val="center"/>
            </w:pPr>
            <w:r>
              <w:t>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16DF8">
            <w:pPr>
              <w:pStyle w:val="18"/>
              <w:spacing w:beforeAutospacing="0" w:afterAutospacing="0"/>
              <w:jc w:val="center"/>
            </w:pPr>
            <w:r>
              <w:t> </w:t>
            </w:r>
          </w:p>
        </w:tc>
      </w:tr>
      <w:tr w14:paraId="6E47AC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B4F893">
            <w:pPr>
              <w:pStyle w:val="18"/>
              <w:spacing w:beforeAutospacing="0" w:afterAutospacing="0"/>
              <w:jc w:val="center"/>
              <w:rPr>
                <w:rFonts w:hint="eastAsia" w:eastAsia="宋体"/>
                <w:lang w:val="en-US" w:eastAsia="zh-CN"/>
              </w:rPr>
            </w:pPr>
            <w:r>
              <w:t> </w:t>
            </w:r>
            <w:r>
              <w:rPr>
                <w:rFonts w:hint="eastAsia"/>
                <w:lang w:val="en-US" w:eastAsia="zh-CN"/>
              </w:rPr>
              <w:t>3</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82A9A">
            <w:pPr>
              <w:pStyle w:val="18"/>
              <w:spacing w:beforeAutospacing="0" w:afterAutospacing="0"/>
              <w:jc w:val="center"/>
            </w:pPr>
            <w:r>
              <w:rPr>
                <w:rFonts w:hint="eastAsia"/>
              </w:rPr>
              <w:t>合同履行期限</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A37253">
            <w:pPr>
              <w:pStyle w:val="18"/>
              <w:spacing w:beforeAutospacing="0" w:afterAutospacing="0"/>
              <w:jc w:val="center"/>
            </w:pPr>
            <w:r>
              <w:t> </w:t>
            </w: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D9CB7">
            <w:pPr>
              <w:pStyle w:val="18"/>
              <w:spacing w:beforeAutospacing="0" w:afterAutospacing="0"/>
              <w:jc w:val="center"/>
            </w:pPr>
            <w:r>
              <w:t>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7FE63">
            <w:pPr>
              <w:pStyle w:val="18"/>
              <w:spacing w:beforeAutospacing="0" w:afterAutospacing="0"/>
              <w:jc w:val="center"/>
            </w:pPr>
            <w:r>
              <w:t> </w:t>
            </w:r>
          </w:p>
        </w:tc>
      </w:tr>
      <w:tr w14:paraId="02CD00C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F5DA8">
            <w:pPr>
              <w:pStyle w:val="18"/>
              <w:spacing w:beforeAutospacing="0" w:afterAutospacing="0"/>
              <w:jc w:val="center"/>
              <w:rPr>
                <w:rFonts w:hint="eastAsia" w:eastAsia="宋体"/>
                <w:lang w:val="en-US" w:eastAsia="zh-CN"/>
              </w:rPr>
            </w:pPr>
            <w:r>
              <w:rPr>
                <w:rFonts w:hint="eastAsia"/>
                <w:lang w:val="en-US" w:eastAsia="zh-CN"/>
              </w:rPr>
              <w:t>4</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7ACE5D">
            <w:pPr>
              <w:pStyle w:val="18"/>
              <w:spacing w:beforeAutospacing="0" w:afterAutospacing="0"/>
              <w:jc w:val="center"/>
              <w:rPr>
                <w:rFonts w:hint="eastAsia" w:eastAsia="宋体"/>
                <w:lang w:val="en-US" w:eastAsia="zh-CN"/>
              </w:rPr>
            </w:pPr>
            <w:r>
              <w:rPr>
                <w:rFonts w:hint="eastAsia"/>
                <w:lang w:val="en-US" w:eastAsia="zh-CN"/>
              </w:rPr>
              <w:t>付款方式</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4DE69C">
            <w:pPr>
              <w:pStyle w:val="18"/>
              <w:spacing w:beforeAutospacing="0" w:afterAutospacing="0"/>
              <w:jc w:val="center"/>
            </w:pP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11B38">
            <w:pPr>
              <w:pStyle w:val="18"/>
              <w:spacing w:beforeAutospacing="0" w:afterAutospacing="0"/>
              <w:jc w:val="center"/>
            </w:pP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CC5D8">
            <w:pPr>
              <w:pStyle w:val="18"/>
              <w:spacing w:beforeAutospacing="0" w:afterAutospacing="0"/>
              <w:jc w:val="center"/>
            </w:pPr>
          </w:p>
        </w:tc>
      </w:tr>
      <w:tr w14:paraId="098B633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0F6FE">
            <w:pPr>
              <w:pStyle w:val="18"/>
              <w:spacing w:beforeAutospacing="0" w:afterAutospacing="0"/>
              <w:jc w:val="center"/>
              <w:rPr>
                <w:rFonts w:hint="default"/>
                <w:lang w:val="en-US" w:eastAsia="zh-CN"/>
              </w:rPr>
            </w:pPr>
            <w:r>
              <w:rPr>
                <w:rFonts w:hint="eastAsia"/>
                <w:lang w:val="en-US" w:eastAsia="zh-CN"/>
              </w:rPr>
              <w:t>5</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C78A9">
            <w:pPr>
              <w:pStyle w:val="18"/>
              <w:spacing w:beforeAutospacing="0" w:afterAutospacing="0"/>
              <w:jc w:val="center"/>
              <w:rPr>
                <w:rFonts w:hint="default"/>
                <w:lang w:val="en-US" w:eastAsia="zh-CN"/>
              </w:rPr>
            </w:pPr>
            <w:r>
              <w:rPr>
                <w:rFonts w:hint="eastAsia"/>
                <w:lang w:val="en-US" w:eastAsia="zh-CN"/>
              </w:rPr>
              <w:t>实质性响应内容</w:t>
            </w:r>
            <w:r>
              <w:rPr>
                <w:rFonts w:hint="eastAsia" w:ascii="Calibri" w:eastAsia="宋体" w:cs="Times New Roman"/>
                <w:b w:val="0"/>
                <w:sz w:val="24"/>
                <w:szCs w:val="22"/>
                <w:lang w:val="en-US" w:eastAsia="zh-CN" w:bidi="ar-SA"/>
              </w:rPr>
              <w:t>（附件1、附件2、）</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8841E">
            <w:pPr>
              <w:pStyle w:val="18"/>
              <w:spacing w:beforeAutospacing="0" w:afterAutospacing="0"/>
              <w:jc w:val="center"/>
            </w:pP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7AF00">
            <w:pPr>
              <w:pStyle w:val="18"/>
              <w:spacing w:beforeAutospacing="0" w:afterAutospacing="0"/>
              <w:jc w:val="center"/>
            </w:pP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95D71">
            <w:pPr>
              <w:pStyle w:val="18"/>
              <w:spacing w:beforeAutospacing="0" w:afterAutospacing="0"/>
              <w:jc w:val="center"/>
            </w:pPr>
          </w:p>
        </w:tc>
      </w:tr>
      <w:tr w14:paraId="2C4B4F9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502E1">
            <w:pPr>
              <w:pStyle w:val="18"/>
              <w:spacing w:beforeAutospacing="0" w:afterAutospacing="0"/>
              <w:jc w:val="center"/>
              <w:rPr>
                <w:rFonts w:hint="eastAsia" w:eastAsia="宋体"/>
                <w:lang w:val="en-US" w:eastAsia="zh-CN"/>
              </w:rPr>
            </w:pPr>
            <w:r>
              <w:t> </w:t>
            </w:r>
            <w:r>
              <w:rPr>
                <w:rFonts w:hint="eastAsia"/>
                <w:lang w:val="en-US" w:eastAsia="zh-CN"/>
              </w:rPr>
              <w:t>6</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596C8">
            <w:pPr>
              <w:pStyle w:val="18"/>
              <w:spacing w:beforeAutospacing="0" w:afterAutospacing="0"/>
              <w:jc w:val="center"/>
              <w:rPr>
                <w:rFonts w:hint="default" w:eastAsiaTheme="minorEastAsia"/>
                <w:lang w:val="en-US" w:eastAsia="zh-CN"/>
              </w:rPr>
            </w:pPr>
            <w:r>
              <w:rPr>
                <w:rFonts w:hint="eastAsia"/>
                <w:lang w:val="en-US" w:eastAsia="zh-CN"/>
              </w:rPr>
              <w:t>谈判报价表</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5F160">
            <w:pPr>
              <w:pStyle w:val="18"/>
              <w:spacing w:beforeAutospacing="0" w:afterAutospacing="0"/>
              <w:jc w:val="center"/>
            </w:pPr>
            <w:r>
              <w:t> </w:t>
            </w: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E3FBC">
            <w:pPr>
              <w:pStyle w:val="18"/>
              <w:spacing w:beforeAutospacing="0" w:afterAutospacing="0"/>
              <w:jc w:val="center"/>
            </w:pPr>
            <w:r>
              <w:t>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8FCA6">
            <w:pPr>
              <w:pStyle w:val="18"/>
              <w:spacing w:beforeAutospacing="0" w:afterAutospacing="0"/>
              <w:jc w:val="center"/>
            </w:pPr>
            <w:r>
              <w:t> </w:t>
            </w:r>
          </w:p>
        </w:tc>
      </w:tr>
      <w:tr w14:paraId="21B62D6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4AC2E">
            <w:pPr>
              <w:pStyle w:val="18"/>
              <w:spacing w:beforeAutospacing="0" w:afterAutospacing="0"/>
              <w:jc w:val="center"/>
              <w:rPr>
                <w:rFonts w:hint="eastAsia" w:eastAsia="宋体"/>
                <w:lang w:val="en-US" w:eastAsia="zh-CN"/>
              </w:rPr>
            </w:pPr>
            <w:r>
              <w:t> </w:t>
            </w:r>
            <w:r>
              <w:rPr>
                <w:rFonts w:hint="eastAsia"/>
                <w:lang w:val="en-US" w:eastAsia="zh-CN"/>
              </w:rPr>
              <w:t>7</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E4AD07">
            <w:pPr>
              <w:pStyle w:val="18"/>
              <w:spacing w:beforeAutospacing="0" w:afterAutospacing="0"/>
              <w:jc w:val="center"/>
            </w:pPr>
            <w:r>
              <w:t> </w:t>
            </w:r>
            <w:r>
              <w:rPr>
                <w:rFonts w:hint="eastAsia"/>
              </w:rPr>
              <w:t>法人授权书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DF364">
            <w:pPr>
              <w:pStyle w:val="18"/>
              <w:spacing w:beforeAutospacing="0" w:afterAutospacing="0"/>
              <w:jc w:val="center"/>
            </w:pPr>
            <w:r>
              <w:t> </w:t>
            </w: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94FB2">
            <w:pPr>
              <w:pStyle w:val="18"/>
              <w:spacing w:beforeAutospacing="0" w:afterAutospacing="0"/>
              <w:jc w:val="center"/>
            </w:pPr>
            <w:r>
              <w:t>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C46FE">
            <w:pPr>
              <w:pStyle w:val="18"/>
              <w:spacing w:beforeAutospacing="0" w:afterAutospacing="0"/>
              <w:jc w:val="center"/>
            </w:pPr>
            <w:r>
              <w:t> </w:t>
            </w:r>
          </w:p>
        </w:tc>
      </w:tr>
      <w:tr w14:paraId="428C04D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7BDA5">
            <w:pPr>
              <w:pStyle w:val="18"/>
              <w:spacing w:beforeAutospacing="0" w:afterAutospacing="0"/>
              <w:jc w:val="center"/>
              <w:rPr>
                <w:rFonts w:hint="eastAsia" w:eastAsia="宋体"/>
                <w:lang w:val="en-US" w:eastAsia="zh-CN"/>
              </w:rPr>
            </w:pPr>
            <w:r>
              <w:t> </w:t>
            </w:r>
            <w:r>
              <w:rPr>
                <w:rFonts w:hint="eastAsia"/>
                <w:lang w:val="en-US" w:eastAsia="zh-CN"/>
              </w:rPr>
              <w:t>8</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29805">
            <w:pPr>
              <w:pStyle w:val="18"/>
              <w:spacing w:beforeAutospacing="0" w:afterAutospacing="0"/>
              <w:jc w:val="center"/>
            </w:pPr>
            <w:r>
              <w:t> </w:t>
            </w:r>
            <w:r>
              <w:rPr>
                <w:rFonts w:hint="eastAsia"/>
                <w:lang w:val="en-US" w:eastAsia="zh-CN"/>
              </w:rPr>
              <w:t>谈判响应</w:t>
            </w:r>
            <w:r>
              <w:rPr>
                <w:rFonts w:hint="eastAsia"/>
              </w:rPr>
              <w:t>函</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FA680">
            <w:pPr>
              <w:pStyle w:val="18"/>
              <w:spacing w:beforeAutospacing="0" w:afterAutospacing="0"/>
              <w:jc w:val="center"/>
            </w:pPr>
            <w:r>
              <w:t> </w:t>
            </w: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AE983">
            <w:pPr>
              <w:pStyle w:val="18"/>
              <w:spacing w:beforeAutospacing="0" w:afterAutospacing="0"/>
              <w:jc w:val="center"/>
            </w:pPr>
            <w:r>
              <w:t>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40DEB">
            <w:pPr>
              <w:pStyle w:val="18"/>
              <w:spacing w:beforeAutospacing="0" w:afterAutospacing="0"/>
              <w:jc w:val="center"/>
            </w:pPr>
            <w:r>
              <w:t> </w:t>
            </w:r>
          </w:p>
        </w:tc>
      </w:tr>
      <w:tr w14:paraId="5BD5FF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CB164">
            <w:pPr>
              <w:pStyle w:val="18"/>
              <w:spacing w:beforeAutospacing="0" w:afterAutospacing="0"/>
              <w:jc w:val="center"/>
              <w:rPr>
                <w:rFonts w:hint="eastAsia" w:eastAsia="宋体"/>
                <w:lang w:val="en-US" w:eastAsia="zh-CN"/>
              </w:rPr>
            </w:pP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09ED6">
            <w:pPr>
              <w:pStyle w:val="18"/>
              <w:spacing w:beforeAutospacing="0" w:afterAutospacing="0"/>
              <w:jc w:val="center"/>
            </w:pPr>
            <w:r>
              <w:rPr>
                <w:rFonts w:hint="eastAsia" w:ascii="宋体" w:hAnsi="宋体" w:eastAsia="宋体" w:cs="宋体"/>
                <w:color w:val="000000"/>
              </w:rPr>
              <w:t>……</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951D8A">
            <w:pPr>
              <w:pStyle w:val="18"/>
              <w:spacing w:beforeAutospacing="0" w:afterAutospacing="0"/>
              <w:jc w:val="center"/>
            </w:pPr>
            <w:r>
              <w:t> </w:t>
            </w:r>
          </w:p>
        </w:tc>
        <w:tc>
          <w:tcPr>
            <w:tcW w:w="26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D94E9">
            <w:pPr>
              <w:pStyle w:val="18"/>
              <w:spacing w:beforeAutospacing="0" w:afterAutospacing="0"/>
              <w:jc w:val="center"/>
            </w:pPr>
            <w:r>
              <w:t>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EF89F">
            <w:pPr>
              <w:pStyle w:val="18"/>
              <w:spacing w:beforeAutospacing="0" w:afterAutospacing="0"/>
              <w:jc w:val="center"/>
            </w:pPr>
            <w:r>
              <w:t> </w:t>
            </w:r>
          </w:p>
        </w:tc>
      </w:tr>
    </w:tbl>
    <w:p w14:paraId="2E1CD997">
      <w:pPr>
        <w:pStyle w:val="18"/>
        <w:spacing w:beforeAutospacing="0" w:afterAutospacing="0"/>
        <w:jc w:val="both"/>
        <w:rPr>
          <w:rFonts w:hint="eastAsia" w:ascii="宋体" w:hAnsi="宋体" w:eastAsia="宋体" w:cs="宋体"/>
          <w:color w:val="auto"/>
          <w:highlight w:val="none"/>
          <w:shd w:val="clear" w:color="auto" w:fill="auto"/>
        </w:rPr>
      </w:pPr>
    </w:p>
    <w:p w14:paraId="5859B0A8">
      <w:pPr>
        <w:pStyle w:val="18"/>
        <w:spacing w:beforeAutospacing="0" w:afterAutospacing="0"/>
        <w:jc w:val="both"/>
        <w:rPr>
          <w:rFonts w:hint="eastAsia" w:ascii="宋体" w:hAnsi="宋体" w:eastAsia="宋体" w:cs="宋体"/>
          <w:color w:val="auto"/>
          <w:highlight w:val="none"/>
          <w:shd w:val="clear" w:color="auto" w:fill="auto"/>
        </w:rPr>
      </w:pPr>
    </w:p>
    <w:p w14:paraId="733F18D0">
      <w:pPr>
        <w:pStyle w:val="18"/>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09CCAD40">
      <w:pPr>
        <w:pStyle w:val="18"/>
        <w:spacing w:beforeAutospacing="0" w:afterAutospacing="0"/>
        <w:jc w:val="both"/>
        <w:rPr>
          <w:rFonts w:hint="eastAsia" w:ascii="宋体" w:hAnsi="宋体" w:eastAsia="宋体" w:cs="宋体"/>
          <w:color w:val="auto"/>
          <w:highlight w:val="none"/>
          <w:shd w:val="clear" w:color="auto" w:fill="auto"/>
        </w:rPr>
      </w:pPr>
    </w:p>
    <w:p w14:paraId="0016B8EC">
      <w:pPr>
        <w:pStyle w:val="18"/>
        <w:spacing w:beforeAutospacing="0" w:afterAutospacing="0"/>
        <w:jc w:val="both"/>
        <w:rPr>
          <w:rFonts w:hint="eastAsia" w:ascii="宋体" w:hAnsi="宋体" w:eastAsia="宋体" w:cs="宋体"/>
          <w:color w:val="auto"/>
          <w:highlight w:val="none"/>
          <w:shd w:val="clear" w:color="auto" w:fill="auto"/>
        </w:rPr>
      </w:pPr>
    </w:p>
    <w:p w14:paraId="3434CE8D">
      <w:pPr>
        <w:pStyle w:val="18"/>
        <w:spacing w:beforeAutospacing="0" w:afterAutospacing="0"/>
        <w:jc w:val="both"/>
        <w:rPr>
          <w:rFonts w:hint="eastAsia" w:ascii="宋体" w:hAnsi="宋体" w:eastAsia="宋体" w:cs="宋体"/>
          <w:color w:val="auto"/>
          <w:highlight w:val="none"/>
          <w:shd w:val="clear" w:color="auto" w:fill="auto"/>
        </w:rPr>
      </w:pPr>
    </w:p>
    <w:p w14:paraId="0378953B">
      <w:pPr>
        <w:pStyle w:val="18"/>
        <w:spacing w:beforeAutospacing="0" w:afterAutospacing="0"/>
        <w:jc w:val="both"/>
        <w:rPr>
          <w:rFonts w:hint="eastAsia" w:ascii="宋体" w:hAnsi="宋体" w:eastAsia="宋体" w:cs="宋体"/>
          <w:color w:val="auto"/>
          <w:highlight w:val="none"/>
          <w:shd w:val="clear" w:color="auto" w:fill="auto"/>
        </w:rPr>
      </w:pPr>
    </w:p>
    <w:p w14:paraId="79844D29">
      <w:pPr>
        <w:pStyle w:val="18"/>
        <w:spacing w:beforeAutospacing="0" w:afterAutospacing="0"/>
        <w:jc w:val="both"/>
        <w:rPr>
          <w:rFonts w:hint="eastAsia" w:ascii="宋体" w:hAnsi="宋体" w:eastAsia="宋体" w:cs="宋体"/>
          <w:color w:val="auto"/>
          <w:highlight w:val="none"/>
          <w:shd w:val="clear" w:color="auto" w:fill="auto"/>
        </w:rPr>
      </w:pPr>
    </w:p>
    <w:p w14:paraId="1F1A226C">
      <w:pPr>
        <w:pStyle w:val="18"/>
        <w:spacing w:beforeAutospacing="0" w:afterAutospacing="0"/>
        <w:jc w:val="both"/>
        <w:rPr>
          <w:rFonts w:hint="eastAsia" w:ascii="宋体" w:hAnsi="宋体" w:eastAsia="宋体" w:cs="宋体"/>
          <w:color w:val="auto"/>
          <w:highlight w:val="none"/>
          <w:shd w:val="clear" w:color="auto" w:fill="auto"/>
        </w:rPr>
      </w:pPr>
    </w:p>
    <w:p w14:paraId="266076A5">
      <w:pPr>
        <w:pStyle w:val="18"/>
        <w:spacing w:beforeAutospacing="0" w:afterAutospacing="0"/>
        <w:jc w:val="both"/>
        <w:rPr>
          <w:rFonts w:hint="eastAsia" w:ascii="宋体" w:hAnsi="宋体" w:eastAsia="宋体" w:cs="宋体"/>
          <w:color w:val="auto"/>
          <w:highlight w:val="none"/>
          <w:shd w:val="clear" w:color="auto" w:fill="auto"/>
        </w:rPr>
      </w:pPr>
    </w:p>
    <w:p w14:paraId="337BBDC9">
      <w:pPr>
        <w:pStyle w:val="18"/>
        <w:spacing w:beforeAutospacing="0" w:afterAutospacing="0"/>
        <w:jc w:val="both"/>
        <w:rPr>
          <w:rFonts w:hint="eastAsia" w:ascii="宋体" w:hAnsi="宋体" w:eastAsia="宋体" w:cs="宋体"/>
          <w:color w:val="auto"/>
          <w:highlight w:val="none"/>
          <w:shd w:val="clear" w:color="auto" w:fill="auto"/>
        </w:rPr>
      </w:pPr>
    </w:p>
    <w:p w14:paraId="264EC8AB">
      <w:pPr>
        <w:pStyle w:val="18"/>
        <w:spacing w:beforeAutospacing="0" w:afterAutospacing="0"/>
        <w:jc w:val="both"/>
        <w:rPr>
          <w:rFonts w:hint="eastAsia" w:ascii="宋体" w:hAnsi="宋体" w:eastAsia="宋体" w:cs="宋体"/>
          <w:color w:val="auto"/>
          <w:highlight w:val="none"/>
          <w:shd w:val="clear" w:color="auto" w:fill="auto"/>
        </w:rPr>
      </w:pPr>
    </w:p>
    <w:p w14:paraId="6892D3A7">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2A1DA394">
      <w:pPr>
        <w:pStyle w:val="8"/>
        <w:spacing w:line="360" w:lineRule="auto"/>
        <w:jc w:val="left"/>
        <w:rPr>
          <w:rFonts w:hint="eastAsia" w:hAnsi="宋体" w:eastAsia="宋体"/>
          <w:b/>
          <w:bCs/>
          <w:sz w:val="32"/>
          <w:szCs w:val="32"/>
        </w:rPr>
      </w:pPr>
      <w:bookmarkStart w:id="211" w:name="_Toc12383"/>
    </w:p>
    <w:p w14:paraId="5D3C4E0F">
      <w:pPr>
        <w:pStyle w:val="8"/>
        <w:spacing w:line="360" w:lineRule="auto"/>
        <w:jc w:val="left"/>
        <w:rPr>
          <w:rFonts w:hint="eastAsia" w:hAnsi="宋体" w:eastAsia="宋体"/>
          <w:b/>
          <w:bCs/>
          <w:sz w:val="32"/>
          <w:szCs w:val="32"/>
        </w:rPr>
      </w:pPr>
    </w:p>
    <w:p w14:paraId="35B62052">
      <w:pPr>
        <w:rPr>
          <w:rFonts w:hint="eastAsia"/>
        </w:rPr>
      </w:pPr>
    </w:p>
    <w:p w14:paraId="24D0B32D">
      <w:pPr>
        <w:pStyle w:val="8"/>
        <w:spacing w:line="360" w:lineRule="auto"/>
        <w:jc w:val="left"/>
        <w:rPr>
          <w:rFonts w:hint="eastAsia" w:hAnsi="宋体" w:eastAsia="宋体"/>
          <w:b/>
          <w:bCs/>
          <w:sz w:val="32"/>
          <w:szCs w:val="32"/>
        </w:rPr>
      </w:pPr>
      <w:r>
        <w:rPr>
          <w:rFonts w:hint="eastAsia" w:hAnsi="宋体" w:eastAsia="宋体"/>
          <w:b/>
          <w:bCs/>
          <w:sz w:val="32"/>
          <w:szCs w:val="32"/>
        </w:rPr>
        <w:t>附件1、</w:t>
      </w:r>
      <w:bookmarkEnd w:id="211"/>
      <w:r>
        <w:rPr>
          <w:rFonts w:hint="eastAsia" w:hAnsi="宋体" w:eastAsia="宋体"/>
          <w:b/>
          <w:bCs/>
          <w:sz w:val="32"/>
          <w:szCs w:val="32"/>
        </w:rPr>
        <w:t xml:space="preserve">            </w:t>
      </w:r>
    </w:p>
    <w:p w14:paraId="0FC44C85">
      <w:pPr>
        <w:pStyle w:val="8"/>
        <w:spacing w:line="360" w:lineRule="auto"/>
        <w:jc w:val="center"/>
        <w:outlineLvl w:val="9"/>
        <w:rPr>
          <w:rFonts w:hAnsi="宋体" w:eastAsia="宋体"/>
          <w:b/>
          <w:bCs/>
          <w:sz w:val="32"/>
          <w:szCs w:val="32"/>
        </w:rPr>
      </w:pPr>
      <w:r>
        <w:rPr>
          <w:rFonts w:hint="eastAsia" w:hAnsi="宋体" w:eastAsia="宋体"/>
          <w:b/>
          <w:bCs/>
          <w:sz w:val="32"/>
          <w:szCs w:val="32"/>
        </w:rPr>
        <w:t>实质性响应内容</w:t>
      </w:r>
    </w:p>
    <w:p w14:paraId="66F785D4">
      <w:pPr>
        <w:pStyle w:val="31"/>
        <w:spacing w:line="360" w:lineRule="auto"/>
        <w:ind w:firstLine="562" w:firstLineChars="200"/>
        <w:outlineLvl w:val="9"/>
        <w:rPr>
          <w:rFonts w:hint="default" w:ascii="宋体" w:hAnsi="宋体" w:eastAsia="宋体" w:cs="Times New Roman"/>
          <w:b/>
          <w:bCs/>
          <w:color w:val="000000"/>
          <w:kern w:val="2"/>
          <w:sz w:val="28"/>
          <w:szCs w:val="28"/>
          <w:lang w:val="en-US" w:eastAsia="zh-CN" w:bidi="ar-SA"/>
        </w:rPr>
      </w:pPr>
      <w:bookmarkStart w:id="212" w:name="_Toc10782"/>
      <w:r>
        <w:rPr>
          <w:rFonts w:hint="eastAsia" w:ascii="宋体" w:hAnsi="宋体" w:eastAsia="宋体" w:cs="Times New Roman"/>
          <w:b/>
          <w:bCs/>
          <w:color w:val="000000"/>
          <w:kern w:val="2"/>
          <w:sz w:val="28"/>
          <w:szCs w:val="28"/>
          <w:lang w:val="en-US" w:eastAsia="zh-CN" w:bidi="ar-SA"/>
        </w:rPr>
        <w:t>一、</w:t>
      </w:r>
      <w:bookmarkEnd w:id="212"/>
      <w:r>
        <w:rPr>
          <w:rFonts w:hint="eastAsia" w:ascii="宋体" w:hAnsi="宋体" w:eastAsia="宋体" w:cs="Times New Roman"/>
          <w:b/>
          <w:bCs/>
          <w:color w:val="000000"/>
          <w:kern w:val="2"/>
          <w:sz w:val="28"/>
          <w:szCs w:val="28"/>
          <w:lang w:val="en-US" w:eastAsia="zh-CN" w:bidi="ar-SA"/>
        </w:rPr>
        <w:t>项目概况</w:t>
      </w:r>
    </w:p>
    <w:p w14:paraId="0A2594A0">
      <w:pPr>
        <w:pStyle w:val="31"/>
        <w:spacing w:line="360" w:lineRule="auto"/>
        <w:ind w:firstLine="562" w:firstLineChars="200"/>
        <w:outlineLvl w:val="9"/>
        <w:rPr>
          <w:rFonts w:hint="eastAsia" w:ascii="宋体" w:hAnsi="宋体" w:eastAsia="宋体" w:cs="Times New Roman"/>
          <w:b/>
          <w:bCs/>
          <w:color w:val="000000"/>
          <w:kern w:val="2"/>
          <w:sz w:val="28"/>
          <w:szCs w:val="28"/>
          <w:lang w:val="en-US" w:eastAsia="zh-CN" w:bidi="ar-SA"/>
        </w:rPr>
      </w:pPr>
      <w:bookmarkStart w:id="213" w:name="_Toc14830"/>
      <w:r>
        <w:rPr>
          <w:rFonts w:hint="eastAsia" w:ascii="宋体" w:hAnsi="宋体" w:eastAsia="宋体" w:cs="Times New Roman"/>
          <w:b/>
          <w:bCs/>
          <w:color w:val="000000"/>
          <w:kern w:val="2"/>
          <w:sz w:val="28"/>
          <w:szCs w:val="28"/>
          <w:lang w:val="en-US" w:eastAsia="zh-CN" w:bidi="ar-SA"/>
        </w:rPr>
        <w:t>二、技术资料与服务</w:t>
      </w:r>
      <w:bookmarkEnd w:id="213"/>
    </w:p>
    <w:p w14:paraId="717C59CA">
      <w:pPr>
        <w:pStyle w:val="31"/>
        <w:spacing w:line="360" w:lineRule="auto"/>
        <w:ind w:firstLine="562" w:firstLineChars="200"/>
        <w:outlineLvl w:val="9"/>
        <w:rPr>
          <w:rFonts w:hint="eastAsia" w:ascii="宋体" w:hAnsi="宋体" w:eastAsia="宋体" w:cs="Times New Roman"/>
          <w:b/>
          <w:bCs/>
          <w:color w:val="000000"/>
          <w:kern w:val="2"/>
          <w:sz w:val="28"/>
          <w:szCs w:val="28"/>
          <w:lang w:val="en-US" w:eastAsia="zh-CN" w:bidi="ar-SA"/>
        </w:rPr>
      </w:pPr>
      <w:bookmarkStart w:id="214" w:name="_Toc4550"/>
      <w:r>
        <w:rPr>
          <w:rFonts w:hint="eastAsia" w:ascii="宋体" w:hAnsi="宋体" w:eastAsia="宋体" w:cs="Times New Roman"/>
          <w:b/>
          <w:bCs/>
          <w:color w:val="000000"/>
          <w:kern w:val="2"/>
          <w:sz w:val="28"/>
          <w:szCs w:val="28"/>
          <w:lang w:val="en-US" w:eastAsia="zh-CN" w:bidi="ar-SA"/>
        </w:rPr>
        <w:t>三、交货要求</w:t>
      </w:r>
      <w:bookmarkEnd w:id="214"/>
    </w:p>
    <w:p w14:paraId="148A56B5">
      <w:pPr>
        <w:pStyle w:val="31"/>
        <w:spacing w:line="360" w:lineRule="auto"/>
        <w:ind w:firstLine="562" w:firstLineChars="200"/>
        <w:outlineLvl w:val="9"/>
        <w:rPr>
          <w:rFonts w:hint="eastAsia" w:ascii="宋体" w:hAnsi="宋体" w:eastAsia="宋体" w:cs="Times New Roman"/>
          <w:b/>
          <w:bCs/>
          <w:color w:val="000000"/>
          <w:kern w:val="2"/>
          <w:sz w:val="28"/>
          <w:szCs w:val="28"/>
          <w:lang w:val="en-US" w:eastAsia="zh-CN" w:bidi="ar-SA"/>
        </w:rPr>
      </w:pPr>
      <w:bookmarkStart w:id="215" w:name="_Toc14610"/>
      <w:r>
        <w:rPr>
          <w:rFonts w:hint="eastAsia" w:ascii="宋体" w:hAnsi="宋体" w:eastAsia="宋体" w:cs="Times New Roman"/>
          <w:b/>
          <w:bCs/>
          <w:color w:val="000000"/>
          <w:kern w:val="2"/>
          <w:sz w:val="28"/>
          <w:szCs w:val="28"/>
          <w:lang w:val="en-US" w:eastAsia="zh-CN" w:bidi="ar-SA"/>
        </w:rPr>
        <w:t>七、验收要求</w:t>
      </w:r>
      <w:bookmarkEnd w:id="215"/>
    </w:p>
    <w:p w14:paraId="76724C61">
      <w:pPr>
        <w:pStyle w:val="31"/>
        <w:spacing w:line="360" w:lineRule="auto"/>
        <w:ind w:firstLine="562" w:firstLineChars="200"/>
        <w:outlineLvl w:val="9"/>
        <w:rPr>
          <w:rFonts w:hint="eastAsia" w:ascii="宋体" w:hAnsi="宋体" w:eastAsia="宋体" w:cs="Times New Roman"/>
          <w:b/>
          <w:bCs/>
          <w:color w:val="000000"/>
          <w:kern w:val="2"/>
          <w:sz w:val="28"/>
          <w:szCs w:val="28"/>
          <w:lang w:val="en-US" w:eastAsia="zh-CN" w:bidi="ar-SA"/>
        </w:rPr>
      </w:pPr>
      <w:bookmarkStart w:id="216" w:name="_Toc10402"/>
      <w:r>
        <w:rPr>
          <w:rFonts w:hint="eastAsia" w:ascii="宋体" w:hAnsi="宋体" w:eastAsia="宋体" w:cs="Times New Roman"/>
          <w:b/>
          <w:bCs/>
          <w:color w:val="000000"/>
          <w:kern w:val="2"/>
          <w:sz w:val="28"/>
          <w:szCs w:val="28"/>
          <w:lang w:val="en-US" w:eastAsia="zh-CN" w:bidi="ar-SA"/>
        </w:rPr>
        <w:t>八、安全管理要求</w:t>
      </w:r>
      <w:bookmarkEnd w:id="216"/>
    </w:p>
    <w:p w14:paraId="4B6D8144">
      <w:pPr>
        <w:pStyle w:val="31"/>
        <w:spacing w:line="360" w:lineRule="auto"/>
        <w:ind w:firstLine="562" w:firstLineChars="200"/>
        <w:outlineLvl w:val="9"/>
        <w:rPr>
          <w:rFonts w:hint="eastAsia" w:hAnsi="宋体" w:cs="Times New Roman"/>
          <w:sz w:val="28"/>
          <w:szCs w:val="28"/>
        </w:rPr>
      </w:pPr>
      <w:bookmarkStart w:id="217" w:name="_Toc5061"/>
      <w:r>
        <w:rPr>
          <w:rFonts w:hint="eastAsia" w:ascii="宋体" w:hAnsi="宋体" w:eastAsia="宋体" w:cs="Times New Roman"/>
          <w:b/>
          <w:bCs/>
          <w:color w:val="000000"/>
          <w:kern w:val="2"/>
          <w:sz w:val="28"/>
          <w:szCs w:val="28"/>
          <w:lang w:val="en-US" w:eastAsia="zh-CN" w:bidi="ar-SA"/>
        </w:rPr>
        <w:t>九、特别说明</w:t>
      </w:r>
      <w:bookmarkEnd w:id="217"/>
    </w:p>
    <w:p w14:paraId="34527ED5">
      <w:pPr>
        <w:pStyle w:val="31"/>
        <w:ind w:firstLine="560"/>
        <w:rPr>
          <w:rFonts w:hAnsi="宋体" w:cs="Times New Roman"/>
          <w:sz w:val="28"/>
          <w:szCs w:val="28"/>
        </w:rPr>
      </w:pPr>
      <w:r>
        <w:rPr>
          <w:rFonts w:hint="eastAsia" w:hAnsi="宋体" w:cs="Times New Roman"/>
          <w:sz w:val="28"/>
          <w:szCs w:val="28"/>
        </w:rPr>
        <w:t>我公司承诺响应上述采购需求中的全部内容。</w:t>
      </w:r>
    </w:p>
    <w:p w14:paraId="52BBA9E0">
      <w:pPr>
        <w:autoSpaceDE w:val="0"/>
        <w:autoSpaceDN w:val="0"/>
        <w:spacing w:line="560" w:lineRule="exact"/>
        <w:ind w:firstLine="3780" w:firstLineChars="1350"/>
        <w:rPr>
          <w:rFonts w:hint="eastAsia" w:hAnsi="宋体" w:cs="Times New Roman" w:asciiTheme="minorHAnsi" w:eastAsiaTheme="minorEastAsia"/>
          <w:kern w:val="2"/>
          <w:sz w:val="28"/>
          <w:szCs w:val="28"/>
          <w:lang w:val="en-US" w:eastAsia="zh-CN" w:bidi="ar-SA"/>
        </w:rPr>
      </w:pPr>
    </w:p>
    <w:p w14:paraId="5D1F170C">
      <w:pPr>
        <w:autoSpaceDE w:val="0"/>
        <w:autoSpaceDN w:val="0"/>
        <w:spacing w:line="560" w:lineRule="exact"/>
        <w:ind w:firstLine="4620" w:firstLineChars="1650"/>
        <w:rPr>
          <w:rFonts w:hint="eastAsia" w:hAnsi="宋体" w:cs="Times New Roman" w:asciiTheme="minorHAnsi" w:eastAsiaTheme="minorEastAsia"/>
          <w:kern w:val="2"/>
          <w:sz w:val="28"/>
          <w:szCs w:val="28"/>
          <w:lang w:val="en-US" w:eastAsia="zh-CN" w:bidi="ar-SA"/>
        </w:rPr>
      </w:pPr>
      <w:r>
        <w:rPr>
          <w:rFonts w:hint="eastAsia" w:hAnsi="宋体" w:cs="Times New Roman"/>
          <w:kern w:val="2"/>
          <w:sz w:val="28"/>
          <w:szCs w:val="28"/>
          <w:lang w:val="en-US" w:eastAsia="zh-CN" w:bidi="ar-SA"/>
        </w:rPr>
        <w:t>供应商</w:t>
      </w:r>
      <w:r>
        <w:rPr>
          <w:rFonts w:hint="eastAsia" w:hAnsi="宋体" w:cs="Times New Roman" w:asciiTheme="minorHAnsi" w:eastAsiaTheme="minorEastAsia"/>
          <w:kern w:val="2"/>
          <w:sz w:val="28"/>
          <w:szCs w:val="28"/>
          <w:lang w:val="en-US" w:eastAsia="zh-CN" w:bidi="ar-SA"/>
        </w:rPr>
        <w:t>（加盖CA电子签章）：</w:t>
      </w:r>
    </w:p>
    <w:p w14:paraId="7AA25ABC">
      <w:pPr>
        <w:pStyle w:val="14"/>
        <w:spacing w:line="560" w:lineRule="exact"/>
        <w:ind w:left="0" w:right="0" w:firstLine="4340" w:firstLineChars="1550"/>
        <w:rPr>
          <w:rFonts w:hint="eastAsia" w:hAnsi="宋体" w:cs="Times New Roman" w:asciiTheme="minorHAnsi" w:eastAsiaTheme="minorEastAsia"/>
          <w:kern w:val="2"/>
          <w:sz w:val="28"/>
          <w:szCs w:val="28"/>
          <w:lang w:val="en-US" w:eastAsia="zh-CN" w:bidi="ar-SA"/>
        </w:rPr>
      </w:pPr>
      <w:r>
        <w:rPr>
          <w:rFonts w:hint="eastAsia" w:hAnsi="宋体" w:cs="Times New Roman" w:asciiTheme="minorHAnsi" w:eastAsiaTheme="minorEastAsia"/>
          <w:kern w:val="2"/>
          <w:sz w:val="28"/>
          <w:szCs w:val="28"/>
          <w:lang w:val="en-US" w:eastAsia="zh-CN" w:bidi="ar-SA"/>
        </w:rPr>
        <w:t>日期：      年     月     日</w:t>
      </w:r>
    </w:p>
    <w:p w14:paraId="1AD7F058">
      <w:pPr>
        <w:pStyle w:val="14"/>
        <w:spacing w:line="560" w:lineRule="exact"/>
        <w:ind w:right="0"/>
        <w:rPr>
          <w:rFonts w:hint="eastAsia" w:hAnsi="宋体" w:eastAsia="宋体"/>
          <w:b/>
          <w:bCs/>
          <w:sz w:val="32"/>
          <w:szCs w:val="32"/>
        </w:rPr>
      </w:pPr>
    </w:p>
    <w:p w14:paraId="35486C2A">
      <w:pPr>
        <w:pStyle w:val="14"/>
        <w:spacing w:line="560" w:lineRule="exact"/>
        <w:ind w:right="0"/>
        <w:rPr>
          <w:rFonts w:hint="eastAsia" w:hAnsi="宋体" w:eastAsia="宋体"/>
          <w:b/>
          <w:bCs/>
          <w:sz w:val="32"/>
          <w:szCs w:val="32"/>
        </w:rPr>
      </w:pPr>
    </w:p>
    <w:p w14:paraId="741A96C6">
      <w:pPr>
        <w:pStyle w:val="14"/>
        <w:spacing w:line="560" w:lineRule="exact"/>
        <w:ind w:right="0"/>
        <w:rPr>
          <w:rFonts w:hint="eastAsia" w:hAnsi="宋体" w:eastAsia="宋体"/>
          <w:b/>
          <w:bCs/>
          <w:sz w:val="32"/>
          <w:szCs w:val="32"/>
        </w:rPr>
      </w:pPr>
    </w:p>
    <w:p w14:paraId="0572661F">
      <w:pPr>
        <w:pStyle w:val="14"/>
        <w:spacing w:line="560" w:lineRule="exact"/>
        <w:ind w:right="0"/>
        <w:rPr>
          <w:rFonts w:hint="eastAsia" w:hAnsi="宋体" w:eastAsia="宋体"/>
          <w:b/>
          <w:bCs/>
          <w:sz w:val="32"/>
          <w:szCs w:val="32"/>
        </w:rPr>
      </w:pPr>
    </w:p>
    <w:p w14:paraId="3233F0E4">
      <w:pPr>
        <w:pStyle w:val="14"/>
        <w:spacing w:line="560" w:lineRule="exact"/>
        <w:ind w:left="0" w:leftChars="0" w:right="0" w:firstLine="0" w:firstLineChars="0"/>
        <w:rPr>
          <w:rFonts w:hint="eastAsia" w:hAnsi="宋体" w:eastAsia="宋体"/>
          <w:b/>
          <w:bCs/>
          <w:sz w:val="32"/>
          <w:szCs w:val="32"/>
        </w:rPr>
      </w:pPr>
    </w:p>
    <w:p w14:paraId="3FAC7946">
      <w:pPr>
        <w:pStyle w:val="14"/>
        <w:spacing w:line="560" w:lineRule="exact"/>
        <w:ind w:left="0" w:leftChars="0" w:right="0" w:firstLine="0" w:firstLineChars="0"/>
        <w:rPr>
          <w:rFonts w:hint="eastAsia" w:hAnsi="宋体" w:eastAsia="宋体"/>
          <w:b/>
          <w:bCs/>
          <w:sz w:val="32"/>
          <w:szCs w:val="32"/>
        </w:rPr>
      </w:pPr>
    </w:p>
    <w:p w14:paraId="69B55628">
      <w:pPr>
        <w:pStyle w:val="14"/>
        <w:spacing w:line="560" w:lineRule="exact"/>
        <w:ind w:left="0" w:leftChars="0" w:right="0" w:firstLine="0" w:firstLineChars="0"/>
        <w:rPr>
          <w:rFonts w:hint="eastAsia" w:hAnsi="宋体" w:eastAsia="宋体"/>
          <w:b/>
          <w:bCs/>
          <w:sz w:val="32"/>
          <w:szCs w:val="32"/>
        </w:rPr>
      </w:pPr>
    </w:p>
    <w:p w14:paraId="247AAA50">
      <w:pPr>
        <w:pStyle w:val="14"/>
        <w:spacing w:line="560" w:lineRule="exact"/>
        <w:ind w:left="0" w:leftChars="0" w:right="0" w:firstLine="0" w:firstLineChars="0"/>
        <w:rPr>
          <w:rFonts w:hint="eastAsia" w:hAnsi="宋体" w:eastAsia="宋体"/>
          <w:b/>
          <w:bCs/>
          <w:sz w:val="32"/>
          <w:szCs w:val="32"/>
        </w:rPr>
      </w:pPr>
    </w:p>
    <w:p w14:paraId="757C7C8D">
      <w:pPr>
        <w:pStyle w:val="14"/>
        <w:spacing w:line="560" w:lineRule="exact"/>
        <w:ind w:left="0" w:leftChars="0" w:right="0" w:rightChars="0" w:firstLine="0" w:firstLineChars="0"/>
        <w:outlineLvl w:val="0"/>
        <w:rPr>
          <w:rFonts w:hint="eastAsia" w:hAnsi="宋体"/>
          <w:bCs/>
          <w:sz w:val="28"/>
        </w:rPr>
      </w:pPr>
      <w:bookmarkStart w:id="218" w:name="_Toc9816"/>
      <w:r>
        <w:rPr>
          <w:rFonts w:hint="eastAsia" w:hAnsi="宋体" w:eastAsia="宋体"/>
          <w:b/>
          <w:bCs/>
          <w:sz w:val="32"/>
          <w:szCs w:val="32"/>
        </w:rPr>
        <w:t>附件</w:t>
      </w:r>
      <w:r>
        <w:rPr>
          <w:rFonts w:hint="eastAsia" w:hAnsi="宋体" w:eastAsia="宋体"/>
          <w:b/>
          <w:bCs/>
          <w:sz w:val="32"/>
          <w:szCs w:val="32"/>
          <w:lang w:val="en-US" w:eastAsia="zh-CN"/>
        </w:rPr>
        <w:t>2</w:t>
      </w:r>
      <w:r>
        <w:rPr>
          <w:rFonts w:hint="eastAsia" w:hAnsi="宋体" w:eastAsia="宋体"/>
          <w:b/>
          <w:bCs/>
          <w:sz w:val="32"/>
          <w:szCs w:val="32"/>
        </w:rPr>
        <w:t>、</w:t>
      </w:r>
      <w:bookmarkEnd w:id="218"/>
    </w:p>
    <w:p w14:paraId="77CC6FED">
      <w:pPr>
        <w:snapToGrid w:val="0"/>
        <w:spacing w:line="360" w:lineRule="auto"/>
        <w:ind w:firstLine="482" w:firstLineChars="200"/>
        <w:rPr>
          <w:rFonts w:hint="eastAsia" w:ascii="宋体" w:hAnsi="宋体" w:eastAsia="宋体" w:cs="宋体"/>
          <w:b/>
          <w:bCs/>
          <w:color w:val="000000"/>
          <w:kern w:val="0"/>
          <w:sz w:val="24"/>
          <w:szCs w:val="24"/>
          <w:highlight w:val="yellow"/>
          <w:lang w:val="en-US" w:eastAsia="zh-CN" w:bidi="ar-SA"/>
        </w:rPr>
      </w:pPr>
    </w:p>
    <w:p w14:paraId="1A617C76">
      <w:pPr>
        <w:snapToGrid w:val="0"/>
        <w:spacing w:line="360" w:lineRule="auto"/>
        <w:jc w:val="center"/>
        <w:rPr>
          <w:rFonts w:hint="eastAsia" w:ascii="宋体" w:hAnsi="宋体" w:eastAsia="宋体" w:cs="宋体"/>
          <w:b/>
          <w:bCs/>
          <w:color w:val="000000"/>
          <w:kern w:val="0"/>
          <w:sz w:val="32"/>
          <w:szCs w:val="32"/>
          <w:highlight w:val="none"/>
          <w:lang w:val="en-US" w:eastAsia="zh-CN" w:bidi="ar-SA"/>
        </w:rPr>
      </w:pPr>
      <w:r>
        <w:rPr>
          <w:rFonts w:hint="eastAsia" w:ascii="宋体" w:hAnsi="宋体" w:eastAsia="宋体" w:cs="宋体"/>
          <w:b/>
          <w:bCs/>
          <w:color w:val="000000"/>
          <w:kern w:val="0"/>
          <w:sz w:val="32"/>
          <w:szCs w:val="32"/>
          <w:highlight w:val="none"/>
          <w:lang w:val="en-US" w:eastAsia="zh-CN" w:bidi="ar-SA"/>
        </w:rPr>
        <w:t>承诺函</w:t>
      </w:r>
    </w:p>
    <w:p w14:paraId="23714008">
      <w:pPr>
        <w:snapToGrid w:val="0"/>
        <w:spacing w:line="360" w:lineRule="auto"/>
        <w:ind w:firstLine="560" w:firstLineChars="200"/>
        <w:rPr>
          <w:rFonts w:hint="eastAsia" w:hAnsi="宋体" w:cs="Times New Roman" w:asciiTheme="minorHAnsi" w:eastAsiaTheme="minorEastAsia"/>
          <w:kern w:val="2"/>
          <w:sz w:val="28"/>
          <w:szCs w:val="28"/>
          <w:lang w:val="en-US" w:eastAsia="zh-CN" w:bidi="ar-SA"/>
        </w:rPr>
      </w:pPr>
      <w:r>
        <w:rPr>
          <w:rFonts w:hint="eastAsia" w:hAnsi="宋体" w:cs="Times New Roman" w:asciiTheme="minorHAnsi" w:eastAsiaTheme="minorEastAsia"/>
          <w:kern w:val="2"/>
          <w:sz w:val="28"/>
          <w:szCs w:val="28"/>
          <w:lang w:val="en-US" w:eastAsia="zh-CN" w:bidi="ar-SA"/>
        </w:rPr>
        <w:t>我公司保证现货货源充足，</w:t>
      </w:r>
      <w:r>
        <w:rPr>
          <w:rFonts w:hint="eastAsia" w:hAnsi="宋体" w:cs="Times New Roman"/>
          <w:kern w:val="2"/>
          <w:sz w:val="28"/>
          <w:szCs w:val="28"/>
          <w:lang w:val="en-US" w:eastAsia="zh-CN" w:bidi="ar-SA"/>
        </w:rPr>
        <w:t>成交</w:t>
      </w:r>
      <w:r>
        <w:rPr>
          <w:rFonts w:hint="eastAsia" w:hAnsi="宋体" w:cs="Times New Roman" w:asciiTheme="minorHAnsi" w:eastAsiaTheme="minorEastAsia"/>
          <w:kern w:val="2"/>
          <w:sz w:val="28"/>
          <w:szCs w:val="28"/>
          <w:lang w:val="en-US" w:eastAsia="zh-CN" w:bidi="ar-SA"/>
        </w:rPr>
        <w:t>后按照采购人的通知及时签订合同和供货，未按采购人通知要求执行的，我公司自动放弃该项目</w:t>
      </w:r>
      <w:r>
        <w:rPr>
          <w:rFonts w:hint="eastAsia" w:hAnsi="宋体" w:cs="Times New Roman"/>
          <w:kern w:val="2"/>
          <w:sz w:val="28"/>
          <w:szCs w:val="28"/>
          <w:lang w:val="en-US" w:eastAsia="zh-CN" w:bidi="ar-SA"/>
        </w:rPr>
        <w:t>成交</w:t>
      </w:r>
      <w:r>
        <w:rPr>
          <w:rFonts w:hint="eastAsia" w:hAnsi="宋体" w:cs="Times New Roman" w:asciiTheme="minorHAnsi" w:eastAsiaTheme="minorEastAsia"/>
          <w:kern w:val="2"/>
          <w:sz w:val="28"/>
          <w:szCs w:val="28"/>
          <w:lang w:val="en-US" w:eastAsia="zh-CN" w:bidi="ar-SA"/>
        </w:rPr>
        <w:t>资格。</w:t>
      </w:r>
    </w:p>
    <w:p w14:paraId="4FD9A956">
      <w:pPr>
        <w:autoSpaceDE w:val="0"/>
        <w:autoSpaceDN w:val="0"/>
        <w:spacing w:line="560" w:lineRule="exact"/>
        <w:ind w:firstLine="4620" w:firstLineChars="1650"/>
        <w:rPr>
          <w:rFonts w:hint="eastAsia" w:hAnsi="宋体" w:cs="Times New Roman" w:asciiTheme="minorHAnsi" w:eastAsiaTheme="minorEastAsia"/>
          <w:kern w:val="2"/>
          <w:sz w:val="28"/>
          <w:szCs w:val="28"/>
          <w:lang w:val="en-US" w:eastAsia="zh-CN" w:bidi="ar-SA"/>
        </w:rPr>
      </w:pPr>
    </w:p>
    <w:p w14:paraId="08372CC4">
      <w:pPr>
        <w:autoSpaceDE w:val="0"/>
        <w:autoSpaceDN w:val="0"/>
        <w:spacing w:line="560" w:lineRule="exact"/>
        <w:ind w:firstLine="4620" w:firstLineChars="1650"/>
        <w:rPr>
          <w:rFonts w:hint="eastAsia" w:hAnsi="宋体" w:cs="Times New Roman" w:asciiTheme="minorHAnsi" w:eastAsiaTheme="minorEastAsia"/>
          <w:kern w:val="2"/>
          <w:sz w:val="28"/>
          <w:szCs w:val="28"/>
          <w:lang w:val="en-US" w:eastAsia="zh-CN" w:bidi="ar-SA"/>
        </w:rPr>
      </w:pPr>
      <w:r>
        <w:rPr>
          <w:rFonts w:hint="eastAsia" w:hAnsi="宋体" w:cs="Times New Roman"/>
          <w:kern w:val="2"/>
          <w:sz w:val="28"/>
          <w:szCs w:val="28"/>
          <w:lang w:val="en-US" w:eastAsia="zh-CN" w:bidi="ar-SA"/>
        </w:rPr>
        <w:t>供应商</w:t>
      </w:r>
      <w:r>
        <w:rPr>
          <w:rFonts w:hint="eastAsia" w:hAnsi="宋体" w:cs="Times New Roman" w:asciiTheme="minorHAnsi" w:eastAsiaTheme="minorEastAsia"/>
          <w:kern w:val="2"/>
          <w:sz w:val="28"/>
          <w:szCs w:val="28"/>
          <w:lang w:val="en-US" w:eastAsia="zh-CN" w:bidi="ar-SA"/>
        </w:rPr>
        <w:t>（加盖CA电子签章）：</w:t>
      </w:r>
    </w:p>
    <w:p w14:paraId="0435D632">
      <w:pPr>
        <w:pStyle w:val="14"/>
        <w:spacing w:line="560" w:lineRule="exact"/>
        <w:ind w:left="0" w:right="0" w:firstLine="4620" w:firstLineChars="1650"/>
        <w:rPr>
          <w:rFonts w:hint="eastAsia" w:hAnsi="宋体" w:cs="Times New Roman" w:asciiTheme="minorHAnsi" w:eastAsiaTheme="minorEastAsia"/>
          <w:kern w:val="2"/>
          <w:sz w:val="28"/>
          <w:szCs w:val="28"/>
          <w:lang w:val="en-US" w:eastAsia="zh-CN" w:bidi="ar-SA"/>
        </w:rPr>
      </w:pPr>
      <w:r>
        <w:rPr>
          <w:rFonts w:hint="eastAsia" w:hAnsi="宋体" w:cs="Times New Roman" w:asciiTheme="minorHAnsi" w:eastAsiaTheme="minorEastAsia"/>
          <w:kern w:val="2"/>
          <w:sz w:val="28"/>
          <w:szCs w:val="28"/>
          <w:lang w:val="en-US" w:eastAsia="zh-CN" w:bidi="ar-SA"/>
        </w:rPr>
        <w:t>日期：      年     月     日</w:t>
      </w:r>
    </w:p>
    <w:p w14:paraId="6EA6F796">
      <w:pPr>
        <w:ind w:firstLine="643" w:firstLineChars="200"/>
        <w:rPr>
          <w:rFonts w:ascii="黑体" w:hAnsi="黑体" w:eastAsia="黑体"/>
          <w:b/>
          <w:i/>
          <w:color w:val="000000"/>
          <w:sz w:val="32"/>
          <w:szCs w:val="32"/>
          <w:u w:val="single"/>
        </w:rPr>
      </w:pPr>
    </w:p>
    <w:p w14:paraId="1AEBDF3E">
      <w:pPr>
        <w:rPr>
          <w:color w:val="auto"/>
          <w:highlight w:val="none"/>
          <w:shd w:val="clear" w:color="auto" w:fill="auto"/>
        </w:rPr>
      </w:pPr>
      <w:r>
        <w:rPr>
          <w:color w:val="auto"/>
          <w:highlight w:val="none"/>
          <w:shd w:val="clear" w:color="auto" w:fill="auto"/>
        </w:rPr>
        <w:br w:type="page"/>
      </w:r>
    </w:p>
    <w:p w14:paraId="245CC8CA">
      <w:pPr>
        <w:pStyle w:val="18"/>
        <w:spacing w:beforeAutospacing="0" w:afterAutospacing="0"/>
        <w:jc w:val="center"/>
        <w:rPr>
          <w:highlight w:val="none"/>
          <w:shd w:val="clear" w:color="auto" w:fill="auto"/>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六</w:t>
      </w:r>
      <w:r>
        <w:rPr>
          <w:rFonts w:hint="eastAsia" w:ascii="黑体" w:hAnsi="宋体" w:eastAsia="黑体" w:cs="黑体"/>
          <w:b/>
          <w:i/>
          <w:color w:val="000000"/>
          <w:sz w:val="32"/>
          <w:szCs w:val="32"/>
          <w:highlight w:val="none"/>
          <w:u w:val="single"/>
        </w:rPr>
        <w:t>、</w:t>
      </w:r>
      <w:r>
        <w:rPr>
          <w:rFonts w:hint="eastAsia" w:ascii="黑体" w:hAnsi="宋体" w:eastAsia="黑体" w:cs="黑体"/>
          <w:b/>
          <w:i/>
          <w:color w:val="000000"/>
          <w:sz w:val="32"/>
          <w:szCs w:val="32"/>
          <w:highlight w:val="none"/>
          <w:u w:val="single"/>
          <w:lang w:val="en-US" w:eastAsia="zh-CN"/>
        </w:rPr>
        <w:t>谈判报价</w:t>
      </w:r>
      <w:r>
        <w:rPr>
          <w:rFonts w:hint="eastAsia" w:ascii="黑体" w:hAnsi="宋体" w:eastAsia="黑体" w:cs="黑体"/>
          <w:b/>
          <w:i/>
          <w:color w:val="000000"/>
          <w:sz w:val="32"/>
          <w:szCs w:val="32"/>
          <w:highlight w:val="none"/>
          <w:u w:val="single"/>
        </w:rPr>
        <w:t>表（一轮报价表）</w:t>
      </w:r>
    </w:p>
    <w:p w14:paraId="4F2F5816">
      <w:pPr>
        <w:pStyle w:val="18"/>
        <w:spacing w:beforeAutospacing="0" w:afterAutospacing="0"/>
        <w:ind w:firstLine="480"/>
        <w:jc w:val="both"/>
        <w:rPr>
          <w:highlight w:val="none"/>
          <w:shd w:val="clear" w:color="auto" w:fill="auto"/>
        </w:rPr>
      </w:pPr>
      <w:r>
        <w:rPr>
          <w:rFonts w:hint="eastAsia" w:ascii="宋体" w:hAnsi="宋体" w:eastAsia="宋体" w:cs="宋体"/>
          <w:color w:val="000000"/>
          <w:highlight w:val="none"/>
          <w:shd w:val="clear" w:color="auto" w:fill="auto"/>
          <w:lang w:val="en-US" w:eastAsia="zh-CN"/>
        </w:rPr>
        <w:t>供应商</w:t>
      </w:r>
      <w:r>
        <w:rPr>
          <w:rFonts w:hint="eastAsia" w:ascii="宋体" w:hAnsi="宋体" w:eastAsia="宋体" w:cs="宋体"/>
          <w:color w:val="000000"/>
          <w:highlight w:val="none"/>
          <w:shd w:val="clear" w:color="auto" w:fill="auto"/>
        </w:rPr>
        <w:t>全称（加盖CA电子签章）：</w:t>
      </w:r>
    </w:p>
    <w:p w14:paraId="23F218D5">
      <w:pPr>
        <w:pStyle w:val="18"/>
        <w:spacing w:beforeAutospacing="0" w:afterAutospacing="0"/>
        <w:ind w:firstLine="480"/>
        <w:jc w:val="both"/>
        <w:rPr>
          <w:highlight w:val="none"/>
        </w:rPr>
      </w:pPr>
      <w:r>
        <w:rPr>
          <w:rFonts w:hint="eastAsia" w:ascii="宋体" w:hAnsi="宋体" w:eastAsia="宋体" w:cs="宋体"/>
          <w:color w:val="000000"/>
          <w:highlight w:val="none"/>
        </w:rPr>
        <w:t>项目名称：</w:t>
      </w:r>
    </w:p>
    <w:p w14:paraId="065638EC">
      <w:pPr>
        <w:pStyle w:val="18"/>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tbl>
      <w:tblPr>
        <w:tblStyle w:val="20"/>
        <w:tblW w:w="9636" w:type="dxa"/>
        <w:tblCellSpacing w:w="0" w:type="dxa"/>
        <w:tblInd w:w="118" w:type="dxa"/>
        <w:tblLayout w:type="fixed"/>
        <w:tblCellMar>
          <w:top w:w="0" w:type="dxa"/>
          <w:left w:w="108" w:type="dxa"/>
          <w:bottom w:w="0" w:type="dxa"/>
          <w:right w:w="108" w:type="dxa"/>
        </w:tblCellMar>
      </w:tblPr>
      <w:tblGrid>
        <w:gridCol w:w="2349"/>
        <w:gridCol w:w="7287"/>
      </w:tblGrid>
      <w:tr w14:paraId="55951D33">
        <w:tblPrEx>
          <w:tblCellMar>
            <w:top w:w="0" w:type="dxa"/>
            <w:left w:w="108" w:type="dxa"/>
            <w:bottom w:w="0" w:type="dxa"/>
            <w:right w:w="108" w:type="dxa"/>
          </w:tblCellMar>
        </w:tblPrEx>
        <w:trPr>
          <w:trHeight w:val="725" w:hRule="atLeast"/>
          <w:tblCellSpacing w:w="0" w:type="dxa"/>
        </w:trPr>
        <w:tc>
          <w:tcPr>
            <w:tcW w:w="96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E95E26">
            <w:pPr>
              <w:pStyle w:val="18"/>
              <w:spacing w:beforeAutospacing="0" w:afterAutospacing="0"/>
              <w:jc w:val="center"/>
              <w:rPr>
                <w:highlight w:val="none"/>
              </w:rPr>
            </w:pPr>
            <w:r>
              <w:rPr>
                <w:rFonts w:hint="eastAsia" w:ascii="宋体" w:hAnsi="宋体" w:eastAsia="宋体" w:cs="宋体"/>
                <w:color w:val="000000"/>
                <w:highlight w:val="none"/>
              </w:rPr>
              <w:t>投标</w:t>
            </w:r>
            <w:r>
              <w:rPr>
                <w:rFonts w:hint="eastAsia" w:ascii="宋体" w:hAnsi="宋体" w:eastAsia="宋体" w:cs="宋体"/>
                <w:color w:val="000000"/>
                <w:highlight w:val="none"/>
                <w:lang w:val="en-US" w:eastAsia="zh-CN"/>
              </w:rPr>
              <w:t>单</w:t>
            </w:r>
            <w:r>
              <w:rPr>
                <w:rFonts w:hint="eastAsia" w:ascii="宋体" w:hAnsi="宋体" w:eastAsia="宋体" w:cs="宋体"/>
                <w:color w:val="000000"/>
                <w:highlight w:val="none"/>
              </w:rPr>
              <w:t>价</w:t>
            </w:r>
          </w:p>
        </w:tc>
      </w:tr>
      <w:tr w14:paraId="3958C0D9">
        <w:tblPrEx>
          <w:tblCellMar>
            <w:top w:w="0" w:type="dxa"/>
            <w:left w:w="108" w:type="dxa"/>
            <w:bottom w:w="0" w:type="dxa"/>
            <w:right w:w="108" w:type="dxa"/>
          </w:tblCellMar>
        </w:tblPrEx>
        <w:trPr>
          <w:trHeight w:val="612" w:hRule="atLeast"/>
          <w:tblCellSpacing w:w="0" w:type="dxa"/>
        </w:trPr>
        <w:tc>
          <w:tcPr>
            <w:tcW w:w="96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936FA">
            <w:pPr>
              <w:pStyle w:val="18"/>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lang w:val="en-US" w:eastAsia="zh-CN"/>
              </w:rPr>
              <w:t>大</w:t>
            </w:r>
            <w:r>
              <w:rPr>
                <w:rFonts w:hint="eastAsia" w:ascii="宋体" w:hAnsi="宋体" w:eastAsia="宋体" w:cs="宋体"/>
                <w:color w:val="000000"/>
              </w:rPr>
              <w:t>写：</w:t>
            </w:r>
            <w:r>
              <w:rPr>
                <w:rFonts w:hint="eastAsia" w:ascii="宋体" w:hAnsi="宋体" w:eastAsia="宋体" w:cs="宋体"/>
                <w:color w:val="000000"/>
                <w:u w:val="single"/>
              </w:rPr>
              <w:t xml:space="preserve">        </w:t>
            </w:r>
            <w:r>
              <w:rPr>
                <w:rFonts w:hint="eastAsia" w:ascii="宋体" w:hAnsi="宋体" w:eastAsia="宋体" w:cs="宋体"/>
                <w:b w:val="0"/>
                <w:bCs w:val="0"/>
                <w:kern w:val="0"/>
                <w:sz w:val="24"/>
                <w:szCs w:val="24"/>
                <w:lang w:val="en-US" w:eastAsia="zh-CN"/>
              </w:rPr>
              <w:t>元/</w:t>
            </w:r>
            <w:r>
              <w:rPr>
                <w:rFonts w:ascii="宋体" w:hAnsi="宋体" w:eastAsia="宋体" w:cs="宋体"/>
                <w:b w:val="0"/>
                <w:bCs w:val="0"/>
                <w:color w:val="000000"/>
                <w:sz w:val="24"/>
              </w:rPr>
              <w:t>千升</w:t>
            </w:r>
          </w:p>
        </w:tc>
      </w:tr>
      <w:tr w14:paraId="21BDCF8D">
        <w:tblPrEx>
          <w:tblCellMar>
            <w:top w:w="0" w:type="dxa"/>
            <w:left w:w="108" w:type="dxa"/>
            <w:bottom w:w="0" w:type="dxa"/>
            <w:right w:w="108" w:type="dxa"/>
          </w:tblCellMar>
        </w:tblPrEx>
        <w:trPr>
          <w:trHeight w:val="612" w:hRule="atLeast"/>
          <w:tblCellSpacing w:w="0" w:type="dxa"/>
        </w:trPr>
        <w:tc>
          <w:tcPr>
            <w:tcW w:w="96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44D38">
            <w:pPr>
              <w:pStyle w:val="18"/>
              <w:spacing w:beforeAutospacing="0" w:afterAutospacing="0" w:line="0" w:lineRule="atLeast"/>
              <w:rPr>
                <w:highlight w:val="none"/>
              </w:rPr>
            </w:pPr>
            <w:r>
              <w:rPr>
                <w:rFonts w:hint="eastAsia" w:ascii="宋体" w:hAnsi="宋体" w:eastAsia="宋体" w:cs="宋体"/>
                <w:color w:val="000000"/>
                <w:highlight w:val="none"/>
              </w:rPr>
              <w:t>小写：</w:t>
            </w:r>
            <w:r>
              <w:rPr>
                <w:rFonts w:hint="eastAsia" w:ascii="宋体" w:hAnsi="宋体" w:eastAsia="宋体" w:cs="宋体"/>
                <w:color w:val="000000"/>
                <w:u w:val="single"/>
              </w:rPr>
              <w:t xml:space="preserve">        </w:t>
            </w:r>
            <w:r>
              <w:rPr>
                <w:rFonts w:hint="eastAsia" w:ascii="宋体" w:hAnsi="宋体" w:eastAsia="宋体" w:cs="宋体"/>
                <w:b w:val="0"/>
                <w:bCs w:val="0"/>
                <w:kern w:val="0"/>
                <w:sz w:val="24"/>
                <w:szCs w:val="24"/>
                <w:lang w:val="en-US" w:eastAsia="zh-CN"/>
              </w:rPr>
              <w:t>元/</w:t>
            </w:r>
            <w:r>
              <w:rPr>
                <w:rFonts w:ascii="宋体" w:hAnsi="宋体" w:eastAsia="宋体" w:cs="宋体"/>
                <w:b w:val="0"/>
                <w:bCs w:val="0"/>
                <w:color w:val="000000"/>
                <w:sz w:val="24"/>
              </w:rPr>
              <w:t>千升</w:t>
            </w:r>
            <w:r>
              <w:rPr>
                <w:rFonts w:hint="eastAsia" w:ascii="宋体" w:hAnsi="宋体" w:eastAsia="宋体" w:cs="宋体"/>
                <w:color w:val="000000"/>
                <w:highlight w:val="none"/>
              </w:rPr>
              <w:t>                     （人民币：元）</w:t>
            </w:r>
          </w:p>
        </w:tc>
      </w:tr>
      <w:tr w14:paraId="1B0B1109">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4054">
            <w:pPr>
              <w:pStyle w:val="18"/>
              <w:spacing w:beforeAutospacing="0" w:afterAutospacing="0" w:line="300" w:lineRule="auto"/>
              <w:jc w:val="center"/>
              <w:rPr>
                <w:highlight w:val="none"/>
              </w:rPr>
            </w:pPr>
            <w:r>
              <w:rPr>
                <w:rFonts w:hint="eastAsia" w:ascii="宋体" w:hAnsi="宋体" w:eastAsia="宋体" w:cs="宋体"/>
                <w:color w:val="000000"/>
                <w:highlight w:val="none"/>
              </w:rPr>
              <w:t>核心产品品牌</w:t>
            </w:r>
          </w:p>
        </w:tc>
        <w:tc>
          <w:tcPr>
            <w:tcW w:w="7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E80B">
            <w:pPr>
              <w:pStyle w:val="18"/>
              <w:spacing w:beforeAutospacing="0" w:afterAutospacing="0" w:line="0" w:lineRule="atLeast"/>
              <w:rPr>
                <w:highlight w:val="none"/>
              </w:rPr>
            </w:pPr>
            <w:r>
              <w:rPr>
                <w:highlight w:val="none"/>
              </w:rPr>
              <w:t> </w:t>
            </w:r>
          </w:p>
        </w:tc>
      </w:tr>
      <w:tr w14:paraId="1E6D1B63">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F2DA">
            <w:pPr>
              <w:pStyle w:val="18"/>
              <w:spacing w:beforeAutospacing="0" w:afterAutospacing="0" w:line="300" w:lineRule="auto"/>
              <w:jc w:val="center"/>
              <w:rPr>
                <w:rFonts w:hint="eastAsia" w:ascii="宋体" w:hAnsi="宋体" w:eastAsia="宋体" w:cs="宋体"/>
                <w:color w:val="000000"/>
                <w:highlight w:val="none"/>
              </w:rPr>
            </w:pPr>
            <w:r>
              <w:rPr>
                <w:rFonts w:hint="eastAsia" w:ascii="宋体" w:hAnsi="宋体" w:eastAsia="宋体" w:cs="宋体"/>
                <w:color w:val="000000"/>
                <w:lang w:val="en-US" w:eastAsia="zh-CN"/>
              </w:rPr>
              <w:t>供货量</w:t>
            </w:r>
          </w:p>
        </w:tc>
        <w:tc>
          <w:tcPr>
            <w:tcW w:w="7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A5EC6">
            <w:pPr>
              <w:pStyle w:val="18"/>
              <w:spacing w:beforeAutospacing="0" w:afterAutospacing="0" w:line="0" w:lineRule="atLeast"/>
              <w:rPr>
                <w:highlight w:val="none"/>
              </w:rPr>
            </w:pPr>
            <w:r>
              <w:rPr>
                <w:rFonts w:hint="eastAsia" w:ascii="宋体" w:hAnsi="宋体" w:eastAsia="宋体" w:cs="宋体"/>
                <w:color w:val="000000"/>
                <w:u w:val="single"/>
                <w:lang w:val="en-US" w:eastAsia="zh-CN"/>
              </w:rPr>
              <w:t xml:space="preserve">         </w:t>
            </w:r>
            <w:r>
              <w:rPr>
                <w:rFonts w:ascii="宋体" w:hAnsi="宋体" w:eastAsia="宋体" w:cs="宋体"/>
                <w:b w:val="0"/>
                <w:bCs w:val="0"/>
                <w:color w:val="000000"/>
                <w:sz w:val="24"/>
              </w:rPr>
              <w:t>千升</w:t>
            </w:r>
            <w:r>
              <w:rPr>
                <w:rFonts w:hint="eastAsia" w:ascii="宋体" w:hAnsi="宋体" w:eastAsia="宋体" w:cs="宋体"/>
                <w:b w:val="0"/>
                <w:bCs w:val="0"/>
                <w:color w:val="000000"/>
                <w:sz w:val="24"/>
                <w:lang w:eastAsia="zh-CN"/>
              </w:rPr>
              <w:t>。</w:t>
            </w:r>
          </w:p>
        </w:tc>
      </w:tr>
    </w:tbl>
    <w:p w14:paraId="3B295704">
      <w:pPr>
        <w:pStyle w:val="18"/>
        <w:spacing w:beforeAutospacing="0" w:afterAutospacing="0"/>
        <w:jc w:val="both"/>
        <w:rPr>
          <w:highlight w:val="none"/>
        </w:rPr>
      </w:pPr>
      <w:r>
        <w:rPr>
          <w:highlight w:val="none"/>
        </w:rPr>
        <w:t> </w:t>
      </w:r>
    </w:p>
    <w:p w14:paraId="6B8231D4">
      <w:pPr>
        <w:pStyle w:val="18"/>
        <w:spacing w:beforeAutospacing="0" w:afterAutospacing="0"/>
        <w:ind w:firstLine="480"/>
        <w:jc w:val="right"/>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6E957889">
      <w:pPr>
        <w:pStyle w:val="18"/>
        <w:spacing w:beforeAutospacing="0" w:afterAutospacing="0"/>
        <w:jc w:val="both"/>
        <w:rPr>
          <w:highlight w:val="none"/>
        </w:rPr>
      </w:pPr>
      <w:r>
        <w:rPr>
          <w:highlight w:val="none"/>
        </w:rPr>
        <w:t> </w:t>
      </w:r>
    </w:p>
    <w:p w14:paraId="5DCC5A84">
      <w:pPr>
        <w:pStyle w:val="18"/>
        <w:spacing w:beforeAutospacing="0" w:afterAutospacing="0"/>
        <w:ind w:firstLine="480"/>
        <w:jc w:val="both"/>
        <w:rPr>
          <w:highlight w:val="none"/>
        </w:rPr>
      </w:pPr>
      <w:r>
        <w:rPr>
          <w:highlight w:val="none"/>
        </w:rPr>
        <w:t> </w:t>
      </w:r>
    </w:p>
    <w:p w14:paraId="2370E955">
      <w:pPr>
        <w:pStyle w:val="18"/>
        <w:spacing w:beforeAutospacing="0" w:afterAutospacing="0"/>
        <w:ind w:firstLine="480"/>
        <w:jc w:val="both"/>
        <w:rPr>
          <w:highlight w:val="none"/>
        </w:rPr>
      </w:pPr>
      <w:r>
        <w:rPr>
          <w:highlight w:val="none"/>
        </w:rPr>
        <w:t> </w:t>
      </w:r>
    </w:p>
    <w:p w14:paraId="2DA5057B">
      <w:pPr>
        <w:pStyle w:val="18"/>
        <w:spacing w:beforeAutospacing="0" w:afterAutospacing="0"/>
        <w:ind w:firstLine="480"/>
        <w:jc w:val="both"/>
        <w:rPr>
          <w:highlight w:val="none"/>
        </w:rPr>
      </w:pPr>
    </w:p>
    <w:p w14:paraId="05F8ED20">
      <w:pPr>
        <w:pStyle w:val="18"/>
        <w:spacing w:beforeAutospacing="0" w:afterAutospacing="0"/>
        <w:ind w:firstLine="480"/>
        <w:jc w:val="both"/>
        <w:rPr>
          <w:highlight w:val="none"/>
        </w:rPr>
      </w:pPr>
    </w:p>
    <w:p w14:paraId="2887CFCA">
      <w:pPr>
        <w:pStyle w:val="18"/>
        <w:spacing w:beforeAutospacing="0" w:afterAutospacing="0"/>
        <w:ind w:firstLine="480"/>
        <w:jc w:val="both"/>
        <w:rPr>
          <w:highlight w:val="none"/>
        </w:rPr>
      </w:pPr>
    </w:p>
    <w:p w14:paraId="4F648B3E">
      <w:pPr>
        <w:pStyle w:val="18"/>
        <w:spacing w:beforeAutospacing="0" w:afterAutospacing="0"/>
        <w:ind w:firstLine="480"/>
        <w:jc w:val="both"/>
        <w:rPr>
          <w:highlight w:val="none"/>
        </w:rPr>
      </w:pPr>
    </w:p>
    <w:p w14:paraId="32958D69">
      <w:pPr>
        <w:pStyle w:val="18"/>
        <w:spacing w:beforeAutospacing="0" w:afterAutospacing="0"/>
        <w:ind w:firstLine="480"/>
        <w:jc w:val="both"/>
        <w:rPr>
          <w:highlight w:val="none"/>
        </w:rPr>
      </w:pPr>
    </w:p>
    <w:p w14:paraId="7BF0B384">
      <w:pPr>
        <w:pStyle w:val="18"/>
        <w:spacing w:beforeAutospacing="0" w:afterAutospacing="0"/>
        <w:ind w:firstLine="480"/>
        <w:jc w:val="both"/>
        <w:rPr>
          <w:highlight w:val="none"/>
        </w:rPr>
      </w:pPr>
    </w:p>
    <w:p w14:paraId="6C4ED106">
      <w:pPr>
        <w:pStyle w:val="18"/>
        <w:spacing w:beforeAutospacing="0" w:afterAutospacing="0"/>
        <w:ind w:firstLine="480"/>
        <w:jc w:val="both"/>
        <w:rPr>
          <w:highlight w:val="none"/>
        </w:rPr>
      </w:pPr>
    </w:p>
    <w:p w14:paraId="62CBBB54">
      <w:pPr>
        <w:pStyle w:val="18"/>
        <w:spacing w:beforeAutospacing="0" w:afterAutospacing="0"/>
        <w:ind w:firstLine="480"/>
        <w:jc w:val="both"/>
        <w:rPr>
          <w:highlight w:val="none"/>
        </w:rPr>
      </w:pPr>
    </w:p>
    <w:p w14:paraId="24BBAC39">
      <w:pPr>
        <w:pStyle w:val="18"/>
        <w:spacing w:beforeAutospacing="0" w:afterAutospacing="0"/>
        <w:ind w:firstLine="480"/>
        <w:jc w:val="both"/>
        <w:rPr>
          <w:highlight w:val="none"/>
        </w:rPr>
      </w:pPr>
      <w:r>
        <w:rPr>
          <w:highlight w:val="none"/>
        </w:rPr>
        <w:t> </w:t>
      </w:r>
    </w:p>
    <w:p w14:paraId="1E4CC9B5">
      <w:pPr>
        <w:pStyle w:val="18"/>
        <w:spacing w:beforeAutospacing="0" w:afterAutospacing="0"/>
        <w:ind w:firstLine="480"/>
        <w:jc w:val="both"/>
        <w:rPr>
          <w:highlight w:val="none"/>
        </w:rPr>
      </w:pPr>
      <w:r>
        <w:rPr>
          <w:highlight w:val="none"/>
        </w:rPr>
        <w:t> </w:t>
      </w:r>
    </w:p>
    <w:p w14:paraId="093141CE">
      <w:pPr>
        <w:pStyle w:val="18"/>
        <w:spacing w:beforeAutospacing="0" w:afterAutospacing="0"/>
        <w:jc w:val="both"/>
        <w:rPr>
          <w:highlight w:val="none"/>
        </w:rPr>
      </w:pPr>
      <w:r>
        <w:rPr>
          <w:highlight w:val="none"/>
        </w:rPr>
        <w:t> </w:t>
      </w:r>
    </w:p>
    <w:p w14:paraId="40E4521D">
      <w:pPr>
        <w:pStyle w:val="18"/>
        <w:spacing w:beforeAutospacing="0" w:afterAutospacing="0" w:line="0" w:lineRule="atLeast"/>
        <w:jc w:val="both"/>
        <w:rPr>
          <w:highlight w:val="none"/>
          <w:shd w:val="clear" w:color="auto" w:fill="auto"/>
        </w:rPr>
      </w:pPr>
      <w:r>
        <w:rPr>
          <w:rFonts w:hint="eastAsia" w:ascii="宋体" w:hAnsi="宋体" w:eastAsia="宋体" w:cs="宋体"/>
          <w:color w:val="000000"/>
          <w:highlight w:val="none"/>
        </w:rPr>
        <w:t>                                             </w:t>
      </w:r>
    </w:p>
    <w:p w14:paraId="2111AB5F">
      <w:pPr>
        <w:pStyle w:val="18"/>
        <w:spacing w:beforeAutospacing="0" w:afterAutospacing="0"/>
        <w:jc w:val="center"/>
        <w:rPr>
          <w:highlight w:val="none"/>
          <w:shd w:val="clear" w:color="auto" w:fill="auto"/>
        </w:rPr>
      </w:pPr>
      <w:r>
        <w:rPr>
          <w:highlight w:val="none"/>
          <w:shd w:val="clear" w:color="auto" w:fill="auto"/>
        </w:rPr>
        <w:t> </w:t>
      </w:r>
    </w:p>
    <w:p w14:paraId="2697BB6A">
      <w:pPr>
        <w:pStyle w:val="18"/>
        <w:spacing w:beforeAutospacing="0" w:afterAutospacing="0"/>
        <w:jc w:val="both"/>
        <w:rPr>
          <w:highlight w:val="none"/>
          <w:shd w:val="clear" w:color="auto" w:fill="auto"/>
        </w:rPr>
      </w:pPr>
      <w:r>
        <w:rPr>
          <w:highlight w:val="none"/>
          <w:shd w:val="clear" w:color="auto" w:fill="auto"/>
        </w:rPr>
        <w:t> </w:t>
      </w:r>
    </w:p>
    <w:p w14:paraId="43DD42B0">
      <w:pPr>
        <w:pStyle w:val="18"/>
        <w:spacing w:beforeAutospacing="0" w:afterAutospacing="0"/>
        <w:jc w:val="center"/>
        <w:rPr>
          <w:color w:val="auto"/>
          <w:highlight w:val="none"/>
          <w:shd w:val="clear" w:color="auto" w:fill="auto"/>
        </w:rPr>
      </w:pPr>
      <w:r>
        <w:rPr>
          <w:color w:val="auto"/>
          <w:highlight w:val="none"/>
          <w:shd w:val="clear" w:color="auto" w:fill="auto"/>
        </w:rPr>
        <w:t> </w:t>
      </w:r>
    </w:p>
    <w:p w14:paraId="62536BAB">
      <w:pPr>
        <w:pStyle w:val="18"/>
        <w:spacing w:beforeAutospacing="0" w:afterAutospacing="0"/>
        <w:jc w:val="both"/>
        <w:rPr>
          <w:color w:val="auto"/>
          <w:highlight w:val="none"/>
          <w:shd w:val="clear" w:color="auto" w:fill="auto"/>
        </w:rPr>
      </w:pPr>
      <w:r>
        <w:rPr>
          <w:color w:val="auto"/>
          <w:highlight w:val="none"/>
          <w:shd w:val="clear" w:color="auto" w:fill="auto"/>
        </w:rPr>
        <w:t> </w:t>
      </w:r>
    </w:p>
    <w:p w14:paraId="2049475E">
      <w:pPr>
        <w:pStyle w:val="18"/>
        <w:spacing w:beforeAutospacing="0" w:afterAutospacing="0"/>
        <w:jc w:val="both"/>
        <w:rPr>
          <w:rFonts w:ascii="宋体" w:hAnsi="宋体" w:eastAsia="宋体" w:cs="宋体"/>
          <w:b/>
          <w:color w:val="auto"/>
          <w:sz w:val="32"/>
          <w:szCs w:val="32"/>
          <w:highlight w:val="none"/>
          <w:shd w:val="clear" w:color="auto" w:fill="auto"/>
        </w:rPr>
      </w:pPr>
    </w:p>
    <w:p w14:paraId="59863E85">
      <w:pPr>
        <w:pStyle w:val="18"/>
        <w:spacing w:beforeAutospacing="0" w:afterAutospacing="0"/>
        <w:jc w:val="center"/>
        <w:rPr>
          <w:rFonts w:ascii="宋体" w:hAnsi="宋体" w:eastAsia="宋体" w:cs="宋体"/>
          <w:b/>
          <w:color w:val="auto"/>
          <w:sz w:val="32"/>
          <w:szCs w:val="32"/>
          <w:highlight w:val="none"/>
          <w:shd w:val="clear" w:color="auto" w:fill="auto"/>
        </w:rPr>
      </w:pPr>
    </w:p>
    <w:p w14:paraId="6B415FDD">
      <w:pPr>
        <w:pStyle w:val="18"/>
        <w:spacing w:beforeAutospacing="0" w:afterAutospacing="0" w:line="480" w:lineRule="auto"/>
        <w:jc w:val="both"/>
        <w:rPr>
          <w:color w:val="auto"/>
          <w:highlight w:val="none"/>
          <w:shd w:val="clear" w:color="auto" w:fill="auto"/>
        </w:rPr>
      </w:pPr>
    </w:p>
    <w:p w14:paraId="43319908">
      <w:pPr>
        <w:pStyle w:val="18"/>
        <w:spacing w:beforeAutospacing="0" w:afterAutospacing="0"/>
        <w:jc w:val="center"/>
        <w:rPr>
          <w:color w:val="auto"/>
          <w:highlight w:val="none"/>
          <w:shd w:val="clear" w:color="auto" w:fill="auto"/>
        </w:rPr>
      </w:pPr>
      <w:bookmarkStart w:id="219" w:name="_Hlt26609389"/>
      <w:bookmarkStart w:id="220" w:name="_Hlt26671374"/>
      <w:bookmarkStart w:id="221" w:name="_Toc462564146"/>
      <w:bookmarkStart w:id="222" w:name="_格式2__法定代表人授权书"/>
      <w:bookmarkStart w:id="223" w:name="_Hlt26955066"/>
      <w:r>
        <w:rPr>
          <w:color w:val="auto"/>
          <w:highlight w:val="none"/>
          <w:shd w:val="clear" w:color="auto" w:fill="auto"/>
        </w:rPr>
        <w:t> </w:t>
      </w:r>
    </w:p>
    <w:p w14:paraId="19063BA0">
      <w:pPr>
        <w:pStyle w:val="18"/>
        <w:spacing w:beforeAutospacing="0" w:afterAutospacing="0"/>
        <w:jc w:val="center"/>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七</w:t>
      </w:r>
      <w:r>
        <w:rPr>
          <w:rFonts w:hint="eastAsia" w:ascii="宋体" w:hAnsi="宋体" w:eastAsia="宋体" w:cs="宋体"/>
          <w:b/>
          <w:bCs/>
          <w:color w:val="auto"/>
          <w:sz w:val="32"/>
          <w:szCs w:val="32"/>
          <w:highlight w:val="none"/>
          <w:shd w:val="clear" w:color="auto" w:fill="auto"/>
        </w:rPr>
        <w:t>、盐城市政府采购事前信用承诺书</w:t>
      </w:r>
    </w:p>
    <w:p w14:paraId="54A53822">
      <w:pPr>
        <w:pStyle w:val="18"/>
        <w:spacing w:beforeAutospacing="0" w:afterAutospacing="0"/>
        <w:jc w:val="both"/>
        <w:rPr>
          <w:color w:val="auto"/>
          <w:highlight w:val="none"/>
          <w:shd w:val="clear" w:color="auto" w:fill="auto"/>
        </w:rPr>
      </w:pPr>
    </w:p>
    <w:p w14:paraId="79A1BF75">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67DC6CE0">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41A5D449">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BDB73F5">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716C3294">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04161362">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C4E354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7539F363">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1AFDC7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744C7400">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71F631AA">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55C8FED2">
      <w:pPr>
        <w:widowControl/>
        <w:spacing w:line="499" w:lineRule="atLeas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p>
    <w:p w14:paraId="3E33B9C4">
      <w:pPr>
        <w:widowControl/>
        <w:spacing w:line="499" w:lineRule="atLeast"/>
        <w:jc w:val="center"/>
        <w:rPr>
          <w:rFonts w:hint="eastAsia" w:ascii="宋体" w:hAnsi="宋体" w:eastAsia="宋体" w:cs="宋体"/>
          <w:color w:val="auto"/>
          <w:sz w:val="24"/>
          <w:highlight w:val="none"/>
          <w:shd w:val="clear" w:color="auto" w:fill="auto"/>
        </w:rPr>
      </w:pPr>
    </w:p>
    <w:p w14:paraId="57725E5E">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年月日</w:t>
      </w:r>
    </w:p>
    <w:p w14:paraId="4A4AB7FF">
      <w:pPr>
        <w:pStyle w:val="18"/>
        <w:spacing w:beforeAutospacing="0" w:afterAutospacing="0"/>
        <w:jc w:val="center"/>
        <w:rPr>
          <w:rFonts w:ascii="宋体" w:hAnsi="宋体" w:eastAsia="宋体" w:cs="宋体"/>
          <w:b/>
          <w:color w:val="auto"/>
          <w:sz w:val="32"/>
          <w:szCs w:val="32"/>
          <w:highlight w:val="none"/>
          <w:shd w:val="clear" w:color="auto" w:fill="auto"/>
        </w:rPr>
      </w:pPr>
    </w:p>
    <w:bookmarkEnd w:id="6"/>
    <w:bookmarkEnd w:id="41"/>
    <w:bookmarkEnd w:id="88"/>
    <w:bookmarkEnd w:id="89"/>
    <w:bookmarkEnd w:id="90"/>
    <w:bookmarkEnd w:id="91"/>
    <w:bookmarkEnd w:id="92"/>
    <w:bookmarkEnd w:id="93"/>
    <w:bookmarkEnd w:id="94"/>
    <w:bookmarkEnd w:id="95"/>
    <w:bookmarkEnd w:id="104"/>
    <w:bookmarkEnd w:id="105"/>
    <w:bookmarkEnd w:id="112"/>
    <w:bookmarkEnd w:id="151"/>
    <w:bookmarkEnd w:id="152"/>
    <w:bookmarkEnd w:id="191"/>
    <w:bookmarkEnd w:id="194"/>
    <w:bookmarkEnd w:id="195"/>
    <w:bookmarkEnd w:id="196"/>
    <w:bookmarkEnd w:id="197"/>
    <w:bookmarkEnd w:id="198"/>
    <w:bookmarkEnd w:id="199"/>
    <w:bookmarkEnd w:id="200"/>
    <w:bookmarkEnd w:id="202"/>
    <w:bookmarkEnd w:id="219"/>
    <w:bookmarkEnd w:id="220"/>
    <w:bookmarkEnd w:id="221"/>
    <w:bookmarkEnd w:id="222"/>
    <w:bookmarkEnd w:id="223"/>
    <w:p w14:paraId="4363474C">
      <w:pPr>
        <w:pStyle w:val="18"/>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6D6D67AE">
      <w:pPr>
        <w:pStyle w:val="18"/>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65785C84">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F0C97C2">
      <w:pPr>
        <w:pStyle w:val="18"/>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34DC10A0">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85753AF">
      <w:pPr>
        <w:pStyle w:val="18"/>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7AB945A">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4229E6A4">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FAD2732">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4771286B">
      <w:pPr>
        <w:pStyle w:val="18"/>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882B973">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7CECD5E6">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3EFDCA1B">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68D57830">
      <w:pPr>
        <w:pStyle w:val="18"/>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756269E2">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6163CE4">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0A51412F">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仿宋" w:hAnsi="仿宋" w:eastAsia="仿宋" w:cs="仿宋"/>
          <w:i w:val="0"/>
          <w:iCs w:val="0"/>
          <w:caps w:val="0"/>
          <w:color w:val="333333"/>
          <w:spacing w:val="0"/>
          <w:sz w:val="28"/>
          <w:szCs w:val="28"/>
          <w:highlight w:val="none"/>
          <w:shd w:val="clear" w:fill="FFFFFF"/>
          <w:lang w:val="en-US" w:eastAsia="zh-CN"/>
        </w:rPr>
        <w:t>谈判</w:t>
      </w:r>
      <w:r>
        <w:rPr>
          <w:rFonts w:hint="eastAsia" w:ascii="宋体" w:hAnsi="宋体" w:eastAsia="宋体" w:cs="宋体"/>
          <w:color w:val="auto"/>
          <w:highlight w:val="none"/>
          <w:shd w:val="clear" w:color="auto" w:fill="auto"/>
        </w:rPr>
        <w:t>文件获取日期：</w:t>
      </w:r>
      <w:r>
        <w:rPr>
          <w:rFonts w:hint="eastAsia" w:ascii="宋体" w:hAnsi="宋体" w:eastAsia="宋体" w:cs="宋体"/>
          <w:color w:val="auto"/>
          <w:highlight w:val="none"/>
          <w:u w:val="single"/>
          <w:shd w:val="clear" w:color="auto" w:fill="auto"/>
        </w:rPr>
        <w:t xml:space="preserve">                             </w:t>
      </w:r>
    </w:p>
    <w:p w14:paraId="546D3A37">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4AA64E62">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6A685F23">
      <w:pPr>
        <w:pStyle w:val="18"/>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0E4DD07A">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464BF347">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51B27CC1">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5CCEC4E7">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43F73C86">
      <w:pPr>
        <w:pStyle w:val="18"/>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5A1B7385">
      <w:pPr>
        <w:pStyle w:val="18"/>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01FEE11B">
      <w:pPr>
        <w:pStyle w:val="18"/>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2DFD3464">
      <w:pPr>
        <w:pStyle w:val="1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734BEBD1">
      <w:pPr>
        <w:pStyle w:val="1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A4009B0">
      <w:pPr>
        <w:pStyle w:val="1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52D9BC02">
      <w:pPr>
        <w:pStyle w:val="1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12A39ABF">
      <w:pPr>
        <w:pStyle w:val="1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2C3C0F89">
      <w:pPr>
        <w:pStyle w:val="18"/>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434F77B4">
      <w:pPr>
        <w:pStyle w:val="18"/>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009EAA2E">
      <w:pPr>
        <w:rPr>
          <w:color w:val="auto"/>
          <w:highlight w:val="none"/>
          <w:shd w:val="clear" w:color="auto" w:fill="auto"/>
        </w:rPr>
      </w:pPr>
    </w:p>
    <w:p w14:paraId="206B3288">
      <w:pPr>
        <w:pStyle w:val="18"/>
        <w:spacing w:beforeAutospacing="0" w:afterAutospacing="0"/>
        <w:jc w:val="center"/>
        <w:rPr>
          <w:color w:val="auto"/>
          <w:highlight w:val="none"/>
          <w:shd w:val="clear" w:color="auto" w:fill="auto"/>
        </w:rPr>
      </w:pPr>
    </w:p>
    <w:sectPr>
      <w:footerReference r:id="rId4" w:type="default"/>
      <w:pgSz w:w="11906" w:h="16838"/>
      <w:pgMar w:top="1134" w:right="1134" w:bottom="1134" w:left="1134"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26D99">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EA2F0">
    <w:pPr>
      <w:pStyle w:val="2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09D8537F">
    <w:pPr>
      <w:pStyle w:val="2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9FE59"/>
    <w:multiLevelType w:val="multilevel"/>
    <w:tmpl w:val="D7F9FE5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DEAFB30"/>
    <w:multiLevelType w:val="singleLevel"/>
    <w:tmpl w:val="EDEAFB30"/>
    <w:lvl w:ilvl="0" w:tentative="0">
      <w:start w:val="12"/>
      <w:numFmt w:val="chineseCounting"/>
      <w:suff w:val="nothing"/>
      <w:lvlText w:val="%1、"/>
      <w:lvlJc w:val="left"/>
      <w:rPr>
        <w:rFonts w:hint="eastAsia"/>
      </w:rPr>
    </w:lvl>
  </w:abstractNum>
  <w:abstractNum w:abstractNumId="2">
    <w:nsid w:val="FA617DC3"/>
    <w:multiLevelType w:val="singleLevel"/>
    <w:tmpl w:val="FA617DC3"/>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52A18"/>
    <w:rsid w:val="000B774C"/>
    <w:rsid w:val="000F2A4B"/>
    <w:rsid w:val="001660F9"/>
    <w:rsid w:val="00172A27"/>
    <w:rsid w:val="001E5992"/>
    <w:rsid w:val="00271351"/>
    <w:rsid w:val="00295E14"/>
    <w:rsid w:val="002D6C76"/>
    <w:rsid w:val="002F106C"/>
    <w:rsid w:val="00377076"/>
    <w:rsid w:val="0039479C"/>
    <w:rsid w:val="003949E3"/>
    <w:rsid w:val="003A2F4A"/>
    <w:rsid w:val="004529E6"/>
    <w:rsid w:val="0045370A"/>
    <w:rsid w:val="00470C33"/>
    <w:rsid w:val="00470C57"/>
    <w:rsid w:val="005C22D2"/>
    <w:rsid w:val="006953A5"/>
    <w:rsid w:val="00712436"/>
    <w:rsid w:val="00786C83"/>
    <w:rsid w:val="007A4EBB"/>
    <w:rsid w:val="00837DEC"/>
    <w:rsid w:val="008444D6"/>
    <w:rsid w:val="00891A98"/>
    <w:rsid w:val="00915870"/>
    <w:rsid w:val="009B6152"/>
    <w:rsid w:val="009F4C1B"/>
    <w:rsid w:val="00A02CDA"/>
    <w:rsid w:val="00A67D58"/>
    <w:rsid w:val="00A876CA"/>
    <w:rsid w:val="00C3562D"/>
    <w:rsid w:val="00D550E3"/>
    <w:rsid w:val="00D87DBA"/>
    <w:rsid w:val="00DA0BE4"/>
    <w:rsid w:val="00DB0FD5"/>
    <w:rsid w:val="00DE3C4D"/>
    <w:rsid w:val="00E10B6D"/>
    <w:rsid w:val="00E37EEC"/>
    <w:rsid w:val="00E5798C"/>
    <w:rsid w:val="00E63F04"/>
    <w:rsid w:val="00ED7055"/>
    <w:rsid w:val="00F51435"/>
    <w:rsid w:val="00F66F31"/>
    <w:rsid w:val="00FD0909"/>
    <w:rsid w:val="014036E0"/>
    <w:rsid w:val="015C3D17"/>
    <w:rsid w:val="01944054"/>
    <w:rsid w:val="01B84E71"/>
    <w:rsid w:val="022A146C"/>
    <w:rsid w:val="02851591"/>
    <w:rsid w:val="02BD5381"/>
    <w:rsid w:val="02D505AD"/>
    <w:rsid w:val="02FB2E75"/>
    <w:rsid w:val="03451AAA"/>
    <w:rsid w:val="03463A74"/>
    <w:rsid w:val="034E4AD1"/>
    <w:rsid w:val="037E0789"/>
    <w:rsid w:val="03AA4003"/>
    <w:rsid w:val="0494409F"/>
    <w:rsid w:val="04B66E40"/>
    <w:rsid w:val="04CF1FA6"/>
    <w:rsid w:val="04FE7541"/>
    <w:rsid w:val="056E5657"/>
    <w:rsid w:val="05B74B48"/>
    <w:rsid w:val="05C84C14"/>
    <w:rsid w:val="05F11A75"/>
    <w:rsid w:val="06163BAC"/>
    <w:rsid w:val="061A40F4"/>
    <w:rsid w:val="06277B8D"/>
    <w:rsid w:val="062C42CE"/>
    <w:rsid w:val="068A6E34"/>
    <w:rsid w:val="069074E0"/>
    <w:rsid w:val="06DF1122"/>
    <w:rsid w:val="070A0443"/>
    <w:rsid w:val="074A3E4A"/>
    <w:rsid w:val="07994E3B"/>
    <w:rsid w:val="07A02A3F"/>
    <w:rsid w:val="07A40F48"/>
    <w:rsid w:val="07B611C8"/>
    <w:rsid w:val="07E24B05"/>
    <w:rsid w:val="0854758E"/>
    <w:rsid w:val="08992D34"/>
    <w:rsid w:val="08F63846"/>
    <w:rsid w:val="09132265"/>
    <w:rsid w:val="0ABC363A"/>
    <w:rsid w:val="0AD8294B"/>
    <w:rsid w:val="0B2B4994"/>
    <w:rsid w:val="0B455756"/>
    <w:rsid w:val="0B492353"/>
    <w:rsid w:val="0B4B3B00"/>
    <w:rsid w:val="0B8A23C1"/>
    <w:rsid w:val="0BAE3813"/>
    <w:rsid w:val="0BC4250E"/>
    <w:rsid w:val="0BE856C8"/>
    <w:rsid w:val="0BEC55B8"/>
    <w:rsid w:val="0C2C51D9"/>
    <w:rsid w:val="0C4072B2"/>
    <w:rsid w:val="0CA71847"/>
    <w:rsid w:val="0D020904"/>
    <w:rsid w:val="0D33382B"/>
    <w:rsid w:val="0D4D2FC1"/>
    <w:rsid w:val="0D87596D"/>
    <w:rsid w:val="0DD24882"/>
    <w:rsid w:val="0E0362D5"/>
    <w:rsid w:val="0E1D0F1D"/>
    <w:rsid w:val="0E966A8C"/>
    <w:rsid w:val="0EA55AF2"/>
    <w:rsid w:val="0ED91C40"/>
    <w:rsid w:val="0EE61CD2"/>
    <w:rsid w:val="0F6D24BC"/>
    <w:rsid w:val="0F7D537E"/>
    <w:rsid w:val="0F802A05"/>
    <w:rsid w:val="0FAF74C9"/>
    <w:rsid w:val="10007707"/>
    <w:rsid w:val="10A02A15"/>
    <w:rsid w:val="10B62239"/>
    <w:rsid w:val="10BF0F93"/>
    <w:rsid w:val="10C04E65"/>
    <w:rsid w:val="11367D0E"/>
    <w:rsid w:val="11625ED0"/>
    <w:rsid w:val="116972AB"/>
    <w:rsid w:val="11AB711C"/>
    <w:rsid w:val="11B5429E"/>
    <w:rsid w:val="11DC6231"/>
    <w:rsid w:val="12096398"/>
    <w:rsid w:val="125F311F"/>
    <w:rsid w:val="128F2D41"/>
    <w:rsid w:val="12DF2A5A"/>
    <w:rsid w:val="12E8373F"/>
    <w:rsid w:val="12F015A0"/>
    <w:rsid w:val="13A121B9"/>
    <w:rsid w:val="13AC6B51"/>
    <w:rsid w:val="13CB7DA9"/>
    <w:rsid w:val="13FB0C28"/>
    <w:rsid w:val="141A663B"/>
    <w:rsid w:val="14327E28"/>
    <w:rsid w:val="14404A34"/>
    <w:rsid w:val="14477BA7"/>
    <w:rsid w:val="14FC0436"/>
    <w:rsid w:val="15311E8E"/>
    <w:rsid w:val="1594241D"/>
    <w:rsid w:val="159760EA"/>
    <w:rsid w:val="15A07014"/>
    <w:rsid w:val="15A5287C"/>
    <w:rsid w:val="15C54CCC"/>
    <w:rsid w:val="15CA5E3E"/>
    <w:rsid w:val="162419F3"/>
    <w:rsid w:val="169263C8"/>
    <w:rsid w:val="16A61788"/>
    <w:rsid w:val="16B03E22"/>
    <w:rsid w:val="16FA2753"/>
    <w:rsid w:val="17666D47"/>
    <w:rsid w:val="178A7F7B"/>
    <w:rsid w:val="17A74689"/>
    <w:rsid w:val="17BD714B"/>
    <w:rsid w:val="18187851"/>
    <w:rsid w:val="182757CA"/>
    <w:rsid w:val="182A7068"/>
    <w:rsid w:val="1864257A"/>
    <w:rsid w:val="18BC4109"/>
    <w:rsid w:val="18E776A7"/>
    <w:rsid w:val="18E85D2D"/>
    <w:rsid w:val="193260E4"/>
    <w:rsid w:val="194B7296"/>
    <w:rsid w:val="19835197"/>
    <w:rsid w:val="19EA3331"/>
    <w:rsid w:val="1A0E21E9"/>
    <w:rsid w:val="1A4F2C83"/>
    <w:rsid w:val="1A6D6906"/>
    <w:rsid w:val="1A98650B"/>
    <w:rsid w:val="1AC45552"/>
    <w:rsid w:val="1AD2708F"/>
    <w:rsid w:val="1B203539"/>
    <w:rsid w:val="1B5F5046"/>
    <w:rsid w:val="1B9509DF"/>
    <w:rsid w:val="1BA002D8"/>
    <w:rsid w:val="1BA57132"/>
    <w:rsid w:val="1C662D65"/>
    <w:rsid w:val="1C7865F4"/>
    <w:rsid w:val="1CAC4347"/>
    <w:rsid w:val="1D157E70"/>
    <w:rsid w:val="1D1C1092"/>
    <w:rsid w:val="1D352FAA"/>
    <w:rsid w:val="1D605A5A"/>
    <w:rsid w:val="1D6961F6"/>
    <w:rsid w:val="1DA471F7"/>
    <w:rsid w:val="1DFD1285"/>
    <w:rsid w:val="1EA47B74"/>
    <w:rsid w:val="1EC70509"/>
    <w:rsid w:val="1EC75611"/>
    <w:rsid w:val="1EE937D9"/>
    <w:rsid w:val="1F4A0271"/>
    <w:rsid w:val="1F5350F7"/>
    <w:rsid w:val="1F5F1CED"/>
    <w:rsid w:val="1F983970"/>
    <w:rsid w:val="1F9A4455"/>
    <w:rsid w:val="1FC7762D"/>
    <w:rsid w:val="1FCB1131"/>
    <w:rsid w:val="1FF23831"/>
    <w:rsid w:val="1FF4091C"/>
    <w:rsid w:val="1FF7370F"/>
    <w:rsid w:val="20230F6D"/>
    <w:rsid w:val="20414D4B"/>
    <w:rsid w:val="20733730"/>
    <w:rsid w:val="20801F1B"/>
    <w:rsid w:val="20A83FAF"/>
    <w:rsid w:val="20EA0EFC"/>
    <w:rsid w:val="20F14BC7"/>
    <w:rsid w:val="215025DE"/>
    <w:rsid w:val="21CC717D"/>
    <w:rsid w:val="21E5391D"/>
    <w:rsid w:val="22424AA4"/>
    <w:rsid w:val="229D6DB5"/>
    <w:rsid w:val="22DB78DD"/>
    <w:rsid w:val="22F62B8A"/>
    <w:rsid w:val="23254D08"/>
    <w:rsid w:val="23534E2B"/>
    <w:rsid w:val="24111C8B"/>
    <w:rsid w:val="242C02D7"/>
    <w:rsid w:val="242D23BA"/>
    <w:rsid w:val="24533DC2"/>
    <w:rsid w:val="24CF6FCD"/>
    <w:rsid w:val="24FD1D8D"/>
    <w:rsid w:val="25067C8B"/>
    <w:rsid w:val="25207829"/>
    <w:rsid w:val="2532334D"/>
    <w:rsid w:val="25C805EC"/>
    <w:rsid w:val="26750FF7"/>
    <w:rsid w:val="269A42B8"/>
    <w:rsid w:val="27194423"/>
    <w:rsid w:val="271E140C"/>
    <w:rsid w:val="27290FC5"/>
    <w:rsid w:val="273A72C8"/>
    <w:rsid w:val="27416062"/>
    <w:rsid w:val="27A93DF2"/>
    <w:rsid w:val="27DA2408"/>
    <w:rsid w:val="27E96DDF"/>
    <w:rsid w:val="284902DC"/>
    <w:rsid w:val="28956780"/>
    <w:rsid w:val="28FE41FC"/>
    <w:rsid w:val="29345C52"/>
    <w:rsid w:val="29420026"/>
    <w:rsid w:val="2996274E"/>
    <w:rsid w:val="299A22A0"/>
    <w:rsid w:val="29A44ECD"/>
    <w:rsid w:val="29FC3482"/>
    <w:rsid w:val="2A151A98"/>
    <w:rsid w:val="2A4648B7"/>
    <w:rsid w:val="2A497CBC"/>
    <w:rsid w:val="2A6E34F4"/>
    <w:rsid w:val="2B005440"/>
    <w:rsid w:val="2B027310"/>
    <w:rsid w:val="2B3869BC"/>
    <w:rsid w:val="2B6362BA"/>
    <w:rsid w:val="2B6B6580"/>
    <w:rsid w:val="2B865B98"/>
    <w:rsid w:val="2B91122A"/>
    <w:rsid w:val="2C03574A"/>
    <w:rsid w:val="2C3047F6"/>
    <w:rsid w:val="2C3F712F"/>
    <w:rsid w:val="2C7B3B05"/>
    <w:rsid w:val="2C9F1221"/>
    <w:rsid w:val="2CC277F5"/>
    <w:rsid w:val="2CD80419"/>
    <w:rsid w:val="2CDD3D5A"/>
    <w:rsid w:val="2CF1512E"/>
    <w:rsid w:val="2CF75313"/>
    <w:rsid w:val="2D2D342B"/>
    <w:rsid w:val="2D875411"/>
    <w:rsid w:val="2DC27C21"/>
    <w:rsid w:val="2E2E71A0"/>
    <w:rsid w:val="2E5E7AF7"/>
    <w:rsid w:val="2E823302"/>
    <w:rsid w:val="2EE73822"/>
    <w:rsid w:val="2F6E64F7"/>
    <w:rsid w:val="2F725923"/>
    <w:rsid w:val="2F9D6166"/>
    <w:rsid w:val="2FAD4FD9"/>
    <w:rsid w:val="2FB346FB"/>
    <w:rsid w:val="2FFA5778"/>
    <w:rsid w:val="30393E95"/>
    <w:rsid w:val="30495C84"/>
    <w:rsid w:val="30650005"/>
    <w:rsid w:val="30823A8E"/>
    <w:rsid w:val="30DD0CC4"/>
    <w:rsid w:val="30F129A9"/>
    <w:rsid w:val="310333AD"/>
    <w:rsid w:val="31327975"/>
    <w:rsid w:val="31466869"/>
    <w:rsid w:val="31522189"/>
    <w:rsid w:val="3159659D"/>
    <w:rsid w:val="315A5DB9"/>
    <w:rsid w:val="31BA1E73"/>
    <w:rsid w:val="323D0035"/>
    <w:rsid w:val="329E6CD8"/>
    <w:rsid w:val="33440753"/>
    <w:rsid w:val="33773E42"/>
    <w:rsid w:val="33CC3758"/>
    <w:rsid w:val="33DA14EB"/>
    <w:rsid w:val="33ED3384"/>
    <w:rsid w:val="340824FC"/>
    <w:rsid w:val="343435B3"/>
    <w:rsid w:val="345D63A4"/>
    <w:rsid w:val="34A02734"/>
    <w:rsid w:val="34E14EA2"/>
    <w:rsid w:val="34E346A0"/>
    <w:rsid w:val="34FA64A9"/>
    <w:rsid w:val="35373099"/>
    <w:rsid w:val="359B1151"/>
    <w:rsid w:val="35AD49A2"/>
    <w:rsid w:val="35B75F88"/>
    <w:rsid w:val="35FA5E74"/>
    <w:rsid w:val="36172BC3"/>
    <w:rsid w:val="3650773F"/>
    <w:rsid w:val="3651018A"/>
    <w:rsid w:val="36592B9B"/>
    <w:rsid w:val="3668738B"/>
    <w:rsid w:val="36853990"/>
    <w:rsid w:val="36CC7C95"/>
    <w:rsid w:val="36EB650A"/>
    <w:rsid w:val="37164F30"/>
    <w:rsid w:val="371B5375"/>
    <w:rsid w:val="378133A9"/>
    <w:rsid w:val="37874F45"/>
    <w:rsid w:val="37B60C5D"/>
    <w:rsid w:val="37CD3840"/>
    <w:rsid w:val="3812709A"/>
    <w:rsid w:val="383A233E"/>
    <w:rsid w:val="387B14EE"/>
    <w:rsid w:val="38BB7B3D"/>
    <w:rsid w:val="38C84008"/>
    <w:rsid w:val="38CA3484"/>
    <w:rsid w:val="390521F2"/>
    <w:rsid w:val="39101F1B"/>
    <w:rsid w:val="391B4A7F"/>
    <w:rsid w:val="392576AC"/>
    <w:rsid w:val="392D7EB3"/>
    <w:rsid w:val="393761E0"/>
    <w:rsid w:val="396401D4"/>
    <w:rsid w:val="39720FC7"/>
    <w:rsid w:val="39AD3929"/>
    <w:rsid w:val="39CD52E9"/>
    <w:rsid w:val="3A322081"/>
    <w:rsid w:val="3A64388F"/>
    <w:rsid w:val="3B0B043D"/>
    <w:rsid w:val="3B767222"/>
    <w:rsid w:val="3BDF2457"/>
    <w:rsid w:val="3C1B056F"/>
    <w:rsid w:val="3C2B6908"/>
    <w:rsid w:val="3C410359"/>
    <w:rsid w:val="3C485B8B"/>
    <w:rsid w:val="3CFD7833"/>
    <w:rsid w:val="3D23372C"/>
    <w:rsid w:val="3D3478DB"/>
    <w:rsid w:val="3D3D06BE"/>
    <w:rsid w:val="3D61234F"/>
    <w:rsid w:val="3DB8289D"/>
    <w:rsid w:val="3DC079A3"/>
    <w:rsid w:val="3DF15DAF"/>
    <w:rsid w:val="3DF80C94"/>
    <w:rsid w:val="3E064F5A"/>
    <w:rsid w:val="3E161B6B"/>
    <w:rsid w:val="3E242D59"/>
    <w:rsid w:val="3E295549"/>
    <w:rsid w:val="3E7F5998"/>
    <w:rsid w:val="3EAD7F28"/>
    <w:rsid w:val="3ECE0618"/>
    <w:rsid w:val="3F0056DB"/>
    <w:rsid w:val="3F1A3023"/>
    <w:rsid w:val="3F243A9D"/>
    <w:rsid w:val="3F381EE7"/>
    <w:rsid w:val="3FD414E4"/>
    <w:rsid w:val="3FDD7C80"/>
    <w:rsid w:val="40350295"/>
    <w:rsid w:val="406E1D8D"/>
    <w:rsid w:val="407A208B"/>
    <w:rsid w:val="40AA0BC3"/>
    <w:rsid w:val="40D55514"/>
    <w:rsid w:val="40DE086C"/>
    <w:rsid w:val="414601C0"/>
    <w:rsid w:val="4149719B"/>
    <w:rsid w:val="4162324B"/>
    <w:rsid w:val="41742F7F"/>
    <w:rsid w:val="41BD66D4"/>
    <w:rsid w:val="42053C57"/>
    <w:rsid w:val="42214BD9"/>
    <w:rsid w:val="42277FF1"/>
    <w:rsid w:val="42324DFA"/>
    <w:rsid w:val="426E050E"/>
    <w:rsid w:val="42826DD7"/>
    <w:rsid w:val="429816C1"/>
    <w:rsid w:val="42C163C8"/>
    <w:rsid w:val="431353F3"/>
    <w:rsid w:val="43455446"/>
    <w:rsid w:val="437D35A4"/>
    <w:rsid w:val="43851C29"/>
    <w:rsid w:val="43D83C99"/>
    <w:rsid w:val="43FA2347"/>
    <w:rsid w:val="447E2C54"/>
    <w:rsid w:val="44A973E3"/>
    <w:rsid w:val="44CD4E80"/>
    <w:rsid w:val="44DA072F"/>
    <w:rsid w:val="454D0F8E"/>
    <w:rsid w:val="458E3B2C"/>
    <w:rsid w:val="45CD0EAF"/>
    <w:rsid w:val="45FC0A54"/>
    <w:rsid w:val="461D469A"/>
    <w:rsid w:val="46575A57"/>
    <w:rsid w:val="466976E6"/>
    <w:rsid w:val="4685178A"/>
    <w:rsid w:val="469E6827"/>
    <w:rsid w:val="46D06EA9"/>
    <w:rsid w:val="46EA0CE7"/>
    <w:rsid w:val="470D4256"/>
    <w:rsid w:val="472208AE"/>
    <w:rsid w:val="475C48D4"/>
    <w:rsid w:val="47704C41"/>
    <w:rsid w:val="477554F4"/>
    <w:rsid w:val="478101A3"/>
    <w:rsid w:val="47B925F3"/>
    <w:rsid w:val="485F3913"/>
    <w:rsid w:val="48623507"/>
    <w:rsid w:val="48910AEC"/>
    <w:rsid w:val="48B3170D"/>
    <w:rsid w:val="48D358D5"/>
    <w:rsid w:val="493C7DE9"/>
    <w:rsid w:val="49980F14"/>
    <w:rsid w:val="4A1277D9"/>
    <w:rsid w:val="4A1E13B4"/>
    <w:rsid w:val="4A2C49B0"/>
    <w:rsid w:val="4A7D1B0F"/>
    <w:rsid w:val="4AAC50D1"/>
    <w:rsid w:val="4AC84BF0"/>
    <w:rsid w:val="4B271062"/>
    <w:rsid w:val="4B3D3F04"/>
    <w:rsid w:val="4C544317"/>
    <w:rsid w:val="4C5A2B74"/>
    <w:rsid w:val="4C7E73A7"/>
    <w:rsid w:val="4CAD5597"/>
    <w:rsid w:val="4CD15729"/>
    <w:rsid w:val="4D225F85"/>
    <w:rsid w:val="4D2D20D9"/>
    <w:rsid w:val="4D3857A8"/>
    <w:rsid w:val="4D4E0B28"/>
    <w:rsid w:val="4D695962"/>
    <w:rsid w:val="4DA074F7"/>
    <w:rsid w:val="4DA306D4"/>
    <w:rsid w:val="4DA33F07"/>
    <w:rsid w:val="4DDE52C0"/>
    <w:rsid w:val="4DEB281B"/>
    <w:rsid w:val="4E092CA1"/>
    <w:rsid w:val="4E54216E"/>
    <w:rsid w:val="4E7C16C5"/>
    <w:rsid w:val="4EDB463D"/>
    <w:rsid w:val="4F1D6A04"/>
    <w:rsid w:val="4F381A8F"/>
    <w:rsid w:val="4F8D1DDB"/>
    <w:rsid w:val="502D0EC8"/>
    <w:rsid w:val="504D3319"/>
    <w:rsid w:val="505E1082"/>
    <w:rsid w:val="50A1397F"/>
    <w:rsid w:val="51025EB1"/>
    <w:rsid w:val="513F5357"/>
    <w:rsid w:val="515F1555"/>
    <w:rsid w:val="51805953"/>
    <w:rsid w:val="518A40F8"/>
    <w:rsid w:val="51C73E8F"/>
    <w:rsid w:val="51C75DFE"/>
    <w:rsid w:val="52285DEB"/>
    <w:rsid w:val="523A5B1F"/>
    <w:rsid w:val="52654347"/>
    <w:rsid w:val="52741FCB"/>
    <w:rsid w:val="527729D0"/>
    <w:rsid w:val="529F5982"/>
    <w:rsid w:val="52A42F98"/>
    <w:rsid w:val="52AB2578"/>
    <w:rsid w:val="52D06B10"/>
    <w:rsid w:val="53107F93"/>
    <w:rsid w:val="532A7941"/>
    <w:rsid w:val="53347D61"/>
    <w:rsid w:val="53380FB5"/>
    <w:rsid w:val="53422EDD"/>
    <w:rsid w:val="53536515"/>
    <w:rsid w:val="536B21BA"/>
    <w:rsid w:val="538C4158"/>
    <w:rsid w:val="53A862CC"/>
    <w:rsid w:val="53DC2BEA"/>
    <w:rsid w:val="541303D5"/>
    <w:rsid w:val="542A0FDA"/>
    <w:rsid w:val="54961FCB"/>
    <w:rsid w:val="549C661D"/>
    <w:rsid w:val="54EB4EAE"/>
    <w:rsid w:val="54ED53D0"/>
    <w:rsid w:val="55091CCC"/>
    <w:rsid w:val="558F7A6A"/>
    <w:rsid w:val="55CE6CAA"/>
    <w:rsid w:val="56307253"/>
    <w:rsid w:val="563B541D"/>
    <w:rsid w:val="56453199"/>
    <w:rsid w:val="569D4F5D"/>
    <w:rsid w:val="572F5F10"/>
    <w:rsid w:val="57460252"/>
    <w:rsid w:val="574827F2"/>
    <w:rsid w:val="574D00A2"/>
    <w:rsid w:val="57CB29CE"/>
    <w:rsid w:val="57E1103B"/>
    <w:rsid w:val="582F6DAB"/>
    <w:rsid w:val="589F492D"/>
    <w:rsid w:val="58AD45AF"/>
    <w:rsid w:val="58BF6D7E"/>
    <w:rsid w:val="58D4718C"/>
    <w:rsid w:val="59097FF9"/>
    <w:rsid w:val="5923730C"/>
    <w:rsid w:val="59722042"/>
    <w:rsid w:val="59A82CA5"/>
    <w:rsid w:val="59AD1267"/>
    <w:rsid w:val="5A0E2010"/>
    <w:rsid w:val="5A184997"/>
    <w:rsid w:val="5AD536B4"/>
    <w:rsid w:val="5AEA4CCC"/>
    <w:rsid w:val="5AFC6067"/>
    <w:rsid w:val="5B031B11"/>
    <w:rsid w:val="5B112EDA"/>
    <w:rsid w:val="5B5932C1"/>
    <w:rsid w:val="5B902EC8"/>
    <w:rsid w:val="5B96574B"/>
    <w:rsid w:val="5BA516C7"/>
    <w:rsid w:val="5BB975DF"/>
    <w:rsid w:val="5C08204C"/>
    <w:rsid w:val="5C1C74EB"/>
    <w:rsid w:val="5C5A652B"/>
    <w:rsid w:val="5C786D4C"/>
    <w:rsid w:val="5D047455"/>
    <w:rsid w:val="5DB744C7"/>
    <w:rsid w:val="5DE138D8"/>
    <w:rsid w:val="5E1921ED"/>
    <w:rsid w:val="5F462B37"/>
    <w:rsid w:val="5F7D5E8E"/>
    <w:rsid w:val="5F7F522A"/>
    <w:rsid w:val="5FC42559"/>
    <w:rsid w:val="601337BB"/>
    <w:rsid w:val="60561D75"/>
    <w:rsid w:val="605C4EB2"/>
    <w:rsid w:val="61CD0C1C"/>
    <w:rsid w:val="61EE2047"/>
    <w:rsid w:val="61EE673E"/>
    <w:rsid w:val="6242450E"/>
    <w:rsid w:val="62886432"/>
    <w:rsid w:val="62A87E16"/>
    <w:rsid w:val="62CA561A"/>
    <w:rsid w:val="6313315F"/>
    <w:rsid w:val="631877B6"/>
    <w:rsid w:val="63220635"/>
    <w:rsid w:val="63B84AF5"/>
    <w:rsid w:val="63CD6C1F"/>
    <w:rsid w:val="64283A29"/>
    <w:rsid w:val="643A042B"/>
    <w:rsid w:val="64A56430"/>
    <w:rsid w:val="65BB2793"/>
    <w:rsid w:val="65EE2A50"/>
    <w:rsid w:val="6626043C"/>
    <w:rsid w:val="665723A3"/>
    <w:rsid w:val="667027CF"/>
    <w:rsid w:val="6688694C"/>
    <w:rsid w:val="679F2254"/>
    <w:rsid w:val="67EE1900"/>
    <w:rsid w:val="67FB08EB"/>
    <w:rsid w:val="68014315"/>
    <w:rsid w:val="681A18DB"/>
    <w:rsid w:val="68245589"/>
    <w:rsid w:val="68777DD2"/>
    <w:rsid w:val="68926366"/>
    <w:rsid w:val="691C2DBE"/>
    <w:rsid w:val="69983CE0"/>
    <w:rsid w:val="6A1C1694"/>
    <w:rsid w:val="6A4D243B"/>
    <w:rsid w:val="6A6E079F"/>
    <w:rsid w:val="6A751DB0"/>
    <w:rsid w:val="6AB73D58"/>
    <w:rsid w:val="6AB95533"/>
    <w:rsid w:val="6AD47015"/>
    <w:rsid w:val="6B037E0E"/>
    <w:rsid w:val="6B6F1F3D"/>
    <w:rsid w:val="6B8F0831"/>
    <w:rsid w:val="6BAF2C82"/>
    <w:rsid w:val="6BC84C90"/>
    <w:rsid w:val="6BDE41BB"/>
    <w:rsid w:val="6BF84629"/>
    <w:rsid w:val="6C0E79A8"/>
    <w:rsid w:val="6C5462A8"/>
    <w:rsid w:val="6C917FD7"/>
    <w:rsid w:val="6E4A0A40"/>
    <w:rsid w:val="6E4E6782"/>
    <w:rsid w:val="6F40098F"/>
    <w:rsid w:val="6F8B2B13"/>
    <w:rsid w:val="6FA10B33"/>
    <w:rsid w:val="6FCA008A"/>
    <w:rsid w:val="6FD131C7"/>
    <w:rsid w:val="6FD64C81"/>
    <w:rsid w:val="6FF6588B"/>
    <w:rsid w:val="6FF869A5"/>
    <w:rsid w:val="702E5B63"/>
    <w:rsid w:val="70403530"/>
    <w:rsid w:val="706A53C9"/>
    <w:rsid w:val="708A15C7"/>
    <w:rsid w:val="70C378F2"/>
    <w:rsid w:val="70C62C79"/>
    <w:rsid w:val="70D70CB1"/>
    <w:rsid w:val="71AD1A11"/>
    <w:rsid w:val="71BB7860"/>
    <w:rsid w:val="72440385"/>
    <w:rsid w:val="726A1EA4"/>
    <w:rsid w:val="728564EA"/>
    <w:rsid w:val="72930C07"/>
    <w:rsid w:val="72CC236B"/>
    <w:rsid w:val="72E12D59"/>
    <w:rsid w:val="73761484"/>
    <w:rsid w:val="738A200A"/>
    <w:rsid w:val="73D3428E"/>
    <w:rsid w:val="73D70FC8"/>
    <w:rsid w:val="741678B1"/>
    <w:rsid w:val="74235FBB"/>
    <w:rsid w:val="743F3C99"/>
    <w:rsid w:val="74493C73"/>
    <w:rsid w:val="745A34FE"/>
    <w:rsid w:val="745D6B90"/>
    <w:rsid w:val="74602D6B"/>
    <w:rsid w:val="74776CCD"/>
    <w:rsid w:val="74835482"/>
    <w:rsid w:val="74877DC7"/>
    <w:rsid w:val="74B530B7"/>
    <w:rsid w:val="74F4588B"/>
    <w:rsid w:val="752E3E83"/>
    <w:rsid w:val="752E4E36"/>
    <w:rsid w:val="75890D8F"/>
    <w:rsid w:val="75B043EA"/>
    <w:rsid w:val="75D457BF"/>
    <w:rsid w:val="76171B4F"/>
    <w:rsid w:val="767A5EE2"/>
    <w:rsid w:val="768F5B89"/>
    <w:rsid w:val="76BF646F"/>
    <w:rsid w:val="76D90F68"/>
    <w:rsid w:val="77081209"/>
    <w:rsid w:val="77334767"/>
    <w:rsid w:val="774D2678"/>
    <w:rsid w:val="77536BB7"/>
    <w:rsid w:val="77B51620"/>
    <w:rsid w:val="77C1540B"/>
    <w:rsid w:val="77CE623E"/>
    <w:rsid w:val="77E04C9A"/>
    <w:rsid w:val="78315E4D"/>
    <w:rsid w:val="783E7320"/>
    <w:rsid w:val="78CA10FB"/>
    <w:rsid w:val="78CB19C0"/>
    <w:rsid w:val="78F35EFE"/>
    <w:rsid w:val="78FE254A"/>
    <w:rsid w:val="78FF5669"/>
    <w:rsid w:val="792A1CE5"/>
    <w:rsid w:val="793275BA"/>
    <w:rsid w:val="79A724F1"/>
    <w:rsid w:val="7A163F52"/>
    <w:rsid w:val="7A2F56B9"/>
    <w:rsid w:val="7A317169"/>
    <w:rsid w:val="7A432F13"/>
    <w:rsid w:val="7A4B7878"/>
    <w:rsid w:val="7A6D100D"/>
    <w:rsid w:val="7B2F3497"/>
    <w:rsid w:val="7B4A02D1"/>
    <w:rsid w:val="7B4C7635"/>
    <w:rsid w:val="7B6C46EB"/>
    <w:rsid w:val="7BB045D8"/>
    <w:rsid w:val="7C352D2F"/>
    <w:rsid w:val="7C5F16F8"/>
    <w:rsid w:val="7C9D3E10"/>
    <w:rsid w:val="7CAF2E48"/>
    <w:rsid w:val="7CB122FF"/>
    <w:rsid w:val="7D122B3E"/>
    <w:rsid w:val="7DB06B11"/>
    <w:rsid w:val="7DBA67DE"/>
    <w:rsid w:val="7DF53ACA"/>
    <w:rsid w:val="7E6E42D6"/>
    <w:rsid w:val="7E7E23A2"/>
    <w:rsid w:val="7E7F4735"/>
    <w:rsid w:val="7ED93E46"/>
    <w:rsid w:val="7F0E4C61"/>
    <w:rsid w:val="7F525177"/>
    <w:rsid w:val="7F7F4C0B"/>
    <w:rsid w:val="7F9F6255"/>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8">
    <w:name w:val="heading 1"/>
    <w:basedOn w:val="1"/>
    <w:next w:val="1"/>
    <w:qFormat/>
    <w:uiPriority w:val="0"/>
    <w:pPr>
      <w:keepNext/>
      <w:jc w:val="center"/>
      <w:outlineLvl w:val="0"/>
    </w:pPr>
    <w:rPr>
      <w:rFonts w:ascii="楷体_GB2312" w:eastAsia="楷体_GB2312"/>
      <w:szCs w:val="28"/>
    </w:rPr>
  </w:style>
  <w:style w:type="paragraph" w:styleId="9">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10">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21">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spacing w:line="360" w:lineRule="auto"/>
      <w:ind w:firstLine="200"/>
    </w:pPr>
    <w:rPr>
      <w:rFonts w:ascii="仿宋_GB2312" w:eastAsia="仿宋_GB2312"/>
      <w:sz w:val="30"/>
      <w:szCs w:val="30"/>
    </w:rPr>
  </w:style>
  <w:style w:type="paragraph" w:styleId="3">
    <w:name w:val="Body Text"/>
    <w:basedOn w:val="1"/>
    <w:next w:val="4"/>
    <w:unhideWhenUsed/>
    <w:qFormat/>
    <w:uiPriority w:val="0"/>
    <w:pPr>
      <w:spacing w:after="120"/>
    </w:pPr>
    <w:rPr>
      <w:rFonts w:ascii="Calibri" w:hAnsi="Calibri"/>
      <w:kern w:val="2"/>
      <w:szCs w:val="22"/>
    </w:rPr>
  </w:style>
  <w:style w:type="paragraph" w:customStyle="1" w:styleId="4">
    <w:name w:val="一级条标题"/>
    <w:basedOn w:val="5"/>
    <w:next w:val="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6">
    <w:name w:val="段"/>
    <w:next w:val="7"/>
    <w:qFormat/>
    <w:uiPriority w:val="0"/>
    <w:pPr>
      <w:widowControl w:val="0"/>
      <w:ind w:firstLine="200"/>
      <w:jc w:val="both"/>
    </w:pPr>
    <w:rPr>
      <w:rFonts w:hint="default" w:ascii="宋体" w:hAnsi="宋体" w:eastAsia="宋体" w:cs="宋体"/>
      <w:color w:val="000000"/>
      <w:sz w:val="21"/>
      <w:szCs w:val="21"/>
    </w:rPr>
  </w:style>
  <w:style w:type="paragraph" w:customStyle="1" w:styleId="7">
    <w:name w:val="正文 A"/>
    <w:next w:val="6"/>
    <w:qFormat/>
    <w:uiPriority w:val="0"/>
    <w:pPr>
      <w:widowControl w:val="0"/>
      <w:jc w:val="both"/>
    </w:pPr>
    <w:rPr>
      <w:rFonts w:hint="default" w:ascii="Calibri" w:hAnsi="Calibri" w:eastAsia="Calibri" w:cs="Calibri"/>
      <w:color w:val="000000"/>
      <w:sz w:val="21"/>
      <w:szCs w:val="21"/>
    </w:rPr>
  </w:style>
  <w:style w:type="paragraph" w:styleId="11">
    <w:name w:val="annotation text"/>
    <w:basedOn w:val="1"/>
    <w:qFormat/>
    <w:uiPriority w:val="0"/>
    <w:pPr>
      <w:jc w:val="left"/>
    </w:pPr>
  </w:style>
  <w:style w:type="paragraph" w:styleId="12">
    <w:name w:val="Body Text Indent"/>
    <w:basedOn w:val="1"/>
    <w:next w:val="13"/>
    <w:unhideWhenUsed/>
    <w:qFormat/>
    <w:uiPriority w:val="0"/>
    <w:pPr>
      <w:spacing w:after="120"/>
      <w:ind w:left="420" w:leftChars="200"/>
    </w:pPr>
  </w:style>
  <w:style w:type="paragraph" w:styleId="13">
    <w:name w:val="envelope return"/>
    <w:basedOn w:val="1"/>
    <w:qFormat/>
    <w:uiPriority w:val="0"/>
    <w:rPr>
      <w:rFonts w:ascii="Arial" w:hAnsi="Arial"/>
    </w:rPr>
  </w:style>
  <w:style w:type="paragraph" w:styleId="14">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5">
    <w:name w:val="Plain Text"/>
    <w:basedOn w:val="1"/>
    <w:unhideWhenUsed/>
    <w:qFormat/>
    <w:uiPriority w:val="0"/>
    <w:rPr>
      <w:rFonts w:ascii="宋体" w:hAnsi="Courier New" w:cs="Courier New"/>
      <w:kern w:val="2"/>
      <w:szCs w:val="21"/>
    </w:rPr>
  </w:style>
  <w:style w:type="paragraph" w:styleId="16">
    <w:name w:val="footer"/>
    <w:basedOn w:val="1"/>
    <w:link w:val="24"/>
    <w:autoRedefine/>
    <w:qFormat/>
    <w:uiPriority w:val="0"/>
    <w:pPr>
      <w:tabs>
        <w:tab w:val="center" w:pos="4153"/>
        <w:tab w:val="right" w:pos="8306"/>
      </w:tabs>
      <w:snapToGrid w:val="0"/>
      <w:jc w:val="left"/>
    </w:pPr>
    <w:rPr>
      <w:sz w:val="18"/>
      <w:szCs w:val="18"/>
    </w:rPr>
  </w:style>
  <w:style w:type="paragraph" w:styleId="17">
    <w:name w:val="header"/>
    <w:basedOn w:val="1"/>
    <w:link w:val="23"/>
    <w:autoRedefine/>
    <w:qFormat/>
    <w:uiPriority w:val="0"/>
    <w:pPr>
      <w:pBdr>
        <w:bottom w:val="single" w:color="auto" w:sz="6" w:space="1"/>
      </w:pBdr>
      <w:tabs>
        <w:tab w:val="center" w:pos="4153"/>
        <w:tab w:val="right" w:pos="8306"/>
      </w:tabs>
      <w:snapToGrid w:val="0"/>
      <w:jc w:val="center"/>
    </w:pPr>
    <w:rPr>
      <w:sz w:val="18"/>
      <w:szCs w:val="18"/>
    </w:rPr>
  </w:style>
  <w:style w:type="paragraph" w:styleId="18">
    <w:name w:val="Normal (Web)"/>
    <w:basedOn w:val="1"/>
    <w:autoRedefine/>
    <w:qFormat/>
    <w:uiPriority w:val="0"/>
    <w:pPr>
      <w:spacing w:beforeAutospacing="1" w:afterAutospacing="1"/>
      <w:jc w:val="left"/>
    </w:pPr>
    <w:rPr>
      <w:rFonts w:cs="Times New Roman"/>
      <w:kern w:val="0"/>
      <w:sz w:val="24"/>
    </w:rPr>
  </w:style>
  <w:style w:type="paragraph" w:styleId="19">
    <w:name w:val="Body Text First Indent 2"/>
    <w:basedOn w:val="12"/>
    <w:next w:val="1"/>
    <w:qFormat/>
    <w:uiPriority w:val="0"/>
    <w:pPr>
      <w:spacing w:before="50" w:line="360" w:lineRule="auto"/>
      <w:ind w:left="0" w:leftChars="0" w:firstLine="420"/>
    </w:pPr>
    <w:rPr>
      <w:sz w:val="30"/>
      <w:szCs w:val="24"/>
    </w:rPr>
  </w:style>
  <w:style w:type="character" w:styleId="22">
    <w:name w:val="Emphasis"/>
    <w:qFormat/>
    <w:uiPriority w:val="0"/>
    <w:rPr>
      <w:i/>
    </w:rPr>
  </w:style>
  <w:style w:type="character" w:customStyle="1" w:styleId="23">
    <w:name w:val="页眉 Char"/>
    <w:basedOn w:val="21"/>
    <w:link w:val="17"/>
    <w:autoRedefine/>
    <w:qFormat/>
    <w:uiPriority w:val="0"/>
    <w:rPr>
      <w:rFonts w:asciiTheme="minorHAnsi" w:hAnsiTheme="minorHAnsi" w:eastAsiaTheme="minorEastAsia" w:cstheme="minorBidi"/>
      <w:kern w:val="2"/>
      <w:sz w:val="18"/>
      <w:szCs w:val="18"/>
    </w:rPr>
  </w:style>
  <w:style w:type="character" w:customStyle="1" w:styleId="24">
    <w:name w:val="页脚 Char"/>
    <w:basedOn w:val="21"/>
    <w:link w:val="16"/>
    <w:autoRedefine/>
    <w:qFormat/>
    <w:uiPriority w:val="0"/>
    <w:rPr>
      <w:rFonts w:asciiTheme="minorHAnsi" w:hAnsiTheme="minorHAnsi" w:eastAsiaTheme="minorEastAsia" w:cstheme="minorBidi"/>
      <w:kern w:val="2"/>
      <w:sz w:val="18"/>
      <w:szCs w:val="18"/>
    </w:rPr>
  </w:style>
  <w:style w:type="paragraph" w:customStyle="1" w:styleId="2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6">
    <w:name w:val="页脚1"/>
    <w:basedOn w:val="1"/>
    <w:unhideWhenUsed/>
    <w:qFormat/>
    <w:uiPriority w:val="99"/>
    <w:pPr>
      <w:tabs>
        <w:tab w:val="center" w:pos="4153"/>
        <w:tab w:val="right" w:pos="8306"/>
      </w:tabs>
      <w:jc w:val="left"/>
    </w:pPr>
    <w:rPr>
      <w:sz w:val="18"/>
      <w:szCs w:val="18"/>
    </w:rPr>
  </w:style>
  <w:style w:type="paragraph" w:customStyle="1" w:styleId="27">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8">
    <w:name w:val="正文首行缩进 21"/>
    <w:basedOn w:val="29"/>
    <w:qFormat/>
    <w:uiPriority w:val="0"/>
    <w:pPr>
      <w:ind w:firstLine="420"/>
    </w:pPr>
  </w:style>
  <w:style w:type="paragraph" w:customStyle="1" w:styleId="29">
    <w:name w:val="正文文本缩进1"/>
    <w:basedOn w:val="1"/>
    <w:qFormat/>
    <w:uiPriority w:val="0"/>
    <w:pPr>
      <w:spacing w:after="120"/>
      <w:ind w:left="420"/>
    </w:pPr>
  </w:style>
  <w:style w:type="paragraph" w:customStyle="1" w:styleId="30">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customStyle="1" w:styleId="31">
    <w:name w:val="正文空2格  1."/>
    <w:basedOn w:val="1"/>
    <w:qFormat/>
    <w:uiPriority w:val="0"/>
    <w:pPr>
      <w:ind w:firstLine="480" w:firstLineChars="200"/>
    </w:pPr>
    <w:rPr>
      <w:rFonts w:cs="宋体"/>
      <w:szCs w:val="20"/>
    </w:rPr>
  </w:style>
  <w:style w:type="paragraph" w:customStyle="1" w:styleId="32">
    <w:name w:val="列出段落1"/>
    <w:basedOn w:val="1"/>
    <w:qFormat/>
    <w:uiPriority w:val="34"/>
    <w:pPr>
      <w:ind w:firstLine="420"/>
    </w:pPr>
    <w:rPr>
      <w:rFonts w:cs="Times New Roman"/>
      <w:lang w:eastAsia="en-US"/>
    </w:rPr>
  </w:style>
  <w:style w:type="paragraph" w:customStyle="1" w:styleId="33">
    <w:name w:val="列出段落3"/>
    <w:basedOn w:val="1"/>
    <w:qFormat/>
    <w:uiPriority w:val="0"/>
    <w:pPr>
      <w:ind w:firstLine="420"/>
    </w:pPr>
    <w:rPr>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45</Pages>
  <Words>27606</Words>
  <Characters>29170</Characters>
  <Lines>170</Lines>
  <Paragraphs>48</Paragraphs>
  <TotalTime>8</TotalTime>
  <ScaleCrop>false</ScaleCrop>
  <LinksUpToDate>false</LinksUpToDate>
  <CharactersWithSpaces>31198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Lee-BoxeR</cp:lastModifiedBy>
  <dcterms:modified xsi:type="dcterms:W3CDTF">2026-04-07T10:29:28Z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5F28F1FC1B0F4DF7AE810BE24956E208_13</vt:lpwstr>
  </property>
  <property fmtid="{D5CDD505-2E9C-101B-9397-08002B2CF9AE}" pid="4" name="KSOTemplateDocerSaveRecord">
    <vt:lpwstr>eyJoZGlkIjoiM2Y0ODFmNDM2NTVkMTc3MGRiOTY0ZTRmZWY1ZjUyY2IiLCJ1c2VySWQiOiI2NzEzMjE2OTMifQ==</vt:lpwstr>
  </property>
</Properties>
</file>