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F5408">
      <w:pPr>
        <w:pStyle w:val="280"/>
        <w:ind w:firstLine="0"/>
        <w:rPr>
          <w:rFonts w:hint="eastAsia" w:asciiTheme="minorEastAsia" w:hAnsiTheme="minorEastAsia" w:eastAsiaTheme="minorEastAsia" w:cstheme="minorEastAsia"/>
          <w:b/>
          <w:bCs/>
          <w:color w:val="auto"/>
          <w:sz w:val="84"/>
        </w:rPr>
      </w:pPr>
      <w:r>
        <w:rPr>
          <w:rFonts w:hint="eastAsia" w:asciiTheme="minorEastAsia" w:hAnsiTheme="minorEastAsia" w:eastAsiaTheme="minorEastAsia" w:cstheme="minorEastAsia"/>
          <w:b/>
          <w:bCs/>
          <w:color w:val="auto"/>
          <w:sz w:val="84"/>
        </w:rPr>
        <w:t xml:space="preserve"> </w:t>
      </w:r>
    </w:p>
    <w:p w14:paraId="3872046E">
      <w:pPr>
        <w:pStyle w:val="280"/>
        <w:ind w:firstLine="0"/>
        <w:jc w:val="center"/>
        <w:rPr>
          <w:rFonts w:hint="eastAsia" w:asciiTheme="minorEastAsia" w:hAnsiTheme="minorEastAsia" w:eastAsiaTheme="minorEastAsia" w:cstheme="minorEastAsia"/>
          <w:b/>
          <w:bCs/>
          <w:color w:val="auto"/>
          <w:sz w:val="84"/>
        </w:rPr>
      </w:pPr>
      <w:r>
        <w:rPr>
          <w:rFonts w:hint="eastAsia" w:asciiTheme="minorEastAsia" w:hAnsiTheme="minorEastAsia" w:eastAsiaTheme="minorEastAsia" w:cstheme="minorEastAsia"/>
          <w:b/>
          <w:bCs/>
          <w:color w:val="auto"/>
          <w:sz w:val="84"/>
        </w:rPr>
        <w:t>公开招标采购文件</w:t>
      </w:r>
    </w:p>
    <w:p w14:paraId="12501BFB">
      <w:pPr>
        <w:pStyle w:val="280"/>
        <w:ind w:firstLine="0"/>
        <w:outlineLvl w:val="0"/>
        <w:rPr>
          <w:rFonts w:hint="eastAsia" w:asciiTheme="minorEastAsia" w:hAnsiTheme="minorEastAsia" w:eastAsiaTheme="minorEastAsia" w:cstheme="minorEastAsia"/>
          <w:b/>
          <w:bCs/>
          <w:color w:val="auto"/>
          <w:sz w:val="32"/>
        </w:rPr>
      </w:pPr>
      <w:bookmarkStart w:id="0" w:name="_Toc20483"/>
    </w:p>
    <w:p w14:paraId="742257A1">
      <w:pPr>
        <w:pStyle w:val="280"/>
        <w:ind w:firstLine="0"/>
        <w:outlineLvl w:val="0"/>
        <w:rPr>
          <w:rFonts w:hint="eastAsia" w:asciiTheme="minorEastAsia" w:hAnsiTheme="minorEastAsia" w:eastAsiaTheme="minorEastAsia" w:cstheme="minorEastAsia"/>
          <w:b/>
          <w:bCs/>
          <w:color w:val="auto"/>
          <w:sz w:val="32"/>
        </w:rPr>
      </w:pPr>
    </w:p>
    <w:p w14:paraId="73204ED3">
      <w:pPr>
        <w:pStyle w:val="280"/>
        <w:ind w:firstLine="0"/>
        <w:outlineLvl w:val="0"/>
        <w:rPr>
          <w:rFonts w:hint="eastAsia" w:asciiTheme="minorEastAsia" w:hAnsiTheme="minorEastAsia" w:eastAsiaTheme="minorEastAsia" w:cstheme="minorEastAsia"/>
          <w:b/>
          <w:bCs/>
          <w:color w:val="auto"/>
          <w:sz w:val="32"/>
          <w:lang w:val="en-US" w:eastAsia="zh-CN"/>
        </w:rPr>
      </w:pPr>
      <w:r>
        <w:rPr>
          <w:rFonts w:hint="eastAsia" w:asciiTheme="minorEastAsia" w:hAnsiTheme="minorEastAsia" w:eastAsiaTheme="minorEastAsia" w:cstheme="minorEastAsia"/>
          <w:b/>
          <w:bCs/>
          <w:color w:val="auto"/>
          <w:sz w:val="32"/>
        </w:rPr>
        <w:t>项目名称：</w:t>
      </w:r>
      <w:bookmarkEnd w:id="0"/>
      <w:bookmarkStart w:id="1" w:name="_Hlk194919205"/>
      <w:r>
        <w:rPr>
          <w:rFonts w:hint="eastAsia"/>
          <w:b/>
          <w:bCs/>
          <w:color w:val="auto"/>
          <w:sz w:val="32"/>
          <w:lang w:val="en-US" w:eastAsia="zh-CN"/>
        </w:rPr>
        <w:t>常州市</w:t>
      </w:r>
      <w:r>
        <w:rPr>
          <w:rFonts w:hint="eastAsia"/>
          <w:b/>
          <w:bCs/>
          <w:color w:val="auto"/>
          <w:sz w:val="32"/>
        </w:rPr>
        <w:t>北环中学易地新建</w:t>
      </w:r>
      <w:r>
        <w:rPr>
          <w:rFonts w:hint="eastAsia"/>
          <w:b/>
          <w:bCs/>
          <w:color w:val="auto"/>
          <w:sz w:val="32"/>
          <w:lang w:val="en-US" w:eastAsia="zh-CN"/>
        </w:rPr>
        <w:t>项目</w:t>
      </w:r>
      <w:bookmarkEnd w:id="1"/>
      <w:r>
        <w:rPr>
          <w:rFonts w:hint="eastAsia"/>
          <w:b/>
          <w:bCs/>
          <w:color w:val="auto"/>
          <w:sz w:val="32"/>
          <w:lang w:val="en-US" w:eastAsia="zh-CN"/>
        </w:rPr>
        <w:t>报告厅舞台设备及音视频会议系统设备采购及安装</w:t>
      </w:r>
    </w:p>
    <w:p w14:paraId="5EC5ADF5">
      <w:pPr>
        <w:rPr>
          <w:rFonts w:hint="eastAsia" w:asciiTheme="minorEastAsia" w:hAnsiTheme="minorEastAsia" w:eastAsiaTheme="minorEastAsia" w:cstheme="minorEastAsia"/>
          <w:b/>
          <w:bCs/>
          <w:color w:val="auto"/>
          <w:sz w:val="32"/>
          <w:szCs w:val="30"/>
        </w:rPr>
      </w:pPr>
      <w:r>
        <w:rPr>
          <w:rFonts w:hint="eastAsia" w:asciiTheme="minorEastAsia" w:hAnsiTheme="minorEastAsia" w:eastAsiaTheme="minorEastAsia" w:cstheme="minorEastAsia"/>
          <w:b/>
          <w:bCs/>
          <w:color w:val="auto"/>
          <w:sz w:val="32"/>
        </w:rPr>
        <w:t>项目编号：JSZC-320400-JZCG-G2026-0091</w:t>
      </w:r>
      <w:r>
        <w:rPr>
          <w:rFonts w:hint="eastAsia" w:asciiTheme="minorEastAsia" w:hAnsiTheme="minorEastAsia" w:eastAsiaTheme="minorEastAsia" w:cstheme="minorEastAsia"/>
          <w:b/>
          <w:bCs/>
          <w:color w:val="auto"/>
          <w:sz w:val="32"/>
        </w:rPr>
        <w:tab/>
      </w:r>
    </w:p>
    <w:p w14:paraId="0CA7D06F">
      <w:pPr>
        <w:ind w:left="2100"/>
        <w:rPr>
          <w:rFonts w:hint="eastAsia" w:asciiTheme="minorEastAsia" w:hAnsiTheme="minorEastAsia" w:eastAsiaTheme="minorEastAsia" w:cstheme="minorEastAsia"/>
          <w:b/>
          <w:color w:val="auto"/>
          <w:sz w:val="30"/>
          <w:szCs w:val="30"/>
        </w:rPr>
      </w:pPr>
    </w:p>
    <w:p w14:paraId="6170CA2C">
      <w:pPr>
        <w:spacing w:line="360" w:lineRule="auto"/>
        <w:jc w:val="center"/>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（全流程电子化-货物类项目，适用苏采云系统，</w:t>
      </w:r>
      <w:r>
        <w:rPr>
          <w:rFonts w:hint="eastAsia" w:asciiTheme="minorEastAsia" w:hAnsiTheme="minorEastAsia" w:eastAsiaTheme="minorEastAsia" w:cstheme="minorEastAsia"/>
          <w:b/>
          <w:color w:val="auto"/>
          <w:sz w:val="30"/>
          <w:szCs w:val="30"/>
          <w:lang w:val="en-US" w:eastAsia="zh-CN"/>
        </w:rPr>
        <w:t>不</w:t>
      </w:r>
      <w:r>
        <w:rPr>
          <w:rFonts w:hint="eastAsia" w:asciiTheme="minorEastAsia" w:hAnsiTheme="minorEastAsia" w:eastAsiaTheme="minorEastAsia" w:cstheme="minorEastAsia"/>
          <w:b/>
          <w:color w:val="auto"/>
          <w:sz w:val="30"/>
          <w:szCs w:val="30"/>
        </w:rPr>
        <w:t>专门面向中小企业）</w:t>
      </w:r>
    </w:p>
    <w:p w14:paraId="7B1AF3CE">
      <w:pPr>
        <w:pStyle w:val="280"/>
        <w:spacing w:before="0" w:after="0"/>
        <w:ind w:firstLine="0"/>
        <w:rPr>
          <w:rFonts w:hint="eastAsia" w:asciiTheme="minorEastAsia" w:hAnsiTheme="minorEastAsia" w:eastAsiaTheme="minorEastAsia" w:cstheme="minorEastAsia"/>
          <w:color w:val="auto"/>
        </w:rPr>
      </w:pPr>
    </w:p>
    <w:p w14:paraId="29642196">
      <w:pPr>
        <w:pStyle w:val="280"/>
        <w:spacing w:before="0" w:after="0"/>
        <w:ind w:firstLine="0"/>
        <w:rPr>
          <w:rFonts w:hint="eastAsia" w:asciiTheme="minorEastAsia" w:hAnsiTheme="minorEastAsia" w:eastAsiaTheme="minorEastAsia" w:cstheme="minorEastAsia"/>
          <w:color w:val="auto"/>
        </w:rPr>
      </w:pPr>
    </w:p>
    <w:p w14:paraId="4B09B62C">
      <w:pPr>
        <w:pStyle w:val="280"/>
        <w:spacing w:before="0" w:after="0"/>
        <w:ind w:firstLine="0"/>
        <w:rPr>
          <w:rFonts w:hint="eastAsia" w:asciiTheme="minorEastAsia" w:hAnsiTheme="minorEastAsia" w:eastAsiaTheme="minorEastAsia" w:cstheme="minorEastAsia"/>
          <w:color w:val="auto"/>
        </w:rPr>
      </w:pPr>
    </w:p>
    <w:p w14:paraId="15AD20FC">
      <w:pPr>
        <w:pStyle w:val="280"/>
        <w:spacing w:before="0" w:after="0"/>
        <w:ind w:firstLine="0"/>
        <w:rPr>
          <w:rFonts w:hint="eastAsia" w:asciiTheme="minorEastAsia" w:hAnsiTheme="minorEastAsia" w:eastAsiaTheme="minorEastAsia" w:cstheme="minorEastAsia"/>
          <w:color w:val="auto"/>
        </w:rPr>
      </w:pPr>
    </w:p>
    <w:p w14:paraId="11557838">
      <w:pPr>
        <w:pStyle w:val="280"/>
        <w:spacing w:before="0" w:after="0"/>
        <w:ind w:firstLine="0"/>
        <w:rPr>
          <w:rFonts w:hint="eastAsia" w:asciiTheme="minorEastAsia" w:hAnsiTheme="minorEastAsia" w:eastAsiaTheme="minorEastAsia" w:cstheme="minorEastAsia"/>
          <w:color w:val="auto"/>
        </w:rPr>
      </w:pPr>
    </w:p>
    <w:p w14:paraId="20CBB2DD">
      <w:pPr>
        <w:pStyle w:val="280"/>
        <w:spacing w:before="0" w:after="0"/>
        <w:ind w:firstLine="0"/>
        <w:rPr>
          <w:rFonts w:hint="eastAsia" w:asciiTheme="minorEastAsia" w:hAnsiTheme="minorEastAsia" w:eastAsiaTheme="minorEastAsia" w:cstheme="minorEastAsia"/>
          <w:color w:val="auto"/>
        </w:rPr>
      </w:pPr>
    </w:p>
    <w:p w14:paraId="162ECE43">
      <w:pPr>
        <w:pStyle w:val="280"/>
        <w:spacing w:before="0" w:after="0"/>
        <w:ind w:firstLine="0"/>
        <w:rPr>
          <w:rFonts w:hint="eastAsia" w:asciiTheme="minorEastAsia" w:hAnsiTheme="minorEastAsia" w:eastAsiaTheme="minorEastAsia" w:cstheme="minorEastAsia"/>
          <w:color w:val="auto"/>
        </w:rPr>
      </w:pPr>
    </w:p>
    <w:p w14:paraId="78DAD341">
      <w:pPr>
        <w:pStyle w:val="280"/>
        <w:ind w:firstLine="0"/>
        <w:jc w:val="center"/>
        <w:rPr>
          <w:rFonts w:hint="eastAsia" w:asciiTheme="minorEastAsia" w:hAnsiTheme="minorEastAsia" w:eastAsiaTheme="minorEastAsia" w:cstheme="minorEastAsia"/>
          <w:b/>
          <w:bCs/>
          <w:color w:val="auto"/>
          <w:sz w:val="32"/>
        </w:rPr>
      </w:pPr>
      <w:r>
        <w:rPr>
          <w:rFonts w:hint="eastAsia" w:asciiTheme="minorEastAsia" w:hAnsiTheme="minorEastAsia" w:eastAsiaTheme="minorEastAsia" w:cstheme="minorEastAsia"/>
          <w:b/>
          <w:bCs/>
          <w:color w:val="auto"/>
          <w:sz w:val="32"/>
        </w:rPr>
        <w:t>常州市教育基本建设与装备管理中心</w:t>
      </w:r>
    </w:p>
    <w:p w14:paraId="760CFE5B">
      <w:pPr>
        <w:pStyle w:val="280"/>
        <w:ind w:firstLine="0"/>
        <w:jc w:val="center"/>
        <w:rPr>
          <w:rFonts w:hint="eastAsia" w:asciiTheme="minorEastAsia" w:hAnsiTheme="minorEastAsia" w:eastAsiaTheme="minorEastAsia" w:cstheme="minorEastAsia"/>
          <w:b/>
          <w:bCs/>
          <w:color w:val="auto"/>
          <w:sz w:val="32"/>
        </w:rPr>
      </w:pPr>
      <w:r>
        <w:rPr>
          <w:rFonts w:hint="eastAsia" w:asciiTheme="minorEastAsia" w:hAnsiTheme="minorEastAsia" w:eastAsiaTheme="minorEastAsia" w:cstheme="minorEastAsia"/>
          <w:b/>
          <w:bCs/>
          <w:color w:val="auto"/>
          <w:sz w:val="32"/>
        </w:rPr>
        <w:t>202</w:t>
      </w:r>
      <w:r>
        <w:rPr>
          <w:rFonts w:hint="eastAsia" w:asciiTheme="minorEastAsia" w:hAnsiTheme="minorEastAsia" w:eastAsiaTheme="minorEastAsia" w:cstheme="minorEastAsia"/>
          <w:b/>
          <w:bCs/>
          <w:color w:val="auto"/>
          <w:sz w:val="32"/>
          <w:lang w:val="en-US" w:eastAsia="zh-CN"/>
        </w:rPr>
        <w:t>6</w:t>
      </w:r>
      <w:r>
        <w:rPr>
          <w:rFonts w:hint="eastAsia" w:asciiTheme="minorEastAsia" w:hAnsiTheme="minorEastAsia" w:eastAsiaTheme="minorEastAsia" w:cstheme="minorEastAsia"/>
          <w:b/>
          <w:bCs/>
          <w:color w:val="auto"/>
          <w:sz w:val="32"/>
        </w:rPr>
        <w:t>年</w:t>
      </w:r>
      <w:r>
        <w:rPr>
          <w:rFonts w:hint="eastAsia" w:asciiTheme="minorEastAsia" w:hAnsiTheme="minorEastAsia" w:eastAsiaTheme="minorEastAsia" w:cstheme="minorEastAsia"/>
          <w:b/>
          <w:bCs/>
          <w:color w:val="auto"/>
          <w:sz w:val="32"/>
          <w:lang w:val="en-US" w:eastAsia="zh-CN"/>
        </w:rPr>
        <w:t>4</w:t>
      </w:r>
      <w:r>
        <w:rPr>
          <w:rFonts w:hint="eastAsia" w:asciiTheme="minorEastAsia" w:hAnsiTheme="minorEastAsia" w:eastAsiaTheme="minorEastAsia" w:cstheme="minorEastAsia"/>
          <w:b/>
          <w:bCs/>
          <w:color w:val="auto"/>
          <w:sz w:val="32"/>
        </w:rPr>
        <w:t>月</w:t>
      </w:r>
    </w:p>
    <w:p w14:paraId="1043E423">
      <w:pPr>
        <w:pStyle w:val="280"/>
        <w:ind w:firstLine="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                        </w:t>
      </w:r>
    </w:p>
    <w:p w14:paraId="2BD8DF36">
      <w:pPr>
        <w:spacing w:line="480" w:lineRule="auto"/>
        <w:jc w:val="center"/>
        <w:outlineLvl w:val="0"/>
        <w:rPr>
          <w:rFonts w:hint="eastAsia" w:asciiTheme="minorEastAsia" w:hAnsiTheme="minorEastAsia" w:eastAsiaTheme="minorEastAsia" w:cstheme="minorEastAsia"/>
          <w:b/>
          <w:color w:val="auto"/>
          <w:sz w:val="44"/>
        </w:rPr>
      </w:pPr>
      <w:bookmarkStart w:id="2" w:name="_Toc120614210"/>
      <w:bookmarkStart w:id="3" w:name="_Toc479757206"/>
      <w:bookmarkStart w:id="4" w:name="_Toc523127445"/>
      <w:bookmarkStart w:id="5" w:name="_Toc20823272"/>
      <w:bookmarkStart w:id="6" w:name="_Toc16938516"/>
      <w:bookmarkStart w:id="7" w:name="_Toc513029200"/>
      <w:r>
        <w:rPr>
          <w:rFonts w:hint="eastAsia" w:asciiTheme="minorEastAsia" w:hAnsiTheme="minorEastAsia" w:eastAsiaTheme="minorEastAsia" w:cstheme="minorEastAsia"/>
          <w:color w:val="auto"/>
        </w:rPr>
        <w:t xml:space="preserve"> </w:t>
      </w:r>
      <w:bookmarkStart w:id="8" w:name="_Toc6626"/>
      <w:r>
        <w:rPr>
          <w:rFonts w:hint="eastAsia" w:asciiTheme="minorEastAsia" w:hAnsiTheme="minorEastAsia" w:eastAsiaTheme="minorEastAsia" w:cstheme="minorEastAsia"/>
          <w:b/>
          <w:color w:val="auto"/>
          <w:sz w:val="44"/>
        </w:rPr>
        <w:t>总  目  录</w:t>
      </w:r>
      <w:bookmarkEnd w:id="8"/>
    </w:p>
    <w:p w14:paraId="6F060CAB">
      <w:pPr>
        <w:pStyle w:val="309"/>
        <w:tabs>
          <w:tab w:val="right" w:leader="dot" w:pos="8306"/>
        </w:tabs>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TOC \o "1-1" \h \u </w:instrText>
      </w:r>
      <w:r>
        <w:rPr>
          <w:rFonts w:hint="eastAsia" w:asciiTheme="minorEastAsia" w:hAnsiTheme="minorEastAsia" w:eastAsiaTheme="minorEastAsia" w:cstheme="minorEastAsia"/>
          <w:color w:val="auto"/>
        </w:rPr>
        <w:fldChar w:fldCharType="separate"/>
      </w:r>
    </w:p>
    <w:p w14:paraId="4DEE8765">
      <w:pPr>
        <w:pStyle w:val="309"/>
        <w:tabs>
          <w:tab w:val="right" w:leader="dot" w:pos="8306"/>
        </w:tabs>
        <w:spacing w:line="360" w:lineRule="auto"/>
        <w:rPr>
          <w:rFonts w:hint="eastAsia" w:asciiTheme="minorEastAsia" w:hAnsiTheme="minorEastAsia" w:eastAsiaTheme="minorEastAsia" w:cstheme="minorEastAsia"/>
          <w:color w:val="auto"/>
        </w:rPr>
      </w:pPr>
    </w:p>
    <w:p w14:paraId="3AB5E5F4">
      <w:pPr>
        <w:pStyle w:val="309"/>
        <w:tabs>
          <w:tab w:val="right" w:leader="dot" w:pos="8306"/>
        </w:tabs>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_Toc12340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第一章  投标邀请</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_Toc12340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3</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p>
    <w:p w14:paraId="709ABCCF">
      <w:pPr>
        <w:pStyle w:val="309"/>
        <w:tabs>
          <w:tab w:val="right" w:leader="dot" w:pos="8306"/>
        </w:tabs>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_Toc6429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第二章  投标人须知</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_Toc6429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6</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p>
    <w:p w14:paraId="03D960BC">
      <w:pPr>
        <w:pStyle w:val="309"/>
        <w:tabs>
          <w:tab w:val="right" w:leader="dot" w:pos="8306"/>
        </w:tabs>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_Toc6505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第三章  合同文本</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PAGEREF _Toc6505 \h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color w:val="auto"/>
          <w:sz w:val="36"/>
          <w:szCs w:val="36"/>
        </w:rPr>
        <w:t>23</w:t>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fldChar w:fldCharType="end"/>
      </w:r>
    </w:p>
    <w:p w14:paraId="0FC1F7A7">
      <w:pPr>
        <w:pStyle w:val="309"/>
        <w:tabs>
          <w:tab w:val="right" w:leader="dot" w:pos="8306"/>
        </w:tabs>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_Toc17950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第四章  采购需求</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39</w:t>
      </w:r>
    </w:p>
    <w:p w14:paraId="28741DF5">
      <w:pPr>
        <w:pStyle w:val="309"/>
        <w:tabs>
          <w:tab w:val="right" w:leader="dot" w:pos="8306"/>
        </w:tabs>
        <w:spacing w:line="360" w:lineRule="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_Toc7880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第五章  评标方法与评标标准</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49</w:t>
      </w:r>
    </w:p>
    <w:p w14:paraId="208C6DF1">
      <w:pPr>
        <w:pStyle w:val="309"/>
        <w:tabs>
          <w:tab w:val="right" w:leader="dot" w:pos="8306"/>
        </w:tabs>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36"/>
          <w:szCs w:val="36"/>
        </w:rPr>
        <w:fldChar w:fldCharType="begin"/>
      </w:r>
      <w:r>
        <w:rPr>
          <w:rFonts w:hint="eastAsia" w:asciiTheme="minorEastAsia" w:hAnsiTheme="minorEastAsia" w:eastAsiaTheme="minorEastAsia" w:cstheme="minorEastAsia"/>
          <w:color w:val="auto"/>
          <w:sz w:val="36"/>
          <w:szCs w:val="36"/>
        </w:rPr>
        <w:instrText xml:space="preserve"> HYPERLINK \l _Toc3874 </w:instrText>
      </w:r>
      <w:r>
        <w:rPr>
          <w:rFonts w:hint="eastAsia" w:asciiTheme="minorEastAsia" w:hAnsiTheme="minorEastAsia" w:eastAsiaTheme="minorEastAsia" w:cstheme="minorEastAsia"/>
          <w:color w:val="auto"/>
          <w:sz w:val="36"/>
          <w:szCs w:val="36"/>
        </w:rPr>
        <w:fldChar w:fldCharType="separate"/>
      </w:r>
      <w:r>
        <w:rPr>
          <w:rFonts w:hint="eastAsia" w:asciiTheme="minorEastAsia" w:hAnsiTheme="minorEastAsia" w:eastAsiaTheme="minorEastAsia" w:cstheme="minorEastAsia"/>
          <w:bCs/>
          <w:color w:val="auto"/>
          <w:sz w:val="36"/>
          <w:szCs w:val="36"/>
        </w:rPr>
        <w:t>第六章  投标文件格式</w:t>
      </w:r>
      <w:r>
        <w:rPr>
          <w:rFonts w:hint="eastAsia" w:asciiTheme="minorEastAsia" w:hAnsiTheme="minorEastAsia" w:eastAsiaTheme="minorEastAsia" w:cstheme="minorEastAsia"/>
          <w:color w:val="auto"/>
          <w:sz w:val="36"/>
          <w:szCs w:val="36"/>
        </w:rPr>
        <w:tab/>
      </w:r>
      <w:r>
        <w:rPr>
          <w:rFonts w:hint="eastAsia" w:asciiTheme="minorEastAsia" w:hAnsiTheme="minorEastAsia" w:eastAsiaTheme="minorEastAsia" w:cstheme="minorEastAsia"/>
          <w:color w:val="auto"/>
          <w:sz w:val="36"/>
          <w:szCs w:val="36"/>
        </w:rPr>
        <w:fldChar w:fldCharType="end"/>
      </w:r>
      <w:r>
        <w:rPr>
          <w:rFonts w:hint="eastAsia" w:asciiTheme="minorEastAsia" w:hAnsiTheme="minorEastAsia" w:eastAsiaTheme="minorEastAsia" w:cstheme="minorEastAsia"/>
          <w:color w:val="auto"/>
          <w:sz w:val="36"/>
          <w:szCs w:val="36"/>
        </w:rPr>
        <w:t>53</w:t>
      </w:r>
    </w:p>
    <w:p w14:paraId="2946A962">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end"/>
      </w:r>
    </w:p>
    <w:p w14:paraId="6C570D6A">
      <w:pPr>
        <w:rPr>
          <w:rFonts w:hint="eastAsia" w:asciiTheme="minorEastAsia" w:hAnsiTheme="minorEastAsia" w:eastAsiaTheme="minorEastAsia" w:cstheme="minorEastAsia"/>
          <w:color w:val="auto"/>
        </w:rPr>
      </w:pPr>
    </w:p>
    <w:p w14:paraId="7A54E9E7">
      <w:pPr>
        <w:rPr>
          <w:rFonts w:hint="eastAsia" w:asciiTheme="minorEastAsia" w:hAnsiTheme="minorEastAsia" w:eastAsiaTheme="minorEastAsia" w:cstheme="minorEastAsia"/>
          <w:color w:val="auto"/>
        </w:rPr>
      </w:pPr>
    </w:p>
    <w:p w14:paraId="78FFEF02">
      <w:pPr>
        <w:rPr>
          <w:rFonts w:hint="eastAsia" w:asciiTheme="minorEastAsia" w:hAnsiTheme="minorEastAsia" w:eastAsiaTheme="minorEastAsia" w:cstheme="minorEastAsia"/>
          <w:color w:val="auto"/>
        </w:rPr>
      </w:pPr>
    </w:p>
    <w:p w14:paraId="67D52DB5">
      <w:pPr>
        <w:rPr>
          <w:rFonts w:hint="eastAsia" w:asciiTheme="minorEastAsia" w:hAnsiTheme="minorEastAsia" w:eastAsiaTheme="minorEastAsia" w:cstheme="minorEastAsia"/>
          <w:color w:val="auto"/>
        </w:rPr>
      </w:pPr>
    </w:p>
    <w:p w14:paraId="0BA4BF8F">
      <w:pPr>
        <w:rPr>
          <w:rFonts w:hint="eastAsia" w:asciiTheme="minorEastAsia" w:hAnsiTheme="minorEastAsia" w:eastAsiaTheme="minorEastAsia" w:cstheme="minorEastAsia"/>
          <w:color w:val="auto"/>
        </w:rPr>
      </w:pPr>
    </w:p>
    <w:p w14:paraId="7E87A949">
      <w:pPr>
        <w:rPr>
          <w:rFonts w:hint="eastAsia" w:asciiTheme="minorEastAsia" w:hAnsiTheme="minorEastAsia" w:eastAsiaTheme="minorEastAsia" w:cstheme="minorEastAsia"/>
          <w:color w:val="auto"/>
        </w:rPr>
      </w:pPr>
    </w:p>
    <w:p w14:paraId="0BA2D1C5">
      <w:pPr>
        <w:rPr>
          <w:rFonts w:hint="eastAsia" w:asciiTheme="minorEastAsia" w:hAnsiTheme="minorEastAsia" w:eastAsiaTheme="minorEastAsia" w:cstheme="minorEastAsia"/>
          <w:color w:val="auto"/>
        </w:rPr>
      </w:pPr>
    </w:p>
    <w:p w14:paraId="295A35D6">
      <w:pPr>
        <w:rPr>
          <w:rFonts w:hint="eastAsia" w:asciiTheme="minorEastAsia" w:hAnsiTheme="minorEastAsia" w:eastAsiaTheme="minorEastAsia" w:cstheme="minorEastAsia"/>
          <w:color w:val="auto"/>
        </w:rPr>
      </w:pPr>
    </w:p>
    <w:p w14:paraId="28D3D1A1">
      <w:pPr>
        <w:rPr>
          <w:rFonts w:hint="eastAsia" w:asciiTheme="minorEastAsia" w:hAnsiTheme="minorEastAsia" w:eastAsiaTheme="minorEastAsia" w:cstheme="minorEastAsia"/>
          <w:color w:val="auto"/>
        </w:rPr>
      </w:pPr>
    </w:p>
    <w:p w14:paraId="60FBBA56">
      <w:pPr>
        <w:rPr>
          <w:rFonts w:hint="eastAsia" w:asciiTheme="minorEastAsia" w:hAnsiTheme="minorEastAsia" w:eastAsiaTheme="minorEastAsia" w:cstheme="minorEastAsia"/>
          <w:color w:val="auto"/>
        </w:rPr>
      </w:pPr>
    </w:p>
    <w:p w14:paraId="4EA0C20A">
      <w:pPr>
        <w:rPr>
          <w:rFonts w:hint="eastAsia" w:asciiTheme="minorEastAsia" w:hAnsiTheme="minorEastAsia" w:eastAsiaTheme="minorEastAsia" w:cstheme="minorEastAsia"/>
          <w:color w:val="auto"/>
        </w:rPr>
      </w:pPr>
    </w:p>
    <w:p w14:paraId="3E175712">
      <w:pPr>
        <w:rPr>
          <w:rFonts w:hint="eastAsia" w:asciiTheme="minorEastAsia" w:hAnsiTheme="minorEastAsia" w:eastAsiaTheme="minorEastAsia" w:cstheme="minorEastAsia"/>
          <w:color w:val="auto"/>
        </w:rPr>
      </w:pPr>
    </w:p>
    <w:p w14:paraId="14A69D8F">
      <w:pPr>
        <w:rPr>
          <w:rFonts w:hint="eastAsia" w:asciiTheme="minorEastAsia" w:hAnsiTheme="minorEastAsia" w:eastAsiaTheme="minorEastAsia" w:cstheme="minorEastAsia"/>
          <w:color w:val="auto"/>
        </w:rPr>
      </w:pPr>
    </w:p>
    <w:p w14:paraId="6B78A7FF">
      <w:pPr>
        <w:rPr>
          <w:rFonts w:hint="eastAsia" w:asciiTheme="minorEastAsia" w:hAnsiTheme="minorEastAsia" w:eastAsiaTheme="minorEastAsia" w:cstheme="minorEastAsia"/>
          <w:color w:val="auto"/>
        </w:rPr>
      </w:pPr>
    </w:p>
    <w:p w14:paraId="247536BA">
      <w:pPr>
        <w:rPr>
          <w:rFonts w:hint="eastAsia" w:asciiTheme="minorEastAsia" w:hAnsiTheme="minorEastAsia" w:eastAsiaTheme="minorEastAsia" w:cstheme="minorEastAsia"/>
          <w:color w:val="auto"/>
        </w:rPr>
      </w:pPr>
    </w:p>
    <w:p w14:paraId="05A3D5FF">
      <w:pPr>
        <w:rPr>
          <w:rFonts w:hint="eastAsia" w:asciiTheme="minorEastAsia" w:hAnsiTheme="minorEastAsia" w:eastAsiaTheme="minorEastAsia" w:cstheme="minorEastAsia"/>
          <w:color w:val="auto"/>
        </w:rPr>
      </w:pPr>
    </w:p>
    <w:p w14:paraId="09CF2F93">
      <w:pPr>
        <w:rPr>
          <w:rFonts w:hint="eastAsia" w:asciiTheme="minorEastAsia" w:hAnsiTheme="minorEastAsia" w:eastAsiaTheme="minorEastAsia" w:cstheme="minorEastAsia"/>
          <w:color w:val="auto"/>
        </w:rPr>
      </w:pPr>
    </w:p>
    <w:p w14:paraId="05D2ACBE">
      <w:pPr>
        <w:rPr>
          <w:rFonts w:hint="eastAsia" w:asciiTheme="minorEastAsia" w:hAnsiTheme="minorEastAsia" w:eastAsiaTheme="minorEastAsia" w:cstheme="minorEastAsia"/>
          <w:color w:val="auto"/>
        </w:rPr>
      </w:pPr>
    </w:p>
    <w:p w14:paraId="0FD65D75">
      <w:pPr>
        <w:rPr>
          <w:rFonts w:hint="eastAsia" w:asciiTheme="minorEastAsia" w:hAnsiTheme="minorEastAsia" w:eastAsiaTheme="minorEastAsia" w:cstheme="minorEastAsia"/>
          <w:color w:val="auto"/>
        </w:rPr>
      </w:pPr>
    </w:p>
    <w:p w14:paraId="21A4E92E">
      <w:pPr>
        <w:rPr>
          <w:rFonts w:hint="eastAsia" w:asciiTheme="minorEastAsia" w:hAnsiTheme="minorEastAsia" w:eastAsiaTheme="minorEastAsia" w:cstheme="minorEastAsia"/>
          <w:color w:val="auto"/>
        </w:rPr>
      </w:pPr>
    </w:p>
    <w:p w14:paraId="6BE5FBA2">
      <w:pPr>
        <w:rPr>
          <w:rFonts w:hint="eastAsia" w:asciiTheme="minorEastAsia" w:hAnsiTheme="minorEastAsia" w:eastAsiaTheme="minorEastAsia" w:cstheme="minorEastAsia"/>
          <w:color w:val="auto"/>
        </w:rPr>
      </w:pPr>
    </w:p>
    <w:p w14:paraId="64F71369">
      <w:pPr>
        <w:rPr>
          <w:rFonts w:hint="eastAsia" w:asciiTheme="minorEastAsia" w:hAnsiTheme="minorEastAsia" w:eastAsiaTheme="minorEastAsia" w:cstheme="minorEastAsia"/>
          <w:color w:val="auto"/>
        </w:rPr>
      </w:pPr>
    </w:p>
    <w:p w14:paraId="5B1BD46E">
      <w:pPr>
        <w:rPr>
          <w:rFonts w:hint="eastAsia" w:asciiTheme="minorEastAsia" w:hAnsiTheme="minorEastAsia" w:eastAsiaTheme="minorEastAsia" w:cstheme="minorEastAsia"/>
          <w:color w:val="auto"/>
        </w:rPr>
      </w:pPr>
    </w:p>
    <w:p w14:paraId="32BD40B2">
      <w:pPr>
        <w:rPr>
          <w:rFonts w:hint="eastAsia" w:asciiTheme="minorEastAsia" w:hAnsiTheme="minorEastAsia" w:eastAsiaTheme="minorEastAsia" w:cstheme="minorEastAsia"/>
          <w:color w:val="auto"/>
        </w:rPr>
      </w:pPr>
    </w:p>
    <w:p w14:paraId="712D5D01">
      <w:pPr>
        <w:rPr>
          <w:rFonts w:hint="eastAsia" w:asciiTheme="minorEastAsia" w:hAnsiTheme="minorEastAsia" w:eastAsiaTheme="minorEastAsia" w:cstheme="minorEastAsia"/>
          <w:color w:val="auto"/>
        </w:rPr>
      </w:pPr>
    </w:p>
    <w:p w14:paraId="16842240">
      <w:pPr>
        <w:rPr>
          <w:rFonts w:hint="eastAsia" w:asciiTheme="minorEastAsia" w:hAnsiTheme="minorEastAsia" w:eastAsiaTheme="minorEastAsia" w:cstheme="minorEastAsia"/>
          <w:color w:val="auto"/>
        </w:rPr>
      </w:pPr>
    </w:p>
    <w:p w14:paraId="755817B6">
      <w:pPr>
        <w:rPr>
          <w:rFonts w:hint="eastAsia" w:asciiTheme="minorEastAsia" w:hAnsiTheme="minorEastAsia" w:eastAsiaTheme="minorEastAsia" w:cstheme="minorEastAsia"/>
          <w:color w:val="auto"/>
        </w:rPr>
      </w:pPr>
    </w:p>
    <w:p w14:paraId="533F6C55">
      <w:pPr>
        <w:pStyle w:val="195"/>
        <w:rPr>
          <w:rFonts w:hint="eastAsia" w:asciiTheme="minorEastAsia" w:hAnsiTheme="minorEastAsia" w:eastAsiaTheme="minorEastAsia" w:cstheme="minorEastAsia"/>
          <w:bCs/>
          <w:color w:val="auto"/>
          <w:sz w:val="44"/>
          <w:szCs w:val="44"/>
        </w:rPr>
      </w:pPr>
      <w:bookmarkStart w:id="9" w:name="_Toc12340"/>
      <w:r>
        <w:rPr>
          <w:rFonts w:hint="eastAsia" w:asciiTheme="minorEastAsia" w:hAnsiTheme="minorEastAsia" w:eastAsiaTheme="minorEastAsia" w:cstheme="minorEastAsia"/>
          <w:color w:val="auto"/>
          <w:sz w:val="44"/>
          <w:szCs w:val="44"/>
        </w:rPr>
        <w:t xml:space="preserve">第一章  </w:t>
      </w:r>
      <w:bookmarkEnd w:id="2"/>
      <w:r>
        <w:rPr>
          <w:rFonts w:hint="eastAsia" w:asciiTheme="minorEastAsia" w:hAnsiTheme="minorEastAsia" w:eastAsiaTheme="minorEastAsia" w:cstheme="minorEastAsia"/>
          <w:color w:val="auto"/>
          <w:sz w:val="44"/>
          <w:szCs w:val="44"/>
        </w:rPr>
        <w:t>投标邀请</w:t>
      </w:r>
      <w:bookmarkEnd w:id="9"/>
    </w:p>
    <w:p w14:paraId="3705A998">
      <w:pPr>
        <w:spacing w:line="360" w:lineRule="auto"/>
        <w:ind w:firstLine="480"/>
        <w:rPr>
          <w:rFonts w:hint="eastAsia" w:asciiTheme="minorEastAsia" w:hAnsiTheme="minorEastAsia" w:eastAsiaTheme="minorEastAsia" w:cstheme="minorEastAsia"/>
          <w:color w:val="auto"/>
          <w:sz w:val="24"/>
          <w:szCs w:val="24"/>
        </w:rPr>
      </w:pPr>
    </w:p>
    <w:p w14:paraId="7BBD1F64">
      <w:pPr>
        <w:spacing w:line="360" w:lineRule="auto"/>
        <w:ind w:firstLine="480"/>
        <w:rPr>
          <w:rFonts w:hint="eastAsia" w:asciiTheme="minorEastAsia" w:hAnsiTheme="minorEastAsia" w:eastAsiaTheme="minorEastAsia" w:cstheme="minorEastAsia"/>
          <w:color w:val="auto"/>
          <w:sz w:val="24"/>
          <w:szCs w:val="24"/>
        </w:rPr>
      </w:pPr>
      <w:r>
        <w:rPr>
          <w:rFonts w:hint="eastAsia" w:ascii="宋体" w:hAnsi="宋体"/>
          <w:color w:val="auto"/>
          <w:sz w:val="24"/>
          <w:szCs w:val="24"/>
        </w:rPr>
        <w:t>受［常州市北环中学］的委托，常州市教育基本建设与装备管理中心（采购代理机构）就［</w:t>
      </w:r>
      <w:r>
        <w:rPr>
          <w:rFonts w:hint="eastAsia" w:ascii="宋体" w:hAnsi="宋体"/>
          <w:color w:val="auto"/>
          <w:sz w:val="24"/>
          <w:szCs w:val="24"/>
          <w:lang w:eastAsia="zh-CN"/>
        </w:rPr>
        <w:t>常州市北环中学易地新建项目报告厅舞台设备及音视频会议系统设备采购及安装</w:t>
      </w:r>
      <w:r>
        <w:rPr>
          <w:rFonts w:hint="eastAsia" w:ascii="宋体" w:hAnsi="宋体"/>
          <w:color w:val="auto"/>
          <w:sz w:val="24"/>
          <w:szCs w:val="24"/>
        </w:rPr>
        <w:t>］(项目编号：JSZC-320400-JZCG-G2026-0091</w:t>
      </w:r>
      <w:r>
        <w:rPr>
          <w:rFonts w:hint="eastAsia" w:ascii="宋体" w:hAnsi="宋体"/>
          <w:color w:val="auto"/>
          <w:sz w:val="24"/>
          <w:szCs w:val="24"/>
        </w:rPr>
        <w:tab/>
      </w:r>
      <w:r>
        <w:rPr>
          <w:rFonts w:hint="eastAsia" w:ascii="宋体" w:hAnsi="宋体"/>
          <w:color w:val="auto"/>
          <w:sz w:val="24"/>
          <w:szCs w:val="24"/>
        </w:rPr>
        <w:t>)项目进行公开招标采购，欢迎符合条件的供应商投标</w:t>
      </w:r>
      <w:r>
        <w:rPr>
          <w:rFonts w:hint="eastAsia" w:asciiTheme="minorEastAsia" w:hAnsiTheme="minorEastAsia" w:eastAsiaTheme="minorEastAsia" w:cstheme="minorEastAsia"/>
          <w:color w:val="auto"/>
          <w:sz w:val="24"/>
          <w:szCs w:val="24"/>
        </w:rPr>
        <w:t>。</w:t>
      </w:r>
    </w:p>
    <w:p w14:paraId="03D12D4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项目概况</w:t>
      </w:r>
    </w:p>
    <w:p w14:paraId="1BF2226A">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 xml:space="preserve">  </w:t>
      </w:r>
      <w:r>
        <w:rPr>
          <w:rFonts w:hint="eastAsia" w:ascii="宋体" w:hAnsi="宋体"/>
          <w:color w:val="auto"/>
          <w:sz w:val="24"/>
          <w:szCs w:val="24"/>
          <w:u w:val="single"/>
        </w:rPr>
        <w:t>常州市北环中学易地新建项目报告厅舞台设备及音视频会议系统设备采购及安装</w:t>
      </w:r>
      <w:r>
        <w:rPr>
          <w:rFonts w:hint="eastAsia" w:asciiTheme="minorEastAsia" w:hAnsiTheme="minorEastAsia" w:eastAsiaTheme="minorEastAsia" w:cstheme="minorEastAsia"/>
          <w:color w:val="auto"/>
          <w:sz w:val="24"/>
          <w:szCs w:val="24"/>
        </w:rPr>
        <w:t>公开招标项目的潜在供应商可在</w:t>
      </w:r>
      <w:r>
        <w:rPr>
          <w:rFonts w:hint="eastAsia" w:asciiTheme="minorEastAsia" w:hAnsiTheme="minorEastAsia" w:eastAsiaTheme="minorEastAsia" w:cstheme="minorEastAsia"/>
          <w:color w:val="auto"/>
          <w:sz w:val="24"/>
          <w:szCs w:val="24"/>
          <w:u w:val="single"/>
        </w:rPr>
        <w:t>“江苏政府采购网、常州市政府采购网”自行免费下载采购</w:t>
      </w:r>
      <w:r>
        <w:rPr>
          <w:rFonts w:hint="eastAsia" w:asciiTheme="minorEastAsia" w:hAnsiTheme="minorEastAsia" w:eastAsiaTheme="minorEastAsia" w:cstheme="minorEastAsia"/>
          <w:color w:val="auto"/>
          <w:sz w:val="24"/>
          <w:szCs w:val="24"/>
        </w:rPr>
        <w:t>文件，并于</w:t>
      </w:r>
      <w:r>
        <w:rPr>
          <w:rFonts w:hint="eastAsia" w:asciiTheme="minorEastAsia" w:hAnsiTheme="minorEastAsia" w:eastAsiaTheme="minorEastAsia" w:cstheme="minorEastAsia"/>
          <w:color w:val="auto"/>
          <w:sz w:val="24"/>
          <w:szCs w:val="24"/>
          <w:u w:val="single"/>
        </w:rPr>
        <w:t xml:space="preserve">  202</w:t>
      </w:r>
      <w:r>
        <w:rPr>
          <w:rFonts w:hint="eastAsia" w:asciiTheme="minorEastAsia" w:hAnsiTheme="minorEastAsia" w:eastAsiaTheme="minorEastAsia" w:cstheme="minorEastAsia"/>
          <w:color w:val="auto"/>
          <w:sz w:val="24"/>
          <w:szCs w:val="24"/>
          <w:u w:val="single"/>
          <w:lang w:val="en-US" w:eastAsia="zh-CN"/>
        </w:rPr>
        <w:t>6</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Cs/>
          <w:color w:val="auto"/>
          <w:sz w:val="24"/>
          <w:szCs w:val="24"/>
          <w:u w:val="single"/>
        </w:rPr>
        <w:t xml:space="preserve">年 </w:t>
      </w:r>
      <w:r>
        <w:rPr>
          <w:rFonts w:hint="eastAsia" w:asciiTheme="minorEastAsia" w:hAnsiTheme="minorEastAsia" w:eastAsiaTheme="minorEastAsia" w:cstheme="minorEastAsia"/>
          <w:bCs/>
          <w:color w:val="auto"/>
          <w:sz w:val="24"/>
          <w:szCs w:val="24"/>
          <w:u w:val="single"/>
          <w:lang w:val="en-US" w:eastAsia="zh-CN"/>
        </w:rPr>
        <w:t>4</w:t>
      </w:r>
      <w:r>
        <w:rPr>
          <w:rFonts w:hint="eastAsia" w:asciiTheme="minorEastAsia" w:hAnsiTheme="minorEastAsia" w:eastAsiaTheme="minorEastAsia" w:cstheme="minorEastAsia"/>
          <w:bCs/>
          <w:color w:val="auto"/>
          <w:sz w:val="24"/>
          <w:szCs w:val="24"/>
          <w:u w:val="single"/>
        </w:rPr>
        <w:t xml:space="preserve"> 月</w:t>
      </w:r>
      <w:r>
        <w:rPr>
          <w:rFonts w:hint="eastAsia" w:asciiTheme="minorEastAsia" w:hAnsiTheme="minorEastAsia" w:eastAsiaTheme="minorEastAsia" w:cstheme="minorEastAsia"/>
          <w:bCs/>
          <w:color w:val="auto"/>
          <w:sz w:val="24"/>
          <w:szCs w:val="24"/>
          <w:u w:val="single"/>
          <w:lang w:val="en-US" w:eastAsia="zh-CN"/>
        </w:rPr>
        <w:t>30</w:t>
      </w:r>
      <w:r>
        <w:rPr>
          <w:rFonts w:hint="eastAsia" w:asciiTheme="minorEastAsia" w:hAnsiTheme="minorEastAsia" w:eastAsiaTheme="minorEastAsia" w:cstheme="minorEastAsia"/>
          <w:bCs/>
          <w:color w:val="auto"/>
          <w:sz w:val="24"/>
          <w:szCs w:val="24"/>
          <w:u w:val="single"/>
        </w:rPr>
        <w:t xml:space="preserve">日 </w:t>
      </w:r>
      <w:r>
        <w:rPr>
          <w:rFonts w:hint="eastAsia" w:asciiTheme="minorEastAsia" w:hAnsiTheme="minorEastAsia" w:eastAsiaTheme="minorEastAsia" w:cstheme="minorEastAsia"/>
          <w:bCs/>
          <w:color w:val="auto"/>
          <w:sz w:val="24"/>
          <w:szCs w:val="24"/>
          <w:u w:val="single"/>
          <w:lang w:val="en-US" w:eastAsia="zh-CN"/>
        </w:rPr>
        <w:t>9</w:t>
      </w:r>
      <w:r>
        <w:rPr>
          <w:rFonts w:hint="eastAsia" w:asciiTheme="minorEastAsia" w:hAnsiTheme="minorEastAsia" w:eastAsiaTheme="minorEastAsia" w:cstheme="minorEastAsia"/>
          <w:bCs/>
          <w:color w:val="auto"/>
          <w:sz w:val="24"/>
          <w:szCs w:val="24"/>
          <w:u w:val="single"/>
        </w:rPr>
        <w:t xml:space="preserve">  点 </w:t>
      </w:r>
      <w:r>
        <w:rPr>
          <w:rFonts w:hint="eastAsia" w:asciiTheme="minorEastAsia" w:hAnsiTheme="minorEastAsia" w:eastAsiaTheme="minorEastAsia" w:cstheme="minorEastAsia"/>
          <w:bCs/>
          <w:color w:val="auto"/>
          <w:sz w:val="24"/>
          <w:szCs w:val="24"/>
          <w:u w:val="single"/>
          <w:lang w:val="en-US" w:eastAsia="zh-CN"/>
        </w:rPr>
        <w:t>30</w:t>
      </w:r>
      <w:r>
        <w:rPr>
          <w:rFonts w:hint="eastAsia" w:asciiTheme="minorEastAsia" w:hAnsiTheme="minorEastAsia" w:eastAsiaTheme="minorEastAsia" w:cstheme="minorEastAsia"/>
          <w:bCs/>
          <w:color w:val="auto"/>
          <w:sz w:val="24"/>
          <w:szCs w:val="24"/>
          <w:u w:val="single"/>
        </w:rPr>
        <w:t xml:space="preserve"> 分（</w:t>
      </w:r>
      <w:r>
        <w:rPr>
          <w:rFonts w:hint="eastAsia" w:asciiTheme="minorEastAsia" w:hAnsiTheme="minorEastAsia" w:eastAsiaTheme="minorEastAsia" w:cstheme="minorEastAsia"/>
          <w:bCs/>
          <w:color w:val="auto"/>
          <w:sz w:val="24"/>
          <w:szCs w:val="24"/>
        </w:rPr>
        <w:t>北京时间）前递交</w:t>
      </w:r>
      <w:r>
        <w:rPr>
          <w:rFonts w:hint="eastAsia" w:asciiTheme="minorEastAsia" w:hAnsiTheme="minorEastAsia" w:eastAsiaTheme="minorEastAsia" w:cstheme="minorEastAsia"/>
          <w:bCs/>
          <w:color w:val="auto"/>
          <w:sz w:val="24"/>
          <w:szCs w:val="24"/>
          <w:lang w:val="en-US" w:eastAsia="zh-CN"/>
        </w:rPr>
        <w:t>投标</w:t>
      </w:r>
      <w:r>
        <w:rPr>
          <w:rFonts w:hint="eastAsia" w:asciiTheme="minorEastAsia" w:hAnsiTheme="minorEastAsia" w:eastAsiaTheme="minorEastAsia" w:cstheme="minorEastAsia"/>
          <w:bCs/>
          <w:color w:val="auto"/>
          <w:sz w:val="24"/>
          <w:szCs w:val="24"/>
        </w:rPr>
        <w:t>文件</w:t>
      </w:r>
      <w:r>
        <w:rPr>
          <w:rFonts w:hint="eastAsia" w:asciiTheme="minorEastAsia" w:hAnsiTheme="minorEastAsia" w:eastAsiaTheme="minorEastAsia" w:cstheme="minorEastAsia"/>
          <w:color w:val="auto"/>
          <w:sz w:val="24"/>
          <w:szCs w:val="24"/>
        </w:rPr>
        <w:t>。</w:t>
      </w:r>
    </w:p>
    <w:p w14:paraId="13D13983">
      <w:pPr>
        <w:spacing w:line="360" w:lineRule="auto"/>
        <w:ind w:firstLine="480"/>
        <w:rPr>
          <w:rFonts w:hint="eastAsia" w:asciiTheme="minorEastAsia" w:hAnsiTheme="minorEastAsia" w:eastAsiaTheme="minorEastAsia" w:cstheme="minorEastAsia"/>
          <w:color w:val="auto"/>
          <w:sz w:val="24"/>
          <w:szCs w:val="24"/>
        </w:rPr>
      </w:pPr>
    </w:p>
    <w:p w14:paraId="18EC0DCE">
      <w:pPr>
        <w:pStyle w:val="201"/>
        <w:spacing w:before="156" w:after="156" w:line="360" w:lineRule="auto"/>
        <w:ind w:firstLine="498"/>
        <w:rPr>
          <w:rFonts w:hint="eastAsia" w:asciiTheme="minorEastAsia" w:hAnsiTheme="minorEastAsia" w:eastAsiaTheme="minorEastAsia" w:cstheme="minorEastAsia"/>
          <w:color w:val="auto"/>
        </w:rPr>
      </w:pPr>
      <w:bookmarkStart w:id="10" w:name="_Toc28359079"/>
      <w:bookmarkStart w:id="11" w:name="_Toc35393790"/>
      <w:bookmarkStart w:id="12" w:name="_Toc35393621"/>
      <w:bookmarkStart w:id="13" w:name="_Toc28359002"/>
      <w:bookmarkStart w:id="14" w:name="_Toc38985263"/>
      <w:bookmarkStart w:id="15" w:name="_Hlk24379207"/>
      <w:r>
        <w:rPr>
          <w:rFonts w:hint="eastAsia" w:asciiTheme="minorEastAsia" w:hAnsiTheme="minorEastAsia" w:eastAsiaTheme="minorEastAsia" w:cstheme="minorEastAsia"/>
          <w:color w:val="auto"/>
        </w:rPr>
        <w:t>一、项目基本情况</w:t>
      </w:r>
      <w:bookmarkEnd w:id="10"/>
      <w:bookmarkEnd w:id="11"/>
      <w:bookmarkEnd w:id="12"/>
      <w:bookmarkEnd w:id="13"/>
      <w:bookmarkEnd w:id="14"/>
    </w:p>
    <w:p w14:paraId="7EF95396">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1.项目编号：JSZC-320400-JZCG-G2026-0091</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ab/>
      </w:r>
    </w:p>
    <w:p w14:paraId="76646016">
      <w:pPr>
        <w:spacing w:line="360" w:lineRule="auto"/>
        <w:ind w:firstLine="48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2.项目名称：</w:t>
      </w:r>
      <w:bookmarkEnd w:id="15"/>
      <w:r>
        <w:rPr>
          <w:rFonts w:hint="eastAsia" w:ascii="宋体" w:hAnsi="宋体"/>
          <w:color w:val="auto"/>
          <w:sz w:val="24"/>
          <w:szCs w:val="24"/>
          <w:lang w:eastAsia="zh-CN"/>
        </w:rPr>
        <w:t>常州市北环中学易地新建项目</w:t>
      </w:r>
      <w:r>
        <w:rPr>
          <w:rFonts w:hint="eastAsia" w:ascii="宋体" w:hAnsi="宋体"/>
          <w:color w:val="auto"/>
          <w:sz w:val="24"/>
          <w:szCs w:val="24"/>
          <w:lang w:val="en-US" w:eastAsia="zh-CN"/>
        </w:rPr>
        <w:t>报告厅舞台设备及音视频会议系统设备采购及安装</w:t>
      </w:r>
    </w:p>
    <w:p w14:paraId="18B030DC">
      <w:pPr>
        <w:spacing w:line="360" w:lineRule="auto"/>
        <w:ind w:firstLine="480"/>
        <w:rPr>
          <w:rFonts w:ascii="宋体" w:hAnsi="宋体"/>
          <w:color w:val="auto"/>
          <w:sz w:val="24"/>
          <w:szCs w:val="24"/>
        </w:rPr>
      </w:pPr>
      <w:bookmarkStart w:id="16" w:name="_Toc35393791"/>
      <w:bookmarkStart w:id="17" w:name="_Toc28359003"/>
      <w:bookmarkStart w:id="18" w:name="_Toc35393622"/>
      <w:bookmarkStart w:id="19" w:name="_Toc28359080"/>
      <w:bookmarkStart w:id="20" w:name="_Toc38985264"/>
      <w:r>
        <w:rPr>
          <w:rFonts w:hint="eastAsia" w:ascii="宋体" w:hAnsi="宋体"/>
          <w:color w:val="auto"/>
          <w:sz w:val="24"/>
          <w:szCs w:val="24"/>
        </w:rPr>
        <w:t xml:space="preserve">3.预算金额： </w:t>
      </w:r>
      <w:r>
        <w:rPr>
          <w:rFonts w:hint="eastAsia" w:ascii="宋体" w:hAnsi="宋体"/>
          <w:color w:val="auto"/>
          <w:sz w:val="24"/>
          <w:szCs w:val="24"/>
          <w:lang w:val="en-US" w:eastAsia="zh-CN"/>
        </w:rPr>
        <w:t>198</w:t>
      </w:r>
      <w:r>
        <w:rPr>
          <w:rFonts w:hint="eastAsia" w:ascii="宋体" w:hAnsi="宋体"/>
          <w:color w:val="auto"/>
          <w:sz w:val="24"/>
          <w:szCs w:val="24"/>
        </w:rPr>
        <w:t>万元</w:t>
      </w:r>
    </w:p>
    <w:p w14:paraId="7890ABCE">
      <w:pPr>
        <w:spacing w:line="360" w:lineRule="auto"/>
        <w:ind w:firstLine="480"/>
        <w:rPr>
          <w:rFonts w:ascii="宋体" w:hAnsi="宋体"/>
          <w:color w:val="auto"/>
          <w:sz w:val="24"/>
          <w:szCs w:val="24"/>
        </w:rPr>
      </w:pPr>
      <w:r>
        <w:rPr>
          <w:rFonts w:hint="eastAsia" w:ascii="宋体" w:hAnsi="宋体"/>
          <w:color w:val="auto"/>
          <w:sz w:val="24"/>
          <w:szCs w:val="24"/>
        </w:rPr>
        <w:t>4.本项目设定最高限价，最高限价为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176.2</w:t>
      </w:r>
      <w:r>
        <w:rPr>
          <w:rFonts w:hint="eastAsia" w:ascii="宋体" w:hAnsi="宋体"/>
          <w:color w:val="auto"/>
          <w:sz w:val="24"/>
          <w:szCs w:val="24"/>
          <w:u w:val="single"/>
        </w:rPr>
        <w:t xml:space="preserve"> </w:t>
      </w:r>
      <w:r>
        <w:rPr>
          <w:rFonts w:hint="eastAsia" w:ascii="宋体" w:hAnsi="宋体"/>
          <w:color w:val="auto"/>
          <w:sz w:val="24"/>
          <w:szCs w:val="24"/>
        </w:rPr>
        <w:t>万元。</w:t>
      </w:r>
    </w:p>
    <w:p w14:paraId="58BE1C5C">
      <w:pPr>
        <w:spacing w:line="360" w:lineRule="auto"/>
        <w:ind w:firstLine="480"/>
        <w:rPr>
          <w:rFonts w:ascii="宋体" w:hAnsi="宋体"/>
          <w:color w:val="auto"/>
          <w:sz w:val="24"/>
          <w:szCs w:val="24"/>
          <w:u w:val="single"/>
        </w:rPr>
      </w:pPr>
      <w:r>
        <w:rPr>
          <w:rFonts w:hint="eastAsia" w:ascii="宋体" w:hAnsi="宋体"/>
          <w:color w:val="auto"/>
          <w:sz w:val="24"/>
          <w:szCs w:val="24"/>
        </w:rPr>
        <w:t xml:space="preserve">5.采购需求（简介）： </w:t>
      </w:r>
      <w:r>
        <w:rPr>
          <w:rFonts w:hint="eastAsia" w:ascii="宋体" w:hAnsi="宋体"/>
          <w:color w:val="auto"/>
          <w:sz w:val="24"/>
          <w:szCs w:val="24"/>
          <w:lang w:eastAsia="zh-CN"/>
        </w:rPr>
        <w:t>常州市北环中学易地新建项目</w:t>
      </w:r>
      <w:r>
        <w:rPr>
          <w:rFonts w:hint="eastAsia" w:ascii="宋体" w:hAnsi="宋体"/>
          <w:color w:val="auto"/>
          <w:sz w:val="24"/>
          <w:szCs w:val="24"/>
          <w:lang w:val="en-US" w:eastAsia="zh-CN"/>
        </w:rPr>
        <w:t>报告厅舞台设备及音视频会议系统设备采购及安装</w:t>
      </w:r>
      <w:r>
        <w:rPr>
          <w:rFonts w:hint="eastAsia" w:ascii="宋体" w:hAnsi="宋体"/>
          <w:color w:val="auto"/>
          <w:sz w:val="24"/>
          <w:szCs w:val="24"/>
        </w:rPr>
        <w:t>。</w:t>
      </w:r>
      <w:r>
        <w:rPr>
          <w:rFonts w:hint="eastAsia" w:ascii="宋体" w:hAnsi="宋体" w:cs="宋体"/>
          <w:color w:val="auto"/>
          <w:sz w:val="24"/>
          <w:szCs w:val="24"/>
        </w:rPr>
        <w:t xml:space="preserve">（详细内容见本招标文件第四章） </w:t>
      </w:r>
    </w:p>
    <w:p w14:paraId="07AD00C2">
      <w:pPr>
        <w:spacing w:line="360" w:lineRule="auto"/>
        <w:ind w:firstLine="480"/>
        <w:rPr>
          <w:rFonts w:hint="eastAsia" w:ascii="宋体" w:hAnsi="宋体"/>
          <w:color w:val="auto"/>
          <w:sz w:val="24"/>
          <w:szCs w:val="24"/>
          <w:u w:val="single"/>
        </w:rPr>
      </w:pPr>
      <w:r>
        <w:rPr>
          <w:rFonts w:hint="eastAsia" w:ascii="宋体" w:hAnsi="宋体"/>
          <w:color w:val="auto"/>
          <w:sz w:val="24"/>
          <w:szCs w:val="24"/>
        </w:rPr>
        <w:t>6.合同履行期限：</w:t>
      </w:r>
      <w:r>
        <w:rPr>
          <w:rFonts w:hint="eastAsia" w:ascii="宋体" w:hAnsi="宋体"/>
          <w:b/>
          <w:bCs/>
          <w:color w:val="auto"/>
          <w:sz w:val="24"/>
          <w:szCs w:val="24"/>
        </w:rPr>
        <w:t>自合同签订生效之日</w:t>
      </w:r>
      <w:r>
        <w:rPr>
          <w:rFonts w:hint="eastAsia" w:ascii="宋体" w:hAnsi="宋体"/>
          <w:color w:val="auto"/>
          <w:sz w:val="24"/>
          <w:szCs w:val="24"/>
        </w:rPr>
        <w:t>起、项目验收合格之日止。</w:t>
      </w:r>
    </w:p>
    <w:p w14:paraId="7AE260A0">
      <w:pPr>
        <w:pStyle w:val="201"/>
        <w:spacing w:before="156" w:after="156" w:line="360" w:lineRule="auto"/>
        <w:ind w:firstLine="49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二、申请人的资格要求：</w:t>
      </w:r>
      <w:bookmarkEnd w:id="16"/>
      <w:bookmarkEnd w:id="17"/>
      <w:bookmarkEnd w:id="18"/>
      <w:bookmarkEnd w:id="19"/>
      <w:bookmarkEnd w:id="20"/>
    </w:p>
    <w:p w14:paraId="5E557171">
      <w:pPr>
        <w:spacing w:line="360" w:lineRule="auto"/>
        <w:ind w:firstLine="480"/>
        <w:rPr>
          <w:rFonts w:hint="eastAsia" w:asciiTheme="minorEastAsia" w:hAnsiTheme="minorEastAsia" w:eastAsiaTheme="minorEastAsia" w:cstheme="minorEastAsia"/>
          <w:color w:val="auto"/>
          <w:sz w:val="24"/>
          <w:szCs w:val="24"/>
        </w:rPr>
      </w:pPr>
      <w:bookmarkStart w:id="21" w:name="_Toc35393792"/>
      <w:bookmarkStart w:id="22" w:name="_Toc28359081"/>
      <w:bookmarkStart w:id="23" w:name="_Toc28359004"/>
      <w:bookmarkStart w:id="24" w:name="_Toc35393623"/>
      <w:bookmarkStart w:id="25" w:name="_Toc38985265"/>
      <w:r>
        <w:rPr>
          <w:rFonts w:hint="eastAsia" w:asciiTheme="minorEastAsia" w:hAnsiTheme="minorEastAsia" w:eastAsiaTheme="minorEastAsia" w:cstheme="minorEastAsia"/>
          <w:color w:val="auto"/>
          <w:sz w:val="24"/>
          <w:szCs w:val="24"/>
        </w:rPr>
        <w:t>（一）通用资格要求</w:t>
      </w:r>
    </w:p>
    <w:p w14:paraId="0C04F8BF">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1.满足《中华人民共和国政府采购法》第二十二条规定，并提供投标人资格声明函。</w:t>
      </w:r>
    </w:p>
    <w:p w14:paraId="777B410B">
      <w:pPr>
        <w:spacing w:line="360" w:lineRule="auto"/>
        <w:ind w:firstLine="480"/>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4F72D46">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3.落实政府采购政策需满足的资格要求：无</w:t>
      </w:r>
    </w:p>
    <w:p w14:paraId="3F630015">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4.本项目不接受联合体投标。</w:t>
      </w:r>
    </w:p>
    <w:p w14:paraId="607E32C2">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（二）本项目的特定资格要求</w:t>
      </w:r>
    </w:p>
    <w:p w14:paraId="1D32C6D9">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314BEB09">
      <w:pPr>
        <w:pStyle w:val="201"/>
        <w:spacing w:before="156" w:after="156" w:line="360" w:lineRule="auto"/>
        <w:ind w:firstLine="49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三、获取招标文件</w:t>
      </w:r>
      <w:bookmarkEnd w:id="21"/>
      <w:bookmarkEnd w:id="22"/>
      <w:bookmarkEnd w:id="23"/>
      <w:bookmarkEnd w:id="24"/>
      <w:bookmarkEnd w:id="25"/>
    </w:p>
    <w:p w14:paraId="75ED8106">
      <w:pPr>
        <w:spacing w:line="360" w:lineRule="auto"/>
        <w:ind w:firstLine="540"/>
        <w:rPr>
          <w:rFonts w:hint="eastAsia" w:asciiTheme="minorEastAsia" w:hAnsiTheme="minorEastAsia" w:eastAsiaTheme="minorEastAsia" w:cstheme="minorEastAsia"/>
          <w:color w:val="auto"/>
          <w:sz w:val="24"/>
          <w:szCs w:val="24"/>
        </w:rPr>
      </w:pPr>
      <w:bookmarkStart w:id="26" w:name="_Toc35393624"/>
      <w:bookmarkStart w:id="27" w:name="_Toc28359005"/>
      <w:bookmarkStart w:id="28" w:name="_Toc35393793"/>
      <w:bookmarkStart w:id="29" w:name="_Toc38985266"/>
      <w:bookmarkStart w:id="30" w:name="_Toc28359082"/>
      <w:r>
        <w:rPr>
          <w:rFonts w:hint="eastAsia" w:asciiTheme="minorEastAsia" w:hAnsiTheme="minorEastAsia" w:eastAsiaTheme="minorEastAsia" w:cstheme="minorEastAsia"/>
          <w:color w:val="auto"/>
          <w:sz w:val="24"/>
          <w:szCs w:val="24"/>
        </w:rPr>
        <w:t>1.时间：详见招标公告。</w:t>
      </w:r>
    </w:p>
    <w:p w14:paraId="665A0E65">
      <w:pPr>
        <w:spacing w:line="360" w:lineRule="auto"/>
        <w:ind w:firstLine="54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2.方式：在“江苏政府采购网”、“常州市政府采购网”自行免费下载招标文件。</w:t>
      </w:r>
    </w:p>
    <w:bookmarkEnd w:id="26"/>
    <w:bookmarkEnd w:id="27"/>
    <w:bookmarkEnd w:id="28"/>
    <w:bookmarkEnd w:id="29"/>
    <w:bookmarkEnd w:id="30"/>
    <w:p w14:paraId="6F388E93">
      <w:pPr>
        <w:pStyle w:val="201"/>
        <w:spacing w:before="156" w:after="156" w:line="360" w:lineRule="auto"/>
        <w:ind w:firstLine="498"/>
        <w:rPr>
          <w:rFonts w:hint="eastAsia" w:asciiTheme="minorEastAsia" w:hAnsiTheme="minorEastAsia" w:eastAsiaTheme="minorEastAsia" w:cstheme="minorEastAsia"/>
          <w:color w:val="auto"/>
        </w:rPr>
      </w:pPr>
      <w:bookmarkStart w:id="31" w:name="_Toc38985267"/>
      <w:bookmarkStart w:id="32" w:name="_Toc28359084"/>
      <w:bookmarkStart w:id="33" w:name="_Toc35393625"/>
      <w:bookmarkStart w:id="34" w:name="_Toc28359007"/>
      <w:bookmarkStart w:id="35" w:name="_Toc35393794"/>
      <w:r>
        <w:rPr>
          <w:rFonts w:hint="eastAsia" w:asciiTheme="minorEastAsia" w:hAnsiTheme="minorEastAsia" w:eastAsiaTheme="minorEastAsia" w:cstheme="minorEastAsia"/>
          <w:color w:val="auto"/>
        </w:rPr>
        <w:t>四、投标文件提交</w:t>
      </w:r>
    </w:p>
    <w:p w14:paraId="6C05F9F2">
      <w:pPr>
        <w:spacing w:line="360" w:lineRule="auto"/>
        <w:ind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1.时间：详见招标公告。</w:t>
      </w:r>
    </w:p>
    <w:p w14:paraId="0ABE50AF">
      <w:pPr>
        <w:spacing w:line="360" w:lineRule="auto"/>
        <w:ind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2.地点：苏采云政府采购一体化平台</w:t>
      </w:r>
    </w:p>
    <w:p w14:paraId="4B632075">
      <w:pPr>
        <w:pStyle w:val="201"/>
        <w:spacing w:before="156" w:after="156" w:line="360" w:lineRule="auto"/>
        <w:ind w:firstLine="49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五、公告期限</w:t>
      </w:r>
      <w:bookmarkEnd w:id="31"/>
      <w:bookmarkEnd w:id="32"/>
      <w:bookmarkEnd w:id="33"/>
      <w:bookmarkEnd w:id="34"/>
      <w:bookmarkEnd w:id="35"/>
    </w:p>
    <w:p w14:paraId="0E8BA3E2">
      <w:pPr>
        <w:ind w:firstLine="480"/>
        <w:rPr>
          <w:rFonts w:hint="eastAsia" w:asciiTheme="minorEastAsia" w:hAnsiTheme="minorEastAsia" w:eastAsiaTheme="minorEastAsia" w:cstheme="minorEastAsia"/>
          <w:color w:val="auto"/>
          <w:sz w:val="24"/>
          <w:szCs w:val="24"/>
        </w:rPr>
      </w:pPr>
      <w:bookmarkStart w:id="36" w:name="_Toc38985268"/>
      <w:bookmarkStart w:id="37" w:name="_Toc35393626"/>
      <w:bookmarkStart w:id="38" w:name="_Toc35393795"/>
      <w:r>
        <w:rPr>
          <w:rFonts w:hint="eastAsia" w:asciiTheme="minorEastAsia" w:hAnsiTheme="minorEastAsia" w:eastAsiaTheme="minorEastAsia" w:cstheme="minorEastAsia"/>
          <w:color w:val="auto"/>
          <w:sz w:val="24"/>
          <w:szCs w:val="24"/>
        </w:rPr>
        <w:t>招标公告及招标文件公告期限为自本公告发布之日起5个工作日。</w:t>
      </w:r>
    </w:p>
    <w:p w14:paraId="39909068">
      <w:pPr>
        <w:pStyle w:val="201"/>
        <w:spacing w:before="156" w:after="156" w:line="360" w:lineRule="auto"/>
        <w:ind w:firstLine="49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六、其他补充事宜</w:t>
      </w:r>
      <w:bookmarkEnd w:id="36"/>
      <w:bookmarkEnd w:id="37"/>
      <w:bookmarkEnd w:id="38"/>
    </w:p>
    <w:p w14:paraId="33658658">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57356869">
      <w:pPr>
        <w:pStyle w:val="201"/>
        <w:spacing w:before="156" w:after="156" w:line="360" w:lineRule="auto"/>
        <w:ind w:firstLine="498"/>
        <w:rPr>
          <w:color w:val="auto"/>
        </w:rPr>
      </w:pPr>
      <w:bookmarkStart w:id="39" w:name="_Toc28359008"/>
      <w:bookmarkStart w:id="40" w:name="_Toc28359085"/>
      <w:bookmarkStart w:id="41" w:name="_Toc35393627"/>
      <w:bookmarkStart w:id="42" w:name="_Toc35393796"/>
      <w:bookmarkStart w:id="43" w:name="_Toc38985269"/>
      <w:bookmarkStart w:id="44" w:name="_Toc28359010"/>
      <w:bookmarkStart w:id="45" w:name="_Toc28359087"/>
      <w:r>
        <w:rPr>
          <w:rFonts w:hint="eastAsia"/>
          <w:color w:val="auto"/>
        </w:rPr>
        <w:t>七、本次招标联系方式</w:t>
      </w:r>
      <w:bookmarkEnd w:id="39"/>
      <w:bookmarkEnd w:id="40"/>
      <w:bookmarkEnd w:id="41"/>
      <w:bookmarkEnd w:id="42"/>
      <w:bookmarkEnd w:id="43"/>
    </w:p>
    <w:p w14:paraId="05D107DF">
      <w:pPr>
        <w:widowControl/>
        <w:spacing w:line="360" w:lineRule="auto"/>
        <w:jc w:val="left"/>
        <w:rPr>
          <w:rFonts w:ascii="宋体" w:hAnsi="宋体"/>
          <w:color w:val="auto"/>
          <w:sz w:val="24"/>
          <w:szCs w:val="24"/>
        </w:rPr>
      </w:pPr>
      <w:r>
        <w:rPr>
          <w:rFonts w:hint="eastAsia" w:ascii="仿宋" w:hAnsi="仿宋" w:eastAsia="仿宋" w:cs="宋体"/>
          <w:color w:val="auto"/>
          <w:sz w:val="28"/>
          <w:szCs w:val="28"/>
        </w:rPr>
        <w:t>　　　</w:t>
      </w:r>
      <w:r>
        <w:rPr>
          <w:rFonts w:hint="eastAsia" w:ascii="宋体" w:hAnsi="宋体" w:cs="宋体"/>
          <w:color w:val="auto"/>
          <w:sz w:val="24"/>
          <w:szCs w:val="24"/>
        </w:rPr>
        <w:t>1.采购人信息</w:t>
      </w:r>
    </w:p>
    <w:p w14:paraId="63EBC358">
      <w:pPr>
        <w:spacing w:line="360" w:lineRule="auto"/>
        <w:ind w:left="1079" w:hanging="300"/>
        <w:jc w:val="left"/>
        <w:rPr>
          <w:rFonts w:ascii="宋体" w:hAnsi="宋体"/>
          <w:color w:val="auto"/>
          <w:sz w:val="24"/>
          <w:szCs w:val="24"/>
        </w:rPr>
      </w:pPr>
      <w:r>
        <w:rPr>
          <w:rFonts w:hint="eastAsia" w:ascii="宋体" w:hAnsi="宋体"/>
          <w:color w:val="auto"/>
          <w:sz w:val="24"/>
          <w:szCs w:val="24"/>
        </w:rPr>
        <w:t>名  称：常州市北环中学</w:t>
      </w:r>
    </w:p>
    <w:p w14:paraId="242A183B">
      <w:pPr>
        <w:spacing w:line="360" w:lineRule="auto"/>
        <w:ind w:left="1079" w:hanging="300"/>
        <w:jc w:val="left"/>
        <w:rPr>
          <w:rFonts w:hint="eastAsia" w:ascii="宋体" w:hAnsi="宋体"/>
          <w:color w:val="auto"/>
          <w:sz w:val="24"/>
          <w:szCs w:val="24"/>
        </w:rPr>
      </w:pPr>
      <w:bookmarkStart w:id="46" w:name="_Toc28359086"/>
      <w:bookmarkStart w:id="47" w:name="_Toc28359009"/>
      <w:r>
        <w:rPr>
          <w:rFonts w:hint="eastAsia" w:ascii="宋体" w:hAnsi="宋体"/>
          <w:color w:val="auto"/>
          <w:sz w:val="24"/>
          <w:szCs w:val="24"/>
        </w:rPr>
        <w:t>地  址： 江苏省常州市天宁区</w:t>
      </w:r>
      <w:r>
        <w:rPr>
          <w:rFonts w:hint="eastAsia" w:ascii="宋体" w:hAnsi="宋体"/>
          <w:color w:val="auto"/>
          <w:sz w:val="24"/>
          <w:szCs w:val="24"/>
          <w:lang w:val="en-US" w:eastAsia="zh-CN"/>
        </w:rPr>
        <w:t>三丰</w:t>
      </w:r>
      <w:r>
        <w:rPr>
          <w:rFonts w:hint="eastAsia" w:ascii="宋体" w:hAnsi="宋体"/>
          <w:color w:val="auto"/>
          <w:sz w:val="24"/>
          <w:szCs w:val="24"/>
        </w:rPr>
        <w:t>路</w:t>
      </w:r>
      <w:r>
        <w:rPr>
          <w:rFonts w:hint="eastAsia" w:ascii="宋体" w:hAnsi="宋体"/>
          <w:color w:val="auto"/>
          <w:sz w:val="24"/>
          <w:szCs w:val="24"/>
          <w:lang w:val="en-US" w:eastAsia="zh-CN"/>
        </w:rPr>
        <w:t>99</w:t>
      </w:r>
      <w:r>
        <w:rPr>
          <w:rFonts w:hint="eastAsia" w:ascii="宋体" w:hAnsi="宋体"/>
          <w:color w:val="auto"/>
          <w:sz w:val="24"/>
          <w:szCs w:val="24"/>
        </w:rPr>
        <w:t>号</w:t>
      </w:r>
    </w:p>
    <w:p w14:paraId="7BA5852C">
      <w:pPr>
        <w:spacing w:line="360" w:lineRule="auto"/>
        <w:ind w:left="1079" w:hanging="300"/>
        <w:jc w:val="left"/>
        <w:rPr>
          <w:rFonts w:ascii="宋体" w:hAnsi="宋体"/>
          <w:color w:val="auto"/>
          <w:sz w:val="24"/>
          <w:szCs w:val="24"/>
        </w:rPr>
      </w:pPr>
      <w:r>
        <w:rPr>
          <w:rFonts w:hint="eastAsia" w:ascii="宋体" w:hAnsi="宋体"/>
          <w:color w:val="auto"/>
          <w:sz w:val="24"/>
          <w:szCs w:val="24"/>
        </w:rPr>
        <w:t>联系人：</w:t>
      </w:r>
      <w:r>
        <w:rPr>
          <w:rFonts w:hint="eastAsia" w:ascii="宋体" w:hAnsi="宋体"/>
          <w:color w:val="auto"/>
          <w:sz w:val="24"/>
          <w:szCs w:val="24"/>
          <w:lang w:val="en-US" w:eastAsia="zh-CN"/>
        </w:rPr>
        <w:t>王</w:t>
      </w:r>
      <w:r>
        <w:rPr>
          <w:rFonts w:hint="eastAsia" w:ascii="宋体" w:hAnsi="宋体"/>
          <w:color w:val="auto"/>
          <w:sz w:val="24"/>
          <w:szCs w:val="24"/>
        </w:rPr>
        <w:t>先生</w:t>
      </w:r>
    </w:p>
    <w:p w14:paraId="70D87DDB">
      <w:pPr>
        <w:spacing w:line="360" w:lineRule="auto"/>
        <w:ind w:left="1079" w:hanging="3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联系方式：</w:t>
      </w:r>
      <w:r>
        <w:rPr>
          <w:rFonts w:hint="eastAsia" w:ascii="宋体" w:hAnsi="宋体"/>
          <w:color w:val="auto"/>
          <w:sz w:val="24"/>
          <w:szCs w:val="24"/>
          <w:lang w:val="en-US" w:eastAsia="zh-CN"/>
        </w:rPr>
        <w:t>0519-85312912/18362230564</w:t>
      </w:r>
    </w:p>
    <w:p w14:paraId="2B064F18">
      <w:pPr>
        <w:spacing w:line="360" w:lineRule="auto"/>
        <w:ind w:left="1079" w:hanging="300"/>
        <w:jc w:val="left"/>
        <w:rPr>
          <w:rFonts w:ascii="宋体" w:hAnsi="宋体"/>
          <w:color w:val="auto"/>
          <w:sz w:val="24"/>
          <w:szCs w:val="24"/>
        </w:rPr>
      </w:pPr>
      <w:r>
        <w:rPr>
          <w:rFonts w:hint="eastAsia" w:ascii="宋体" w:hAnsi="宋体" w:cs="宋体"/>
          <w:color w:val="auto"/>
          <w:sz w:val="24"/>
          <w:szCs w:val="24"/>
        </w:rPr>
        <w:t>2.采购代理机构信息</w:t>
      </w:r>
      <w:bookmarkEnd w:id="46"/>
      <w:bookmarkEnd w:id="47"/>
    </w:p>
    <w:p w14:paraId="0FAD1290">
      <w:pPr>
        <w:spacing w:line="360" w:lineRule="auto"/>
        <w:ind w:firstLine="720"/>
        <w:rPr>
          <w:rFonts w:ascii="宋体" w:hAnsi="宋体"/>
          <w:color w:val="auto"/>
          <w:sz w:val="24"/>
          <w:szCs w:val="24"/>
        </w:rPr>
      </w:pPr>
      <w:r>
        <w:rPr>
          <w:rFonts w:hint="eastAsia" w:ascii="宋体" w:hAnsi="宋体"/>
          <w:color w:val="auto"/>
          <w:sz w:val="24"/>
          <w:szCs w:val="24"/>
        </w:rPr>
        <w:t>地　址：</w:t>
      </w:r>
    </w:p>
    <w:p w14:paraId="744797E3">
      <w:pPr>
        <w:spacing w:line="360" w:lineRule="auto"/>
        <w:ind w:firstLine="720"/>
        <w:rPr>
          <w:rFonts w:ascii="宋体" w:hAnsi="宋体"/>
          <w:color w:val="auto"/>
          <w:sz w:val="24"/>
          <w:szCs w:val="24"/>
        </w:rPr>
      </w:pPr>
      <w:r>
        <w:rPr>
          <w:rFonts w:hint="eastAsia" w:ascii="宋体" w:hAnsi="宋体"/>
          <w:color w:val="auto"/>
          <w:sz w:val="24"/>
          <w:szCs w:val="24"/>
        </w:rPr>
        <w:t>采购文件相关联系人：</w:t>
      </w:r>
      <w:r>
        <w:rPr>
          <w:rFonts w:hint="eastAsia" w:ascii="宋体" w:hAnsi="宋体"/>
          <w:color w:val="auto"/>
          <w:sz w:val="24"/>
          <w:szCs w:val="24"/>
          <w:lang w:val="en-US" w:eastAsia="zh-CN"/>
        </w:rPr>
        <w:t>彭</w:t>
      </w:r>
      <w:r>
        <w:rPr>
          <w:rFonts w:hint="eastAsia" w:ascii="宋体" w:hAnsi="宋体"/>
          <w:color w:val="auto"/>
          <w:sz w:val="24"/>
          <w:szCs w:val="24"/>
        </w:rPr>
        <w:t xml:space="preserve">先生              </w:t>
      </w:r>
    </w:p>
    <w:p w14:paraId="626C36F0">
      <w:pPr>
        <w:spacing w:line="360" w:lineRule="auto"/>
        <w:ind w:firstLine="720"/>
        <w:rPr>
          <w:rFonts w:hint="default" w:ascii="宋体" w:hAnsi="宋体" w:eastAsia="宋体"/>
          <w:color w:val="auto"/>
          <w:sz w:val="24"/>
          <w:szCs w:val="24"/>
          <w:lang w:val="en-US" w:eastAsia="zh-CN"/>
        </w:rPr>
      </w:pPr>
      <w:r>
        <w:rPr>
          <w:rFonts w:hint="eastAsia" w:ascii="宋体" w:hAnsi="宋体"/>
          <w:color w:val="auto"/>
          <w:sz w:val="24"/>
          <w:szCs w:val="24"/>
        </w:rPr>
        <w:t>电  话：0519-</w:t>
      </w:r>
      <w:r>
        <w:rPr>
          <w:rFonts w:hint="eastAsia" w:ascii="宋体" w:hAnsi="宋体"/>
          <w:color w:val="auto"/>
          <w:sz w:val="24"/>
          <w:szCs w:val="24"/>
          <w:lang w:val="en-US" w:eastAsia="zh-CN"/>
        </w:rPr>
        <w:t>81098176</w:t>
      </w:r>
    </w:p>
    <w:p w14:paraId="095E8350">
      <w:pPr>
        <w:spacing w:line="360" w:lineRule="auto"/>
        <w:ind w:firstLine="720"/>
        <w:rPr>
          <w:rFonts w:ascii="宋体" w:hAnsi="宋体"/>
          <w:color w:val="auto"/>
          <w:sz w:val="24"/>
          <w:szCs w:val="24"/>
        </w:rPr>
      </w:pPr>
      <w:r>
        <w:rPr>
          <w:rFonts w:hint="eastAsia" w:ascii="宋体" w:hAnsi="宋体"/>
          <w:color w:val="auto"/>
          <w:sz w:val="24"/>
          <w:szCs w:val="24"/>
        </w:rPr>
        <w:t>开标评审相关联系人：</w:t>
      </w:r>
      <w:r>
        <w:rPr>
          <w:rFonts w:hint="eastAsia" w:ascii="宋体" w:hAnsi="宋体"/>
          <w:color w:val="auto"/>
          <w:sz w:val="24"/>
          <w:szCs w:val="24"/>
          <w:lang w:val="en-US" w:eastAsia="zh-CN"/>
        </w:rPr>
        <w:t>周</w:t>
      </w:r>
      <w:r>
        <w:rPr>
          <w:rFonts w:hint="eastAsia" w:ascii="宋体" w:hAnsi="宋体"/>
          <w:color w:val="auto"/>
          <w:sz w:val="24"/>
          <w:szCs w:val="24"/>
        </w:rPr>
        <w:t xml:space="preserve">先生              </w:t>
      </w:r>
    </w:p>
    <w:p w14:paraId="3C581F18">
      <w:pPr>
        <w:spacing w:line="360" w:lineRule="auto"/>
        <w:ind w:firstLine="720"/>
        <w:rPr>
          <w:rFonts w:hint="default" w:ascii="宋体" w:hAnsi="宋体" w:eastAsia="宋体"/>
          <w:color w:val="auto"/>
          <w:sz w:val="24"/>
          <w:szCs w:val="24"/>
          <w:lang w:val="en-US" w:eastAsia="zh-CN"/>
        </w:rPr>
      </w:pPr>
      <w:r>
        <w:rPr>
          <w:rFonts w:hint="eastAsia" w:ascii="宋体" w:hAnsi="宋体"/>
          <w:color w:val="auto"/>
          <w:sz w:val="24"/>
          <w:szCs w:val="24"/>
        </w:rPr>
        <w:t>电  话：0519-</w:t>
      </w:r>
      <w:r>
        <w:rPr>
          <w:rFonts w:hint="eastAsia" w:ascii="宋体" w:hAnsi="宋体"/>
          <w:color w:val="auto"/>
          <w:sz w:val="24"/>
          <w:szCs w:val="24"/>
          <w:lang w:val="en-US" w:eastAsia="zh-CN"/>
        </w:rPr>
        <w:t>86607039</w:t>
      </w:r>
    </w:p>
    <w:p w14:paraId="7FF59E7E">
      <w:pPr>
        <w:spacing w:line="360" w:lineRule="auto"/>
        <w:ind w:firstLine="720"/>
        <w:rPr>
          <w:rFonts w:ascii="宋体" w:hAnsi="宋体"/>
          <w:color w:val="auto"/>
          <w:sz w:val="24"/>
          <w:szCs w:val="24"/>
        </w:rPr>
      </w:pPr>
      <w:r>
        <w:rPr>
          <w:rFonts w:hint="eastAsia" w:ascii="宋体" w:hAnsi="宋体"/>
          <w:color w:val="auto"/>
          <w:sz w:val="24"/>
          <w:szCs w:val="24"/>
        </w:rPr>
        <w:t>电子化招投标技术支持电话：0519-85588210</w:t>
      </w:r>
    </w:p>
    <w:p w14:paraId="1A4C6961">
      <w:pPr>
        <w:spacing w:line="360" w:lineRule="auto"/>
        <w:ind w:firstLine="720"/>
        <w:rPr>
          <w:rFonts w:hint="eastAsia" w:asciiTheme="minorEastAsia" w:hAnsiTheme="minorEastAsia" w:eastAsiaTheme="minorEastAsia" w:cstheme="minorEastAsia"/>
          <w:color w:val="auto"/>
          <w:sz w:val="24"/>
          <w:szCs w:val="24"/>
        </w:rPr>
      </w:pPr>
    </w:p>
    <w:p w14:paraId="126AB06B">
      <w:pPr>
        <w:spacing w:line="360" w:lineRule="auto"/>
        <w:ind w:firstLine="720"/>
        <w:rPr>
          <w:rFonts w:hint="eastAsia" w:asciiTheme="minorEastAsia" w:hAnsiTheme="minorEastAsia" w:eastAsiaTheme="minorEastAsia" w:cstheme="minorEastAsia"/>
          <w:color w:val="auto"/>
          <w:sz w:val="24"/>
          <w:szCs w:val="24"/>
        </w:rPr>
      </w:pPr>
    </w:p>
    <w:bookmarkEnd w:id="44"/>
    <w:bookmarkEnd w:id="45"/>
    <w:p w14:paraId="479E7E3E">
      <w:pPr>
        <w:pStyle w:val="201"/>
        <w:spacing w:before="156" w:after="156" w:line="360" w:lineRule="auto"/>
        <w:ind w:firstLine="49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八、其他</w:t>
      </w:r>
    </w:p>
    <w:p w14:paraId="63FA8409">
      <w:pPr>
        <w:tabs>
          <w:tab w:val="left" w:pos="900"/>
        </w:tabs>
        <w:spacing w:line="560" w:lineRule="exact"/>
        <w:ind w:firstLine="480"/>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rPr>
        <w:t>1.</w:t>
      </w:r>
      <w:r>
        <w:rPr>
          <w:rFonts w:hint="eastAsia" w:asciiTheme="minorEastAsia" w:hAnsiTheme="minorEastAsia" w:eastAsiaTheme="minorEastAsia" w:cstheme="minorEastAsia"/>
          <w:bCs/>
          <w:color w:val="auto"/>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color w:val="auto"/>
          <w:sz w:val="24"/>
          <w:szCs w:val="24"/>
        </w:rPr>
        <w:t>“苏采云”政府采购交易系统（以下简称苏采云系统）</w:t>
      </w:r>
      <w:r>
        <w:rPr>
          <w:rFonts w:hint="eastAsia" w:asciiTheme="minorEastAsia" w:hAnsiTheme="minorEastAsia" w:eastAsiaTheme="minorEastAsia" w:cstheme="minorEastAsia"/>
          <w:bCs/>
          <w:color w:val="auto"/>
          <w:sz w:val="24"/>
          <w:szCs w:val="24"/>
        </w:rPr>
        <w:t>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color w:val="auto"/>
          <w:sz w:val="24"/>
          <w:szCs w:val="24"/>
        </w:rPr>
        <w:t>苏采云系统</w:t>
      </w:r>
      <w:r>
        <w:rPr>
          <w:rFonts w:hint="eastAsia" w:asciiTheme="minorEastAsia" w:hAnsiTheme="minorEastAsia" w:eastAsiaTheme="minorEastAsia" w:cstheme="minorEastAsia"/>
          <w:bCs/>
          <w:color w:val="auto"/>
          <w:sz w:val="24"/>
          <w:szCs w:val="24"/>
        </w:rPr>
        <w:t>参与政府采购项目，需要更换CA数字证书和电子签章。具体办理指南和操作手册见链接：http://www.ccgp-jiangsu.gov.cn/jiangsu/zlxz/ee/ee3a4bc5a3454aa2b0d9312230633ce9.html。</w:t>
      </w:r>
    </w:p>
    <w:p w14:paraId="33365C8D">
      <w:pPr>
        <w:tabs>
          <w:tab w:val="left" w:pos="900"/>
        </w:tabs>
        <w:spacing w:line="560" w:lineRule="exact"/>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5A88F889">
      <w:pPr>
        <w:tabs>
          <w:tab w:val="left" w:pos="900"/>
        </w:tabs>
        <w:spacing w:line="560" w:lineRule="exact"/>
        <w:ind w:firstLine="48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color w:val="auto"/>
          <w:sz w:val="24"/>
          <w:szCs w:val="24"/>
        </w:rPr>
        <w:t xml:space="preserve"> 、“常州市政府采购网”</w:t>
      </w:r>
      <w:r>
        <w:rPr>
          <w:rFonts w:hint="eastAsia" w:asciiTheme="minorEastAsia" w:hAnsiTheme="minorEastAsia" w:eastAsiaTheme="minorEastAsia" w:cstheme="minorEastAsia"/>
          <w:bCs/>
          <w:color w:val="auto"/>
          <w:sz w:val="24"/>
          <w:szCs w:val="24"/>
        </w:rPr>
        <w:t>发布的更正公告。</w:t>
      </w:r>
    </w:p>
    <w:p w14:paraId="56D91136">
      <w:pPr>
        <w:tabs>
          <w:tab w:val="left" w:pos="900"/>
        </w:tabs>
        <w:spacing w:line="560" w:lineRule="exact"/>
        <w:ind w:firstLine="48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3. 本次招标不收取投标保证金。</w:t>
      </w:r>
    </w:p>
    <w:p w14:paraId="6B6E4404">
      <w:pPr>
        <w:spacing w:line="560" w:lineRule="exact"/>
        <w:ind w:firstLine="480"/>
        <w:rPr>
          <w:rFonts w:hint="eastAsia" w:asciiTheme="minorEastAsia" w:hAnsiTheme="minorEastAsia" w:eastAsiaTheme="minorEastAsia" w:cstheme="minorEastAsia"/>
          <w:color w:val="auto"/>
          <w:sz w:val="24"/>
        </w:rPr>
      </w:pPr>
    </w:p>
    <w:bookmarkEnd w:id="3"/>
    <w:bookmarkEnd w:id="4"/>
    <w:bookmarkEnd w:id="5"/>
    <w:bookmarkEnd w:id="6"/>
    <w:bookmarkEnd w:id="7"/>
    <w:p w14:paraId="0795A5C0">
      <w:pPr>
        <w:pStyle w:val="197"/>
        <w:ind w:firstLine="2429"/>
        <w:jc w:val="both"/>
        <w:outlineLvl w:val="0"/>
        <w:rPr>
          <w:rFonts w:hint="eastAsia" w:asciiTheme="minorEastAsia" w:hAnsiTheme="minorEastAsia" w:eastAsiaTheme="minorEastAsia" w:cstheme="minorEastAsia"/>
          <w:b w:val="0"/>
          <w:bCs w:val="0"/>
          <w:color w:val="auto"/>
          <w:highlight w:val="none"/>
        </w:rPr>
      </w:pPr>
      <w:bookmarkStart w:id="48" w:name="_Toc120614211"/>
      <w:bookmarkStart w:id="49" w:name="_Toc6429"/>
      <w:bookmarkStart w:id="50" w:name="_Toc513029242"/>
      <w:bookmarkStart w:id="51" w:name="_Toc120614221"/>
      <w:bookmarkStart w:id="52" w:name="_Toc479757207"/>
      <w:bookmarkStart w:id="53" w:name="_Toc16938558"/>
      <w:bookmarkStart w:id="54" w:name="_Toc20823314"/>
      <w:r>
        <w:rPr>
          <w:rFonts w:hint="eastAsia" w:asciiTheme="minorEastAsia" w:hAnsiTheme="minorEastAsia" w:eastAsiaTheme="minorEastAsia" w:cstheme="minorEastAsia"/>
          <w:color w:val="auto"/>
          <w:highlight w:val="none"/>
        </w:rPr>
        <w:t xml:space="preserve">第二章  </w:t>
      </w:r>
      <w:bookmarkEnd w:id="48"/>
      <w:bookmarkStart w:id="55" w:name="_Toc513029202"/>
      <w:bookmarkStart w:id="56" w:name="_Toc120614213"/>
      <w:bookmarkStart w:id="57" w:name="_Toc16938518"/>
      <w:bookmarkStart w:id="58" w:name="_Toc20823274"/>
      <w:r>
        <w:rPr>
          <w:rFonts w:hint="eastAsia" w:asciiTheme="minorEastAsia" w:hAnsiTheme="minorEastAsia" w:eastAsiaTheme="minorEastAsia" w:cstheme="minorEastAsia"/>
          <w:color w:val="auto"/>
          <w:highlight w:val="none"/>
        </w:rPr>
        <w:t>投标人须知</w:t>
      </w:r>
      <w:bookmarkEnd w:id="49"/>
      <w:bookmarkEnd w:id="55"/>
      <w:bookmarkEnd w:id="56"/>
      <w:bookmarkEnd w:id="57"/>
      <w:bookmarkEnd w:id="58"/>
    </w:p>
    <w:p w14:paraId="3CD3F7A5">
      <w:pPr>
        <w:pStyle w:val="201"/>
        <w:spacing w:before="156" w:after="156" w:line="360" w:lineRule="auto"/>
        <w:ind w:firstLine="498"/>
        <w:rPr>
          <w:rFonts w:hint="eastAsia" w:asciiTheme="minorEastAsia" w:hAnsiTheme="minorEastAsia" w:eastAsiaTheme="minorEastAsia" w:cstheme="minorEastAsia"/>
          <w:color w:val="auto"/>
          <w:highlight w:val="none"/>
        </w:rPr>
      </w:pPr>
      <w:bookmarkStart w:id="59" w:name="_Toc16938519"/>
      <w:bookmarkStart w:id="60" w:name="_Toc513029203"/>
      <w:bookmarkStart w:id="61" w:name="_Toc120614214"/>
      <w:bookmarkStart w:id="62" w:name="_Toc20823275"/>
      <w:r>
        <w:rPr>
          <w:rFonts w:hint="eastAsia" w:asciiTheme="minorEastAsia" w:hAnsiTheme="minorEastAsia" w:eastAsiaTheme="minorEastAsia" w:cstheme="minorEastAsia"/>
          <w:color w:val="auto"/>
          <w:highlight w:val="none"/>
        </w:rPr>
        <w:t>一、总则</w:t>
      </w:r>
      <w:bookmarkEnd w:id="59"/>
      <w:bookmarkEnd w:id="60"/>
      <w:bookmarkEnd w:id="61"/>
      <w:bookmarkEnd w:id="62"/>
    </w:p>
    <w:p w14:paraId="78B35736">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63" w:name="_Hlt16619475"/>
      <w:bookmarkEnd w:id="63"/>
      <w:bookmarkStart w:id="64" w:name="_Toc458694821"/>
      <w:bookmarkStart w:id="65" w:name="_Toc20823276"/>
      <w:bookmarkStart w:id="66" w:name="_Toc16938520"/>
      <w:bookmarkStart w:id="67" w:name="_Toc513029204"/>
      <w:r>
        <w:rPr>
          <w:rFonts w:hint="eastAsia" w:asciiTheme="minorEastAsia" w:hAnsiTheme="minorEastAsia" w:eastAsiaTheme="minorEastAsia" w:cstheme="minorEastAsia"/>
          <w:b w:val="0"/>
          <w:bCs w:val="0"/>
          <w:color w:val="auto"/>
          <w:highlight w:val="none"/>
        </w:rPr>
        <w:t>1</w:t>
      </w:r>
      <w:bookmarkEnd w:id="64"/>
      <w:r>
        <w:rPr>
          <w:rFonts w:hint="eastAsia" w:asciiTheme="minorEastAsia" w:hAnsiTheme="minorEastAsia" w:eastAsiaTheme="minorEastAsia" w:cstheme="minorEastAsia"/>
          <w:b w:val="0"/>
          <w:bCs w:val="0"/>
          <w:color w:val="auto"/>
          <w:highlight w:val="none"/>
        </w:rPr>
        <w:t>、招标方式</w:t>
      </w:r>
      <w:bookmarkEnd w:id="65"/>
      <w:bookmarkEnd w:id="66"/>
      <w:bookmarkEnd w:id="67"/>
    </w:p>
    <w:p w14:paraId="14832BF9">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本次招标采取公开招标方式，本招标文件仅适用于招标公告中所述项目。</w:t>
      </w:r>
    </w:p>
    <w:p w14:paraId="219EB76C">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68" w:name="_Toc513029205"/>
      <w:bookmarkStart w:id="69" w:name="_Toc16938521"/>
      <w:bookmarkStart w:id="70" w:name="_Toc20823277"/>
      <w:r>
        <w:rPr>
          <w:rFonts w:hint="eastAsia" w:asciiTheme="minorEastAsia" w:hAnsiTheme="minorEastAsia" w:eastAsiaTheme="minorEastAsia" w:cstheme="minorEastAsia"/>
          <w:b w:val="0"/>
          <w:bCs w:val="0"/>
          <w:color w:val="auto"/>
          <w:highlight w:val="none"/>
        </w:rPr>
        <w:t>2、合格的投标人</w:t>
      </w:r>
      <w:bookmarkEnd w:id="68"/>
      <w:bookmarkEnd w:id="69"/>
      <w:bookmarkEnd w:id="70"/>
    </w:p>
    <w:p w14:paraId="2E0859CA">
      <w:pPr>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2.1满足招标公告中供应商的资格要求的规定。</w:t>
      </w:r>
    </w:p>
    <w:p w14:paraId="2F9EEC1C">
      <w:pPr>
        <w:spacing w:line="4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满足本文件实质性要求和条件的规定。</w:t>
      </w:r>
    </w:p>
    <w:p w14:paraId="0EF3149C">
      <w:pPr>
        <w:pStyle w:val="203"/>
        <w:spacing w:before="0" w:after="0" w:line="240" w:lineRule="auto"/>
        <w:ind w:firstLine="420"/>
        <w:rPr>
          <w:rFonts w:hint="default" w:asciiTheme="minorEastAsia" w:hAnsiTheme="minorEastAsia" w:eastAsiaTheme="minorEastAsia" w:cstheme="minorEastAsia"/>
          <w:b w:val="0"/>
          <w:bCs w:val="0"/>
          <w:color w:val="auto"/>
          <w:highlight w:val="none"/>
          <w:lang w:val="en-US" w:eastAsia="zh-CN"/>
        </w:rPr>
      </w:pPr>
      <w:bookmarkStart w:id="71" w:name="_Toc513029206"/>
      <w:bookmarkStart w:id="72" w:name="_Toc20823278"/>
      <w:bookmarkStart w:id="73" w:name="_Toc16938522"/>
      <w:r>
        <w:rPr>
          <w:rFonts w:hint="eastAsia" w:asciiTheme="minorEastAsia" w:hAnsiTheme="minorEastAsia" w:eastAsiaTheme="minorEastAsia" w:cstheme="minorEastAsia"/>
          <w:b w:val="0"/>
          <w:bCs w:val="0"/>
          <w:color w:val="auto"/>
          <w:highlight w:val="none"/>
        </w:rPr>
        <w:t>3、适用法律</w:t>
      </w:r>
      <w:bookmarkEnd w:id="71"/>
      <w:bookmarkEnd w:id="72"/>
      <w:bookmarkEnd w:id="73"/>
      <w:r>
        <w:rPr>
          <w:rFonts w:hint="eastAsia" w:asciiTheme="minorEastAsia" w:hAnsiTheme="minorEastAsia" w:eastAsiaTheme="minorEastAsia" w:cstheme="minorEastAsia"/>
          <w:b w:val="0"/>
          <w:bCs w:val="0"/>
          <w:color w:val="auto"/>
          <w:highlight w:val="none"/>
          <w:lang w:val="en-US" w:eastAsia="zh-CN"/>
        </w:rPr>
        <w:t>和标准</w:t>
      </w:r>
    </w:p>
    <w:p w14:paraId="640B1B72">
      <w:pPr>
        <w:spacing w:line="400" w:lineRule="exact"/>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本次招标及由此产生的合同受中华人民共和国有关的法律法规制约和保护。</w:t>
      </w:r>
    </w:p>
    <w:p w14:paraId="4F97A172">
      <w:pPr>
        <w:spacing w:line="400" w:lineRule="exact"/>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 在本项目政府采购活动过程中，如果所执行的标准有更新的，按照最新标准执行。</w:t>
      </w:r>
    </w:p>
    <w:p w14:paraId="268280F3">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74" w:name="_Toc513029207"/>
      <w:bookmarkStart w:id="75" w:name="_Toc462564067"/>
      <w:bookmarkStart w:id="76" w:name="_Toc16938523"/>
      <w:bookmarkStart w:id="77" w:name="_Toc20823279"/>
      <w:r>
        <w:rPr>
          <w:rFonts w:hint="eastAsia" w:asciiTheme="minorEastAsia" w:hAnsiTheme="minorEastAsia" w:eastAsiaTheme="minorEastAsia" w:cstheme="minorEastAsia"/>
          <w:b w:val="0"/>
          <w:bCs w:val="0"/>
          <w:color w:val="auto"/>
          <w:highlight w:val="none"/>
        </w:rPr>
        <w:t>4、投标费用</w:t>
      </w:r>
      <w:bookmarkEnd w:id="74"/>
      <w:bookmarkEnd w:id="75"/>
      <w:bookmarkEnd w:id="76"/>
      <w:bookmarkEnd w:id="77"/>
    </w:p>
    <w:p w14:paraId="25EE3F00">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4.1</w:t>
      </w:r>
      <w:r>
        <w:rPr>
          <w:rFonts w:hint="eastAsia" w:asciiTheme="minorEastAsia" w:hAnsiTheme="minorEastAsia" w:eastAsiaTheme="minorEastAsia" w:cstheme="minorEastAsia"/>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p>
    <w:p w14:paraId="0208658D">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4.2本次招标建装中心和采购人不收取标书工本费与中标服务费。</w:t>
      </w:r>
    </w:p>
    <w:p w14:paraId="45B9ACF8">
      <w:pPr>
        <w:pStyle w:val="203"/>
        <w:spacing w:before="0" w:after="0" w:line="480" w:lineRule="exact"/>
        <w:ind w:firstLine="602"/>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color w:val="auto"/>
          <w:sz w:val="30"/>
          <w:highlight w:val="none"/>
        </w:rPr>
        <w:t>5、</w:t>
      </w:r>
      <w:r>
        <w:rPr>
          <w:rFonts w:hint="eastAsia" w:asciiTheme="minorEastAsia" w:hAnsiTheme="minorEastAsia" w:eastAsiaTheme="minorEastAsia" w:cstheme="minorEastAsia"/>
          <w:b w:val="0"/>
          <w:bCs w:val="0"/>
          <w:color w:val="auto"/>
          <w:highlight w:val="none"/>
        </w:rPr>
        <w:t>招标文件的约束力</w:t>
      </w:r>
    </w:p>
    <w:p w14:paraId="2D5E6BB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5.1</w:t>
      </w:r>
      <w:r>
        <w:rPr>
          <w:rFonts w:hint="eastAsia" w:asciiTheme="minorEastAsia" w:hAnsiTheme="minorEastAsia" w:eastAsiaTheme="minorEastAsia" w:cstheme="minorEastAsia"/>
          <w:color w:val="auto"/>
          <w:sz w:val="24"/>
          <w:szCs w:val="24"/>
          <w:highlight w:val="none"/>
        </w:rPr>
        <w:t xml:space="preserve"> 投标人一旦参加本项目采购活动，即被认为接受了本招标文件的规定和约束。</w:t>
      </w:r>
    </w:p>
    <w:p w14:paraId="21D9EDF3">
      <w:pPr>
        <w:pStyle w:val="201"/>
        <w:spacing w:before="156" w:after="156" w:line="360" w:lineRule="auto"/>
        <w:ind w:firstLine="321"/>
        <w:rPr>
          <w:rFonts w:hint="eastAsia" w:asciiTheme="minorEastAsia" w:hAnsiTheme="minorEastAsia" w:eastAsiaTheme="minorEastAsia" w:cstheme="minorEastAsia"/>
          <w:color w:val="auto"/>
          <w:highlight w:val="none"/>
        </w:rPr>
      </w:pPr>
      <w:bookmarkStart w:id="78" w:name="_Toc120614215"/>
      <w:bookmarkStart w:id="79" w:name="_Toc513029209"/>
      <w:bookmarkStart w:id="80" w:name="_Toc16938525"/>
      <w:bookmarkStart w:id="81" w:name="_Toc20823281"/>
      <w:r>
        <w:rPr>
          <w:rFonts w:hint="eastAsia" w:asciiTheme="minorEastAsia" w:hAnsiTheme="minorEastAsia" w:eastAsiaTheme="minorEastAsia" w:cstheme="minorEastAsia"/>
          <w:color w:val="auto"/>
          <w:highlight w:val="none"/>
        </w:rPr>
        <w:t>二、招标文件</w:t>
      </w:r>
      <w:bookmarkEnd w:id="78"/>
      <w:bookmarkEnd w:id="79"/>
      <w:bookmarkEnd w:id="80"/>
      <w:bookmarkEnd w:id="81"/>
    </w:p>
    <w:p w14:paraId="61B8D0A9">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82" w:name="_Toc20823282"/>
      <w:bookmarkStart w:id="83" w:name="_Toc16938526"/>
      <w:bookmarkStart w:id="84" w:name="_Toc513029210"/>
      <w:r>
        <w:rPr>
          <w:rFonts w:hint="eastAsia" w:asciiTheme="minorEastAsia" w:hAnsiTheme="minorEastAsia" w:eastAsiaTheme="minorEastAsia" w:cstheme="minorEastAsia"/>
          <w:b w:val="0"/>
          <w:bCs w:val="0"/>
          <w:color w:val="auto"/>
          <w:highlight w:val="none"/>
        </w:rPr>
        <w:t>6、招标文件构成</w:t>
      </w:r>
      <w:bookmarkEnd w:id="82"/>
      <w:bookmarkEnd w:id="83"/>
      <w:bookmarkEnd w:id="84"/>
    </w:p>
    <w:p w14:paraId="5D8B18D9">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6.1</w:t>
      </w:r>
      <w:r>
        <w:rPr>
          <w:rFonts w:hint="eastAsia" w:asciiTheme="minorEastAsia" w:hAnsiTheme="minorEastAsia" w:eastAsiaTheme="minorEastAsia" w:cstheme="minorEastAsia"/>
          <w:color w:val="auto"/>
          <w:sz w:val="24"/>
          <w:highlight w:val="none"/>
        </w:rPr>
        <w:t xml:space="preserve"> 招标文件由以下部分组成：</w:t>
      </w:r>
    </w:p>
    <w:p w14:paraId="2989A30F">
      <w:pPr>
        <w:spacing w:line="400" w:lineRule="exact"/>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（1）投标邀请</w:t>
      </w:r>
    </w:p>
    <w:p w14:paraId="5AC9B1A5">
      <w:pPr>
        <w:spacing w:line="400" w:lineRule="exact"/>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14:paraId="6DA8C6C4">
      <w:pPr>
        <w:spacing w:line="400" w:lineRule="exact"/>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（3）合同文本</w:t>
      </w:r>
    </w:p>
    <w:p w14:paraId="5D7CBBF6">
      <w:pPr>
        <w:spacing w:line="400" w:lineRule="exact"/>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（4）采购需求</w:t>
      </w:r>
    </w:p>
    <w:p w14:paraId="704C526C">
      <w:pPr>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（5）评标方法与评标标准</w:t>
      </w:r>
    </w:p>
    <w:p w14:paraId="5168524C">
      <w:pPr>
        <w:spacing w:line="400" w:lineRule="exact"/>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14:paraId="495E35D0">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请仔细检查招标文件是否齐全，如有缺漏请立即与建装中心联系解决。</w:t>
      </w:r>
    </w:p>
    <w:p w14:paraId="3ADDFE87">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6.2</w:t>
      </w:r>
      <w:r>
        <w:rPr>
          <w:rFonts w:hint="eastAsia" w:asciiTheme="minorEastAsia" w:hAnsiTheme="minorEastAsia" w:eastAsiaTheme="minorEastAsia" w:cstheme="minor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5710CA">
      <w:pPr>
        <w:pStyle w:val="203"/>
        <w:spacing w:before="0" w:after="0" w:line="240" w:lineRule="auto"/>
        <w:ind w:firstLine="560"/>
        <w:rPr>
          <w:rFonts w:hint="eastAsia" w:asciiTheme="minorEastAsia" w:hAnsiTheme="minorEastAsia" w:eastAsiaTheme="minorEastAsia" w:cstheme="minorEastAsia"/>
          <w:b w:val="0"/>
          <w:bCs w:val="0"/>
          <w:color w:val="auto"/>
          <w:highlight w:val="none"/>
        </w:rPr>
      </w:pPr>
      <w:bookmarkStart w:id="85" w:name="_Toc513029211"/>
      <w:bookmarkStart w:id="86" w:name="_Toc20823283"/>
      <w:bookmarkStart w:id="87" w:name="_Toc16938527"/>
      <w:bookmarkStart w:id="88" w:name="_Toc462564070"/>
      <w:r>
        <w:rPr>
          <w:rFonts w:hint="eastAsia" w:asciiTheme="minorEastAsia" w:hAnsiTheme="minorEastAsia" w:eastAsiaTheme="minorEastAsia" w:cstheme="minorEastAsia"/>
          <w:b w:val="0"/>
          <w:bCs w:val="0"/>
          <w:color w:val="auto"/>
          <w:highlight w:val="none"/>
        </w:rPr>
        <w:t>7、招标文件的澄清</w:t>
      </w:r>
      <w:bookmarkEnd w:id="85"/>
      <w:bookmarkEnd w:id="86"/>
      <w:bookmarkEnd w:id="87"/>
      <w:bookmarkEnd w:id="88"/>
    </w:p>
    <w:p w14:paraId="0BC4354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7.1</w:t>
      </w:r>
      <w:r>
        <w:rPr>
          <w:rFonts w:hint="eastAsia" w:asciiTheme="minorEastAsia" w:hAnsiTheme="minorEastAsia" w:eastAsiaTheme="minorEastAsia" w:cstheme="minorEastAsia"/>
          <w:color w:val="auto"/>
          <w:sz w:val="24"/>
          <w:highlight w:val="none"/>
        </w:rPr>
        <w:t xml:space="preserve"> 任何要求对招标文件进行澄清的投标人，应在投标截止期</w:t>
      </w:r>
      <w:r>
        <w:rPr>
          <w:rFonts w:hint="eastAsia" w:asciiTheme="minorEastAsia" w:hAnsiTheme="minorEastAsia" w:eastAsiaTheme="minorEastAsia" w:cstheme="minorEastAsia"/>
          <w:b/>
          <w:color w:val="auto"/>
          <w:sz w:val="24"/>
          <w:szCs w:val="24"/>
          <w:highlight w:val="none"/>
        </w:rPr>
        <w:t>十日</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highlight w:val="none"/>
        </w:rPr>
        <w:t>按招标公告中的通讯地址，以书面形式通知建装中心。</w:t>
      </w:r>
    </w:p>
    <w:p w14:paraId="1131F36D">
      <w:pPr>
        <w:pStyle w:val="203"/>
        <w:spacing w:before="0" w:after="0" w:line="240" w:lineRule="auto"/>
        <w:ind w:firstLine="560"/>
        <w:rPr>
          <w:rFonts w:hint="eastAsia" w:asciiTheme="minorEastAsia" w:hAnsiTheme="minorEastAsia" w:eastAsiaTheme="minorEastAsia" w:cstheme="minorEastAsia"/>
          <w:b w:val="0"/>
          <w:bCs w:val="0"/>
          <w:color w:val="auto"/>
          <w:highlight w:val="none"/>
        </w:rPr>
      </w:pPr>
      <w:bookmarkStart w:id="89" w:name="_Toc462564071"/>
      <w:bookmarkStart w:id="90" w:name="_Toc20823284"/>
      <w:bookmarkStart w:id="91" w:name="_Toc513029212"/>
      <w:bookmarkStart w:id="92" w:name="_Toc16938528"/>
      <w:r>
        <w:rPr>
          <w:rFonts w:hint="eastAsia" w:asciiTheme="minorEastAsia" w:hAnsiTheme="minorEastAsia" w:eastAsiaTheme="minorEastAsia" w:cstheme="minorEastAsia"/>
          <w:b w:val="0"/>
          <w:bCs w:val="0"/>
          <w:color w:val="auto"/>
          <w:highlight w:val="none"/>
        </w:rPr>
        <w:t>8、招标文件的修改</w:t>
      </w:r>
      <w:bookmarkEnd w:id="89"/>
      <w:bookmarkEnd w:id="90"/>
      <w:bookmarkEnd w:id="91"/>
      <w:bookmarkEnd w:id="92"/>
    </w:p>
    <w:p w14:paraId="1616E3F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8.1</w:t>
      </w:r>
      <w:r>
        <w:rPr>
          <w:rFonts w:hint="eastAsia" w:asciiTheme="minorEastAsia" w:hAnsiTheme="minorEastAsia" w:eastAsiaTheme="minorEastAsia" w:cstheme="minorEastAsia"/>
          <w:color w:val="auto"/>
          <w:sz w:val="24"/>
          <w:highlight w:val="none"/>
        </w:rPr>
        <w:t xml:space="preserve"> 在投标截止时间前，建装中心可以对招标文件进行修改。</w:t>
      </w:r>
    </w:p>
    <w:p w14:paraId="4A00BEEB">
      <w:pPr>
        <w:spacing w:line="500" w:lineRule="exact"/>
        <w:ind w:firstLine="480"/>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bCs/>
          <w:color w:val="auto"/>
          <w:sz w:val="24"/>
          <w:highlight w:val="none"/>
        </w:rPr>
        <w:t xml:space="preserve">8.2 </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有权按照法定的要求</w:t>
      </w:r>
      <w:r>
        <w:rPr>
          <w:rFonts w:hint="eastAsia" w:asciiTheme="minorEastAsia" w:hAnsiTheme="minorEastAsia" w:eastAsiaTheme="minorEastAsia" w:cstheme="minorEastAsia"/>
          <w:color w:val="auto"/>
          <w:sz w:val="24"/>
          <w:highlight w:val="none"/>
        </w:rPr>
        <w:t>推迟投标截止日期和开标日期。</w:t>
      </w:r>
    </w:p>
    <w:p w14:paraId="65FD24E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8.3 </w:t>
      </w:r>
      <w:r>
        <w:rPr>
          <w:rFonts w:hint="eastAsia" w:asciiTheme="minorEastAsia" w:hAnsiTheme="minorEastAsia" w:eastAsiaTheme="minorEastAsia" w:cstheme="minorEastAsia"/>
          <w:color w:val="auto"/>
          <w:sz w:val="24"/>
          <w:highlight w:val="none"/>
        </w:rPr>
        <w:t>招标文件的修改将在江苏政府采购网、常州市政府采购网公布，</w:t>
      </w:r>
      <w:r>
        <w:rPr>
          <w:rFonts w:hint="eastAsia" w:asciiTheme="minorEastAsia" w:hAnsiTheme="minorEastAsia" w:eastAsiaTheme="minorEastAsia" w:cstheme="minorEastAsia"/>
          <w:color w:val="auto"/>
          <w:sz w:val="24"/>
          <w:szCs w:val="24"/>
          <w:highlight w:val="none"/>
        </w:rPr>
        <w:t>补充文件将作为招标文件的组成部分，</w:t>
      </w:r>
      <w:r>
        <w:rPr>
          <w:rFonts w:hint="eastAsia" w:asciiTheme="minorEastAsia" w:hAnsiTheme="minorEastAsia" w:eastAsiaTheme="minorEastAsia" w:cstheme="minorEastAsia"/>
          <w:color w:val="auto"/>
          <w:sz w:val="24"/>
          <w:highlight w:val="none"/>
        </w:rPr>
        <w:t>并对投标人具有约束力。</w:t>
      </w:r>
    </w:p>
    <w:p w14:paraId="1B43F997">
      <w:pPr>
        <w:pStyle w:val="201"/>
        <w:spacing w:before="156" w:after="156" w:line="360" w:lineRule="auto"/>
        <w:ind w:firstLine="482"/>
        <w:rPr>
          <w:rFonts w:hint="eastAsia" w:asciiTheme="minorEastAsia" w:hAnsiTheme="minorEastAsia" w:eastAsiaTheme="minorEastAsia" w:cstheme="minorEastAsia"/>
          <w:color w:val="auto"/>
          <w:highlight w:val="none"/>
        </w:rPr>
      </w:pPr>
      <w:bookmarkStart w:id="93" w:name="_Toc462564072"/>
      <w:bookmarkStart w:id="94" w:name="_Toc120614216"/>
      <w:bookmarkStart w:id="95" w:name="_Toc513029213"/>
      <w:bookmarkStart w:id="96" w:name="_Toc20823285"/>
      <w:bookmarkStart w:id="97" w:name="_Toc16938529"/>
      <w:r>
        <w:rPr>
          <w:rFonts w:hint="eastAsia" w:asciiTheme="minorEastAsia" w:hAnsiTheme="minorEastAsia" w:eastAsiaTheme="minorEastAsia" w:cstheme="minorEastAsia"/>
          <w:color w:val="auto"/>
          <w:highlight w:val="none"/>
        </w:rPr>
        <w:t>三、投标文件的编制</w:t>
      </w:r>
      <w:bookmarkEnd w:id="93"/>
      <w:bookmarkEnd w:id="94"/>
      <w:bookmarkEnd w:id="95"/>
      <w:bookmarkEnd w:id="96"/>
      <w:bookmarkEnd w:id="97"/>
    </w:p>
    <w:p w14:paraId="750D0A1B">
      <w:pPr>
        <w:pStyle w:val="203"/>
        <w:spacing w:before="0" w:after="0" w:line="240" w:lineRule="auto"/>
        <w:ind w:firstLine="560"/>
        <w:rPr>
          <w:rFonts w:hint="eastAsia" w:asciiTheme="minorEastAsia" w:hAnsiTheme="minorEastAsia" w:eastAsiaTheme="minorEastAsia" w:cstheme="minorEastAsia"/>
          <w:bCs w:val="0"/>
          <w:color w:val="auto"/>
          <w:highlight w:val="none"/>
        </w:rPr>
      </w:pPr>
      <w:bookmarkStart w:id="98" w:name="_Toc462564073"/>
      <w:bookmarkStart w:id="99" w:name="_Toc513029214"/>
      <w:bookmarkStart w:id="100" w:name="_Toc20823286"/>
      <w:bookmarkStart w:id="101" w:name="_Toc16938530"/>
      <w:r>
        <w:rPr>
          <w:rFonts w:hint="eastAsia" w:asciiTheme="minorEastAsia" w:hAnsiTheme="minorEastAsia" w:eastAsiaTheme="minorEastAsia" w:cstheme="minorEastAsia"/>
          <w:b w:val="0"/>
          <w:bCs w:val="0"/>
          <w:color w:val="auto"/>
          <w:highlight w:val="none"/>
        </w:rPr>
        <w:t>9、投标文件的语言及度量衡单位</w:t>
      </w:r>
      <w:bookmarkEnd w:id="98"/>
      <w:bookmarkEnd w:id="99"/>
      <w:bookmarkEnd w:id="100"/>
      <w:bookmarkEnd w:id="101"/>
    </w:p>
    <w:p w14:paraId="738CFE6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9.1</w:t>
      </w:r>
      <w:r>
        <w:rPr>
          <w:rFonts w:hint="eastAsia" w:asciiTheme="minorEastAsia" w:hAnsiTheme="minorEastAsia" w:eastAsiaTheme="minorEastAsia" w:cstheme="minorEastAsia"/>
          <w:color w:val="auto"/>
          <w:sz w:val="24"/>
          <w:highlight w:val="none"/>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color w:val="auto"/>
          <w:sz w:val="24"/>
          <w:highlight w:val="none"/>
        </w:rPr>
        <w:t>简体中文</w:t>
      </w:r>
      <w:r>
        <w:rPr>
          <w:rFonts w:hint="eastAsia" w:asciiTheme="minorEastAsia" w:hAnsiTheme="minorEastAsia" w:eastAsiaTheme="minorEastAsia" w:cstheme="minorEastAsia"/>
          <w:color w:val="auto"/>
          <w:sz w:val="24"/>
          <w:highlight w:val="none"/>
        </w:rPr>
        <w:t>。</w:t>
      </w:r>
    </w:p>
    <w:p w14:paraId="2C6C3BA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9.2</w:t>
      </w:r>
      <w:r>
        <w:rPr>
          <w:rFonts w:hint="eastAsia" w:asciiTheme="minorEastAsia" w:hAnsiTheme="minorEastAsia" w:eastAsiaTheme="minorEastAsia" w:cstheme="minorEastAsia"/>
          <w:color w:val="auto"/>
          <w:sz w:val="24"/>
          <w:highlight w:val="none"/>
        </w:rPr>
        <w:t xml:space="preserve"> 除技术性能另有规定外，投标文件所使用的度量衡单位，均须采用国家法定计量单位。</w:t>
      </w:r>
    </w:p>
    <w:p w14:paraId="558AF0C9">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02" w:name="_Toc16938531"/>
      <w:bookmarkStart w:id="103" w:name="_Toc20823287"/>
      <w:bookmarkStart w:id="104" w:name="_Toc513029215"/>
      <w:bookmarkStart w:id="105" w:name="_Toc462564074"/>
      <w:r>
        <w:rPr>
          <w:rFonts w:hint="eastAsia" w:asciiTheme="minorEastAsia" w:hAnsiTheme="minorEastAsia" w:eastAsiaTheme="minorEastAsia" w:cstheme="minorEastAsia"/>
          <w:b w:val="0"/>
          <w:bCs w:val="0"/>
          <w:color w:val="auto"/>
          <w:highlight w:val="none"/>
        </w:rPr>
        <w:t>10、投标文件构成</w:t>
      </w:r>
      <w:bookmarkEnd w:id="102"/>
      <w:bookmarkEnd w:id="103"/>
      <w:bookmarkEnd w:id="104"/>
      <w:bookmarkEnd w:id="105"/>
    </w:p>
    <w:p w14:paraId="3D13D410">
      <w:pPr>
        <w:tabs>
          <w:tab w:val="left" w:pos="1080"/>
          <w:tab w:val="left" w:pos="1589"/>
          <w:tab w:val="left" w:pos="2014"/>
        </w:tabs>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10.1本项目如划分采购包，投标人可以对本项目的其中一个采购包进行投标，也可同时对多个采购包进行投标。</w:t>
      </w:r>
      <w:r>
        <w:rPr>
          <w:rFonts w:hint="eastAsia" w:asciiTheme="minorEastAsia" w:hAnsiTheme="minorEastAsia" w:eastAsiaTheme="minorEastAsia" w:cstheme="minorEastAsia"/>
          <w:i/>
          <w:color w:val="auto"/>
          <w:sz w:val="24"/>
          <w:highlight w:val="none"/>
          <w:u w:val="single"/>
        </w:rPr>
        <w:t>投标人应当对所投采购包对应《采购需求》所列的全部内容进行投标，不得将一个采购包中的内容拆开投标，否则其对该采购包的投标将被认定为无效投标。</w:t>
      </w:r>
    </w:p>
    <w:p w14:paraId="2E12EA6C">
      <w:pPr>
        <w:spacing w:line="440" w:lineRule="exact"/>
        <w:ind w:firstLine="480"/>
        <w:rPr>
          <w:rFonts w:hint="eastAsia" w:asciiTheme="minorEastAsia" w:hAnsiTheme="minorEastAsia" w:eastAsiaTheme="minorEastAsia" w:cstheme="minorEastAsia"/>
          <w:color w:val="auto"/>
          <w:sz w:val="24"/>
          <w:highlight w:val="none"/>
        </w:rPr>
      </w:pPr>
    </w:p>
    <w:p w14:paraId="63BB1798">
      <w:pPr>
        <w:spacing w:line="44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10.2投标人编写的投标文件应包括资格证明文件、符合性证明文件、投标分项报价表、技术要求响应及偏离表、商务要求响应及偏离表、其他证明文件、投标函、开标一览表等部分。</w:t>
      </w:r>
    </w:p>
    <w:p w14:paraId="2AAE9E7F">
      <w:pPr>
        <w:spacing w:line="44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10.3如标书制作工具中格式和内容与“江苏政府采购网”</w:t>
      </w:r>
      <w:r>
        <w:rPr>
          <w:rFonts w:hint="eastAsia" w:asciiTheme="minorEastAsia" w:hAnsiTheme="minorEastAsia" w:eastAsiaTheme="minorEastAsia" w:cstheme="minorEastAsia"/>
          <w:color w:val="auto"/>
          <w:sz w:val="24"/>
          <w:szCs w:val="24"/>
          <w:highlight w:val="none"/>
        </w:rPr>
        <w:t xml:space="preserve"> 、“常州市政府采购网”</w:t>
      </w:r>
      <w:r>
        <w:rPr>
          <w:rFonts w:hint="eastAsia" w:asciiTheme="minorEastAsia" w:hAnsiTheme="minorEastAsia" w:eastAsiaTheme="minorEastAsia" w:cstheme="minorEastAsia"/>
          <w:color w:val="auto"/>
          <w:sz w:val="24"/>
          <w:highlight w:val="none"/>
        </w:rPr>
        <w:t>发布的招标文件不一致，请以“江苏政府采购网”</w:t>
      </w:r>
      <w:r>
        <w:rPr>
          <w:rFonts w:hint="eastAsia" w:asciiTheme="minorEastAsia" w:hAnsiTheme="minorEastAsia" w:eastAsiaTheme="minorEastAsia" w:cstheme="minorEastAsia"/>
          <w:color w:val="auto"/>
          <w:sz w:val="24"/>
          <w:szCs w:val="24"/>
          <w:highlight w:val="none"/>
        </w:rPr>
        <w:t xml:space="preserve"> 、“常州市政府采购网”</w:t>
      </w:r>
      <w:r>
        <w:rPr>
          <w:rFonts w:hint="eastAsia" w:asciiTheme="minorEastAsia" w:hAnsiTheme="minorEastAsia" w:eastAsiaTheme="minorEastAsia" w:cstheme="minorEastAsia"/>
          <w:color w:val="auto"/>
          <w:sz w:val="24"/>
          <w:highlight w:val="none"/>
        </w:rPr>
        <w:t>发布的招标文件为准。</w:t>
      </w:r>
    </w:p>
    <w:p w14:paraId="5FD80CFC">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06" w:name="_Hlt26668975"/>
      <w:bookmarkEnd w:id="106"/>
      <w:bookmarkStart w:id="107" w:name="_Hlt26954838"/>
      <w:bookmarkEnd w:id="107"/>
      <w:bookmarkStart w:id="108" w:name="_Hlt26670360"/>
      <w:bookmarkEnd w:id="108"/>
      <w:bookmarkStart w:id="109" w:name="_Toc49090509"/>
      <w:bookmarkStart w:id="110" w:name="_Toc513029219"/>
      <w:bookmarkStart w:id="111" w:name="_Toc14577357"/>
      <w:bookmarkStart w:id="112" w:name="_Toc14577354"/>
      <w:bookmarkStart w:id="113" w:name="_Toc513029216"/>
      <w:bookmarkStart w:id="114" w:name="_Toc49090507"/>
      <w:r>
        <w:rPr>
          <w:rFonts w:hint="eastAsia" w:asciiTheme="minorEastAsia" w:hAnsiTheme="minorEastAsia" w:eastAsiaTheme="minorEastAsia" w:cstheme="minorEastAsia"/>
          <w:b w:val="0"/>
          <w:bCs w:val="0"/>
          <w:color w:val="auto"/>
          <w:highlight w:val="none"/>
        </w:rPr>
        <w:t>11、证明投标人及投标标的符合招标文件规定的文件</w:t>
      </w:r>
      <w:bookmarkEnd w:id="109"/>
      <w:bookmarkEnd w:id="110"/>
      <w:bookmarkEnd w:id="111"/>
    </w:p>
    <w:bookmarkEnd w:id="112"/>
    <w:bookmarkEnd w:id="113"/>
    <w:bookmarkEnd w:id="114"/>
    <w:p w14:paraId="697391EE">
      <w:pPr>
        <w:spacing w:line="480" w:lineRule="exact"/>
        <w:rPr>
          <w:rFonts w:hint="eastAsia" w:asciiTheme="minorEastAsia" w:hAnsiTheme="minorEastAsia" w:eastAsiaTheme="minorEastAsia" w:cstheme="minorEastAsia"/>
          <w:color w:val="auto"/>
          <w:sz w:val="24"/>
          <w:szCs w:val="24"/>
          <w:highlight w:val="none"/>
        </w:rPr>
      </w:pPr>
      <w:bookmarkStart w:id="115" w:name="_Toc14577355"/>
      <w:bookmarkStart w:id="116" w:name="_Toc49090508"/>
      <w:r>
        <w:rPr>
          <w:rFonts w:hint="eastAsia" w:asciiTheme="minorEastAsia" w:hAnsiTheme="minorEastAsia" w:eastAsiaTheme="minorEastAsia" w:cstheme="minorEastAsia"/>
          <w:color w:val="auto"/>
          <w:sz w:val="24"/>
          <w:szCs w:val="24"/>
          <w:highlight w:val="none"/>
        </w:rPr>
        <w:t xml:space="preserve">    11.1 投标人应按照法律、法规、规章和规范性文件以及招标文件要求提交证明文件，证明其及投标标的符合招标文件规定。</w:t>
      </w:r>
    </w:p>
    <w:p w14:paraId="6D4FF47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11.2招标文件对证明文件无明确形式要求的，证明文件可以以文字资料、图纸和数据等形式提交。</w:t>
      </w:r>
    </w:p>
    <w:p w14:paraId="2881B12B">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12、投标分项报价</w:t>
      </w:r>
      <w:bookmarkEnd w:id="115"/>
      <w:bookmarkStart w:id="117" w:name="_Hlt26670373"/>
      <w:bookmarkEnd w:id="117"/>
      <w:r>
        <w:rPr>
          <w:rFonts w:hint="eastAsia" w:asciiTheme="minorEastAsia" w:hAnsiTheme="minorEastAsia" w:eastAsiaTheme="minorEastAsia" w:cstheme="minorEastAsia"/>
          <w:b w:val="0"/>
          <w:bCs w:val="0"/>
          <w:color w:val="auto"/>
          <w:highlight w:val="none"/>
        </w:rPr>
        <w:t>表</w:t>
      </w:r>
      <w:bookmarkEnd w:id="116"/>
    </w:p>
    <w:p w14:paraId="6109B119">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12.1</w:t>
      </w:r>
      <w:r>
        <w:rPr>
          <w:rFonts w:hint="eastAsia" w:asciiTheme="minorEastAsia" w:hAnsiTheme="minorEastAsia" w:eastAsiaTheme="minorEastAsia" w:cstheme="minorEastAsia"/>
          <w:color w:val="auto"/>
          <w:sz w:val="24"/>
          <w:highlight w:val="none"/>
        </w:rPr>
        <w:t xml:space="preserve"> 投</w:t>
      </w:r>
      <w:bookmarkStart w:id="118" w:name="_Hlt26954840"/>
      <w:bookmarkEnd w:id="118"/>
      <w:r>
        <w:rPr>
          <w:rFonts w:hint="eastAsia" w:asciiTheme="minorEastAsia" w:hAnsiTheme="minorEastAsia" w:eastAsiaTheme="minorEastAsia" w:cstheme="minorEastAsia"/>
          <w:color w:val="auto"/>
          <w:sz w:val="24"/>
          <w:highlight w:val="none"/>
        </w:rPr>
        <w:t>标人应按照招标文件规定格式填报投标分项报价表</w:t>
      </w:r>
      <w:bookmarkStart w:id="119" w:name="_Hlt26670399"/>
      <w:bookmarkEnd w:id="119"/>
      <w:r>
        <w:rPr>
          <w:rFonts w:hint="eastAsia" w:asciiTheme="minorEastAsia" w:hAnsiTheme="minorEastAsia" w:eastAsiaTheme="minorEastAsia" w:cstheme="minorEastAsia"/>
          <w:color w:val="auto"/>
          <w:sz w:val="24"/>
          <w:highlight w:val="none"/>
        </w:rPr>
        <w:t>。</w:t>
      </w:r>
    </w:p>
    <w:p w14:paraId="233909E7">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12.2</w:t>
      </w:r>
      <w:r>
        <w:rPr>
          <w:rFonts w:hint="eastAsia" w:asciiTheme="minorEastAsia" w:hAnsiTheme="minorEastAsia" w:eastAsiaTheme="minorEastAsia" w:cstheme="minorEastAsia"/>
          <w:bCs/>
          <w:color w:val="auto"/>
          <w:sz w:val="24"/>
          <w:highlight w:val="none"/>
        </w:rPr>
        <w:t>投标货币。投标文件中的单价和总价无特殊规定的采用人民币报价，以元为单位标注。</w:t>
      </w:r>
      <w:r>
        <w:rPr>
          <w:rFonts w:hint="eastAsia" w:asciiTheme="minorEastAsia" w:hAnsiTheme="minorEastAsia" w:eastAsiaTheme="minorEastAsia" w:cstheme="minorEastAsia"/>
          <w:color w:val="auto"/>
          <w:sz w:val="24"/>
          <w:highlight w:val="none"/>
        </w:rPr>
        <w:t>招标文件中另有规定的按规定执行。</w:t>
      </w:r>
    </w:p>
    <w:p w14:paraId="07234CCE">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20" w:name="_Hlt26954842"/>
      <w:bookmarkEnd w:id="120"/>
      <w:bookmarkStart w:id="121" w:name="_Hlt26954848"/>
      <w:bookmarkEnd w:id="121"/>
      <w:bookmarkStart w:id="122" w:name="_Hlt26670486"/>
      <w:bookmarkEnd w:id="122"/>
      <w:bookmarkStart w:id="123" w:name="_Hlt26954731"/>
      <w:bookmarkEnd w:id="123"/>
      <w:bookmarkStart w:id="124" w:name="_Hlt26954844"/>
      <w:bookmarkEnd w:id="124"/>
      <w:bookmarkStart w:id="125" w:name="_Hlt26670425"/>
      <w:bookmarkEnd w:id="125"/>
      <w:bookmarkStart w:id="126" w:name="_Hlt26670482"/>
      <w:bookmarkEnd w:id="126"/>
      <w:bookmarkStart w:id="127" w:name="_Hlt26670403"/>
      <w:bookmarkEnd w:id="127"/>
      <w:bookmarkStart w:id="128" w:name="_Hlt26668983"/>
      <w:bookmarkEnd w:id="128"/>
      <w:bookmarkStart w:id="129" w:name="_Hlt26954846"/>
      <w:bookmarkEnd w:id="129"/>
      <w:r>
        <w:rPr>
          <w:rFonts w:hint="eastAsia" w:asciiTheme="minorEastAsia" w:hAnsiTheme="minorEastAsia" w:eastAsiaTheme="minorEastAsia" w:cstheme="minorEastAsia"/>
          <w:b w:val="0"/>
          <w:bCs w:val="0"/>
          <w:color w:val="auto"/>
          <w:highlight w:val="none"/>
        </w:rPr>
        <w:t>13.1、技术要求响应及偏离表、商务要求响应及偏离表</w:t>
      </w:r>
    </w:p>
    <w:p w14:paraId="5FD19CC6">
      <w:pPr>
        <w:spacing w:line="500" w:lineRule="exact"/>
        <w:ind w:firstLine="48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Cs/>
          <w:color w:val="auto"/>
          <w:sz w:val="24"/>
          <w:highlight w:val="none"/>
          <w:lang w:val="zh-CN"/>
        </w:rPr>
        <w:t>13.1.1</w:t>
      </w:r>
      <w:r>
        <w:rPr>
          <w:rFonts w:hint="eastAsia" w:asciiTheme="minorEastAsia" w:hAnsiTheme="minorEastAsia" w:eastAsiaTheme="minorEastAsia" w:cstheme="minorEastAsia"/>
          <w:color w:val="auto"/>
          <w:sz w:val="24"/>
          <w:highlight w:val="none"/>
          <w:lang w:val="zh-CN"/>
        </w:rPr>
        <w:t xml:space="preserve"> 投标人需对招标文件中的技术要求与商务要求逐项作出响应或偏离，并说明原因。</w:t>
      </w:r>
    </w:p>
    <w:p w14:paraId="3EAE8775">
      <w:pPr>
        <w:keepNext/>
        <w:keepLines/>
        <w:ind w:firstLine="480"/>
        <w:outlineLvl w:val="3"/>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13.1.2 投标人可在投标文件中提供认为需要的其他技术文件或说明。</w:t>
      </w:r>
    </w:p>
    <w:p w14:paraId="38F63884">
      <w:pPr>
        <w:keepNext/>
        <w:keepLines/>
        <w:ind w:firstLine="420"/>
        <w:outlineLvl w:val="3"/>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13.2、服务承诺、培训计划、人员安排及其他</w:t>
      </w:r>
    </w:p>
    <w:p w14:paraId="01AF572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13.2.</w:t>
      </w:r>
      <w:r>
        <w:rPr>
          <w:rFonts w:hint="eastAsia" w:asciiTheme="minorEastAsia" w:hAnsiTheme="minorEastAsia" w:eastAsiaTheme="minorEastAsia" w:cstheme="minorEastAsia"/>
          <w:bCs/>
          <w:color w:val="auto"/>
          <w:sz w:val="24"/>
          <w:szCs w:val="24"/>
          <w:highlight w:val="none"/>
        </w:rPr>
        <w:t xml:space="preserve">1 </w:t>
      </w:r>
      <w:r>
        <w:rPr>
          <w:rFonts w:hint="eastAsia" w:asciiTheme="minorEastAsia" w:hAnsiTheme="minorEastAsia" w:eastAsiaTheme="minorEastAsia" w:cstheme="minorEastAsia"/>
          <w:color w:val="auto"/>
          <w:sz w:val="24"/>
          <w:szCs w:val="24"/>
          <w:highlight w:val="none"/>
        </w:rPr>
        <w:t>投标人需根据招标文件要求提供有关售后服务的管理制度，售后服务机构的分布情况，售后服务人员的数量、素质、技术水平及售后服务的反应能力等。</w:t>
      </w:r>
    </w:p>
    <w:p w14:paraId="569B3C3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13.2.</w:t>
      </w:r>
      <w:r>
        <w:rPr>
          <w:rFonts w:hint="eastAsia" w:asciiTheme="minorEastAsia" w:hAnsiTheme="minorEastAsia" w:eastAsiaTheme="minorEastAsia" w:cstheme="minorEastAsia"/>
          <w:color w:val="auto"/>
          <w:sz w:val="24"/>
          <w:szCs w:val="24"/>
          <w:highlight w:val="none"/>
        </w:rPr>
        <w:t>2 投标人需根据招标文件要求提供培训计划。</w:t>
      </w:r>
    </w:p>
    <w:p w14:paraId="0F6C35D9">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lang w:val="zh-CN"/>
        </w:rPr>
        <w:t>13.2.</w:t>
      </w:r>
      <w:r>
        <w:rPr>
          <w:rFonts w:hint="eastAsia" w:asciiTheme="minorEastAsia" w:hAnsiTheme="minorEastAsia" w:eastAsiaTheme="minorEastAsia" w:cstheme="minorEastAsia"/>
          <w:color w:val="auto"/>
          <w:sz w:val="24"/>
          <w:szCs w:val="24"/>
          <w:highlight w:val="none"/>
        </w:rPr>
        <w:t>3  投标人需根据招标文件要求提供</w:t>
      </w:r>
      <w:r>
        <w:rPr>
          <w:rFonts w:hint="eastAsia" w:asciiTheme="minorEastAsia" w:hAnsiTheme="minorEastAsia" w:eastAsiaTheme="minorEastAsia" w:cstheme="minorEastAsia"/>
          <w:color w:val="auto"/>
          <w:sz w:val="24"/>
          <w:highlight w:val="none"/>
          <w:lang w:val="zh-CN"/>
        </w:rPr>
        <w:t>所投标的的主要组成部分、功能设计、实现思路及关键技术等。</w:t>
      </w:r>
    </w:p>
    <w:p w14:paraId="37FDAE8E">
      <w:pPr>
        <w:tabs>
          <w:tab w:val="left" w:pos="1035"/>
        </w:tabs>
        <w:spacing w:line="500" w:lineRule="exact"/>
        <w:ind w:firstLine="480"/>
        <w:rPr>
          <w:rFonts w:hint="eastAsia" w:asciiTheme="minorEastAsia" w:hAnsiTheme="minorEastAsia" w:eastAsiaTheme="minorEastAsia" w:cstheme="minorEastAsia"/>
          <w:color w:val="auto"/>
          <w:sz w:val="24"/>
          <w:highlight w:val="none"/>
        </w:rPr>
      </w:pPr>
    </w:p>
    <w:p w14:paraId="6C48DF57">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30" w:name="_Toc14577359"/>
      <w:bookmarkStart w:id="131" w:name="_Toc49090510"/>
      <w:r>
        <w:rPr>
          <w:rFonts w:hint="eastAsia" w:asciiTheme="minorEastAsia" w:hAnsiTheme="minorEastAsia" w:eastAsiaTheme="minorEastAsia" w:cstheme="minorEastAsia"/>
          <w:b w:val="0"/>
          <w:bCs w:val="0"/>
          <w:color w:val="auto"/>
          <w:highlight w:val="none"/>
        </w:rPr>
        <w:t>14、投标函和开标一览表</w:t>
      </w:r>
    </w:p>
    <w:p w14:paraId="073E60D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14.1</w:t>
      </w:r>
      <w:r>
        <w:rPr>
          <w:rFonts w:hint="eastAsia" w:asciiTheme="minorEastAsia" w:hAnsiTheme="minorEastAsia" w:eastAsiaTheme="minorEastAsia" w:cstheme="minorEastAsia"/>
          <w:color w:val="auto"/>
          <w:sz w:val="24"/>
          <w:highlight w:val="none"/>
        </w:rPr>
        <w:t xml:space="preserve"> 投标人应按照招标文件中提供的格式完整、正确填写投标函、开标一览表。</w:t>
      </w:r>
    </w:p>
    <w:p w14:paraId="2BAB590A">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14.2</w:t>
      </w:r>
      <w:r>
        <w:rPr>
          <w:rFonts w:hint="eastAsia" w:asciiTheme="minorEastAsia" w:hAnsiTheme="minorEastAsia" w:eastAsiaTheme="minorEastAsia" w:cstheme="minorEastAsia"/>
          <w:color w:val="auto"/>
          <w:sz w:val="24"/>
          <w:highlight w:val="none"/>
        </w:rPr>
        <w:t xml:space="preserve"> 对于采用货币报价的项目，</w:t>
      </w:r>
      <w:r>
        <w:rPr>
          <w:rFonts w:hint="eastAsia" w:asciiTheme="minorEastAsia" w:hAnsiTheme="minorEastAsia" w:eastAsiaTheme="minorEastAsia" w:cstheme="minorEastAsia"/>
          <w:bCs/>
          <w:color w:val="auto"/>
          <w:sz w:val="24"/>
          <w:highlight w:val="none"/>
        </w:rPr>
        <w:t>开标一览表中的投标总报价应与投标分项报价表中的投标总报价一致，如不一致，</w:t>
      </w:r>
      <w:r>
        <w:rPr>
          <w:rFonts w:hint="eastAsia" w:asciiTheme="minorEastAsia" w:hAnsiTheme="minorEastAsia" w:eastAsiaTheme="minorEastAsia" w:cstheme="minorEastAsia"/>
          <w:color w:val="auto"/>
          <w:sz w:val="24"/>
          <w:szCs w:val="24"/>
          <w:highlight w:val="none"/>
        </w:rPr>
        <w:t>不作为无效投标处理</w:t>
      </w:r>
      <w:r>
        <w:rPr>
          <w:rFonts w:hint="eastAsia" w:asciiTheme="minorEastAsia" w:hAnsiTheme="minorEastAsia" w:eastAsiaTheme="minorEastAsia" w:cstheme="minorEastAsia"/>
          <w:bCs/>
          <w:color w:val="auto"/>
          <w:sz w:val="24"/>
          <w:highlight w:val="none"/>
        </w:rPr>
        <w:t>，但评标时按开标一览表中价格为准</w:t>
      </w:r>
      <w:r>
        <w:rPr>
          <w:rFonts w:hint="eastAsia" w:asciiTheme="minorEastAsia" w:hAnsiTheme="minorEastAsia" w:eastAsiaTheme="minorEastAsia" w:cstheme="minorEastAsia"/>
          <w:b/>
          <w:bCs/>
          <w:color w:val="auto"/>
          <w:sz w:val="24"/>
          <w:highlight w:val="none"/>
        </w:rPr>
        <w:t>。</w:t>
      </w:r>
    </w:p>
    <w:bookmarkEnd w:id="130"/>
    <w:bookmarkEnd w:id="131"/>
    <w:p w14:paraId="385490DD">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32" w:name="_Hlt26954734"/>
      <w:bookmarkEnd w:id="132"/>
      <w:bookmarkStart w:id="133" w:name="_Hlt26670489"/>
      <w:bookmarkEnd w:id="133"/>
      <w:bookmarkStart w:id="134" w:name="_Hlt26954850"/>
      <w:bookmarkEnd w:id="134"/>
      <w:bookmarkStart w:id="135" w:name="_Toc14577360"/>
      <w:bookmarkStart w:id="136" w:name="_Toc49090511"/>
      <w:r>
        <w:rPr>
          <w:rFonts w:hint="eastAsia" w:asciiTheme="minorEastAsia" w:hAnsiTheme="minorEastAsia" w:eastAsiaTheme="minorEastAsia" w:cstheme="minorEastAsia"/>
          <w:b w:val="0"/>
          <w:bCs w:val="0"/>
          <w:color w:val="auto"/>
          <w:highlight w:val="none"/>
        </w:rPr>
        <w:t>15、投标有效期</w:t>
      </w:r>
      <w:bookmarkEnd w:id="135"/>
      <w:bookmarkEnd w:id="136"/>
    </w:p>
    <w:p w14:paraId="18C4D3EF">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w:t>
      </w:r>
      <w:r>
        <w:rPr>
          <w:rFonts w:hint="eastAsia" w:asciiTheme="minorEastAsia" w:hAnsiTheme="minorEastAsia" w:eastAsiaTheme="minorEastAsia" w:cstheme="minorEastAsia"/>
          <w:bCs/>
          <w:color w:val="auto"/>
          <w:sz w:val="24"/>
          <w:highlight w:val="none"/>
        </w:rPr>
        <w:t xml:space="preserve"> 投标有效期为</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规定的开标之日后</w:t>
      </w:r>
      <w:r>
        <w:rPr>
          <w:rFonts w:hint="eastAsia" w:asciiTheme="minorEastAsia" w:hAnsiTheme="minorEastAsia" w:eastAsiaTheme="minorEastAsia" w:cstheme="minorEastAsia"/>
          <w:b/>
          <w:color w:val="auto"/>
          <w:sz w:val="24"/>
          <w:highlight w:val="none"/>
          <w:u w:val="single"/>
        </w:rPr>
        <w:t>六十（60）天</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color w:val="auto"/>
          <w:sz w:val="24"/>
          <w:highlight w:val="none"/>
        </w:rPr>
        <w:t>投标有效期比规定短的将被视为未实质性响应招标文件而予以拒绝。</w:t>
      </w:r>
    </w:p>
    <w:p w14:paraId="6C0681A0">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16、投标有效期的延长</w:t>
      </w:r>
    </w:p>
    <w:p w14:paraId="27C0D2CB">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16.1</w:t>
      </w:r>
      <w:r>
        <w:rPr>
          <w:rFonts w:hint="eastAsia" w:asciiTheme="minorEastAsia" w:hAnsiTheme="minorEastAsia" w:eastAsiaTheme="minorEastAsia" w:cstheme="minorEastAsia"/>
          <w:bCs/>
          <w:color w:val="auto"/>
          <w:sz w:val="24"/>
          <w:highlight w:val="none"/>
        </w:rPr>
        <w:t xml:space="preserve"> 在特殊情况下，</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的这一要求而放弃投标</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Cs/>
          <w:color w:val="auto"/>
          <w:sz w:val="24"/>
          <w:highlight w:val="none"/>
        </w:rPr>
        <w:t>同意延长投标有效期的投标人既不能要求也不允许修改其投标文件</w:t>
      </w:r>
      <w:r>
        <w:rPr>
          <w:rFonts w:hint="eastAsia" w:asciiTheme="minorEastAsia" w:hAnsiTheme="minorEastAsia" w:eastAsiaTheme="minorEastAsia" w:cstheme="minorEastAsia"/>
          <w:color w:val="auto"/>
          <w:sz w:val="24"/>
          <w:szCs w:val="24"/>
          <w:highlight w:val="none"/>
        </w:rPr>
        <w:t>，同时受投标有效期约束的所有权利与义务均延长至新的有效期</w:t>
      </w:r>
      <w:r>
        <w:rPr>
          <w:rFonts w:hint="eastAsia" w:asciiTheme="minorEastAsia" w:hAnsiTheme="minorEastAsia" w:eastAsiaTheme="minorEastAsia" w:cstheme="minorEastAsia"/>
          <w:bCs/>
          <w:color w:val="auto"/>
          <w:sz w:val="24"/>
          <w:highlight w:val="none"/>
        </w:rPr>
        <w:t>。</w:t>
      </w:r>
    </w:p>
    <w:p w14:paraId="0BA31E44">
      <w:pPr>
        <w:pStyle w:val="201"/>
        <w:spacing w:before="156" w:after="156" w:line="360" w:lineRule="auto"/>
        <w:ind w:firstLine="482"/>
        <w:rPr>
          <w:rFonts w:hint="eastAsia" w:asciiTheme="minorEastAsia" w:hAnsiTheme="minorEastAsia" w:eastAsiaTheme="minorEastAsia" w:cstheme="minorEastAsia"/>
          <w:color w:val="auto"/>
          <w:highlight w:val="none"/>
        </w:rPr>
      </w:pPr>
      <w:bookmarkStart w:id="137" w:name="_Hlt26954852"/>
      <w:bookmarkEnd w:id="137"/>
      <w:bookmarkStart w:id="138" w:name="_Hlt26954739"/>
      <w:bookmarkEnd w:id="138"/>
      <w:bookmarkStart w:id="139" w:name="_Toc120614217"/>
      <w:bookmarkStart w:id="140" w:name="_Toc513029224"/>
      <w:bookmarkStart w:id="141" w:name="_Toc20823296"/>
      <w:bookmarkStart w:id="142" w:name="_Toc16938540"/>
      <w:r>
        <w:rPr>
          <w:rFonts w:hint="eastAsia" w:asciiTheme="minorEastAsia" w:hAnsiTheme="minorEastAsia" w:eastAsiaTheme="minorEastAsia" w:cstheme="minorEastAsia"/>
          <w:color w:val="auto"/>
          <w:highlight w:val="none"/>
        </w:rPr>
        <w:t>四、投标文件的递交</w:t>
      </w:r>
      <w:bookmarkEnd w:id="139"/>
      <w:bookmarkEnd w:id="140"/>
      <w:bookmarkEnd w:id="141"/>
      <w:bookmarkEnd w:id="142"/>
    </w:p>
    <w:p w14:paraId="6ED0E7D1">
      <w:pPr>
        <w:pStyle w:val="203"/>
        <w:spacing w:before="0" w:after="0" w:line="240" w:lineRule="auto"/>
        <w:ind w:firstLine="560"/>
        <w:rPr>
          <w:rFonts w:hint="eastAsia" w:asciiTheme="minorEastAsia" w:hAnsiTheme="minorEastAsia" w:eastAsiaTheme="minorEastAsia" w:cstheme="minorEastAsia"/>
          <w:b w:val="0"/>
          <w:bCs w:val="0"/>
          <w:color w:val="auto"/>
          <w:highlight w:val="none"/>
        </w:rPr>
      </w:pPr>
      <w:bookmarkStart w:id="143" w:name="_Toc462564084"/>
      <w:bookmarkStart w:id="144" w:name="_Toc20823297"/>
      <w:bookmarkStart w:id="145" w:name="_Toc513029225"/>
      <w:bookmarkStart w:id="146" w:name="_Toc16938541"/>
      <w:r>
        <w:rPr>
          <w:rFonts w:hint="eastAsia" w:asciiTheme="minorEastAsia" w:hAnsiTheme="minorEastAsia" w:eastAsiaTheme="minorEastAsia" w:cstheme="minorEastAsia"/>
          <w:b w:val="0"/>
          <w:bCs w:val="0"/>
          <w:color w:val="auto"/>
          <w:highlight w:val="none"/>
        </w:rPr>
        <w:t>17、投标文件</w:t>
      </w:r>
      <w:bookmarkEnd w:id="143"/>
      <w:bookmarkEnd w:id="144"/>
      <w:bookmarkEnd w:id="145"/>
      <w:bookmarkEnd w:id="146"/>
      <w:r>
        <w:rPr>
          <w:rFonts w:hint="eastAsia" w:asciiTheme="minorEastAsia" w:hAnsiTheme="minorEastAsia" w:eastAsiaTheme="minorEastAsia" w:cstheme="minorEastAsia"/>
          <w:b w:val="0"/>
          <w:bCs w:val="0"/>
          <w:color w:val="auto"/>
          <w:highlight w:val="none"/>
        </w:rPr>
        <w:t>的递交</w:t>
      </w:r>
    </w:p>
    <w:p w14:paraId="2B38328B">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17.1</w:t>
      </w:r>
      <w:r>
        <w:rPr>
          <w:rFonts w:hint="eastAsia" w:asciiTheme="minorEastAsia" w:hAnsiTheme="minorEastAsia" w:eastAsiaTheme="minorEastAsia" w:cstheme="minorEastAsia"/>
          <w:bCs/>
          <w:color w:val="auto"/>
          <w:sz w:val="24"/>
          <w:highlight w:val="none"/>
        </w:rPr>
        <w:t xml:space="preserve"> 电子投标文件的递交</w:t>
      </w:r>
    </w:p>
    <w:p w14:paraId="561B5063">
      <w:pPr>
        <w:pStyle w:val="306"/>
        <w:ind w:left="525"/>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投标人应当按照《操作手册》规定，在投标截止时间前制作并上传电子投标文件。</w:t>
      </w:r>
      <w:bookmarkStart w:id="147" w:name="_Toc513029226"/>
      <w:bookmarkStart w:id="148" w:name="_Toc16938542"/>
      <w:bookmarkStart w:id="149" w:name="_Toc20823298"/>
    </w:p>
    <w:p w14:paraId="5CB562FB">
      <w:pPr>
        <w:pStyle w:val="203"/>
        <w:ind w:firstLine="420"/>
        <w:rPr>
          <w:rFonts w:hint="eastAsia"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18、投标截止</w:t>
      </w:r>
      <w:bookmarkEnd w:id="147"/>
      <w:bookmarkEnd w:id="148"/>
      <w:bookmarkEnd w:id="149"/>
      <w:r>
        <w:rPr>
          <w:rFonts w:hint="eastAsia" w:asciiTheme="minorEastAsia" w:hAnsiTheme="minorEastAsia" w:eastAsiaTheme="minorEastAsia" w:cstheme="minorEastAsia"/>
          <w:b w:val="0"/>
          <w:color w:val="auto"/>
          <w:highlight w:val="none"/>
        </w:rPr>
        <w:t>时间</w:t>
      </w:r>
    </w:p>
    <w:p w14:paraId="42103ED0">
      <w:pPr>
        <w:spacing w:line="500" w:lineRule="exact"/>
        <w:ind w:firstLine="480"/>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i/>
          <w:color w:val="auto"/>
          <w:sz w:val="24"/>
          <w:highlight w:val="none"/>
          <w:u w:val="single"/>
        </w:rPr>
        <w:t>18.1</w:t>
      </w:r>
      <w:r>
        <w:rPr>
          <w:rFonts w:hint="eastAsia" w:asciiTheme="minorEastAsia" w:hAnsiTheme="minorEastAsia" w:eastAsiaTheme="minorEastAsia" w:cstheme="minorEastAsia"/>
          <w:bCs/>
          <w:i/>
          <w:color w:val="auto"/>
          <w:sz w:val="24"/>
          <w:highlight w:val="none"/>
          <w:u w:val="single"/>
        </w:rPr>
        <w:t xml:space="preserve"> 投标人上传电子投标文件的时间不得迟于招标公告中规定的投标截止时间。</w:t>
      </w:r>
    </w:p>
    <w:p w14:paraId="023924F7">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投标人应充分考虑到网络环境、网络带宽等风险因素，如因投标人自身原因造成的电子投标文件上传不成功的按照本招标文件第二章第26.1.2条 规定做无效投标处理。</w:t>
      </w:r>
    </w:p>
    <w:p w14:paraId="37CF03AA">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18.2</w:t>
      </w: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可以按照规定，通过修改招标文件酌情延长投标截止时间，在此情况下，投标人的所有权利和义务以及投标人受制的截止时间均应以延长后新的截止时间为准。</w:t>
      </w:r>
    </w:p>
    <w:p w14:paraId="598502D5">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50" w:name="_Toc513029227"/>
      <w:bookmarkStart w:id="151" w:name="_Toc20823299"/>
      <w:bookmarkStart w:id="152" w:name="_Toc16938543"/>
      <w:r>
        <w:rPr>
          <w:rFonts w:hint="eastAsia" w:asciiTheme="minorEastAsia" w:hAnsiTheme="minorEastAsia" w:eastAsiaTheme="minorEastAsia" w:cstheme="minorEastAsia"/>
          <w:b w:val="0"/>
          <w:bCs w:val="0"/>
          <w:color w:val="auto"/>
          <w:highlight w:val="none"/>
        </w:rPr>
        <w:t>19、投标文件</w:t>
      </w:r>
      <w:bookmarkEnd w:id="150"/>
      <w:bookmarkEnd w:id="151"/>
      <w:bookmarkEnd w:id="152"/>
      <w:r>
        <w:rPr>
          <w:rFonts w:hint="eastAsia" w:asciiTheme="minorEastAsia" w:hAnsiTheme="minorEastAsia" w:eastAsiaTheme="minorEastAsia" w:cstheme="minorEastAsia"/>
          <w:b w:val="0"/>
          <w:bCs w:val="0"/>
          <w:color w:val="auto"/>
          <w:highlight w:val="none"/>
        </w:rPr>
        <w:t>的拒收</w:t>
      </w:r>
    </w:p>
    <w:p w14:paraId="2B0ED91E">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19.1建装中心</w:t>
      </w:r>
      <w:r>
        <w:rPr>
          <w:rFonts w:hint="eastAsia" w:asciiTheme="minorEastAsia" w:hAnsiTheme="minorEastAsia" w:eastAsiaTheme="minorEastAsia" w:cstheme="minorEastAsia"/>
          <w:bCs/>
          <w:color w:val="auto"/>
          <w:sz w:val="24"/>
          <w:highlight w:val="none"/>
        </w:rPr>
        <w:t>拒绝接收在其规定的投标截止时间后上传的任何投标文件。</w:t>
      </w:r>
    </w:p>
    <w:p w14:paraId="3616CB0C">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53" w:name="_Toc513029228"/>
      <w:bookmarkStart w:id="154" w:name="_Toc20823300"/>
      <w:bookmarkStart w:id="155" w:name="_Toc16938544"/>
      <w:r>
        <w:rPr>
          <w:rFonts w:hint="eastAsia" w:asciiTheme="minorEastAsia" w:hAnsiTheme="minorEastAsia" w:eastAsiaTheme="minorEastAsia" w:cstheme="minorEastAsia"/>
          <w:b w:val="0"/>
          <w:bCs w:val="0"/>
          <w:color w:val="auto"/>
          <w:highlight w:val="none"/>
        </w:rPr>
        <w:t>20、投标文件的撤回和修改</w:t>
      </w:r>
      <w:bookmarkEnd w:id="153"/>
      <w:bookmarkEnd w:id="154"/>
      <w:bookmarkEnd w:id="155"/>
    </w:p>
    <w:p w14:paraId="1A3FDB6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 投标文件的撤回</w:t>
      </w:r>
    </w:p>
    <w:p w14:paraId="2EB3851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20.1.1 电子投标文件的撤回</w:t>
      </w:r>
    </w:p>
    <w:p w14:paraId="4CF0C38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投标人可在投标截止时间前，撤回其电子投标文件，具体操作方法见《操作手册》。</w:t>
      </w:r>
    </w:p>
    <w:p w14:paraId="09787D5A">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20.1.2 投标人撤回电子投标文件，则认为其不再参与本项目投标活动。</w:t>
      </w:r>
    </w:p>
    <w:p w14:paraId="6F8250D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 投标文件的修改</w:t>
      </w:r>
    </w:p>
    <w:p w14:paraId="2ECBD45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20.2.1投标人可在投标截止时间前，对其电子投标文件进行修改，具体操作方法见《操作手册》。</w:t>
      </w:r>
    </w:p>
    <w:p w14:paraId="02A7713A">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20.2.2</w:t>
      </w:r>
      <w:r>
        <w:rPr>
          <w:rFonts w:hint="eastAsia" w:asciiTheme="minorEastAsia" w:hAnsiTheme="minorEastAsia" w:eastAsiaTheme="minorEastAsia" w:cstheme="minorEastAsia"/>
          <w:bCs/>
          <w:color w:val="auto"/>
          <w:sz w:val="24"/>
          <w:highlight w:val="none"/>
        </w:rPr>
        <w:t xml:space="preserve"> 在投标截止时间之后，投标人不得对其电子投标文件作任何修改。</w:t>
      </w:r>
    </w:p>
    <w:p w14:paraId="485D392A">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20.3</w:t>
      </w:r>
      <w:r>
        <w:rPr>
          <w:rFonts w:hint="eastAsia" w:asciiTheme="minorEastAsia" w:hAnsiTheme="minorEastAsia" w:eastAsiaTheme="minorEastAsia" w:cstheme="minorEastAsia"/>
          <w:bCs/>
          <w:color w:val="auto"/>
          <w:sz w:val="24"/>
          <w:highlight w:val="none"/>
        </w:rPr>
        <w:t xml:space="preserve"> 在投标截止时间至招标文件中规定的投标有效期满之间的这段时间内，投标人不得撤回其投标。</w:t>
      </w:r>
    </w:p>
    <w:p w14:paraId="0BE82394">
      <w:pPr>
        <w:pStyle w:val="201"/>
        <w:spacing w:before="156" w:after="156" w:line="360" w:lineRule="auto"/>
        <w:ind w:firstLine="482"/>
        <w:rPr>
          <w:rFonts w:hint="eastAsia" w:asciiTheme="minorEastAsia" w:hAnsiTheme="minorEastAsia" w:eastAsiaTheme="minorEastAsia" w:cstheme="minorEastAsia"/>
          <w:color w:val="auto"/>
          <w:highlight w:val="none"/>
        </w:rPr>
      </w:pPr>
      <w:bookmarkStart w:id="156" w:name="_Toc513029229"/>
      <w:bookmarkStart w:id="157" w:name="_Toc20823301"/>
      <w:bookmarkStart w:id="158" w:name="_Toc16938545"/>
      <w:bookmarkStart w:id="159" w:name="_Toc120614218"/>
      <w:r>
        <w:rPr>
          <w:rFonts w:hint="eastAsia" w:asciiTheme="minorEastAsia" w:hAnsiTheme="minorEastAsia" w:eastAsiaTheme="minorEastAsia" w:cstheme="minorEastAsia"/>
          <w:color w:val="auto"/>
          <w:highlight w:val="none"/>
        </w:rPr>
        <w:t>五、开标与评标</w:t>
      </w:r>
      <w:bookmarkEnd w:id="156"/>
      <w:bookmarkEnd w:id="157"/>
      <w:bookmarkEnd w:id="158"/>
      <w:bookmarkEnd w:id="159"/>
    </w:p>
    <w:p w14:paraId="3698A314">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60" w:name="_Toc16938546"/>
      <w:bookmarkStart w:id="161" w:name="_Toc20823302"/>
      <w:bookmarkStart w:id="162" w:name="_Toc513029230"/>
      <w:r>
        <w:rPr>
          <w:rFonts w:hint="eastAsia" w:asciiTheme="minorEastAsia" w:hAnsiTheme="minorEastAsia" w:eastAsiaTheme="minorEastAsia" w:cstheme="minorEastAsia"/>
          <w:b w:val="0"/>
          <w:bCs w:val="0"/>
          <w:color w:val="auto"/>
          <w:highlight w:val="none"/>
        </w:rPr>
        <w:t>21、开标</w:t>
      </w:r>
      <w:bookmarkEnd w:id="160"/>
      <w:bookmarkEnd w:id="161"/>
      <w:bookmarkEnd w:id="162"/>
    </w:p>
    <w:p w14:paraId="29B9FABF">
      <w:pPr>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21.1</w:t>
      </w:r>
      <w:r>
        <w:rPr>
          <w:rFonts w:hint="eastAsia" w:asciiTheme="minorEastAsia" w:hAnsiTheme="minorEastAsia" w:eastAsiaTheme="minorEastAsia" w:cstheme="minorEastAsia"/>
          <w:bCs/>
          <w:color w:val="auto"/>
          <w:sz w:val="24"/>
          <w:highlight w:val="none"/>
        </w:rPr>
        <w:t xml:space="preserve"> </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将在招标公告中规定的时间和地点组织公开开标</w:t>
      </w:r>
      <w:r>
        <w:rPr>
          <w:rFonts w:hint="eastAsia" w:asciiTheme="minorEastAsia" w:hAnsiTheme="minorEastAsia" w:eastAsiaTheme="minorEastAsia" w:cstheme="minorEastAsia"/>
          <w:color w:val="auto"/>
          <w:sz w:val="24"/>
          <w:szCs w:val="24"/>
          <w:highlight w:val="none"/>
        </w:rPr>
        <w:t>。投标人应当按照《操作手册》规定，参加开标活动和在苏采云系统规定的时间内对投标文件进行解密。</w:t>
      </w:r>
    </w:p>
    <w:p w14:paraId="15B97335">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21.2</w:t>
      </w:r>
      <w:r>
        <w:rPr>
          <w:rFonts w:hint="eastAsia" w:asciiTheme="minorEastAsia" w:hAnsiTheme="minorEastAsia" w:eastAsiaTheme="minorEastAsia" w:cstheme="minorEastAsia"/>
          <w:color w:val="auto"/>
          <w:sz w:val="24"/>
          <w:szCs w:val="24"/>
          <w:highlight w:val="none"/>
        </w:rPr>
        <w:t>开标仪式由</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组织。苏采云系统将自动对项目进行开标，并宣布各投标人名称和投标价格。</w:t>
      </w:r>
    </w:p>
    <w:p w14:paraId="4E134E0A">
      <w:pPr>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21.3投标人在开标过程中涉及到的投标文件解密、开标结果确认等工作，应按照《操作手册》规定执行。</w:t>
      </w:r>
    </w:p>
    <w:p w14:paraId="5E57FE52">
      <w:pPr>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21.4投标人如果对开标过程和开标记录有疑义，应当根据《操作手册》规定提出，如 苏采云系统中《开标记录表》宣布后5分钟内未提出的，视同认可开标结果。</w:t>
      </w:r>
    </w:p>
    <w:p w14:paraId="5F48A5CE">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63" w:name="_Toc20823303"/>
      <w:bookmarkStart w:id="164" w:name="_Toc513029231"/>
      <w:bookmarkStart w:id="165" w:name="_Toc16938547"/>
      <w:r>
        <w:rPr>
          <w:rFonts w:hint="eastAsia" w:asciiTheme="minorEastAsia" w:hAnsiTheme="minorEastAsia" w:eastAsiaTheme="minorEastAsia" w:cstheme="minorEastAsia"/>
          <w:b w:val="0"/>
          <w:bCs w:val="0"/>
          <w:color w:val="auto"/>
          <w:highlight w:val="none"/>
        </w:rPr>
        <w:t>22、评标委员会</w:t>
      </w:r>
    </w:p>
    <w:p w14:paraId="20789FF5">
      <w:pPr>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22.1</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开标后，</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将立即组织评标委员会（以下简称评委会）进行评标。</w:t>
      </w:r>
    </w:p>
    <w:p w14:paraId="425841E9">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22.2 评委会由</w:t>
      </w:r>
      <w:r>
        <w:rPr>
          <w:rFonts w:hint="eastAsia" w:asciiTheme="minorEastAsia" w:hAnsiTheme="minorEastAsia" w:eastAsiaTheme="minorEastAsia" w:cstheme="minorEastAsia"/>
          <w:color w:val="auto"/>
          <w:sz w:val="24"/>
          <w:szCs w:val="24"/>
        </w:rPr>
        <w:t>采购人代表和</w:t>
      </w:r>
      <w:r>
        <w:rPr>
          <w:rFonts w:hint="eastAsia" w:asciiTheme="minorEastAsia" w:hAnsiTheme="minorEastAsia" w:eastAsiaTheme="minorEastAsia" w:cstheme="minorEastAsia"/>
          <w:color w:val="auto"/>
          <w:sz w:val="24"/>
          <w:szCs w:val="24"/>
          <w:highlight w:val="none"/>
        </w:rPr>
        <w:t>有关技术、经济等方面的专家组成，且人员构成符合政府采购有关规定。</w:t>
      </w:r>
    </w:p>
    <w:p w14:paraId="451488A2">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22.3评委会独立工作，负责评审所有投标文件并确定中标侯选人。</w:t>
      </w:r>
    </w:p>
    <w:p w14:paraId="44C979CE">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23、评标过程的保密与公正</w:t>
      </w:r>
    </w:p>
    <w:bookmarkEnd w:id="163"/>
    <w:bookmarkEnd w:id="164"/>
    <w:bookmarkEnd w:id="165"/>
    <w:p w14:paraId="256A6AFB">
      <w:pPr>
        <w:spacing w:line="50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23.1</w:t>
      </w:r>
      <w:r>
        <w:rPr>
          <w:rFonts w:hint="eastAsia" w:asciiTheme="minorEastAsia" w:hAnsiTheme="minorEastAsia" w:eastAsiaTheme="minorEastAsia" w:cstheme="minorEastAsia"/>
          <w:bCs/>
          <w:color w:val="auto"/>
          <w:sz w:val="24"/>
          <w:highlight w:val="none"/>
        </w:rPr>
        <w:t>凡是与审查、澄清、评价和比较投标的有关资料以及授标建议等，采购人、评委、</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均不得向投标人或与评标无关的其他人员透露。</w:t>
      </w:r>
    </w:p>
    <w:p w14:paraId="5179CBA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23.2</w:t>
      </w:r>
      <w:r>
        <w:rPr>
          <w:rFonts w:hint="eastAsia" w:asciiTheme="minorEastAsia" w:hAnsiTheme="minorEastAsia" w:eastAsiaTheme="minorEastAsia" w:cstheme="minorEastAsia"/>
          <w:color w:val="auto"/>
          <w:sz w:val="24"/>
          <w:szCs w:val="24"/>
          <w:highlight w:val="none"/>
        </w:rPr>
        <w:t>在评标过程中，投标人不得以任何行为影响评标过程，否则其投标文件将被作为无效投标文件。</w:t>
      </w:r>
    </w:p>
    <w:p w14:paraId="5E29AA7E">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23.3 </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和评标委员会不向未中标的投标人解释未中标原因，也不公布评标过程中的相关细节。</w:t>
      </w:r>
    </w:p>
    <w:p w14:paraId="5F4B5D55">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23.4 采用综合评分法的项目，未中标的投标人可于中标结果公告期限届满之日起通过苏采云系统查看自己的评审得分及排序情况。</w:t>
      </w:r>
    </w:p>
    <w:p w14:paraId="3715D05B">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66" w:name="_Toc16938548"/>
      <w:bookmarkStart w:id="167" w:name="_Toc513029232"/>
      <w:bookmarkStart w:id="168" w:name="_Toc20823304"/>
      <w:r>
        <w:rPr>
          <w:rFonts w:hint="eastAsia" w:asciiTheme="minorEastAsia" w:hAnsiTheme="minorEastAsia" w:eastAsiaTheme="minorEastAsia" w:cstheme="minorEastAsia"/>
          <w:b w:val="0"/>
          <w:bCs w:val="0"/>
          <w:color w:val="auto"/>
          <w:highlight w:val="none"/>
        </w:rPr>
        <w:t>24、投标文件的澄清</w:t>
      </w:r>
      <w:bookmarkEnd w:id="166"/>
      <w:bookmarkEnd w:id="167"/>
      <w:bookmarkEnd w:id="168"/>
    </w:p>
    <w:p w14:paraId="7D784E9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24.1评标期间，评委会对投标文件中含义不明确、同类问题表述不一致或者有明显文字和计算错误的内容 ，有权要求投标人作出必要的澄清、说明或者补正。</w:t>
      </w:r>
    </w:p>
    <w:p w14:paraId="482D20C9">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投标人的澄清、说明或者补正不得超出投标文件的范围或者改变投标文件的实质性内容。</w:t>
      </w:r>
    </w:p>
    <w:p w14:paraId="4D4408E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评标委员会并非对每个投标人都做澄清要求。</w:t>
      </w:r>
    </w:p>
    <w:p w14:paraId="41A2BAB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E1E7F7F">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24.3 接到评委会澄清、说明和补正要求的投标人如未按规定做出澄清、说明和补正，其风险由投标人自行承担。</w:t>
      </w:r>
    </w:p>
    <w:p w14:paraId="675D0C8A">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bookmarkStart w:id="169" w:name="_Toc16938549"/>
      <w:bookmarkStart w:id="170" w:name="_Toc513029233"/>
      <w:bookmarkStart w:id="171" w:name="_Toc20823305"/>
      <w:r>
        <w:rPr>
          <w:rFonts w:hint="eastAsia" w:asciiTheme="minorEastAsia" w:hAnsiTheme="minorEastAsia" w:eastAsiaTheme="minorEastAsia" w:cstheme="minorEastAsia"/>
          <w:b w:val="0"/>
          <w:bCs w:val="0"/>
          <w:color w:val="auto"/>
          <w:highlight w:val="none"/>
        </w:rPr>
        <w:t>25、对投标文件的初审</w:t>
      </w:r>
      <w:bookmarkEnd w:id="169"/>
      <w:bookmarkEnd w:id="170"/>
      <w:bookmarkEnd w:id="171"/>
    </w:p>
    <w:p w14:paraId="6365917C">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25.1</w:t>
      </w:r>
      <w:r>
        <w:rPr>
          <w:rFonts w:hint="eastAsia" w:asciiTheme="minorEastAsia" w:hAnsiTheme="minorEastAsia" w:eastAsiaTheme="minorEastAsia" w:cstheme="minorEastAsia"/>
          <w:bCs/>
          <w:color w:val="auto"/>
          <w:sz w:val="24"/>
          <w:highlight w:val="none"/>
        </w:rPr>
        <w:t>投标文件初审分为资格审查和符合性审查。</w:t>
      </w:r>
    </w:p>
    <w:p w14:paraId="2BC5E810">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25.1.1 资格审查：依据法律法规和招标文件的规定，由采购人对投标文件中的资格证明文件进行审查。资格审查的结论，采购人以书面形式向评委会进行反馈。</w:t>
      </w:r>
    </w:p>
    <w:p w14:paraId="2E2700F5">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采购人在进行资格性审查的同时，将在“信用中国”网站（www.creditchina.gov.cn）查询投标人的信用记录，以确定投标人是否具备投标资格,查询结果留存并归档。</w:t>
      </w:r>
    </w:p>
    <w:p w14:paraId="63E1559B">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BC6A47C">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1F9CF909">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25.1.3 未通过资格审查或符合性审查的投标人，</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将在</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highlight w:val="none"/>
        </w:rPr>
        <w:t>中告知未通过资格审查或符合性审查的原因，评标结束后，</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bCs/>
          <w:color w:val="auto"/>
          <w:sz w:val="24"/>
          <w:highlight w:val="none"/>
        </w:rPr>
        <w:t>将不再告知未通过资格审查和符合性审查的原因。</w:t>
      </w:r>
    </w:p>
    <w:p w14:paraId="491D054B">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548B6E6">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B047B80">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25.3如果投标文件实质上没有响应招标文件的要求，评委会将予以拒绝，投标人不得通过修改或撤销不合要求的偏离或保留而使其投标成为实质性响应的投标。</w:t>
      </w:r>
    </w:p>
    <w:p w14:paraId="1D479285">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25.4</w:t>
      </w:r>
      <w:r>
        <w:rPr>
          <w:rFonts w:hint="eastAsia" w:asciiTheme="minorEastAsia" w:hAnsiTheme="minorEastAsia" w:eastAsiaTheme="minorEastAsia" w:cstheme="minorEastAsia"/>
          <w:bCs/>
          <w:color w:val="auto"/>
          <w:sz w:val="24"/>
          <w:highlight w:val="none"/>
        </w:rPr>
        <w:t>评委会将对确定为实质性响应的投标进行进一步审核，确定其是否有计算上或累加上的算术错误，修正错误的原则如下：</w:t>
      </w:r>
    </w:p>
    <w:p w14:paraId="56B0228A">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（1）投标文件中开标一览表内容与投标文件中相应内容不一致的，以开标一览表为准。</w:t>
      </w:r>
    </w:p>
    <w:p w14:paraId="0CBB83E8">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（2）大写金额和小写金额不一致的，以大写金额为准。</w:t>
      </w:r>
    </w:p>
    <w:p w14:paraId="7F13FD95">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（3）单价金额小数点或者百分比有明显错位的，以开标一览表的总价为准，并修改单价。</w:t>
      </w:r>
    </w:p>
    <w:p w14:paraId="6C0109E1">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（4）总价金额与按单价汇总金额不一致的，以单价金额计算结果为准。</w:t>
      </w:r>
    </w:p>
    <w:p w14:paraId="2AEA18D8">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同时出现两种以上错误的，按照前款规定的顺序修正。</w:t>
      </w:r>
    </w:p>
    <w:p w14:paraId="348613CE">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25.5 </w:t>
      </w:r>
      <w:r>
        <w:rPr>
          <w:rFonts w:hint="eastAsia" w:asciiTheme="minorEastAsia" w:hAnsiTheme="minorEastAsia" w:eastAsiaTheme="minorEastAsia" w:cstheme="minorEastAsia"/>
          <w:bCs/>
          <w:color w:val="auto"/>
          <w:sz w:val="24"/>
          <w:highlight w:val="none"/>
        </w:rPr>
        <w:t>评委会将按上述修正错误的方法调整投标文件中的投标报价，并通过</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highlight w:val="none"/>
        </w:rPr>
        <w:t>告知投标人，调整后的价格应对投标人具有约束力。如果投标人不接受修正后的价格，则其投标将被拒绝。</w:t>
      </w:r>
    </w:p>
    <w:p w14:paraId="08926E03">
      <w:pPr>
        <w:spacing w:line="460" w:lineRule="exact"/>
        <w:ind w:firstLine="48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rPr>
        <w:t>2</w:t>
      </w:r>
      <w:r>
        <w:rPr>
          <w:rFonts w:hint="eastAsia" w:asciiTheme="minorEastAsia" w:hAnsiTheme="minorEastAsia" w:eastAsiaTheme="minorEastAsia" w:cstheme="minorEastAsia"/>
          <w:b/>
          <w:bCs/>
          <w:color w:val="auto"/>
          <w:sz w:val="24"/>
          <w:highlight w:val="none"/>
          <w:lang w:val="en-US" w:eastAsia="zh-CN"/>
        </w:rPr>
        <w:t>5</w:t>
      </w:r>
      <w:r>
        <w:rPr>
          <w:rFonts w:hint="eastAsia" w:asciiTheme="minorEastAsia" w:hAnsiTheme="minorEastAsia" w:eastAsiaTheme="minorEastAsia" w:cstheme="minorEastAsia"/>
          <w:b/>
          <w:bCs/>
          <w:color w:val="auto"/>
          <w:sz w:val="24"/>
          <w:highlight w:val="none"/>
        </w:rPr>
        <w:t>.6</w:t>
      </w:r>
      <w:r>
        <w:rPr>
          <w:rFonts w:hint="eastAsia" w:asciiTheme="minorEastAsia" w:hAnsiTheme="minorEastAsia" w:eastAsiaTheme="minorEastAsia" w:cstheme="minorEastAsia"/>
          <w:b/>
          <w:bCs/>
          <w:color w:val="auto"/>
          <w:sz w:val="24"/>
          <w:highlight w:val="none"/>
          <w:lang w:val="en-US" w:eastAsia="zh-CN"/>
        </w:rPr>
        <w:t xml:space="preserve"> 评审委员会启动异常低价投标（响应）审查的情形和具体要求</w:t>
      </w:r>
    </w:p>
    <w:p w14:paraId="78D772F5">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25.6.1根据财政部《关于推动解决政府采购异常低价问题的通知》财库〔2026〕2号，评审过程中出现下列情形之一的，评审委员会应当启动异常低价投标（响应）审查程序：</w:t>
      </w:r>
    </w:p>
    <w:p w14:paraId="5C0D7540">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25.6.1.1 投标（响应）报价低于全部通过符合性审查供应商投标（响应）报价平均值50%的，即投标（响应）报价&lt;全部通过符合性审查供应商投标（响应）报价平均值×50%； </w:t>
      </w:r>
    </w:p>
    <w:p w14:paraId="58121AB8">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25.6.1.2 投标（响应）报价低于通过符合性审查的次低报价供应商投标（响应）报价50%的，即投标（响应）报价&lt;通过符合性审查的次低报价供应商投标（响应）报价×50%； </w:t>
      </w:r>
    </w:p>
    <w:p w14:paraId="75E2C56F">
      <w:pPr>
        <w:spacing w:line="460" w:lineRule="exact"/>
        <w:ind w:firstLine="480"/>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25.6.1.3 投标（响应）报价低于采购项目最高限价45%的，即投标（响应）报价&lt;采购项目最高限价×45%；</w:t>
      </w:r>
    </w:p>
    <w:p w14:paraId="5CEC1328">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25.6.1.4评审委员会基于专业判断，认为供应商报价过低，有可能影响产品质量或者不能诚信履约的其他情形。 </w:t>
      </w:r>
    </w:p>
    <w:p w14:paraId="4F331FBA">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相关法律法规对供应商报价有规定的，从其规定。</w:t>
      </w:r>
    </w:p>
    <w:p w14:paraId="3612038C">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color w:val="auto"/>
          <w:sz w:val="24"/>
          <w:highlight w:val="none"/>
          <w:lang w:val="en-US" w:eastAsia="zh-CN"/>
        </w:rPr>
        <w:t>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color w:val="auto"/>
          <w:sz w:val="24"/>
          <w:highlight w:val="none"/>
          <w:lang w:val="en-US" w:eastAsia="zh-CN"/>
        </w:rPr>
        <w:t>其中，属于第3项情形，供应商已随投标（响应）文件一并提交相关书面说明及必要的证明材料的，在评审现场可不再重复提交。 </w:t>
      </w:r>
    </w:p>
    <w:p w14:paraId="53A0B973">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81724BC">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42750BE">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 </w:t>
      </w:r>
    </w:p>
    <w:p w14:paraId="4C2857CE">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25.7</w:t>
      </w:r>
      <w:r>
        <w:rPr>
          <w:rFonts w:hint="eastAsia" w:asciiTheme="minorEastAsia" w:hAnsiTheme="minorEastAsia" w:eastAsiaTheme="minorEastAsia" w:cstheme="minorEastAsia"/>
          <w:color w:val="auto"/>
          <w:sz w:val="24"/>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p>
    <w:p w14:paraId="716CEA37">
      <w:pPr>
        <w:spacing w:line="460" w:lineRule="exact"/>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p>
    <w:p w14:paraId="6A783BD3">
      <w:pPr>
        <w:spacing w:line="460" w:lineRule="exact"/>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非单一产品采购项目，招标文件中将载明其中的核心产品。多家投标人提供的核心产品品牌相同的，按前两款规定处理。</w:t>
      </w:r>
    </w:p>
    <w:p w14:paraId="633F2BC4">
      <w:pPr>
        <w:spacing w:line="460" w:lineRule="exact"/>
        <w:ind w:firstLine="420"/>
        <w:rPr>
          <w:rFonts w:hint="eastAsia" w:asciiTheme="minorEastAsia" w:hAnsiTheme="minorEastAsia" w:eastAsiaTheme="minorEastAsia" w:cstheme="minorEastAsia"/>
          <w:color w:val="auto"/>
          <w:sz w:val="24"/>
          <w:highlight w:val="none"/>
        </w:rPr>
      </w:pPr>
      <w:bookmarkStart w:id="172" w:name="_Toc16938550"/>
      <w:bookmarkStart w:id="173" w:name="_Toc513029234"/>
      <w:bookmarkStart w:id="174" w:name="_Toc20823306"/>
      <w:r>
        <w:rPr>
          <w:rFonts w:hint="eastAsia" w:asciiTheme="minorEastAsia" w:hAnsiTheme="minorEastAsia" w:eastAsiaTheme="minorEastAsia" w:cstheme="minorEastAsia"/>
          <w:color w:val="auto"/>
          <w:sz w:val="24"/>
          <w:highlight w:val="none"/>
        </w:rPr>
        <w:t>25.</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投标人在开、评标全过程中应保持通讯畅通，及时登录</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color w:val="auto"/>
          <w:sz w:val="24"/>
          <w:highlight w:val="none"/>
        </w:rPr>
        <w:t>查阅、答复相关信息，并安排专人与建装中心及评标委员会联系。</w:t>
      </w:r>
    </w:p>
    <w:p w14:paraId="657D4CD6">
      <w:pPr>
        <w:pStyle w:val="203"/>
        <w:spacing w:before="0" w:after="0" w:line="240" w:lineRule="auto"/>
        <w:ind w:firstLine="42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26、</w:t>
      </w:r>
      <w:bookmarkEnd w:id="172"/>
      <w:bookmarkEnd w:id="173"/>
      <w:bookmarkEnd w:id="174"/>
      <w:r>
        <w:rPr>
          <w:rFonts w:hint="eastAsia" w:asciiTheme="minorEastAsia" w:hAnsiTheme="minorEastAsia" w:eastAsiaTheme="minorEastAsia" w:cstheme="minorEastAsia"/>
          <w:b w:val="0"/>
          <w:bCs w:val="0"/>
          <w:color w:val="auto"/>
          <w:highlight w:val="none"/>
        </w:rPr>
        <w:t>无效投标条款和废标条款</w:t>
      </w:r>
    </w:p>
    <w:p w14:paraId="348D9DC1">
      <w:pPr>
        <w:spacing w:line="440" w:lineRule="exact"/>
        <w:ind w:left="479"/>
        <w:rPr>
          <w:rFonts w:hint="eastAsia" w:asciiTheme="minorEastAsia" w:hAnsiTheme="minorEastAsia" w:eastAsiaTheme="minorEastAsia" w:cstheme="minorEastAsia"/>
          <w:bCs/>
          <w:color w:val="auto"/>
          <w:sz w:val="24"/>
          <w:highlight w:val="none"/>
        </w:rPr>
      </w:pPr>
      <w:bookmarkStart w:id="175" w:name="_Toc20823307"/>
      <w:bookmarkStart w:id="176" w:name="_Toc513029235"/>
      <w:bookmarkStart w:id="177" w:name="_Toc16938551"/>
      <w:r>
        <w:rPr>
          <w:rFonts w:hint="eastAsia" w:asciiTheme="minorEastAsia" w:hAnsiTheme="minorEastAsia" w:eastAsiaTheme="minorEastAsia" w:cstheme="minorEastAsia"/>
          <w:bCs/>
          <w:color w:val="auto"/>
          <w:sz w:val="24"/>
          <w:highlight w:val="none"/>
        </w:rPr>
        <w:t>26.1无效投标条款</w:t>
      </w:r>
    </w:p>
    <w:p w14:paraId="12A9AD69">
      <w:pPr>
        <w:spacing w:line="440" w:lineRule="exact"/>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highlight w:val="none"/>
        </w:rPr>
        <w:t>26</w:t>
      </w:r>
      <w:r>
        <w:rPr>
          <w:rFonts w:hint="eastAsia" w:asciiTheme="minorEastAsia" w:hAnsiTheme="minorEastAsia" w:eastAsiaTheme="minorEastAsia" w:cstheme="minorEastAsia"/>
          <w:bCs/>
          <w:color w:val="auto"/>
          <w:sz w:val="24"/>
          <w:szCs w:val="24"/>
          <w:highlight w:val="none"/>
        </w:rPr>
        <w:t>.1.1 投标人在</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szCs w:val="24"/>
          <w:highlight w:val="none"/>
        </w:rPr>
        <w:t>规定的时间内未成功解密电子投标文件的。</w:t>
      </w:r>
    </w:p>
    <w:p w14:paraId="697DC453">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26.1.2 投标人未按照招标文件要求上传电子投标文件的。</w:t>
      </w:r>
    </w:p>
    <w:p w14:paraId="3A7BADE7">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26.1.3同一投标人提交两个（含两个）以上不同的投标报价的。</w:t>
      </w:r>
    </w:p>
    <w:p w14:paraId="683F71A4">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26.1.4投标人不具备招标文件中规定资格要求的。</w:t>
      </w:r>
    </w:p>
    <w:p w14:paraId="4C011D6F">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26.1.5投标人的报价超过了采购预算或最高限价的。</w:t>
      </w:r>
    </w:p>
    <w:p w14:paraId="0F67A56E">
      <w:pPr>
        <w:spacing w:line="440" w:lineRule="exact"/>
        <w:ind w:firstLine="480"/>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bCs/>
          <w:color w:val="auto"/>
          <w:sz w:val="24"/>
          <w:highlight w:val="none"/>
        </w:rPr>
        <w:t>26.1.6未通过符合性审查的。</w:t>
      </w:r>
    </w:p>
    <w:p w14:paraId="564F7646">
      <w:pPr>
        <w:spacing w:line="440" w:lineRule="exact"/>
        <w:ind w:firstLine="360"/>
        <w:rPr>
          <w:rFonts w:hint="eastAsia" w:asciiTheme="minorEastAsia" w:hAnsiTheme="minorEastAsia" w:eastAsiaTheme="minorEastAsia" w:cstheme="minorEastAsia"/>
          <w:bCs/>
          <w:i/>
          <w:color w:val="auto"/>
          <w:sz w:val="24"/>
          <w:highlight w:val="none"/>
          <w:u w:val="single"/>
        </w:rPr>
      </w:pPr>
      <w:r>
        <w:rPr>
          <w:rFonts w:hint="eastAsia" w:asciiTheme="minorEastAsia" w:hAnsiTheme="minorEastAsia" w:eastAsiaTheme="minorEastAsia" w:cstheme="minorEastAsia"/>
          <w:bCs/>
          <w:color w:val="auto"/>
          <w:sz w:val="24"/>
          <w:highlight w:val="none"/>
        </w:rPr>
        <w:t xml:space="preserve"> 26.1.7不符合招标文件中规定的实质性要求和条件的</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i/>
          <w:color w:val="auto"/>
          <w:sz w:val="24"/>
          <w:highlight w:val="none"/>
          <w:u w:val="single"/>
        </w:rPr>
        <w:t>本招标文件加“★”号的内容为实质性要求和条件）。</w:t>
      </w:r>
    </w:p>
    <w:p w14:paraId="3EF81B70">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352CB49">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26.1.9 投标文件含有采购人不能接受的附加条件的。</w:t>
      </w:r>
    </w:p>
    <w:p w14:paraId="50E1F4B7">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26.1.10评标委员会按照本招标文件规定对投标人进行异常低价投标审查后，认为投标人不能证明其报价合理性的。</w:t>
      </w:r>
    </w:p>
    <w:p w14:paraId="75BDA35F">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A35BCD">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26.1.12 投标文件未按照招标文件要求加盖CA电子公章的。</w:t>
      </w:r>
    </w:p>
    <w:p w14:paraId="45F1EE9B">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26.1.13 投标人所投标产品不符合招标文件中所列国家强制性标准的。</w:t>
      </w:r>
    </w:p>
    <w:p w14:paraId="060992E4">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26.1.1</w:t>
      </w:r>
      <w:r>
        <w:rPr>
          <w:rFonts w:hint="eastAsia" w:asciiTheme="minorEastAsia" w:hAnsiTheme="minorEastAsia" w:eastAsiaTheme="minorEastAsia" w:cstheme="minorEastAsia"/>
          <w:bCs/>
          <w:color w:val="auto"/>
          <w:sz w:val="24"/>
          <w:highlight w:val="none"/>
          <w:lang w:val="en-US" w:eastAsia="zh-CN"/>
        </w:rPr>
        <w:t>4</w:t>
      </w:r>
      <w:r>
        <w:rPr>
          <w:rFonts w:hint="eastAsia" w:asciiTheme="minorEastAsia" w:hAnsiTheme="minorEastAsia" w:eastAsiaTheme="minorEastAsia" w:cstheme="minorEastAsia"/>
          <w:bCs/>
          <w:color w:val="auto"/>
          <w:sz w:val="24"/>
          <w:highlight w:val="none"/>
        </w:rPr>
        <w:t>其他法律、法规及本招标文件规定的属无效投标的情形。</w:t>
      </w:r>
    </w:p>
    <w:p w14:paraId="332307A9">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26.2废标条款</w:t>
      </w:r>
    </w:p>
    <w:p w14:paraId="26C9B458">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26.2.1符合专业条件的供应商或者对招标文件作实质响应的供应商不足三家的。</w:t>
      </w:r>
    </w:p>
    <w:p w14:paraId="48AFCAE2">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26.2.2出现影响采购公正的违法、违规行为的。</w:t>
      </w:r>
    </w:p>
    <w:p w14:paraId="6099003B">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26.2.3因重大变故，采购任务取消的。</w:t>
      </w:r>
    </w:p>
    <w:p w14:paraId="7C4B69F1">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26.2.4评标委员会认定招标文件存在歧义、重大缺陷导致评审工作无法进行。</w:t>
      </w:r>
    </w:p>
    <w:p w14:paraId="1FAC06ED">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26.2.5 因</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highlight w:val="none"/>
        </w:rPr>
        <w:t>系统故障原因造成开标不成功的。</w:t>
      </w:r>
    </w:p>
    <w:p w14:paraId="55575B92">
      <w:pPr>
        <w:spacing w:line="440" w:lineRule="exact"/>
        <w:ind w:left="479"/>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26.3 投标截止时间结束后参加投标的供应商不足三家的处理：</w:t>
      </w:r>
    </w:p>
    <w:p w14:paraId="099D8C76">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26.3.1如出现投标截止时间结束后参加投标的供应商或者在评标期间对招标文件做出实质响应的供应商不足三家情况，按政府采购相关规定执行。</w:t>
      </w:r>
    </w:p>
    <w:p w14:paraId="0E4036A0">
      <w:pPr>
        <w:pStyle w:val="201"/>
        <w:spacing w:before="156" w:after="156" w:line="360" w:lineRule="auto"/>
        <w:ind w:firstLine="482"/>
        <w:rPr>
          <w:rFonts w:hint="eastAsia" w:asciiTheme="minorEastAsia" w:hAnsiTheme="minorEastAsia" w:eastAsiaTheme="minorEastAsia" w:cstheme="minorEastAsia"/>
          <w:color w:val="auto"/>
          <w:highlight w:val="none"/>
        </w:rPr>
      </w:pPr>
      <w:bookmarkStart w:id="178" w:name="_Toc120614219"/>
      <w:r>
        <w:rPr>
          <w:rFonts w:hint="eastAsia" w:asciiTheme="minorEastAsia" w:hAnsiTheme="minorEastAsia" w:eastAsiaTheme="minorEastAsia" w:cstheme="minorEastAsia"/>
          <w:color w:val="auto"/>
          <w:highlight w:val="none"/>
        </w:rPr>
        <w:t>六、</w:t>
      </w:r>
      <w:bookmarkEnd w:id="175"/>
      <w:bookmarkEnd w:id="176"/>
      <w:bookmarkEnd w:id="177"/>
      <w:r>
        <w:rPr>
          <w:rFonts w:hint="eastAsia" w:asciiTheme="minorEastAsia" w:hAnsiTheme="minorEastAsia" w:eastAsiaTheme="minorEastAsia" w:cstheme="minorEastAsia"/>
          <w:color w:val="auto"/>
          <w:highlight w:val="none"/>
        </w:rPr>
        <w:t>定标</w:t>
      </w:r>
      <w:bookmarkEnd w:id="178"/>
    </w:p>
    <w:p w14:paraId="1BE9BF27">
      <w:pPr>
        <w:pStyle w:val="203"/>
        <w:spacing w:before="0" w:after="0" w:line="240" w:lineRule="auto"/>
        <w:ind w:firstLine="600"/>
        <w:rPr>
          <w:rFonts w:hint="eastAsia" w:asciiTheme="minorEastAsia" w:hAnsiTheme="minorEastAsia" w:eastAsiaTheme="minorEastAsia" w:cstheme="minorEastAsia"/>
          <w:b w:val="0"/>
          <w:color w:val="auto"/>
          <w:sz w:val="30"/>
          <w:szCs w:val="30"/>
          <w:highlight w:val="none"/>
        </w:rPr>
      </w:pPr>
      <w:bookmarkStart w:id="179" w:name="_Toc513029238"/>
      <w:bookmarkStart w:id="180" w:name="_Toc16938554"/>
      <w:bookmarkStart w:id="181" w:name="_Toc20823310"/>
      <w:r>
        <w:rPr>
          <w:rFonts w:hint="eastAsia" w:asciiTheme="minorEastAsia" w:hAnsiTheme="minorEastAsia" w:eastAsiaTheme="minorEastAsia" w:cstheme="minorEastAsia"/>
          <w:b w:val="0"/>
          <w:color w:val="auto"/>
          <w:sz w:val="30"/>
          <w:szCs w:val="30"/>
          <w:highlight w:val="none"/>
        </w:rPr>
        <w:t>27、</w:t>
      </w:r>
      <w:bookmarkEnd w:id="179"/>
      <w:r>
        <w:rPr>
          <w:rFonts w:hint="eastAsia" w:asciiTheme="minorEastAsia" w:hAnsiTheme="minorEastAsia" w:eastAsiaTheme="minorEastAsia" w:cstheme="minorEastAsia"/>
          <w:b w:val="0"/>
          <w:color w:val="auto"/>
          <w:sz w:val="30"/>
          <w:szCs w:val="30"/>
          <w:highlight w:val="none"/>
        </w:rPr>
        <w:t>确定</w:t>
      </w:r>
      <w:bookmarkEnd w:id="180"/>
      <w:bookmarkEnd w:id="181"/>
      <w:r>
        <w:rPr>
          <w:rFonts w:hint="eastAsia" w:asciiTheme="minorEastAsia" w:hAnsiTheme="minorEastAsia" w:eastAsiaTheme="minorEastAsia" w:cstheme="minorEastAsia"/>
          <w:b w:val="0"/>
          <w:color w:val="auto"/>
          <w:sz w:val="30"/>
          <w:szCs w:val="30"/>
          <w:highlight w:val="none"/>
        </w:rPr>
        <w:t>中标单位</w:t>
      </w:r>
    </w:p>
    <w:p w14:paraId="123C86EE">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27.1中标候选人的选取原则和数量见招标文件第五章规定。 </w:t>
      </w:r>
    </w:p>
    <w:p w14:paraId="1EDA25A7">
      <w:pPr>
        <w:spacing w:line="44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27.2 采购人应根据评委会推荐的中标候选人按顺序确定中标人，中标候选人并列的，由采购人依法确定。</w:t>
      </w:r>
    </w:p>
    <w:p w14:paraId="2BB07EEE">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27.3 </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将在“江苏政府采购网、常州市政府采购网”发布中标公告，公告期限为1个工作日。</w:t>
      </w:r>
    </w:p>
    <w:p w14:paraId="6F682DD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  若有充分证据证明，中标人出现下列情况之一的，一经查实，将被取消中标资格：</w:t>
      </w:r>
    </w:p>
    <w:p w14:paraId="6CD640A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27.4.1提供虚假材料谋取中标的。</w:t>
      </w:r>
    </w:p>
    <w:p w14:paraId="46F4D6B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27.4.2向采购人、</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行贿或者提供其他不正当利益的。</w:t>
      </w:r>
    </w:p>
    <w:p w14:paraId="65CA5D7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27.4.3属于本文件规定的无效条件，但在评标过程中又未被评委会发现的。</w:t>
      </w:r>
    </w:p>
    <w:p w14:paraId="0F52788A">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27.4.4与采购人或者其他供应商恶意串通的。</w:t>
      </w:r>
    </w:p>
    <w:p w14:paraId="26549256">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27.4.5采取不正当手段诋毁、排挤其他供应商的。</w:t>
      </w:r>
    </w:p>
    <w:p w14:paraId="47DD0BEB">
      <w:pPr>
        <w:spacing w:line="480" w:lineRule="exact"/>
        <w:ind w:firstLine="480"/>
        <w:rPr>
          <w:rFonts w:hint="eastAsia" w:asciiTheme="minorEastAsia" w:hAnsiTheme="minorEastAsia" w:eastAsiaTheme="minorEastAsia" w:cstheme="minorEastAsia"/>
          <w:color w:val="auto"/>
          <w:sz w:val="24"/>
          <w:szCs w:val="24"/>
          <w:highlight w:val="none"/>
        </w:rPr>
      </w:pPr>
      <w:bookmarkStart w:id="182" w:name="_Toc200451960"/>
      <w:r>
        <w:rPr>
          <w:rFonts w:hint="eastAsia" w:asciiTheme="minorEastAsia" w:hAnsiTheme="minorEastAsia" w:eastAsiaTheme="minorEastAsia" w:cstheme="minorEastAsia"/>
          <w:color w:val="auto"/>
          <w:sz w:val="24"/>
          <w:szCs w:val="24"/>
          <w:highlight w:val="none"/>
        </w:rPr>
        <w:t>27.5 有下列情形之一的，视为投标人串通投标，投标无效：</w:t>
      </w:r>
    </w:p>
    <w:p w14:paraId="2B742EF5">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27.5.1不同投标人的投标文件由同一单位或者个人编制。</w:t>
      </w:r>
    </w:p>
    <w:p w14:paraId="1F48D2B3">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27.5.2不同投标人委托同一单位或者个人办理投标事宜。</w:t>
      </w:r>
    </w:p>
    <w:p w14:paraId="67F057F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27.5.3 不同投标人的投标文件载明的项目管理成员或者联系人员为同一人。</w:t>
      </w:r>
    </w:p>
    <w:p w14:paraId="2E10873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27.5.4不同投标人的投标文件异常一致或者投标报价呈规律性差异。</w:t>
      </w:r>
    </w:p>
    <w:p w14:paraId="42D85B26">
      <w:pPr>
        <w:pStyle w:val="203"/>
        <w:spacing w:before="0" w:after="0" w:line="240" w:lineRule="auto"/>
        <w:ind w:firstLine="600"/>
        <w:rPr>
          <w:rFonts w:hint="eastAsia" w:asciiTheme="minorEastAsia" w:hAnsiTheme="minorEastAsia" w:eastAsiaTheme="minorEastAsia" w:cstheme="minorEastAsia"/>
          <w:b w:val="0"/>
          <w:color w:val="auto"/>
          <w:sz w:val="30"/>
          <w:szCs w:val="30"/>
          <w:highlight w:val="none"/>
        </w:rPr>
      </w:pPr>
      <w:r>
        <w:rPr>
          <w:rFonts w:hint="eastAsia" w:asciiTheme="minorEastAsia" w:hAnsiTheme="minorEastAsia" w:eastAsiaTheme="minorEastAsia" w:cstheme="minorEastAsia"/>
          <w:b w:val="0"/>
          <w:color w:val="auto"/>
          <w:sz w:val="30"/>
          <w:szCs w:val="30"/>
          <w:highlight w:val="none"/>
        </w:rPr>
        <w:t>28、质疑处理</w:t>
      </w:r>
      <w:bookmarkEnd w:id="182"/>
    </w:p>
    <w:p w14:paraId="5D24727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28.1 提出质疑的供应商应当是参与所质疑项目采购活动的供应商。潜在供应商依法获取其可质疑的采购文件的，可以对采购文件提出质疑。</w:t>
      </w:r>
    </w:p>
    <w:p w14:paraId="4EFA42E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或采购人提出质疑。上述应知其权益受到损害之日，是指：</w:t>
      </w:r>
    </w:p>
    <w:p w14:paraId="7EEEA52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28.2.1对可以质疑的采购文件提出质疑的，为收到采购文件之日或者采购文件公告期限届满之日；</w:t>
      </w:r>
    </w:p>
    <w:p w14:paraId="4C79E96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28.2.2对采购过程提出质疑的，为各采购程序环节结束之日；</w:t>
      </w:r>
    </w:p>
    <w:p w14:paraId="0BBA7926">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28.2.3对中标或者成交结果提出质疑的，为中标或者成交结果公告期限届满之日。</w:t>
      </w:r>
    </w:p>
    <w:p w14:paraId="249ACBA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、采购人将只对供应商第一次质疑作出答复。</w:t>
      </w:r>
    </w:p>
    <w:p w14:paraId="751C6AC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0AA1E0A">
      <w:pPr>
        <w:spacing w:line="480" w:lineRule="exact"/>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28.4</w:t>
      </w:r>
      <w:r>
        <w:rPr>
          <w:rFonts w:hint="eastAsia" w:asciiTheme="minorEastAsia" w:hAnsiTheme="minorEastAsia" w:eastAsiaTheme="minorEastAsia" w:cstheme="minorEastAsia"/>
          <w:b/>
          <w:bCs/>
          <w:color w:val="auto"/>
          <w:sz w:val="24"/>
          <w:szCs w:val="24"/>
          <w:highlight w:val="none"/>
        </w:rPr>
        <w:t>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color w:val="auto"/>
          <w:sz w:val="24"/>
          <w:szCs w:val="24"/>
          <w:highlight w:val="none"/>
        </w:rPr>
        <w:t>供应商对除上述事项以外其他事项的询问、质疑请向</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提出，由</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负责答复。</w:t>
      </w:r>
    </w:p>
    <w:p w14:paraId="7DB254A5">
      <w:pPr>
        <w:spacing w:line="480" w:lineRule="exact"/>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采购人</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highlight w:val="none"/>
        </w:rPr>
        <w:t>建装中心</w:t>
      </w:r>
      <w:r>
        <w:rPr>
          <w:rFonts w:hint="eastAsia" w:asciiTheme="minorEastAsia" w:hAnsiTheme="minorEastAsia" w:eastAsiaTheme="minorEastAsia" w:cstheme="minorEastAsia"/>
          <w:b/>
          <w:bCs/>
          <w:color w:val="auto"/>
          <w:sz w:val="24"/>
          <w:szCs w:val="24"/>
          <w:highlight w:val="none"/>
        </w:rPr>
        <w:t>只接收以纸质原件形式送达的质疑,建议外地供应商尽量通过邮寄方式提交质疑（采购人和</w:t>
      </w:r>
      <w:r>
        <w:rPr>
          <w:rFonts w:hint="eastAsia" w:asciiTheme="minorEastAsia" w:hAnsiTheme="minorEastAsia" w:eastAsiaTheme="minorEastAsia" w:cstheme="minorEastAsia"/>
          <w:b/>
          <w:bCs/>
          <w:color w:val="auto"/>
          <w:sz w:val="24"/>
          <w:highlight w:val="none"/>
        </w:rPr>
        <w:t>建装中心</w:t>
      </w:r>
      <w:r>
        <w:rPr>
          <w:rFonts w:hint="eastAsia" w:asciiTheme="minorEastAsia" w:hAnsiTheme="minorEastAsia" w:eastAsiaTheme="minorEastAsia" w:cstheme="minorEastAsia"/>
          <w:b/>
          <w:bCs/>
          <w:color w:val="auto"/>
          <w:sz w:val="24"/>
          <w:szCs w:val="24"/>
          <w:highlight w:val="none"/>
        </w:rPr>
        <w:t>不接受未填写快递运单的快件）。</w:t>
      </w:r>
    </w:p>
    <w:p w14:paraId="3899A2B1">
      <w:pPr>
        <w:snapToGrid w:val="0"/>
        <w:spacing w:line="480" w:lineRule="exact"/>
        <w:ind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采购人</w:t>
      </w:r>
      <w:r>
        <w:rPr>
          <w:rFonts w:hint="eastAsia" w:asciiTheme="minorEastAsia" w:hAnsiTheme="minorEastAsia" w:eastAsiaTheme="minorEastAsia" w:cstheme="minorEastAsia"/>
          <w:b/>
          <w:bCs/>
          <w:color w:val="auto"/>
          <w:sz w:val="24"/>
          <w:szCs w:val="24"/>
          <w:highlight w:val="none"/>
        </w:rPr>
        <w:t>质疑接收部门</w:t>
      </w:r>
      <w:r>
        <w:rPr>
          <w:rFonts w:hint="eastAsia" w:asciiTheme="minorEastAsia" w:hAnsiTheme="minorEastAsia" w:eastAsiaTheme="minorEastAsia" w:cstheme="minorEastAsia"/>
          <w:b/>
          <w:bCs/>
          <w:color w:val="auto"/>
          <w:sz w:val="24"/>
          <w:szCs w:val="24"/>
          <w:highlight w:val="none"/>
          <w:lang w:val="en-US" w:eastAsia="zh-CN"/>
        </w:rPr>
        <w:t>及联系方式见第一章投标邀请</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建装中心质疑接收部门为项目管理科（快递运单上的收件人填写“项目管理科”即可），联系地址：常州市新市路9号，联系电话：0519-86802236。</w:t>
      </w:r>
    </w:p>
    <w:p w14:paraId="7A347730">
      <w:pPr>
        <w:spacing w:line="480" w:lineRule="exact"/>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28.5 以下情形的质疑不予受理</w:t>
      </w:r>
    </w:p>
    <w:p w14:paraId="1C61F2D6">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28.5.1 内容不符合《政府采购质疑和投诉办法》第十二条规定的质疑。</w:t>
      </w:r>
    </w:p>
    <w:p w14:paraId="41A71B6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28.5.2 超出政府采购法定期限的质疑。</w:t>
      </w:r>
    </w:p>
    <w:p w14:paraId="3F58743F">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28.5.3 以传真、电子邮件等方式递交的非原件形式的质疑。</w:t>
      </w:r>
    </w:p>
    <w:p w14:paraId="084EB03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28.5.4 未参加投标活动的供应商或在投标活动中自身权益未受到损害的供应商所提出的质疑。</w:t>
      </w:r>
    </w:p>
    <w:p w14:paraId="4928AA1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28.5.5供应商组成联合体参加投标，联合体中任何一方或多方未按要求签字、盖章、加盖公章的质疑。</w:t>
      </w:r>
    </w:p>
    <w:p w14:paraId="67E2C555">
      <w:pPr>
        <w:spacing w:line="480" w:lineRule="exact"/>
        <w:ind w:firstLine="46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28.6  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有权依据政府采购的有关规定，报请政府采购监管部门对该供应商进行相应的行政处罚和记录该供应商的失信信息。</w:t>
      </w:r>
    </w:p>
    <w:p w14:paraId="31BA5C42">
      <w:pPr>
        <w:pStyle w:val="203"/>
        <w:spacing w:before="0" w:after="0" w:line="240" w:lineRule="auto"/>
        <w:ind w:firstLine="600"/>
        <w:rPr>
          <w:rFonts w:hint="eastAsia" w:asciiTheme="minorEastAsia" w:hAnsiTheme="minorEastAsia" w:eastAsiaTheme="minorEastAsia" w:cstheme="minorEastAsia"/>
          <w:b w:val="0"/>
          <w:color w:val="auto"/>
          <w:sz w:val="30"/>
          <w:szCs w:val="30"/>
          <w:highlight w:val="none"/>
        </w:rPr>
      </w:pPr>
      <w:r>
        <w:rPr>
          <w:rFonts w:hint="eastAsia" w:asciiTheme="minorEastAsia" w:hAnsiTheme="minorEastAsia" w:eastAsiaTheme="minorEastAsia" w:cstheme="minorEastAsia"/>
          <w:b w:val="0"/>
          <w:color w:val="auto"/>
          <w:sz w:val="30"/>
          <w:szCs w:val="30"/>
          <w:highlight w:val="none"/>
        </w:rPr>
        <w:t>29、中标通知书</w:t>
      </w:r>
    </w:p>
    <w:p w14:paraId="11043E7E">
      <w:pPr>
        <w:spacing w:line="480" w:lineRule="exact"/>
        <w:ind w:firstLine="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29.l</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中标结果确定后，</w:t>
      </w:r>
      <w:r>
        <w:rPr>
          <w:rFonts w:hint="eastAsia" w:asciiTheme="minorEastAsia" w:hAnsiTheme="minorEastAsia" w:eastAsiaTheme="minorEastAsia" w:cstheme="minorEastAsia"/>
          <w:color w:val="auto"/>
          <w:sz w:val="24"/>
          <w:highlight w:val="none"/>
        </w:rPr>
        <w:t>建装中心</w:t>
      </w:r>
      <w:r>
        <w:rPr>
          <w:rFonts w:hint="eastAsia" w:asciiTheme="minorEastAsia" w:hAnsiTheme="minorEastAsia" w:eastAsiaTheme="minorEastAsia" w:cstheme="minorEastAsia"/>
          <w:color w:val="auto"/>
          <w:sz w:val="24"/>
          <w:szCs w:val="24"/>
          <w:highlight w:val="none"/>
        </w:rPr>
        <w:t>将向中标人发出中标通知书。请中标人在</w:t>
      </w:r>
      <w:r>
        <w:rPr>
          <w:rFonts w:hint="eastAsia" w:asciiTheme="minorEastAsia" w:hAnsiTheme="minorEastAsia" w:eastAsiaTheme="minorEastAsia" w:cstheme="minorEastAsia"/>
          <w:color w:val="auto"/>
          <w:sz w:val="24"/>
          <w:highlight w:val="none"/>
        </w:rPr>
        <w:t>中标结果公告届满之日起30日内</w:t>
      </w:r>
      <w:r>
        <w:rPr>
          <w:rFonts w:hint="eastAsia" w:asciiTheme="minorEastAsia" w:hAnsiTheme="minorEastAsia" w:eastAsiaTheme="minorEastAsia" w:cstheme="minorEastAsia"/>
          <w:color w:val="auto"/>
          <w:sz w:val="24"/>
          <w:szCs w:val="24"/>
          <w:highlight w:val="none"/>
        </w:rPr>
        <w:t>,使用CA数字证书登录苏采云系统及时下载中标通知书。因系统存储空间有限，自中标结果公告届满之日起30日后，苏采云系统不再保证提供下载中标通知书服务,因未及时下载而造成的不利后果由中标人自行承担。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FA42395">
      <w:pPr>
        <w:spacing w:line="480" w:lineRule="exact"/>
        <w:ind w:firstLine="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21A0ADFA">
      <w:pPr>
        <w:pStyle w:val="201"/>
        <w:spacing w:before="156" w:after="156" w:line="360" w:lineRule="auto"/>
        <w:rPr>
          <w:rFonts w:hint="eastAsia" w:asciiTheme="minorEastAsia" w:hAnsiTheme="minorEastAsia" w:eastAsiaTheme="minorEastAsia" w:cstheme="minorEastAsia"/>
          <w:color w:val="auto"/>
          <w:highlight w:val="none"/>
        </w:rPr>
      </w:pPr>
      <w:bookmarkStart w:id="183" w:name="_Toc120614220"/>
      <w:bookmarkStart w:id="184" w:name="_Toc20823308"/>
      <w:bookmarkStart w:id="185" w:name="_Toc16938552"/>
      <w:bookmarkStart w:id="186" w:name="_Toc513029236"/>
      <w:r>
        <w:rPr>
          <w:rFonts w:hint="eastAsia" w:asciiTheme="minorEastAsia" w:hAnsiTheme="minorEastAsia" w:eastAsiaTheme="minorEastAsia" w:cstheme="minorEastAsia"/>
          <w:color w:val="auto"/>
          <w:highlight w:val="none"/>
        </w:rPr>
        <w:t>七、授予合同</w:t>
      </w:r>
      <w:bookmarkEnd w:id="183"/>
    </w:p>
    <w:bookmarkEnd w:id="184"/>
    <w:bookmarkEnd w:id="185"/>
    <w:bookmarkEnd w:id="186"/>
    <w:p w14:paraId="722938D3">
      <w:pPr>
        <w:pStyle w:val="203"/>
        <w:spacing w:before="0" w:after="0" w:line="240" w:lineRule="auto"/>
        <w:ind w:firstLine="600"/>
        <w:rPr>
          <w:rFonts w:hint="eastAsia" w:asciiTheme="minorEastAsia" w:hAnsiTheme="minorEastAsia" w:eastAsiaTheme="minorEastAsia" w:cstheme="minorEastAsia"/>
          <w:b w:val="0"/>
          <w:color w:val="auto"/>
          <w:sz w:val="30"/>
          <w:szCs w:val="30"/>
          <w:highlight w:val="none"/>
        </w:rPr>
      </w:pPr>
      <w:bookmarkStart w:id="187" w:name="_Toc20823309"/>
      <w:bookmarkStart w:id="188" w:name="_Toc16938553"/>
      <w:bookmarkStart w:id="189" w:name="_Toc513029237"/>
      <w:r>
        <w:rPr>
          <w:rFonts w:hint="eastAsia" w:asciiTheme="minorEastAsia" w:hAnsiTheme="minorEastAsia" w:eastAsiaTheme="minorEastAsia" w:cstheme="minorEastAsia"/>
          <w:b w:val="0"/>
          <w:color w:val="auto"/>
          <w:sz w:val="30"/>
          <w:szCs w:val="30"/>
          <w:highlight w:val="none"/>
        </w:rPr>
        <w:t>30. 签订合同</w:t>
      </w:r>
    </w:p>
    <w:p w14:paraId="6B428B02">
      <w:pPr>
        <w:spacing w:line="480" w:lineRule="exact"/>
        <w:ind w:firstLine="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30</w:t>
      </w:r>
      <w:r>
        <w:rPr>
          <w:rFonts w:hint="eastAsia" w:asciiTheme="minorEastAsia" w:hAnsiTheme="minorEastAsia" w:eastAsiaTheme="minorEastAsia" w:cstheme="minorEastAsia"/>
          <w:color w:val="auto"/>
          <w:sz w:val="24"/>
          <w:szCs w:val="24"/>
          <w:highlight w:val="none"/>
        </w:rPr>
        <w:t>.l</w:t>
      </w:r>
      <w:r>
        <w:rPr>
          <w:rFonts w:hint="eastAsia" w:asciiTheme="minorEastAsia" w:hAnsiTheme="minorEastAsia" w:eastAsiaTheme="minorEastAsia" w:cstheme="minorEastAsia"/>
          <w:color w:val="auto"/>
          <w:sz w:val="24"/>
          <w:highlight w:val="none"/>
        </w:rPr>
        <w:t>中标人应当在中标通知书发出之日起三十日内</w:t>
      </w:r>
      <w:r>
        <w:rPr>
          <w:rFonts w:hint="eastAsia" w:asciiTheme="minorEastAsia" w:hAnsiTheme="minorEastAsia" w:eastAsiaTheme="minorEastAsia" w:cstheme="minorEastAsia"/>
          <w:color w:val="auto"/>
          <w:sz w:val="24"/>
          <w:szCs w:val="24"/>
          <w:highlight w:val="none"/>
        </w:rPr>
        <w:t>，按照招标文件确定的事项与采购人签订政府采购合同。</w:t>
      </w:r>
    </w:p>
    <w:p w14:paraId="2D127EB4">
      <w:pPr>
        <w:spacing w:line="480" w:lineRule="exact"/>
        <w:ind w:firstLine="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30.2</w:t>
      </w: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招标文件、中标人的投标文件及招标过程中有关澄清、承诺文件均应作为合同附件。</w:t>
      </w:r>
    </w:p>
    <w:p w14:paraId="0CBC3066">
      <w:pPr>
        <w:spacing w:line="480" w:lineRule="exact"/>
        <w:ind w:firstLine="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30.3 签订合同后，</w:t>
      </w:r>
      <w:r>
        <w:rPr>
          <w:rFonts w:hint="eastAsia" w:asciiTheme="minorEastAsia" w:hAnsiTheme="minorEastAsia" w:eastAsiaTheme="minorEastAsia" w:cstheme="minorEastAsia"/>
          <w:i/>
          <w:color w:val="auto"/>
          <w:sz w:val="24"/>
          <w:szCs w:val="24"/>
          <w:highlight w:val="none"/>
          <w:u w:val="single"/>
        </w:rPr>
        <w:t>中标人不得将合同标的进行转包</w:t>
      </w:r>
      <w:r>
        <w:rPr>
          <w:rFonts w:hint="eastAsia" w:asciiTheme="minorEastAsia" w:hAnsiTheme="minorEastAsia" w:eastAsiaTheme="minorEastAsia" w:cstheme="minorEastAsia"/>
          <w:color w:val="auto"/>
          <w:sz w:val="24"/>
          <w:szCs w:val="24"/>
          <w:highlight w:val="none"/>
        </w:rPr>
        <w:t>。未经采购人同意，中标人也不得采用分包的形式履行合同，否则采购人有权终止合同。转包或分包造成采购人损失的，中标人应承担相应赔偿责任。</w:t>
      </w:r>
    </w:p>
    <w:p w14:paraId="68F21841">
      <w:pPr>
        <w:keepNext/>
        <w:keepLines/>
        <w:ind w:firstLine="480" w:firstLineChars="200"/>
        <w:outlineLvl w:val="3"/>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bCs/>
          <w:color w:val="auto"/>
          <w:sz w:val="24"/>
          <w:szCs w:val="24"/>
          <w:highlight w:val="none"/>
        </w:rPr>
        <w:t>、货物（包含与货物相关的服务）的追加</w:t>
      </w:r>
    </w:p>
    <w:p w14:paraId="1BB8ED1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87"/>
    <w:bookmarkEnd w:id="188"/>
    <w:bookmarkEnd w:id="189"/>
    <w:p w14:paraId="2932E213">
      <w:pPr>
        <w:pStyle w:val="203"/>
        <w:spacing w:before="0" w:after="0" w:line="240" w:lineRule="auto"/>
        <w:ind w:firstLine="600"/>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32、需要执行的政府采购政策（包括但不限于）</w:t>
      </w:r>
    </w:p>
    <w:p w14:paraId="176EB767">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32.1履约资金扶持政策</w:t>
      </w:r>
    </w:p>
    <w:p w14:paraId="7EDE4173">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中标人可凭政府采购合同办理融资贷款，详情请见江苏政府采购网“政采贷”专栏。</w:t>
      </w:r>
    </w:p>
    <w:p w14:paraId="71F746B7">
      <w:pPr>
        <w:tabs>
          <w:tab w:val="left" w:pos="1381"/>
        </w:tabs>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32.2进口产品</w:t>
      </w:r>
    </w:p>
    <w:p w14:paraId="3269F579">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9F1751F">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32.3中小企业、监狱企业及残疾人福利性单位</w:t>
      </w:r>
    </w:p>
    <w:p w14:paraId="061A510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32.3.1中小企业定义：</w:t>
      </w:r>
    </w:p>
    <w:p w14:paraId="5F8A5775">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8CB717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32.3.2供应商提供的货物、工程或者服务符合下列情形的，享受中小企业扶持政策：</w:t>
      </w:r>
    </w:p>
    <w:p w14:paraId="4CE42CF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32.3.2.1</w:t>
      </w:r>
      <w:r>
        <w:rPr>
          <w:rFonts w:hint="eastAsia" w:asciiTheme="minorEastAsia" w:hAnsiTheme="minorEastAsia" w:eastAsiaTheme="minorEastAsia" w:cstheme="minorEastAsia"/>
          <w:color w:val="auto"/>
          <w:sz w:val="24"/>
          <w:highlight w:val="none"/>
        </w:rPr>
        <w:t>在货物采购项目中，货物由中小企业制造，即货物由中小企业生产且使用该中小企业商号或者注册商标</w:t>
      </w:r>
      <w:r>
        <w:rPr>
          <w:rFonts w:hint="eastAsia" w:asciiTheme="minorEastAsia" w:hAnsiTheme="minorEastAsia" w:eastAsiaTheme="minorEastAsia" w:cstheme="minorEastAsia"/>
          <w:color w:val="auto"/>
          <w:sz w:val="24"/>
          <w:szCs w:val="24"/>
          <w:highlight w:val="none"/>
        </w:rPr>
        <w:t>；</w:t>
      </w:r>
    </w:p>
    <w:p w14:paraId="3FC790C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32.3.2.2在工程采购项目中，工程由中小企业承建，即工程施工单位为中小企业；</w:t>
      </w:r>
    </w:p>
    <w:p w14:paraId="72BE9B6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32.3.2.3在服务采购项目中，服务由中小企业承接，即提供服务的人员为中小企业依照《中华人民共和国劳动合同法》订立劳动合同的从业人员。</w:t>
      </w:r>
    </w:p>
    <w:p w14:paraId="04A13EA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32.3.3在货物采购项目中，供应商提供的货物既有中小企业制造货物，也有大型企业制造货物的，不享受中小企业扶持政策。</w:t>
      </w:r>
    </w:p>
    <w:p w14:paraId="6DA1D63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32.3.4以联合体形式参加政府采购活动，联合体各方均为中小企业的，联合体视同中小企业。其中，联合体各方均为小微企业的，联合体视同小微企业。</w:t>
      </w:r>
    </w:p>
    <w:p w14:paraId="08FEE9A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C8A683">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32.3.6残疾人福利单位定义：享受政府采购支持政策的残疾人福利性单位应当同时满足以下条件：</w:t>
      </w:r>
    </w:p>
    <w:p w14:paraId="482CE21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32.3.6.1安置的残疾人占本单位在职职工人数的比例不低于25%（含25%），并且安置的残疾人人数不少于10 人（含10 人）；</w:t>
      </w:r>
    </w:p>
    <w:p w14:paraId="1D7A227F">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32.3.6.2依法与安置的每位残疾人签订了一年以上（含一年）的劳动合同或服务协议；</w:t>
      </w:r>
    </w:p>
    <w:p w14:paraId="023D21E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32.3.6.3为安置的每位残疾人按月足额缴纳了基本养老保险、基本医疗保险、失业保险、工伤保险和生育保险等社会保险费；</w:t>
      </w:r>
    </w:p>
    <w:p w14:paraId="06F7BBD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32.3.6.4通过银行等金融机构向安置的每位残疾人，按月支付了不低于单位所在区县适用的经省级人民政府批准的月最低工资标准的工资；</w:t>
      </w:r>
    </w:p>
    <w:p w14:paraId="7124631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4CC21C7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F20804">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32.3.7本项目是否专门面向中小企业预留采购份额见第一章《投标邀请》。</w:t>
      </w:r>
    </w:p>
    <w:p w14:paraId="7A8440D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32.3.8采购标的对应的中小企业划分标准所属行业见第四章《采购需求》。</w:t>
      </w:r>
    </w:p>
    <w:p w14:paraId="663C7CD6">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32.3.9小微企业价格评审优惠的政策调整：见第五章《评标方法和评标标准》。</w:t>
      </w:r>
    </w:p>
    <w:p w14:paraId="04067B2C">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32.4政府采购节能产品、环境标志产品</w:t>
      </w:r>
    </w:p>
    <w:p w14:paraId="616EBAA5">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9EEF7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32.4.2采购人拟采购的产品属于品目清单范围的，采购人及其委托的采购代理机构</w:t>
      </w:r>
      <w:r>
        <w:rPr>
          <w:rFonts w:hint="eastAsia" w:asciiTheme="minorEastAsia" w:hAnsiTheme="minorEastAsia" w:eastAsiaTheme="minorEastAsia" w:cstheme="minorEastAsia"/>
          <w:color w:val="auto"/>
          <w:sz w:val="24"/>
          <w:highlight w:val="none"/>
        </w:rPr>
        <w:t>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color w:val="auto"/>
          <w:sz w:val="24"/>
          <w:szCs w:val="24"/>
          <w:highlight w:val="none"/>
        </w:rPr>
        <w:t xml:space="preserve">。关于政府采购节能产品、环境标志产品的相关规定依据《关于调整优化节能产品、环境标志产品政府采购执行机制的通知》（财库〔2019〕9号）。 </w:t>
      </w:r>
    </w:p>
    <w:p w14:paraId="1226138A">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2EBF680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非政府强制采购的节能产品或环境标志产品，依据品目清单和认证证书实施政府优先采购。优先采购的具体规定见第五章《评标方法和评标标准》（如涉及）。</w:t>
      </w:r>
    </w:p>
    <w:p w14:paraId="3C67982B">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32.5绿色包装</w:t>
      </w:r>
    </w:p>
    <w:p w14:paraId="23448204">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825F64">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32.6支持乡村产业振兴管理</w:t>
      </w:r>
    </w:p>
    <w:p w14:paraId="4B25F15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F91A206">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32.7正版软件</w:t>
      </w:r>
    </w:p>
    <w:p w14:paraId="096EEC7B">
      <w:pPr>
        <w:spacing w:line="480" w:lineRule="exact"/>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color w:val="auto"/>
          <w:sz w:val="24"/>
          <w:szCs w:val="24"/>
          <w:highlight w:val="none"/>
        </w:rPr>
        <w:t>其中，国家有特殊信息安全要求的项目必须采购认证产品，否则投标无效。</w:t>
      </w:r>
    </w:p>
    <w:p w14:paraId="06C658E4">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color w:val="auto"/>
          <w:sz w:val="24"/>
          <w:highlight w:val="none"/>
        </w:rPr>
        <w:t>已预装正版操作系统软件</w:t>
      </w:r>
      <w:r>
        <w:rPr>
          <w:rFonts w:hint="eastAsia" w:asciiTheme="minorEastAsia" w:hAnsiTheme="minorEastAsia" w:eastAsiaTheme="minorEastAsia" w:cstheme="minorEastAsia"/>
          <w:color w:val="auto"/>
          <w:sz w:val="24"/>
          <w:szCs w:val="24"/>
          <w:highlight w:val="none"/>
        </w:rPr>
        <w:t>产品的通知》（国权联〔2006〕1 号）、《国务院办公厅关于进一步做好政府机关使用正版软件工作的通知》（国办发〔2010〕47 号）、《财政部关于进一步做好政府机关使用正版软件工作的通知》（财预〔2010〕536 号）。</w:t>
      </w:r>
    </w:p>
    <w:p w14:paraId="2752336D">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32.8政府采购创新产品政策</w:t>
      </w:r>
    </w:p>
    <w:p w14:paraId="407838C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采购人要将创新要求嵌入采购项目需求，可在采购文件中设定评审规则，优先采购各级政府部门公开发布的</w:t>
      </w:r>
      <w:r>
        <w:rPr>
          <w:rFonts w:hint="eastAsia" w:asciiTheme="minorEastAsia" w:hAnsiTheme="minorEastAsia" w:eastAsiaTheme="minorEastAsia" w:cstheme="minorEastAsia"/>
          <w:color w:val="auto"/>
          <w:sz w:val="24"/>
          <w:highlight w:val="none"/>
        </w:rPr>
        <w:t>有效期内的创新产品、创新服务、首台套、首购首用等《目录》的创新产品</w:t>
      </w:r>
      <w:r>
        <w:rPr>
          <w:rFonts w:hint="eastAsia" w:asciiTheme="minorEastAsia" w:hAnsiTheme="minorEastAsia" w:eastAsiaTheme="minorEastAsia" w:cstheme="minorEastAsia"/>
          <w:color w:val="auto"/>
          <w:sz w:val="24"/>
          <w:szCs w:val="24"/>
          <w:highlight w:val="none"/>
        </w:rPr>
        <w:t>，上述《目录》内创新产品，</w:t>
      </w:r>
      <w:r>
        <w:rPr>
          <w:rFonts w:hint="eastAsia" w:asciiTheme="minorEastAsia" w:hAnsiTheme="minorEastAsia" w:eastAsiaTheme="minorEastAsia" w:cstheme="minorEastAsia"/>
          <w:color w:val="auto"/>
          <w:sz w:val="24"/>
          <w:highlight w:val="none"/>
        </w:rPr>
        <w:t>自认定之日起2年内视同已具备相应销售业绩，参加政府采购活动时业绩分值为满分。</w:t>
      </w:r>
      <w:r>
        <w:rPr>
          <w:rFonts w:hint="eastAsia" w:asciiTheme="minorEastAsia" w:hAnsiTheme="minorEastAsia" w:eastAsiaTheme="minorEastAsia" w:cstheme="minorEastAsia"/>
          <w:color w:val="auto"/>
          <w:sz w:val="24"/>
          <w:szCs w:val="24"/>
          <w:highlight w:val="none"/>
        </w:rPr>
        <w:t>（如涉及）</w:t>
      </w:r>
    </w:p>
    <w:p w14:paraId="13EC5DF0">
      <w:pPr>
        <w:spacing w:line="48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32.9绿色数据中心政策 </w:t>
      </w:r>
    </w:p>
    <w:p w14:paraId="5FC1EF6E">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color w:val="auto"/>
          <w:sz w:val="24"/>
          <w:highlight w:val="none"/>
        </w:rPr>
        <w:t>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color w:val="auto"/>
          <w:sz w:val="24"/>
          <w:szCs w:val="24"/>
          <w:highlight w:val="none"/>
        </w:rPr>
        <w:t>因检测、认证涉及生产过程或检测时间长等原因，不能在验收过程中开展检测、认证的，可要求供应商在验收阶段提供相关检测报告、认证报告。</w:t>
      </w:r>
    </w:p>
    <w:p w14:paraId="76A1D9C3">
      <w:pPr>
        <w:spacing w:line="479" w:lineRule="atLeas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t> </w:t>
      </w:r>
      <w:r>
        <w:rPr>
          <w:rFonts w:hint="eastAsia" w:asciiTheme="minorEastAsia" w:hAnsiTheme="minorEastAsia" w:eastAsiaTheme="minorEastAsia" w:cstheme="minorEastAsia"/>
          <w:b/>
          <w:bCs/>
          <w:color w:val="auto"/>
          <w:sz w:val="24"/>
          <w:szCs w:val="24"/>
          <w:highlight w:val="none"/>
        </w:rPr>
        <w:t>32.10履约保证金相关政策</w:t>
      </w:r>
    </w:p>
    <w:p w14:paraId="1C770090">
      <w:pPr>
        <w:spacing w:line="479" w:lineRule="atLeas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本项目不收履约保证金。</w:t>
      </w:r>
    </w:p>
    <w:p w14:paraId="28CA7BCA">
      <w:pPr>
        <w:pStyle w:val="198"/>
        <w:rPr>
          <w:rFonts w:hint="eastAsia" w:asciiTheme="minorEastAsia" w:hAnsiTheme="minorEastAsia" w:eastAsiaTheme="minorEastAsia" w:cstheme="minorEastAsia"/>
          <w:color w:val="auto"/>
          <w:highlight w:val="none"/>
        </w:rPr>
      </w:pPr>
    </w:p>
    <w:bookmarkEnd w:id="50"/>
    <w:bookmarkEnd w:id="51"/>
    <w:bookmarkEnd w:id="52"/>
    <w:bookmarkEnd w:id="53"/>
    <w:bookmarkEnd w:id="54"/>
    <w:p w14:paraId="452FA8B2">
      <w:pPr>
        <w:keepNext/>
        <w:jc w:val="center"/>
        <w:outlineLvl w:val="0"/>
        <w:rPr>
          <w:rFonts w:hint="eastAsia" w:asciiTheme="minorEastAsia" w:hAnsiTheme="minorEastAsia" w:eastAsiaTheme="minorEastAsia" w:cstheme="minorEastAsia"/>
          <w:bCs/>
          <w:color w:val="auto"/>
          <w:sz w:val="44"/>
          <w:szCs w:val="28"/>
        </w:rPr>
      </w:pPr>
      <w:bookmarkStart w:id="190" w:name="_Toc16938559"/>
      <w:bookmarkStart w:id="191" w:name="_Toc20823315"/>
      <w:bookmarkStart w:id="192" w:name="_Toc513029243"/>
      <w:r>
        <w:rPr>
          <w:rFonts w:hint="eastAsia" w:asciiTheme="minorEastAsia" w:hAnsiTheme="minorEastAsia" w:eastAsiaTheme="minorEastAsia" w:cstheme="minorEastAsia"/>
          <w:bCs/>
          <w:color w:val="auto"/>
          <w:sz w:val="44"/>
          <w:szCs w:val="28"/>
        </w:rPr>
        <w:t>第三章  合同文本</w:t>
      </w:r>
    </w:p>
    <w:p w14:paraId="05C45917">
      <w:pPr>
        <w:spacing w:line="500" w:lineRule="exact"/>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以下为中标后签定本项目合同的通用条款，中标人不得提出实质性的修改。</w:t>
      </w:r>
    </w:p>
    <w:p w14:paraId="574AA298">
      <w:pPr>
        <w:snapToGrid w:val="0"/>
        <w:spacing w:before="120" w:beforeLines="50" w:after="120" w:afterLines="50"/>
        <w:jc w:val="center"/>
        <w:outlineLvl w:val="0"/>
        <w:rPr>
          <w:rFonts w:hint="eastAsia" w:asciiTheme="minorEastAsia" w:hAnsiTheme="minorEastAsia" w:eastAsiaTheme="minorEastAsia" w:cstheme="minorEastAsia"/>
          <w:b/>
          <w:bCs/>
          <w:color w:val="auto"/>
          <w:sz w:val="30"/>
          <w:szCs w:val="20"/>
        </w:rPr>
      </w:pPr>
      <w:r>
        <w:rPr>
          <w:rFonts w:hint="eastAsia" w:asciiTheme="minorEastAsia" w:hAnsiTheme="minorEastAsia" w:eastAsiaTheme="minorEastAsia" w:cstheme="minorEastAsia"/>
          <w:b/>
          <w:color w:val="auto"/>
          <w:sz w:val="30"/>
        </w:rPr>
        <w:t>江苏省政府采购合同（货物）（合同编号）</w:t>
      </w:r>
    </w:p>
    <w:p w14:paraId="5E41E399">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                                       项目编号：</w:t>
      </w:r>
    </w:p>
    <w:p w14:paraId="43F402A2">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甲方：（买方）_________</w:t>
      </w:r>
    </w:p>
    <w:p w14:paraId="7D56E1B7">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乙方：（卖方）_________</w:t>
      </w:r>
    </w:p>
    <w:p w14:paraId="5A80E98D">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甲、乙双方根据江苏省政府采购中心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项目公开招标的结果，签署本合同。</w:t>
      </w:r>
    </w:p>
    <w:p w14:paraId="680BE9A5">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一、合同内容</w:t>
      </w:r>
    </w:p>
    <w:p w14:paraId="25130321">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 标的名称：</w:t>
      </w:r>
    </w:p>
    <w:p w14:paraId="24D5E6EE">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 标的质量：</w:t>
      </w:r>
    </w:p>
    <w:p w14:paraId="170F00EE">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 标的数量（规模）：</w:t>
      </w:r>
    </w:p>
    <w:p w14:paraId="433E48A4">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 履行时间（期限）：</w:t>
      </w:r>
    </w:p>
    <w:p w14:paraId="5124FD0C">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 履行地点：</w:t>
      </w:r>
    </w:p>
    <w:p w14:paraId="29C94EE6">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 履行方式：</w:t>
      </w:r>
    </w:p>
    <w:p w14:paraId="15C5EDAF">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 包装方式：</w:t>
      </w:r>
    </w:p>
    <w:p w14:paraId="094EA1A7">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二、合同金额</w:t>
      </w:r>
    </w:p>
    <w:p w14:paraId="3520E2C8">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 本合同金额为（大写）：_______圆（___元）人民币或其他币种。</w:t>
      </w:r>
    </w:p>
    <w:p w14:paraId="7E03BC45">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三、技术资料</w:t>
      </w:r>
    </w:p>
    <w:p w14:paraId="2982C4B6">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3.1乙方应按招标文件规定的时间向甲方提供使用货物(包含与货物相关的服务)的有关技术资料。</w:t>
      </w:r>
    </w:p>
    <w:p w14:paraId="6FCE9E6C">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8C8E058">
      <w:pPr>
        <w:snapToGrid w:val="0"/>
        <w:spacing w:before="120" w:after="120"/>
        <w:ind w:left="412" w:hanging="412" w:hangingChars="17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四、知识产权</w:t>
      </w:r>
    </w:p>
    <w:p w14:paraId="4CD828FC">
      <w:pPr>
        <w:spacing w:line="0" w:lineRule="atLeas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4.1乙</w:t>
      </w:r>
      <w:r>
        <w:rPr>
          <w:rFonts w:hint="eastAsia" w:asciiTheme="minorEastAsia" w:hAnsiTheme="minorEastAsia" w:eastAsiaTheme="minorEastAsia" w:cstheme="minorEastAsia"/>
          <w:color w:val="auto"/>
          <w:sz w:val="24"/>
        </w:rPr>
        <w:t>方应保证甲方在使用、接受本合同货物</w:t>
      </w:r>
      <w:r>
        <w:rPr>
          <w:rFonts w:hint="eastAsia" w:asciiTheme="minorEastAsia" w:hAnsiTheme="minorEastAsia" w:eastAsiaTheme="minorEastAsia" w:cstheme="minorEastAsia"/>
          <w:color w:val="auto"/>
          <w:sz w:val="24"/>
          <w:szCs w:val="24"/>
        </w:rPr>
        <w:t>（包含与货物相关的服务）</w:t>
      </w:r>
      <w:r>
        <w:rPr>
          <w:rFonts w:hint="eastAsia" w:asciiTheme="minorEastAsia" w:hAnsiTheme="minorEastAsia" w:eastAsiaTheme="minorEastAsia" w:cstheme="minorEastAsia"/>
          <w:color w:val="auto"/>
          <w:sz w:val="24"/>
        </w:rPr>
        <w:t>或其任何一部分时不受第三方提出侵犯其专利权、版权、商标权和工业设计权等知识产权的起诉。一旦出现侵权，由乙方负全部责任。</w:t>
      </w:r>
    </w:p>
    <w:p w14:paraId="2F140020">
      <w:pPr>
        <w:snapToGrid w:val="0"/>
        <w:spacing w:before="120" w:after="12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b/>
          <w:color w:val="auto"/>
          <w:sz w:val="24"/>
          <w:szCs w:val="24"/>
        </w:rPr>
        <w:t>五、产权担保</w:t>
      </w:r>
    </w:p>
    <w:p w14:paraId="15A24887">
      <w:pPr>
        <w:snapToGrid w:val="0"/>
        <w:spacing w:before="120" w:after="120"/>
        <w:ind w:left="408" w:hanging="408" w:hangingChars="17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5.1 乙方保证所交付的货物（包含与货物相关的服务）的所有权完全属于乙方且无任何抵押、查封等产权瑕疵。</w:t>
      </w:r>
    </w:p>
    <w:p w14:paraId="17693FB8">
      <w:pPr>
        <w:snapToGrid w:val="0"/>
        <w:spacing w:before="120" w:after="120"/>
        <w:ind w:left="410" w:hanging="410" w:hangingChars="17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六、履约保证金</w:t>
      </w:r>
    </w:p>
    <w:p w14:paraId="51EB13A2">
      <w:pPr>
        <w:snapToGrid w:val="0"/>
        <w:spacing w:before="120" w:after="120"/>
        <w:ind w:left="408" w:firstLine="0" w:firstLineChars="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本项目不收履约保证金。</w:t>
      </w:r>
    </w:p>
    <w:p w14:paraId="54F3260F">
      <w:pPr>
        <w:snapToGrid w:val="0"/>
        <w:spacing w:before="120" w:beforeLines="50" w:after="120" w:afterLines="5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七、合同转包或分包</w:t>
      </w:r>
    </w:p>
    <w:p w14:paraId="6711D8AB">
      <w:pPr>
        <w:snapToGrid w:val="0"/>
        <w:spacing w:before="120" w:beforeLines="50" w:after="120" w:afterLine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7.1乙方不得将合同标的转包给他人履行。</w:t>
      </w:r>
    </w:p>
    <w:p w14:paraId="3EDC750C">
      <w:pPr>
        <w:snapToGrid w:val="0"/>
        <w:spacing w:before="120" w:beforeLines="50" w:after="120" w:afterLine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7.2乙方不得将合同标的分包给他人履行。</w:t>
      </w:r>
    </w:p>
    <w:p w14:paraId="3A22FAC2">
      <w:pPr>
        <w:snapToGrid w:val="0"/>
        <w:spacing w:before="120" w:beforeLines="50" w:after="120" w:afterLine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7.3乙方如有转包或未经甲方同意的分包行为，甲方有权给予终止合同。</w:t>
      </w:r>
    </w:p>
    <w:p w14:paraId="4D049A6C">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八、合同款项支付</w:t>
      </w:r>
    </w:p>
    <w:p w14:paraId="501389F4">
      <w:pPr>
        <w:snapToGrid w:val="0"/>
        <w:spacing w:before="120" w:after="120"/>
        <w:rPr>
          <w:rFonts w:hint="eastAsia" w:asciiTheme="minorEastAsia" w:hAnsiTheme="minorEastAsia" w:eastAsiaTheme="minorEastAsia" w:cstheme="minorEastAsia"/>
          <w:bCs/>
          <w:strike w:val="0"/>
          <w:dstrike w:val="0"/>
          <w:color w:val="auto"/>
          <w:sz w:val="24"/>
          <w:szCs w:val="24"/>
        </w:rPr>
      </w:pPr>
      <w:r>
        <w:rPr>
          <w:rFonts w:hint="eastAsia" w:asciiTheme="minorEastAsia" w:hAnsiTheme="minorEastAsia" w:eastAsiaTheme="minorEastAsia" w:cstheme="minorEastAsia"/>
          <w:bCs/>
          <w:color w:val="auto"/>
          <w:sz w:val="24"/>
          <w:szCs w:val="24"/>
        </w:rPr>
        <w:t>8.1合同款项的支付方式及进度安排</w:t>
      </w:r>
      <w:r>
        <w:rPr>
          <w:rFonts w:hint="eastAsia" w:asciiTheme="minorEastAsia" w:hAnsiTheme="minorEastAsia" w:eastAsiaTheme="minorEastAsia" w:cstheme="minorEastAsia"/>
          <w:bCs/>
          <w:color w:val="auto"/>
          <w:sz w:val="24"/>
          <w:szCs w:val="24"/>
          <w:lang w:eastAsia="zh-CN"/>
        </w:rPr>
        <w:t>：</w:t>
      </w:r>
      <w:r>
        <w:rPr>
          <w:rFonts w:hint="eastAsia" w:asciiTheme="minorEastAsia" w:hAnsiTheme="minorEastAsia" w:eastAsiaTheme="minorEastAsia" w:cstheme="minorEastAsia"/>
          <w:bCs/>
          <w:strike w:val="0"/>
          <w:dstrike w:val="0"/>
          <w:color w:val="auto"/>
          <w:sz w:val="24"/>
          <w:szCs w:val="24"/>
        </w:rPr>
        <w:t>本合同货物在规定的时间内供货，验收合格，自验收合格之日起</w:t>
      </w:r>
      <w:r>
        <w:rPr>
          <w:rFonts w:hint="eastAsia" w:asciiTheme="minorEastAsia" w:hAnsiTheme="minorEastAsia" w:eastAsiaTheme="minorEastAsia" w:cstheme="minorEastAsia"/>
          <w:bCs/>
          <w:strike w:val="0"/>
          <w:dstrike w:val="0"/>
          <w:color w:val="auto"/>
          <w:sz w:val="24"/>
          <w:szCs w:val="24"/>
          <w:lang w:val="en-US" w:eastAsia="zh-CN"/>
        </w:rPr>
        <w:t>十个工作日内</w:t>
      </w:r>
      <w:r>
        <w:rPr>
          <w:rFonts w:hint="eastAsia" w:asciiTheme="minorEastAsia" w:hAnsiTheme="minorEastAsia" w:eastAsiaTheme="minorEastAsia" w:cstheme="minorEastAsia"/>
          <w:bCs/>
          <w:strike w:val="0"/>
          <w:dstrike w:val="0"/>
          <w:color w:val="auto"/>
          <w:sz w:val="24"/>
          <w:szCs w:val="24"/>
        </w:rPr>
        <w:t>一次性付清。</w:t>
      </w:r>
    </w:p>
    <w:p w14:paraId="5FC6DB45">
      <w:pPr>
        <w:snapToGrid w:val="0"/>
        <w:spacing w:before="120" w:beforeLines="50" w:after="120" w:afterLines="5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九、税费</w:t>
      </w:r>
    </w:p>
    <w:p w14:paraId="4BAAC3F9">
      <w:pPr>
        <w:snapToGrid w:val="0"/>
        <w:spacing w:before="120" w:beforeLines="50" w:after="120" w:afterLines="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9.1本合同执行中相关的一切税费均由乙方负担。</w:t>
      </w:r>
    </w:p>
    <w:p w14:paraId="17336333">
      <w:pPr>
        <w:snapToGrid w:val="0"/>
        <w:spacing w:before="120" w:after="120"/>
        <w:ind w:left="412" w:hanging="412"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十、质量保修范围和保修期及售后服务</w:t>
      </w:r>
    </w:p>
    <w:p w14:paraId="488F5F7F">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10.1 乙方应按招标文件规定的货物性能、技术要求、质量标准向甲方提供未经使用的全新产品。</w:t>
      </w:r>
    </w:p>
    <w:p w14:paraId="5E9A58DD">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10.2 乙方提供的货物在质量期内因货物本身的质量问题发生故障，乙方应负责免费更换。对达不到技术要求者，根据实际情况，经双方协商，可按以下办法处理：</w:t>
      </w:r>
    </w:p>
    <w:p w14:paraId="3A2B2FC3">
      <w:pPr>
        <w:snapToGrid w:val="0"/>
        <w:spacing w:before="120" w:after="120"/>
        <w:ind w:firstLine="4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⑴更换：由乙方承担所发生的全部费用。</w:t>
      </w:r>
    </w:p>
    <w:p w14:paraId="3BA9E0DD">
      <w:pPr>
        <w:snapToGrid w:val="0"/>
        <w:spacing w:before="120" w:after="120"/>
        <w:ind w:firstLine="4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⑵贬值处理：由甲乙双方合议定价。</w:t>
      </w:r>
    </w:p>
    <w:p w14:paraId="53DC6585">
      <w:pPr>
        <w:snapToGrid w:val="0"/>
        <w:spacing w:before="120" w:after="120"/>
        <w:ind w:left="420" w:left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⑶退货处理：乙方应退还甲方支付的合同款，同时应承担该货物的直接费用（运输、保险、检验、货款利息及银行手续费等）。</w:t>
      </w:r>
    </w:p>
    <w:p w14:paraId="137ABEE5">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10.3 如在使用过程中发生质量问题，乙方在接到甲方通知后在_________小时内到达甲方现场。</w:t>
      </w:r>
    </w:p>
    <w:p w14:paraId="089FEC72">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10.4 在质保期内，乙方应对货物出现的质量及安全问题负责处理解决并承担一切费用。</w:t>
      </w:r>
    </w:p>
    <w:p w14:paraId="6BA1B471">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10.5上述的货物免费保修期为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年（自交货验收合格之日起计），因人为因素出现的故障不在免费保修范围内。超过保修期的机器设备，终生维修，维修时只收部件成本费。</w:t>
      </w:r>
    </w:p>
    <w:p w14:paraId="18591DEF">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十一、项目验收</w:t>
      </w:r>
    </w:p>
    <w:p w14:paraId="75C95CF1">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11.1 甲方依法组织履约验收工作。</w:t>
      </w:r>
    </w:p>
    <w:p w14:paraId="533A65DC">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B708395">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11.3 对于实际使用人和甲方分离的项目，甲方邀请实际使用人参与验收。</w:t>
      </w:r>
    </w:p>
    <w:p w14:paraId="38932F23">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11.4 如有必要，甲方邀请参加本项目的其他供应商或第三方专业机构及专家参与验收，相关意见将作为验收书的参考资料。</w:t>
      </w:r>
    </w:p>
    <w:p w14:paraId="181924A1">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C14B683">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2CD3458">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十二、货物的包装、发运及运输</w:t>
      </w:r>
    </w:p>
    <w:p w14:paraId="2CD6D7A5">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C1764F5">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12.2 使用说明书、质量检验证明书、随配附件和工具以及清单一并附于货物内。</w:t>
      </w:r>
    </w:p>
    <w:p w14:paraId="35470135">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12.3 乙方在货物发运手续办理完毕后24小时内或货到甲方48小时前通知甲方，以准备接货。</w:t>
      </w:r>
    </w:p>
    <w:p w14:paraId="4685AE31">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12.4 货物在交付甲方前发生的风险均由乙方负责。</w:t>
      </w:r>
    </w:p>
    <w:p w14:paraId="68810B05">
      <w:pPr>
        <w:snapToGrid w:val="0"/>
        <w:spacing w:before="156" w:after="156"/>
        <w:ind w:left="480" w:right="26"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12.5 货物在规定的交付期限内由乙方送达甲方指定的地点视为交付，乙方同时需通知甲方货物已送达。</w:t>
      </w:r>
    </w:p>
    <w:p w14:paraId="68E38901">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十三、违约责任</w:t>
      </w:r>
    </w:p>
    <w:p w14:paraId="28265099">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13.1 甲方无正当理由拒收货物的，甲方向乙方偿付拒收货款总值</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的违约金。</w:t>
      </w:r>
    </w:p>
    <w:p w14:paraId="6101B523">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13.2 甲方无故逾期验收和办理货款支付手续的,甲方应按逾期付款总额每日</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向乙方支付违约金。</w:t>
      </w:r>
    </w:p>
    <w:p w14:paraId="75232339">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的违约金，如造成甲方损失超过违约金的，超出部分由乙方继续承担赔偿责任。 </w:t>
      </w:r>
    </w:p>
    <w:p w14:paraId="289F9CB7">
      <w:pPr>
        <w:snapToGrid w:val="0"/>
        <w:spacing w:before="120" w:after="120"/>
        <w:ind w:left="410" w:hanging="410" w:hangingChars="1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96E173D">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十四、不可抗力事件处理</w:t>
      </w:r>
    </w:p>
    <w:p w14:paraId="6CF2BB1D">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14.1 在合同有效期内，任何一方因不可抗力事件导致不能履行合同，则合同履行期可延长，其延长期与不可抗力影响期相同。</w:t>
      </w:r>
    </w:p>
    <w:p w14:paraId="5E6567C4">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14.2 不可抗力事件发生后，应立即通知对方，并寄送有关权威机构出具的证明。</w:t>
      </w:r>
    </w:p>
    <w:p w14:paraId="40B68913">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14.3 不可抗力事件延续120天以上，双方应通过友好协商，确定是否继续履行合同。</w:t>
      </w:r>
    </w:p>
    <w:p w14:paraId="0BE21F4F">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十五、解决争议的方法</w:t>
      </w:r>
    </w:p>
    <w:p w14:paraId="5A6724E5">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15.1甲乙双方因合同签订、履行而发生的一切争议，应通过友好协商解决。如协商不成由甲方住所地人民法院管辖。</w:t>
      </w:r>
    </w:p>
    <w:p w14:paraId="3F39DBD4">
      <w:pPr>
        <w:snapToGrid w:val="0"/>
        <w:spacing w:before="120" w:after="12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十六、合同生效及其它</w:t>
      </w:r>
    </w:p>
    <w:p w14:paraId="4D732F08">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16.1 合同经双方法定代表人或授权委托代表人签字并加盖单位公章后生效。</w:t>
      </w:r>
    </w:p>
    <w:p w14:paraId="45054448">
      <w:pPr>
        <w:snapToGrid w:val="0"/>
        <w:spacing w:before="120" w:after="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16.2本合同未尽事宜，遵照《民法典》、《政府采购法》有关条文执行。</w:t>
      </w:r>
    </w:p>
    <w:p w14:paraId="073F41A6">
      <w:pPr>
        <w:snapToGrid w:val="0"/>
        <w:spacing w:before="120" w:after="120"/>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16.3 本合同正本一式两份，具有同等法律效力，甲方、乙方各执一份。</w:t>
      </w:r>
    </w:p>
    <w:p w14:paraId="30924AD3">
      <w:pPr>
        <w:snapToGrid w:val="0"/>
        <w:spacing w:before="120" w:after="120" w:line="0" w:lineRule="atLeast"/>
        <w:ind w:left="480" w:hanging="480" w:hanging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甲方：                        乙方： </w:t>
      </w:r>
    </w:p>
    <w:p w14:paraId="5007D6E2">
      <w:pPr>
        <w:snapToGrid w:val="0"/>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地址：                        地址： </w:t>
      </w:r>
    </w:p>
    <w:p w14:paraId="2E5F0105">
      <w:pPr>
        <w:snapToGrid w:val="0"/>
        <w:spacing w:before="120" w:after="120" w:line="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法定代表人或授权代表：        法定代表人或授权代表：</w:t>
      </w:r>
    </w:p>
    <w:p w14:paraId="3FF0B78B">
      <w:pPr>
        <w:snapToGrid w:val="0"/>
        <w:spacing w:before="120" w:after="120" w:line="0" w:lineRule="atLeast"/>
        <w:ind w:firstLine="24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xml:space="preserve">联系电话：                    联系电话：          </w:t>
      </w:r>
    </w:p>
    <w:p w14:paraId="5BAF1C49">
      <w:pPr>
        <w:snapToGrid w:val="0"/>
        <w:spacing w:before="120" w:after="120" w:line="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z w:val="24"/>
          <w:szCs w:val="24"/>
        </w:rPr>
        <w:t xml:space="preserve">   </w:t>
      </w:r>
    </w:p>
    <w:p w14:paraId="1E2289C0">
      <w:pPr>
        <w:snapToGrid w:val="0"/>
        <w:spacing w:before="120" w:after="120" w:line="0" w:lineRule="atLeast"/>
        <w:jc w:val="center"/>
        <w:rPr>
          <w:rFonts w:hint="eastAsia" w:asciiTheme="minorEastAsia" w:hAnsiTheme="minorEastAsia" w:eastAsiaTheme="minorEastAsia" w:cstheme="minorEastAsia"/>
          <w:color w:val="auto"/>
          <w:sz w:val="24"/>
          <w:szCs w:val="24"/>
        </w:rPr>
      </w:pPr>
    </w:p>
    <w:p w14:paraId="181D2864">
      <w:pPr>
        <w:rPr>
          <w:rFonts w:hint="eastAsia" w:asciiTheme="minorEastAsia" w:hAnsiTheme="minorEastAsia" w:eastAsiaTheme="minorEastAsia" w:cstheme="minorEastAsia"/>
          <w:bCs/>
          <w:color w:val="auto"/>
          <w:sz w:val="32"/>
          <w:szCs w:val="32"/>
        </w:rPr>
      </w:pPr>
      <w:r>
        <w:rPr>
          <w:rFonts w:hint="eastAsia" w:asciiTheme="minorEastAsia" w:hAnsiTheme="minorEastAsia" w:eastAsiaTheme="minorEastAsia" w:cstheme="minorEastAsia"/>
          <w:color w:val="auto"/>
          <w:sz w:val="24"/>
          <w:szCs w:val="24"/>
        </w:rPr>
        <w:t xml:space="preserve">                    签订日期：      年    月   日</w:t>
      </w:r>
      <w:bookmarkStart w:id="193" w:name="_Hlt16619369"/>
      <w:bookmarkEnd w:id="193"/>
      <w:r>
        <w:rPr>
          <w:rFonts w:hint="eastAsia" w:asciiTheme="minorEastAsia" w:hAnsiTheme="minorEastAsia" w:eastAsiaTheme="minorEastAsia" w:cstheme="minorEastAsia"/>
          <w:bCs/>
          <w:color w:val="auto"/>
          <w:sz w:val="44"/>
        </w:rPr>
        <w:br w:type="page"/>
      </w:r>
    </w:p>
    <w:bookmarkEnd w:id="190"/>
    <w:bookmarkEnd w:id="191"/>
    <w:bookmarkEnd w:id="192"/>
    <w:p w14:paraId="5CCBD25F">
      <w:pPr>
        <w:pStyle w:val="195"/>
        <w:rPr>
          <w:rFonts w:hint="eastAsia" w:asciiTheme="minorEastAsia" w:hAnsiTheme="minorEastAsia" w:eastAsiaTheme="minorEastAsia" w:cstheme="minorEastAsia"/>
          <w:b/>
          <w:bCs/>
          <w:color w:val="auto"/>
          <w:sz w:val="44"/>
        </w:rPr>
      </w:pPr>
      <w:bookmarkStart w:id="194" w:name="_Toc17950"/>
      <w:bookmarkStart w:id="195" w:name="_Toc49090575"/>
      <w:bookmarkStart w:id="196" w:name="_Toc120614281"/>
      <w:bookmarkStart w:id="197" w:name="_Toc26554093"/>
      <w:bookmarkStart w:id="198" w:name="_Toc479757211"/>
      <w:bookmarkStart w:id="199" w:name="_Toc462564139"/>
      <w:r>
        <w:rPr>
          <w:rFonts w:hint="eastAsia" w:asciiTheme="minorEastAsia" w:hAnsiTheme="minorEastAsia" w:eastAsiaTheme="minorEastAsia" w:cstheme="minorEastAsia"/>
          <w:b/>
          <w:bCs/>
          <w:color w:val="auto"/>
          <w:sz w:val="44"/>
        </w:rPr>
        <w:t>第四章 采购需求</w:t>
      </w:r>
      <w:bookmarkEnd w:id="194"/>
    </w:p>
    <w:p w14:paraId="5B80946E">
      <w:pPr>
        <w:pStyle w:val="285"/>
        <w:keepNext w:val="0"/>
        <w:keepLines w:val="0"/>
        <w:pageBreakBefore w:val="0"/>
        <w:widowControl w:val="0"/>
        <w:numPr>
          <w:ilvl w:val="0"/>
          <w:numId w:val="4"/>
        </w:numPr>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采购标的</w:t>
      </w:r>
    </w:p>
    <w:p w14:paraId="6D5B6187">
      <w:pPr>
        <w:spacing w:line="360" w:lineRule="auto"/>
        <w:rPr>
          <w:rFonts w:hint="eastAsia" w:ascii="宋体" w:hAnsi="宋体"/>
          <w:color w:val="auto"/>
          <w:sz w:val="24"/>
          <w:szCs w:val="24"/>
        </w:rPr>
      </w:pPr>
      <w:r>
        <w:rPr>
          <w:rFonts w:ascii="宋体" w:hAnsi="宋体"/>
          <w:bCs/>
          <w:color w:val="auto"/>
          <w:sz w:val="24"/>
          <w:szCs w:val="24"/>
        </w:rPr>
        <w:t>1.</w:t>
      </w:r>
      <w:r>
        <w:rPr>
          <w:rFonts w:hint="eastAsia" w:ascii="宋体" w:hAnsi="宋体"/>
          <w:bCs/>
          <w:color w:val="auto"/>
          <w:sz w:val="24"/>
          <w:szCs w:val="24"/>
        </w:rPr>
        <w:t>项目名称：</w:t>
      </w:r>
      <w:r>
        <w:rPr>
          <w:rFonts w:hint="eastAsia" w:ascii="宋体" w:hAnsi="宋体"/>
          <w:color w:val="auto"/>
          <w:sz w:val="24"/>
          <w:szCs w:val="24"/>
        </w:rPr>
        <w:t>常州市北环中学易地新建项目报告厅舞台设备及音视频会议系统设备采购及安装</w:t>
      </w:r>
    </w:p>
    <w:p w14:paraId="7CC8EABC">
      <w:pPr>
        <w:spacing w:line="360" w:lineRule="auto"/>
        <w:rPr>
          <w:rFonts w:ascii="宋体" w:hAnsi="宋体"/>
          <w:color w:val="auto"/>
          <w:sz w:val="24"/>
          <w:szCs w:val="24"/>
        </w:rPr>
      </w:pPr>
      <w:r>
        <w:rPr>
          <w:rFonts w:hint="eastAsia" w:ascii="宋体" w:hAnsi="宋体"/>
          <w:color w:val="auto"/>
          <w:sz w:val="24"/>
          <w:szCs w:val="24"/>
        </w:rPr>
        <w:t>2.预算金额：</w:t>
      </w:r>
      <w:r>
        <w:rPr>
          <w:rFonts w:hint="eastAsia" w:ascii="宋体" w:hAnsi="宋体"/>
          <w:color w:val="auto"/>
          <w:sz w:val="24"/>
          <w:szCs w:val="24"/>
          <w:lang w:val="en-US" w:eastAsia="zh-CN"/>
        </w:rPr>
        <w:t>198</w:t>
      </w:r>
      <w:r>
        <w:rPr>
          <w:rFonts w:hint="eastAsia" w:ascii="宋体" w:hAnsi="宋体"/>
          <w:color w:val="auto"/>
          <w:sz w:val="24"/>
          <w:szCs w:val="24"/>
        </w:rPr>
        <w:t xml:space="preserve"> 万元</w:t>
      </w:r>
    </w:p>
    <w:p w14:paraId="1ED8520D">
      <w:pPr>
        <w:spacing w:line="360" w:lineRule="auto"/>
        <w:rPr>
          <w:rFonts w:ascii="宋体" w:hAnsi="宋体"/>
          <w:color w:val="auto"/>
          <w:sz w:val="24"/>
          <w:szCs w:val="24"/>
        </w:rPr>
      </w:pPr>
      <w:r>
        <w:rPr>
          <w:rFonts w:hint="eastAsia" w:ascii="宋体" w:hAnsi="宋体"/>
          <w:color w:val="auto"/>
          <w:sz w:val="24"/>
          <w:szCs w:val="24"/>
        </w:rPr>
        <w:t>3.最高限价：</w:t>
      </w:r>
      <w:r>
        <w:rPr>
          <w:rFonts w:hint="eastAsia" w:ascii="宋体" w:hAnsi="宋体"/>
          <w:color w:val="auto"/>
          <w:sz w:val="24"/>
          <w:szCs w:val="24"/>
          <w:lang w:val="en-US" w:eastAsia="zh-CN"/>
        </w:rPr>
        <w:t>176.2</w:t>
      </w:r>
      <w:r>
        <w:rPr>
          <w:rFonts w:hint="eastAsia" w:ascii="宋体" w:hAnsi="宋体"/>
          <w:color w:val="auto"/>
          <w:sz w:val="24"/>
          <w:szCs w:val="24"/>
        </w:rPr>
        <w:t xml:space="preserve">  万元</w:t>
      </w:r>
    </w:p>
    <w:p w14:paraId="516819AF">
      <w:pPr>
        <w:spacing w:line="360" w:lineRule="auto"/>
        <w:rPr>
          <w:rFonts w:hint="eastAsia" w:ascii="宋体" w:hAnsi="宋体" w:eastAsia="宋体"/>
          <w:color w:val="auto"/>
          <w:sz w:val="24"/>
          <w:szCs w:val="24"/>
          <w:lang w:eastAsia="zh-CN"/>
        </w:rPr>
      </w:pPr>
      <w:r>
        <w:rPr>
          <w:rFonts w:hint="eastAsia" w:ascii="宋体" w:hAnsi="宋体"/>
          <w:color w:val="auto"/>
          <w:sz w:val="24"/>
          <w:szCs w:val="24"/>
        </w:rPr>
        <w:t>4.采购项目概况（简介）：</w:t>
      </w:r>
      <w:r>
        <w:rPr>
          <w:rFonts w:hint="eastAsia" w:ascii="宋体" w:hAnsi="宋体"/>
          <w:color w:val="auto"/>
          <w:sz w:val="24"/>
          <w:szCs w:val="24"/>
          <w:lang w:eastAsia="zh-CN"/>
        </w:rPr>
        <w:t>常州市北环中学易地新建项目</w:t>
      </w:r>
      <w:r>
        <w:rPr>
          <w:rFonts w:hint="eastAsia" w:ascii="宋体" w:hAnsi="宋体"/>
          <w:color w:val="auto"/>
          <w:sz w:val="24"/>
          <w:szCs w:val="24"/>
          <w:lang w:val="en-US" w:eastAsia="zh-CN"/>
        </w:rPr>
        <w:t>报告厅舞台设备及音视频会议系统设备采购及安装；</w:t>
      </w:r>
    </w:p>
    <w:p w14:paraId="7139B3F0">
      <w:pP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5.合同履行期限：自合同签订生效之日起、项目验收合格之日止</w:t>
      </w:r>
      <w:r>
        <w:rPr>
          <w:rFonts w:hint="eastAsia" w:ascii="宋体" w:hAnsi="宋体" w:eastAsia="宋体" w:cs="Times New Roman"/>
          <w:color w:val="auto"/>
          <w:sz w:val="24"/>
          <w:szCs w:val="24"/>
          <w:lang w:val="en-US" w:eastAsia="zh-CN"/>
        </w:rPr>
        <w:t>；</w:t>
      </w:r>
    </w:p>
    <w:p w14:paraId="4E4823CE">
      <w:pPr>
        <w:spacing w:line="360" w:lineRule="auto"/>
        <w:rPr>
          <w:rFonts w:ascii="宋体" w:hAnsi="宋体"/>
          <w:color w:val="auto"/>
          <w:sz w:val="24"/>
          <w:szCs w:val="24"/>
        </w:rPr>
      </w:pPr>
      <w:r>
        <w:rPr>
          <w:rFonts w:hint="eastAsia" w:ascii="宋体" w:hAnsi="宋体"/>
          <w:color w:val="auto"/>
          <w:sz w:val="24"/>
          <w:szCs w:val="24"/>
        </w:rPr>
        <w:t>6.</w:t>
      </w:r>
      <w:r>
        <w:rPr>
          <w:rFonts w:hint="eastAsia" w:ascii="宋体" w:hAnsi="宋体"/>
          <w:color w:val="auto"/>
          <w:sz w:val="24"/>
        </w:rPr>
        <w:t>是/否接受联合体投标： 否  ；</w:t>
      </w:r>
    </w:p>
    <w:p w14:paraId="55AA0763">
      <w:pPr>
        <w:spacing w:line="360" w:lineRule="auto"/>
        <w:rPr>
          <w:rFonts w:hint="eastAsia" w:ascii="宋体" w:hAnsi="宋体"/>
          <w:bCs/>
          <w:color w:val="auto"/>
          <w:sz w:val="24"/>
          <w:szCs w:val="24"/>
        </w:rPr>
      </w:pPr>
      <w:r>
        <w:rPr>
          <w:rFonts w:hint="eastAsia" w:ascii="宋体" w:hAnsi="宋体"/>
          <w:color w:val="auto"/>
          <w:sz w:val="24"/>
          <w:szCs w:val="24"/>
        </w:rPr>
        <w:t>7.</w:t>
      </w:r>
      <w:r>
        <w:rPr>
          <w:color w:val="auto"/>
          <w:sz w:val="24"/>
        </w:rPr>
        <w:t>是</w:t>
      </w:r>
      <w:r>
        <w:rPr>
          <w:rFonts w:hint="eastAsia"/>
          <w:color w:val="auto"/>
          <w:sz w:val="24"/>
        </w:rPr>
        <w:t>/</w:t>
      </w:r>
      <w:r>
        <w:rPr>
          <w:color w:val="auto"/>
          <w:sz w:val="24"/>
        </w:rPr>
        <w:t>否接受分支机构参与响应</w:t>
      </w:r>
      <w:r>
        <w:rPr>
          <w:rFonts w:ascii="宋体" w:hAnsi="宋体"/>
          <w:color w:val="auto"/>
          <w:sz w:val="24"/>
          <w:szCs w:val="24"/>
        </w:rPr>
        <w:t>：</w:t>
      </w:r>
      <w:r>
        <w:rPr>
          <w:rFonts w:ascii="宋体" w:hAnsi="宋体"/>
          <w:bCs/>
          <w:color w:val="auto"/>
          <w:sz w:val="24"/>
          <w:szCs w:val="24"/>
        </w:rPr>
        <w:t>否</w:t>
      </w:r>
      <w:r>
        <w:rPr>
          <w:rFonts w:hint="eastAsia" w:ascii="宋体" w:hAnsi="宋体"/>
          <w:bCs/>
          <w:color w:val="auto"/>
          <w:sz w:val="24"/>
          <w:szCs w:val="24"/>
        </w:rPr>
        <w:t>；</w:t>
      </w:r>
    </w:p>
    <w:p w14:paraId="381CD53C">
      <w:pPr>
        <w:spacing w:line="360" w:lineRule="auto"/>
        <w:rPr>
          <w:rFonts w:hint="eastAsia" w:ascii="宋体" w:hAnsi="宋体"/>
          <w:color w:val="auto"/>
          <w:sz w:val="24"/>
          <w:szCs w:val="24"/>
        </w:rPr>
      </w:pPr>
      <w:r>
        <w:rPr>
          <w:rFonts w:hint="eastAsia" w:ascii="宋体" w:hAnsi="宋体"/>
          <w:color w:val="auto"/>
          <w:sz w:val="24"/>
          <w:szCs w:val="24"/>
        </w:rPr>
        <w:t>8.</w:t>
      </w:r>
      <w:r>
        <w:rPr>
          <w:rFonts w:ascii="宋体" w:hAnsi="宋体"/>
          <w:color w:val="auto"/>
          <w:sz w:val="24"/>
        </w:rPr>
        <w:t>是</w:t>
      </w:r>
      <w:r>
        <w:rPr>
          <w:rFonts w:hint="eastAsia" w:ascii="宋体" w:hAnsi="宋体"/>
          <w:color w:val="auto"/>
          <w:sz w:val="24"/>
        </w:rPr>
        <w:t>/</w:t>
      </w:r>
      <w:r>
        <w:rPr>
          <w:rFonts w:ascii="宋体" w:hAnsi="宋体"/>
          <w:color w:val="auto"/>
          <w:sz w:val="24"/>
        </w:rPr>
        <w:t>否属于政府购买服务</w:t>
      </w:r>
      <w:r>
        <w:rPr>
          <w:rFonts w:ascii="宋体" w:hAnsi="宋体"/>
          <w:color w:val="auto"/>
          <w:sz w:val="24"/>
          <w:szCs w:val="24"/>
        </w:rPr>
        <w:t>：</w:t>
      </w:r>
      <w:r>
        <w:rPr>
          <w:rFonts w:hint="eastAsia" w:ascii="宋体" w:hAnsi="宋体"/>
          <w:color w:val="auto"/>
          <w:sz w:val="24"/>
          <w:szCs w:val="24"/>
        </w:rPr>
        <w:t>否；</w:t>
      </w:r>
    </w:p>
    <w:p w14:paraId="4AB3631C">
      <w:pPr>
        <w:spacing w:line="360" w:lineRule="auto"/>
        <w:rPr>
          <w:rFonts w:hint="eastAsia" w:ascii="宋体" w:hAnsi="宋体"/>
          <w:color w:val="auto"/>
          <w:sz w:val="24"/>
          <w:szCs w:val="24"/>
        </w:rPr>
      </w:pPr>
      <w:r>
        <w:rPr>
          <w:rFonts w:hint="eastAsia" w:ascii="宋体" w:hAnsi="宋体"/>
          <w:color w:val="auto"/>
          <w:sz w:val="24"/>
          <w:szCs w:val="24"/>
        </w:rPr>
        <w:t>9.</w:t>
      </w:r>
      <w:r>
        <w:rPr>
          <w:color w:val="auto"/>
          <w:sz w:val="24"/>
        </w:rPr>
        <w:t>是</w:t>
      </w:r>
      <w:r>
        <w:rPr>
          <w:rFonts w:hint="eastAsia"/>
          <w:color w:val="auto"/>
          <w:sz w:val="24"/>
        </w:rPr>
        <w:t>/</w:t>
      </w:r>
      <w:r>
        <w:rPr>
          <w:color w:val="auto"/>
          <w:sz w:val="24"/>
        </w:rPr>
        <w:t>否接受</w:t>
      </w:r>
      <w:r>
        <w:rPr>
          <w:rFonts w:hint="eastAsia"/>
          <w:color w:val="auto"/>
          <w:sz w:val="24"/>
        </w:rPr>
        <w:t>进口产品投标</w:t>
      </w:r>
      <w:r>
        <w:rPr>
          <w:rFonts w:hint="eastAsia" w:ascii="宋体" w:hAnsi="宋体"/>
          <w:color w:val="auto"/>
          <w:sz w:val="24"/>
          <w:szCs w:val="24"/>
        </w:rPr>
        <w:t>：</w:t>
      </w:r>
      <w:r>
        <w:rPr>
          <w:rFonts w:ascii="宋体" w:hAnsi="宋体"/>
          <w:color w:val="auto"/>
          <w:sz w:val="24"/>
          <w:szCs w:val="24"/>
        </w:rPr>
        <w:t>否</w:t>
      </w:r>
      <w:r>
        <w:rPr>
          <w:rFonts w:hint="eastAsia" w:ascii="宋体" w:hAnsi="宋体"/>
          <w:color w:val="auto"/>
          <w:sz w:val="24"/>
          <w:szCs w:val="24"/>
        </w:rPr>
        <w:t>；</w:t>
      </w:r>
    </w:p>
    <w:p w14:paraId="7AC289EC">
      <w:pPr>
        <w:spacing w:line="360" w:lineRule="auto"/>
        <w:rPr>
          <w:rFonts w:hint="eastAsia" w:ascii="宋体" w:hAnsi="宋体"/>
          <w:color w:val="auto"/>
          <w:sz w:val="24"/>
          <w:szCs w:val="24"/>
        </w:rPr>
      </w:pPr>
      <w:r>
        <w:rPr>
          <w:rFonts w:hint="eastAsia" w:ascii="宋体" w:hAnsi="宋体"/>
          <w:color w:val="auto"/>
          <w:sz w:val="24"/>
          <w:szCs w:val="24"/>
        </w:rPr>
        <w:t>10.</w:t>
      </w:r>
      <w:r>
        <w:rPr>
          <w:rFonts w:hint="eastAsia"/>
          <w:color w:val="auto"/>
          <w:sz w:val="24"/>
        </w:rPr>
        <w:t>是/否</w:t>
      </w:r>
      <w:r>
        <w:rPr>
          <w:color w:val="auto"/>
          <w:sz w:val="24"/>
        </w:rPr>
        <w:t>专门面向中小企业预留采购份额</w:t>
      </w:r>
      <w:r>
        <w:rPr>
          <w:rFonts w:hint="eastAsia" w:ascii="宋体" w:hAnsi="宋体"/>
          <w:color w:val="auto"/>
          <w:sz w:val="24"/>
          <w:szCs w:val="24"/>
        </w:rPr>
        <w:t>：否；</w:t>
      </w:r>
    </w:p>
    <w:p w14:paraId="272F3DD5">
      <w:pPr>
        <w:spacing w:line="360" w:lineRule="auto"/>
        <w:rPr>
          <w:rFonts w:hint="eastAsia"/>
          <w:color w:val="auto"/>
          <w:sz w:val="24"/>
        </w:rPr>
      </w:pPr>
      <w:r>
        <w:rPr>
          <w:rFonts w:hint="eastAsia"/>
          <w:color w:val="auto"/>
          <w:sz w:val="24"/>
        </w:rPr>
        <w:t>11.本项目的特定资格要求：无；</w:t>
      </w:r>
    </w:p>
    <w:p w14:paraId="6C55227A">
      <w:pPr>
        <w:spacing w:line="360" w:lineRule="auto"/>
        <w:rPr>
          <w:rFonts w:hint="eastAsia" w:eastAsia="宋体"/>
          <w:color w:val="auto"/>
          <w:sz w:val="24"/>
          <w:lang w:eastAsia="zh-CN"/>
        </w:rPr>
      </w:pPr>
      <w:r>
        <w:rPr>
          <w:rFonts w:hint="eastAsia"/>
          <w:color w:val="auto"/>
          <w:sz w:val="24"/>
        </w:rPr>
        <w:t>12.项目类别：货物类</w:t>
      </w:r>
      <w:r>
        <w:rPr>
          <w:rFonts w:hint="eastAsia"/>
          <w:color w:val="auto"/>
          <w:sz w:val="24"/>
          <w:lang w:val="en-US" w:eastAsia="zh-CN"/>
        </w:rPr>
        <w:t>；</w:t>
      </w:r>
    </w:p>
    <w:p w14:paraId="69E7E5F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bCs/>
          <w:color w:val="auto"/>
          <w:sz w:val="24"/>
          <w:highlight w:val="none"/>
          <w:u w:val="none"/>
          <w:lang w:val="en-US" w:eastAsia="zh-CN"/>
        </w:rPr>
      </w:pPr>
      <w:r>
        <w:rPr>
          <w:rFonts w:hint="eastAsia" w:asciiTheme="minorEastAsia" w:hAnsiTheme="minorEastAsia" w:eastAsiaTheme="minorEastAsia" w:cstheme="minorEastAsia"/>
          <w:b/>
          <w:bCs/>
          <w:color w:val="auto"/>
          <w:sz w:val="24"/>
          <w:highlight w:val="none"/>
          <w:u w:val="none"/>
          <w:lang w:val="en-US" w:eastAsia="zh-CN"/>
        </w:rPr>
        <w:t>13.其他，统一安排现场踏勘</w:t>
      </w:r>
      <w:r>
        <w:rPr>
          <w:rFonts w:hint="eastAsia" w:asciiTheme="minorEastAsia" w:hAnsiTheme="minorEastAsia" w:eastAsiaTheme="minorEastAsia" w:cstheme="minorEastAsia"/>
          <w:b/>
          <w:bCs/>
          <w:color w:val="auto"/>
          <w:sz w:val="24"/>
          <w:highlight w:val="none"/>
          <w:u w:val="none"/>
          <w:lang w:eastAsia="zh-CN"/>
        </w:rPr>
        <w:t>，</w:t>
      </w:r>
      <w:r>
        <w:rPr>
          <w:rFonts w:hint="eastAsia" w:asciiTheme="minorEastAsia" w:hAnsiTheme="minorEastAsia" w:eastAsiaTheme="minorEastAsia" w:cstheme="minorEastAsia"/>
          <w:b/>
          <w:bCs/>
          <w:color w:val="auto"/>
          <w:sz w:val="24"/>
          <w:highlight w:val="none"/>
          <w:u w:val="none"/>
        </w:rPr>
        <w:t>时间：</w:t>
      </w:r>
      <w:r>
        <w:rPr>
          <w:rFonts w:hint="eastAsia" w:asciiTheme="minorEastAsia" w:hAnsiTheme="minorEastAsia" w:eastAsiaTheme="minorEastAsia" w:cstheme="minorEastAsia"/>
          <w:b/>
          <w:bCs/>
          <w:color w:val="auto"/>
          <w:sz w:val="24"/>
          <w:highlight w:val="none"/>
          <w:u w:val="none"/>
          <w:lang w:val="en-US" w:eastAsia="zh-CN"/>
        </w:rPr>
        <w:t>2026</w:t>
      </w:r>
      <w:r>
        <w:rPr>
          <w:rFonts w:hint="eastAsia" w:asciiTheme="minorEastAsia" w:hAnsiTheme="minorEastAsia" w:eastAsiaTheme="minorEastAsia" w:cstheme="minorEastAsia"/>
          <w:b/>
          <w:bCs/>
          <w:color w:val="auto"/>
          <w:sz w:val="24"/>
          <w:highlight w:val="none"/>
          <w:u w:val="none"/>
        </w:rPr>
        <w:t>年</w:t>
      </w:r>
      <w:r>
        <w:rPr>
          <w:rFonts w:hint="eastAsia" w:asciiTheme="minorEastAsia" w:hAnsiTheme="minorEastAsia" w:eastAsiaTheme="minorEastAsia" w:cstheme="minorEastAsia"/>
          <w:b/>
          <w:bCs/>
          <w:color w:val="auto"/>
          <w:sz w:val="24"/>
          <w:highlight w:val="none"/>
          <w:u w:val="none"/>
          <w:lang w:val="en-US" w:eastAsia="zh-CN"/>
        </w:rPr>
        <w:t xml:space="preserve"> 4 </w:t>
      </w:r>
      <w:r>
        <w:rPr>
          <w:rFonts w:hint="eastAsia" w:asciiTheme="minorEastAsia" w:hAnsiTheme="minorEastAsia" w:eastAsiaTheme="minorEastAsia" w:cstheme="minorEastAsia"/>
          <w:b/>
          <w:bCs/>
          <w:color w:val="auto"/>
          <w:sz w:val="24"/>
          <w:highlight w:val="none"/>
          <w:u w:val="none"/>
        </w:rPr>
        <w:t>月</w:t>
      </w:r>
      <w:r>
        <w:rPr>
          <w:rFonts w:hint="eastAsia" w:asciiTheme="minorEastAsia" w:hAnsiTheme="minorEastAsia" w:eastAsiaTheme="minorEastAsia" w:cstheme="minorEastAsia"/>
          <w:b/>
          <w:bCs/>
          <w:color w:val="auto"/>
          <w:sz w:val="24"/>
          <w:highlight w:val="none"/>
          <w:u w:val="none"/>
          <w:lang w:val="en-US" w:eastAsia="zh-CN"/>
        </w:rPr>
        <w:t xml:space="preserve">16 </w:t>
      </w:r>
      <w:r>
        <w:rPr>
          <w:rFonts w:hint="eastAsia" w:asciiTheme="minorEastAsia" w:hAnsiTheme="minorEastAsia" w:eastAsiaTheme="minorEastAsia" w:cstheme="minorEastAsia"/>
          <w:b/>
          <w:bCs/>
          <w:color w:val="auto"/>
          <w:sz w:val="24"/>
          <w:highlight w:val="none"/>
          <w:u w:val="none"/>
        </w:rPr>
        <w:t>日</w:t>
      </w:r>
      <w:r>
        <w:rPr>
          <w:rFonts w:hint="eastAsia" w:asciiTheme="minorEastAsia" w:hAnsiTheme="minorEastAsia" w:eastAsiaTheme="minorEastAsia" w:cstheme="minorEastAsia"/>
          <w:b/>
          <w:bCs/>
          <w:color w:val="auto"/>
          <w:sz w:val="24"/>
          <w:highlight w:val="none"/>
          <w:u w:val="none"/>
          <w:lang w:val="en-US" w:eastAsia="zh-CN"/>
        </w:rPr>
        <w:t xml:space="preserve">  8</w:t>
      </w:r>
      <w:r>
        <w:rPr>
          <w:rFonts w:hint="eastAsia" w:asciiTheme="minorEastAsia" w:hAnsiTheme="minorEastAsia" w:eastAsiaTheme="minorEastAsia" w:cstheme="minorEastAsia"/>
          <w:b/>
          <w:bCs/>
          <w:color w:val="auto"/>
          <w:sz w:val="24"/>
          <w:highlight w:val="none"/>
          <w:u w:val="none"/>
        </w:rPr>
        <w:t>点</w:t>
      </w:r>
      <w:r>
        <w:rPr>
          <w:rFonts w:hint="eastAsia" w:asciiTheme="minorEastAsia" w:hAnsiTheme="minorEastAsia" w:eastAsiaTheme="minorEastAsia" w:cstheme="minorEastAsia"/>
          <w:b/>
          <w:bCs/>
          <w:color w:val="auto"/>
          <w:sz w:val="24"/>
          <w:highlight w:val="none"/>
          <w:u w:val="none"/>
          <w:lang w:val="en-US" w:eastAsia="zh-CN"/>
        </w:rPr>
        <w:t>00</w:t>
      </w:r>
      <w:r>
        <w:rPr>
          <w:rFonts w:hint="eastAsia" w:asciiTheme="minorEastAsia" w:hAnsiTheme="minorEastAsia" w:eastAsiaTheme="minorEastAsia" w:cstheme="minorEastAsia"/>
          <w:b/>
          <w:bCs/>
          <w:color w:val="auto"/>
          <w:sz w:val="24"/>
          <w:highlight w:val="none"/>
          <w:u w:val="none"/>
        </w:rPr>
        <w:t>分</w:t>
      </w:r>
      <w:r>
        <w:rPr>
          <w:rFonts w:hint="eastAsia" w:asciiTheme="minorEastAsia" w:hAnsiTheme="minorEastAsia" w:eastAsiaTheme="minorEastAsia" w:cstheme="minorEastAsia"/>
          <w:b/>
          <w:bCs/>
          <w:color w:val="auto"/>
          <w:sz w:val="24"/>
          <w:highlight w:val="none"/>
          <w:u w:val="none"/>
          <w:lang w:val="en-US" w:eastAsia="zh-CN"/>
        </w:rPr>
        <w:t>-16点00分，采购单位联系人见（联系方式见采购文件第一章）。</w:t>
      </w:r>
    </w:p>
    <w:p w14:paraId="3D462034">
      <w:pPr>
        <w:pStyle w:val="285"/>
        <w:keepNext w:val="0"/>
        <w:keepLines w:val="0"/>
        <w:pageBreakBefore w:val="0"/>
        <w:widowControl w:val="0"/>
        <w:numPr>
          <w:ilvl w:val="0"/>
          <w:numId w:val="4"/>
        </w:numPr>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color w:val="auto"/>
          <w:lang w:eastAsia="zh-CN"/>
        </w:rPr>
      </w:pPr>
      <w:r>
        <w:rPr>
          <w:rFonts w:hint="eastAsia" w:asciiTheme="minorEastAsia" w:hAnsiTheme="minorEastAsia" w:eastAsiaTheme="minorEastAsia" w:cstheme="minorEastAsia"/>
          <w:b/>
          <w:color w:val="auto"/>
          <w:lang w:eastAsia="zh-CN"/>
        </w:rPr>
        <w:t>政府采购中实施本国产品标准及相关政策</w:t>
      </w:r>
    </w:p>
    <w:p w14:paraId="267FFEBB">
      <w:pPr>
        <w:pStyle w:val="285"/>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0"/>
        <w:jc w:val="both"/>
        <w:textAlignment w:val="auto"/>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1.本项目对采购本国产品给予政策支持，具体内容见招标文件“第五章 评标方法与评标标准”。</w:t>
      </w:r>
    </w:p>
    <w:p w14:paraId="240A2A87">
      <w:pPr>
        <w:pStyle w:val="285"/>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0"/>
        <w:jc w:val="both"/>
        <w:textAlignment w:val="auto"/>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623B25">
      <w:pPr>
        <w:pStyle w:val="285"/>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0"/>
        <w:jc w:val="both"/>
        <w:textAlignment w:val="auto"/>
        <w:rPr>
          <w:rFonts w:hint="eastAsia" w:asciiTheme="minorEastAsia" w:hAnsiTheme="minorEastAsia" w:eastAsiaTheme="minorEastAsia" w:cstheme="minorEastAsia"/>
          <w:b w:val="0"/>
          <w:bCs/>
          <w:color w:val="auto"/>
          <w:lang w:eastAsia="zh-CN"/>
        </w:rPr>
      </w:pPr>
      <w:r>
        <w:rPr>
          <w:rFonts w:hint="eastAsia" w:asciiTheme="minorEastAsia" w:hAnsiTheme="minorEastAsia" w:eastAsiaTheme="minorEastAsia" w:cstheme="minorEastAsia"/>
          <w:b w:val="0"/>
          <w:bCs/>
          <w:color w:val="auto"/>
          <w:lang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Pr>
          <w:rFonts w:hint="eastAsia" w:asciiTheme="minorEastAsia" w:hAnsiTheme="minorEastAsia" w:eastAsiaTheme="minorEastAsia" w:cstheme="minorEastAsia"/>
          <w:b w:val="0"/>
          <w:bCs/>
          <w:color w:val="auto"/>
          <w:u w:val="none"/>
          <w:lang w:eastAsia="zh-CN"/>
        </w:rPr>
        <w:t>取得药品监督管理部门授予的准字号医疗器械注册证的，属于在中国境内生产的产品</w:t>
      </w:r>
      <w:r>
        <w:rPr>
          <w:rFonts w:hint="eastAsia" w:asciiTheme="minorEastAsia" w:hAnsiTheme="minorEastAsia" w:eastAsiaTheme="minorEastAsia" w:cstheme="minorEastAsia"/>
          <w:b w:val="0"/>
          <w:bCs/>
          <w:color w:val="auto"/>
          <w:u w:val="none"/>
          <w:lang w:val="en-US" w:eastAsia="zh-CN"/>
        </w:rPr>
        <w:t>；</w:t>
      </w:r>
      <w:r>
        <w:rPr>
          <w:rFonts w:hint="eastAsia" w:asciiTheme="minorEastAsia" w:hAnsiTheme="minorEastAsia" w:eastAsiaTheme="minorEastAsia" w:cstheme="minorEastAsia"/>
          <w:b w:val="0"/>
          <w:bCs/>
          <w:color w:val="auto"/>
          <w:u w:val="none"/>
          <w:lang w:eastAsia="zh-CN"/>
        </w:rPr>
        <w:t>其他产品，根据实际情况判断是否在中国境内生产。</w:t>
      </w:r>
    </w:p>
    <w:p w14:paraId="707DE8B6">
      <w:pPr>
        <w:pStyle w:val="285"/>
        <w:widowControl w:val="0"/>
        <w:numPr>
          <w:ilvl w:val="0"/>
          <w:numId w:val="4"/>
        </w:numPr>
        <w:jc w:val="both"/>
        <w:rPr>
          <w:rFonts w:hint="eastAsia" w:asciiTheme="minorEastAsia" w:hAnsiTheme="minorEastAsia" w:eastAsiaTheme="minorEastAsia" w:cstheme="minorEastAsia"/>
          <w:b/>
          <w:color w:val="auto"/>
          <w:lang w:eastAsia="zh-CN"/>
        </w:rPr>
      </w:pPr>
      <w:r>
        <w:rPr>
          <w:rFonts w:hint="eastAsia" w:asciiTheme="minorEastAsia" w:hAnsiTheme="minorEastAsia" w:eastAsiaTheme="minorEastAsia" w:cstheme="minorEastAsia"/>
          <w:b/>
          <w:color w:val="auto"/>
          <w:lang w:eastAsia="zh-CN"/>
        </w:rPr>
        <w:t>商务要求（</w:t>
      </w:r>
      <w:r>
        <w:rPr>
          <w:rFonts w:hint="eastAsia" w:asciiTheme="minorEastAsia" w:hAnsiTheme="minorEastAsia" w:eastAsiaTheme="minorEastAsia" w:cstheme="minorEastAsia"/>
          <w:b/>
          <w:color w:val="auto"/>
          <w:lang w:val="en-US" w:eastAsia="zh-CN"/>
        </w:rPr>
        <w:t>本部分内容所有条款均为实质性要求</w:t>
      </w:r>
      <w:r>
        <w:rPr>
          <w:rFonts w:hint="eastAsia" w:asciiTheme="minorEastAsia" w:hAnsiTheme="minorEastAsia" w:eastAsiaTheme="minorEastAsia" w:cstheme="minorEastAsia"/>
          <w:b/>
          <w:color w:val="auto"/>
          <w:lang w:eastAsia="zh-CN"/>
        </w:rPr>
        <w:t>）</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1685"/>
        <w:gridCol w:w="6143"/>
      </w:tblGrid>
      <w:tr w14:paraId="6D2BF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58935E4B">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序号</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8051C86">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条款名称</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3BAD8FC1">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具体要求</w:t>
            </w:r>
          </w:p>
        </w:tc>
      </w:tr>
      <w:tr w14:paraId="20B8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555A59D0">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3D54D10">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合同主体</w:t>
            </w:r>
          </w:p>
          <w:p w14:paraId="27B9D78E">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与付款单位</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213F718F">
            <w:pPr>
              <w:spacing w:line="400" w:lineRule="exact"/>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rPr>
              <w:t>本项目合同主体与付款单位为：常州</w:t>
            </w:r>
            <w:r>
              <w:rPr>
                <w:rFonts w:hint="eastAsia" w:ascii="宋体" w:hAnsi="宋体" w:eastAsia="宋体" w:cs="宋体"/>
                <w:color w:val="auto"/>
                <w:sz w:val="21"/>
                <w:szCs w:val="21"/>
                <w:lang w:val="en-US" w:eastAsia="zh-CN"/>
              </w:rPr>
              <w:t>市北环中学</w:t>
            </w:r>
          </w:p>
        </w:tc>
      </w:tr>
      <w:tr w14:paraId="1B2B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450559B4">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C7693C6">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项目质保要求</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7CC86116">
            <w:pPr>
              <w:numPr>
                <w:ilvl w:val="0"/>
                <w:numId w:val="5"/>
              </w:numPr>
              <w:spacing w:line="400" w:lineRule="exac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项目免费质保期：</w:t>
            </w:r>
            <w:r>
              <w:rPr>
                <w:rFonts w:hint="eastAsia" w:asciiTheme="minorEastAsia" w:hAnsiTheme="minorEastAsia" w:eastAsiaTheme="minorEastAsia" w:cstheme="minorEastAsia"/>
                <w:color w:val="auto"/>
              </w:rPr>
              <w:t>自验收合格之日起</w:t>
            </w:r>
            <w:r>
              <w:rPr>
                <w:rFonts w:hint="eastAsia" w:asciiTheme="minorEastAsia" w:hAnsiTheme="minorEastAsia" w:eastAsiaTheme="minorEastAsia" w:cstheme="minorEastAsia"/>
                <w:color w:val="auto"/>
                <w:lang w:val="en-US" w:eastAsia="zh-CN"/>
              </w:rPr>
              <w:t>至少</w:t>
            </w:r>
            <w:r>
              <w:rPr>
                <w:rFonts w:hint="eastAsia" w:asciiTheme="minorEastAsia" w:hAnsiTheme="minorEastAsia" w:eastAsiaTheme="minorEastAsia" w:cstheme="minorEastAsia"/>
                <w:color w:val="auto"/>
              </w:rPr>
              <w:t>三年</w:t>
            </w:r>
            <w:r>
              <w:rPr>
                <w:rFonts w:hint="eastAsia" w:asciiTheme="minorEastAsia" w:hAnsiTheme="minorEastAsia" w:eastAsiaTheme="minorEastAsia" w:cstheme="minorEastAsia"/>
                <w:color w:val="auto"/>
                <w:lang w:val="en-US" w:eastAsia="zh-CN"/>
              </w:rPr>
              <w:t>原厂质保</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签订合同前</w:t>
            </w:r>
            <w:r>
              <w:rPr>
                <w:rFonts w:hint="eastAsia" w:asciiTheme="minorEastAsia" w:hAnsiTheme="minorEastAsia" w:eastAsiaTheme="minorEastAsia" w:cstheme="minorEastAsia"/>
                <w:color w:val="auto"/>
                <w:lang w:val="en-US" w:eastAsia="zh-CN"/>
              </w:rPr>
              <w:t>应将下列材料送达采购人（</w:t>
            </w:r>
            <w:r>
              <w:rPr>
                <w:rFonts w:hint="eastAsia" w:asciiTheme="minorEastAsia" w:hAnsiTheme="minorEastAsia" w:eastAsiaTheme="minorEastAsia" w:cstheme="minorEastAsia"/>
                <w:color w:val="auto"/>
              </w:rPr>
              <w:t>联系方式</w:t>
            </w:r>
            <w:r>
              <w:rPr>
                <w:rFonts w:hint="eastAsia" w:asciiTheme="minorEastAsia" w:hAnsiTheme="minorEastAsia" w:eastAsiaTheme="minorEastAsia" w:cstheme="minorEastAsia"/>
                <w:color w:val="auto"/>
                <w:lang w:val="en-US" w:eastAsia="zh-CN"/>
              </w:rPr>
              <w:t>见采购文件第一章）：</w:t>
            </w:r>
            <w:r>
              <w:rPr>
                <w:rFonts w:hint="eastAsia"/>
                <w:color w:val="auto"/>
                <w:lang w:val="en-US" w:eastAsia="zh-CN"/>
              </w:rPr>
              <w:t>（1）提供所投产品</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音箱</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功放</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音频处理器</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话筒</w:t>
            </w:r>
            <w:r>
              <w:rPr>
                <w:rFonts w:hint="eastAsia" w:ascii="宋体" w:hAnsi="宋体" w:eastAsia="宋体" w:cs="宋体"/>
                <w:color w:val="auto"/>
                <w:sz w:val="21"/>
                <w:szCs w:val="21"/>
                <w:lang w:val="en-US" w:eastAsia="zh-CN"/>
              </w:rPr>
              <w:t>、</w:t>
            </w:r>
            <w:r>
              <w:rPr>
                <w:rFonts w:hint="eastAsia" w:ascii="宋体" w:hAnsi="宋体" w:cs="宋体"/>
                <w:i w:val="0"/>
                <w:iCs w:val="0"/>
                <w:color w:val="auto"/>
                <w:sz w:val="21"/>
                <w:szCs w:val="21"/>
                <w:u w:val="none"/>
                <w:lang w:val="en-US" w:eastAsia="zh-CN" w:bidi="ar"/>
              </w:rPr>
              <w:t>灯光</w:t>
            </w: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cs="宋体"/>
                <w:i w:val="0"/>
                <w:iCs w:val="0"/>
                <w:color w:val="auto"/>
                <w:sz w:val="21"/>
                <w:szCs w:val="21"/>
                <w:highlight w:val="none"/>
                <w:u w:val="none"/>
                <w:lang w:val="en-US" w:eastAsia="zh-CN" w:bidi="ar"/>
              </w:rPr>
              <w:t>LED显示屏、舞台机械</w:t>
            </w: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cs="宋体"/>
                <w:i w:val="0"/>
                <w:iCs w:val="0"/>
                <w:color w:val="auto"/>
                <w:sz w:val="21"/>
                <w:szCs w:val="21"/>
                <w:highlight w:val="none"/>
                <w:u w:val="none"/>
                <w:lang w:val="en-US" w:eastAsia="zh-CN" w:bidi="ar"/>
              </w:rPr>
              <w:t>舞台幕布</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质保函原件</w:t>
            </w:r>
            <w:r>
              <w:rPr>
                <w:rFonts w:hint="eastAsia"/>
                <w:color w:val="auto"/>
                <w:lang w:val="en-US" w:eastAsia="zh-CN"/>
              </w:rPr>
              <w:t>(加盖原厂鲜章，同时应提供原厂联系人姓名和联系电话)。</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2）</w:t>
            </w:r>
            <w:r>
              <w:rPr>
                <w:rFonts w:hint="eastAsia" w:asciiTheme="minorEastAsia" w:hAnsiTheme="minorEastAsia" w:eastAsiaTheme="minorEastAsia" w:cstheme="minorEastAsia"/>
                <w:color w:val="auto"/>
                <w:sz w:val="21"/>
                <w:szCs w:val="21"/>
              </w:rPr>
              <w:t>国家相关标准另有规定的从其规定</w:t>
            </w:r>
            <w:r>
              <w:rPr>
                <w:rFonts w:hint="eastAsia" w:asciiTheme="minorEastAsia" w:hAnsiTheme="minorEastAsia" w:eastAsiaTheme="minorEastAsia" w:cstheme="minorEastAsia"/>
                <w:color w:val="auto"/>
                <w:sz w:val="21"/>
                <w:szCs w:val="21"/>
                <w:lang w:eastAsia="zh-CN"/>
              </w:rPr>
              <w:t>。</w:t>
            </w:r>
          </w:p>
          <w:p w14:paraId="044C0FC5">
            <w:pPr>
              <w:numPr>
                <w:ilvl w:val="0"/>
                <w:numId w:val="0"/>
              </w:num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若在合同签订前核查发现供应商未按要求提供材料，或所提供材料存在以下情形之一的，视为不具备履约能力，采购人应及时报相关部门处置。</w:t>
            </w:r>
          </w:p>
          <w:p w14:paraId="455D871A">
            <w:pPr>
              <w:numPr>
                <w:ilvl w:val="0"/>
                <w:numId w:val="0"/>
              </w:num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① 材料形式有瑕疵，但内容真实、可补正的，采购人书面通知供应商在法定签订合同截止时间前一次性补正，逾期未补正或补正仍不符合要求的。</w:t>
            </w:r>
          </w:p>
          <w:p w14:paraId="202984AE">
            <w:pPr>
              <w:spacing w:line="400" w:lineRule="exact"/>
              <w:rPr>
                <w:rFonts w:hint="eastAsia" w:asciiTheme="minorEastAsia" w:hAnsiTheme="minorEastAsia" w:eastAsiaTheme="minorEastAsia" w:cstheme="minorEastAsia"/>
                <w:color w:val="auto"/>
                <w:highlight w:val="none"/>
              </w:rPr>
            </w:pPr>
            <w:r>
              <w:rPr>
                <w:rFonts w:hint="eastAsia" w:ascii="宋体" w:hAnsi="宋体" w:eastAsia="宋体" w:cs="宋体"/>
                <w:b/>
                <w:bCs/>
                <w:color w:val="auto"/>
                <w:sz w:val="21"/>
                <w:szCs w:val="21"/>
                <w:highlight w:val="none"/>
                <w:lang w:eastAsia="zh-CN"/>
              </w:rPr>
              <w:t>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p>
          <w:p w14:paraId="237A7519">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 质保条款：</w:t>
            </w:r>
          </w:p>
          <w:p w14:paraId="1D101A44">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（1）项目质保期内所有产品第一个月出现故障整机更换；</w:t>
            </w:r>
          </w:p>
          <w:p w14:paraId="7A4D3098">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（2）原厂质保期内提供免费返厂维修服务；</w:t>
            </w:r>
          </w:p>
          <w:p w14:paraId="46B9B06F">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（3）项目质保期内提供设备定期巡检、维护等服务（提供每月一次电话回访，每学期至少一次免费巡检服务，发现问题及时解决）；</w:t>
            </w:r>
          </w:p>
          <w:p w14:paraId="42DE19F8">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（4）项目质保期后提供设备零件成本价维修服务。</w:t>
            </w:r>
          </w:p>
        </w:tc>
      </w:tr>
      <w:tr w14:paraId="4D6EB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226B3EC6">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C04C8AE">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4F1BEBBD">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中标人应当在中标通知书发出之日起三十日内完成合同签订。</w:t>
            </w:r>
          </w:p>
        </w:tc>
      </w:tr>
      <w:tr w14:paraId="640C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663CA47E">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59081EC">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工期要求</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3744F050">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自合同签订生效之日</w:t>
            </w:r>
            <w:r>
              <w:rPr>
                <w:rFonts w:hint="eastAsia" w:asciiTheme="minorEastAsia" w:hAnsiTheme="minorEastAsia" w:eastAsiaTheme="minorEastAsia" w:cstheme="minorEastAsia"/>
                <w:color w:val="auto"/>
                <w:sz w:val="21"/>
                <w:szCs w:val="21"/>
                <w:lang w:val="en-US" w:eastAsia="zh-CN"/>
              </w:rPr>
              <w:t>起、</w:t>
            </w:r>
            <w:r>
              <w:rPr>
                <w:rFonts w:hint="eastAsia" w:asciiTheme="minorEastAsia" w:hAnsiTheme="minorEastAsia" w:eastAsiaTheme="minorEastAsia" w:cstheme="minorEastAsia"/>
                <w:color w:val="auto"/>
                <w:sz w:val="21"/>
                <w:szCs w:val="21"/>
              </w:rPr>
              <w:t>202</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 xml:space="preserve">年 </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rPr>
              <w:t xml:space="preserve">月 </w:t>
            </w:r>
            <w:r>
              <w:rPr>
                <w:rFonts w:hint="eastAsia" w:asciiTheme="minorEastAsia" w:hAnsiTheme="minorEastAsia" w:eastAsiaTheme="minorEastAsia" w:cstheme="minorEastAsia"/>
                <w:color w:val="auto"/>
                <w:sz w:val="21"/>
                <w:szCs w:val="21"/>
                <w:lang w:val="en-US" w:eastAsia="zh-CN"/>
              </w:rPr>
              <w:t>20</w:t>
            </w:r>
            <w:r>
              <w:rPr>
                <w:rFonts w:hint="eastAsia" w:asciiTheme="minorEastAsia" w:hAnsiTheme="minorEastAsia" w:eastAsiaTheme="minorEastAsia" w:cstheme="minorEastAsia"/>
                <w:color w:val="auto"/>
                <w:sz w:val="21"/>
                <w:szCs w:val="21"/>
              </w:rPr>
              <w:t xml:space="preserve"> 日前完成设备安装</w:t>
            </w:r>
            <w:r>
              <w:rPr>
                <w:rFonts w:hint="eastAsia" w:asciiTheme="minorEastAsia" w:hAnsiTheme="minorEastAsia" w:eastAsiaTheme="minorEastAsia" w:cstheme="minorEastAsia"/>
                <w:color w:val="auto"/>
                <w:sz w:val="21"/>
                <w:szCs w:val="21"/>
                <w:lang w:val="en-US" w:eastAsia="zh-CN"/>
              </w:rPr>
              <w:t>和调试。安装</w:t>
            </w:r>
            <w:r>
              <w:rPr>
                <w:rFonts w:hint="eastAsia" w:asciiTheme="minorEastAsia" w:hAnsiTheme="minorEastAsia" w:eastAsiaTheme="minorEastAsia" w:cstheme="minorEastAsia"/>
                <w:color w:val="auto"/>
                <w:sz w:val="21"/>
                <w:szCs w:val="21"/>
              </w:rPr>
              <w:t>调试完</w:t>
            </w:r>
            <w:r>
              <w:rPr>
                <w:rFonts w:hint="eastAsia" w:asciiTheme="minorEastAsia" w:hAnsiTheme="minorEastAsia" w:eastAsiaTheme="minorEastAsia" w:cstheme="minorEastAsia"/>
                <w:color w:val="auto"/>
                <w:sz w:val="21"/>
                <w:szCs w:val="21"/>
                <w:lang w:val="en-US" w:eastAsia="zh-CN"/>
              </w:rPr>
              <w:t>进行为期不少于一个月的</w:t>
            </w:r>
            <w:r>
              <w:rPr>
                <w:rFonts w:hint="eastAsia" w:asciiTheme="minorEastAsia" w:hAnsiTheme="minorEastAsia" w:eastAsiaTheme="minorEastAsia" w:cstheme="minorEastAsia"/>
                <w:color w:val="auto"/>
                <w:sz w:val="21"/>
                <w:szCs w:val="21"/>
              </w:rPr>
              <w:t>试运行时间</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试运行</w:t>
            </w:r>
            <w:r>
              <w:rPr>
                <w:rFonts w:hint="eastAsia" w:asciiTheme="minorEastAsia" w:hAnsiTheme="minorEastAsia" w:eastAsiaTheme="minorEastAsia" w:cstheme="minorEastAsia"/>
                <w:color w:val="auto"/>
                <w:sz w:val="21"/>
                <w:szCs w:val="21"/>
                <w:lang w:val="en-US" w:eastAsia="zh-CN"/>
              </w:rPr>
              <w:t>各项功能</w:t>
            </w:r>
            <w:r>
              <w:rPr>
                <w:rFonts w:hint="eastAsia" w:asciiTheme="minorEastAsia" w:hAnsiTheme="minorEastAsia" w:eastAsiaTheme="minorEastAsia" w:cstheme="minorEastAsia"/>
                <w:color w:val="auto"/>
                <w:sz w:val="21"/>
                <w:szCs w:val="21"/>
              </w:rPr>
              <w:t>正常后提请验收。因采购方或其他承包商原因导致工期延误的，经书面确认后工期顺延，不追究供应商责任。</w:t>
            </w:r>
          </w:p>
        </w:tc>
      </w:tr>
      <w:tr w14:paraId="2BE9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04638320">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E445205">
            <w:pPr>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5556BAC6">
            <w:pPr>
              <w:spacing w:line="400" w:lineRule="exact"/>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负责将货物运到采购人指定地点，由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负责办理运输和装卸等，费用由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w:t>
            </w:r>
          </w:p>
          <w:p w14:paraId="16594742">
            <w:pPr>
              <w:spacing w:line="400" w:lineRule="exact"/>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 由采购人指定的实际安装的学校按国家</w:t>
            </w:r>
            <w:r>
              <w:rPr>
                <w:rFonts w:hint="eastAsia" w:asciiTheme="minorEastAsia" w:hAnsiTheme="minorEastAsia" w:eastAsiaTheme="minorEastAsia" w:cstheme="minorEastAsia"/>
                <w:color w:val="auto"/>
                <w:highlight w:val="none"/>
                <w:lang w:val="en-US" w:eastAsia="zh-CN"/>
              </w:rPr>
              <w:t>及行业</w:t>
            </w:r>
            <w:r>
              <w:rPr>
                <w:rFonts w:hint="eastAsia" w:asciiTheme="minorEastAsia" w:hAnsiTheme="minorEastAsia" w:eastAsiaTheme="minorEastAsia" w:cstheme="minorEastAsia"/>
                <w:color w:val="auto"/>
                <w:highlight w:val="none"/>
              </w:rPr>
              <w:t>相关标准及</w:t>
            </w:r>
            <w:r>
              <w:rPr>
                <w:rFonts w:hint="eastAsia" w:asciiTheme="minorEastAsia" w:hAnsiTheme="minorEastAsia" w:eastAsiaTheme="minorEastAsia" w:cstheme="minorEastAsia"/>
                <w:color w:val="auto"/>
                <w:highlight w:val="none"/>
                <w:lang w:val="en-US" w:eastAsia="zh-CN"/>
              </w:rPr>
              <w:t>采购文件</w:t>
            </w:r>
            <w:r>
              <w:rPr>
                <w:rFonts w:hint="eastAsia" w:asciiTheme="minorEastAsia" w:hAnsiTheme="minorEastAsia" w:eastAsiaTheme="minorEastAsia" w:cstheme="minorEastAsia"/>
                <w:color w:val="auto"/>
                <w:highlight w:val="none"/>
              </w:rPr>
              <w:t>验收条款组织验收，检验不合格或不符合质量要求，</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除无条件退货、返工外，还应承担采购人的一切损失。</w:t>
            </w:r>
          </w:p>
          <w:p w14:paraId="10BFF6CC">
            <w:pPr>
              <w:spacing w:line="400" w:lineRule="exact"/>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所提供的货物开箱后，如采购人发现有任何质量问题（如外观损伤、功能不齐全、无法正常使用等），</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必须立即以同样型号的设备在</w:t>
            </w: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采购人商定的时间内更换，确保其使用。</w:t>
            </w:r>
          </w:p>
          <w:p w14:paraId="31258131">
            <w:pPr>
              <w:spacing w:line="400" w:lineRule="exact"/>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highlight w:val="none"/>
              </w:rPr>
              <w:t>4. 如因不可抗力无法在规定时间内提供成交货物，</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应提前15天书面告知采购人</w:t>
            </w:r>
            <w:r>
              <w:rPr>
                <w:rFonts w:hint="eastAsia" w:asciiTheme="minorEastAsia" w:hAnsiTheme="minorEastAsia" w:eastAsiaTheme="minorEastAsia" w:cstheme="minorEastAsia"/>
                <w:color w:val="auto"/>
                <w:highlight w:val="none"/>
                <w:lang w:eastAsia="zh-CN"/>
              </w:rPr>
              <w:t>。</w:t>
            </w:r>
          </w:p>
        </w:tc>
      </w:tr>
      <w:tr w14:paraId="186E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30629E6A">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A233F78">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售后服务</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7E88719D">
            <w:pPr>
              <w:spacing w:line="400" w:lineRule="exact"/>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highlight w:val="none"/>
              </w:rPr>
              <w:t>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w:t>
            </w:r>
            <w:r>
              <w:rPr>
                <w:rFonts w:hint="eastAsia" w:asciiTheme="minorEastAsia" w:hAnsiTheme="minorEastAsia" w:eastAsiaTheme="minorEastAsia" w:cstheme="minorEastAsia"/>
                <w:color w:val="auto"/>
                <w:highlight w:val="none"/>
                <w:lang w:val="en-US" w:eastAsia="zh-CN"/>
              </w:rPr>
              <w:t>全生命周期内的</w:t>
            </w:r>
            <w:r>
              <w:rPr>
                <w:rFonts w:hint="eastAsia" w:asciiTheme="minorEastAsia" w:hAnsiTheme="minorEastAsia" w:eastAsiaTheme="minorEastAsia" w:cstheme="minorEastAsia"/>
                <w:color w:val="auto"/>
                <w:highlight w:val="none"/>
              </w:rPr>
              <w:t>服务，在设备的设计使用寿命周期内，中标人应能保证采购人更换到原厂正宗的备件材料，确保设备的正常使用。</w:t>
            </w:r>
          </w:p>
        </w:tc>
      </w:tr>
      <w:tr w14:paraId="31EC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6C6D6E94">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4E855D92">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培训要求</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55BE4142">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免费提供设备使用培训，培训时间和地点由本项目设备使用的各校确定。</w:t>
            </w:r>
          </w:p>
        </w:tc>
      </w:tr>
      <w:tr w14:paraId="75F7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6564ED2C">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72BAD64D">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安装调试及验收要求</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28940C66">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1.安装辅材：采购清单以外的安装所需辅材由乙方提供，不另外收费。</w:t>
            </w:r>
          </w:p>
          <w:p w14:paraId="0F44773F">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负责在</w:t>
            </w:r>
            <w:r>
              <w:rPr>
                <w:rFonts w:hint="eastAsia" w:asciiTheme="minorEastAsia" w:hAnsiTheme="minorEastAsia" w:eastAsia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rPr>
              <w:t>指定现场进行设备的卸货、安装与调试，并自备设备安装所需器材、器件。</w:t>
            </w:r>
          </w:p>
          <w:p w14:paraId="71A131FD">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应对进场施工人员进行技术、安全、思想和</w:t>
            </w:r>
            <w:r>
              <w:rPr>
                <w:rFonts w:hint="eastAsia" w:asciiTheme="minorEastAsia" w:hAnsiTheme="minorEastAsia" w:eastAsiaTheme="minorEastAsia" w:cstheme="minorEastAsia"/>
                <w:color w:val="auto"/>
                <w:highlight w:val="none"/>
                <w:lang w:val="en-US" w:eastAsia="zh-CN"/>
              </w:rPr>
              <w:t>法规</w:t>
            </w:r>
            <w:r>
              <w:rPr>
                <w:rFonts w:hint="eastAsia" w:asciiTheme="minorEastAsia" w:hAnsiTheme="minorEastAsia" w:eastAsiaTheme="minorEastAsia" w:cstheme="minorEastAsia"/>
                <w:color w:val="auto"/>
                <w:highlight w:val="none"/>
              </w:rPr>
              <w:t>教育，教育施工人员树立“质量第一，安全第一”的正确思想，使其遵守有关施工和安全的技术法规等。</w:t>
            </w:r>
          </w:p>
          <w:p w14:paraId="1838C70B">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必须切实做好安全工作，加强安装作业时的安全保障，在任何情况下都要注意安全。涉及安全问题的必须用醒目的标志加以提醒，一切安全事故均由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自行负责，与采购人均无关。项目结束后按</w:t>
            </w:r>
            <w:r>
              <w:rPr>
                <w:rFonts w:hint="eastAsia" w:asciiTheme="minorEastAsia" w:hAnsiTheme="minorEastAsia" w:eastAsia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rPr>
              <w:t>要求将现场的垃圾、残余材料运送至指定位置，保证现场环境整洁。</w:t>
            </w:r>
          </w:p>
          <w:p w14:paraId="321C389D">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.设备验收在</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负责解决，由此产生的一切费用由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承担。实物验收合格后，双方在实物验收单上签字。</w:t>
            </w:r>
          </w:p>
          <w:p w14:paraId="77AFAB94">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.验收内容包含产品参数、技术与</w:t>
            </w:r>
            <w:r>
              <w:rPr>
                <w:rFonts w:hint="eastAsia" w:asciiTheme="minorEastAsia" w:hAnsiTheme="minorEastAsia" w:eastAsiaTheme="minorEastAsia" w:cstheme="minorEastAsia"/>
                <w:color w:val="auto"/>
                <w:highlight w:val="none"/>
                <w:lang w:val="en-US" w:eastAsia="zh-CN"/>
              </w:rPr>
              <w:t>采购文件及投标</w:t>
            </w:r>
            <w:r>
              <w:rPr>
                <w:rFonts w:hint="eastAsia" w:asciiTheme="minorEastAsia" w:hAnsiTheme="minorEastAsia" w:eastAsiaTheme="minorEastAsia" w:cstheme="minorEastAsia"/>
                <w:color w:val="auto"/>
                <w:highlight w:val="none"/>
              </w:rPr>
              <w:t>文件相符，外观完好，安装牢固美观。有无按采购人要求安装在指定位置。各项功能使用是否流畅、精准，合格率达100%为验收合格，验收不合格产品由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负责调换，因此产生的全部费用由</w:t>
            </w:r>
            <w:r>
              <w:rPr>
                <w:rFonts w:hint="eastAsia" w:asciiTheme="minorEastAsia" w:hAnsiTheme="minorEastAsia" w:eastAsiaTheme="minorEastAsia" w:cstheme="minorEastAsia"/>
                <w:color w:val="auto"/>
                <w:highlight w:val="none"/>
                <w:lang w:eastAsia="zh-CN"/>
              </w:rPr>
              <w:t>中标供应商</w:t>
            </w:r>
            <w:r>
              <w:rPr>
                <w:rFonts w:hint="eastAsia" w:asciiTheme="minorEastAsia" w:hAnsiTheme="minorEastAsia" w:eastAsiaTheme="minorEastAsia" w:cstheme="minorEastAsia"/>
                <w:color w:val="auto"/>
                <w:highlight w:val="none"/>
              </w:rPr>
              <w:t>承担。</w:t>
            </w:r>
          </w:p>
          <w:p w14:paraId="45496AD9">
            <w:pPr>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.验收时对所有的货物进行验收，</w:t>
            </w:r>
            <w:r>
              <w:rPr>
                <w:rFonts w:hint="eastAsia" w:asciiTheme="minorEastAsia" w:hAnsiTheme="minorEastAsia" w:eastAsiaTheme="minorEastAsia" w:cstheme="minorEastAsia"/>
                <w:color w:val="auto"/>
                <w:highlight w:val="none"/>
                <w:lang w:val="en-US" w:eastAsia="zh-CN"/>
              </w:rPr>
              <w:t>做好</w:t>
            </w:r>
            <w:r>
              <w:rPr>
                <w:rFonts w:hint="eastAsia" w:asciiTheme="minorEastAsia" w:hAnsiTheme="minorEastAsia" w:eastAsiaTheme="minorEastAsia" w:cstheme="minorEastAsia"/>
                <w:color w:val="auto"/>
                <w:highlight w:val="none"/>
              </w:rPr>
              <w:t>验收记录，对验收合格的内容，参加验收的人员应在验收记录上签字确认。</w:t>
            </w:r>
          </w:p>
          <w:p w14:paraId="65228CAC">
            <w:pPr>
              <w:spacing w:line="4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highlight w:val="none"/>
                <w:lang w:val="en-US" w:eastAsia="zh-CN"/>
              </w:rPr>
              <w:t>8</w:t>
            </w:r>
            <w:r>
              <w:rPr>
                <w:rFonts w:hint="eastAsia" w:asciiTheme="minorEastAsia" w:hAnsiTheme="minorEastAsia" w:eastAsiaTheme="minorEastAsia" w:cstheme="minorEastAsia"/>
                <w:b/>
                <w:bCs/>
                <w:color w:val="auto"/>
                <w:highlight w:val="none"/>
              </w:rPr>
              <w:t>.所供货物必须是全新的，原装正品，提供出厂合格证。</w:t>
            </w:r>
            <w:r>
              <w:rPr>
                <w:rFonts w:hint="eastAsia" w:asciiTheme="minorEastAsia" w:hAnsiTheme="minorEastAsia" w:eastAsiaTheme="minorEastAsia" w:cstheme="minorEastAsia"/>
                <w:color w:val="auto"/>
                <w:highlight w:val="none"/>
              </w:rPr>
              <w:t>因产品质量或安装不当导致验收不合格，应及时处理直至验收合格，</w:t>
            </w:r>
            <w:r>
              <w:rPr>
                <w:rFonts w:hint="eastAsia" w:asciiTheme="minorEastAsia" w:hAnsiTheme="minorEastAsia" w:eastAsiaTheme="minorEastAsia" w:cstheme="minorEastAsia"/>
                <w:color w:val="auto"/>
                <w:highlight w:val="none"/>
                <w:lang w:val="en-US" w:eastAsia="zh-CN"/>
              </w:rPr>
              <w:t>因此</w:t>
            </w:r>
            <w:r>
              <w:rPr>
                <w:rFonts w:hint="eastAsia" w:asciiTheme="minorEastAsia" w:hAnsiTheme="minorEastAsia" w:eastAsiaTheme="minorEastAsia" w:cstheme="minorEastAsia"/>
                <w:color w:val="auto"/>
                <w:highlight w:val="none"/>
              </w:rPr>
              <w:t>产生的一切费用由中标方承担</w:t>
            </w:r>
            <w:r>
              <w:rPr>
                <w:rFonts w:hint="eastAsia" w:asciiTheme="minorEastAsia" w:hAnsiTheme="minorEastAsia" w:eastAsiaTheme="minorEastAsia" w:cstheme="minorEastAsia"/>
                <w:color w:val="auto"/>
                <w:highlight w:val="none"/>
                <w:lang w:eastAsia="zh-CN"/>
              </w:rPr>
              <w:t>。</w:t>
            </w:r>
          </w:p>
          <w:p w14:paraId="79812D01">
            <w:pPr>
              <w:spacing w:line="40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9.验收时采购人可以邀请第三方进行联合验收、可以进行随机抽样检测。</w:t>
            </w:r>
          </w:p>
          <w:p w14:paraId="209CA1D4">
            <w:pPr>
              <w:spacing w:line="40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highlight w:val="none"/>
              </w:rPr>
              <w:t>.若验收不合格，则由中标供应商承担所有验收产生的检测费用</w:t>
            </w:r>
            <w:r>
              <w:rPr>
                <w:rFonts w:hint="eastAsia" w:asciiTheme="minorEastAsia" w:hAnsiTheme="minorEastAsia" w:eastAsiaTheme="minorEastAsia" w:cstheme="minorEastAsia"/>
                <w:color w:val="auto"/>
                <w:highlight w:val="none"/>
                <w:lang w:eastAsia="zh-CN"/>
              </w:rPr>
              <w:t>。</w:t>
            </w:r>
          </w:p>
          <w:p w14:paraId="0F6FDD59">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验收前</w:t>
            </w:r>
            <w:r>
              <w:rPr>
                <w:rFonts w:hint="eastAsia" w:asciiTheme="minorEastAsia" w:hAnsiTheme="minorEastAsia" w:eastAsiaTheme="minorEastAsia" w:cstheme="minorEastAsia"/>
                <w:color w:val="auto"/>
                <w:sz w:val="21"/>
                <w:szCs w:val="21"/>
              </w:rPr>
              <w:t>一般应不少于1个月的试运行周期。</w:t>
            </w:r>
          </w:p>
          <w:p w14:paraId="12D744FA">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12.</w:t>
            </w:r>
            <w:r>
              <w:rPr>
                <w:rFonts w:hint="eastAsia" w:asciiTheme="minorEastAsia" w:hAnsiTheme="minorEastAsia" w:eastAsiaTheme="minorEastAsia" w:cstheme="minorEastAsia"/>
                <w:color w:val="auto"/>
              </w:rPr>
              <w:t>按照关于印发《江苏省政府采购履约验收管理办法》的通知（苏财规〔2024〕7号）进行验收</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详见验收要求。</w:t>
            </w:r>
          </w:p>
        </w:tc>
      </w:tr>
      <w:tr w14:paraId="1068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12609DE6">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886675F">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包装和运输</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7E5D0E28">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货物类必须要求供应商满足《关于印发〈商品包装政府采购需求标准（试行）〉、〈快递包装政府采购需求标准（试行）〉的通知》（财办库〔2020〕123号））的规定。</w:t>
            </w:r>
          </w:p>
        </w:tc>
      </w:tr>
      <w:tr w14:paraId="16F3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60C330CA">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DDB91F6">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保险</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1DE4A911">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无</w:t>
            </w:r>
          </w:p>
        </w:tc>
      </w:tr>
      <w:tr w14:paraId="0437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27464871">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C69DF50">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付款条件</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1539F81C">
            <w:p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付款方式：验收合格，提供</w:t>
            </w:r>
            <w:r>
              <w:rPr>
                <w:rFonts w:hint="eastAsia" w:asciiTheme="minorEastAsia" w:hAnsiTheme="minorEastAsia" w:eastAsiaTheme="minorEastAsia" w:cstheme="minorEastAsia"/>
                <w:color w:val="auto"/>
                <w:highlight w:val="none"/>
                <w:lang w:val="en-US" w:eastAsia="zh-CN"/>
              </w:rPr>
              <w:t>采购人</w:t>
            </w:r>
            <w:r>
              <w:rPr>
                <w:rFonts w:hint="eastAsia" w:asciiTheme="minorEastAsia" w:hAnsiTheme="minorEastAsia" w:eastAsiaTheme="minorEastAsia" w:cstheme="minorEastAsia"/>
                <w:color w:val="auto"/>
                <w:sz w:val="21"/>
                <w:szCs w:val="21"/>
              </w:rPr>
              <w:t>签字盖章的验收材料，全款付清。</w:t>
            </w:r>
          </w:p>
        </w:tc>
      </w:tr>
      <w:tr w14:paraId="6EE2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577" w:type="dxa"/>
            <w:tcBorders>
              <w:top w:val="single" w:color="auto" w:sz="4" w:space="0"/>
              <w:left w:val="single" w:color="auto" w:sz="4" w:space="0"/>
              <w:bottom w:val="single" w:color="auto" w:sz="4" w:space="0"/>
              <w:right w:val="single" w:color="auto" w:sz="4" w:space="0"/>
            </w:tcBorders>
            <w:noWrap w:val="0"/>
            <w:vAlign w:val="center"/>
          </w:tcPr>
          <w:p w14:paraId="5E04D184">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160B1A3">
            <w:pPr>
              <w:spacing w:line="40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其他要求</w:t>
            </w:r>
          </w:p>
        </w:tc>
        <w:tc>
          <w:tcPr>
            <w:tcW w:w="6143" w:type="dxa"/>
            <w:tcBorders>
              <w:top w:val="single" w:color="auto" w:sz="4" w:space="0"/>
              <w:left w:val="single" w:color="auto" w:sz="4" w:space="0"/>
              <w:bottom w:val="single" w:color="auto" w:sz="4" w:space="0"/>
              <w:right w:val="single" w:color="auto" w:sz="4" w:space="0"/>
            </w:tcBorders>
            <w:noWrap w:val="0"/>
            <w:vAlign w:val="center"/>
          </w:tcPr>
          <w:p w14:paraId="55417341">
            <w:pPr>
              <w:widowControl/>
              <w:numPr>
                <w:ilvl w:val="0"/>
                <w:numId w:val="6"/>
              </w:num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本项目为包干制（含各类人工、材料、脚手架、登高设备、安全设备、必备工具、测试等），投标人报价为完成本项目的总报价，不再另外收取任何费用。</w:t>
            </w:r>
          </w:p>
          <w:p w14:paraId="337730D5">
            <w:pPr>
              <w:widowControl/>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IEC</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ITU</w:t>
            </w:r>
            <w:r>
              <w:rPr>
                <w:rFonts w:hint="eastAsia" w:ascii="宋体" w:hAnsi="宋体" w:eastAsia="宋体" w:cs="宋体"/>
                <w:color w:val="auto"/>
                <w:sz w:val="21"/>
                <w:szCs w:val="21"/>
                <w:highlight w:val="none"/>
              </w:rPr>
              <w:t>）等。</w:t>
            </w:r>
            <w:r>
              <w:rPr>
                <w:rFonts w:hint="eastAsia" w:ascii="宋体" w:hAnsi="宋体" w:eastAsia="宋体" w:cs="宋体"/>
                <w:b/>
                <w:bCs/>
                <w:color w:val="auto"/>
                <w:sz w:val="21"/>
                <w:szCs w:val="21"/>
                <w:highlight w:val="none"/>
              </w:rPr>
              <w:t>投标时须同步提供：① 检测报告原件扫描件加盖公章</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② 检测机构有效CMA资质证书</w:t>
            </w:r>
            <w:r>
              <w:rPr>
                <w:rFonts w:hint="eastAsia" w:ascii="宋体" w:hAnsi="宋体" w:cs="宋体"/>
                <w:b/>
                <w:bCs/>
                <w:color w:val="auto"/>
                <w:sz w:val="21"/>
                <w:szCs w:val="21"/>
                <w:highlight w:val="none"/>
                <w:lang w:val="en-US" w:eastAsia="zh-CN"/>
              </w:rPr>
              <w:t>扫描件。</w:t>
            </w:r>
            <w:r>
              <w:rPr>
                <w:rFonts w:hint="eastAsia" w:ascii="微软雅黑" w:hAnsi="微软雅黑" w:eastAsia="微软雅黑" w:cs="微软雅黑"/>
                <w:b/>
                <w:bCs/>
                <w:color w:val="auto"/>
                <w:sz w:val="21"/>
                <w:szCs w:val="21"/>
                <w:highlight w:val="none"/>
                <w:lang w:val="en-US" w:eastAsia="zh-CN"/>
              </w:rPr>
              <w:t>③</w:t>
            </w:r>
            <w:r>
              <w:rPr>
                <w:rFonts w:hint="eastAsia" w:ascii="宋体" w:hAnsi="宋体" w:cs="宋体"/>
                <w:b/>
                <w:bCs/>
                <w:color w:val="auto"/>
                <w:sz w:val="21"/>
                <w:szCs w:val="21"/>
                <w:highlight w:val="none"/>
                <w:lang w:val="en-US" w:eastAsia="zh-CN"/>
              </w:rPr>
              <w:t>检测机构</w:t>
            </w:r>
            <w:r>
              <w:rPr>
                <w:rFonts w:hint="eastAsia" w:ascii="宋体" w:hAnsi="宋体" w:eastAsia="宋体" w:cs="宋体"/>
                <w:b/>
                <w:bCs/>
                <w:color w:val="auto"/>
                <w:sz w:val="21"/>
                <w:szCs w:val="21"/>
                <w:highlight w:val="none"/>
              </w:rPr>
              <w:t>与所涉检测项目</w:t>
            </w:r>
            <w:r>
              <w:rPr>
                <w:rFonts w:hint="eastAsia" w:ascii="宋体" w:hAnsi="宋体" w:cs="宋体"/>
                <w:b/>
                <w:bCs/>
                <w:color w:val="auto"/>
                <w:sz w:val="21"/>
                <w:szCs w:val="21"/>
                <w:highlight w:val="none"/>
                <w:lang w:val="en-US" w:eastAsia="zh-CN"/>
              </w:rPr>
              <w:t>的检测能力证明：检测机构</w:t>
            </w:r>
            <w:r>
              <w:rPr>
                <w:rFonts w:hint="eastAsia" w:ascii="宋体" w:hAnsi="宋体" w:eastAsia="宋体" w:cs="宋体"/>
                <w:b/>
                <w:bCs/>
                <w:color w:val="auto"/>
                <w:sz w:val="21"/>
                <w:szCs w:val="21"/>
                <w:highlight w:val="none"/>
              </w:rPr>
              <w:t>对应《资质认定能力附表》所在页的扫描件</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或全国市场监督管理总局网站（全国认证认可信息服务平台）对应截图</w:t>
            </w:r>
            <w:r>
              <w:rPr>
                <w:rFonts w:hint="eastAsia" w:ascii="宋体" w:hAnsi="宋体" w:eastAsia="宋体" w:cs="宋体"/>
                <w:b/>
                <w:bCs/>
                <w:color w:val="auto"/>
                <w:sz w:val="21"/>
                <w:szCs w:val="21"/>
                <w:highlight w:val="none"/>
              </w:rPr>
              <w:t>并加盖投标人公章</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或省级</w:t>
            </w:r>
            <w:r>
              <w:rPr>
                <w:rFonts w:hint="eastAsia" w:ascii="宋体" w:hAnsi="宋体" w:cs="宋体"/>
                <w:b/>
                <w:bCs/>
                <w:color w:val="auto"/>
                <w:sz w:val="21"/>
                <w:szCs w:val="21"/>
                <w:highlight w:val="none"/>
                <w:lang w:val="en-US" w:eastAsia="zh-CN"/>
              </w:rPr>
              <w:t>市场监督管理局网站对应截图</w:t>
            </w:r>
            <w:r>
              <w:rPr>
                <w:rFonts w:hint="eastAsia" w:ascii="宋体" w:hAnsi="宋体" w:eastAsia="宋体" w:cs="宋体"/>
                <w:b/>
                <w:bCs/>
                <w:color w:val="auto"/>
                <w:sz w:val="21"/>
                <w:szCs w:val="21"/>
                <w:highlight w:val="none"/>
              </w:rPr>
              <w:t>并加盖投标人公章。</w:t>
            </w:r>
            <w:r>
              <w:rPr>
                <w:rFonts w:hint="eastAsia" w:ascii="微软雅黑" w:hAnsi="微软雅黑" w:eastAsia="微软雅黑" w:cs="微软雅黑"/>
                <w:b/>
                <w:bCs/>
                <w:color w:val="auto"/>
                <w:sz w:val="21"/>
                <w:szCs w:val="21"/>
                <w:highlight w:val="none"/>
                <w:lang w:val="en-US" w:eastAsia="zh-CN"/>
              </w:rPr>
              <w:t>④检</w:t>
            </w:r>
            <w:r>
              <w:rPr>
                <w:rFonts w:hint="eastAsia" w:ascii="宋体" w:hAnsi="宋体" w:eastAsia="宋体" w:cs="宋体"/>
                <w:b/>
                <w:bCs/>
                <w:color w:val="auto"/>
                <w:sz w:val="21"/>
                <w:szCs w:val="21"/>
                <w:highlight w:val="none"/>
              </w:rPr>
              <w:t>测报告含CMA认定标志页面。</w:t>
            </w:r>
          </w:p>
          <w:p w14:paraId="67DE9DDD">
            <w:pPr>
              <w:widowControl/>
              <w:numPr>
                <w:ilvl w:val="0"/>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未按要求提供上述</w:t>
            </w:r>
            <w:r>
              <w:rPr>
                <w:rFonts w:hint="eastAsia" w:ascii="宋体" w:hAnsi="宋体" w:cs="宋体"/>
                <w:color w:val="auto"/>
                <w:sz w:val="21"/>
                <w:szCs w:val="21"/>
                <w:highlight w:val="none"/>
                <w:lang w:val="en-US" w:eastAsia="zh-CN"/>
              </w:rPr>
              <w:t>材料</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相关</w:t>
            </w:r>
            <w:r>
              <w:rPr>
                <w:rFonts w:hint="eastAsia" w:ascii="宋体" w:hAnsi="宋体" w:eastAsia="宋体" w:cs="宋体"/>
                <w:color w:val="auto"/>
                <w:sz w:val="21"/>
                <w:szCs w:val="21"/>
                <w:highlight w:val="none"/>
              </w:rPr>
              <w:t>检测报告视为无效佐证材料。</w:t>
            </w:r>
          </w:p>
          <w:p w14:paraId="345D7329">
            <w:pPr>
              <w:widowControl/>
              <w:numPr>
                <w:ilvl w:val="0"/>
                <w:numId w:val="6"/>
              </w:numPr>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中标公告发布后五个工作日内</w:t>
            </w:r>
            <w:r>
              <w:rPr>
                <w:rFonts w:hint="eastAsia" w:ascii="宋体" w:hAnsi="宋体" w:eastAsia="宋体" w:cs="宋体"/>
                <w:color w:val="auto"/>
                <w:sz w:val="21"/>
                <w:szCs w:val="21"/>
                <w:highlight w:val="none"/>
              </w:rPr>
              <w:t>，中标候选供应商应将下列材料送</w:t>
            </w:r>
            <w:r>
              <w:rPr>
                <w:rFonts w:hint="eastAsia" w:ascii="宋体" w:hAnsi="宋体" w:cs="宋体"/>
                <w:color w:val="auto"/>
                <w:sz w:val="21"/>
                <w:szCs w:val="21"/>
                <w:highlight w:val="none"/>
                <w:lang w:val="en-US" w:eastAsia="zh-CN"/>
              </w:rPr>
              <w:t>达</w:t>
            </w:r>
            <w:r>
              <w:rPr>
                <w:rFonts w:hint="eastAsia" w:ascii="宋体" w:hAnsi="宋体" w:eastAsia="宋体" w:cs="宋体"/>
                <w:color w:val="auto"/>
                <w:sz w:val="21"/>
                <w:szCs w:val="21"/>
                <w:highlight w:val="none"/>
              </w:rPr>
              <w:t>采购人：采购文件中要求投标时提供的</w:t>
            </w:r>
            <w:r>
              <w:rPr>
                <w:rFonts w:hint="eastAsia" w:ascii="宋体" w:hAnsi="宋体" w:cs="宋体"/>
                <w:b/>
                <w:bCs/>
                <w:color w:val="auto"/>
                <w:sz w:val="21"/>
                <w:szCs w:val="21"/>
                <w:highlight w:val="none"/>
                <w:lang w:val="en-US" w:eastAsia="zh-CN"/>
              </w:rPr>
              <w:t>全文</w:t>
            </w:r>
            <w:r>
              <w:rPr>
                <w:rFonts w:hint="eastAsia" w:ascii="宋体" w:hAnsi="宋体" w:eastAsia="宋体" w:cs="宋体"/>
                <w:b/>
                <w:bCs/>
                <w:color w:val="auto"/>
                <w:sz w:val="21"/>
                <w:szCs w:val="21"/>
                <w:highlight w:val="none"/>
              </w:rPr>
              <w:t>检测报告</w:t>
            </w:r>
            <w:r>
              <w:rPr>
                <w:rFonts w:hint="eastAsia" w:ascii="宋体" w:hAnsi="宋体" w:eastAsia="宋体" w:cs="宋体"/>
                <w:color w:val="auto"/>
                <w:sz w:val="21"/>
                <w:szCs w:val="21"/>
                <w:highlight w:val="none"/>
              </w:rPr>
              <w:t>及相关证明材料复印件并</w:t>
            </w:r>
            <w:r>
              <w:rPr>
                <w:rFonts w:hint="eastAsia" w:ascii="宋体" w:hAnsi="宋体" w:eastAsia="宋体" w:cs="宋体"/>
                <w:b/>
                <w:bCs/>
                <w:color w:val="auto"/>
                <w:sz w:val="21"/>
                <w:szCs w:val="21"/>
                <w:highlight w:val="none"/>
              </w:rPr>
              <w:t>加盖所投品牌原厂鲜章（同时应提供原厂联系人姓名和联系电话）</w:t>
            </w:r>
            <w:r>
              <w:rPr>
                <w:rFonts w:hint="eastAsia" w:ascii="宋体" w:hAnsi="宋体" w:eastAsia="宋体" w:cs="宋体"/>
                <w:color w:val="auto"/>
                <w:sz w:val="21"/>
                <w:szCs w:val="21"/>
                <w:highlight w:val="none"/>
              </w:rPr>
              <w:t>。若提交的材料不符合要求的，应在三个工作日内进行补正。采购人按以下流程进行核查：</w:t>
            </w:r>
            <w:r>
              <w:rPr>
                <w:rFonts w:hint="eastAsia" w:ascii="宋体" w:hAnsi="宋体" w:eastAsia="宋体" w:cs="宋体"/>
                <w:color w:val="auto"/>
                <w:sz w:val="21"/>
                <w:szCs w:val="21"/>
                <w:highlight w:val="none"/>
              </w:rPr>
              <w:tab/>
            </w:r>
          </w:p>
          <w:p w14:paraId="63E4BBE5">
            <w:pPr>
              <w:widowControl/>
              <w:numPr>
                <w:ilvl w:val="1"/>
                <w:numId w:val="6"/>
              </w:numPr>
              <w:spacing w:line="400" w:lineRule="exact"/>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查询。登录全国认证认可信息公共服务平台或省级监管服务平台（如苏检通），查询的内容包括但不限于以下内容：检测机构的CMA资质证书及与检测项目相对应的检测能力范围、检测报告编号等。</w:t>
            </w:r>
          </w:p>
          <w:p w14:paraId="1DF2042B">
            <w:pPr>
              <w:widowControl/>
              <w:numPr>
                <w:ilvl w:val="1"/>
                <w:numId w:val="6"/>
              </w:numPr>
              <w:spacing w:line="400" w:lineRule="exact"/>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验证。扫描检测报告首页或封面带有 CMA 标志二维码、电话咨询发证机关，或提请本地市场监管部门协助验证。</w:t>
            </w:r>
          </w:p>
          <w:p w14:paraId="558A3412">
            <w:pPr>
              <w:widowControl/>
              <w:numPr>
                <w:ilvl w:val="1"/>
                <w:numId w:val="6"/>
              </w:numPr>
              <w:spacing w:line="400" w:lineRule="exact"/>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协查。当采购人发现检测报告超出检测机构检测能力范围，或怀疑假检测报告真实性，及时向本地市场监管部门提供线索并请求协查，并</w:t>
            </w:r>
            <w:r>
              <w:rPr>
                <w:rFonts w:hint="eastAsia" w:ascii="宋体" w:hAnsi="宋体" w:cs="宋体"/>
                <w:color w:val="auto"/>
                <w:sz w:val="21"/>
                <w:szCs w:val="21"/>
                <w:highlight w:val="none"/>
                <w:lang w:val="en-US" w:eastAsia="zh-CN"/>
              </w:rPr>
              <w:t>获</w:t>
            </w:r>
            <w:r>
              <w:rPr>
                <w:rFonts w:hint="eastAsia" w:ascii="宋体" w:hAnsi="宋体" w:eastAsia="宋体" w:cs="宋体"/>
                <w:color w:val="auto"/>
                <w:sz w:val="21"/>
                <w:szCs w:val="21"/>
                <w:highlight w:val="none"/>
              </w:rPr>
              <w:t>得协查结果。</w:t>
            </w:r>
          </w:p>
          <w:p w14:paraId="2DCFFAEC">
            <w:pPr>
              <w:widowControl/>
              <w:numPr>
                <w:ilvl w:val="0"/>
                <w:numId w:val="0"/>
              </w:num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如发现以下情况 ，采购人应及时报相关部门处置。（1）证书已过期、被撤销，或无法提供任何佐证</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。（2）逾期未补正或补正仍不符合要求的；（3）材料内容不实、伪造、或所投产品与投标响应不符（如品牌、型号、技术参数等虚假）。</w:t>
            </w:r>
          </w:p>
          <w:p w14:paraId="38068851">
            <w:pPr>
              <w:widowControl/>
              <w:numPr>
                <w:ilvl w:val="0"/>
                <w:numId w:val="0"/>
              </w:num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补正内容不能超出投标文件所提供材料的范围。检验检测机构已注销，但检测机构有效期内出具的有效检测报告应认定为有效。</w:t>
            </w:r>
          </w:p>
          <w:p w14:paraId="466BCD1D">
            <w:pPr>
              <w:widowControl/>
              <w:numPr>
                <w:ilvl w:val="0"/>
                <w:numId w:val="6"/>
              </w:numP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highlight w:val="none"/>
                <w:lang w:eastAsia="zh-CN"/>
              </w:rPr>
              <w:t>中标供应商</w:t>
            </w:r>
            <w:r>
              <w:rPr>
                <w:rFonts w:hint="eastAsia" w:asciiTheme="minorEastAsia" w:hAnsiTheme="minorEastAsia" w:eastAsiaTheme="minorEastAsia" w:cstheme="minorEastAsia"/>
                <w:color w:val="auto"/>
                <w:sz w:val="21"/>
                <w:szCs w:val="21"/>
                <w:highlight w:val="none"/>
              </w:rPr>
              <w:t>应将电子响应文件打印成纸质稿（编制页码打印并胶装），一式两份，分别递交至代理机构和采购人处（邮寄或当面送达)。未及时提供纸质响应文件将可能影响合同签订，由此造成的后果及损失供应商自行负责。</w:t>
            </w:r>
          </w:p>
        </w:tc>
      </w:tr>
    </w:tbl>
    <w:p w14:paraId="3469D018">
      <w:pPr>
        <w:rPr>
          <w:rFonts w:hint="eastAsia" w:asciiTheme="minorEastAsia" w:hAnsiTheme="minorEastAsia" w:eastAsiaTheme="minorEastAsia" w:cstheme="minorEastAsia"/>
          <w:b/>
          <w:i/>
          <w:color w:val="auto"/>
          <w:sz w:val="24"/>
        </w:rPr>
      </w:pPr>
    </w:p>
    <w:p w14:paraId="5B47BF20">
      <w:pPr>
        <w:pStyle w:val="285"/>
        <w:widowControl w:val="0"/>
        <w:numPr>
          <w:ilvl w:val="0"/>
          <w:numId w:val="4"/>
        </w:numPr>
        <w:jc w:val="both"/>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技术要求</w:t>
      </w:r>
    </w:p>
    <w:p w14:paraId="0125DDEA">
      <w:pPr>
        <w:numPr>
          <w:ilvl w:val="0"/>
          <w:numId w:val="7"/>
        </w:numPr>
        <w:spacing w:line="276"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基本要求：</w:t>
      </w:r>
    </w:p>
    <w:tbl>
      <w:tblPr>
        <w:tblStyle w:val="25"/>
        <w:tblW w:w="828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8"/>
        <w:gridCol w:w="5016"/>
        <w:gridCol w:w="1143"/>
        <w:gridCol w:w="1245"/>
      </w:tblGrid>
      <w:tr w14:paraId="4F7DB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1248E">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序号</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76E03">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设备名称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B685">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单位</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CD3FD">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数量</w:t>
            </w:r>
          </w:p>
        </w:tc>
      </w:tr>
      <w:tr w14:paraId="28CA8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1D8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A03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大报告厅</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9FE9">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5975F">
            <w:pPr>
              <w:rPr>
                <w:rFonts w:hint="eastAsia" w:ascii="宋体" w:hAnsi="宋体" w:eastAsia="宋体" w:cs="宋体"/>
                <w:i w:val="0"/>
                <w:iCs w:val="0"/>
                <w:color w:val="auto"/>
                <w:sz w:val="21"/>
                <w:szCs w:val="21"/>
                <w:u w:val="none"/>
              </w:rPr>
            </w:pPr>
          </w:p>
        </w:tc>
      </w:tr>
      <w:tr w14:paraId="75852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C64C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FD1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舞台音响系统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1BE6">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E4C1">
            <w:pPr>
              <w:rPr>
                <w:rFonts w:hint="eastAsia" w:ascii="宋体" w:hAnsi="宋体" w:eastAsia="宋体" w:cs="宋体"/>
                <w:i w:val="0"/>
                <w:iCs w:val="0"/>
                <w:color w:val="auto"/>
                <w:sz w:val="21"/>
                <w:szCs w:val="21"/>
                <w:u w:val="none"/>
              </w:rPr>
            </w:pPr>
          </w:p>
        </w:tc>
      </w:tr>
      <w:tr w14:paraId="57921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D1C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DD7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左右主扩线阵全频音箱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B637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F393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r>
      <w:tr w14:paraId="6739E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89C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872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中置主扩线阵全频音箱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59FD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3D3B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4F5F0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FC1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9B2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拉声像音箱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9FE2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0983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7AE80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F21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5B5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超低音箱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B33D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37E1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24AA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4E2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50D3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DC5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74A1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05F26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24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B4A6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台唇音箱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BFAA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2AAC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1CBBB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8E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006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主扩线阵全频音箱功放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B3D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4488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4358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0C1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927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中央声道音箱功放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652BD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C605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3F9F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9DA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783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拉声像音箱功放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32DA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3B72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4DFB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2000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CD18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超低音箱功放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4A4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B1A2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6DE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E7E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BB3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返听音箱四通道功放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051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3A0D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8C32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CC0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E8F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台唇音箱四通道功放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05B1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4F36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D3D8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5C8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A5F9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数字调音台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CBD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1BF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4A8C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9F5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0F74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数字接口箱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11B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3144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3F25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00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411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数字音频处理器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C811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B313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2F794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C6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E04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25C1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7341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D7C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2CE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CBA6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无线领夹话筒（一拖二）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AEDD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EDDD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3A501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A77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45B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1D17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ACBB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01B0A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69D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125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合唱话筒</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2216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F790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2509F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C05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873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天线分配器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9DDA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C252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59168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67D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3CE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指向性天线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85BB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AB77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047FC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81C2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6C9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监听音箱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6EAE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6563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D0BF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C7E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378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电源管理器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F3E2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9F90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r>
      <w:tr w14:paraId="00E55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525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AB8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线阵音箱安装支架</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C626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4CF5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r>
      <w:tr w14:paraId="6FA79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781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206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155E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A517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4CBB4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A9E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BB3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护套喇叭线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C1C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4E3D0">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200</w:t>
            </w:r>
          </w:p>
        </w:tc>
      </w:tr>
      <w:tr w14:paraId="57974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08E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18C7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596C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EBBBD">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400</w:t>
            </w:r>
          </w:p>
        </w:tc>
      </w:tr>
      <w:tr w14:paraId="033F3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5766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4EF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天线延长线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8F8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3A82D">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20</w:t>
            </w:r>
          </w:p>
        </w:tc>
      </w:tr>
      <w:tr w14:paraId="6F79E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CC9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6DE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话筒落地支架</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CAAB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7B28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r>
      <w:tr w14:paraId="798D3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AC0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FE0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音频隔离变压器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E3C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ED46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r>
      <w:tr w14:paraId="641B4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B832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7E2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音频跳线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9B23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D78F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30</w:t>
            </w:r>
          </w:p>
        </w:tc>
      </w:tr>
      <w:tr w14:paraId="6FE64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385F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080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多媒体插座</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1FB2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15F2F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r>
      <w:tr w14:paraId="76ED3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0A8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46E6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桥架</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409C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D22EF">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30</w:t>
            </w:r>
          </w:p>
        </w:tc>
      </w:tr>
      <w:tr w14:paraId="758F4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25DB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F21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JDG管</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23D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7A027">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150</w:t>
            </w:r>
          </w:p>
        </w:tc>
      </w:tr>
      <w:tr w14:paraId="0279D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D6B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1A9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操作台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C5FC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张</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693B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4D7A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EBE2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9848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F82B">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1175">
            <w:pPr>
              <w:rPr>
                <w:rFonts w:hint="eastAsia" w:ascii="宋体" w:hAnsi="宋体" w:eastAsia="宋体" w:cs="宋体"/>
                <w:i w:val="0"/>
                <w:iCs w:val="0"/>
                <w:color w:val="auto"/>
                <w:sz w:val="21"/>
                <w:szCs w:val="21"/>
                <w:u w:val="none"/>
              </w:rPr>
            </w:pPr>
          </w:p>
        </w:tc>
      </w:tr>
      <w:tr w14:paraId="03A75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172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FD8A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成像面光灯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7CD8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F4A7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r>
      <w:tr w14:paraId="464D9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63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EC20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一顶光平板会议灯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6DA9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0D0C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r>
      <w:tr w14:paraId="285D8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41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75C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一顶光帕灯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3BE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287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r>
      <w:tr w14:paraId="61319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22F9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06B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二顶光平板会议灯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2952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86E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r>
      <w:tr w14:paraId="0E35F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810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8E5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二顶光帕灯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4C7F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FEC18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r>
      <w:tr w14:paraId="4C16C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02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A1D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三顶光平板会议灯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7785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E33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r>
      <w:tr w14:paraId="0B0EB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3923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A09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三顶光帕灯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F55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0ACC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r>
      <w:tr w14:paraId="06C3B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B15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170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侧光帕灯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385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9393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r>
      <w:tr w14:paraId="06DC1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D40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E9E1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灯光控台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D356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8224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882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6E7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D5AE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信号放大器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4710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DE4C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4EA75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C79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3757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电源直通箱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AAE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B702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132E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32E9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6B4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信号线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231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969F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800</w:t>
            </w:r>
          </w:p>
        </w:tc>
      </w:tr>
      <w:tr w14:paraId="551F6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E31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B09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2F5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3ABE4">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600</w:t>
            </w:r>
          </w:p>
        </w:tc>
      </w:tr>
      <w:tr w14:paraId="31C3A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1BF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5D54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保险链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36F9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F149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101</w:t>
            </w:r>
          </w:p>
        </w:tc>
      </w:tr>
      <w:tr w14:paraId="73DAF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192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27A4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铸铝灯钩</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D16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FCE0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101</w:t>
            </w:r>
          </w:p>
        </w:tc>
      </w:tr>
      <w:tr w14:paraId="449B9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3EC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59F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安装辅材</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9A7F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3BB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DBFC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43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C</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6C8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B7C46">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96CB">
            <w:pPr>
              <w:rPr>
                <w:rFonts w:hint="eastAsia" w:ascii="宋体" w:hAnsi="宋体" w:eastAsia="宋体" w:cs="宋体"/>
                <w:i w:val="0"/>
                <w:iCs w:val="0"/>
                <w:color w:val="auto"/>
                <w:sz w:val="21"/>
                <w:szCs w:val="21"/>
                <w:u w:val="none"/>
              </w:rPr>
            </w:pPr>
          </w:p>
        </w:tc>
      </w:tr>
      <w:tr w14:paraId="4C558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3DFA">
            <w:pPr>
              <w:jc w:val="center"/>
              <w:rPr>
                <w:rFonts w:hint="eastAsia" w:ascii="宋体" w:hAnsi="宋体" w:eastAsia="宋体" w:cs="宋体"/>
                <w:i w:val="0"/>
                <w:iCs w:val="0"/>
                <w:color w:val="auto"/>
                <w:sz w:val="21"/>
                <w:szCs w:val="21"/>
                <w:u w:val="none"/>
              </w:rPr>
            </w:pP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56B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0EFE">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EC63">
            <w:pPr>
              <w:rPr>
                <w:rFonts w:hint="eastAsia" w:ascii="宋体" w:hAnsi="宋体" w:eastAsia="宋体" w:cs="宋体"/>
                <w:i w:val="0"/>
                <w:iCs w:val="0"/>
                <w:color w:val="auto"/>
                <w:sz w:val="21"/>
                <w:szCs w:val="21"/>
                <w:u w:val="none"/>
              </w:rPr>
            </w:pPr>
          </w:p>
        </w:tc>
      </w:tr>
      <w:tr w14:paraId="290B2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D4F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CA20">
            <w:pPr>
              <w:keepNext w:val="0"/>
              <w:keepLines w:val="0"/>
              <w:widowControl/>
              <w:suppressLineNumbers w:val="0"/>
              <w:jc w:val="left"/>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LED显示屏</w:t>
            </w:r>
            <w:r>
              <w:rPr>
                <w:rFonts w:hint="eastAsia" w:ascii="宋体" w:hAnsi="宋体" w:cs="宋体"/>
                <w:i w:val="0"/>
                <w:iCs w:val="0"/>
                <w:color w:val="auto"/>
                <w:sz w:val="21"/>
                <w:szCs w:val="21"/>
                <w:highlight w:val="yellow"/>
                <w:u w:val="none"/>
                <w:lang w:val="en-US" w:eastAsia="zh-CN" w:bidi="ar"/>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738A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6C9C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61.9</w:t>
            </w:r>
          </w:p>
        </w:tc>
      </w:tr>
      <w:tr w14:paraId="3F96E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3AAA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694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CE25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078D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BAFF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591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FA05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CCD7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3B92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D589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9D3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1C1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播控主机</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A35E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759F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51C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210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BBDB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 LED专用配电柜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0C02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EC21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0E36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924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8B6D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D2B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1BA4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61.9</w:t>
            </w:r>
          </w:p>
        </w:tc>
      </w:tr>
      <w:tr w14:paraId="125D2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CB84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CC9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无线协作系统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887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34E8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E0E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AA6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C70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210D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AD9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r>
      <w:tr w14:paraId="0F18C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4B6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C59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12B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F966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F8C7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30AFC">
            <w:pPr>
              <w:jc w:val="center"/>
              <w:rPr>
                <w:rFonts w:hint="eastAsia" w:ascii="宋体" w:hAnsi="宋体" w:eastAsia="宋体" w:cs="宋体"/>
                <w:i w:val="0"/>
                <w:iCs w:val="0"/>
                <w:color w:val="auto"/>
                <w:sz w:val="21"/>
                <w:szCs w:val="21"/>
                <w:u w:val="none"/>
              </w:rPr>
            </w:pP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276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会标屏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3DF71">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55682">
            <w:pPr>
              <w:jc w:val="center"/>
              <w:rPr>
                <w:rFonts w:hint="eastAsia" w:ascii="宋体" w:hAnsi="宋体" w:eastAsia="宋体" w:cs="宋体"/>
                <w:i w:val="0"/>
                <w:iCs w:val="0"/>
                <w:color w:val="auto"/>
                <w:sz w:val="21"/>
                <w:szCs w:val="21"/>
                <w:u w:val="none"/>
              </w:rPr>
            </w:pPr>
          </w:p>
        </w:tc>
      </w:tr>
      <w:tr w14:paraId="220F7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4BA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F3D6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E7A1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4DF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9.6</w:t>
            </w:r>
          </w:p>
        </w:tc>
      </w:tr>
      <w:tr w14:paraId="7DF42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CD72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B8B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E0C0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966F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D05F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A02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8A3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0148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702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9.6</w:t>
            </w:r>
          </w:p>
        </w:tc>
      </w:tr>
      <w:tr w14:paraId="7BF2C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91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9D60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5371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B34D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5563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757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D</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A4A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F92B">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A5B3">
            <w:pPr>
              <w:rPr>
                <w:rFonts w:hint="eastAsia" w:ascii="宋体" w:hAnsi="宋体" w:eastAsia="宋体" w:cs="宋体"/>
                <w:i w:val="0"/>
                <w:iCs w:val="0"/>
                <w:color w:val="auto"/>
                <w:sz w:val="21"/>
                <w:szCs w:val="21"/>
                <w:u w:val="none"/>
              </w:rPr>
            </w:pPr>
          </w:p>
        </w:tc>
      </w:tr>
      <w:tr w14:paraId="7D138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779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4FAF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对开调速大幕机</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ECD6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D385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074E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C3F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A51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匀速底幕机</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15A2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CF5A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E67D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7AF7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0CD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幕布轨道</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C521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道</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D235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0E7D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93F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730F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幕布轨道传动系统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46656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C7C3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8E10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959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40C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舞台灯光吊杆机</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CBF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FE5C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r>
      <w:tr w14:paraId="5CAA2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25A4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007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灯光吊杆机滑轮组</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74C3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436F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r>
      <w:tr w14:paraId="7E29E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35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6B5E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舞台灯光杆体</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044F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道</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FB1A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4</w:t>
            </w:r>
          </w:p>
        </w:tc>
      </w:tr>
      <w:tr w14:paraId="43115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71C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D20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固定幕布吊杆</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91B6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道</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6757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04F1C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8E6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5D7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钢丝绳</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D4CB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9BF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2000</w:t>
            </w:r>
          </w:p>
        </w:tc>
      </w:tr>
      <w:tr w14:paraId="3D73F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93B4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56CD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舞台机械控制台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A91A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5613C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CE0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7729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556E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舞台机械电源箱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EA8A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C063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r>
      <w:tr w14:paraId="0B4D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1057">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AFF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方管</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2A63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1EE2E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2</w:t>
            </w:r>
            <w:r>
              <w:rPr>
                <w:rFonts w:hint="eastAsia" w:ascii="宋体" w:hAnsi="宋体" w:eastAsia="宋体" w:cs="宋体"/>
                <w:i w:val="0"/>
                <w:iCs w:val="0"/>
                <w:color w:val="auto"/>
                <w:sz w:val="21"/>
                <w:szCs w:val="21"/>
                <w:u w:val="none"/>
                <w:lang w:val="en-US" w:eastAsia="zh-CN" w:bidi="ar"/>
              </w:rPr>
              <w:t>00</w:t>
            </w:r>
          </w:p>
        </w:tc>
      </w:tr>
      <w:tr w14:paraId="3477D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1A09">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33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收线框</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AE9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AEA3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r>
      <w:tr w14:paraId="36AF5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DA08">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B3E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辅材</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D416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449C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2897B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D82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E</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3D80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舞台幕布系统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42AE3">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E0BE5">
            <w:pPr>
              <w:jc w:val="center"/>
              <w:rPr>
                <w:rFonts w:hint="eastAsia" w:ascii="宋体" w:hAnsi="宋体" w:eastAsia="宋体" w:cs="宋体"/>
                <w:i w:val="0"/>
                <w:iCs w:val="0"/>
                <w:color w:val="auto"/>
                <w:sz w:val="21"/>
                <w:szCs w:val="21"/>
                <w:u w:val="none"/>
              </w:rPr>
            </w:pPr>
          </w:p>
        </w:tc>
      </w:tr>
      <w:tr w14:paraId="49735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660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0D0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阻燃丝绒前檐幕</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9574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84FD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68.4</w:t>
            </w:r>
          </w:p>
        </w:tc>
      </w:tr>
      <w:tr w14:paraId="58AB9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E04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294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阻燃前檐幕衬里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86D5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925B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22.8</w:t>
            </w:r>
          </w:p>
        </w:tc>
      </w:tr>
      <w:tr w14:paraId="73F1A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E76F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7D9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阻燃丝绒大幕</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559A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698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390</w:t>
            </w:r>
          </w:p>
        </w:tc>
      </w:tr>
      <w:tr w14:paraId="4552F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A28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4BE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阻燃大幕衬里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AD3F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E9C7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130</w:t>
            </w:r>
          </w:p>
        </w:tc>
      </w:tr>
      <w:tr w14:paraId="0DB6E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E9D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DE41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阻燃丝绒横幕</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45A3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D73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205.2</w:t>
            </w:r>
          </w:p>
        </w:tc>
      </w:tr>
      <w:tr w14:paraId="2757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DA3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EA3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阻燃丝绒侧幕</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8A5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29D0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351</w:t>
            </w:r>
          </w:p>
        </w:tc>
      </w:tr>
      <w:tr w14:paraId="7F43F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9AD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6E9F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阻燃丝绒底幕</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E4BB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432F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390</w:t>
            </w:r>
          </w:p>
        </w:tc>
      </w:tr>
      <w:tr w14:paraId="656C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7D1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94A8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小报告厅</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8797">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94C2">
            <w:pPr>
              <w:rPr>
                <w:rFonts w:hint="eastAsia" w:ascii="宋体" w:hAnsi="宋体" w:eastAsia="宋体" w:cs="宋体"/>
                <w:i w:val="0"/>
                <w:iCs w:val="0"/>
                <w:color w:val="auto"/>
                <w:sz w:val="21"/>
                <w:szCs w:val="21"/>
                <w:u w:val="none"/>
              </w:rPr>
            </w:pPr>
          </w:p>
        </w:tc>
      </w:tr>
      <w:tr w14:paraId="3AED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F2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5016" w:type="dxa"/>
            <w:tcBorders>
              <w:top w:val="single" w:color="000000" w:sz="4" w:space="0"/>
              <w:left w:val="single" w:color="000000" w:sz="4" w:space="0"/>
              <w:bottom w:val="single" w:color="000000" w:sz="4" w:space="0"/>
              <w:right w:val="nil"/>
            </w:tcBorders>
            <w:shd w:val="clear" w:color="auto" w:fill="auto"/>
            <w:noWrap/>
            <w:vAlign w:val="center"/>
          </w:tcPr>
          <w:p w14:paraId="1A16DCB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210AC">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C429F">
            <w:pPr>
              <w:rPr>
                <w:rFonts w:hint="eastAsia" w:ascii="宋体" w:hAnsi="宋体" w:eastAsia="宋体" w:cs="宋体"/>
                <w:i w:val="0"/>
                <w:iCs w:val="0"/>
                <w:color w:val="auto"/>
                <w:sz w:val="21"/>
                <w:szCs w:val="21"/>
                <w:u w:val="none"/>
              </w:rPr>
            </w:pPr>
          </w:p>
        </w:tc>
      </w:tr>
      <w:tr w14:paraId="14EEC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EBB8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2AB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55FC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DE20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51DA3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67C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4E7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1E24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FD2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0F12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8C6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1B5C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主扩音箱四通道功放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EA6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6883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F065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5AB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3E39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77A46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3F5B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42BB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67B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0C1A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2CD7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B340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66EF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999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04E9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3329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06EAD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AAE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BAE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EAC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401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773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4338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FE4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A98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F1AC9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D1B7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79FA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B5F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E50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电源管理器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4006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FA2F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A605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BC3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EA07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01A3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4BA2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4BC9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1DB0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5325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多媒体地插</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D5CA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37EE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18480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F901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r>
              <w:rPr>
                <w:rFonts w:hint="eastAsia" w:ascii="宋体" w:hAnsi="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EC1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线材</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7C1F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F9C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2F30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C38FAC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D28D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EC30">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71B5">
            <w:pPr>
              <w:rPr>
                <w:rFonts w:hint="eastAsia" w:ascii="宋体" w:hAnsi="宋体" w:eastAsia="宋体" w:cs="宋体"/>
                <w:i w:val="0"/>
                <w:iCs w:val="0"/>
                <w:color w:val="auto"/>
                <w:sz w:val="21"/>
                <w:szCs w:val="21"/>
                <w:u w:val="none"/>
              </w:rPr>
            </w:pPr>
          </w:p>
        </w:tc>
      </w:tr>
      <w:tr w14:paraId="622D2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86B7D0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FB5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D8AB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29C5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9.32</w:t>
            </w:r>
          </w:p>
        </w:tc>
      </w:tr>
      <w:tr w14:paraId="63608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E3ECF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083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B055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C64F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3148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C30274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15A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E6652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8F75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ACAD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019497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7FF8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EDCD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F61C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9.32</w:t>
            </w:r>
          </w:p>
        </w:tc>
      </w:tr>
      <w:tr w14:paraId="5312D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79606C1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56C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EDAE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9CBF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2A5B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631EC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C73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98B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05E1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1098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E43DD6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0514">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电脑</w:t>
            </w:r>
            <w:r>
              <w:rPr>
                <w:rFonts w:hint="eastAsia" w:ascii="宋体" w:hAnsi="宋体" w:cs="宋体"/>
                <w:i w:val="0"/>
                <w:iCs w:val="0"/>
                <w:color w:val="auto"/>
                <w:sz w:val="21"/>
                <w:szCs w:val="21"/>
                <w:highlight w:val="none"/>
                <w:u w:val="none"/>
                <w:lang w:val="en-US" w:eastAsia="zh-CN" w:bidi="ar"/>
              </w:rPr>
              <w:t>（（另外通过框架协议或公开招标方式采购））</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5E0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1204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066A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3279DD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C</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8E0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灯光系统</w:t>
            </w:r>
          </w:p>
        </w:tc>
        <w:tc>
          <w:tcPr>
            <w:tcW w:w="1143" w:type="dxa"/>
            <w:tcBorders>
              <w:top w:val="nil"/>
              <w:left w:val="nil"/>
              <w:bottom w:val="nil"/>
              <w:right w:val="nil"/>
            </w:tcBorders>
            <w:shd w:val="clear" w:color="auto" w:fill="auto"/>
            <w:noWrap/>
            <w:vAlign w:val="center"/>
          </w:tcPr>
          <w:p w14:paraId="7E73AAEE">
            <w:pPr>
              <w:rPr>
                <w:rFonts w:hint="eastAsia" w:ascii="宋体" w:hAnsi="宋体" w:eastAsia="宋体" w:cs="宋体"/>
                <w:i w:val="0"/>
                <w:iCs w:val="0"/>
                <w:color w:val="auto"/>
                <w:sz w:val="21"/>
                <w:szCs w:val="21"/>
                <w:u w:val="none"/>
              </w:rPr>
            </w:pPr>
          </w:p>
        </w:tc>
        <w:tc>
          <w:tcPr>
            <w:tcW w:w="1245" w:type="dxa"/>
            <w:tcBorders>
              <w:top w:val="nil"/>
              <w:left w:val="nil"/>
              <w:bottom w:val="nil"/>
              <w:right w:val="nil"/>
            </w:tcBorders>
            <w:shd w:val="clear" w:color="auto" w:fill="auto"/>
            <w:noWrap/>
            <w:vAlign w:val="center"/>
          </w:tcPr>
          <w:p w14:paraId="01887EFC">
            <w:pPr>
              <w:rPr>
                <w:rFonts w:hint="eastAsia" w:ascii="宋体" w:hAnsi="宋体" w:eastAsia="宋体" w:cs="宋体"/>
                <w:i w:val="0"/>
                <w:iCs w:val="0"/>
                <w:color w:val="auto"/>
                <w:sz w:val="21"/>
                <w:szCs w:val="21"/>
                <w:u w:val="none"/>
              </w:rPr>
            </w:pPr>
          </w:p>
        </w:tc>
      </w:tr>
      <w:tr w14:paraId="71431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417594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DB0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嵌入式会议面光灯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E4C3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7D6A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05990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7DFF101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316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嵌入式会议平板灯</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347E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9007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r>
      <w:tr w14:paraId="4C31A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ACC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10A2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行政楼5F会议室</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154D">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C3040">
            <w:pPr>
              <w:rPr>
                <w:rFonts w:hint="eastAsia" w:ascii="宋体" w:hAnsi="宋体" w:eastAsia="宋体" w:cs="宋体"/>
                <w:i w:val="0"/>
                <w:iCs w:val="0"/>
                <w:color w:val="auto"/>
                <w:sz w:val="21"/>
                <w:szCs w:val="21"/>
                <w:u w:val="none"/>
              </w:rPr>
            </w:pPr>
          </w:p>
        </w:tc>
      </w:tr>
      <w:tr w14:paraId="24237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F9B7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1D2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AF5D5">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DE910">
            <w:pPr>
              <w:jc w:val="center"/>
              <w:rPr>
                <w:rFonts w:hint="eastAsia" w:ascii="宋体" w:hAnsi="宋体" w:eastAsia="宋体" w:cs="宋体"/>
                <w:i w:val="0"/>
                <w:iCs w:val="0"/>
                <w:color w:val="auto"/>
                <w:sz w:val="21"/>
                <w:szCs w:val="21"/>
                <w:u w:val="none"/>
              </w:rPr>
            </w:pPr>
          </w:p>
        </w:tc>
      </w:tr>
      <w:tr w14:paraId="0E6EB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240BBD9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4D5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845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70F7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C387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94C1E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08F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吸顶音箱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C2A0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B49D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696F4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9CE325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A01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四通道功放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4875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37BA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4736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BD10CA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613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D1698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575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24C3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2F67141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8CF3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数字音频处理器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5EAF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A548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041C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712F9F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B72F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8路电源时序器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26C1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68A5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4F43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A16E87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4BE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796D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0DC4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1D66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DD834E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FAE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CBC3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1F51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1081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65532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9A6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多媒体桌插</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6891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902C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4FCDA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C36E8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5016" w:type="dxa"/>
            <w:tcBorders>
              <w:top w:val="single" w:color="000000" w:sz="4" w:space="0"/>
              <w:left w:val="single" w:color="000000" w:sz="4" w:space="0"/>
              <w:bottom w:val="single" w:color="000000" w:sz="4" w:space="0"/>
              <w:right w:val="nil"/>
            </w:tcBorders>
            <w:shd w:val="clear" w:color="auto" w:fill="auto"/>
            <w:noWrap/>
            <w:vAlign w:val="center"/>
          </w:tcPr>
          <w:p w14:paraId="23B642F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2D396">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B3CBF">
            <w:pPr>
              <w:jc w:val="center"/>
              <w:rPr>
                <w:rFonts w:hint="eastAsia" w:ascii="宋体" w:hAnsi="宋体" w:eastAsia="宋体" w:cs="宋体"/>
                <w:i w:val="0"/>
                <w:iCs w:val="0"/>
                <w:color w:val="auto"/>
                <w:sz w:val="21"/>
                <w:szCs w:val="21"/>
                <w:u w:val="none"/>
              </w:rPr>
            </w:pPr>
          </w:p>
        </w:tc>
      </w:tr>
      <w:tr w14:paraId="7ACD0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4F7821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730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2C9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4D7B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7.98</w:t>
            </w:r>
          </w:p>
        </w:tc>
      </w:tr>
      <w:tr w14:paraId="56630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944F0B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CB1E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99F5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47F0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26B4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21848C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620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视频控制系统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A87A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EFA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DDEF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344DC2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79E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FC1E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81A2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7.98</w:t>
            </w:r>
          </w:p>
        </w:tc>
      </w:tr>
      <w:tr w14:paraId="46563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45FEC7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5FD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FD2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F66A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52F46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6A9614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4C1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18B7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9D0A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2F64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9CEABF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CCAB">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电脑</w:t>
            </w:r>
            <w:r>
              <w:rPr>
                <w:rFonts w:hint="eastAsia" w:ascii="宋体" w:hAnsi="宋体" w:cs="宋体"/>
                <w:i w:val="0"/>
                <w:iCs w:val="0"/>
                <w:color w:val="auto"/>
                <w:sz w:val="21"/>
                <w:szCs w:val="21"/>
                <w:highlight w:val="none"/>
                <w:u w:val="none"/>
                <w:lang w:val="en-US" w:eastAsia="zh-CN" w:bidi="ar"/>
              </w:rPr>
              <w:t>（（另外通过框架协议或公开招标方式采购））</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066E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6130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0E7F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A640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56C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风雨操场</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DBA4">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5DC8A">
            <w:pPr>
              <w:rPr>
                <w:rFonts w:hint="eastAsia" w:ascii="宋体" w:hAnsi="宋体" w:eastAsia="宋体" w:cs="宋体"/>
                <w:i w:val="0"/>
                <w:iCs w:val="0"/>
                <w:color w:val="auto"/>
                <w:sz w:val="21"/>
                <w:szCs w:val="21"/>
                <w:u w:val="none"/>
              </w:rPr>
            </w:pPr>
          </w:p>
        </w:tc>
      </w:tr>
      <w:tr w14:paraId="29D31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756F03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5016" w:type="dxa"/>
            <w:tcBorders>
              <w:top w:val="single" w:color="000000" w:sz="4" w:space="0"/>
              <w:left w:val="single" w:color="000000" w:sz="4" w:space="0"/>
              <w:bottom w:val="single" w:color="000000" w:sz="4" w:space="0"/>
              <w:right w:val="nil"/>
            </w:tcBorders>
            <w:shd w:val="clear" w:color="auto" w:fill="auto"/>
            <w:noWrap/>
            <w:vAlign w:val="center"/>
          </w:tcPr>
          <w:p w14:paraId="56D48C6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A5BD2">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3682D">
            <w:pPr>
              <w:jc w:val="center"/>
              <w:rPr>
                <w:rFonts w:hint="eastAsia" w:ascii="宋体" w:hAnsi="宋体" w:eastAsia="宋体" w:cs="宋体"/>
                <w:i w:val="0"/>
                <w:iCs w:val="0"/>
                <w:color w:val="auto"/>
                <w:sz w:val="21"/>
                <w:szCs w:val="21"/>
                <w:u w:val="none"/>
              </w:rPr>
            </w:pPr>
          </w:p>
        </w:tc>
      </w:tr>
      <w:tr w14:paraId="70935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597132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CAF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室内P</w:t>
            </w:r>
            <w:r>
              <w:rPr>
                <w:rFonts w:hint="eastAsia" w:ascii="宋体" w:hAnsi="宋体" w:cs="宋体"/>
                <w:i w:val="0"/>
                <w:iCs w:val="0"/>
                <w:color w:val="auto"/>
                <w:sz w:val="21"/>
                <w:szCs w:val="21"/>
                <w:u w:val="none"/>
                <w:lang w:val="en-US" w:eastAsia="zh-CN" w:bidi="ar"/>
              </w:rPr>
              <w:t>3</w:t>
            </w:r>
            <w:r>
              <w:rPr>
                <w:rFonts w:hint="eastAsia" w:ascii="宋体" w:hAnsi="宋体" w:eastAsia="宋体" w:cs="宋体"/>
                <w:i w:val="0"/>
                <w:iCs w:val="0"/>
                <w:color w:val="auto"/>
                <w:sz w:val="21"/>
                <w:szCs w:val="21"/>
                <w:u w:val="none"/>
                <w:lang w:val="en-US" w:eastAsia="zh-CN" w:bidi="ar"/>
              </w:rPr>
              <w:t>全彩屏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C6D2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平米</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CBD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28.16</w:t>
            </w:r>
          </w:p>
        </w:tc>
      </w:tr>
      <w:tr w14:paraId="3531F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CDCC2E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733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AB57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9893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B2F3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74B8D23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8DD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视频控制系统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B33E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EDD4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D7F5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D2E4E4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A13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 LED专用配电柜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75C9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A043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D714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51DC07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2451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D272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1F98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0F51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E9F931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7E4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无线投屏</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BD5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19A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E537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54BEF5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2466E">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电脑</w:t>
            </w:r>
            <w:r>
              <w:rPr>
                <w:rFonts w:hint="eastAsia" w:ascii="宋体" w:hAnsi="宋体" w:cs="宋体"/>
                <w:i w:val="0"/>
                <w:iCs w:val="0"/>
                <w:color w:val="auto"/>
                <w:sz w:val="21"/>
                <w:szCs w:val="21"/>
                <w:highlight w:val="none"/>
                <w:u w:val="none"/>
                <w:lang w:val="en-US" w:eastAsia="zh-CN" w:bidi="ar"/>
              </w:rPr>
              <w:t>（（另外通过框架协议或公开招标方式采购））</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662B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2A0A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54EB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6A3A8DF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5016" w:type="dxa"/>
            <w:tcBorders>
              <w:top w:val="single" w:color="000000" w:sz="4" w:space="0"/>
              <w:left w:val="single" w:color="000000" w:sz="4" w:space="0"/>
              <w:bottom w:val="single" w:color="000000" w:sz="4" w:space="0"/>
              <w:right w:val="nil"/>
            </w:tcBorders>
            <w:shd w:val="clear" w:color="auto" w:fill="auto"/>
            <w:noWrap/>
            <w:vAlign w:val="center"/>
          </w:tcPr>
          <w:p w14:paraId="23C8A59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B8C79">
            <w:pPr>
              <w:jc w:val="cente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C8140">
            <w:pPr>
              <w:jc w:val="center"/>
              <w:rPr>
                <w:rFonts w:hint="eastAsia" w:ascii="宋体" w:hAnsi="宋体" w:eastAsia="宋体" w:cs="宋体"/>
                <w:i w:val="0"/>
                <w:iCs w:val="0"/>
                <w:color w:val="auto"/>
                <w:sz w:val="21"/>
                <w:szCs w:val="21"/>
                <w:u w:val="none"/>
              </w:rPr>
            </w:pPr>
          </w:p>
        </w:tc>
      </w:tr>
      <w:tr w14:paraId="416FC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F6C033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4D64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55DC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3104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4916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B63977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0B9F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音频处理器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2C5F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6C83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17B3A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7B6BF5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29DC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全频音箱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3D87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6BAA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r>
      <w:tr w14:paraId="6449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33D87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709A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四通道功放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4417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3E62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60DF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7DB3D6D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CE28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CD2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0CA1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2554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85DDF8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513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5B2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15CC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2DEDF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394147D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7E45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天线分配器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0A25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DDF9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468F1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2A2D322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BD5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指向性天线</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1016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59A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4C1DC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C8EDCC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8FE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8路电源时序器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9D40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A7E1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5A834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0DC0B38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D4BB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83D8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9C44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3FD10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4FA379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r>
              <w:rPr>
                <w:rFonts w:hint="eastAsia" w:ascii="宋体" w:hAnsi="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98F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话筒落地支架</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2D4E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B0E8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38D28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0CC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五</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61A5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舞蹈教室</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FDD5">
            <w:pPr>
              <w:rPr>
                <w:rFonts w:hint="eastAsia" w:ascii="宋体" w:hAnsi="宋体" w:eastAsia="宋体" w:cs="宋体"/>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37A3">
            <w:pPr>
              <w:rPr>
                <w:rFonts w:hint="eastAsia" w:ascii="宋体" w:hAnsi="宋体" w:eastAsia="宋体" w:cs="宋体"/>
                <w:i w:val="0"/>
                <w:iCs w:val="0"/>
                <w:color w:val="auto"/>
                <w:sz w:val="21"/>
                <w:szCs w:val="21"/>
                <w:u w:val="none"/>
              </w:rPr>
            </w:pPr>
          </w:p>
        </w:tc>
      </w:tr>
      <w:tr w14:paraId="3B826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77574C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D620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音箱</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9BDB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只</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45F3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r>
      <w:tr w14:paraId="6B4DB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555094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277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功放</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D5BD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934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369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27DEE9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136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E56E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套</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E1E9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7DBF6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1377888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710D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电源时序器</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EC3D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5CA5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r w14:paraId="0AE03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78" w:type="dxa"/>
            <w:tcBorders>
              <w:top w:val="single" w:color="000000" w:sz="4" w:space="0"/>
              <w:left w:val="single" w:color="000000" w:sz="4" w:space="0"/>
              <w:bottom w:val="single" w:color="000000" w:sz="4" w:space="0"/>
              <w:right w:val="nil"/>
            </w:tcBorders>
            <w:shd w:val="clear" w:color="auto" w:fill="auto"/>
            <w:noWrap/>
            <w:vAlign w:val="center"/>
          </w:tcPr>
          <w:p w14:paraId="5B0EC9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50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F92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CC34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AE46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r>
    </w:tbl>
    <w:p w14:paraId="2C64C5BA">
      <w:pPr>
        <w:spacing w:line="360" w:lineRule="auto"/>
        <w:rPr>
          <w:rFonts w:hint="eastAsia" w:asciiTheme="minorEastAsia" w:hAnsiTheme="minorEastAsia" w:eastAsiaTheme="minorEastAsia" w:cstheme="minorEastAsia"/>
          <w:color w:val="auto"/>
        </w:rPr>
      </w:pPr>
    </w:p>
    <w:p w14:paraId="155A756F">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2.服务内容及要求/货物技术要求：</w:t>
      </w:r>
    </w:p>
    <w:p w14:paraId="0374EA75">
      <w:pPr>
        <w:spacing w:line="360" w:lineRule="auto"/>
        <w:ind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下表所列技术参数中打“★”项为实质性技术参数，打“▲”参数为重要参数，其余为一般性技术参数。</w:t>
      </w:r>
    </w:p>
    <w:tbl>
      <w:tblPr>
        <w:tblStyle w:val="25"/>
        <w:tblW w:w="9240" w:type="dxa"/>
        <w:tblInd w:w="-4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7"/>
        <w:gridCol w:w="1455"/>
        <w:gridCol w:w="5310"/>
        <w:gridCol w:w="863"/>
        <w:gridCol w:w="795"/>
      </w:tblGrid>
      <w:tr w14:paraId="2E87B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360F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bookmarkStart w:id="200" w:name="_Toc23334"/>
            <w:r>
              <w:rPr>
                <w:rFonts w:hint="eastAsia" w:ascii="宋体" w:hAnsi="宋体" w:eastAsia="宋体" w:cs="宋体"/>
                <w:b w:val="0"/>
                <w:bCs w:val="0"/>
                <w:i w:val="0"/>
                <w:iCs w:val="0"/>
                <w:color w:val="auto"/>
                <w:sz w:val="21"/>
                <w:szCs w:val="21"/>
                <w:highlight w:val="none"/>
                <w:u w:val="none"/>
                <w:lang w:val="en-US" w:eastAsia="zh-CN" w:bidi="ar"/>
              </w:rPr>
              <w:t>序号</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DEFA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设备名称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E500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规格参数</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FB2B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E71E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数量</w:t>
            </w:r>
          </w:p>
        </w:tc>
      </w:tr>
      <w:tr w14:paraId="6237D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6054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一</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D63D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大报告厅</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41B31">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A4532">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4F77F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27E1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A</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DE92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舞台音响系统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9F09E">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D3611">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6E3A1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3397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33C8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左右主扩线阵全频音箱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F116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1.频率特性（有效频率范围）：不劣于70Hz-20KHz。提供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4441BF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2.指定频带内的特性灵敏度级(1瓦/1米)：≥102dB±2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7D1FF58">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★3.额定功率（输入电功率、长期最大功率）（额定阻抗为8Ω时）：≥600W。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B7ADDE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4.单元组成：高频≥3"或高频≥2*1.75"，低频≥2*10″。提供所投产品原厂技术白皮书。</w:t>
            </w:r>
          </w:p>
          <w:p w14:paraId="2CC3FA4D">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指定频带内的声压级（指持续声压级）：≥129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544901B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6.指向性：</w:t>
            </w:r>
            <w:r>
              <w:rPr>
                <w:rFonts w:hint="eastAsia" w:ascii="宋体" w:hAnsi="宋体" w:eastAsia="宋体" w:cs="宋体"/>
                <w:b w:val="0"/>
                <w:bCs w:val="0"/>
                <w:i w:val="0"/>
                <w:iCs w:val="0"/>
                <w:color w:val="auto"/>
                <w:sz w:val="21"/>
                <w:szCs w:val="21"/>
                <w:highlight w:val="none"/>
                <w:u w:val="none"/>
                <w:lang w:val="en-US" w:eastAsia="zh-CN" w:bidi="ar"/>
              </w:rPr>
              <w:t>单只扬声器水平覆盖角度≥</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0°，垂直角度≥10°，水平指向可调。</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6995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C7FB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r>
      <w:tr w14:paraId="0F57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60C4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628F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中置主扩线阵全频音箱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8BDB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1.频率特性（有效频率范围）：不劣于70Hz-20KHz。提供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ADB4FD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2.指定频带内的特性灵敏度级(1瓦/1米)：≥102dB±2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06E7AA0">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★3.额定功率（输入电功率、长期最大功率）（额定阻抗为8Ω时）：≥600W。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9CC87F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4.单元组成：高频≥3"或高频≥2*1.75"，低频≥2*10″。提供所投产品原厂技术白皮书。</w:t>
            </w:r>
          </w:p>
          <w:p w14:paraId="1F375B5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指定频带内的声压级（指持续声压级）：≥129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533B703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6.指向性：</w:t>
            </w:r>
            <w:r>
              <w:rPr>
                <w:rFonts w:hint="eastAsia" w:ascii="宋体" w:hAnsi="宋体" w:eastAsia="宋体" w:cs="宋体"/>
                <w:b w:val="0"/>
                <w:bCs w:val="0"/>
                <w:i w:val="0"/>
                <w:iCs w:val="0"/>
                <w:color w:val="auto"/>
                <w:sz w:val="21"/>
                <w:szCs w:val="21"/>
                <w:highlight w:val="none"/>
                <w:u w:val="none"/>
                <w:lang w:val="en-US" w:eastAsia="zh-CN" w:bidi="ar"/>
              </w:rPr>
              <w:t>单只扬声器水平覆盖角度≥</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0°，垂直角度≥10°，水平指向可调。</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653E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77EE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1B91E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1"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4B9B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064F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拉声像音箱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46FC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5B29BAA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2.指定频带内的特性灵敏度级(1瓦/1米)：≥98dB±2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74B3EA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★3.额定功率（输入电功率、长期最大功率）（额定阻抗为8Ω时）：≥500W。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36FD39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4.单元组成:高频≥1.5"、低频≥15″。提供所投产品原厂技术白皮书。</w:t>
            </w:r>
          </w:p>
          <w:p w14:paraId="06D42E1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指定频带内的声压级（指持续声压级）：≥127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88C10F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指向性(H×V): ≥ </w:t>
            </w:r>
            <w:r>
              <w:rPr>
                <w:rFonts w:hint="eastAsia" w:ascii="宋体" w:hAnsi="宋体" w:cs="宋体"/>
                <w:b w:val="0"/>
                <w:bCs w:val="0"/>
                <w:i w:val="0"/>
                <w:iCs w:val="0"/>
                <w:color w:val="auto"/>
                <w:sz w:val="21"/>
                <w:szCs w:val="21"/>
                <w:highlight w:val="none"/>
                <w:u w:val="none"/>
                <w:lang w:val="en-US" w:eastAsia="zh-CN" w:bidi="ar"/>
              </w:rPr>
              <w:t>9</w:t>
            </w:r>
            <w:r>
              <w:rPr>
                <w:rFonts w:hint="eastAsia" w:ascii="宋体" w:hAnsi="宋体" w:eastAsia="宋体" w:cs="宋体"/>
                <w:b w:val="0"/>
                <w:bCs w:val="0"/>
                <w:i w:val="0"/>
                <w:iCs w:val="0"/>
                <w:color w:val="auto"/>
                <w:sz w:val="21"/>
                <w:szCs w:val="21"/>
                <w:highlight w:val="none"/>
                <w:u w:val="none"/>
                <w:lang w:val="en-US" w:eastAsia="zh-CN" w:bidi="ar"/>
              </w:rPr>
              <w:t>0°×</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E3B1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3F84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41F61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3"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A85F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4A73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超低音箱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34CE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35Hz-250Hz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741985E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2.指定频带内的特性灵敏度级(1瓦/1米)：≥102dB±2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081E2F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★3.额定功率（输入电功率、长期最大功率）（额定阻抗为8Ω时）：≥800W。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93E1452">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单元组成：≥18〞。</w:t>
            </w:r>
          </w:p>
          <w:p w14:paraId="1C8B863E">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指定频带内的声压级（指持续声压级）：≥120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CCC8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453C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132A7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AA98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3CCB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返听音箱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B7FD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23011A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2.指定频带内的特性灵敏度级(1瓦/1米)：≥97dB±2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F3B1818">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★3.额定功率（输入电功率、长期最大功率）（额定阻抗为8Ω时）：≥450W。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712F74A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 xml:space="preserve">单元组成：低频单元≥12〞，高音单元≥1.75〞。提供所投产品原厂技术白皮书。 </w:t>
            </w:r>
          </w:p>
          <w:p w14:paraId="10C798EE">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指定频带内的声压级（指持续声压级）：≥125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4207DAA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指向性(H×V): ≥ 90°× 60°</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0AFD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83B9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4E67E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87F9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11E9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台唇音箱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CB00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23D83B8">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2.指定频带内的特性灵敏度级(1瓦/1米)：≥96dB±2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D1CA4A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★3.额定功率（输入电功率，长期最大功率）（额定阻抗为8Ω时）：≥400W。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04C2153">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单元组成：低音单元≥2*8〞，高音单元≥1×1.4〞。提供所投产品原厂技术白皮书。</w:t>
            </w:r>
          </w:p>
          <w:p w14:paraId="6F67537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2F46B3A">
            <w:pPr>
              <w:keepNext w:val="0"/>
              <w:keepLines w:val="0"/>
              <w:pageBreakBefore w:val="0"/>
              <w:widowControl/>
              <w:numPr>
                <w:ilvl w:val="0"/>
                <w:numId w:val="0"/>
              </w:numPr>
              <w:spacing w:line="360" w:lineRule="exac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 </w:t>
            </w:r>
            <w:r>
              <w:rPr>
                <w:rFonts w:hint="eastAsia" w:ascii="宋体" w:hAnsi="宋体" w:eastAsia="宋体" w:cs="宋体"/>
                <w:b w:val="0"/>
                <w:bCs w:val="0"/>
                <w:i w:val="0"/>
                <w:iCs w:val="0"/>
                <w:color w:val="auto"/>
                <w:kern w:val="0"/>
                <w:sz w:val="21"/>
                <w:szCs w:val="21"/>
                <w:highlight w:val="none"/>
                <w:u w:val="none"/>
                <w:lang w:val="en-US" w:eastAsia="zh-CN" w:bidi="ar"/>
              </w:rPr>
              <w:t>80°(H)×60°(V)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332E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6A8C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2E1A4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0874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8A49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主扩线阵全频音箱功放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C8E4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(8Ω)2400W×2；</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228C8DE0">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6E185F2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406C8A4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47BFD85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581E626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606DD02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C4C4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E6C4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6FA8B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E754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5BB4D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中央声道音箱功放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D360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24</w:t>
            </w:r>
            <w:r>
              <w:rPr>
                <w:rFonts w:hint="eastAsia" w:ascii="宋体" w:hAnsi="宋体" w:eastAsia="宋体" w:cs="宋体"/>
                <w:b w:val="0"/>
                <w:bCs w:val="0"/>
                <w:i w:val="0"/>
                <w:iCs w:val="0"/>
                <w:color w:val="auto"/>
                <w:sz w:val="21"/>
                <w:szCs w:val="21"/>
                <w:highlight w:val="none"/>
                <w:u w:val="none"/>
                <w:lang w:val="en-US" w:eastAsia="zh-CN" w:bidi="ar"/>
              </w:rPr>
              <w:t>00W×2；</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290964C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402C5D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5F4919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65E93C6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2C8C152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055C43C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FD6B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6017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3034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5DBB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FDFD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拉声像音箱功放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07E7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(8Ω)1</w:t>
            </w:r>
            <w:r>
              <w:rPr>
                <w:rFonts w:hint="eastAsia" w:ascii="宋体" w:hAnsi="宋体" w:cs="宋体"/>
                <w:b w:val="0"/>
                <w:bCs w:val="0"/>
                <w:i w:val="0"/>
                <w:iCs w:val="0"/>
                <w:color w:val="auto"/>
                <w:sz w:val="21"/>
                <w:szCs w:val="21"/>
                <w:highlight w:val="none"/>
                <w:u w:val="none"/>
                <w:lang w:val="en-US" w:eastAsia="zh-CN" w:bidi="ar"/>
              </w:rPr>
              <w:t>0</w:t>
            </w:r>
            <w:r>
              <w:rPr>
                <w:rFonts w:hint="eastAsia" w:ascii="宋体" w:hAnsi="宋体" w:eastAsia="宋体" w:cs="宋体"/>
                <w:b w:val="0"/>
                <w:bCs w:val="0"/>
                <w:i w:val="0"/>
                <w:iCs w:val="0"/>
                <w:color w:val="auto"/>
                <w:sz w:val="21"/>
                <w:szCs w:val="21"/>
                <w:highlight w:val="none"/>
                <w:u w:val="none"/>
                <w:lang w:val="en-US" w:eastAsia="zh-CN" w:bidi="ar"/>
              </w:rPr>
              <w:t>00W×2；</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0326D60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61D04E7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15743A3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7AD45DF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623091E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4BDA0140">
            <w:pPr>
              <w:keepNext w:val="0"/>
              <w:keepLines w:val="0"/>
              <w:pageBreakBefore w:val="0"/>
              <w:widowControl/>
              <w:suppressLineNumbers w:val="0"/>
              <w:spacing w:line="360" w:lineRule="exact"/>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DFE7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552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E4A6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7204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7D6A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超低音箱功放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91DB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(8Ω)2400W×2；</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5372A96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7AF4CD0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2881FC4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3CEEE2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06971E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74BC4E1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E05E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E2F9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8756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D01C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BD64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返听音箱四通道功放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24E8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4AE082DF">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0901D1C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62DC9B6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2657119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68D8FB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1258992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4671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C28C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61C3F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AEFF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213F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台唇音箱四通道功放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F49B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08D3FF53">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0A15350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543E7C0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2F96435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2E8AFBB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6.安全与保护功能:具备过载、过热、短路等自动保护功能。提供佐证材料</w:t>
            </w:r>
          </w:p>
          <w:p w14:paraId="6D22572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E523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880C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D2C1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6149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909F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数字调音台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A949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t>1.≥32个话筒输入通道。提供所投产品原厂技术白皮书</w:t>
            </w:r>
            <w:r>
              <w:rPr>
                <w:rFonts w:hint="eastAsia" w:ascii="宋体" w:hAnsi="宋体" w:cs="宋体"/>
                <w:b w:val="0"/>
                <w:bCs w:val="0"/>
                <w:i w:val="0"/>
                <w:iCs w:val="0"/>
                <w:color w:val="auto"/>
                <w:sz w:val="21"/>
                <w:szCs w:val="21"/>
                <w:highlight w:val="none"/>
                <w:u w:val="none"/>
                <w:lang w:val="en-US" w:eastAsia="zh-CN" w:bidi="ar"/>
              </w:rPr>
              <w:t>或官方规格书</w:t>
            </w:r>
            <w:r>
              <w:rPr>
                <w:rFonts w:hint="eastAsia" w:ascii="宋体" w:hAnsi="宋体" w:eastAsia="宋体" w:cs="宋体"/>
                <w:b w:val="0"/>
                <w:bCs w:val="0"/>
                <w:i w:val="0"/>
                <w:iCs w:val="0"/>
                <w:color w:val="auto"/>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2.≥8个立体声效果处理器。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3.≥25个电动推子。</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4.≥7寸彩色显示屏。</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5.≥内置32个话放。</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6.≥8个DCA编组，6个哑音编组。</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7.≥40路输入处理能力。</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8.≥25条统一延时及相位一致的音频混音母线。</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9.双SD / SDHC卡可实时录制/播放32轨双向音频。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10.通过USB 2.0可支持32x32通道的数字音频传输。</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11.≥40bit浮点信号处理。</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5661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F372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F9D9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D1DA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451E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数字接口箱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3641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Style w:val="314"/>
                <w:rFonts w:hint="eastAsia" w:asciiTheme="minorEastAsia" w:hAnsiTheme="minorEastAsia" w:eastAsiaTheme="minorEastAsia" w:cstheme="minorEastAsia"/>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bidi="ar"/>
              </w:rPr>
              <w:t>1</w:t>
            </w:r>
            <w:r>
              <w:rPr>
                <w:rStyle w:val="314"/>
                <w:rFonts w:hint="eastAsia" w:asciiTheme="minorEastAsia" w:hAnsiTheme="minorEastAsia" w:eastAsiaTheme="minorEastAsia" w:cstheme="minorEastAsia"/>
                <w:color w:val="auto"/>
                <w:sz w:val="21"/>
                <w:szCs w:val="21"/>
                <w:highlight w:val="none"/>
                <w:u w:val="none"/>
                <w:lang w:val="en-US" w:eastAsia="zh-CN"/>
              </w:rPr>
              <w:t>.≥32个经典话放输入通道。</w:t>
            </w:r>
          </w:p>
          <w:p w14:paraId="665D6ED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Style w:val="314"/>
                <w:rFonts w:hint="eastAsia" w:asciiTheme="minorEastAsia" w:hAnsiTheme="minorEastAsia" w:eastAsiaTheme="minorEastAsia" w:cstheme="minorEastAsia"/>
                <w:color w:val="auto"/>
                <w:sz w:val="21"/>
                <w:szCs w:val="21"/>
                <w:highlight w:val="none"/>
                <w:u w:val="none"/>
                <w:lang w:val="en-US" w:eastAsia="zh-CN"/>
              </w:rPr>
              <w:t>2.≥16个模拟平衡XLR输出通道。</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30C5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5ACA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AE85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282D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27A4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数字音频处理器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465F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1.不少于4路输入、8路输出平衡接口。提供产品规格书或接口照片。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▲2.采样率：96kHz。提供</w:t>
            </w:r>
            <w:r>
              <w:rPr>
                <w:rFonts w:hint="eastAsia" w:ascii="宋体" w:hAnsi="宋体" w:cs="宋体"/>
                <w:b w:val="0"/>
                <w:bCs w:val="0"/>
                <w:i w:val="0"/>
                <w:iCs w:val="0"/>
                <w:color w:val="auto"/>
                <w:sz w:val="21"/>
                <w:szCs w:val="21"/>
                <w:highlight w:val="none"/>
                <w:u w:val="none"/>
                <w:lang w:val="en-US" w:eastAsia="zh-CN" w:bidi="ar"/>
              </w:rPr>
              <w:t>所投产品原厂技术白皮书或</w:t>
            </w:r>
            <w:r>
              <w:rPr>
                <w:rFonts w:hint="eastAsia" w:ascii="宋体" w:hAnsi="宋体" w:eastAsia="宋体" w:cs="宋体"/>
                <w:b w:val="0"/>
                <w:bCs w:val="0"/>
                <w:i w:val="0"/>
                <w:iCs w:val="0"/>
                <w:color w:val="auto"/>
                <w:sz w:val="21"/>
                <w:szCs w:val="21"/>
                <w:highlight w:val="none"/>
                <w:u w:val="none"/>
                <w:lang w:val="en-US" w:eastAsia="zh-CN" w:bidi="ar"/>
              </w:rPr>
              <w:t>第三方检测机构出具的全文检测报告扫描件。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3.信噪比：≥112dB。提供所投产品技术白皮书或。</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4.A/D、D/A动态范围：≥118dB。提供所投产品技术白皮书。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5.输入每通道功能:前级放大器、扩展器、压缩器、多段动态均衡器、延时器。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6.输出每通道功能:多段动态均衡器、高低通滤波器、限幅器。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▲7.FIR滤波器：每个输入通道和输出通道都可以导入FIR滤波器。提供所投产品技术白皮书。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8.支持≥50组场景预设，可设置预设的调用模式淡入淡出或非静音。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9.提供数字音箱处理器软件著作权证书。</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8E8C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8688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79179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B3E4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35C1F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无线手持话筒（一拖二）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963BA">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2.频段UHF630MHz-689MHz，双通道接收，频点选择性更大。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4F7F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87CE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B588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DA27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C80C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无线领夹话筒（一拖二）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CE9EB">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2.频段UHF630MHz-689MHz，双通道接收，频点选择性更大。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▲6.配双口充电底座，领夹话筒腰包发射器可直接在充电底座上充电，无需取出电池。提供所投产品原厂技术白皮书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B488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5B4A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791F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3399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F0AD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无线会议话筒（一拖四）</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ACAD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▲1.4通道自动混音，发言人数1-4人可选。提供所投产品原厂技术白皮书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2.支持优先发言功能。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3.载波范围：630MHz-689MHz。</w:t>
            </w:r>
          </w:p>
          <w:p w14:paraId="180032D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4.频带宽度：32MHz。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5.调制方式：FM。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7.AFS功能，根据预设的频率分别有通道内扫频或全部频组内扫频，快整精准地算出无干扰的工作频道。</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6908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CC52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01A53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72ED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88A6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合唱话筒</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4ABE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1.带开关，可以两档切换灵敏度。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2.分体设计，易于更换咪头的灵活性。</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3.类型：电容式麦克风。</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4.指向性：心型指向。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5.频率响应：30Hz~20KHz。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6.一致性：±0.5dB。</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B490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BC59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60257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DAC2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5EB3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天线分配器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D294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1、可接入支持≥4台无线系列或其它系列的无线系统工作。</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2、精密的电路设计，具有超低噪声低互调失真特性，并能在多频道同时使用时排除混频干扰。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3、频率范围：630MHz-689MHz。</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9E52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3651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93F8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1B5A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01282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指向性天线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9FF0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1、天线频率范围：630MHz-689MHz 。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2、天线方向性：心形。                                                                                                                      3、天线极化方式：线性 。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4、天线增益：≥6.5dB 。  </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BE1D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7A0D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070D5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4AC3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25E0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监听音箱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1D55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r>
              <w:rPr>
                <w:rFonts w:hint="eastAsia" w:ascii="宋体" w:hAnsi="宋体" w:cs="宋体"/>
                <w:b w:val="0"/>
                <w:bCs w:val="0"/>
                <w:i w:val="0"/>
                <w:iCs w:val="0"/>
                <w:color w:val="auto"/>
                <w:sz w:val="21"/>
                <w:szCs w:val="21"/>
                <w:highlight w:val="none"/>
                <w:u w:val="none"/>
                <w:lang w:val="en-US" w:eastAsia="zh-CN" w:bidi="ar"/>
              </w:rPr>
              <w:t>不劣于</w:t>
            </w:r>
            <w:r>
              <w:rPr>
                <w:rFonts w:hint="eastAsia" w:ascii="宋体" w:hAnsi="宋体" w:eastAsia="宋体" w:cs="宋体"/>
                <w:b w:val="0"/>
                <w:bCs w:val="0"/>
                <w:i w:val="0"/>
                <w:iCs w:val="0"/>
                <w:color w:val="auto"/>
                <w:sz w:val="21"/>
                <w:szCs w:val="21"/>
                <w:highlight w:val="none"/>
                <w:u w:val="none"/>
                <w:lang w:val="en-US" w:eastAsia="zh-CN" w:bidi="ar"/>
              </w:rPr>
              <w:t>4寸低音。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2.输出功率：</w:t>
            </w:r>
            <w:r>
              <w:rPr>
                <w:rFonts w:hint="eastAsia" w:ascii="宋体" w:hAnsi="宋体" w:cs="宋体"/>
                <w:b w:val="0"/>
                <w:bCs w:val="0"/>
                <w:i w:val="0"/>
                <w:iCs w:val="0"/>
                <w:color w:val="auto"/>
                <w:sz w:val="21"/>
                <w:szCs w:val="21"/>
                <w:highlight w:val="none"/>
                <w:u w:val="none"/>
                <w:lang w:val="en-US" w:eastAsia="zh-CN" w:bidi="ar"/>
              </w:rPr>
              <w:t>不劣于</w:t>
            </w:r>
            <w:r>
              <w:rPr>
                <w:rFonts w:hint="eastAsia" w:ascii="宋体" w:hAnsi="宋体" w:eastAsia="宋体" w:cs="宋体"/>
                <w:b w:val="0"/>
                <w:bCs w:val="0"/>
                <w:i w:val="0"/>
                <w:iCs w:val="0"/>
                <w:color w:val="auto"/>
                <w:sz w:val="21"/>
                <w:szCs w:val="21"/>
                <w:highlight w:val="none"/>
                <w:u w:val="none"/>
                <w:lang w:val="en-US" w:eastAsia="zh-CN" w:bidi="ar"/>
              </w:rPr>
              <w:t>21Wx2。</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3.频率响应：</w:t>
            </w:r>
            <w:r>
              <w:rPr>
                <w:rFonts w:hint="eastAsia" w:ascii="宋体" w:hAnsi="宋体" w:cs="宋体"/>
                <w:b w:val="0"/>
                <w:bCs w:val="0"/>
                <w:i w:val="0"/>
                <w:iCs w:val="0"/>
                <w:color w:val="auto"/>
                <w:sz w:val="21"/>
                <w:szCs w:val="21"/>
                <w:highlight w:val="none"/>
                <w:u w:val="none"/>
                <w:lang w:val="en-US" w:eastAsia="zh-CN" w:bidi="ar"/>
              </w:rPr>
              <w:t>不劣于</w:t>
            </w:r>
            <w:r>
              <w:rPr>
                <w:rFonts w:hint="eastAsia" w:ascii="宋体" w:hAnsi="宋体" w:eastAsia="宋体" w:cs="宋体"/>
                <w:b w:val="0"/>
                <w:bCs w:val="0"/>
                <w:i w:val="0"/>
                <w:iCs w:val="0"/>
                <w:color w:val="auto"/>
                <w:sz w:val="21"/>
                <w:szCs w:val="21"/>
                <w:highlight w:val="none"/>
                <w:u w:val="none"/>
                <w:lang w:val="en-US" w:eastAsia="zh-CN" w:bidi="ar"/>
              </w:rPr>
              <w:t>45Hz-20KHz。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4.信噪比:≥85dBA。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w:t>
            </w:r>
            <w:r>
              <w:rPr>
                <w:rFonts w:hint="eastAsia" w:ascii="宋体" w:hAnsi="宋体" w:eastAsia="宋体" w:cs="宋体"/>
                <w:b w:val="0"/>
                <w:bCs w:val="0"/>
                <w:i w:val="0"/>
                <w:iCs w:val="0"/>
                <w:color w:val="auto"/>
                <w:sz w:val="21"/>
                <w:szCs w:val="21"/>
                <w:highlight w:val="none"/>
                <w:u w:val="none"/>
                <w:lang w:val="en-US" w:eastAsia="zh-CN" w:bidi="ar"/>
              </w:rPr>
              <w:t>:≤0.5%。</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7EC2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8FE1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515D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046E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A753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电源管理器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15FF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1.最大输入电流≥40A。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2.单路最大输出电流≥20A。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4.配置高精度输入电压表。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5.具有RS232中控串口，可支持设备同时联机使用。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00E2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0C6D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r>
      <w:tr w14:paraId="068B5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E0C1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6FB4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线阵音箱安装支架</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3E95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吊挂定制，田字吊架1个，U型扣4个，绑带2条，手动葫芦一套，含钢结构加固。</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13D1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350B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r>
      <w:tr w14:paraId="24E9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022E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E3DE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机柜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9C23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42U，600*800标准机柜。</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56DA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4CAF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4948F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D2D5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C965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护套喇叭线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E716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1.2芯绞合加护套扬声器线缆，采用优质高纯度（OFC）无氧铜丝绞合，聚氯乙烯绝缘，聚氯乙烯护套。</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2.导体截面积：不低于2*2.5mm2。</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5C9F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E346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2</w:t>
            </w:r>
            <w:r>
              <w:rPr>
                <w:rFonts w:hint="eastAsia" w:ascii="宋体" w:hAnsi="宋体" w:eastAsia="宋体" w:cs="宋体"/>
                <w:b w:val="0"/>
                <w:bCs w:val="0"/>
                <w:i w:val="0"/>
                <w:iCs w:val="0"/>
                <w:color w:val="auto"/>
                <w:sz w:val="21"/>
                <w:szCs w:val="21"/>
                <w:highlight w:val="none"/>
                <w:u w:val="none"/>
                <w:lang w:val="en-US" w:eastAsia="zh-CN" w:bidi="ar"/>
              </w:rPr>
              <w:t>00</w:t>
            </w:r>
          </w:p>
        </w:tc>
      </w:tr>
      <w:tr w14:paraId="66AA9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9118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1C30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音频线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9D1C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1、2芯加铝箔屏蔽音频安装线缆低电容音频安装线缆。</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2、采用优质高纯度（OFC）无氧铜丝绞合，聚乙烯绝缘。聚氯乙烯护套，护套为绞形，较细，硬线。</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3.护套外径：小于5mm。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4.导体截面积：不</w:t>
            </w:r>
            <w:r>
              <w:rPr>
                <w:rFonts w:hint="eastAsia" w:ascii="宋体" w:hAnsi="宋体" w:cs="宋体"/>
                <w:b w:val="0"/>
                <w:bCs w:val="0"/>
                <w:i w:val="0"/>
                <w:iCs w:val="0"/>
                <w:color w:val="auto"/>
                <w:sz w:val="21"/>
                <w:szCs w:val="21"/>
                <w:highlight w:val="none"/>
                <w:u w:val="none"/>
                <w:lang w:val="en-US" w:eastAsia="zh-CN" w:bidi="ar"/>
              </w:rPr>
              <w:t>劣</w:t>
            </w:r>
            <w:r>
              <w:rPr>
                <w:rFonts w:hint="eastAsia" w:ascii="宋体" w:hAnsi="宋体" w:eastAsia="宋体" w:cs="宋体"/>
                <w:b w:val="0"/>
                <w:bCs w:val="0"/>
                <w:i w:val="0"/>
                <w:iCs w:val="0"/>
                <w:color w:val="auto"/>
                <w:sz w:val="21"/>
                <w:szCs w:val="21"/>
                <w:highlight w:val="none"/>
                <w:u w:val="none"/>
                <w:lang w:val="en-US" w:eastAsia="zh-CN" w:bidi="ar"/>
              </w:rPr>
              <w:t>于2*0.37mm2。</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232A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7340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00</w:t>
            </w:r>
          </w:p>
        </w:tc>
      </w:tr>
      <w:tr w14:paraId="7451A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DDF7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543AC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天线延长线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D2DB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50欧姆天线馈线。</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1FBD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85B5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2</w:t>
            </w:r>
            <w:r>
              <w:rPr>
                <w:rFonts w:hint="eastAsia" w:ascii="宋体" w:hAnsi="宋体" w:eastAsia="宋体" w:cs="宋体"/>
                <w:b w:val="0"/>
                <w:bCs w:val="0"/>
                <w:i w:val="0"/>
                <w:iCs w:val="0"/>
                <w:color w:val="auto"/>
                <w:sz w:val="21"/>
                <w:szCs w:val="21"/>
                <w:highlight w:val="none"/>
                <w:u w:val="none"/>
                <w:lang w:val="en-US" w:eastAsia="zh-CN" w:bidi="ar"/>
              </w:rPr>
              <w:t>0</w:t>
            </w:r>
          </w:p>
        </w:tc>
      </w:tr>
      <w:tr w14:paraId="1036C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B26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BA3A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话筒落地支架</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B473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话筒落地支架。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193C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5BBA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r>
      <w:tr w14:paraId="4F3CD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CFEB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E280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音频隔离变压器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4DFF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1.输入阻抗：600Ω（交流阻抗），输出阻抗：600Ω（交流阻抗）。</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2.输入接口：6.35/XLR(混合接口) x 2。</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3.输出接口：6.35 x 2，XLR x 2。</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4.主要功能：物理性隔离，双层屏蔽电路。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5.输入每通道带三档衰减开关，三种接地模式选择开关。</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8990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7709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r>
      <w:tr w14:paraId="1CB61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6F40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BE5F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音频跳线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D06B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定制音频短跳线</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6450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8B9B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30</w:t>
            </w:r>
          </w:p>
        </w:tc>
      </w:tr>
      <w:tr w14:paraId="200E3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A2CF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8DC3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多媒体插座</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FC3A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含HDMI、音频、电源、卡侬</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A1E1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23A7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r>
      <w:tr w14:paraId="7F95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5CB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F504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桥架</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ABCE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镀锌桥架，规格200*100mm，壁厚1.2mm，含安装配件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5953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139CD">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30</w:t>
            </w:r>
          </w:p>
        </w:tc>
      </w:tr>
      <w:tr w14:paraId="5C1A3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286B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9077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JDG管</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797D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JDG管，直径25mm，壁厚1.2mm，含安装配件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ED00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8D656">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150</w:t>
            </w:r>
          </w:p>
        </w:tc>
      </w:tr>
      <w:tr w14:paraId="26027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6C7D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EFC8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操作台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5D14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1、台面环保型实木颗粒板，台面和侧板套色喷漆。</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2、台面铝型材屏风高度200mm，可以安装标准显示器支架。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3、金属框架拼装结构，框架使用1.5mm厚优质冷轧钢板，前后门和托盘厚1.2mm，每个工作位配备一组19寸机架和一个托盘和一个键盘抽屉。</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2E06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张</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408C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1E84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9DEE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B</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7E94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舞台灯光系统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0BD0A">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F5E23">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6C602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2"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D15B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4D67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成像面光灯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DE2E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w:t>
            </w:r>
            <w:r>
              <w:rPr>
                <w:rFonts w:hint="eastAsia" w:asciiTheme="minorEastAsia" w:hAnsiTheme="minorEastAsia" w:eastAsiaTheme="minorEastAsia" w:cstheme="minorEastAsia"/>
                <w:color w:val="auto"/>
                <w:sz w:val="21"/>
                <w:szCs w:val="21"/>
                <w:highlight w:val="none"/>
              </w:rPr>
              <w:t>）。</w:t>
            </w:r>
          </w:p>
          <w:p w14:paraId="7F17AF87">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543B72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17100LUX/3米（19°）</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0CF84E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230W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34D3424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75AF58D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34CCED5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 xml:space="preserve">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029C836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707E2534">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0B87CF3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F852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8C6C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r>
      <w:tr w14:paraId="67A99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77924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6EAE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一顶光平板会议灯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D438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w:t>
            </w:r>
            <w:r>
              <w:rPr>
                <w:rFonts w:hint="eastAsia" w:asciiTheme="minorEastAsia" w:hAnsiTheme="minorEastAsia" w:eastAsiaTheme="minorEastAsia" w:cstheme="minorEastAsia"/>
                <w:color w:val="auto"/>
                <w:sz w:val="21"/>
                <w:szCs w:val="21"/>
                <w:highlight w:val="none"/>
              </w:rPr>
              <w:t>）。</w:t>
            </w:r>
          </w:p>
          <w:p w14:paraId="6C41F04E">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68EE13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513LUX（在3200K和5600K色温下，距离灯具出光面3米处）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6C44A3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2254A3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44CFA9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4599645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控制通道：≥4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r>
              <w:rPr>
                <w:rFonts w:hint="eastAsia" w:asciiTheme="minorEastAsia" w:hAnsiTheme="minorEastAsia" w:eastAsiaTheme="minorEastAsia" w:cstheme="minorEastAsia"/>
                <w:color w:val="auto"/>
                <w:sz w:val="21"/>
                <w:szCs w:val="21"/>
                <w:highlight w:val="none"/>
              </w:rPr>
              <w:tab/>
            </w:r>
          </w:p>
          <w:p w14:paraId="5E10BFF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369D7A9D">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1A4A9F2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33F6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162C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r>
      <w:tr w14:paraId="4C659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FBD5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BD03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一顶光帕灯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B19C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w:t>
            </w:r>
            <w:r>
              <w:rPr>
                <w:rFonts w:hint="eastAsia" w:asciiTheme="minorEastAsia" w:hAnsiTheme="minorEastAsia" w:eastAsiaTheme="minorEastAsia" w:cstheme="minorEastAsia"/>
                <w:color w:val="auto"/>
                <w:sz w:val="21"/>
                <w:szCs w:val="21"/>
                <w:highlight w:val="none"/>
                <w:lang w:val="en-US" w:eastAsia="zh-CN"/>
              </w:rPr>
              <w:t>或GB/T 31897.201-2025</w:t>
            </w:r>
            <w:r>
              <w:rPr>
                <w:rFonts w:hint="eastAsia" w:asciiTheme="minorEastAsia" w:hAnsiTheme="minorEastAsia" w:eastAsiaTheme="minorEastAsia" w:cstheme="minorEastAsia"/>
                <w:color w:val="auto"/>
                <w:sz w:val="21"/>
                <w:szCs w:val="21"/>
                <w:highlight w:val="none"/>
              </w:rPr>
              <w:t>）。</w:t>
            </w:r>
          </w:p>
          <w:p w14:paraId="2C5A6DD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78927CB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控制通道：≥</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 xml:space="preserve">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p>
          <w:p w14:paraId="2CD4ED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4.外观材料：压铸铝。</w:t>
            </w:r>
          </w:p>
          <w:p w14:paraId="69B28D3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5.带光源过热/过流/过压保护。提供产品技术规格书</w:t>
            </w:r>
            <w:r>
              <w:rPr>
                <w:rFonts w:hint="eastAsia" w:asciiTheme="minorEastAsia" w:hAnsiTheme="minorEastAsia" w:eastAsiaTheme="minorEastAsia" w:cstheme="minorEastAsia"/>
                <w:color w:val="auto"/>
                <w:sz w:val="21"/>
                <w:szCs w:val="21"/>
                <w:highlight w:val="none"/>
              </w:rPr>
              <w:tab/>
            </w:r>
          </w:p>
          <w:p w14:paraId="1482B07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249F3DAC">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3AAD1D7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8.提供所投产品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39AA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CCA9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r>
      <w:tr w14:paraId="3001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12B8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522F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二顶光平板会议灯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F413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w:t>
            </w:r>
            <w:r>
              <w:rPr>
                <w:rFonts w:hint="eastAsia" w:asciiTheme="minorEastAsia" w:hAnsiTheme="minorEastAsia" w:eastAsiaTheme="minorEastAsia" w:cstheme="minorEastAsia"/>
                <w:color w:val="auto"/>
                <w:sz w:val="21"/>
                <w:szCs w:val="21"/>
                <w:highlight w:val="none"/>
              </w:rPr>
              <w:t>）。</w:t>
            </w:r>
          </w:p>
          <w:p w14:paraId="1B062982">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7D0F591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513LUX（在3200K和5600K色温下，距离灯具出光面3米处）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71EF3CF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4A42827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4EAF87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06B7EC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控制通道：≥4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r>
              <w:rPr>
                <w:rFonts w:hint="eastAsia" w:asciiTheme="minorEastAsia" w:hAnsiTheme="minorEastAsia" w:eastAsiaTheme="minorEastAsia" w:cstheme="minorEastAsia"/>
                <w:color w:val="auto"/>
                <w:sz w:val="21"/>
                <w:szCs w:val="21"/>
                <w:highlight w:val="none"/>
              </w:rPr>
              <w:tab/>
            </w:r>
          </w:p>
          <w:p w14:paraId="74F2E8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4A073D70">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7A3B637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r>
              <w:rPr>
                <w:rFonts w:hint="eastAsia" w:ascii="宋体" w:hAnsi="宋体" w:eastAsia="宋体" w:cs="宋体"/>
                <w:b w:val="0"/>
                <w:bCs w:val="0"/>
                <w:color w:val="auto"/>
                <w:sz w:val="21"/>
                <w:szCs w:val="21"/>
                <w:highlight w:val="none"/>
                <w:lang w:eastAsia="zh-CN"/>
              </w:rPr>
              <w:tab/>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817B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6081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r>
      <w:tr w14:paraId="63771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1"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8F1A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7011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二顶光帕灯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A4B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5946259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1A9094B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控制通道：≥</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 xml:space="preserve">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p>
          <w:p w14:paraId="30FF0DB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4.外观材料：压铸铝。</w:t>
            </w:r>
          </w:p>
          <w:p w14:paraId="45DC92D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5.带光源过热/过流/过压保护。提供产品技术规格书</w:t>
            </w:r>
            <w:r>
              <w:rPr>
                <w:rFonts w:hint="eastAsia" w:asciiTheme="minorEastAsia" w:hAnsiTheme="minorEastAsia" w:eastAsiaTheme="minorEastAsia" w:cstheme="minorEastAsia"/>
                <w:color w:val="auto"/>
                <w:sz w:val="21"/>
                <w:szCs w:val="21"/>
                <w:highlight w:val="none"/>
              </w:rPr>
              <w:tab/>
            </w:r>
          </w:p>
          <w:p w14:paraId="30FFE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0DC14D52">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4BB5DAA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8.提供所投产品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FD355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5AE7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r>
      <w:tr w14:paraId="0F708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BF10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0500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三顶光平板会议灯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D702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1C4E3485">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5EE5FF2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513LUX（在3200K和5600K色温下，距离灯具出光面3米处）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083B92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7F15DDB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57AE3D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157AB5C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控制通道：≥4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r>
              <w:rPr>
                <w:rFonts w:hint="eastAsia" w:asciiTheme="minorEastAsia" w:hAnsiTheme="minorEastAsia" w:eastAsiaTheme="minorEastAsia" w:cstheme="minorEastAsia"/>
                <w:color w:val="auto"/>
                <w:sz w:val="21"/>
                <w:szCs w:val="21"/>
                <w:highlight w:val="none"/>
              </w:rPr>
              <w:tab/>
            </w:r>
          </w:p>
          <w:p w14:paraId="4915ED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311A1AE5">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51A8C684">
            <w:pPr>
              <w:keepNext w:val="0"/>
              <w:keepLines w:val="0"/>
              <w:pageBreakBefore w:val="0"/>
              <w:widowControl/>
              <w:suppressLineNumbers w:val="0"/>
              <w:tabs>
                <w:tab w:val="center" w:pos="2547"/>
              </w:tabs>
              <w:spacing w:line="360" w:lineRule="exact"/>
              <w:jc w:val="left"/>
              <w:rPr>
                <w:rFonts w:hint="eastAsia" w:ascii="宋体" w:hAnsi="宋体" w:eastAsia="宋体" w:cs="宋体"/>
                <w:b w:val="0"/>
                <w:bCs w:val="0"/>
                <w:i w:val="0"/>
                <w:iCs w:val="0"/>
                <w:color w:val="auto"/>
                <w:sz w:val="21"/>
                <w:szCs w:val="21"/>
                <w:highlight w:val="none"/>
                <w:u w:val="none"/>
                <w:lang w:eastAsia="zh-CN"/>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C77F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DF50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r>
      <w:tr w14:paraId="5FCF9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4"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C204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99C1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三顶光帕灯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69F7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4965AC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11A67D3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控制通道：≥</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 xml:space="preserve">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p>
          <w:p w14:paraId="0C84DB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4.外观材料：压铸铝。</w:t>
            </w:r>
          </w:p>
          <w:p w14:paraId="2614C76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5.带光源过热/过流/过压保护。提供产品技术规格书</w:t>
            </w:r>
            <w:r>
              <w:rPr>
                <w:rFonts w:hint="eastAsia" w:asciiTheme="minorEastAsia" w:hAnsiTheme="minorEastAsia" w:eastAsiaTheme="minorEastAsia" w:cstheme="minorEastAsia"/>
                <w:color w:val="auto"/>
                <w:sz w:val="21"/>
                <w:szCs w:val="21"/>
                <w:highlight w:val="none"/>
              </w:rPr>
              <w:tab/>
            </w:r>
          </w:p>
          <w:p w14:paraId="2436504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27B9FCC8">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23E54FD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8.提供所投产品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31CF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B5C5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r>
      <w:tr w14:paraId="41328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CF96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FE50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侧光帕灯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8DAC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1B3325E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2A610C5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控制通道：≥</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 xml:space="preserve">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p>
          <w:p w14:paraId="21EFD73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4.外观材料：压铸铝。</w:t>
            </w:r>
          </w:p>
          <w:p w14:paraId="4C6E377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bidi="ar"/>
              </w:rPr>
              <w:t>5.带光源过热/过流/过压保护。提供产品技术规格书</w:t>
            </w:r>
            <w:r>
              <w:rPr>
                <w:rFonts w:hint="eastAsia" w:asciiTheme="minorEastAsia" w:hAnsiTheme="minorEastAsia" w:eastAsiaTheme="minorEastAsia" w:cstheme="minorEastAsia"/>
                <w:color w:val="auto"/>
                <w:sz w:val="21"/>
                <w:szCs w:val="21"/>
                <w:highlight w:val="none"/>
              </w:rPr>
              <w:tab/>
            </w:r>
          </w:p>
          <w:p w14:paraId="700B46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6A660EFA">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0F9B3AA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8.提供所投产品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C024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1565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r>
      <w:tr w14:paraId="6BAE0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C84A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E166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灯光控台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0E93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1.DMX512/1990标准，最大1024个DMX控制通道，两路光电隔离信号输出。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2.最大控制96台电脑灯或96路调光。</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3.内置图形轨迹发生器，有135个内置图形。</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4.每个场景可保存图形数量5个；同时可运行图形数量10个。</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5.可储存60个素材。</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6.支独享素材。</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7.可储存60个重演场景，用于储存多步场景和单步场景。每个多步场景最多可储存600个单步。</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8.可同时输出和运行10个重演场景。</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84C2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A7EB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430E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B775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68A4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信号放大器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0596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1.八路DMX512信号放大器。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2.八个光电隔离信号。</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DDF8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99CB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4979C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BC9B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A3B1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电源直通箱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D688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1.具备过载与短路双重保护高分断空气开关。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2.三相独立电压，电流，监测，三相A.B.C指示灯指示。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3.≥26路×4KW。</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4.内置单项可控电路，可结合控台单独控制每项开通/关断。</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5.供电：三相五线制AC380V±10%，频率50Hz±5%。</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3E8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CCF2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CF0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738F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4975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信号线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62102">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DMX512信号线</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1947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88A7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800</w:t>
            </w:r>
          </w:p>
        </w:tc>
      </w:tr>
      <w:tr w14:paraId="79062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9E1A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EC25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电源线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B39A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RVV3*2.5mm²</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EC4E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E2078">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600</w:t>
            </w:r>
          </w:p>
        </w:tc>
      </w:tr>
      <w:tr w14:paraId="3CB76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CC8A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6EEF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保险链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1EB1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配套</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127F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19F8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101</w:t>
            </w:r>
          </w:p>
        </w:tc>
      </w:tr>
      <w:tr w14:paraId="07EB7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2E3C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0086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铸铝灯钩</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506C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配套</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50C8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9CDE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101</w:t>
            </w:r>
          </w:p>
        </w:tc>
      </w:tr>
      <w:tr w14:paraId="57A8C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E910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FFDA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安装辅材</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E22BDC">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灯光电源跳线，信号跳线，灯光</w:t>
            </w:r>
            <w:r>
              <w:rPr>
                <w:rFonts w:hint="eastAsia" w:ascii="宋体" w:hAnsi="宋体" w:eastAsia="宋体" w:cs="宋体"/>
                <w:b w:val="0"/>
                <w:bCs w:val="0"/>
                <w:i w:val="0"/>
                <w:iCs w:val="0"/>
                <w:color w:val="auto"/>
                <w:sz w:val="21"/>
                <w:szCs w:val="21"/>
                <w:highlight w:val="none"/>
                <w:u w:val="none"/>
                <w:lang w:val="en-US" w:eastAsia="zh-CN" w:bidi="ar"/>
              </w:rPr>
              <w:t>接插件</w:t>
            </w:r>
            <w:r>
              <w:rPr>
                <w:rFonts w:hint="eastAsia" w:ascii="宋体" w:hAnsi="宋体" w:cs="宋体"/>
                <w:b w:val="0"/>
                <w:bCs w:val="0"/>
                <w:i w:val="0"/>
                <w:iCs w:val="0"/>
                <w:color w:val="auto"/>
                <w:sz w:val="21"/>
                <w:szCs w:val="21"/>
                <w:highlight w:val="none"/>
                <w:u w:val="none"/>
                <w:lang w:val="en-US" w:eastAsia="zh-CN" w:bidi="ar"/>
              </w:rPr>
              <w:t>等</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442A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B9BF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CD4E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749E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C</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3152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LED显示系统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6426F">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A69E9">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79EE4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DBB51">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0AC0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主屏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12EFC">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028FC">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FC571">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2B0ED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CD63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68CC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LED显示屏(核心产品)</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78CF7">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全彩LED显示屏，像素点间距≤2.</w:t>
            </w:r>
            <w:r>
              <w:rPr>
                <w:rFonts w:hint="eastAsia" w:asciiTheme="minorEastAsia" w:hAnsiTheme="minorEastAsia" w:eastAsiaTheme="minorEastAsia" w:cstheme="minorEastAsia"/>
                <w:b w:val="0"/>
                <w:bCs w:val="0"/>
                <w:color w:val="auto"/>
                <w:sz w:val="21"/>
                <w:szCs w:val="21"/>
                <w:highlight w:val="none"/>
                <w:u w:val="none"/>
                <w:lang w:val="en-US" w:eastAsia="zh-CN"/>
              </w:rPr>
              <w:t>5</w:t>
            </w:r>
            <w:r>
              <w:rPr>
                <w:rFonts w:hint="eastAsia" w:asciiTheme="minorEastAsia" w:hAnsiTheme="minorEastAsia" w:eastAsiaTheme="minorEastAsia" w:cstheme="minorEastAsia"/>
                <w:b w:val="0"/>
                <w:bCs w:val="0"/>
                <w:color w:val="auto"/>
                <w:sz w:val="21"/>
                <w:szCs w:val="21"/>
                <w:highlight w:val="none"/>
                <w:u w:val="none"/>
              </w:rPr>
              <w:t>mm。外形尺寸： 安装空间允许屏体最大外廓尺寸≈长12.48米*高4.96米计61.9平方。</w:t>
            </w: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p w14:paraId="0F7BF6A1">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封装技术：显示屏采用SMD、COB或经市场验证的微间距集成封装技术（如Mini/Micro LED on PCB）。提供所投产品型号制造商公开技术文档（如白皮书、产品规格书、彩页、官网规格页截图）其中须明确标注所采用的封装技术类型。</w:t>
            </w:r>
          </w:p>
          <w:p w14:paraId="4DA2A106">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刷新率：刷新率≥3840Hz，支持50Hz/60Hz换帧频率；平整度与拼缝：模组平整度≤0.1mm，相邻模组间拼接间隙≤0.1mm。提供以下之一：  </w:t>
            </w:r>
          </w:p>
          <w:p w14:paraId="35F4E5D3">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433C7FBE">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p w14:paraId="76F248F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 箱体材料：采用压铸铝或高强度铝合金箱体（箱体所有包括底壳及后盖材质均为铝合金等金属材料）。提供承诺函和并附所投产品箱体清晰的实物照片或产品结构图。</w:t>
            </w:r>
          </w:p>
          <w:p w14:paraId="2C5F35B3">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5. 维护方式：支持前维护或快速前拆卸维护，无需进入屏体后方即可完成模组、电源、控制卡等关键部件更换；散热与可维护性：采用无风扇自然散热设计，电源与控制系统支持热插拔。提供产品结构图或技术白皮书予以说明。 </w:t>
            </w:r>
          </w:p>
          <w:p w14:paraId="0D90044F">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 光学性能与环境光适应性：显示屏表面采用低反射处理技术（如黑灯珠、深黑面罩、光学涂层等），</w:t>
            </w:r>
            <w:r>
              <w:rPr>
                <w:rFonts w:hint="eastAsia" w:asciiTheme="minorEastAsia" w:hAnsiTheme="minorEastAsia" w:eastAsiaTheme="minorEastAsia" w:cstheme="minorEastAsia"/>
                <w:color w:val="auto"/>
                <w:sz w:val="21"/>
                <w:szCs w:val="21"/>
                <w:highlight w:val="none"/>
                <w:u w:val="none"/>
              </w:rPr>
              <w:t>以保证在会议室常规光照环境下具有抗环境光干扰能力，无明显眩光。</w:t>
            </w:r>
          </w:p>
          <w:p w14:paraId="31FA09E3">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7</w:t>
            </w:r>
            <w:r>
              <w:rPr>
                <w:rFonts w:hint="eastAsia" w:asciiTheme="minorEastAsia" w:hAnsiTheme="minorEastAsia" w:eastAsiaTheme="minorEastAsia" w:cstheme="minorEastAsia"/>
                <w:color w:val="auto"/>
                <w:sz w:val="21"/>
                <w:szCs w:val="21"/>
                <w:highlight w:val="none"/>
                <w:u w:val="none"/>
              </w:rPr>
              <w:t>. 亮度与均匀性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最大亮度≥</w:t>
            </w:r>
            <w:r>
              <w:rPr>
                <w:rFonts w:hint="eastAsia" w:asciiTheme="minorEastAsia" w:hAnsiTheme="minorEastAsia" w:eastAsiaTheme="minorEastAsia" w:cstheme="minorEastAsia"/>
                <w:color w:val="auto"/>
                <w:sz w:val="21"/>
                <w:szCs w:val="21"/>
                <w:highlight w:val="none"/>
                <w:u w:val="none"/>
                <w:lang w:val="en-US" w:eastAsia="zh-CN"/>
              </w:rPr>
              <w:t>8</w:t>
            </w:r>
            <w:r>
              <w:rPr>
                <w:rFonts w:hint="eastAsia" w:asciiTheme="minorEastAsia" w:hAnsiTheme="minorEastAsia" w:eastAsiaTheme="minorEastAsia" w:cstheme="minorEastAsia"/>
                <w:color w:val="auto"/>
                <w:sz w:val="21"/>
                <w:szCs w:val="21"/>
                <w:highlight w:val="none"/>
                <w:u w:val="none"/>
              </w:rPr>
              <w:t>00cd/m²且支持0%-100%无级调光，亮度均匀性≥97%，</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整屏色度均匀性：≤±0.005Cx,Cy或</w:t>
            </w:r>
            <w:r>
              <w:rPr>
                <w:rFonts w:hint="eastAsia" w:asciiTheme="minorEastAsia" w:hAnsiTheme="minorEastAsia" w:eastAsiaTheme="minorEastAsia" w:cstheme="minorEastAsia"/>
                <w:color w:val="auto"/>
                <w:sz w:val="21"/>
                <w:szCs w:val="21"/>
                <w:highlight w:val="none"/>
                <w:u w:val="none"/>
              </w:rPr>
              <w:t>色度均匀性Δx, Δy ≤0.00</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。提供以下</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之一：  </w:t>
            </w:r>
          </w:p>
          <w:p w14:paraId="4326F5F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0E4E172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（2）原厂逐点校正报告（含校正前后数据对比），符合 SJ/T 11141</w:t>
            </w:r>
            <w:r>
              <w:rPr>
                <w:rFonts w:hint="eastAsia" w:asciiTheme="minorEastAsia" w:hAnsiTheme="minorEastAsia" w:eastAsiaTheme="minorEastAsia" w:cstheme="minorEastAsia"/>
                <w:color w:val="auto"/>
                <w:sz w:val="21"/>
                <w:szCs w:val="21"/>
                <w:highlight w:val="none"/>
                <w:u w:val="none"/>
                <w:lang w:val="en-US" w:eastAsia="zh-CN"/>
              </w:rPr>
              <w:t>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rPr>
              <w:t xml:space="preserve">，数据可追溯。 </w:t>
            </w:r>
          </w:p>
          <w:p w14:paraId="4720051D">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8</w:t>
            </w:r>
            <w:r>
              <w:rPr>
                <w:rFonts w:hint="eastAsia" w:asciiTheme="minorEastAsia" w:hAnsiTheme="minorEastAsia" w:eastAsiaTheme="minorEastAsia" w:cstheme="minorEastAsia"/>
                <w:color w:val="auto"/>
                <w:sz w:val="21"/>
                <w:szCs w:val="21"/>
                <w:highlight w:val="none"/>
                <w:u w:val="none"/>
              </w:rPr>
              <w:t>. 灰度、对比度与视角</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 xml:space="preserve">灰度等级≥16bit，对比度≥5000:1，水平视角≥160°，垂直视角≥140°（以亮度降至一半为边界）。提供以下之一：  </w:t>
            </w:r>
          </w:p>
          <w:p w14:paraId="50004F5F">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15C0D36F">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（2）制造商技术白皮书，其中参数须注明测试条件（环境照度、测量距离、仪器型号、信号源格式）</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承诺数据真实性</w:t>
            </w:r>
            <w:r>
              <w:rPr>
                <w:rFonts w:hint="eastAsia" w:asciiTheme="minorEastAsia" w:hAnsiTheme="minorEastAsia" w:eastAsiaTheme="minorEastAsia" w:cstheme="minorEastAsia"/>
                <w:color w:val="auto"/>
                <w:sz w:val="21"/>
                <w:szCs w:val="21"/>
                <w:highlight w:val="none"/>
                <w:u w:val="none"/>
              </w:rPr>
              <w:t>。</w:t>
            </w:r>
          </w:p>
          <w:p w14:paraId="3511F837">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9</w:t>
            </w:r>
            <w:r>
              <w:rPr>
                <w:rFonts w:hint="eastAsia" w:asciiTheme="minorEastAsia" w:hAnsiTheme="minorEastAsia" w:eastAsiaTheme="minorEastAsia" w:cstheme="minorEastAsia"/>
                <w:color w:val="auto"/>
                <w:sz w:val="21"/>
                <w:szCs w:val="21"/>
                <w:highlight w:val="none"/>
                <w:u w:val="none"/>
              </w:rPr>
              <w:t>. 功耗与电源效率</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采用恒流驱动方式</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平均功耗≤</w:t>
            </w:r>
            <w:r>
              <w:rPr>
                <w:rFonts w:hint="eastAsia" w:asciiTheme="minorEastAsia" w:hAnsiTheme="minorEastAsia" w:eastAsiaTheme="minorEastAsia" w:cstheme="minorEastAsia"/>
                <w:color w:val="auto"/>
                <w:sz w:val="21"/>
                <w:szCs w:val="21"/>
                <w:highlight w:val="none"/>
                <w:u w:val="none"/>
                <w:lang w:val="en-US" w:eastAsia="zh-CN"/>
              </w:rPr>
              <w:t>200</w:t>
            </w:r>
            <w:r>
              <w:rPr>
                <w:rFonts w:hint="eastAsia" w:asciiTheme="minorEastAsia" w:hAnsiTheme="minorEastAsia" w:eastAsiaTheme="minorEastAsia" w:cstheme="minorEastAsia"/>
                <w:color w:val="auto"/>
                <w:sz w:val="21"/>
                <w:szCs w:val="21"/>
                <w:highlight w:val="none"/>
                <w:u w:val="none"/>
              </w:rPr>
              <w:t>W/m²； 供电电源功率因数≥90%，转换效率≥85%。 提供以下之一</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  </w:t>
            </w:r>
          </w:p>
          <w:p w14:paraId="18D51DA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关键页扫描件(依据标准依据 GB/T 43770-2024或 SJ/T 11141中关于“节能”的要求进行检测）</w:t>
            </w:r>
            <w:r>
              <w:rPr>
                <w:rFonts w:hint="eastAsia" w:asciiTheme="minorEastAsia" w:hAnsiTheme="minorEastAsia" w:eastAsiaTheme="minorEastAsia" w:cstheme="minorEastAsia"/>
                <w:color w:val="auto"/>
                <w:sz w:val="21"/>
                <w:szCs w:val="21"/>
                <w:highlight w:val="none"/>
                <w:u w:val="none"/>
              </w:rPr>
              <w:t xml:space="preserve">；  </w:t>
            </w:r>
          </w:p>
          <w:p w14:paraId="3446CCF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（2）原厂测试数据</w:t>
            </w:r>
            <w:r>
              <w:rPr>
                <w:rFonts w:hint="eastAsia" w:asciiTheme="minorEastAsia" w:hAnsiTheme="minorEastAsia" w:eastAsiaTheme="minorEastAsia" w:cstheme="minorEastAsia"/>
                <w:color w:val="auto"/>
                <w:sz w:val="21"/>
                <w:szCs w:val="21"/>
                <w:highlight w:val="none"/>
                <w:u w:val="none"/>
                <w:lang w:val="en-US" w:eastAsia="zh-CN"/>
              </w:rPr>
              <w:t>报告，</w:t>
            </w:r>
            <w:r>
              <w:rPr>
                <w:rFonts w:hint="eastAsia" w:asciiTheme="minorEastAsia" w:hAnsiTheme="minorEastAsia" w:eastAsiaTheme="minorEastAsia" w:cstheme="minorEastAsia"/>
                <w:color w:val="auto"/>
                <w:sz w:val="21"/>
                <w:szCs w:val="21"/>
              </w:rPr>
              <w:t>报告中须注明测试负载（如全白场、典型画面）、信号源格式、输入电压、环境温度等测试条件，并附数据真实性的</w:t>
            </w:r>
            <w:r>
              <w:rPr>
                <w:rStyle w:val="28"/>
                <w:rFonts w:hint="eastAsia" w:asciiTheme="minorEastAsia" w:hAnsiTheme="minorEastAsia" w:eastAsiaTheme="minorEastAsia" w:cstheme="minorEastAsia"/>
                <w:color w:val="auto"/>
                <w:sz w:val="21"/>
                <w:szCs w:val="21"/>
              </w:rPr>
              <w:t>承诺函</w:t>
            </w:r>
            <w:r>
              <w:rPr>
                <w:rFonts w:hint="eastAsia" w:asciiTheme="minorEastAsia" w:hAnsiTheme="minorEastAsia" w:eastAsiaTheme="minorEastAsia" w:cstheme="minorEastAsia"/>
                <w:color w:val="auto"/>
                <w:sz w:val="21"/>
                <w:szCs w:val="21"/>
              </w:rPr>
              <w:t>（格式自拟）</w:t>
            </w:r>
            <w:r>
              <w:rPr>
                <w:rFonts w:hint="eastAsia" w:asciiTheme="minorEastAsia" w:hAnsiTheme="minorEastAsia" w:eastAsiaTheme="minorEastAsia" w:cstheme="minorEastAsia"/>
                <w:color w:val="auto"/>
                <w:sz w:val="21"/>
                <w:szCs w:val="21"/>
                <w:highlight w:val="none"/>
                <w:u w:val="none"/>
              </w:rPr>
              <w:t>。</w:t>
            </w:r>
          </w:p>
          <w:p w14:paraId="79FE2A1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0</w:t>
            </w:r>
            <w:r>
              <w:rPr>
                <w:rFonts w:hint="eastAsia" w:asciiTheme="minorEastAsia" w:hAnsiTheme="minorEastAsia" w:eastAsiaTheme="minorEastAsia" w:cstheme="minorEastAsia"/>
                <w:color w:val="auto"/>
                <w:sz w:val="21"/>
                <w:szCs w:val="21"/>
                <w:highlight w:val="none"/>
                <w:u w:val="none"/>
              </w:rPr>
              <w:t>. 图像处理功能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具备单点亮度/色度校正、亮暗线补偿、图像降噪、运动补偿等功能。提供功能说明文档</w:t>
            </w:r>
            <w:r>
              <w:rPr>
                <w:rFonts w:hint="eastAsia" w:asciiTheme="minorEastAsia" w:hAnsiTheme="minorEastAsia" w:eastAsiaTheme="minorEastAsia" w:cstheme="minorEastAsia"/>
                <w:color w:val="auto"/>
                <w:sz w:val="21"/>
                <w:szCs w:val="21"/>
                <w:highlight w:val="none"/>
                <w:u w:val="none"/>
                <w:lang w:val="en-US" w:eastAsia="zh-CN"/>
              </w:rPr>
              <w:t>或</w:t>
            </w:r>
            <w:r>
              <w:rPr>
                <w:rFonts w:hint="eastAsia" w:asciiTheme="minorEastAsia" w:hAnsiTheme="minorEastAsia" w:eastAsiaTheme="minorEastAsia" w:cstheme="minorEastAsia"/>
                <w:color w:val="auto"/>
                <w:sz w:val="21"/>
                <w:szCs w:val="21"/>
                <w:highlight w:val="none"/>
                <w:u w:val="none"/>
              </w:rPr>
              <w:t>软件界面截图（体现功能开关状态）</w:t>
            </w:r>
            <w:r>
              <w:rPr>
                <w:rFonts w:hint="eastAsia" w:asciiTheme="minorEastAsia" w:hAnsiTheme="minorEastAsia" w:eastAsiaTheme="minorEastAsia" w:cstheme="minorEastAsia"/>
                <w:color w:val="auto"/>
                <w:sz w:val="21"/>
                <w:szCs w:val="21"/>
                <w:highlight w:val="none"/>
                <w:u w:val="none"/>
                <w:lang w:eastAsia="zh-CN"/>
              </w:rPr>
              <w:t>。</w:t>
            </w:r>
          </w:p>
          <w:p w14:paraId="748D477E">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1</w:t>
            </w:r>
            <w:r>
              <w:rPr>
                <w:rFonts w:hint="eastAsia" w:asciiTheme="minorEastAsia" w:hAnsiTheme="minorEastAsia" w:eastAsiaTheme="minorEastAsia" w:cstheme="minorEastAsia"/>
                <w:color w:val="auto"/>
                <w:sz w:val="21"/>
                <w:szCs w:val="21"/>
                <w:highlight w:val="none"/>
                <w:u w:val="none"/>
              </w:rPr>
              <w:t>. 环境适应性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投标产品或其关键元器件（LED显示模组、电源） 应具备良好的环境适应性。提供所投产品或其所采用的关键元器件由具备有效CMA资质的检测机构出具的封面盖有CMA专用印章的检测报告原件关键页扫描件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检测依据</w:t>
            </w:r>
            <w:r>
              <w:rPr>
                <w:rFonts w:hint="eastAsia" w:asciiTheme="minorEastAsia" w:hAnsiTheme="minorEastAsia" w:eastAsiaTheme="minorEastAsia" w:cstheme="minorEastAsia"/>
                <w:color w:val="auto"/>
                <w:sz w:val="21"/>
                <w:szCs w:val="21"/>
                <w:highlight w:val="none"/>
                <w:u w:val="none"/>
              </w:rPr>
              <w:t>GB/T 2423</w:t>
            </w:r>
            <w:r>
              <w:rPr>
                <w:rFonts w:hint="eastAsia" w:asciiTheme="minorEastAsia" w:hAnsiTheme="minorEastAsia" w:eastAsiaTheme="minorEastAsia" w:cstheme="minorEastAsia"/>
                <w:color w:val="auto"/>
                <w:sz w:val="21"/>
                <w:szCs w:val="21"/>
                <w:highlight w:val="none"/>
                <w:u w:val="none"/>
                <w:lang w:val="en-US" w:eastAsia="zh-CN"/>
              </w:rPr>
              <w:t>现行标准</w:t>
            </w:r>
            <w:r>
              <w:rPr>
                <w:rFonts w:hint="eastAsia" w:asciiTheme="minorEastAsia" w:hAnsiTheme="minorEastAsia" w:eastAsiaTheme="minorEastAsia" w:cstheme="minorEastAsia"/>
                <w:color w:val="auto"/>
                <w:sz w:val="21"/>
                <w:szCs w:val="21"/>
                <w:highlight w:val="none"/>
                <w:u w:val="none"/>
              </w:rPr>
              <w:t>，报告需</w:t>
            </w:r>
            <w:r>
              <w:rPr>
                <w:rFonts w:hint="eastAsia" w:asciiTheme="minorEastAsia" w:hAnsiTheme="minorEastAsia" w:eastAsiaTheme="minorEastAsia" w:cstheme="minorEastAsia"/>
                <w:color w:val="auto"/>
                <w:sz w:val="21"/>
                <w:szCs w:val="21"/>
                <w:highlight w:val="none"/>
                <w:u w:val="none"/>
                <w:lang w:val="en-US" w:eastAsia="zh-CN"/>
              </w:rPr>
              <w:t>至少</w:t>
            </w:r>
            <w:r>
              <w:rPr>
                <w:rFonts w:hint="eastAsia" w:asciiTheme="minorEastAsia" w:hAnsiTheme="minorEastAsia" w:eastAsiaTheme="minorEastAsia" w:cstheme="minorEastAsia"/>
                <w:color w:val="auto"/>
                <w:sz w:val="21"/>
                <w:szCs w:val="21"/>
                <w:highlight w:val="none"/>
                <w:u w:val="none"/>
              </w:rPr>
              <w:t>能证明低温存储、高温工作、恒定湿热</w:t>
            </w:r>
            <w:r>
              <w:rPr>
                <w:rFonts w:hint="eastAsia" w:asciiTheme="minorEastAsia" w:hAnsiTheme="minorEastAsia" w:eastAsiaTheme="minorEastAsia" w:cstheme="minorEastAsia"/>
                <w:color w:val="auto"/>
                <w:sz w:val="21"/>
                <w:szCs w:val="21"/>
                <w:highlight w:val="none"/>
                <w:u w:val="none"/>
                <w:lang w:val="en-US" w:eastAsia="zh-CN"/>
              </w:rPr>
              <w:t>符合</w:t>
            </w:r>
            <w:r>
              <w:rPr>
                <w:rFonts w:hint="eastAsia" w:asciiTheme="minorEastAsia" w:hAnsiTheme="minorEastAsia" w:eastAsiaTheme="minorEastAsia" w:cstheme="minorEastAsia"/>
                <w:color w:val="auto"/>
                <w:sz w:val="21"/>
                <w:szCs w:val="21"/>
                <w:highlight w:val="none"/>
                <w:u w:val="none"/>
              </w:rPr>
              <w:t>标准要求</w:t>
            </w:r>
            <w:r>
              <w:rPr>
                <w:rFonts w:hint="eastAsia" w:asciiTheme="minorEastAsia" w:hAnsiTheme="minorEastAsia" w:eastAsiaTheme="minorEastAsia" w:cstheme="minorEastAsia"/>
                <w:color w:val="auto"/>
                <w:sz w:val="21"/>
                <w:szCs w:val="21"/>
                <w:highlight w:val="none"/>
                <w:u w:val="none"/>
                <w:lang w:eastAsia="zh-CN"/>
              </w:rPr>
              <w:t>）。</w:t>
            </w:r>
          </w:p>
          <w:p w14:paraId="06D68B4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none"/>
              </w:rPr>
              <w:t>. 防护等级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屏体整体IP防护等级≥IP</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X（防尘）</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4208-2017</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109A624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 光生物安全与视觉舒适性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符合光生物安全RG0等级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20145-2006 或 IEC 62471:2006</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；或提供国家认可的第三方机构出具的视觉健康认证证书。</w:t>
            </w:r>
          </w:p>
          <w:p w14:paraId="6E51F8F6">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4</w:t>
            </w:r>
            <w:r>
              <w:rPr>
                <w:rFonts w:hint="eastAsia" w:asciiTheme="minorEastAsia" w:hAnsiTheme="minorEastAsia" w:eastAsiaTheme="minorEastAsia" w:cstheme="minorEastAsia"/>
                <w:color w:val="auto"/>
                <w:sz w:val="21"/>
                <w:szCs w:val="21"/>
                <w:highlight w:val="none"/>
                <w:u w:val="none"/>
              </w:rPr>
              <w:t>. 智能节电功能</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具备根据环境光强度或画面内容自动调节亮度的智能节电功能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提供技术说明或系统界面截图（体现自动调节逻辑及阈值设置）</w:t>
            </w:r>
            <w:r>
              <w:rPr>
                <w:rFonts w:hint="eastAsia" w:asciiTheme="minorEastAsia" w:hAnsiTheme="minorEastAsia" w:eastAsiaTheme="minorEastAsia" w:cstheme="minorEastAsia"/>
                <w:color w:val="auto"/>
                <w:sz w:val="21"/>
                <w:szCs w:val="21"/>
                <w:highlight w:val="none"/>
                <w:u w:val="none"/>
                <w:lang w:eastAsia="zh-CN"/>
              </w:rPr>
              <w:t>。</w:t>
            </w:r>
          </w:p>
          <w:p w14:paraId="1B57B49F">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 寿命与可靠性</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LED模组理论使用寿命不低于10万小时。提供原厂加速老化试验报告或由具备有效CMA资质的检测机构出具的封面盖有CMA专用印章的</w:t>
            </w:r>
            <w:r>
              <w:rPr>
                <w:rFonts w:hint="eastAsia" w:asciiTheme="minorEastAsia" w:hAnsiTheme="minorEastAsia" w:eastAsiaTheme="minorEastAsia" w:cstheme="minorEastAsia"/>
                <w:color w:val="auto"/>
                <w:sz w:val="21"/>
                <w:szCs w:val="21"/>
                <w:highlight w:val="none"/>
                <w:u w:val="none"/>
                <w:lang w:val="en-US" w:eastAsia="zh-CN"/>
              </w:rPr>
              <w:t>平均失效间隔工作时间或平均无故障时间的</w:t>
            </w:r>
            <w:r>
              <w:rPr>
                <w:rFonts w:hint="eastAsia" w:asciiTheme="minorEastAsia" w:hAnsiTheme="minorEastAsia" w:eastAsiaTheme="minorEastAsia" w:cstheme="minorEastAsia"/>
                <w:color w:val="auto"/>
                <w:sz w:val="21"/>
                <w:szCs w:val="21"/>
                <w:highlight w:val="none"/>
                <w:u w:val="none"/>
              </w:rPr>
              <w:t>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依据标准</w:t>
            </w:r>
            <w:r>
              <w:rPr>
                <w:rStyle w:val="28"/>
                <w:rFonts w:hint="eastAsia" w:asciiTheme="minorEastAsia" w:hAnsiTheme="minorEastAsia" w:eastAsiaTheme="minorEastAsia" w:cstheme="minorEastAsia"/>
                <w:color w:val="auto"/>
                <w:sz w:val="21"/>
                <w:szCs w:val="21"/>
              </w:rPr>
              <w:t>GB/T 5080</w:t>
            </w:r>
            <w:r>
              <w:rPr>
                <w:rStyle w:val="28"/>
                <w:rFonts w:hint="eastAsia" w:asciiTheme="minorEastAsia" w:hAnsiTheme="minorEastAsia" w:eastAsiaTheme="minorEastAsia" w:cstheme="minorEastAsia"/>
                <w:color w:val="auto"/>
                <w:sz w:val="21"/>
                <w:szCs w:val="21"/>
                <w:lang w:val="en-US" w:eastAsia="zh-CN"/>
              </w:rPr>
              <w:t>或</w:t>
            </w:r>
            <w:r>
              <w:rPr>
                <w:rFonts w:hint="eastAsia" w:asciiTheme="minorEastAsia" w:hAnsiTheme="minorEastAsia" w:eastAsiaTheme="minorEastAsia" w:cstheme="minorEastAsia"/>
                <w:color w:val="auto"/>
                <w:sz w:val="21"/>
                <w:szCs w:val="21"/>
                <w:highlight w:val="none"/>
                <w:u w:val="none"/>
                <w:lang w:val="en-US" w:eastAsia="zh-CN"/>
              </w:rPr>
              <w:t>SJ/T 11141</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221A335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4EBF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920D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61.9</w:t>
            </w:r>
          </w:p>
        </w:tc>
      </w:tr>
      <w:tr w14:paraId="177EF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BEAD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EC78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视频处理器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BD950">
            <w:pPr>
              <w:keepNext w:val="0"/>
              <w:keepLines w:val="0"/>
              <w:pageBreakBefore w:val="0"/>
              <w:widowControl/>
              <w:numPr>
                <w:ilvl w:val="0"/>
                <w:numId w:val="8"/>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采用硬件FPGA嵌入式架构，采用模块化板卡的硬件设计，产品拓展性强，拼接处理和发送卡的高度集成，可支持超远距离传输，降低信号传输过程中的损失。</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2、配置多张≥2K输入板卡，单卡≥4个输入接口，配置一张 ≥16 网口LED 拼接发送板卡，支持多屏多图层管理，输入输出EDID 管理和预监，输入源名称修改，BKG 和OSD 设置等操作。</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模块化插卡式设计，风扇板、AUX卡、主控卡均采用插卡式设计，提升了系统设计以及改造升级时操作的灵活度，组合灵活，维护简单，可有效降低设备故障率，设备（温度、电压、风扇）在线状态监测读取，实时监控，稳定可靠有保障。</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4、单个输出板卡可支持16个窗口叠加显示，支持窗口图像漫游、无极缩放、画面截取、翻转、冻结。</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5、支持屏幕非规则建屏，单卡单接口建屏，2k接口输出最大分辨率为2560x972或884x2560，单张DVI和HDMI输出卡最大分辨率为10240x972或884x10240。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6、支持对所有输入源同时预监。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7、支持在常用PC操作系统或移动端或WEB环境下进行操作，轻松实现跨平台、跨系统的交互与访问控制。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2524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6C02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A1A8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E9F6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4576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控制系统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5E13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尺寸(mm):67.60X35.0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数据组数:并行32组，串行128组</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最大带载:512X384</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输出接口:DDR2</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最大扫描数:64</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66D1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F37B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90C9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EC62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77A5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播控主机</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56F84">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1.2U机箱，国产处理器，国产正版操作系统，32GB 高速内存，1T高速固态硬盘。</w:t>
            </w:r>
          </w:p>
          <w:p w14:paraId="116D31B9">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2.支持3个高清接口输出，3路4K60HZ输出。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3.单机最高支持8K×2K输出带载，同时支持超大分辨率的视频解码和点对点显示。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4.支持多个输出口的拆分重组以及旋转、完成对不规则显示屏的带载，实现创意拼接显示。</w:t>
            </w:r>
          </w:p>
          <w:p w14:paraId="4CD5D374">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5.支持8图层和1个音频图层同时播放。</w:t>
            </w:r>
          </w:p>
          <w:p w14:paraId="0E41A198">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6.含配套播放软件。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90E8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AA0C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09FF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8A3A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4E2C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LED专用配电柜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F06C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1.供电功率：≥50KW的室内标准配电柜，配电柜开头配置满足LED屏供电需求。</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2.LED专用配电柜，含过压、过流、断电保护抗涌流、防雷、分区延时供电功能，支持智能远程控电具备智能远程控制开关，远程故障报警，远程开关屏等功能。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3.为保证产品的稳定性。提供有效期内的CCC认证证书或强制性认证产品符合性自我声明。</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BA16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F608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1CF2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8268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F023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大屏钢结构及装修装饰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69F8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1.镀锌钢架结构，不锈钢包边，设备与装潢协调，嵌入墙体安装，显示屏结构需有LED显示屏厂家设计施工。</w:t>
            </w:r>
          </w:p>
          <w:p w14:paraId="1B8C99CF">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▲2.为保证钢结构安全，LED厂家需提供钢结构贰级资质证书</w:t>
            </w:r>
            <w:r>
              <w:rPr>
                <w:rFonts w:hint="eastAsia" w:ascii="宋体" w:hAnsi="宋体" w:cs="宋体"/>
                <w:b w:val="0"/>
                <w:bCs w:val="0"/>
                <w:i w:val="0"/>
                <w:iCs w:val="0"/>
                <w:color w:val="auto"/>
                <w:sz w:val="21"/>
                <w:szCs w:val="21"/>
                <w:highlight w:val="none"/>
                <w:u w:val="none"/>
                <w:lang w:val="en-US" w:eastAsia="zh-CN" w:bidi="ar"/>
              </w:rPr>
              <w:t>扫描件</w:t>
            </w:r>
            <w:r>
              <w:rPr>
                <w:rFonts w:hint="eastAsia" w:ascii="宋体" w:hAnsi="宋体" w:eastAsia="宋体" w:cs="宋体"/>
                <w:b w:val="0"/>
                <w:bCs w:val="0"/>
                <w:i w:val="0"/>
                <w:iCs w:val="0"/>
                <w:color w:val="auto"/>
                <w:sz w:val="21"/>
                <w:szCs w:val="21"/>
                <w:highlight w:val="none"/>
                <w:u w:val="none"/>
                <w:lang w:val="en-US" w:eastAsia="zh-CN" w:bidi="ar"/>
              </w:rPr>
              <w:t>并加盖公章。</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9878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FC4B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61.9</w:t>
            </w:r>
          </w:p>
        </w:tc>
      </w:tr>
      <w:tr w14:paraId="44BDF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0485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5C85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无线协作系统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2AF8E">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1.支持Type-C和USB无线传屏器，可兼容市面上具备通用型USB及Type-C接口的电脑。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2.HDMI支持双屏异显、双屏同显，方便客户端展示。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3.支持POE供电，方便客户部署。</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4.采用RK 3399或以上芯片，6核CPU或者以上，内置Android 9.0或以上操作系统，存储容量≥16G ROM，系统内存≥4G RAM。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5.需整机一体性，内置天线设计，无外部天线设备。</w:t>
            </w:r>
          </w:p>
          <w:p w14:paraId="05BC5417">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6.整机支持桌面壁纸的更换。</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7.可同时支持9画面。</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8.本次配置2个无线传屏器。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D325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C43D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9899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45B6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29C8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HDMI高清收发器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8949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2.单根CAT5e/CAT6a/光纤电缆传输分辨率为1080P的HDMI信号最大距离为150米，传输分辨率为4Kx2K的HDMI信号最大距离为100米。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3.符合HDCP2.2和HDMI2.0标准。</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5.支持未压缩音频LPCM和压缩音频DTS-HD,Dolby True HD。</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C085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455E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r>
      <w:tr w14:paraId="56980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A276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1518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布线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FE4B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配套电源线</w:t>
            </w:r>
            <w:r>
              <w:rPr>
                <w:rFonts w:hint="eastAsia" w:ascii="宋体" w:hAnsi="宋体" w:cs="宋体"/>
                <w:b w:val="0"/>
                <w:bCs w:val="0"/>
                <w:i w:val="0"/>
                <w:iCs w:val="0"/>
                <w:color w:val="auto"/>
                <w:sz w:val="21"/>
                <w:szCs w:val="21"/>
                <w:highlight w:val="none"/>
                <w:u w:val="none"/>
                <w:lang w:val="en-US" w:eastAsia="zh-CN" w:bidi="ar"/>
              </w:rPr>
              <w:t>等（不含网线）</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09B3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0544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7020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A7C71">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CC70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会标屏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12CFED">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F6C77">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CE190">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0581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F99B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EC19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LED显示屏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E651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1、P4.75单红，尺寸：15.8*0.608=8.512平方。</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2、工作电压、模组功率：采用节能电源超静音电源，驱动IC、扫描方式：高刷恒流源驱动  1/16。</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3、白平衡亮度、白平衡色温：600CD/㎡、6500K-11000K。</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4、视角、屏面平整度、模组间隙：H:120°；V:60°、≤0.25mm、≤0.25mm。</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E61A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FB8A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9.6</w:t>
            </w:r>
          </w:p>
        </w:tc>
      </w:tr>
      <w:tr w14:paraId="79D30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281A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1D45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控制器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C7BD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网络播放，支持各种扫描方式，支持各种字体及播放特技。</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3653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32EB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76A1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62FE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909B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大屏钢结构及装修装饰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A9B0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1.镀锌钢架结构，不锈钢包边，设备与装潢协调，嵌入墙体安装，显示屏结构需有LED显示屏厂家设计施工。</w:t>
            </w:r>
          </w:p>
          <w:p w14:paraId="7E363EB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▲2.为保证钢结构安全，LED厂家需提供钢结构贰级资质证书</w:t>
            </w:r>
            <w:r>
              <w:rPr>
                <w:rFonts w:hint="eastAsia" w:ascii="宋体" w:hAnsi="宋体" w:cs="宋体"/>
                <w:b w:val="0"/>
                <w:bCs w:val="0"/>
                <w:i w:val="0"/>
                <w:iCs w:val="0"/>
                <w:color w:val="auto"/>
                <w:sz w:val="21"/>
                <w:szCs w:val="21"/>
                <w:highlight w:val="none"/>
                <w:u w:val="none"/>
                <w:lang w:val="en-US" w:eastAsia="zh-CN" w:bidi="ar"/>
              </w:rPr>
              <w:t>扫描件</w:t>
            </w:r>
            <w:r>
              <w:rPr>
                <w:rFonts w:hint="eastAsia" w:ascii="宋体" w:hAnsi="宋体" w:eastAsia="宋体" w:cs="宋体"/>
                <w:b w:val="0"/>
                <w:bCs w:val="0"/>
                <w:i w:val="0"/>
                <w:iCs w:val="0"/>
                <w:color w:val="auto"/>
                <w:sz w:val="21"/>
                <w:szCs w:val="21"/>
                <w:highlight w:val="none"/>
                <w:u w:val="none"/>
                <w:lang w:val="en-US" w:eastAsia="zh-CN" w:bidi="ar"/>
              </w:rPr>
              <w:t>并加盖公章。</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FE41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7212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9.6</w:t>
            </w:r>
          </w:p>
        </w:tc>
      </w:tr>
      <w:tr w14:paraId="2863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0955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04EC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布线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6099E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配套电源线</w:t>
            </w:r>
            <w:r>
              <w:rPr>
                <w:rFonts w:hint="eastAsia" w:ascii="宋体" w:hAnsi="宋体" w:cs="宋体"/>
                <w:b w:val="0"/>
                <w:bCs w:val="0"/>
                <w:i w:val="0"/>
                <w:iCs w:val="0"/>
                <w:color w:val="auto"/>
                <w:sz w:val="21"/>
                <w:szCs w:val="21"/>
                <w:highlight w:val="none"/>
                <w:u w:val="none"/>
                <w:lang w:val="en-US" w:eastAsia="zh-CN" w:bidi="ar"/>
              </w:rPr>
              <w:t>等（不含网线）</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4FCE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B8A2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A115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07519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D</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4E91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舞台机械系统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3DB352">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0D72F">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79733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2898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9CEA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对开调速大幕机</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5735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宋体" w:hAnsi="宋体" w:eastAsia="宋体" w:cs="宋体"/>
                <w:b w:val="0"/>
                <w:bCs w:val="0"/>
                <w:color w:val="auto"/>
                <w:sz w:val="21"/>
                <w:szCs w:val="21"/>
                <w:highlight w:val="none"/>
                <w:lang w:bidi="ar"/>
              </w:rPr>
              <w:t>★</w:t>
            </w:r>
            <w:r>
              <w:rPr>
                <w:rFonts w:hint="eastAsia" w:ascii="宋体" w:hAnsi="宋体" w:cs="宋体"/>
                <w:b w:val="0"/>
                <w:bCs w:val="0"/>
                <w:i w:val="0"/>
                <w:iCs w:val="0"/>
                <w:color w:val="auto"/>
                <w:sz w:val="21"/>
                <w:szCs w:val="21"/>
                <w:highlight w:val="none"/>
                <w:u w:val="none"/>
                <w:lang w:val="en-US" w:eastAsia="zh-CN" w:bidi="ar"/>
              </w:rPr>
              <w:t>1、</w:t>
            </w:r>
            <w:r>
              <w:rPr>
                <w:rFonts w:hint="eastAsia" w:ascii="宋体" w:hAnsi="宋体" w:eastAsia="宋体" w:cs="宋体"/>
                <w:b w:val="0"/>
                <w:bCs w:val="0"/>
                <w:i w:val="0"/>
                <w:iCs w:val="0"/>
                <w:color w:val="auto"/>
                <w:sz w:val="21"/>
                <w:szCs w:val="21"/>
                <w:highlight w:val="none"/>
                <w:u w:val="none"/>
                <w:lang w:val="en-US" w:eastAsia="zh-CN" w:bidi="ar"/>
              </w:rPr>
              <w:t>最大牵引力≥</w:t>
            </w:r>
            <w:r>
              <w:rPr>
                <w:rFonts w:hint="eastAsia" w:ascii="宋体" w:hAnsi="宋体" w:cs="宋体"/>
                <w:b w:val="0"/>
                <w:bCs w:val="0"/>
                <w:i w:val="0"/>
                <w:iCs w:val="0"/>
                <w:color w:val="auto"/>
                <w:sz w:val="21"/>
                <w:szCs w:val="21"/>
                <w:highlight w:val="none"/>
                <w:u w:val="none"/>
                <w:lang w:val="en-US" w:eastAsia="zh-CN" w:bidi="ar"/>
              </w:rPr>
              <w:t>5</w:t>
            </w:r>
            <w:r>
              <w:rPr>
                <w:rFonts w:hint="eastAsia" w:ascii="宋体" w:hAnsi="宋体" w:eastAsia="宋体" w:cs="宋体"/>
                <w:b w:val="0"/>
                <w:bCs w:val="0"/>
                <w:i w:val="0"/>
                <w:iCs w:val="0"/>
                <w:color w:val="auto"/>
                <w:sz w:val="21"/>
                <w:szCs w:val="21"/>
                <w:highlight w:val="none"/>
                <w:u w:val="none"/>
                <w:lang w:val="en-US" w:eastAsia="zh-CN" w:bidi="ar"/>
              </w:rPr>
              <w:t xml:space="preserve"> kN（千牛）</w:t>
            </w:r>
            <w:r>
              <w:rPr>
                <w:rFonts w:hint="eastAsia" w:ascii="宋体" w:hAnsi="宋体" w:cs="宋体"/>
                <w:b w:val="0"/>
                <w:bCs w:val="0"/>
                <w:i w:val="0"/>
                <w:iCs w:val="0"/>
                <w:color w:val="auto"/>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t>提供所投产品的技术白皮书。</w:t>
            </w:r>
          </w:p>
          <w:p w14:paraId="3596205F">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悬挂载荷：≥8KN。</w:t>
            </w:r>
          </w:p>
          <w:p w14:paraId="21F55941">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运行速度范围</w:t>
            </w:r>
            <w:r>
              <w:rPr>
                <w:rFonts w:hint="eastAsia" w:ascii="宋体" w:hAnsi="宋体" w:eastAsia="宋体" w:cs="宋体"/>
                <w:b w:val="0"/>
                <w:bCs w:val="0"/>
                <w:i w:val="0"/>
                <w:iCs w:val="0"/>
                <w:color w:val="auto"/>
                <w:sz w:val="21"/>
                <w:szCs w:val="21"/>
                <w:highlight w:val="none"/>
                <w:u w:val="none"/>
                <w:lang w:val="en-US" w:eastAsia="zh-CN" w:bidi="ar"/>
              </w:rPr>
              <w:tab/>
            </w:r>
            <w:r>
              <w:rPr>
                <w:rFonts w:hint="eastAsia" w:ascii="宋体" w:hAnsi="宋体" w:eastAsia="宋体" w:cs="宋体"/>
                <w:b w:val="0"/>
                <w:bCs w:val="0"/>
                <w:i w:val="0"/>
                <w:iCs w:val="0"/>
                <w:color w:val="auto"/>
                <w:sz w:val="21"/>
                <w:szCs w:val="21"/>
                <w:highlight w:val="none"/>
                <w:u w:val="none"/>
                <w:lang w:val="en-US" w:eastAsia="zh-CN" w:bidi="ar"/>
              </w:rPr>
              <w:t>0.10 – 0.40 m/s（变频调速），满足快速起闭与精细定位需求。</w:t>
            </w:r>
          </w:p>
          <w:p w14:paraId="343319DD">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运行噪音</w:t>
            </w:r>
            <w:r>
              <w:rPr>
                <w:rFonts w:hint="eastAsia" w:ascii="宋体" w:hAnsi="宋体" w:eastAsia="宋体" w:cs="宋体"/>
                <w:b w:val="0"/>
                <w:bCs w:val="0"/>
                <w:i w:val="0"/>
                <w:iCs w:val="0"/>
                <w:color w:val="auto"/>
                <w:sz w:val="21"/>
                <w:szCs w:val="21"/>
                <w:highlight w:val="none"/>
                <w:u w:val="none"/>
                <w:lang w:val="en-US" w:eastAsia="zh-CN" w:bidi="ar"/>
              </w:rPr>
              <w:tab/>
            </w:r>
            <w:r>
              <w:rPr>
                <w:rFonts w:hint="eastAsia" w:ascii="宋体" w:hAnsi="宋体" w:eastAsia="宋体" w:cs="宋体"/>
                <w:b w:val="0"/>
                <w:bCs w:val="0"/>
                <w:i w:val="0"/>
                <w:iCs w:val="0"/>
                <w:color w:val="auto"/>
                <w:sz w:val="21"/>
                <w:szCs w:val="21"/>
                <w:highlight w:val="none"/>
                <w:u w:val="none"/>
                <w:lang w:val="en-US" w:eastAsia="zh-CN" w:bidi="ar"/>
              </w:rPr>
              <w:t>≤48 dB（A计权）。</w:t>
            </w:r>
          </w:p>
          <w:p w14:paraId="696154DA">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电机配置： 交流电机； 额定功率 ≥1.5 kW； 电源：AC 380 V / 50 Hz（三相五线制）。提供电机铭牌照片或产品电气参数表。</w:t>
            </w:r>
          </w:p>
          <w:p w14:paraId="40D96D77">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安全保护措施：配备 左、右行程限位开关 + 中间紧急停止/防冲顶限位，防止幕布超程或设备碰撞。</w:t>
            </w:r>
          </w:p>
          <w:p w14:paraId="4FFDF86E">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适用幕布宽度不限，设备牵引能力不受幕宽影响。</w:t>
            </w:r>
          </w:p>
          <w:p w14:paraId="3D5E8B04">
            <w:pPr>
              <w:keepNext w:val="0"/>
              <w:keepLines w:val="0"/>
              <w:pageBreakBefore w:val="0"/>
              <w:widowControl/>
              <w:numPr>
                <w:ilvl w:val="0"/>
                <w:numId w:val="8"/>
              </w:numPr>
              <w:suppressLineNumbers w:val="0"/>
              <w:spacing w:line="360" w:lineRule="exact"/>
              <w:ind w:left="0" w:leftChars="0" w:firstLine="0" w:firstLineChars="0"/>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具有手摇功能。</w:t>
            </w:r>
          </w:p>
          <w:p w14:paraId="376301F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w:t>
            </w:r>
            <w:r>
              <w:rPr>
                <w:rFonts w:hint="eastAsia" w:ascii="宋体" w:hAnsi="宋体" w:cs="宋体"/>
                <w:b w:val="0"/>
                <w:bCs w:val="0"/>
                <w:i w:val="0"/>
                <w:iCs w:val="0"/>
                <w:color w:val="auto"/>
                <w:sz w:val="21"/>
                <w:szCs w:val="21"/>
                <w:highlight w:val="none"/>
                <w:u w:val="none"/>
                <w:lang w:val="en-US" w:eastAsia="zh-CN" w:bidi="ar"/>
              </w:rPr>
              <w:t>9、</w:t>
            </w:r>
            <w:r>
              <w:rPr>
                <w:rFonts w:hint="eastAsia" w:ascii="宋体" w:hAnsi="宋体" w:eastAsia="宋体" w:cs="宋体"/>
                <w:b w:val="0"/>
                <w:bCs w:val="0"/>
                <w:i w:val="0"/>
                <w:iCs w:val="0"/>
                <w:color w:val="auto"/>
                <w:sz w:val="21"/>
                <w:szCs w:val="21"/>
                <w:highlight w:val="none"/>
                <w:u w:val="none"/>
                <w:lang w:val="en-US" w:eastAsia="zh-CN" w:bidi="ar"/>
              </w:rPr>
              <w:t>安全标准符合性：所投产品设计与制造符合 WH/T 28-2007《舞台机械台上设备安全要求》相关条款。提供第三方检测机构出具的检测报告扫描件（加盖CMA印章），报告内容须体现安全结构或整机符合性。</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6BA6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4D0A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E75F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7C49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EEE7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匀速底幕机</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96D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宋体" w:hAnsi="宋体" w:eastAsia="宋体" w:cs="宋体"/>
                <w:b w:val="0"/>
                <w:bCs w:val="0"/>
                <w:color w:val="auto"/>
                <w:sz w:val="21"/>
                <w:szCs w:val="21"/>
                <w:highlight w:val="none"/>
                <w:lang w:bidi="ar"/>
              </w:rPr>
              <w:t>★</w:t>
            </w:r>
            <w:r>
              <w:rPr>
                <w:rFonts w:hint="eastAsia" w:ascii="宋体" w:hAnsi="宋体" w:cs="宋体"/>
                <w:b w:val="0"/>
                <w:bCs w:val="0"/>
                <w:color w:val="auto"/>
                <w:sz w:val="21"/>
                <w:szCs w:val="21"/>
                <w:highlight w:val="none"/>
                <w:lang w:val="en-US" w:eastAsia="zh-CN" w:bidi="ar"/>
              </w:rPr>
              <w:t>1、</w:t>
            </w:r>
            <w:r>
              <w:rPr>
                <w:rFonts w:hint="eastAsia" w:asciiTheme="minorEastAsia" w:hAnsiTheme="minorEastAsia" w:eastAsiaTheme="minorEastAsia" w:cstheme="minorEastAsia"/>
                <w:color w:val="auto"/>
                <w:sz w:val="21"/>
                <w:szCs w:val="21"/>
                <w:highlight w:val="none"/>
              </w:rPr>
              <w:t>最大牵引力≥</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 kN（千牛）</w:t>
            </w:r>
            <w:r>
              <w:rPr>
                <w:rFonts w:hint="eastAsia" w:asciiTheme="minorEastAsia" w:hAnsiTheme="minorEastAsia" w:eastAsiaTheme="minorEastAsia" w:cstheme="minorEastAsia"/>
                <w:color w:val="auto"/>
                <w:sz w:val="21"/>
                <w:szCs w:val="21"/>
                <w:highlight w:val="none"/>
                <w:lang w:eastAsia="zh-CN"/>
              </w:rPr>
              <w:t>。</w:t>
            </w:r>
            <w:r>
              <w:rPr>
                <w:rFonts w:hint="eastAsia" w:ascii="宋体" w:hAnsi="宋体" w:eastAsia="宋体" w:cs="宋体"/>
                <w:b w:val="0"/>
                <w:bCs w:val="0"/>
                <w:i w:val="0"/>
                <w:iCs w:val="0"/>
                <w:color w:val="auto"/>
                <w:sz w:val="21"/>
                <w:szCs w:val="21"/>
                <w:highlight w:val="none"/>
                <w:u w:val="none"/>
                <w:lang w:val="en-US" w:eastAsia="zh-CN" w:bidi="ar"/>
              </w:rPr>
              <w:t>提供所投产品的技术白皮书。</w:t>
            </w:r>
          </w:p>
          <w:p w14:paraId="696D266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宋体" w:hAnsi="宋体" w:cs="宋体"/>
                <w:b w:val="0"/>
                <w:bCs w:val="0"/>
                <w:i w:val="0"/>
                <w:iCs w:val="0"/>
                <w:color w:val="auto"/>
                <w:sz w:val="21"/>
                <w:szCs w:val="21"/>
                <w:highlight w:val="none"/>
                <w:u w:val="none"/>
                <w:lang w:val="en-US" w:eastAsia="zh-CN" w:bidi="ar"/>
              </w:rPr>
              <w:t>2、</w:t>
            </w:r>
            <w:r>
              <w:rPr>
                <w:rFonts w:hint="eastAsia" w:ascii="宋体" w:hAnsi="宋体" w:eastAsia="宋体" w:cs="宋体"/>
                <w:b w:val="0"/>
                <w:bCs w:val="0"/>
                <w:i w:val="0"/>
                <w:iCs w:val="0"/>
                <w:color w:val="auto"/>
                <w:sz w:val="21"/>
                <w:szCs w:val="21"/>
                <w:highlight w:val="none"/>
                <w:u w:val="none"/>
                <w:lang w:val="en-US" w:eastAsia="zh-CN" w:bidi="ar"/>
              </w:rPr>
              <w:t>悬挂载荷：≥8KN</w:t>
            </w:r>
            <w:r>
              <w:rPr>
                <w:rFonts w:hint="eastAsia" w:asciiTheme="minorEastAsia" w:hAnsiTheme="minorEastAsia" w:eastAsiaTheme="minorEastAsia" w:cstheme="minorEastAsia"/>
                <w:color w:val="auto"/>
                <w:sz w:val="21"/>
                <w:szCs w:val="21"/>
                <w:highlight w:val="none"/>
              </w:rPr>
              <w:t>。</w:t>
            </w:r>
          </w:p>
          <w:p w14:paraId="51AD285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运行速度</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0.40 ±0.05 m/s（匀速运行），满足快速起闭需求。</w:t>
            </w:r>
          </w:p>
          <w:p w14:paraId="6E4DAE3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运行噪音</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≤48 dB（A计权）。</w:t>
            </w:r>
          </w:p>
          <w:p w14:paraId="0FCD685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电机配置： 交流电机； 额定功率 ≥1.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 kW； 电源：AC 380 V / 50 Hz（三相五线制）。提供电机铭牌照片或电气参数表。</w:t>
            </w:r>
          </w:p>
          <w:p w14:paraId="254AA3D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安全保护措施</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配备： 左、右行程限位开关 + 中间紧急停止/防冲顶限位装置，防止超程运行或设备碰撞</w:t>
            </w:r>
            <w:r>
              <w:rPr>
                <w:rFonts w:hint="eastAsia" w:asciiTheme="minorEastAsia" w:hAnsiTheme="minorEastAsia" w:eastAsiaTheme="minorEastAsia" w:cstheme="minorEastAsia"/>
                <w:color w:val="auto"/>
                <w:sz w:val="21"/>
                <w:szCs w:val="21"/>
                <w:highlight w:val="none"/>
                <w:lang w:eastAsia="zh-CN"/>
              </w:rPr>
              <w:t>。</w:t>
            </w:r>
          </w:p>
          <w:p w14:paraId="4B06EDE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适用幕布宽度不限（由现场轨道长度决定）。</w:t>
            </w:r>
          </w:p>
          <w:p w14:paraId="1EF7741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安全标准符合性：产品设计与制造符合</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WH/T 28-2007《舞台机械台上设备安全要求》</w:t>
            </w:r>
            <w:r>
              <w:rPr>
                <w:rFonts w:hint="eastAsia" w:asciiTheme="minorEastAsia" w:hAnsiTheme="minorEastAsia" w:eastAsiaTheme="minorEastAsia" w:cstheme="minorEastAsia"/>
                <w:color w:val="auto"/>
                <w:sz w:val="21"/>
                <w:szCs w:val="21"/>
                <w:highlight w:val="none"/>
              </w:rPr>
              <w:t xml:space="preserve"> 相关条款。提供由具备CMA资质的第三方检测机构出具的检测报告扫描件（封面加盖CMA印章），报告内容须体现整机或关键安全部件符合性。</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95FC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DF0C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5FF3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BDB1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8A81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幕布轨道</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5D1C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舞台专用对开轨道，长度19米,极限限位开关保护，钢丝绳防脱轨保护。</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246F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DBE2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417DF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8EE8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2963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幕布轨道传动系统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7DD4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轨道滑车、轨道铁质镀锌滑车挂钩。</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FF60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25E2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732EB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30F4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5333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舞台灯光吊杆机</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69561">
            <w:pPr>
              <w:keepNext w:val="0"/>
              <w:keepLines w:val="0"/>
              <w:pageBreakBefore w:val="0"/>
              <w:widowControl/>
              <w:numPr>
                <w:ilvl w:val="0"/>
                <w:numId w:val="9"/>
              </w:numPr>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速度：≥0.25 m/s。</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i w:val="0"/>
                <w:iCs w:val="0"/>
                <w:color w:val="auto"/>
                <w:sz w:val="21"/>
                <w:szCs w:val="21"/>
                <w:highlight w:val="none"/>
                <w:u w:val="none"/>
                <w:lang w:val="en-US" w:eastAsia="zh-CN" w:bidi="ar"/>
              </w:rPr>
              <w:t>2.载荷：≥6KN。提供所投产品的技术白皮书。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3.吊点：≥5吊点。</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4.缠绕方式：自排绳。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5.空气噪音：≤48dB。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6.定位精度：±5mm。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7.电机功率：≥3KW。</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8.安全措施：限位保护、电机刹车制动、极限保护、</w:t>
            </w:r>
            <w:r>
              <w:rPr>
                <w:rFonts w:hint="eastAsia" w:ascii="宋体" w:hAnsi="宋体" w:eastAsia="宋体" w:cs="宋体"/>
                <w:b w:val="0"/>
                <w:bCs w:val="0"/>
                <w:color w:val="auto"/>
                <w:sz w:val="21"/>
                <w:szCs w:val="21"/>
                <w:highlight w:val="none"/>
              </w:rPr>
              <w:t>冲顶保护，防跳绳保护，断电保护等保护装置</w:t>
            </w:r>
            <w:r>
              <w:rPr>
                <w:rFonts w:hint="eastAsia" w:ascii="宋体" w:hAnsi="宋体" w:eastAsia="宋体" w:cs="宋体"/>
                <w:b w:val="0"/>
                <w:bCs w:val="0"/>
                <w:i w:val="0"/>
                <w:iCs w:val="0"/>
                <w:color w:val="auto"/>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▲9.所投产品提供符合WH/T 28-2007舞台设备安全标准由第三方检测机构出具具有CMA标示的检测报告扫描件。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4B33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0236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r>
      <w:tr w14:paraId="251BD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138F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0E65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灯光吊杆机滑轮组</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E526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专用转向滑轮组、Ф120导向单轮、转向滑轮组，全部喷黑色漆,</w:t>
            </w:r>
            <w:r>
              <w:rPr>
                <w:rFonts w:hint="eastAsia" w:ascii="宋体" w:hAnsi="宋体" w:eastAsia="宋体" w:cs="宋体"/>
                <w:b w:val="0"/>
                <w:bCs w:val="0"/>
                <w:color w:val="auto"/>
                <w:sz w:val="21"/>
                <w:szCs w:val="21"/>
                <w:highlight w:val="none"/>
                <w:lang w:bidi="ar"/>
              </w:rPr>
              <w:t>固定焊接安装</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777F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62E3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r>
      <w:tr w14:paraId="211CE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2E6C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33E1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舞台灯光杆体</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315D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铁质工字形，Ф48焊管焊制，长度根据现场需求制作，管体壁厚不小于2.5mm,两头密封堵头。</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1FD7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A6E89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4</w:t>
            </w:r>
          </w:p>
        </w:tc>
      </w:tr>
      <w:tr w14:paraId="38C11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DFA4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8E65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固定幕布吊杆</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C6E4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铁质单杆，Ф48焊管焊制，长度根据现场需求制作，管体壁厚不小于2.5mm,两头密封堵头。</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D4AF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道</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7A20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7F4A8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864C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CC0C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钢丝绳</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E18F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Φ4.2航空钢丝绳。</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DEBE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DEEE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2000</w:t>
            </w:r>
          </w:p>
        </w:tc>
      </w:tr>
      <w:tr w14:paraId="6922C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D343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238C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舞台机械控制台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80C7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i w:val="0"/>
                <w:iCs w:val="0"/>
                <w:color w:val="auto"/>
                <w:sz w:val="21"/>
                <w:szCs w:val="21"/>
                <w:highlight w:val="none"/>
                <w:u w:val="none"/>
                <w:lang w:val="en-US" w:eastAsia="zh-CN" w:bidi="ar"/>
              </w:rPr>
              <w:t>7路专用舞台控制系统。</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2.强弱电分离。</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3.总控启动开关。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4.相序保护功能。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5.制动电锁。</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6.一键急停功能。</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914C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25C4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51D4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1E15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A425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舞台机械电源箱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E2C8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i w:val="0"/>
                <w:iCs w:val="0"/>
                <w:color w:val="auto"/>
                <w:sz w:val="21"/>
                <w:szCs w:val="21"/>
                <w:highlight w:val="none"/>
                <w:u w:val="none"/>
                <w:lang w:val="en-US" w:eastAsia="zh-CN" w:bidi="ar"/>
              </w:rPr>
              <w:t>7路电源，</w:t>
            </w:r>
            <w:r>
              <w:rPr>
                <w:rFonts w:hint="eastAsia" w:ascii="宋体" w:hAnsi="宋体" w:eastAsia="宋体" w:cs="宋体"/>
                <w:b w:val="0"/>
                <w:bCs w:val="0"/>
                <w:color w:val="auto"/>
                <w:sz w:val="21"/>
                <w:szCs w:val="21"/>
                <w:highlight w:val="none"/>
                <w:lang w:bidi="ar"/>
              </w:rPr>
              <w:t>强弱电分离，相序保护功能，对开轨道自主式，升降吊杆点控式，配1路备用系统，</w:t>
            </w:r>
            <w:r>
              <w:rPr>
                <w:rFonts w:hint="eastAsia" w:ascii="宋体" w:hAnsi="宋体" w:eastAsia="宋体" w:cs="宋体"/>
                <w:b w:val="0"/>
                <w:bCs w:val="0"/>
                <w:color w:val="auto"/>
                <w:sz w:val="21"/>
                <w:szCs w:val="21"/>
                <w:highlight w:val="none"/>
              </w:rPr>
              <w:t>与控制台配套，具有过流过载保护，漏电保护开关。</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4DCD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路</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034A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r>
      <w:tr w14:paraId="3CE91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2CE10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r>
              <w:rPr>
                <w:rFonts w:hint="eastAsia" w:ascii="宋体" w:hAnsi="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DA0C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方管</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E885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20*40*2，马道底板、栏杆扶手。</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C504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75F00">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200</w:t>
            </w:r>
          </w:p>
        </w:tc>
      </w:tr>
      <w:tr w14:paraId="74284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53CC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r>
              <w:rPr>
                <w:rFonts w:hint="eastAsia" w:ascii="宋体" w:hAnsi="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0A39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收线框</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C3F2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定制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AAFB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2EF1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r>
      <w:tr w14:paraId="179DC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6C352">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14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CC5E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辅材</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A49E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配套定制，含脚手架搭建等</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0AD68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6319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F808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1B01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E</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0DD2A">
            <w:pPr>
              <w:pageBreakBefore w:val="0"/>
              <w:spacing w:line="360" w:lineRule="exac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舞台幕布系统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01D7D">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4CDEA">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1C9C4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C21E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2968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阻燃丝绒前檐幕</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FFCA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1.面料材质与克重：采用绒类装饰织物（如天鹅绒、平绒、丝绒等），单位面积质量 ≥300 g/m²，表面绒面均匀、色泽一致，无明显色差或织疵。</w:t>
            </w:r>
          </w:p>
          <w:p w14:paraId="169129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2.皱比例：幕布按 3:1 褶皱比制作，褶型整齐、垂感良好。</w:t>
            </w:r>
          </w:p>
          <w:p w14:paraId="61A81CF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70CDABD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4.颜色与尺寸： 颜色由采购人从厂家提供的标准色卡中选定。</w:t>
            </w:r>
          </w:p>
          <w:p w14:paraId="2CD6427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19*1.2*3*1</w:t>
            </w:r>
            <w:r>
              <w:rPr>
                <w:rFonts w:hint="eastAsia" w:asciiTheme="minorEastAsia" w:hAnsiTheme="minorEastAsia" w:eastAsiaTheme="minorEastAsia" w:cstheme="minorEastAsia"/>
                <w:color w:val="auto"/>
                <w:highlight w:val="none"/>
              </w:rPr>
              <w:t>。</w:t>
            </w:r>
          </w:p>
          <w:p w14:paraId="52B1FEB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11AA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4466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68.4</w:t>
            </w:r>
          </w:p>
        </w:tc>
      </w:tr>
      <w:tr w14:paraId="7E605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9603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322F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阻燃前檐幕衬里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8126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采用轻质平纹涤纶装饰织物（如富春纺、涤纶乔其纱、仿真丝等），单位面积质量 ≥160 g/m²，质地均匀、透光性适中，无明显色差、污渍或织造缺陷。</w:t>
            </w:r>
          </w:p>
          <w:p w14:paraId="34FA9E6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2.褶皱比例：</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幕布按 1:1 褶皱比制作（即展开宽度与实际布幅一致，无额外褶皱），边缘锁边牢固，悬挂后平整垂顺。</w:t>
            </w:r>
          </w:p>
          <w:p w14:paraId="3E9E78E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6857E37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4.颜色与尺寸： 颜色由采购人从厂家提供的标准色卡中选定。</w:t>
            </w:r>
          </w:p>
          <w:p w14:paraId="511B790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19*1.2*1*1</w:t>
            </w:r>
            <w:r>
              <w:rPr>
                <w:rFonts w:hint="eastAsia" w:asciiTheme="minorEastAsia" w:hAnsiTheme="minorEastAsia" w:eastAsiaTheme="minorEastAsia" w:cstheme="minorEastAsia"/>
                <w:color w:val="auto"/>
                <w:highlight w:val="none"/>
              </w:rPr>
              <w:t>。</w:t>
            </w:r>
          </w:p>
          <w:p w14:paraId="1FF9375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r>
              <w:rPr>
                <w:rFonts w:hint="eastAsia" w:asciiTheme="minorEastAsia" w:hAnsiTheme="minorEastAsia" w:eastAsiaTheme="minorEastAsia" w:cstheme="minorEastAsia"/>
                <w:color w:val="auto"/>
                <w:highlight w:val="none"/>
              </w:rPr>
              <w:tab/>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D17B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F770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22.8</w:t>
            </w:r>
          </w:p>
        </w:tc>
      </w:tr>
      <w:tr w14:paraId="6A474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9834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7D12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阻燃丝绒大幕</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B6CD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1.面料材质与克重：采用绒类装饰织物（如天鹅绒、平绒、丝绒等），单位面积质量 ≥300 g/m²，表面绒面均匀、色泽一致，无明显色差或织疵。</w:t>
            </w:r>
          </w:p>
          <w:p w14:paraId="046DA8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2.皱比例：幕布按 3:1 褶皱比制作，褶型整齐、垂感良好。</w:t>
            </w:r>
          </w:p>
          <w:p w14:paraId="2CD46A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768FB5A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4.颜色与尺寸： 颜色由采购人从厂家提供的标准色卡中选定。</w:t>
            </w:r>
          </w:p>
          <w:p w14:paraId="586C018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10*6.5*3*2</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尺寸调整</w:t>
            </w:r>
            <w:r>
              <w:rPr>
                <w:rFonts w:hint="eastAsia" w:asciiTheme="minorEastAsia" w:hAnsiTheme="minorEastAsia" w:eastAsiaTheme="minorEastAsia" w:cstheme="minorEastAsia"/>
                <w:color w:val="auto"/>
                <w:highlight w:val="none"/>
                <w:lang w:eastAsia="zh-CN"/>
              </w:rPr>
              <w:t>）</w:t>
            </w:r>
          </w:p>
          <w:p w14:paraId="234F612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D9E5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35F7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390</w:t>
            </w:r>
          </w:p>
        </w:tc>
      </w:tr>
      <w:tr w14:paraId="5F0D0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ACC2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CD1B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阻燃大幕衬里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3D2E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面料类型与克重</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采用轻质平纹涤纶装饰织物（如富春纺、涤纶乔其纱、仿真丝等），单位面积质量 ≥160 g/m²，质地均匀、透光性适中，无明显色差、污渍或织造缺陷。</w:t>
            </w:r>
          </w:p>
          <w:p w14:paraId="531E9AA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2.褶皱比例：幕布按 1:1 褶皱比制作（即展开宽度与实际布幅一致，无额外褶皱），边缘锁边牢固，悬挂后平整垂顺。</w:t>
            </w:r>
          </w:p>
          <w:p w14:paraId="14B9BA3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4F76BB0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4.颜色与尺寸： 颜色由采购人从厂家提供的标准色卡中选定。</w:t>
            </w:r>
          </w:p>
          <w:p w14:paraId="223B462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10*6.5*1*2</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尺寸调整</w:t>
            </w:r>
            <w:r>
              <w:rPr>
                <w:rFonts w:hint="eastAsia" w:asciiTheme="minorEastAsia" w:hAnsiTheme="minorEastAsia" w:eastAsiaTheme="minorEastAsia" w:cstheme="minorEastAsia"/>
                <w:color w:val="auto"/>
                <w:highlight w:val="none"/>
                <w:lang w:eastAsia="zh-CN"/>
              </w:rPr>
              <w:t>）</w:t>
            </w:r>
          </w:p>
          <w:p w14:paraId="7C943AA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r>
              <w:rPr>
                <w:rFonts w:hint="eastAsia" w:asciiTheme="minorEastAsia" w:hAnsiTheme="minorEastAsia" w:eastAsiaTheme="minorEastAsia" w:cstheme="minorEastAsia"/>
                <w:color w:val="auto"/>
                <w:highlight w:val="none"/>
              </w:rPr>
              <w:tab/>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1847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B97A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130</w:t>
            </w:r>
          </w:p>
        </w:tc>
      </w:tr>
      <w:tr w14:paraId="01616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DB45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9425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阻燃丝绒横幕</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E3B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1.面料材质与克重：采用绒类装饰织物（如天鹅绒、平绒、丝绒等），单位面积质量 ≥300 g/m²，表面绒面均匀、色泽一致，无明显色差或织疵。</w:t>
            </w:r>
          </w:p>
          <w:p w14:paraId="2C6973D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2.皱比例：幕布按 3:1 褶皱比制作，褶型整齐、垂感良好。</w:t>
            </w:r>
          </w:p>
          <w:p w14:paraId="23A6564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提供由具备有效CMA资质的检测机构出具的封面盖有CMA专用印章的检测报告原件关键页扫描件（检测依据包括GB/T 5454-1997 、GB/T 5455-2014、GB/T 8627-2007 、GB/T 20285-2006），检测报告数量不限。</w:t>
            </w:r>
          </w:p>
          <w:p w14:paraId="17FCD69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4.颜色与尺寸： 颜色由采购人从厂家提供的标准色卡中选定。</w:t>
            </w:r>
          </w:p>
          <w:p w14:paraId="23FC325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5.成品尺寸：</w:t>
            </w:r>
            <w:r>
              <w:rPr>
                <w:rFonts w:hint="eastAsia" w:ascii="宋体" w:hAnsi="宋体" w:eastAsia="宋体" w:cs="宋体"/>
                <w:b w:val="0"/>
                <w:bCs w:val="0"/>
                <w:i w:val="0"/>
                <w:iCs w:val="0"/>
                <w:color w:val="auto"/>
                <w:sz w:val="21"/>
                <w:szCs w:val="21"/>
                <w:highlight w:val="none"/>
                <w:u w:val="none"/>
                <w:lang w:val="en-US" w:eastAsia="zh-CN" w:bidi="ar"/>
              </w:rPr>
              <w:t>19*1.2*3*3</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p>
          <w:p w14:paraId="103B812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6.环保与安全性：面料无刺激性异味，甲醛含量、pH值等符合安全要求。</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3B24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ED74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205.2</w:t>
            </w:r>
          </w:p>
        </w:tc>
      </w:tr>
      <w:tr w14:paraId="2FAB0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5A86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3747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阻燃丝绒侧幕</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ED49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1.面料材质与克重：采用绒类装饰织物（如天鹅绒、平绒、丝绒等），单位面积质量 ≥300 g/m²，表面绒面均匀、色泽一致，无明显色差或织疵。</w:t>
            </w:r>
          </w:p>
          <w:p w14:paraId="625CF92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2.皱比例：幕布按 3:1 褶皱比制作，褶型整齐、垂感良好。</w:t>
            </w:r>
          </w:p>
          <w:p w14:paraId="62C965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18FCF43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颜色与尺寸： 颜色由采购人从厂家提供的标准色卡中选定。</w:t>
            </w:r>
          </w:p>
          <w:p w14:paraId="619C4AE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3*6.5*3*6</w:t>
            </w:r>
            <w:r>
              <w:rPr>
                <w:rFonts w:hint="eastAsia" w:asciiTheme="minorEastAsia" w:hAnsiTheme="minorEastAsia" w:eastAsiaTheme="minorEastAsia" w:cstheme="minorEastAsia"/>
                <w:color w:val="auto"/>
                <w:highlight w:val="none"/>
              </w:rPr>
              <w:t>。</w:t>
            </w:r>
          </w:p>
          <w:p w14:paraId="16F91E8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r>
              <w:rPr>
                <w:rFonts w:hint="eastAsia" w:asciiTheme="minorEastAsia" w:hAnsiTheme="minorEastAsia" w:eastAsiaTheme="minorEastAsia" w:cstheme="minorEastAsia"/>
                <w:color w:val="auto"/>
                <w:highlight w:val="none"/>
              </w:rPr>
              <w:tab/>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74B2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4DF5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351</w:t>
            </w:r>
          </w:p>
        </w:tc>
      </w:tr>
      <w:tr w14:paraId="4092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35DE7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1982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阻燃丝绒底幕</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31C5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面料材质与克重：采用绒类装饰织物（如天鹅绒、平绒、丝绒等），单位面积质量 ≥300 g/m²，表面绒面均匀、色泽一致，无明显色差或织疵。</w:t>
            </w:r>
          </w:p>
          <w:p w14:paraId="02D6477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2.皱比例：幕布按 3:1 褶皱比制作，褶型整齐、垂感良好。</w:t>
            </w:r>
          </w:p>
          <w:p w14:paraId="20F516C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1E9AFDB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4.颜色与尺寸： 颜色由采购人从厂家提供的标准色卡中选定。</w:t>
            </w:r>
          </w:p>
          <w:p w14:paraId="4014B9A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5.成品尺寸：</w:t>
            </w:r>
            <w:r>
              <w:rPr>
                <w:rFonts w:hint="eastAsia" w:ascii="宋体" w:hAnsi="宋体" w:eastAsia="宋体" w:cs="宋体"/>
                <w:b w:val="0"/>
                <w:bCs w:val="0"/>
                <w:i w:val="0"/>
                <w:iCs w:val="0"/>
                <w:color w:val="auto"/>
                <w:sz w:val="21"/>
                <w:szCs w:val="21"/>
                <w:highlight w:val="none"/>
                <w:u w:val="none"/>
                <w:lang w:val="en-US" w:eastAsia="zh-CN" w:bidi="ar"/>
              </w:rPr>
              <w:t>10*6.5*3*2</w:t>
            </w:r>
            <w:r>
              <w:rPr>
                <w:rFonts w:hint="eastAsia" w:asciiTheme="minorEastAsia" w:hAnsiTheme="minorEastAsia" w:eastAsiaTheme="minorEastAsia" w:cstheme="minorEastAsia"/>
                <w:color w:val="auto"/>
                <w:highlight w:val="none"/>
              </w:rPr>
              <w:t>。</w:t>
            </w:r>
          </w:p>
          <w:p w14:paraId="67D4B8A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highlight w:val="none"/>
              </w:rPr>
              <w:t>6.环保与安全性：面料无刺激性异味，甲醛含量、pH值等符合安全要求。</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B8DC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m²</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611F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390</w:t>
            </w:r>
          </w:p>
        </w:tc>
      </w:tr>
      <w:tr w14:paraId="4BD4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144B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二</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FFB9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小报告厅</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C574B">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0AED3">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67E1A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FFF6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A</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439C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扩声系统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36368">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3BE19">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787CB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5015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6A5D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主扩音箱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C78E2">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D6A8288">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2.指定频带内的特性灵敏度级(1瓦/1米)：≥96dB±2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EE0922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★3.额定功率（输入电功率，长期最大功率）（额定阻抗为8Ω时）：≥400W。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51F3365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单元组成：低音单元≥2*8〞，高音单元≥1×1.4〞。提供所投产品原厂技术白皮书。</w:t>
            </w:r>
          </w:p>
          <w:p w14:paraId="0661342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F5A9484">
            <w:pPr>
              <w:pStyle w:val="3"/>
              <w:pageBreakBefore w:val="0"/>
              <w:spacing w:before="0" w:after="0" w:line="360" w:lineRule="exact"/>
              <w:rPr>
                <w:rFonts w:hint="eastAsia" w:ascii="宋体" w:hAnsi="宋体" w:eastAsia="宋体" w:cs="宋体"/>
                <w:b w:val="0"/>
                <w:bCs w:val="0"/>
                <w:color w:val="auto"/>
                <w:sz w:val="21"/>
                <w:szCs w:val="21"/>
                <w:highlight w:val="none"/>
                <w:lang w:val="en-US"/>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 </w:t>
            </w:r>
            <w:r>
              <w:rPr>
                <w:rFonts w:hint="eastAsia" w:ascii="宋体" w:hAnsi="宋体" w:eastAsia="宋体" w:cs="宋体"/>
                <w:b w:val="0"/>
                <w:bCs w:val="0"/>
                <w:i w:val="0"/>
                <w:iCs w:val="0"/>
                <w:color w:val="auto"/>
                <w:kern w:val="0"/>
                <w:sz w:val="21"/>
                <w:szCs w:val="21"/>
                <w:highlight w:val="none"/>
                <w:u w:val="none"/>
                <w:lang w:val="en-US" w:eastAsia="zh-CN" w:bidi="ar"/>
              </w:rPr>
              <w:t xml:space="preserve"> 80°(H)×60°(V)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1DA6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0345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0686A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FA4D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5169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返听音箱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E7C4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65Hz-20KHz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665A2C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2.指定频带内的特性灵敏度级(1瓦/1米)：≥96dB±2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FEEE05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★3.额定功率（输入电功率，长期最大功率）（额定阻抗为8Ω时）：≥250W。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4E17457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单元组成：低音单元≥</w:t>
            </w:r>
            <w:r>
              <w:rPr>
                <w:rFonts w:hint="eastAsia" w:ascii="宋体" w:hAnsi="宋体" w:cs="宋体"/>
                <w:b w:val="0"/>
                <w:bCs w:val="0"/>
                <w:i w:val="0"/>
                <w:iCs w:val="0"/>
                <w:color w:val="auto"/>
                <w:sz w:val="21"/>
                <w:szCs w:val="21"/>
                <w:highlight w:val="none"/>
                <w:u w:val="none"/>
                <w:lang w:val="en-US" w:eastAsia="zh-CN" w:bidi="ar"/>
              </w:rPr>
              <w:t>8</w:t>
            </w:r>
            <w:r>
              <w:rPr>
                <w:rFonts w:hint="eastAsia" w:ascii="宋体" w:hAnsi="宋体" w:eastAsia="宋体" w:cs="宋体"/>
                <w:b w:val="0"/>
                <w:bCs w:val="0"/>
                <w:i w:val="0"/>
                <w:iCs w:val="0"/>
                <w:color w:val="auto"/>
                <w:sz w:val="21"/>
                <w:szCs w:val="21"/>
                <w:highlight w:val="none"/>
                <w:u w:val="none"/>
                <w:lang w:val="en-US" w:eastAsia="zh-CN" w:bidi="ar"/>
              </w:rPr>
              <w:t>〞，高音单元≥1×1.4〞。提供所投产品原厂技术白皮书。</w:t>
            </w:r>
          </w:p>
          <w:p w14:paraId="1C4808A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指定频带内的声压级（指持续声压级）：≥120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E5EEB43">
            <w:pPr>
              <w:pStyle w:val="3"/>
              <w:pageBreakBefore w:val="0"/>
              <w:spacing w:before="0" w:after="0" w:line="360" w:lineRule="exac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指向性(H×V): ≥ 80°(H)×60°(V)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2BA05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A11B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29C2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8F3B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D9E9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主扩音箱四通道功放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4C7A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2FA5AA5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330B6ED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7266488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61FE4D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574DC8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w:t>
            </w:r>
          </w:p>
          <w:p w14:paraId="2A431C2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57F0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E4E5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B34E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043A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73F0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返听音箱功放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C3C7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(8Ω)600W×2；</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0725719F">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043BA13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00381EF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0FB9109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254C2D2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w:t>
            </w:r>
          </w:p>
          <w:p w14:paraId="718B86FB">
            <w:pPr>
              <w:keepNext w:val="0"/>
              <w:keepLines w:val="0"/>
              <w:pageBreakBefore w:val="0"/>
              <w:widowControl/>
              <w:suppressLineNumbers w:val="0"/>
              <w:spacing w:line="360" w:lineRule="exact"/>
              <w:jc w:val="left"/>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063B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9B5DA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DF74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B28F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55FA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调音台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826C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1.≥12路调音台。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3.2编组母线 + 1立体声母线。</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4.2个AUX (包括FX)。</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5.“D-PRE”话放，带有倒向晶体管电路。</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4874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7750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C84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96A1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3CD6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04D6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1.不少于4路输入、4路输出平衡接口。提供产品规格书或接口照片。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4.支持USB录/播功能。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5.每个输入通道输出通道具备参量均衡器可调。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1DD46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88BC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5596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9564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93CE5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无线手持话筒（一拖二）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96F0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D58F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4E5D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0AEF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773E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15B9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无线会议话筒（一拖四）</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75E0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▲1.4通道自动混音，发言人数1-4人可选。供产品规格书。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2.支持优先发言功能。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3.载波范围：630MHz-689MHz。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4.频带宽度：32MHz。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5.调制方式：FM。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7.AFS功能，根据预设的频率分别有通道内扫频或全部频组内扫频，快整精准地算出无干扰的工作频道。</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F14E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D570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B50B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12EB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98B0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电源管理器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ACA6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1.最大输入电流≥40A。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2.单路最大输出电流≥20A。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4.配置高精度输入电压表。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5.具有RS232中控串口，可支持设备同时联机使用。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8EE7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E53C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BE71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6F89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5234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机柜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9539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42U，600*800标准机柜</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D27B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7DC4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028F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3371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CF1A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多媒体地插</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B700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含电源，HDMI，音频，网络等模块</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662A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B46B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70A98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970FF">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7C98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线材</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F5A1F">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电源线、音视频跳线</w:t>
            </w:r>
            <w:r>
              <w:rPr>
                <w:rFonts w:hint="eastAsia" w:ascii="宋体" w:hAnsi="宋体" w:cs="宋体"/>
                <w:b w:val="0"/>
                <w:bCs w:val="0"/>
                <w:i w:val="0"/>
                <w:iCs w:val="0"/>
                <w:color w:val="auto"/>
                <w:sz w:val="21"/>
                <w:szCs w:val="21"/>
                <w:highlight w:val="none"/>
                <w:u w:val="none"/>
                <w:lang w:val="en-US" w:eastAsia="zh-CN" w:bidi="ar"/>
              </w:rPr>
              <w:t>、接插件等（不含网线）</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7AF6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8CC3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D4E2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5D7048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B</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958E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显示系统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65B74">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799A1">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0CE4A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753112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81F1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LED显示屏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51033">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 像素规格：全彩LED显示屏，像素点间距≤2.0mm，像素密度≥250000点/㎡。外形尺寸： 安装空间允许屏体最大外廓尺寸为</w:t>
            </w:r>
            <w:r>
              <w:rPr>
                <w:rFonts w:hint="eastAsia" w:ascii="宋体" w:hAnsi="宋体" w:eastAsia="宋体" w:cs="宋体"/>
                <w:b w:val="0"/>
                <w:bCs w:val="0"/>
                <w:i w:val="0"/>
                <w:iCs w:val="0"/>
                <w:color w:val="auto"/>
                <w:sz w:val="21"/>
                <w:szCs w:val="21"/>
                <w:highlight w:val="none"/>
                <w:u w:val="none"/>
                <w:lang w:val="en-US" w:eastAsia="zh-CN" w:bidi="ar"/>
              </w:rPr>
              <w:t>≈长4.48米*高2.08=9.32平方</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。提供承诺函（格式自拟）。</w:t>
            </w:r>
          </w:p>
          <w:p w14:paraId="69BA8FD4">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封装技术：显示屏采用SMD、COB或经市场验证的微间距集成封装技术（如Mini/Micro LED on PCB）。提供所投产品型号制造商公开技术文档（如白皮书、产品规格书、彩页、官网规格页截图）其中须明确标注所采用的封装技术类型。</w:t>
            </w:r>
          </w:p>
          <w:p w14:paraId="14F09028">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刷新率：刷新率≥3840Hz，支持50Hz/60Hz换帧频率；平整度与拼缝：模组平整度≤0.1mm，相邻模组间拼接间隙≤0.1mm。提供以下之一：  </w:t>
            </w:r>
          </w:p>
          <w:p w14:paraId="5E4881CE">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053A5E6A">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p w14:paraId="237AEF87">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 箱体材料：采用压铸铝或高强度铝合金箱体（箱体所有包括底壳及后盖材质均为铝合金等金属材料）。提供承诺函和并附所投产品箱体清晰的实物照片或产品结构图。</w:t>
            </w:r>
          </w:p>
          <w:p w14:paraId="0FEDD8C7">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5. 维护方式：支持前维护或快速前拆卸维护，无需进入屏体后方即可完成模组、电源、控制卡等关键部件更换；散热与可维护性：采用无风扇自然散热设计，电源与控制系统支持热插拔。提供产品结构图或技术白皮书予以说明。 </w:t>
            </w:r>
          </w:p>
          <w:p w14:paraId="2FE16FAE">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 光学性能与环境光适应性：显示屏表面采用低反射处理技术（如黑灯珠、深黑面罩、光学涂层等），以保证在会议室常规光照环境下具有抗环境光干扰能力，无明显眩光。</w:t>
            </w:r>
          </w:p>
          <w:p w14:paraId="10E801C8">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▲7. 亮度与均匀性：最大亮度≥500cd/m²且支持0%-100%无级调光，亮度均匀性≥97%，整屏色度均匀性：≤±0.005Cx,Cy或色度均匀性Δx, Δy ≤0.005。提供以下证明材料之一：  </w:t>
            </w:r>
          </w:p>
          <w:p w14:paraId="5A4DF79E">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 43770-2024)；   </w:t>
            </w:r>
          </w:p>
          <w:p w14:paraId="05824B61">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（2）原厂逐点校正报告（含校正前后数据对比），符合 SJ/T 11141或GB/T 43770-2024，数据可追溯。  </w:t>
            </w:r>
          </w:p>
          <w:p w14:paraId="0841308D">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▲8. 灰度、对比度与视角：灰度等级≥16bit，对比度≥5000:1，水平视角≥160°，垂直视角≥140°（以亮度降至一半为边界）。提供以下之一：  </w:t>
            </w:r>
          </w:p>
          <w:p w14:paraId="3E342239">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 43770-2024)；  </w:t>
            </w:r>
          </w:p>
          <w:p w14:paraId="3EDEE1F2">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（2）制造商技术白皮书，其中参数须注明测试条件（环境照度、测量距离、仪器型号、信号源格式），承诺数据真实性。</w:t>
            </w:r>
          </w:p>
          <w:p w14:paraId="65FCDCF7">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▲9. 功耗与电源效率：采用恒流驱动方式； 平均功耗≤200W/m²； 供电电源功率因数≥90%，转换效率≥85%。 提供以下之一证明材料：  </w:t>
            </w:r>
          </w:p>
          <w:p w14:paraId="55B5F59D">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（1）由具备有效CMA资质的检测机构出具的封面盖有CMA专用印章的检测报告原件关键页扫描件(依据标准依据 GB/T 43770-2024或 SJ/T 11141中关于“节能”的要求进行检测）；  </w:t>
            </w:r>
          </w:p>
          <w:p w14:paraId="2FA51183">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（2）原厂测试数据报告，报告中须注明测试负载（如全白场、典型画面）、信号源格式、输入电压、环境温度等测试条件，并附数据真实性的承诺函（格式自拟）。</w:t>
            </w:r>
          </w:p>
          <w:p w14:paraId="49DC0F83">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 图像处理功能：具备单点亮度/色度校正、亮暗线补偿、图像降噪、运动补偿等功能。提供功能说明文档或软件界面截图（体现功能开关状态）。</w:t>
            </w:r>
          </w:p>
          <w:p w14:paraId="35CD30A9">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 环境适应性：投标产品或其关键元器件（LED显示模组、电源） 应具备良好的环境适应性。提供所投产品或其所采用的关键元器件由具备有效CMA资质的检测机构出具的封面盖有CMA专用印章的检测报告原件关键页扫描件（检测依据GB/T 2423现行标准，报告需至少能证明低温存储、高温工作、恒定湿热符合标准要求）。</w:t>
            </w:r>
          </w:p>
          <w:p w14:paraId="2FA6A93E">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 防护等级：屏体整体IP防护等级≥IP3X（防尘）。提供由具备有效CMA资质的检测机构出具的封面盖有CMA专用印章的检测报告原件关键页扫描件（检测依据 GB/T 4208-2017）。</w:t>
            </w:r>
          </w:p>
          <w:p w14:paraId="70892DE6">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 光生物安全与视觉舒适性，符合光生物安全RG0等级。提供由具备有效CMA资质的检测机构出具的封面盖有CMA专用印章的检测报告原件关键页扫描件（检测依据 GB/T 20145-2006 或 IEC 62471:2006）；或提供国家认可的第三方机构出具的视觉健康认证证书。</w:t>
            </w:r>
          </w:p>
          <w:p w14:paraId="759BDD22">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 智能节电功能: 具备根据环境光强度或画面内容自动调节亮度的智能节电功能。提供技术说明或系统界面截图（体现自动调节逻辑及阈值设置）。</w:t>
            </w:r>
          </w:p>
          <w:p w14:paraId="5E4B66A6">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 寿命与可靠性: LED模组理论使用寿命不低于10万小时。提供原厂加速老化试验报告或由具备有效CMA资质的检测机构出具的封面盖有CMA专用印章的平均失效间隔工作时间或平均无故障时间的检测报告原件关键页扫描件（依据标准GB/T 5080或SJ/T 11141）。</w:t>
            </w:r>
          </w:p>
          <w:p w14:paraId="3BF32426">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★16.提供所投产品CCC认证证书扫描件。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2B9D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38EF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9.32</w:t>
            </w:r>
          </w:p>
        </w:tc>
      </w:tr>
      <w:tr w14:paraId="5B0A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14F14D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7699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视频处理器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427F4">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1.输入分辨率 ： 1920×1080，1920×1200，2048×1152，2560×960。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2.带载能力 ：≥390万像素。</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3.供电电压 ： AC-100-240V-50/60HZ。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4.控制方式 ： USB或网络接口等控制。</w:t>
            </w:r>
          </w:p>
          <w:p w14:paraId="2CEBC117">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5.输入接口 ： HDMI或DVI或SDI（接口数量满足项目需求即可）。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6.输出接口 ：≥6网。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7.视频源位深 ： 8/10/12bit。</w:t>
            </w:r>
          </w:p>
          <w:p w14:paraId="1022DEBE">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8.支持通过网络IP地址登录设备，查看发送卡IP 地址、序列号、带载屏幕分辨率、运行状态、软件版本、运行温度、内存使用率、网口利用率情况等信息，在超过设定的运行限制时和发送卡组件异常等异常状态会进行报警，支持从客户端、设备自带Web浏览器查看与绑定的接收卡的序号、接收卡型号、接收卡软件版本、网口link状态、接收卡电压、接收卡温度，状态显示正常。</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B864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728D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1385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974A16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F883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控制系统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C386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1.单卡输出 RGB 数据组达32组；</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2.单卡最大带载像素为 ≥512×256；</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3.支持配置文件回读；</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4.支持温度监控；</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5.支持网线通讯状态检测；</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6.支持供电电压检测；</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7.支持逐点亮色度校正。</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7DC8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54A9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6BCD5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C97868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3A1FE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大屏钢结构及装修装饰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DEB8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1.镀锌钢架结构，不锈钢包边，设备与装潢协调，嵌入墙体安装，显示屏结构需有LED显示屏厂家设计施工。</w:t>
            </w:r>
          </w:p>
          <w:p w14:paraId="2720299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▲2.为保证钢结构安全，LED厂家需提供钢结构贰级资质证书</w:t>
            </w:r>
            <w:r>
              <w:rPr>
                <w:rFonts w:hint="eastAsia" w:ascii="宋体" w:hAnsi="宋体" w:cs="宋体"/>
                <w:b w:val="0"/>
                <w:bCs w:val="0"/>
                <w:i w:val="0"/>
                <w:iCs w:val="0"/>
                <w:color w:val="auto"/>
                <w:sz w:val="21"/>
                <w:szCs w:val="21"/>
                <w:highlight w:val="none"/>
                <w:u w:val="none"/>
                <w:lang w:val="en-US" w:eastAsia="zh-CN" w:bidi="ar"/>
              </w:rPr>
              <w:t>扫描件</w:t>
            </w:r>
            <w:r>
              <w:rPr>
                <w:rFonts w:hint="eastAsia" w:ascii="宋体" w:hAnsi="宋体" w:eastAsia="宋体" w:cs="宋体"/>
                <w:b w:val="0"/>
                <w:bCs w:val="0"/>
                <w:i w:val="0"/>
                <w:iCs w:val="0"/>
                <w:color w:val="auto"/>
                <w:sz w:val="21"/>
                <w:szCs w:val="21"/>
                <w:highlight w:val="none"/>
                <w:u w:val="none"/>
                <w:lang w:val="en-US" w:eastAsia="zh-CN" w:bidi="ar"/>
              </w:rPr>
              <w:t>并加盖公章。</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D2E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D0D3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9.32</w:t>
            </w:r>
          </w:p>
        </w:tc>
      </w:tr>
      <w:tr w14:paraId="2FF00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0D29702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0E97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HDMI高清收发器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AE86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2.单根CAT5e/CAT6a电缆传输分辨率为1080P的HDMI信号最大距离为70米，传输分辨率为4Kx2K的HDMI信号最大距离为40米。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3.符合HDCP2.2和HDMI2.0标准。</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5.支持未压缩音频LPCM和压缩音频DTS-HD,Dolby True HD。</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AD49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2D73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17DF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0D45542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524B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布线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FE9E1">
            <w:pPr>
              <w:keepNext w:val="0"/>
              <w:keepLines w:val="0"/>
              <w:pageBreakBefore w:val="0"/>
              <w:widowControl/>
              <w:suppressLineNumbers w:val="0"/>
              <w:spacing w:line="360" w:lineRule="exact"/>
              <w:jc w:val="left"/>
              <w:rPr>
                <w:rFonts w:hint="default"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配套电源线</w:t>
            </w:r>
            <w:r>
              <w:rPr>
                <w:rFonts w:hint="eastAsia" w:ascii="宋体" w:hAnsi="宋体" w:cs="宋体"/>
                <w:b w:val="0"/>
                <w:bCs w:val="0"/>
                <w:i w:val="0"/>
                <w:iCs w:val="0"/>
                <w:color w:val="auto"/>
                <w:sz w:val="21"/>
                <w:szCs w:val="21"/>
                <w:highlight w:val="none"/>
                <w:u w:val="none"/>
                <w:lang w:val="en-US" w:eastAsia="zh-CN" w:bidi="ar"/>
              </w:rPr>
              <w:t>等（不含网线）</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E677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D3D4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2A94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004EB46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88AD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电脑（另外通过框架协议或公开招标方式采购）</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71E0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2.配置内存容量≥8G，2.内存类型：≥DDR4；</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4.配置1张独立显卡，显存≥2GB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5.显示器尺寸：≥23寸，分辨率：≥1920x1080；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6.配置键盘鼠标；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7.统信系统或银河麒麟专业版授权。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D5E0C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532A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DAB5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7EB2BF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C</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F0B3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灯光系统</w:t>
            </w:r>
          </w:p>
        </w:tc>
        <w:tc>
          <w:tcPr>
            <w:tcW w:w="863" w:type="dxa"/>
            <w:tcBorders>
              <w:top w:val="nil"/>
              <w:left w:val="nil"/>
              <w:bottom w:val="nil"/>
              <w:right w:val="nil"/>
            </w:tcBorders>
            <w:shd w:val="clear" w:color="auto" w:fill="auto"/>
            <w:noWrap w:val="0"/>
            <w:vAlign w:val="center"/>
          </w:tcPr>
          <w:p w14:paraId="3E662241">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nil"/>
              <w:left w:val="nil"/>
              <w:bottom w:val="nil"/>
              <w:right w:val="nil"/>
            </w:tcBorders>
            <w:shd w:val="clear" w:color="auto" w:fill="auto"/>
            <w:noWrap w:val="0"/>
            <w:vAlign w:val="center"/>
          </w:tcPr>
          <w:p w14:paraId="2BA6D11D">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15A15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250DA9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3673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嵌入式会议面光灯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FD5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49E110D9">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5848BE6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513LUX（在3200K和5600K色温下，距离灯具出光面3米处）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2341E3C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0F0F0A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780263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2525E3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控制通道：≥4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r>
              <w:rPr>
                <w:rFonts w:hint="eastAsia" w:asciiTheme="minorEastAsia" w:hAnsiTheme="minorEastAsia" w:eastAsiaTheme="minorEastAsia" w:cstheme="minorEastAsia"/>
                <w:color w:val="auto"/>
                <w:sz w:val="21"/>
                <w:szCs w:val="21"/>
                <w:highlight w:val="none"/>
              </w:rPr>
              <w:tab/>
            </w:r>
          </w:p>
          <w:p w14:paraId="78FB1A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4D2F8472">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15C94B0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34DC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490F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51042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0AE9FE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A128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嵌入式会议平板灯</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A4DB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显色指数（Ra）：≥95（3200K/5600K色温下）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所投产品</w:t>
            </w:r>
            <w:r>
              <w:rPr>
                <w:rFonts w:hint="eastAsia" w:asciiTheme="minorEastAsia" w:hAnsiTheme="minorEastAsia" w:eastAsiaTheme="minorEastAsia" w:cstheme="minorEastAsia"/>
                <w:color w:val="auto"/>
                <w:sz w:val="21"/>
                <w:szCs w:val="21"/>
                <w:highlight w:val="none"/>
              </w:rPr>
              <w:t>由具备 CMA认证资质 的第三方检测机构出具的检测报告扫描件（封面加盖 CMA</w:t>
            </w:r>
            <w:r>
              <w:rPr>
                <w:rFonts w:hint="eastAsia" w:asciiTheme="minorEastAsia" w:hAnsiTheme="minorEastAsia" w:eastAsiaTheme="minorEastAsia" w:cstheme="minorEastAsia"/>
                <w:color w:val="auto"/>
                <w:sz w:val="21"/>
                <w:szCs w:val="21"/>
                <w:highlight w:val="none"/>
                <w:lang w:val="en-US" w:eastAsia="zh-CN"/>
              </w:rPr>
              <w:t>资质</w:t>
            </w:r>
            <w:r>
              <w:rPr>
                <w:rFonts w:hint="eastAsia" w:asciiTheme="minorEastAsia" w:hAnsiTheme="minorEastAsia" w:eastAsiaTheme="minorEastAsia" w:cstheme="minorEastAsia"/>
                <w:color w:val="auto"/>
                <w:sz w:val="21"/>
                <w:szCs w:val="21"/>
                <w:highlight w:val="none"/>
              </w:rPr>
              <w:t>印章），报告须明确标注“显色指数 Ra”实测值（检测依据：</w:t>
            </w:r>
            <w:r>
              <w:rPr>
                <w:rFonts w:hint="eastAsia" w:asciiTheme="minorEastAsia" w:hAnsiTheme="minorEastAsia" w:eastAsiaTheme="minorEastAsia" w:cstheme="minorEastAsia"/>
                <w:color w:val="auto"/>
                <w:sz w:val="21"/>
                <w:szCs w:val="21"/>
                <w:highlight w:val="none"/>
                <w:lang w:eastAsia="zh-CN"/>
              </w:rPr>
              <w:t>GB/T 31897.201-2016或GB/T 31897.201-2025或GB/T 31897.201-2025</w:t>
            </w:r>
            <w:r>
              <w:rPr>
                <w:rFonts w:hint="eastAsia" w:asciiTheme="minorEastAsia" w:hAnsiTheme="minorEastAsia" w:eastAsiaTheme="minorEastAsia" w:cstheme="minorEastAsia"/>
                <w:color w:val="auto"/>
                <w:sz w:val="21"/>
                <w:szCs w:val="21"/>
                <w:highlight w:val="none"/>
              </w:rPr>
              <w:t>）。</w:t>
            </w:r>
          </w:p>
          <w:p w14:paraId="40382D76">
            <w:pPr>
              <w:pStyle w:val="5"/>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视网膜蓝光危害：</w:t>
            </w:r>
            <w:r>
              <w:rPr>
                <w:rFonts w:hint="eastAsia" w:asciiTheme="minorEastAsia" w:hAnsiTheme="minorEastAsia" w:eastAsiaTheme="minorEastAsia" w:cstheme="minorEastAsia"/>
                <w:color w:val="auto"/>
                <w:sz w:val="21"/>
                <w:szCs w:val="21"/>
                <w:highlight w:val="none"/>
                <w:lang w:val="en-US" w:eastAsia="zh-CN"/>
              </w:rPr>
              <w:t>不劣于</w:t>
            </w:r>
            <w:r>
              <w:rPr>
                <w:rFonts w:hint="eastAsia" w:asciiTheme="minorEastAsia" w:hAnsiTheme="minorEastAsia" w:eastAsiaTheme="minorEastAsia" w:cstheme="minorEastAsia"/>
                <w:color w:val="auto"/>
                <w:sz w:val="21"/>
                <w:szCs w:val="21"/>
                <w:highlight w:val="none"/>
              </w:rPr>
              <w:t>RG1级别（安全无危害）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由第三方检测检测依据</w:t>
            </w:r>
            <w:r>
              <w:rPr>
                <w:rFonts w:hint="eastAsia" w:asciiTheme="minorEastAsia" w:hAnsiTheme="minorEastAsia" w:eastAsiaTheme="minorEastAsia" w:cstheme="minorEastAsia"/>
                <w:color w:val="auto"/>
                <w:sz w:val="21"/>
                <w:szCs w:val="21"/>
                <w:highlight w:val="none"/>
              </w:rPr>
              <w:t xml:space="preserve"> GB/T 20145-2006（等同IEC 62471）</w:t>
            </w:r>
            <w:r>
              <w:rPr>
                <w:rFonts w:hint="eastAsia" w:asciiTheme="minorEastAsia" w:hAnsiTheme="minorEastAsia" w:eastAsiaTheme="minorEastAsia" w:cstheme="minorEastAsia"/>
                <w:color w:val="auto"/>
                <w:sz w:val="21"/>
                <w:szCs w:val="21"/>
                <w:highlight w:val="none"/>
                <w:lang w:val="en-US" w:eastAsia="zh-CN"/>
              </w:rPr>
              <w:t>等现行国家标准或国际通用标准出具的</w:t>
            </w:r>
            <w:r>
              <w:rPr>
                <w:rFonts w:hint="eastAsia" w:asciiTheme="minorEastAsia" w:hAnsiTheme="minorEastAsia" w:eastAsiaTheme="minorEastAsia" w:cstheme="minorEastAsia"/>
                <w:color w:val="auto"/>
                <w:sz w:val="21"/>
                <w:szCs w:val="21"/>
                <w:highlight w:val="none"/>
              </w:rPr>
              <w:t>检测报告</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全文或关键页</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扫描件</w:t>
            </w:r>
            <w:r>
              <w:rPr>
                <w:rFonts w:hint="eastAsia" w:asciiTheme="minorEastAsia" w:hAnsiTheme="minorEastAsia" w:eastAsiaTheme="minorEastAsia" w:cstheme="minorEastAsia"/>
                <w:color w:val="auto"/>
                <w:sz w:val="21"/>
                <w:szCs w:val="21"/>
                <w:highlight w:val="none"/>
              </w:rPr>
              <w:t>（封面加盖 CMA印章）。</w:t>
            </w:r>
          </w:p>
          <w:p w14:paraId="4DB8D52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.最大</w:t>
            </w:r>
            <w:r>
              <w:rPr>
                <w:rFonts w:hint="eastAsia" w:asciiTheme="minorEastAsia" w:hAnsiTheme="minorEastAsia" w:eastAsiaTheme="minorEastAsia" w:cstheme="minorEastAsia"/>
                <w:color w:val="auto"/>
                <w:sz w:val="21"/>
                <w:szCs w:val="21"/>
                <w:highlight w:val="none"/>
              </w:rPr>
              <w:t>照度：≥</w:t>
            </w:r>
            <w:r>
              <w:rPr>
                <w:rFonts w:hint="eastAsia" w:ascii="宋体" w:hAnsi="宋体" w:eastAsia="宋体" w:cs="宋体"/>
                <w:b w:val="0"/>
                <w:bCs w:val="0"/>
                <w:i w:val="0"/>
                <w:iCs w:val="0"/>
                <w:color w:val="auto"/>
                <w:sz w:val="21"/>
                <w:szCs w:val="21"/>
                <w:highlight w:val="none"/>
                <w:u w:val="none"/>
                <w:lang w:val="en-US" w:eastAsia="zh-CN" w:bidi="ar"/>
              </w:rPr>
              <w:t>513LUX（在3200K和5600K色温下，距离灯具出光面3米处）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产品技术规格书 或 CMA检测报告（封面加盖 CMA印章，报告</w:t>
            </w:r>
            <w:r>
              <w:rPr>
                <w:rFonts w:hint="eastAsia" w:asciiTheme="minorEastAsia" w:hAnsiTheme="minorEastAsia" w:eastAsiaTheme="minorEastAsia" w:cstheme="minorEastAsia"/>
                <w:color w:val="auto"/>
                <w:sz w:val="21"/>
                <w:szCs w:val="21"/>
                <w:highlight w:val="none"/>
                <w:lang w:val="en-US" w:eastAsia="zh-CN"/>
              </w:rPr>
              <w:t>方法</w:t>
            </w:r>
            <w:r>
              <w:rPr>
                <w:rFonts w:hint="eastAsia" w:asciiTheme="minorEastAsia" w:hAnsiTheme="minorEastAsia" w:eastAsiaTheme="minorEastAsia" w:cstheme="minorEastAsia"/>
                <w:color w:val="auto"/>
                <w:sz w:val="21"/>
                <w:szCs w:val="21"/>
                <w:highlight w:val="none"/>
              </w:rPr>
              <w:t>依据：</w:t>
            </w:r>
            <w:r>
              <w:rPr>
                <w:rFonts w:hint="eastAsia" w:asciiTheme="minorEastAsia" w:hAnsiTheme="minorEastAsia" w:eastAsiaTheme="minorEastAsia" w:cstheme="minorEastAsia"/>
                <w:color w:val="auto"/>
                <w:sz w:val="21"/>
                <w:szCs w:val="21"/>
                <w:highlight w:val="none"/>
                <w:lang w:eastAsia="zh-CN"/>
              </w:rPr>
              <w:t xml:space="preserve"> WH</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T 26-2007 </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highlight w:val="none"/>
              </w:rPr>
              <w:t>GB</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T 5700-2023</w:t>
            </w:r>
            <w:r>
              <w:rPr>
                <w:rFonts w:hint="eastAsia" w:asciiTheme="minorEastAsia" w:hAnsiTheme="minorEastAsia" w:eastAsiaTheme="minorEastAsia" w:cstheme="minorEastAsia"/>
                <w:color w:val="auto"/>
                <w:sz w:val="21"/>
                <w:szCs w:val="21"/>
                <w:highlight w:val="none"/>
                <w:lang w:val="en-US" w:eastAsia="zh-CN"/>
              </w:rPr>
              <w:t>等标准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ab/>
            </w:r>
          </w:p>
          <w:p w14:paraId="553457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4.光源</w:t>
            </w:r>
            <w:r>
              <w:rPr>
                <w:rFonts w:hint="eastAsia" w:asciiTheme="minorEastAsia" w:hAnsiTheme="minorEastAsia" w:eastAsiaTheme="minorEastAsia" w:cstheme="minorEastAsia"/>
                <w:color w:val="auto"/>
                <w:sz w:val="21"/>
                <w:szCs w:val="21"/>
                <w:highlight w:val="none"/>
              </w:rPr>
              <w:t>功率：≥</w:t>
            </w:r>
            <w:r>
              <w:rPr>
                <w:rFonts w:hint="eastAsia" w:ascii="宋体" w:hAnsi="宋体" w:eastAsia="宋体" w:cs="宋体"/>
                <w:b w:val="0"/>
                <w:bCs w:val="0"/>
                <w:i w:val="0"/>
                <w:iCs w:val="0"/>
                <w:color w:val="auto"/>
                <w:sz w:val="21"/>
                <w:szCs w:val="21"/>
                <w:highlight w:val="none"/>
                <w:u w:val="none"/>
                <w:lang w:val="en-US" w:eastAsia="zh-CN" w:bidi="ar"/>
              </w:rPr>
              <w:t>200W</w:t>
            </w:r>
            <w:r>
              <w:rPr>
                <w:rFonts w:hint="eastAsia" w:asciiTheme="minorEastAsia" w:hAnsiTheme="minorEastAsia" w:eastAsiaTheme="minorEastAsia" w:cstheme="minorEastAsia"/>
                <w:color w:val="auto"/>
                <w:sz w:val="21"/>
                <w:szCs w:val="21"/>
                <w:highlight w:val="none"/>
              </w:rPr>
              <w:t>（不含驱动损耗，整机实测值）</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所投产品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制造商公开技术文档（如白皮书、产品规格书、彩页、官网规格页截图及链接地址），高亮或明显标注相关参数</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p>
          <w:p w14:paraId="2FDE86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色温范围：3200 K </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5600 K 无级可调</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r>
              <w:rPr>
                <w:rFonts w:hint="eastAsia" w:asciiTheme="minorEastAsia" w:hAnsiTheme="minorEastAsia" w:eastAsiaTheme="minorEastAsia" w:cstheme="minorEastAsia"/>
                <w:color w:val="auto"/>
                <w:sz w:val="21"/>
                <w:szCs w:val="21"/>
                <w:highlight w:val="none"/>
                <w:lang w:val="en-US" w:eastAsia="zh-CN"/>
              </w:rPr>
              <w:t>所投</w:t>
            </w:r>
            <w:r>
              <w:rPr>
                <w:rFonts w:hint="eastAsia" w:asciiTheme="minorEastAsia" w:hAnsiTheme="minorEastAsia" w:eastAsiaTheme="minorEastAsia" w:cstheme="minorEastAsia"/>
                <w:color w:val="auto"/>
                <w:sz w:val="21"/>
                <w:szCs w:val="21"/>
                <w:highlight w:val="none"/>
              </w:rPr>
              <w:t>产品官方彩页/官网截图（需显示色温调节功能）。</w:t>
            </w:r>
            <w:r>
              <w:rPr>
                <w:rFonts w:hint="eastAsia" w:asciiTheme="minorEastAsia" w:hAnsiTheme="minorEastAsia" w:eastAsiaTheme="minorEastAsia" w:cstheme="minorEastAsia"/>
                <w:color w:val="auto"/>
                <w:sz w:val="21"/>
                <w:szCs w:val="21"/>
                <w:highlight w:val="none"/>
              </w:rPr>
              <w:tab/>
            </w:r>
          </w:p>
          <w:p w14:paraId="70C9FC5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调光性能：0–100%连续调光，无可见频闪。</w:t>
            </w:r>
            <w:r>
              <w:rPr>
                <w:rFonts w:hint="eastAsia" w:asciiTheme="minorEastAsia" w:hAnsiTheme="minorEastAsia" w:eastAsiaTheme="minorEastAsia" w:cstheme="minorEastAsia"/>
                <w:color w:val="auto"/>
                <w:sz w:val="21"/>
                <w:szCs w:val="21"/>
                <w:highlight w:val="none"/>
              </w:rPr>
              <w:tab/>
            </w:r>
          </w:p>
          <w:p w14:paraId="5091013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控制通道：≥4 通道（支持DMX512 + RDM）</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操作手册截图（显示控制通道数≥4）。</w:t>
            </w:r>
            <w:r>
              <w:rPr>
                <w:rFonts w:hint="eastAsia" w:asciiTheme="minorEastAsia" w:hAnsiTheme="minorEastAsia" w:eastAsiaTheme="minorEastAsia" w:cstheme="minorEastAsia"/>
                <w:color w:val="auto"/>
                <w:sz w:val="21"/>
                <w:szCs w:val="21"/>
                <w:highlight w:val="none"/>
              </w:rPr>
              <w:tab/>
            </w:r>
          </w:p>
          <w:p w14:paraId="2BD552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品牌标识：灯体有清晰、永久性品牌标识（激光雕刻/金属铭牌，非贴纸）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提供所投产品 灯体品牌标识清晰实物照片（显示完整型号与品牌）。</w:t>
            </w:r>
          </w:p>
          <w:p w14:paraId="5CEBF0B9">
            <w:pPr>
              <w:keepNext w:val="0"/>
              <w:keepLines w:val="0"/>
              <w:pageBreakBefore w:val="0"/>
              <w:kinsoku/>
              <w:overflowPunct/>
              <w:topLinePunct w:val="0"/>
              <w:autoSpaceDE/>
              <w:autoSpaceDN/>
              <w:bidi w:val="0"/>
              <w:adjustRightInd/>
              <w:snapToGrid/>
              <w:spacing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 舞台灯具不属于强制CCC产品，</w:t>
            </w:r>
            <w:r>
              <w:rPr>
                <w:rFonts w:hint="eastAsia" w:asciiTheme="minorEastAsia" w:hAnsiTheme="minorEastAsia" w:eastAsiaTheme="minorEastAsia" w:cstheme="minorEastAsia"/>
                <w:color w:val="auto"/>
                <w:highlight w:val="none"/>
                <w:lang w:val="en-US" w:eastAsia="zh-CN"/>
              </w:rPr>
              <w:t>所投产品应</w:t>
            </w:r>
            <w:r>
              <w:rPr>
                <w:rFonts w:hint="eastAsia" w:asciiTheme="minorEastAsia" w:hAnsiTheme="minorEastAsia" w:eastAsiaTheme="minorEastAsia" w:cstheme="minorEastAsia"/>
                <w:color w:val="auto"/>
                <w:highlight w:val="none"/>
              </w:rPr>
              <w:t>满足国家标准GB/T 7000.217-2023及 GB/T 7000.1-2023中规定的要求。所投产品需提供至少以下佐证材料（1）具备资质的检测机构出具带有CMA的全项目内容的检测报告原件扫描件（</w:t>
            </w:r>
            <w:r>
              <w:rPr>
                <w:rFonts w:hint="eastAsia" w:asciiTheme="minorEastAsia" w:hAnsiTheme="minorEastAsia" w:eastAsiaTheme="minorEastAsia" w:cstheme="minorEastAsia"/>
                <w:color w:val="auto"/>
                <w:highlight w:val="none"/>
                <w:lang w:val="en-US" w:eastAsia="zh-CN"/>
              </w:rPr>
              <w:t>符合</w:t>
            </w:r>
            <w:r>
              <w:rPr>
                <w:rFonts w:hint="eastAsia" w:asciiTheme="minorEastAsia" w:hAnsiTheme="minorEastAsia" w:eastAsiaTheme="minorEastAsia" w:cstheme="minorEastAsia"/>
                <w:color w:val="auto"/>
                <w:highlight w:val="none"/>
              </w:rPr>
              <w:t>GB/T 7000.217-2023、GB/T 7000.1-2023、GB/T17743-2021、GB17625.1-2022）</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检测报告数量不限</w:t>
            </w:r>
            <w:r>
              <w:rPr>
                <w:rFonts w:hint="eastAsia" w:asciiTheme="minorEastAsia" w:hAnsiTheme="minorEastAsia" w:eastAsiaTheme="minorEastAsia" w:cstheme="minorEastAsia"/>
                <w:color w:val="auto"/>
                <w:highlight w:val="none"/>
              </w:rPr>
              <w:t>（2）提供出厂合格证（3）提供说明书。</w:t>
            </w:r>
          </w:p>
          <w:p w14:paraId="333B1B0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strike w:val="0"/>
                <w:dstrike w:val="0"/>
                <w:color w:val="auto"/>
                <w:sz w:val="21"/>
                <w:szCs w:val="21"/>
                <w:highlight w:val="none"/>
                <w:u w:val="none"/>
                <w:lang w:val="en-US" w:eastAsia="zh-CN"/>
              </w:rPr>
              <w:t>10.提供所投产品</w:t>
            </w:r>
            <w:r>
              <w:rPr>
                <w:rFonts w:hint="eastAsia" w:asciiTheme="minorEastAsia" w:hAnsiTheme="minorEastAsia" w:eastAsiaTheme="minorEastAsia" w:cstheme="minorEastAsia"/>
                <w:strike w:val="0"/>
                <w:dstrike w:val="0"/>
                <w:color w:val="auto"/>
                <w:sz w:val="21"/>
                <w:szCs w:val="21"/>
                <w:highlight w:val="none"/>
                <w:u w:val="none"/>
              </w:rPr>
              <w:t>有效的 CQC自愿认证证书</w:t>
            </w:r>
            <w:r>
              <w:rPr>
                <w:rFonts w:hint="eastAsia" w:asciiTheme="minorEastAsia" w:hAnsiTheme="minorEastAsia" w:eastAsiaTheme="minorEastAsia" w:cstheme="minorEastAsia"/>
                <w:strike w:val="0"/>
                <w:dstrike w:val="0"/>
                <w:color w:val="auto"/>
                <w:sz w:val="21"/>
                <w:szCs w:val="21"/>
                <w:highlight w:val="none"/>
                <w:u w:val="none"/>
                <w:lang w:val="en-US" w:eastAsia="zh-CN"/>
              </w:rPr>
              <w:t>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1C22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6495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r>
      <w:tr w14:paraId="78D5D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56EB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三</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F859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行政楼5F会议室</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DF2BD">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D989A">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24C34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0D49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A</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55D8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扩声系统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28EF7">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61728">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484D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5FD906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CC2F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主扩音箱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06EF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2051090">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2.指定频带内的特性灵敏度级(1瓦/1米)：≥98dB±2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8167BE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★3.额定功率（输入电功率，长期最大功率）（额定阻抗为8Ω时）：≥400W。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7482E03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单元组成：低音单元≥2*8〞，高音单元≥1×1.4〞。提供所投产品原厂技术白皮书。</w:t>
            </w:r>
          </w:p>
          <w:p w14:paraId="02374C8D">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BC86DE3">
            <w:pPr>
              <w:keepNext w:val="0"/>
              <w:keepLines w:val="0"/>
              <w:pageBreakBefore w:val="0"/>
              <w:widowControl/>
              <w:suppressLineNumbers w:val="0"/>
              <w:spacing w:line="360" w:lineRule="exact"/>
              <w:jc w:val="left"/>
              <w:rPr>
                <w:rFonts w:hint="eastAsia" w:ascii="宋体" w:hAnsi="宋体" w:eastAsia="宋体" w:cs="宋体"/>
                <w:b w:val="0"/>
                <w:bCs w:val="0"/>
                <w:color w:val="auto"/>
                <w:sz w:val="21"/>
                <w:szCs w:val="21"/>
                <w:highlight w:val="none"/>
                <w:lang w:val="en-US" w:eastAsia="zh-CN"/>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 </w:t>
            </w:r>
            <w:r>
              <w:rPr>
                <w:rFonts w:hint="eastAsia" w:hAnsi="宋体" w:cs="宋体"/>
                <w:b w:val="0"/>
                <w:bCs w:val="0"/>
                <w:i w:val="0"/>
                <w:iCs w:val="0"/>
                <w:color w:val="auto"/>
                <w:sz w:val="21"/>
                <w:szCs w:val="21"/>
                <w:highlight w:val="none"/>
                <w:u w:val="none"/>
                <w:lang w:val="en-US" w:eastAsia="zh-CN" w:bidi="ar"/>
              </w:rPr>
              <w:t>9</w:t>
            </w:r>
            <w:r>
              <w:rPr>
                <w:rFonts w:hint="eastAsia" w:ascii="宋体" w:hAnsi="宋体" w:eastAsia="宋体" w:cs="宋体"/>
                <w:b w:val="0"/>
                <w:bCs w:val="0"/>
                <w:i w:val="0"/>
                <w:iCs w:val="0"/>
                <w:color w:val="auto"/>
                <w:sz w:val="21"/>
                <w:szCs w:val="21"/>
                <w:highlight w:val="none"/>
                <w:u w:val="none"/>
                <w:lang w:val="en-US" w:eastAsia="zh-CN" w:bidi="ar"/>
              </w:rPr>
              <w:t>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BC4C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2C7F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0BC1D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C7077F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107A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吸顶音箱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95EEC">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90Hz-20KHz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26984A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2.指定频带内的特性灵敏度级(1瓦/1米)：≥94dB±2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216FDB57">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w:t>
            </w:r>
            <w:r>
              <w:rPr>
                <w:rFonts w:hint="eastAsia" w:ascii="Times New Roman" w:hAnsi="Times New Roman"/>
                <w:color w:val="auto"/>
                <w:sz w:val="21"/>
                <w:szCs w:val="21"/>
              </w:rPr>
              <w:t>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）（额定阻抗为8Ω时）：≥80W。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D9500C1">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单元组成：低音≥6.5〞，高音单</w:t>
            </w:r>
            <w:r>
              <w:rPr>
                <w:rFonts w:hint="eastAsia" w:ascii="宋体" w:hAnsi="宋体" w:cs="宋体"/>
                <w:b w:val="0"/>
                <w:bCs w:val="0"/>
                <w:i w:val="0"/>
                <w:iCs w:val="0"/>
                <w:color w:val="auto"/>
                <w:sz w:val="21"/>
                <w:szCs w:val="21"/>
                <w:highlight w:val="none"/>
                <w:u w:val="none"/>
                <w:lang w:val="en-US" w:eastAsia="zh-CN" w:bidi="ar"/>
              </w:rPr>
              <w:t>元</w:t>
            </w:r>
            <w:r>
              <w:rPr>
                <w:rFonts w:hint="eastAsia" w:ascii="宋体" w:hAnsi="宋体" w:eastAsia="宋体" w:cs="宋体"/>
                <w:b w:val="0"/>
                <w:bCs w:val="0"/>
                <w:i w:val="0"/>
                <w:iCs w:val="0"/>
                <w:color w:val="auto"/>
                <w:sz w:val="21"/>
                <w:szCs w:val="21"/>
                <w:highlight w:val="none"/>
                <w:u w:val="none"/>
                <w:lang w:val="en-US" w:eastAsia="zh-CN" w:bidi="ar"/>
              </w:rPr>
              <w:t>≥ 1〞。</w:t>
            </w:r>
          </w:p>
          <w:p w14:paraId="7DDE49AA">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宋体" w:hAnsi="宋体" w:eastAsia="宋体" w:cs="宋体"/>
                <w:b w:val="0"/>
                <w:bCs w:val="0"/>
                <w:color w:val="auto"/>
                <w:sz w:val="21"/>
                <w:szCs w:val="21"/>
                <w:highlight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指定频带内的声压级（指持续声压级）：≥116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00C19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FC34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21CD2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37905C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0D43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四通道功放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A283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0C12DC95">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5B84D88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739827B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2AA8A92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7684A7C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w:t>
            </w:r>
          </w:p>
          <w:p w14:paraId="5271B0B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A092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C7FC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BCD5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74C8D1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74F6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调音台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27E2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1.≥12路调音台。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3.2编组母线 + 1立体声母线。</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4.2个AUX (包括FX)。</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5.“D-PRE”话放，带有倒向晶体管电路。</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648F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855E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EE0A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078ED2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7B2B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数字音频处理器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C4676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1.不少于4路输入、4路输出平衡接口。</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4.支持USB录/播功能。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5.每个输入通道输出通道具备参量均衡器可调。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C19A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6110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5C14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D4E9FC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C12D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8路电源时序器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6A9B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1.最大输入电流≥40A。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2.单路最大输出电流≥20A。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4.配置高精度输入电压表。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5.具有RS232中控串口，可支持设备同时联机使用。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68DB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5974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1DC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C2045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DF1B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无线会议话筒（一拖四）</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4B58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▲1.4通道自动混音，发言人数1-4人可选；提供所投产品原厂技术白皮书。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2.支持优先发言功能；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3.载波范围：630MHz-689MHz；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4.频带宽度：32MHz；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5.调制方式：FM；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7.AFS功能，根据预设的频率分别有通道内扫频或全部频组内扫频，快整精准地算出无干扰的工作频道。</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A5A7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A93F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A1C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A7B53A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AE16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机柜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9041D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22U，600*600标准机柜</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94AB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3B05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8F70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9DDD2D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018D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多媒体桌插</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86ED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含电源，HDMI，音频，网络等模块</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6E32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D014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1A3E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54D35D8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B</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E4F9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显示系统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1C90D">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02536">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77D8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C26DE1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BB26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LED显示屏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632D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全彩LED显示屏，像素点间距≤2.0mm，像素密度≥250000点/㎡。</w:t>
            </w:r>
            <w:r>
              <w:rPr>
                <w:rFonts w:hint="eastAsia" w:ascii="宋体" w:hAnsi="宋体" w:eastAsia="宋体" w:cs="宋体"/>
                <w:b w:val="0"/>
                <w:bCs w:val="0"/>
                <w:i w:val="0"/>
                <w:iCs w:val="0"/>
                <w:color w:val="auto"/>
                <w:sz w:val="21"/>
                <w:szCs w:val="21"/>
                <w:highlight w:val="none"/>
                <w:u w:val="none"/>
                <w:lang w:val="en-US" w:eastAsia="zh-CN" w:bidi="ar"/>
              </w:rPr>
              <w:t>屏体净尺寸：≈长3.84米*高2.08米=7.98平方。</w:t>
            </w: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p w14:paraId="551F1D8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封装技术：显示屏采用SMD、COB或经市场验证的微间距集成封装技术（如Mini/Micro LED on PCB）。提供所投产品型号制造商公开技术文档（如白皮书、产品规格书、彩页、官网规格页截图）其中须明确标注所采用的封装技术类型。</w:t>
            </w:r>
          </w:p>
          <w:p w14:paraId="34F67D1F">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刷新率：刷新率≥3840Hz，支持50Hz/60Hz换帧频率；平整度与拼缝：模组平整度≤0.1mm，相邻模组间拼接间隙≤0.1mm。提供以下之一：  </w:t>
            </w:r>
          </w:p>
          <w:p w14:paraId="77AC6257">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09D3E1A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p w14:paraId="5BC36B2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 箱体材料：采用压铸铝或高强度铝合金箱体（箱体所有包括底壳及后盖材质均为铝合金等金属材料）。提供承诺函和并附所投产品箱体清晰的实物照片或产品结构图。</w:t>
            </w:r>
          </w:p>
          <w:p w14:paraId="6351D922">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5. 维护方式：支持前维护或快速前拆卸维护，无需进入屏体后方即可完成模组、电源、控制卡等关键部件更换；散热与可维护性：采用无风扇自然散热设计，电源与控制系统支持热插拔。提供产品结构图或技术白皮书予以说明。 </w:t>
            </w:r>
          </w:p>
          <w:p w14:paraId="69CD747D">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 光学性能与环境光适应性：显示屏表面采用低反射处理技术（如黑灯珠、深黑面罩、光学涂层等），</w:t>
            </w:r>
            <w:r>
              <w:rPr>
                <w:rFonts w:hint="eastAsia" w:asciiTheme="minorEastAsia" w:hAnsiTheme="minorEastAsia" w:eastAsiaTheme="minorEastAsia" w:cstheme="minorEastAsia"/>
                <w:color w:val="auto"/>
                <w:sz w:val="21"/>
                <w:szCs w:val="21"/>
                <w:highlight w:val="none"/>
                <w:u w:val="none"/>
              </w:rPr>
              <w:t>以保证在会议室常规光照环境下具有抗环境光干扰能力，无明显眩光。</w:t>
            </w:r>
          </w:p>
          <w:p w14:paraId="577CD0B2">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7</w:t>
            </w:r>
            <w:r>
              <w:rPr>
                <w:rFonts w:hint="eastAsia" w:asciiTheme="minorEastAsia" w:hAnsiTheme="minorEastAsia" w:eastAsiaTheme="minorEastAsia" w:cstheme="minorEastAsia"/>
                <w:color w:val="auto"/>
                <w:sz w:val="21"/>
                <w:szCs w:val="21"/>
                <w:highlight w:val="none"/>
                <w:u w:val="none"/>
              </w:rPr>
              <w:t>. 亮度与均匀性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最大亮度≥500cd/m²且支持0%-100%无级调光，亮度均匀性≥97%，</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整屏色度均匀性：≤±0.005Cx,Cy或</w:t>
            </w:r>
            <w:r>
              <w:rPr>
                <w:rFonts w:hint="eastAsia" w:asciiTheme="minorEastAsia" w:hAnsiTheme="minorEastAsia" w:eastAsiaTheme="minorEastAsia" w:cstheme="minorEastAsia"/>
                <w:color w:val="auto"/>
                <w:sz w:val="21"/>
                <w:szCs w:val="21"/>
                <w:highlight w:val="none"/>
                <w:u w:val="none"/>
              </w:rPr>
              <w:t>色度均匀性Δx, Δy ≤0.00</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。提供以下</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之一：  </w:t>
            </w:r>
          </w:p>
          <w:p w14:paraId="02244894">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34EE6A2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（2）原厂逐点校正报告（含校正前后数据对比），符合 SJ/T 11141</w:t>
            </w:r>
            <w:r>
              <w:rPr>
                <w:rFonts w:hint="eastAsia" w:asciiTheme="minorEastAsia" w:hAnsiTheme="minorEastAsia" w:eastAsiaTheme="minorEastAsia" w:cstheme="minorEastAsia"/>
                <w:color w:val="auto"/>
                <w:sz w:val="21"/>
                <w:szCs w:val="21"/>
                <w:highlight w:val="none"/>
                <w:u w:val="none"/>
                <w:lang w:val="en-US" w:eastAsia="zh-CN"/>
              </w:rPr>
              <w:t>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rPr>
              <w:t xml:space="preserve">，数据可追溯。  </w:t>
            </w:r>
          </w:p>
          <w:p w14:paraId="45338936">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8</w:t>
            </w:r>
            <w:r>
              <w:rPr>
                <w:rFonts w:hint="eastAsia" w:asciiTheme="minorEastAsia" w:hAnsiTheme="minorEastAsia" w:eastAsiaTheme="minorEastAsia" w:cstheme="minorEastAsia"/>
                <w:color w:val="auto"/>
                <w:sz w:val="21"/>
                <w:szCs w:val="21"/>
                <w:highlight w:val="none"/>
                <w:u w:val="none"/>
              </w:rPr>
              <w:t>. 灰度、对比度与视角</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 xml:space="preserve">灰度等级≥16bit，对比度≥5000:1，水平视角≥160°，垂直视角≥140°（以亮度降至一半为边界）。提供以下之一：  </w:t>
            </w:r>
          </w:p>
          <w:p w14:paraId="2F740C8B">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45DFDE55">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（2）制造商技术白皮书，其中参数须注明测试条件（环境照度、测量距离、仪器型号、信号源格式）</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承诺数据真实性</w:t>
            </w:r>
            <w:r>
              <w:rPr>
                <w:rFonts w:hint="eastAsia" w:asciiTheme="minorEastAsia" w:hAnsiTheme="minorEastAsia" w:eastAsiaTheme="minorEastAsia" w:cstheme="minorEastAsia"/>
                <w:color w:val="auto"/>
                <w:sz w:val="21"/>
                <w:szCs w:val="21"/>
                <w:highlight w:val="none"/>
                <w:u w:val="none"/>
              </w:rPr>
              <w:t>。</w:t>
            </w:r>
          </w:p>
          <w:p w14:paraId="532CD54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9</w:t>
            </w:r>
            <w:r>
              <w:rPr>
                <w:rFonts w:hint="eastAsia" w:asciiTheme="minorEastAsia" w:hAnsiTheme="minorEastAsia" w:eastAsiaTheme="minorEastAsia" w:cstheme="minorEastAsia"/>
                <w:color w:val="auto"/>
                <w:sz w:val="21"/>
                <w:szCs w:val="21"/>
                <w:highlight w:val="none"/>
                <w:u w:val="none"/>
              </w:rPr>
              <w:t>. 功耗与电源效率</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采用恒流驱动方式</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平均功耗≤</w:t>
            </w:r>
            <w:r>
              <w:rPr>
                <w:rFonts w:hint="eastAsia" w:asciiTheme="minorEastAsia" w:hAnsiTheme="minorEastAsia" w:eastAsiaTheme="minorEastAsia" w:cstheme="minorEastAsia"/>
                <w:color w:val="auto"/>
                <w:sz w:val="21"/>
                <w:szCs w:val="21"/>
                <w:highlight w:val="none"/>
                <w:u w:val="none"/>
                <w:lang w:val="en-US" w:eastAsia="zh-CN"/>
              </w:rPr>
              <w:t>200</w:t>
            </w:r>
            <w:r>
              <w:rPr>
                <w:rFonts w:hint="eastAsia" w:asciiTheme="minorEastAsia" w:hAnsiTheme="minorEastAsia" w:eastAsiaTheme="minorEastAsia" w:cstheme="minorEastAsia"/>
                <w:color w:val="auto"/>
                <w:sz w:val="21"/>
                <w:szCs w:val="21"/>
                <w:highlight w:val="none"/>
                <w:u w:val="none"/>
              </w:rPr>
              <w:t>W/m²； 供电电源功率因数≥90%，转换效率≥85%。 提供以下之一</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  </w:t>
            </w:r>
          </w:p>
          <w:p w14:paraId="47171AE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关键页扫描件(依据标准依据 GB/T 43770-2024或 SJ/T 11141中关于“节能”的要求进行检测）</w:t>
            </w:r>
            <w:r>
              <w:rPr>
                <w:rFonts w:hint="eastAsia" w:asciiTheme="minorEastAsia" w:hAnsiTheme="minorEastAsia" w:eastAsiaTheme="minorEastAsia" w:cstheme="minorEastAsia"/>
                <w:color w:val="auto"/>
                <w:sz w:val="21"/>
                <w:szCs w:val="21"/>
                <w:highlight w:val="none"/>
                <w:u w:val="none"/>
              </w:rPr>
              <w:t xml:space="preserve">；  </w:t>
            </w:r>
          </w:p>
          <w:p w14:paraId="5703613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（2）原厂测试数据</w:t>
            </w:r>
            <w:r>
              <w:rPr>
                <w:rFonts w:hint="eastAsia" w:asciiTheme="minorEastAsia" w:hAnsiTheme="minorEastAsia" w:eastAsiaTheme="minorEastAsia" w:cstheme="minorEastAsia"/>
                <w:color w:val="auto"/>
                <w:sz w:val="21"/>
                <w:szCs w:val="21"/>
                <w:highlight w:val="none"/>
                <w:u w:val="none"/>
                <w:lang w:val="en-US" w:eastAsia="zh-CN"/>
              </w:rPr>
              <w:t>报告，</w:t>
            </w:r>
            <w:r>
              <w:rPr>
                <w:rFonts w:hint="eastAsia" w:asciiTheme="minorEastAsia" w:hAnsiTheme="minorEastAsia" w:eastAsiaTheme="minorEastAsia" w:cstheme="minorEastAsia"/>
                <w:color w:val="auto"/>
                <w:sz w:val="21"/>
                <w:szCs w:val="21"/>
              </w:rPr>
              <w:t>报告中须注明测试负载（如全白场、典型画面）、信号源格式、输入电压、环境温度等测试条件，并附数据真实性的</w:t>
            </w:r>
            <w:r>
              <w:rPr>
                <w:rStyle w:val="28"/>
                <w:rFonts w:hint="eastAsia" w:asciiTheme="minorEastAsia" w:hAnsiTheme="minorEastAsia" w:eastAsiaTheme="minorEastAsia" w:cstheme="minorEastAsia"/>
                <w:color w:val="auto"/>
                <w:sz w:val="21"/>
                <w:szCs w:val="21"/>
              </w:rPr>
              <w:t>承诺函</w:t>
            </w:r>
            <w:r>
              <w:rPr>
                <w:rFonts w:hint="eastAsia" w:asciiTheme="minorEastAsia" w:hAnsiTheme="minorEastAsia" w:eastAsiaTheme="minorEastAsia" w:cstheme="minorEastAsia"/>
                <w:color w:val="auto"/>
                <w:sz w:val="21"/>
                <w:szCs w:val="21"/>
              </w:rPr>
              <w:t>（格式自拟）</w:t>
            </w:r>
            <w:r>
              <w:rPr>
                <w:rFonts w:hint="eastAsia" w:asciiTheme="minorEastAsia" w:hAnsiTheme="minorEastAsia" w:eastAsiaTheme="minorEastAsia" w:cstheme="minorEastAsia"/>
                <w:color w:val="auto"/>
                <w:sz w:val="21"/>
                <w:szCs w:val="21"/>
                <w:highlight w:val="none"/>
                <w:u w:val="none"/>
              </w:rPr>
              <w:t>。</w:t>
            </w:r>
          </w:p>
          <w:p w14:paraId="1FA91816">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0</w:t>
            </w:r>
            <w:r>
              <w:rPr>
                <w:rFonts w:hint="eastAsia" w:asciiTheme="minorEastAsia" w:hAnsiTheme="minorEastAsia" w:eastAsiaTheme="minorEastAsia" w:cstheme="minorEastAsia"/>
                <w:color w:val="auto"/>
                <w:sz w:val="21"/>
                <w:szCs w:val="21"/>
                <w:highlight w:val="none"/>
                <w:u w:val="none"/>
              </w:rPr>
              <w:t>. 图像处理功能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具备单点亮度/色度校正、亮暗线补偿、图像降噪、运动补偿等功能。提供功能说明文档</w:t>
            </w:r>
            <w:r>
              <w:rPr>
                <w:rFonts w:hint="eastAsia" w:asciiTheme="minorEastAsia" w:hAnsiTheme="minorEastAsia" w:eastAsiaTheme="minorEastAsia" w:cstheme="minorEastAsia"/>
                <w:color w:val="auto"/>
                <w:sz w:val="21"/>
                <w:szCs w:val="21"/>
                <w:highlight w:val="none"/>
                <w:u w:val="none"/>
                <w:lang w:val="en-US" w:eastAsia="zh-CN"/>
              </w:rPr>
              <w:t>或</w:t>
            </w:r>
            <w:r>
              <w:rPr>
                <w:rFonts w:hint="eastAsia" w:asciiTheme="minorEastAsia" w:hAnsiTheme="minorEastAsia" w:eastAsiaTheme="minorEastAsia" w:cstheme="minorEastAsia"/>
                <w:color w:val="auto"/>
                <w:sz w:val="21"/>
                <w:szCs w:val="21"/>
                <w:highlight w:val="none"/>
                <w:u w:val="none"/>
              </w:rPr>
              <w:t>软件界面截图（体现功能开关状态）</w:t>
            </w:r>
            <w:r>
              <w:rPr>
                <w:rFonts w:hint="eastAsia" w:asciiTheme="minorEastAsia" w:hAnsiTheme="minorEastAsia" w:eastAsiaTheme="minorEastAsia" w:cstheme="minorEastAsia"/>
                <w:color w:val="auto"/>
                <w:sz w:val="21"/>
                <w:szCs w:val="21"/>
                <w:highlight w:val="none"/>
                <w:u w:val="none"/>
                <w:lang w:eastAsia="zh-CN"/>
              </w:rPr>
              <w:t>。</w:t>
            </w:r>
          </w:p>
          <w:p w14:paraId="73E066E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1</w:t>
            </w:r>
            <w:r>
              <w:rPr>
                <w:rFonts w:hint="eastAsia" w:asciiTheme="minorEastAsia" w:hAnsiTheme="minorEastAsia" w:eastAsiaTheme="minorEastAsia" w:cstheme="minorEastAsia"/>
                <w:color w:val="auto"/>
                <w:sz w:val="21"/>
                <w:szCs w:val="21"/>
                <w:highlight w:val="none"/>
                <w:u w:val="none"/>
              </w:rPr>
              <w:t>. 环境适应性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投标产品或其关键元器件（LED显示模组、电源） 应具备良好的环境适应性。提供所投产品或其所采用的关键元器件由具备有效CMA资质的检测机构出具的封面盖有CMA专用印章的检测报告原件关键页扫描件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检测依据</w:t>
            </w:r>
            <w:r>
              <w:rPr>
                <w:rFonts w:hint="eastAsia" w:asciiTheme="minorEastAsia" w:hAnsiTheme="minorEastAsia" w:eastAsiaTheme="minorEastAsia" w:cstheme="minorEastAsia"/>
                <w:color w:val="auto"/>
                <w:sz w:val="21"/>
                <w:szCs w:val="21"/>
                <w:highlight w:val="none"/>
                <w:u w:val="none"/>
              </w:rPr>
              <w:t>GB/T 2423</w:t>
            </w:r>
            <w:r>
              <w:rPr>
                <w:rFonts w:hint="eastAsia" w:asciiTheme="minorEastAsia" w:hAnsiTheme="minorEastAsia" w:eastAsiaTheme="minorEastAsia" w:cstheme="minorEastAsia"/>
                <w:color w:val="auto"/>
                <w:sz w:val="21"/>
                <w:szCs w:val="21"/>
                <w:highlight w:val="none"/>
                <w:u w:val="none"/>
                <w:lang w:val="en-US" w:eastAsia="zh-CN"/>
              </w:rPr>
              <w:t>现行标准</w:t>
            </w:r>
            <w:r>
              <w:rPr>
                <w:rFonts w:hint="eastAsia" w:asciiTheme="minorEastAsia" w:hAnsiTheme="minorEastAsia" w:eastAsiaTheme="minorEastAsia" w:cstheme="minorEastAsia"/>
                <w:color w:val="auto"/>
                <w:sz w:val="21"/>
                <w:szCs w:val="21"/>
                <w:highlight w:val="none"/>
                <w:u w:val="none"/>
              </w:rPr>
              <w:t>，报告需</w:t>
            </w:r>
            <w:r>
              <w:rPr>
                <w:rFonts w:hint="eastAsia" w:asciiTheme="minorEastAsia" w:hAnsiTheme="minorEastAsia" w:eastAsiaTheme="minorEastAsia" w:cstheme="minorEastAsia"/>
                <w:color w:val="auto"/>
                <w:sz w:val="21"/>
                <w:szCs w:val="21"/>
                <w:highlight w:val="none"/>
                <w:u w:val="none"/>
                <w:lang w:val="en-US" w:eastAsia="zh-CN"/>
              </w:rPr>
              <w:t>至少</w:t>
            </w:r>
            <w:r>
              <w:rPr>
                <w:rFonts w:hint="eastAsia" w:asciiTheme="minorEastAsia" w:hAnsiTheme="minorEastAsia" w:eastAsiaTheme="minorEastAsia" w:cstheme="minorEastAsia"/>
                <w:color w:val="auto"/>
                <w:sz w:val="21"/>
                <w:szCs w:val="21"/>
                <w:highlight w:val="none"/>
                <w:u w:val="none"/>
              </w:rPr>
              <w:t>能证明低温存储、高温工作、恒定湿热</w:t>
            </w:r>
            <w:r>
              <w:rPr>
                <w:rFonts w:hint="eastAsia" w:asciiTheme="minorEastAsia" w:hAnsiTheme="minorEastAsia" w:eastAsiaTheme="minorEastAsia" w:cstheme="minorEastAsia"/>
                <w:color w:val="auto"/>
                <w:sz w:val="21"/>
                <w:szCs w:val="21"/>
                <w:highlight w:val="none"/>
                <w:u w:val="none"/>
                <w:lang w:val="en-US" w:eastAsia="zh-CN"/>
              </w:rPr>
              <w:t>符合</w:t>
            </w:r>
            <w:r>
              <w:rPr>
                <w:rFonts w:hint="eastAsia" w:asciiTheme="minorEastAsia" w:hAnsiTheme="minorEastAsia" w:eastAsiaTheme="minorEastAsia" w:cstheme="minorEastAsia"/>
                <w:color w:val="auto"/>
                <w:sz w:val="21"/>
                <w:szCs w:val="21"/>
                <w:highlight w:val="none"/>
                <w:u w:val="none"/>
              </w:rPr>
              <w:t>标准要求</w:t>
            </w:r>
            <w:r>
              <w:rPr>
                <w:rFonts w:hint="eastAsia" w:asciiTheme="minorEastAsia" w:hAnsiTheme="minorEastAsia" w:eastAsiaTheme="minorEastAsia" w:cstheme="minorEastAsia"/>
                <w:color w:val="auto"/>
                <w:sz w:val="21"/>
                <w:szCs w:val="21"/>
                <w:highlight w:val="none"/>
                <w:u w:val="none"/>
                <w:lang w:eastAsia="zh-CN"/>
              </w:rPr>
              <w:t>）。</w:t>
            </w:r>
          </w:p>
          <w:p w14:paraId="5B767ADD">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none"/>
              </w:rPr>
              <w:t>. 防护等级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屏体整体IP防护等级≥IP</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X（防尘）</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4208-2017</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5AB548C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 光生物安全与视觉舒适性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符合光生物安全RG0等级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20145-2006 或 IEC 62471:2006</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；或提供国家认可的第三方机构出具的视觉健康认证证书。</w:t>
            </w:r>
          </w:p>
          <w:p w14:paraId="4F1D09C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4</w:t>
            </w:r>
            <w:r>
              <w:rPr>
                <w:rFonts w:hint="eastAsia" w:asciiTheme="minorEastAsia" w:hAnsiTheme="minorEastAsia" w:eastAsiaTheme="minorEastAsia" w:cstheme="minorEastAsia"/>
                <w:color w:val="auto"/>
                <w:sz w:val="21"/>
                <w:szCs w:val="21"/>
                <w:highlight w:val="none"/>
                <w:u w:val="none"/>
              </w:rPr>
              <w:t>. 智能节电功能</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具备根据环境光强度或画面内容自动调节亮度的智能节电功能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提供技术说明或系统界面截图（体现自动调节逻辑及阈值设置）</w:t>
            </w:r>
            <w:r>
              <w:rPr>
                <w:rFonts w:hint="eastAsia" w:asciiTheme="minorEastAsia" w:hAnsiTheme="minorEastAsia" w:eastAsiaTheme="minorEastAsia" w:cstheme="minorEastAsia"/>
                <w:color w:val="auto"/>
                <w:sz w:val="21"/>
                <w:szCs w:val="21"/>
                <w:highlight w:val="none"/>
                <w:u w:val="none"/>
                <w:lang w:eastAsia="zh-CN"/>
              </w:rPr>
              <w:t>。</w:t>
            </w:r>
          </w:p>
          <w:p w14:paraId="594BCDC5">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 寿命与可靠性</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LED模组理论使用寿命不低于10万小时。提供原厂加速老化试验报告或由具备有效CMA资质的检测机构出具的封面盖有CMA专用印章的</w:t>
            </w:r>
            <w:r>
              <w:rPr>
                <w:rFonts w:hint="eastAsia" w:asciiTheme="minorEastAsia" w:hAnsiTheme="minorEastAsia" w:eastAsiaTheme="minorEastAsia" w:cstheme="minorEastAsia"/>
                <w:color w:val="auto"/>
                <w:sz w:val="21"/>
                <w:szCs w:val="21"/>
                <w:highlight w:val="none"/>
                <w:u w:val="none"/>
                <w:lang w:val="en-US" w:eastAsia="zh-CN"/>
              </w:rPr>
              <w:t>平均失效间隔工作时间或平均无故障时间的</w:t>
            </w:r>
            <w:r>
              <w:rPr>
                <w:rFonts w:hint="eastAsia" w:asciiTheme="minorEastAsia" w:hAnsiTheme="minorEastAsia" w:eastAsiaTheme="minorEastAsia" w:cstheme="minorEastAsia"/>
                <w:color w:val="auto"/>
                <w:sz w:val="21"/>
                <w:szCs w:val="21"/>
                <w:highlight w:val="none"/>
                <w:u w:val="none"/>
              </w:rPr>
              <w:t>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依据标准</w:t>
            </w:r>
            <w:r>
              <w:rPr>
                <w:rStyle w:val="28"/>
                <w:rFonts w:hint="eastAsia" w:asciiTheme="minorEastAsia" w:hAnsiTheme="minorEastAsia" w:eastAsiaTheme="minorEastAsia" w:cstheme="minorEastAsia"/>
                <w:color w:val="auto"/>
                <w:sz w:val="21"/>
                <w:szCs w:val="21"/>
              </w:rPr>
              <w:t>GB/T 5080</w:t>
            </w:r>
            <w:r>
              <w:rPr>
                <w:rStyle w:val="28"/>
                <w:rFonts w:hint="eastAsia" w:asciiTheme="minorEastAsia" w:hAnsiTheme="minorEastAsia" w:eastAsiaTheme="minorEastAsia" w:cstheme="minorEastAsia"/>
                <w:color w:val="auto"/>
                <w:sz w:val="21"/>
                <w:szCs w:val="21"/>
                <w:lang w:val="en-US" w:eastAsia="zh-CN"/>
              </w:rPr>
              <w:t>或</w:t>
            </w:r>
            <w:r>
              <w:rPr>
                <w:rFonts w:hint="eastAsia" w:asciiTheme="minorEastAsia" w:hAnsiTheme="minorEastAsia" w:eastAsiaTheme="minorEastAsia" w:cstheme="minorEastAsia"/>
                <w:color w:val="auto"/>
                <w:sz w:val="21"/>
                <w:szCs w:val="21"/>
                <w:highlight w:val="none"/>
                <w:u w:val="none"/>
                <w:lang w:val="en-US" w:eastAsia="zh-CN"/>
              </w:rPr>
              <w:t>SJ/T 11141</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16C9A617">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D5A5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A48A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7.98</w:t>
            </w:r>
          </w:p>
        </w:tc>
      </w:tr>
      <w:tr w14:paraId="2EC4B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783AB8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21BD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视频处理器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C603A">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1.输入分辨率 ： 1920×1080，1920×1200，2048×1152，2560×960。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2.带载能力 ：≥390万像素。</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3.供电电压 ： AC-100-240V-50/60HZ。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4.控制方式 ： USB或网络接口等控制。</w:t>
            </w:r>
          </w:p>
          <w:p w14:paraId="2F2AA174">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5.输入接口 ： HDMI或DVI或SDI（接口数量满足项目需求即可）。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6.输出接口 ：≥6网。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7.视频源位深 ： 8/10/12bit。</w:t>
            </w:r>
          </w:p>
          <w:p w14:paraId="0E101A68">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8.支持通过网络IP地址登录设备，查看发送卡IP 地址、序列号、带载屏幕分辨率、运行状态、软件版本、运行温度、内存使用率、网口利用率情况等信息，在超过设定的运行限制时和发送卡组件异常等异常状态会进行报警，支持从客户端、设备自带Web浏览器查看与绑定的接收卡的序号、接收卡型号、接收卡软件版本、网口link状态、接收卡电压、接收卡温度，状态显示正常。</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5E23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5670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CA42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E350C8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F25B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控制系统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35F51">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1.单卡输出 RGB 数据组达32组；</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2.单卡最大带载像素为</w:t>
            </w: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i w:val="0"/>
                <w:iCs w:val="0"/>
                <w:color w:val="auto"/>
                <w:sz w:val="21"/>
                <w:szCs w:val="21"/>
                <w:highlight w:val="none"/>
                <w:u w:val="none"/>
                <w:lang w:val="en-US" w:eastAsia="zh-CN" w:bidi="ar"/>
              </w:rPr>
              <w:t xml:space="preserve"> 512×256；</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3.支持配置文件回读；</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4.支持温度监控；</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5.支持网线通讯状态检测；</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6.支持供电电压检测；</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7.支持逐点亮色度校正。</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6BA3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1128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559F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1DF4FD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25CD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大屏钢结构及装修装饰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3B12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1.镀锌钢架结构，不锈钢包边，设备与装潢协调，嵌入墙体安装，显示屏结构需有LED显示屏厂家设计施工。</w:t>
            </w:r>
          </w:p>
          <w:p w14:paraId="24B219C0">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▲2.为保证钢结构安全，LED厂家需提供钢结构贰级资质证书</w:t>
            </w:r>
            <w:r>
              <w:rPr>
                <w:rFonts w:hint="eastAsia" w:ascii="宋体" w:hAnsi="宋体" w:cs="宋体"/>
                <w:b w:val="0"/>
                <w:bCs w:val="0"/>
                <w:i w:val="0"/>
                <w:iCs w:val="0"/>
                <w:color w:val="auto"/>
                <w:sz w:val="21"/>
                <w:szCs w:val="21"/>
                <w:highlight w:val="none"/>
                <w:u w:val="none"/>
                <w:lang w:val="en-US" w:eastAsia="zh-CN" w:bidi="ar"/>
              </w:rPr>
              <w:t>扫描件</w:t>
            </w:r>
            <w:r>
              <w:rPr>
                <w:rFonts w:hint="eastAsia" w:ascii="宋体" w:hAnsi="宋体" w:eastAsia="宋体" w:cs="宋体"/>
                <w:b w:val="0"/>
                <w:bCs w:val="0"/>
                <w:i w:val="0"/>
                <w:iCs w:val="0"/>
                <w:color w:val="auto"/>
                <w:sz w:val="21"/>
                <w:szCs w:val="21"/>
                <w:highlight w:val="none"/>
                <w:u w:val="none"/>
                <w:lang w:val="en-US" w:eastAsia="zh-CN" w:bidi="ar"/>
              </w:rPr>
              <w:t>并加盖公章。</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1507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平米</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4B97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7.98</w:t>
            </w:r>
          </w:p>
        </w:tc>
      </w:tr>
      <w:tr w14:paraId="60BA1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F2B067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1CB1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HDMI高清收发器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42CF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1.支持全高清视/超高清频信号：1080P 3D和4Kx2K分辨率。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2.单根CAT5e/CAT6a电缆传输分辨率为1080P的HDMI信号最大距离为70米，传输分辨率为4Kx2K的HDMI信号最大距离为40米。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3.符合HDCP2.2和HDMI2.0标准。</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4.采用POC供电技术，只需要为发射端或接收端其中一端供12V电源即可。</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5.支持未压缩音频LPCM和压缩音频DTS-HD,Dolby True HD。</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C9FA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03ED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712F1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2A2B64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196B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布线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944D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配套电源线</w:t>
            </w:r>
            <w:r>
              <w:rPr>
                <w:rFonts w:hint="eastAsia" w:ascii="宋体" w:hAnsi="宋体" w:cs="宋体"/>
                <w:b w:val="0"/>
                <w:bCs w:val="0"/>
                <w:i w:val="0"/>
                <w:iCs w:val="0"/>
                <w:color w:val="auto"/>
                <w:sz w:val="21"/>
                <w:szCs w:val="21"/>
                <w:highlight w:val="none"/>
                <w:u w:val="none"/>
                <w:lang w:val="en-US" w:eastAsia="zh-CN" w:bidi="ar"/>
              </w:rPr>
              <w:t>、音视频跳线、接插件等</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4F1B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37D7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7FDDF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B804B9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255A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电脑（另外通过框架协议或公开招标方式采购）</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9DFA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2.配置内存容量≥8G，2.内存类型：≥DDR4。</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4.配置1张独立显卡，显存≥2GB。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5.配置键盘鼠标。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6.统信系统或银河麒麟专业版授权。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60A8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484DF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6C8F9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534C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四</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E835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风雨操场</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68C3F">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FA761">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55520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0CA4966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A</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DBB9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显示系统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D656C">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B5A0E">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5C6C5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1BDCCE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3743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室内P3全彩屏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0603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w:t>
            </w:r>
            <w:r>
              <w:rPr>
                <w:rFonts w:hint="eastAsia" w:asciiTheme="minorEastAsia" w:hAnsiTheme="minorEastAsia" w:eastAsiaTheme="minorEastAsia" w:cstheme="minorEastAsia"/>
                <w:b w:val="0"/>
                <w:bCs w:val="0"/>
                <w:color w:val="auto"/>
                <w:sz w:val="21"/>
                <w:szCs w:val="21"/>
                <w:highlight w:val="none"/>
                <w:u w:val="none"/>
                <w:lang w:val="en-US" w:eastAsia="zh-CN"/>
              </w:rPr>
              <w:t>3</w:t>
            </w:r>
            <w:r>
              <w:rPr>
                <w:rFonts w:hint="eastAsia" w:asciiTheme="minorEastAsia" w:hAnsiTheme="minorEastAsia" w:eastAsiaTheme="minorEastAsia" w:cstheme="minorEastAsia"/>
                <w:b w:val="0"/>
                <w:bCs w:val="0"/>
                <w:color w:val="auto"/>
                <w:sz w:val="21"/>
                <w:szCs w:val="21"/>
                <w:highlight w:val="none"/>
                <w:u w:val="none"/>
              </w:rPr>
              <w:t>.0mm。</w:t>
            </w:r>
            <w:r>
              <w:rPr>
                <w:rFonts w:hint="eastAsia" w:ascii="宋体" w:hAnsi="宋体" w:eastAsia="宋体" w:cs="宋体"/>
                <w:b w:val="0"/>
                <w:bCs w:val="0"/>
                <w:i w:val="0"/>
                <w:iCs w:val="0"/>
                <w:color w:val="auto"/>
                <w:sz w:val="21"/>
                <w:szCs w:val="21"/>
                <w:highlight w:val="none"/>
                <w:u w:val="none"/>
                <w:lang w:val="en-US" w:eastAsia="zh-CN" w:bidi="ar"/>
              </w:rPr>
              <w:t>屏体净尺寸：≈长7.04米*高4米计28.16平方</w:t>
            </w:r>
            <w:r>
              <w:rPr>
                <w:rFonts w:hint="eastAsia" w:asciiTheme="minorEastAsia" w:hAnsiTheme="minorEastAsia" w:eastAsiaTheme="minorEastAsia" w:cstheme="minorEastAsia"/>
                <w:b w:val="0"/>
                <w:bCs w:val="0"/>
                <w:color w:val="auto"/>
                <w:sz w:val="21"/>
                <w:szCs w:val="21"/>
                <w:highlight w:val="none"/>
                <w:u w:val="none"/>
              </w:rPr>
              <w:t>。</w:t>
            </w: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p w14:paraId="2EFD0471">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 封装技术：显示屏采用SMD、COB或经市场验证的微间距集成封装技术（如Mini/Micro LED on PCB）。提供所投产品型号制造商公开技术文档（如白皮书、产品规格书、彩页、官网规格页截图）其中须明确标注所采用的封装技术类型。</w:t>
            </w:r>
          </w:p>
          <w:p w14:paraId="2A43314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★3.刷新率：刷新率≥3840Hz，支持50Hz/60Hz换帧频率；平整度与拼缝：模组平整度≤0.1mm，相邻模组间拼接间隙≤0.1mm。提供以下之一：  </w:t>
            </w:r>
          </w:p>
          <w:p w14:paraId="17E10C84">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5240F04D">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p w14:paraId="500D110D">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4.箱体材料：采用压铸铝或高强度铝合金箱体（箱体所有包括底壳及后盖材质均为铝合金等金属材料）。提供承诺函和并附所投产品箱体清晰的实物照片或产品结构图。</w:t>
            </w:r>
          </w:p>
          <w:p w14:paraId="1BA8FBD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5. 维护方式：支持前维护或快速前拆卸维护，无需进入屏体后方即可完成模组、电源、控制卡等关键部件更换；散热与可维护性：采用无风扇自然散热设计，电源与控制系统支持热插拔。提供产品结构图或技术白皮书予以说明。 </w:t>
            </w:r>
          </w:p>
          <w:p w14:paraId="0E2648EC">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 光学性能与环境光适应性：显示屏表面采用低反射处理技术（如黑灯珠、深黑面罩、光学涂层等），</w:t>
            </w:r>
            <w:r>
              <w:rPr>
                <w:rFonts w:hint="eastAsia" w:asciiTheme="minorEastAsia" w:hAnsiTheme="minorEastAsia" w:eastAsiaTheme="minorEastAsia" w:cstheme="minorEastAsia"/>
                <w:color w:val="auto"/>
                <w:sz w:val="21"/>
                <w:szCs w:val="21"/>
                <w:highlight w:val="none"/>
                <w:u w:val="none"/>
              </w:rPr>
              <w:t>以保证在会议室常规光照环境下具有抗环境光干扰能力，无明显眩光。</w:t>
            </w:r>
          </w:p>
          <w:p w14:paraId="157D7C43">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7</w:t>
            </w:r>
            <w:r>
              <w:rPr>
                <w:rFonts w:hint="eastAsia" w:asciiTheme="minorEastAsia" w:hAnsiTheme="minorEastAsia" w:eastAsiaTheme="minorEastAsia" w:cstheme="minorEastAsia"/>
                <w:color w:val="auto"/>
                <w:sz w:val="21"/>
                <w:szCs w:val="21"/>
                <w:highlight w:val="none"/>
                <w:u w:val="none"/>
              </w:rPr>
              <w:t>. 亮度与均匀性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最大亮度≥</w:t>
            </w:r>
            <w:r>
              <w:rPr>
                <w:rFonts w:hint="eastAsia" w:asciiTheme="minorEastAsia" w:hAnsiTheme="minorEastAsia" w:eastAsiaTheme="minorEastAsia" w:cstheme="minorEastAsia"/>
                <w:color w:val="auto"/>
                <w:sz w:val="21"/>
                <w:szCs w:val="21"/>
                <w:highlight w:val="none"/>
                <w:u w:val="none"/>
                <w:lang w:val="en-US" w:eastAsia="zh-CN"/>
              </w:rPr>
              <w:t>8</w:t>
            </w:r>
            <w:r>
              <w:rPr>
                <w:rFonts w:hint="eastAsia" w:asciiTheme="minorEastAsia" w:hAnsiTheme="minorEastAsia" w:eastAsiaTheme="minorEastAsia" w:cstheme="minorEastAsia"/>
                <w:color w:val="auto"/>
                <w:sz w:val="21"/>
                <w:szCs w:val="21"/>
                <w:highlight w:val="none"/>
                <w:u w:val="none"/>
              </w:rPr>
              <w:t>00cd/m²且支持0%-100%无级调光，亮度均匀性≥97%，</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整屏色度均匀性：≤±0.005Cx,Cy或</w:t>
            </w:r>
            <w:r>
              <w:rPr>
                <w:rFonts w:hint="eastAsia" w:asciiTheme="minorEastAsia" w:hAnsiTheme="minorEastAsia" w:eastAsiaTheme="minorEastAsia" w:cstheme="minorEastAsia"/>
                <w:color w:val="auto"/>
                <w:sz w:val="21"/>
                <w:szCs w:val="21"/>
                <w:highlight w:val="none"/>
                <w:u w:val="none"/>
              </w:rPr>
              <w:t>色度均匀性Δx, Δy ≤0.00</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。提供以下</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之一：  </w:t>
            </w:r>
          </w:p>
          <w:p w14:paraId="7D591BD5">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4BC4650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（2）原厂逐点校正报告（含校正前后数据对比），符合 SJ/T 11141</w:t>
            </w:r>
            <w:r>
              <w:rPr>
                <w:rFonts w:hint="eastAsia" w:asciiTheme="minorEastAsia" w:hAnsiTheme="minorEastAsia" w:eastAsiaTheme="minorEastAsia" w:cstheme="minorEastAsia"/>
                <w:color w:val="auto"/>
                <w:sz w:val="21"/>
                <w:szCs w:val="21"/>
                <w:highlight w:val="none"/>
                <w:u w:val="none"/>
                <w:lang w:val="en-US" w:eastAsia="zh-CN"/>
              </w:rPr>
              <w:t>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rPr>
              <w:t>，数据可追溯。  ▲</w:t>
            </w:r>
            <w:r>
              <w:rPr>
                <w:rFonts w:hint="eastAsia" w:asciiTheme="minorEastAsia" w:hAnsiTheme="minorEastAsia" w:eastAsiaTheme="minorEastAsia" w:cstheme="minorEastAsia"/>
                <w:color w:val="auto"/>
                <w:sz w:val="21"/>
                <w:szCs w:val="21"/>
                <w:highlight w:val="none"/>
                <w:u w:val="none"/>
                <w:lang w:val="en-US" w:eastAsia="zh-CN"/>
              </w:rPr>
              <w:t>8</w:t>
            </w:r>
            <w:r>
              <w:rPr>
                <w:rFonts w:hint="eastAsia" w:asciiTheme="minorEastAsia" w:hAnsiTheme="minorEastAsia" w:eastAsiaTheme="minorEastAsia" w:cstheme="minorEastAsia"/>
                <w:color w:val="auto"/>
                <w:sz w:val="21"/>
                <w:szCs w:val="21"/>
                <w:highlight w:val="none"/>
                <w:u w:val="none"/>
              </w:rPr>
              <w:t>. 灰度、对比度与视角</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 xml:space="preserve">灰度等级≥16bit，对比度≥5000:1，水平视角≥160°，垂直视角≥140°（以亮度降至一半为边界）。提供以下之一：  </w:t>
            </w:r>
          </w:p>
          <w:p w14:paraId="27FFDBB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关键页扫描件(依据标准SJ/T 11141或</w:t>
            </w:r>
            <w:r>
              <w:rPr>
                <w:rStyle w:val="28"/>
                <w:rFonts w:hint="eastAsia" w:asciiTheme="minorEastAsia" w:hAnsiTheme="minorEastAsia" w:eastAsiaTheme="minorEastAsia" w:cstheme="minorEastAsia"/>
                <w:color w:val="auto"/>
                <w:sz w:val="21"/>
                <w:szCs w:val="21"/>
              </w:rPr>
              <w:t>GB/T 43770-2024</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w:t>
            </w:r>
          </w:p>
          <w:p w14:paraId="3436F165">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（2）制造商技术白皮书，其中参数须注明测试条件（环境照度、测量距离、仪器型号、信号源格式）</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承诺数据真实性</w:t>
            </w:r>
            <w:r>
              <w:rPr>
                <w:rFonts w:hint="eastAsia" w:asciiTheme="minorEastAsia" w:hAnsiTheme="minorEastAsia" w:eastAsiaTheme="minorEastAsia" w:cstheme="minorEastAsia"/>
                <w:color w:val="auto"/>
                <w:sz w:val="21"/>
                <w:szCs w:val="21"/>
                <w:highlight w:val="none"/>
                <w:u w:val="none"/>
              </w:rPr>
              <w:t>。</w:t>
            </w:r>
          </w:p>
          <w:p w14:paraId="046AB855">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val="en-US" w:eastAsia="zh-CN"/>
              </w:rPr>
              <w:t>9</w:t>
            </w:r>
            <w:r>
              <w:rPr>
                <w:rFonts w:hint="eastAsia" w:asciiTheme="minorEastAsia" w:hAnsiTheme="minorEastAsia" w:eastAsiaTheme="minorEastAsia" w:cstheme="minorEastAsia"/>
                <w:color w:val="auto"/>
                <w:sz w:val="21"/>
                <w:szCs w:val="21"/>
                <w:highlight w:val="none"/>
                <w:u w:val="none"/>
              </w:rPr>
              <w:t>. 功耗与电源效率</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采用恒流驱动方式</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平均功耗≤</w:t>
            </w:r>
            <w:r>
              <w:rPr>
                <w:rFonts w:hint="eastAsia" w:asciiTheme="minorEastAsia" w:hAnsiTheme="minorEastAsia" w:eastAsiaTheme="minorEastAsia" w:cstheme="minorEastAsia"/>
                <w:color w:val="auto"/>
                <w:sz w:val="21"/>
                <w:szCs w:val="21"/>
                <w:highlight w:val="none"/>
                <w:u w:val="none"/>
                <w:lang w:val="en-US" w:eastAsia="zh-CN"/>
              </w:rPr>
              <w:t>200</w:t>
            </w:r>
            <w:r>
              <w:rPr>
                <w:rFonts w:hint="eastAsia" w:asciiTheme="minorEastAsia" w:hAnsiTheme="minorEastAsia" w:eastAsiaTheme="minorEastAsia" w:cstheme="minorEastAsia"/>
                <w:color w:val="auto"/>
                <w:sz w:val="21"/>
                <w:szCs w:val="21"/>
                <w:highlight w:val="none"/>
                <w:u w:val="none"/>
              </w:rPr>
              <w:t>W/m²； 供电电源功率因数≥90%，转换效率≥85%。 提供以下之一</w:t>
            </w:r>
            <w:r>
              <w:rPr>
                <w:rFonts w:hint="eastAsia" w:asciiTheme="minorEastAsia" w:hAnsiTheme="minorEastAsia" w:eastAsiaTheme="minorEastAsia" w:cstheme="minorEastAsia"/>
                <w:color w:val="auto"/>
                <w:sz w:val="21"/>
                <w:szCs w:val="21"/>
                <w:highlight w:val="none"/>
                <w:u w:val="none"/>
                <w:lang w:val="en-US" w:eastAsia="zh-CN"/>
              </w:rPr>
              <w:t>证明材料</w:t>
            </w:r>
            <w:r>
              <w:rPr>
                <w:rFonts w:hint="eastAsia" w:asciiTheme="minorEastAsia" w:hAnsiTheme="minorEastAsia" w:eastAsiaTheme="minorEastAsia" w:cstheme="minorEastAsia"/>
                <w:color w:val="auto"/>
                <w:sz w:val="21"/>
                <w:szCs w:val="21"/>
                <w:highlight w:val="none"/>
                <w:u w:val="none"/>
              </w:rPr>
              <w:t xml:space="preserve">：  </w:t>
            </w:r>
          </w:p>
          <w:p w14:paraId="04AA600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（1）由具备有效CMA资质的检测机构出具的</w:t>
            </w:r>
            <w:r>
              <w:rPr>
                <w:rFonts w:hint="eastAsia" w:asciiTheme="minorEastAsia" w:hAnsiTheme="minorEastAsia" w:eastAsiaTheme="minorEastAsia" w:cstheme="minorEastAsia"/>
                <w:color w:val="auto"/>
                <w:sz w:val="21"/>
                <w:szCs w:val="21"/>
                <w:highlight w:val="none"/>
                <w:u w:val="none"/>
                <w:lang w:val="en-US" w:eastAsia="zh-CN"/>
              </w:rPr>
              <w:t>封面盖有CMA专用印章的</w:t>
            </w:r>
            <w:r>
              <w:rPr>
                <w:rFonts w:hint="eastAsia" w:asciiTheme="minorEastAsia" w:hAnsiTheme="minorEastAsia" w:eastAsiaTheme="minorEastAsia" w:cstheme="minorEastAsia"/>
                <w:color w:val="auto"/>
                <w:sz w:val="21"/>
                <w:szCs w:val="21"/>
                <w:highlight w:val="none"/>
                <w:u w:val="none"/>
              </w:rPr>
              <w:t>检测报告原件</w:t>
            </w:r>
            <w:r>
              <w:rPr>
                <w:rFonts w:hint="eastAsia" w:asciiTheme="minorEastAsia" w:hAnsiTheme="minorEastAsia" w:eastAsiaTheme="minorEastAsia" w:cstheme="minorEastAsia"/>
                <w:color w:val="auto"/>
                <w:sz w:val="21"/>
                <w:szCs w:val="21"/>
                <w:highlight w:val="none"/>
                <w:u w:val="none"/>
                <w:lang w:val="en-US" w:eastAsia="zh-CN"/>
              </w:rPr>
              <w:t>关键页扫描件(依据标准依据 GB/T 43770-2024或 SJ/T 11141中关于“节能”的要求进行检测）</w:t>
            </w:r>
            <w:r>
              <w:rPr>
                <w:rFonts w:hint="eastAsia" w:asciiTheme="minorEastAsia" w:hAnsiTheme="minorEastAsia" w:eastAsiaTheme="minorEastAsia" w:cstheme="minorEastAsia"/>
                <w:color w:val="auto"/>
                <w:sz w:val="21"/>
                <w:szCs w:val="21"/>
                <w:highlight w:val="none"/>
                <w:u w:val="none"/>
              </w:rPr>
              <w:t xml:space="preserve">；  </w:t>
            </w:r>
          </w:p>
          <w:p w14:paraId="5FB4517E">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 xml:space="preserve">    （2）原厂测试数据</w:t>
            </w:r>
            <w:r>
              <w:rPr>
                <w:rFonts w:hint="eastAsia" w:asciiTheme="minorEastAsia" w:hAnsiTheme="minorEastAsia" w:eastAsiaTheme="minorEastAsia" w:cstheme="minorEastAsia"/>
                <w:color w:val="auto"/>
                <w:sz w:val="21"/>
                <w:szCs w:val="21"/>
                <w:highlight w:val="none"/>
                <w:u w:val="none"/>
                <w:lang w:val="en-US" w:eastAsia="zh-CN"/>
              </w:rPr>
              <w:t>报告，</w:t>
            </w:r>
            <w:r>
              <w:rPr>
                <w:rFonts w:hint="eastAsia" w:asciiTheme="minorEastAsia" w:hAnsiTheme="minorEastAsia" w:eastAsiaTheme="minorEastAsia" w:cstheme="minorEastAsia"/>
                <w:color w:val="auto"/>
                <w:sz w:val="21"/>
                <w:szCs w:val="21"/>
              </w:rPr>
              <w:t>报告中须注明测试负载（如全白场、典型画面）、信号源格式、输入电压、环境温度等测试条件，并附数据真实性的</w:t>
            </w:r>
            <w:r>
              <w:rPr>
                <w:rStyle w:val="28"/>
                <w:rFonts w:hint="eastAsia" w:asciiTheme="minorEastAsia" w:hAnsiTheme="minorEastAsia" w:eastAsiaTheme="minorEastAsia" w:cstheme="minorEastAsia"/>
                <w:color w:val="auto"/>
                <w:sz w:val="21"/>
                <w:szCs w:val="21"/>
              </w:rPr>
              <w:t>承诺函</w:t>
            </w:r>
            <w:r>
              <w:rPr>
                <w:rFonts w:hint="eastAsia" w:asciiTheme="minorEastAsia" w:hAnsiTheme="minorEastAsia" w:eastAsiaTheme="minorEastAsia" w:cstheme="minorEastAsia"/>
                <w:color w:val="auto"/>
                <w:sz w:val="21"/>
                <w:szCs w:val="21"/>
              </w:rPr>
              <w:t>（格式自拟）</w:t>
            </w:r>
            <w:r>
              <w:rPr>
                <w:rFonts w:hint="eastAsia" w:asciiTheme="minorEastAsia" w:hAnsiTheme="minorEastAsia" w:eastAsiaTheme="minorEastAsia" w:cstheme="minorEastAsia"/>
                <w:color w:val="auto"/>
                <w:sz w:val="21"/>
                <w:szCs w:val="21"/>
                <w:highlight w:val="none"/>
                <w:u w:val="none"/>
              </w:rPr>
              <w:t>。</w:t>
            </w:r>
          </w:p>
          <w:p w14:paraId="5EC4F63A">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0</w:t>
            </w:r>
            <w:r>
              <w:rPr>
                <w:rFonts w:hint="eastAsia" w:asciiTheme="minorEastAsia" w:hAnsiTheme="minorEastAsia" w:eastAsiaTheme="minorEastAsia" w:cstheme="minorEastAsia"/>
                <w:color w:val="auto"/>
                <w:sz w:val="21"/>
                <w:szCs w:val="21"/>
                <w:highlight w:val="none"/>
                <w:u w:val="none"/>
              </w:rPr>
              <w:t>. 图像处理功能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具备单点亮度/色度校正、亮暗线补偿、图像降噪、运动补偿等功能。提供功能说明文档</w:t>
            </w:r>
            <w:r>
              <w:rPr>
                <w:rFonts w:hint="eastAsia" w:asciiTheme="minorEastAsia" w:hAnsiTheme="minorEastAsia" w:eastAsiaTheme="minorEastAsia" w:cstheme="minorEastAsia"/>
                <w:color w:val="auto"/>
                <w:sz w:val="21"/>
                <w:szCs w:val="21"/>
                <w:highlight w:val="none"/>
                <w:u w:val="none"/>
                <w:lang w:val="en-US" w:eastAsia="zh-CN"/>
              </w:rPr>
              <w:t>或</w:t>
            </w:r>
            <w:r>
              <w:rPr>
                <w:rFonts w:hint="eastAsia" w:asciiTheme="minorEastAsia" w:hAnsiTheme="minorEastAsia" w:eastAsiaTheme="minorEastAsia" w:cstheme="minorEastAsia"/>
                <w:color w:val="auto"/>
                <w:sz w:val="21"/>
                <w:szCs w:val="21"/>
                <w:highlight w:val="none"/>
                <w:u w:val="none"/>
              </w:rPr>
              <w:t>软件界面截图（体现功能开关状态）</w:t>
            </w:r>
            <w:r>
              <w:rPr>
                <w:rFonts w:hint="eastAsia" w:asciiTheme="minorEastAsia" w:hAnsiTheme="minorEastAsia" w:eastAsiaTheme="minorEastAsia" w:cstheme="minorEastAsia"/>
                <w:color w:val="auto"/>
                <w:sz w:val="21"/>
                <w:szCs w:val="21"/>
                <w:highlight w:val="none"/>
                <w:u w:val="none"/>
                <w:lang w:eastAsia="zh-CN"/>
              </w:rPr>
              <w:t>。</w:t>
            </w:r>
          </w:p>
          <w:p w14:paraId="439E896E">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1</w:t>
            </w:r>
            <w:r>
              <w:rPr>
                <w:rFonts w:hint="eastAsia" w:asciiTheme="minorEastAsia" w:hAnsiTheme="minorEastAsia" w:eastAsiaTheme="minorEastAsia" w:cstheme="minorEastAsia"/>
                <w:color w:val="auto"/>
                <w:sz w:val="21"/>
                <w:szCs w:val="21"/>
                <w:highlight w:val="none"/>
                <w:u w:val="none"/>
              </w:rPr>
              <w:t>. 环境适应性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投标产品或其关键元器件（LED显示模组、电源） 应具备良好的环境适应性。提供所投产品或其所采用的关键元器件由具备有效CMA资质的检测机构出具的封面盖有CMA专用印章的检测报告原件关键页扫描件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检测依据</w:t>
            </w:r>
            <w:r>
              <w:rPr>
                <w:rFonts w:hint="eastAsia" w:asciiTheme="minorEastAsia" w:hAnsiTheme="minorEastAsia" w:eastAsiaTheme="minorEastAsia" w:cstheme="minorEastAsia"/>
                <w:color w:val="auto"/>
                <w:sz w:val="21"/>
                <w:szCs w:val="21"/>
                <w:highlight w:val="none"/>
                <w:u w:val="none"/>
              </w:rPr>
              <w:t>GB/T 2423</w:t>
            </w:r>
            <w:r>
              <w:rPr>
                <w:rFonts w:hint="eastAsia" w:asciiTheme="minorEastAsia" w:hAnsiTheme="minorEastAsia" w:eastAsiaTheme="minorEastAsia" w:cstheme="minorEastAsia"/>
                <w:color w:val="auto"/>
                <w:sz w:val="21"/>
                <w:szCs w:val="21"/>
                <w:highlight w:val="none"/>
                <w:u w:val="none"/>
                <w:lang w:val="en-US" w:eastAsia="zh-CN"/>
              </w:rPr>
              <w:t>现行标准</w:t>
            </w:r>
            <w:r>
              <w:rPr>
                <w:rFonts w:hint="eastAsia" w:asciiTheme="minorEastAsia" w:hAnsiTheme="minorEastAsia" w:eastAsiaTheme="minorEastAsia" w:cstheme="minorEastAsia"/>
                <w:color w:val="auto"/>
                <w:sz w:val="21"/>
                <w:szCs w:val="21"/>
                <w:highlight w:val="none"/>
                <w:u w:val="none"/>
              </w:rPr>
              <w:t>，报告需</w:t>
            </w:r>
            <w:r>
              <w:rPr>
                <w:rFonts w:hint="eastAsia" w:asciiTheme="minorEastAsia" w:hAnsiTheme="minorEastAsia" w:eastAsiaTheme="minorEastAsia" w:cstheme="minorEastAsia"/>
                <w:color w:val="auto"/>
                <w:sz w:val="21"/>
                <w:szCs w:val="21"/>
                <w:highlight w:val="none"/>
                <w:u w:val="none"/>
                <w:lang w:val="en-US" w:eastAsia="zh-CN"/>
              </w:rPr>
              <w:t>至少</w:t>
            </w:r>
            <w:r>
              <w:rPr>
                <w:rFonts w:hint="eastAsia" w:asciiTheme="minorEastAsia" w:hAnsiTheme="minorEastAsia" w:eastAsiaTheme="minorEastAsia" w:cstheme="minorEastAsia"/>
                <w:color w:val="auto"/>
                <w:sz w:val="21"/>
                <w:szCs w:val="21"/>
                <w:highlight w:val="none"/>
                <w:u w:val="none"/>
              </w:rPr>
              <w:t>能证明低温存储、高温工作、恒定湿热</w:t>
            </w:r>
            <w:r>
              <w:rPr>
                <w:rFonts w:hint="eastAsia" w:asciiTheme="minorEastAsia" w:hAnsiTheme="minorEastAsia" w:eastAsiaTheme="minorEastAsia" w:cstheme="minorEastAsia"/>
                <w:color w:val="auto"/>
                <w:sz w:val="21"/>
                <w:szCs w:val="21"/>
                <w:highlight w:val="none"/>
                <w:u w:val="none"/>
                <w:lang w:val="en-US" w:eastAsia="zh-CN"/>
              </w:rPr>
              <w:t>符合</w:t>
            </w:r>
            <w:r>
              <w:rPr>
                <w:rFonts w:hint="eastAsia" w:asciiTheme="minorEastAsia" w:hAnsiTheme="minorEastAsia" w:eastAsiaTheme="minorEastAsia" w:cstheme="minorEastAsia"/>
                <w:color w:val="auto"/>
                <w:sz w:val="21"/>
                <w:szCs w:val="21"/>
                <w:highlight w:val="none"/>
                <w:u w:val="none"/>
              </w:rPr>
              <w:t>标准要求</w:t>
            </w:r>
            <w:r>
              <w:rPr>
                <w:rFonts w:hint="eastAsia" w:asciiTheme="minorEastAsia" w:hAnsiTheme="minorEastAsia" w:eastAsiaTheme="minorEastAsia" w:cstheme="minorEastAsia"/>
                <w:color w:val="auto"/>
                <w:sz w:val="21"/>
                <w:szCs w:val="21"/>
                <w:highlight w:val="none"/>
                <w:u w:val="none"/>
                <w:lang w:eastAsia="zh-CN"/>
              </w:rPr>
              <w:t>）。</w:t>
            </w:r>
          </w:p>
          <w:p w14:paraId="7A95F66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none"/>
              </w:rPr>
              <w:t>. 防护等级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屏体整体IP防护等级≥IP</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X（防尘）</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4208-2017</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216B8A6B">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none"/>
              </w:rPr>
              <w:t>. 光生物安全与视觉舒适性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符合光生物安全RG0等级</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提供由具备有效CMA资质的检测机构出具的封面盖有CMA专用印章的检测报告原件关键页扫描件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检测</w:t>
            </w:r>
            <w:r>
              <w:rPr>
                <w:rFonts w:hint="eastAsia" w:asciiTheme="minorEastAsia" w:hAnsiTheme="minorEastAsia" w:eastAsiaTheme="minorEastAsia" w:cstheme="minorEastAsia"/>
                <w:color w:val="auto"/>
                <w:sz w:val="21"/>
                <w:szCs w:val="21"/>
                <w:highlight w:val="none"/>
                <w:u w:val="none"/>
              </w:rPr>
              <w:t>依据 GB/T 20145-2006 或 IEC 62471:2006</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；或提供国家认可的第三方机构出具的视觉健康认证证书。</w:t>
            </w:r>
          </w:p>
          <w:p w14:paraId="322F9C8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4</w:t>
            </w:r>
            <w:r>
              <w:rPr>
                <w:rFonts w:hint="eastAsia" w:asciiTheme="minorEastAsia" w:hAnsiTheme="minorEastAsia" w:eastAsiaTheme="minorEastAsia" w:cstheme="minorEastAsia"/>
                <w:color w:val="auto"/>
                <w:sz w:val="21"/>
                <w:szCs w:val="21"/>
                <w:highlight w:val="none"/>
                <w:u w:val="none"/>
              </w:rPr>
              <w:t>. 智能节电功能</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具备根据环境光强度或画面内容自动调节亮度的智能节电功能</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提供技术说明或系统界面截图（体现自动调节逻辑及阈值设置）</w:t>
            </w:r>
            <w:r>
              <w:rPr>
                <w:rFonts w:hint="eastAsia" w:asciiTheme="minorEastAsia" w:hAnsiTheme="minorEastAsia" w:eastAsiaTheme="minorEastAsia" w:cstheme="minorEastAsia"/>
                <w:color w:val="auto"/>
                <w:sz w:val="21"/>
                <w:szCs w:val="21"/>
                <w:highlight w:val="none"/>
                <w:u w:val="none"/>
                <w:lang w:eastAsia="zh-CN"/>
              </w:rPr>
              <w:t>。</w:t>
            </w:r>
          </w:p>
          <w:p w14:paraId="5F9DBA10">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1</w:t>
            </w:r>
            <w:r>
              <w:rPr>
                <w:rFonts w:hint="eastAsia" w:asciiTheme="minorEastAsia" w:hAnsiTheme="minorEastAsia" w:eastAsiaTheme="minorEastAsia" w:cstheme="minorEastAsia"/>
                <w:color w:val="auto"/>
                <w:sz w:val="21"/>
                <w:szCs w:val="21"/>
                <w:highlight w:val="none"/>
                <w:u w:val="none"/>
                <w:lang w:val="en-US" w:eastAsia="zh-CN"/>
              </w:rPr>
              <w:t>5</w:t>
            </w:r>
            <w:r>
              <w:rPr>
                <w:rFonts w:hint="eastAsia" w:asciiTheme="minorEastAsia" w:hAnsiTheme="minorEastAsia" w:eastAsiaTheme="minorEastAsia" w:cstheme="minorEastAsia"/>
                <w:color w:val="auto"/>
                <w:sz w:val="21"/>
                <w:szCs w:val="21"/>
                <w:highlight w:val="none"/>
                <w:u w:val="none"/>
              </w:rPr>
              <w:t>. 寿命与可靠性</w:t>
            </w:r>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color w:val="auto"/>
                <w:sz w:val="21"/>
                <w:szCs w:val="21"/>
                <w:highlight w:val="none"/>
                <w:u w:val="none"/>
              </w:rPr>
              <w:t xml:space="preserve"> LED模组理论使用寿命不低于10万小时。提供原厂加速老化试验报告或由具备有效CMA资质的检测机构出具的封面盖有CMA专用印章的</w:t>
            </w:r>
            <w:r>
              <w:rPr>
                <w:rFonts w:hint="eastAsia" w:asciiTheme="minorEastAsia" w:hAnsiTheme="minorEastAsia" w:eastAsiaTheme="minorEastAsia" w:cstheme="minorEastAsia"/>
                <w:color w:val="auto"/>
                <w:sz w:val="21"/>
                <w:szCs w:val="21"/>
                <w:highlight w:val="none"/>
                <w:u w:val="none"/>
                <w:lang w:val="en-US" w:eastAsia="zh-CN"/>
              </w:rPr>
              <w:t>平均失效间隔工作时间或平均无故障时间的</w:t>
            </w:r>
            <w:r>
              <w:rPr>
                <w:rFonts w:hint="eastAsia" w:asciiTheme="minorEastAsia" w:hAnsiTheme="minorEastAsia" w:eastAsiaTheme="minorEastAsia" w:cstheme="minorEastAsia"/>
                <w:color w:val="auto"/>
                <w:sz w:val="21"/>
                <w:szCs w:val="21"/>
                <w:highlight w:val="none"/>
                <w:u w:val="none"/>
              </w:rPr>
              <w:t>检测报告原件关键页扫描件</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val="en-US" w:eastAsia="zh-CN"/>
              </w:rPr>
              <w:t>依据标准</w:t>
            </w:r>
            <w:r>
              <w:rPr>
                <w:rStyle w:val="28"/>
                <w:rFonts w:hint="eastAsia" w:asciiTheme="minorEastAsia" w:hAnsiTheme="minorEastAsia" w:eastAsiaTheme="minorEastAsia" w:cstheme="minorEastAsia"/>
                <w:color w:val="auto"/>
                <w:sz w:val="21"/>
                <w:szCs w:val="21"/>
              </w:rPr>
              <w:t>GB/T 5080</w:t>
            </w:r>
            <w:r>
              <w:rPr>
                <w:rStyle w:val="28"/>
                <w:rFonts w:hint="eastAsia" w:asciiTheme="minorEastAsia" w:hAnsiTheme="minorEastAsia" w:eastAsiaTheme="minorEastAsia" w:cstheme="minorEastAsia"/>
                <w:color w:val="auto"/>
                <w:sz w:val="21"/>
                <w:szCs w:val="21"/>
                <w:lang w:val="en-US" w:eastAsia="zh-CN"/>
              </w:rPr>
              <w:t>或</w:t>
            </w:r>
            <w:r>
              <w:rPr>
                <w:rFonts w:hint="eastAsia" w:asciiTheme="minorEastAsia" w:hAnsiTheme="minorEastAsia" w:eastAsiaTheme="minorEastAsia" w:cstheme="minorEastAsia"/>
                <w:color w:val="auto"/>
                <w:sz w:val="21"/>
                <w:szCs w:val="21"/>
                <w:highlight w:val="none"/>
                <w:u w:val="none"/>
                <w:lang w:val="en-US" w:eastAsia="zh-CN"/>
              </w:rPr>
              <w:t>SJ/T 11141</w:t>
            </w:r>
            <w:r>
              <w:rPr>
                <w:rFonts w:hint="eastAsia" w:asciiTheme="minorEastAsia" w:hAnsiTheme="minorEastAsia" w:eastAsia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rPr>
              <w:t>。</w:t>
            </w:r>
          </w:p>
          <w:p w14:paraId="522BB12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59FF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70FE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28.16</w:t>
            </w:r>
          </w:p>
        </w:tc>
      </w:tr>
      <w:tr w14:paraId="52441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09F75E6">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8D39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视频处理器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387EF">
            <w:pPr>
              <w:keepNext w:val="0"/>
              <w:keepLines w:val="0"/>
              <w:pageBreakBefore w:val="0"/>
              <w:widowControl/>
              <w:numPr>
                <w:ilvl w:val="0"/>
                <w:numId w:val="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1.输入接口：≥3路（HDMI或 DVI或 3G-SDI（IN+LOOP）），1 × 3.5mm 音频输入接口，输出接口 ：≥10 路千兆网口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2.最大带载≥ 650 万像素，单台设备输出最大宽度≥ 10240，高度≥ 8192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3.1 路 HDMI 1.3 输出接口 可用作输出预监或视频输出音频输入输出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 HDMI 伴随音频输入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5.支持 3.5mm 的独立音频输入、支持 3.5mm 独立音频输出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6.支持通过多功能卡进行音频输出。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7.低至 1 帧延迟输出 在低延迟开关开启、输入源同步开启，输入源到接收卡之间的延时可减少至 1 帧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8.≥3个图层、 图层大小和位置可单独调节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9.支持图层按照 Z 序优先级调整。</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10.强大视频处理能力、搭载 SuperView III 画质处理技术、支持输出 画面无极缩放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11.支持一键全屏缩放、支持输入源任意截取画质调整。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12、支持输入画质管理，包括亮度、对比度、饱和度 和色度调整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13.多场景保存和调用 支持 多个用户可自定义场景保存和调用热备份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14.支持输入源热备功能 支持网口间备份 ，同步输出支持使用内部输入源作为同步源，保证输入输出 画面同步。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15.支持逐点亮色度校正 对每个灯点的亮度和色度进行校正，有效消除色差，使整屏的亮度和色度达到高度均匀一致，提高显示屏的画质。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274F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CA2F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431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7BA71D1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77C3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视频控制系统</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F9D3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尺寸(mm):67.60X35.0</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数据组数:并行32组，串行128组</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最大带载:512X384</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输出接口:DDR2</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最大扫描数:64</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5252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53D6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6B3D4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7369450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63F6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LED专用配电柜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B9C9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1.供电功率：≥30KW的室内标准配电柜，配电柜开头配置满足LED屏供电需求。</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2.LED专用配电柜，含过压、过流、断电保护抗涌流、防雷、分区延时供电功能，支持智能远程控电具备智能远程控制开关，远程故障报警，远程开关屏等功能。</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E7C0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7D71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1C0A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60E4395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BB40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布线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2D64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配套电源线</w:t>
            </w:r>
            <w:r>
              <w:rPr>
                <w:rFonts w:hint="eastAsia" w:ascii="宋体" w:hAnsi="宋体" w:cs="宋体"/>
                <w:b w:val="0"/>
                <w:bCs w:val="0"/>
                <w:i w:val="0"/>
                <w:iCs w:val="0"/>
                <w:color w:val="auto"/>
                <w:sz w:val="21"/>
                <w:szCs w:val="21"/>
                <w:highlight w:val="none"/>
                <w:u w:val="none"/>
                <w:lang w:val="en-US" w:eastAsia="zh-CN" w:bidi="ar"/>
              </w:rPr>
              <w:t>、信号跳线、音视频跳线、接插件、</w:t>
            </w:r>
            <w:r>
              <w:rPr>
                <w:rFonts w:hint="eastAsia" w:ascii="宋体" w:hAnsi="宋体" w:eastAsia="宋体" w:cs="宋体"/>
                <w:b w:val="0"/>
                <w:bCs w:val="0"/>
                <w:i w:val="0"/>
                <w:iCs w:val="0"/>
                <w:color w:val="auto"/>
                <w:sz w:val="21"/>
                <w:szCs w:val="21"/>
                <w:highlight w:val="none"/>
                <w:u w:val="none"/>
                <w:lang w:val="en-US" w:eastAsia="zh-CN" w:bidi="ar"/>
              </w:rPr>
              <w:t>室内P3全彩屏</w:t>
            </w:r>
            <w:r>
              <w:rPr>
                <w:rFonts w:hint="eastAsia" w:ascii="宋体" w:hAnsi="宋体" w:cs="宋体"/>
                <w:b w:val="0"/>
                <w:bCs w:val="0"/>
                <w:i w:val="0"/>
                <w:iCs w:val="0"/>
                <w:color w:val="auto"/>
                <w:sz w:val="21"/>
                <w:szCs w:val="21"/>
                <w:highlight w:val="none"/>
                <w:u w:val="none"/>
                <w:lang w:val="en-US" w:eastAsia="zh-CN" w:bidi="ar"/>
              </w:rPr>
              <w:t>钢结构包边等</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E639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3880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F6F7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F3BDD3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7B02D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无线投屏</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6098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1.支持Type-C和USB无线传屏器，可兼容市面上具备通用型USB及Type-C接口的电脑。</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2.HDMI支持双屏异显、双屏同显，方便客户端展示。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3.支持POE供电，方便客户部署。</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4.采用RK 3399或以上芯片，6核CPU或者以上，内置Android 9.0或以上操作系统，存储容量≥16G ROM，系统内存≥4G RAM。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5.需整机一体性，内置天线设计，无外部天线设备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6.整机支持桌面壁纸的更换。</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7.可同时支持9画面。</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8.本次配置2个无线传屏器。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93A1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BF19A">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C18F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70F0A57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CDAD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电脑（另外通过框架协议或公开招标方式采购）</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1A523">
            <w:pPr>
              <w:keepNext w:val="0"/>
              <w:keepLines w:val="0"/>
              <w:pageBreakBefore w:val="0"/>
              <w:widowControl/>
              <w:numPr>
                <w:ilvl w:val="0"/>
                <w:numId w:val="1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配置1颗国产C86架构CPU,每颗CPU物理核心数≥8核，每颗CPU主频≥3.0GHz。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2.配置内存容量≥8G，2.内存类型：≥DDR4。</w:t>
            </w:r>
          </w:p>
          <w:p w14:paraId="14D3C508">
            <w:pPr>
              <w:keepNext w:val="0"/>
              <w:keepLines w:val="0"/>
              <w:pageBreakBefore w:val="0"/>
              <w:widowControl/>
              <w:numPr>
                <w:ilvl w:val="0"/>
                <w:numId w:val="10"/>
              </w:numPr>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3.实配 M.2 SSD硬盘，存储容量≥512GB。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4.配置1张独立显卡，显存≥2GB。</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5.配置键盘鼠标。</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6.统信系统或银河麒麟专业版授权。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81668">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2B7A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0D062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7C011B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B</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4B3FA">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扩声系统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6342D">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7E2BE9">
            <w:pPr>
              <w:pageBreakBefore w:val="0"/>
              <w:spacing w:line="360" w:lineRule="exact"/>
              <w:jc w:val="center"/>
              <w:rPr>
                <w:rFonts w:hint="eastAsia" w:ascii="宋体" w:hAnsi="宋体" w:eastAsia="宋体" w:cs="宋体"/>
                <w:b w:val="0"/>
                <w:bCs w:val="0"/>
                <w:i w:val="0"/>
                <w:iCs w:val="0"/>
                <w:color w:val="auto"/>
                <w:sz w:val="21"/>
                <w:szCs w:val="21"/>
                <w:highlight w:val="none"/>
                <w:u w:val="none"/>
              </w:rPr>
            </w:pPr>
          </w:p>
        </w:tc>
      </w:tr>
      <w:tr w14:paraId="2598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6E93E2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28223">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调音台</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6DA9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1.≥12路调音台。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2.6个话筒 / 12个线路输入 (4个单声道 + 4个立体声)。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3.2编组母线 + 1立体声母线。</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4.2个AUX (包括FX)。</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5.“D-PRE”话放，带有倒向晶体管电路。</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28F1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5F95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9B6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6340EA1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7829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音频处理器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B010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1.不少于4路输入、4路输出平衡接口。</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2.采样率：48kHz。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3.支持Dante网络传输模块、具有反馈消除（AFC)、回声消除（AEC)、噪声消除（ANC)、自动增益（AGC)、算法以及自动混音功能。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4.支持USB录/播功能。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5.每个输入通道输出通道具备参量均衡器可调。</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31A0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1EB7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5789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591809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512F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全频音箱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2B1E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6D5D8B9B">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2.指定频带内的特性灵敏度级(1瓦/1米)：≥98dB±2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2A1E9B5">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★3.额定功率（输入电功率，长期最大功率）（额定阻抗为8Ω时）：≥500W。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13D5290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单元组成：低音≥15〞，高音≥ 1.75〞。提供所投产品原厂技术白皮书。</w:t>
            </w:r>
          </w:p>
          <w:p w14:paraId="55A7F44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指定频带内的声压级（指持续声压级）：≥126dB±2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E144599">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 </w:t>
            </w:r>
            <w:r>
              <w:rPr>
                <w:rFonts w:hint="eastAsia" w:ascii="宋体" w:hAnsi="宋体" w:cs="宋体"/>
                <w:b w:val="0"/>
                <w:bCs w:val="0"/>
                <w:i w:val="0"/>
                <w:iCs w:val="0"/>
                <w:color w:val="auto"/>
                <w:sz w:val="21"/>
                <w:szCs w:val="21"/>
                <w:highlight w:val="none"/>
                <w:u w:val="none"/>
                <w:lang w:val="en-US" w:eastAsia="zh-CN" w:bidi="ar"/>
              </w:rPr>
              <w:t>8</w:t>
            </w:r>
            <w:r>
              <w:rPr>
                <w:rFonts w:hint="eastAsia" w:ascii="宋体" w:hAnsi="宋体" w:eastAsia="宋体" w:cs="宋体"/>
                <w:b w:val="0"/>
                <w:bCs w:val="0"/>
                <w:i w:val="0"/>
                <w:iCs w:val="0"/>
                <w:color w:val="auto"/>
                <w:sz w:val="21"/>
                <w:szCs w:val="21"/>
                <w:highlight w:val="none"/>
                <w:u w:val="none"/>
                <w:lang w:val="en-US" w:eastAsia="zh-CN" w:bidi="ar"/>
              </w:rPr>
              <w:t>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54C4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83FF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r>
      <w:tr w14:paraId="4AA50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777C35F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6054D">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四通道功放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5AB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34020292">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 xml:space="preserve">2. </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频率范围（增益限制的有效频率范围）</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sz w:val="21"/>
                <w:szCs w:val="21"/>
                <w:highlight w:val="none"/>
                <w:u w:val="none"/>
              </w:rPr>
              <w:t>20 Hz – 20 kHz，偏差 ≤ ±1 dB</w:t>
            </w:r>
            <w:r>
              <w:rPr>
                <w:rFonts w:hint="eastAsia" w:asciiTheme="minorEastAsia" w:hAnsiTheme="minorEastAsia" w:eastAsiaTheme="minorEastAsia" w:cstheme="minorEastAsia"/>
                <w:b w:val="0"/>
                <w:bCs w:val="0"/>
                <w:i w:val="0"/>
                <w:iCs w:val="0"/>
                <w:color w:val="auto"/>
                <w:sz w:val="21"/>
                <w:szCs w:val="21"/>
                <w:highlight w:val="none"/>
                <w:u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 xml:space="preserve">提供制造商公开技术文档（如白皮书、产品规格书、彩页、官网规格页截图及链接地址），明确标注该参数，并提供数据真实性的承诺函（格式自拟）。 </w:t>
            </w:r>
          </w:p>
          <w:p w14:paraId="0D533AA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3</w:t>
            </w:r>
            <w:r>
              <w:rPr>
                <w:rFonts w:hint="eastAsia" w:asciiTheme="minorEastAsia" w:hAnsiTheme="minorEastAsia" w:eastAsiaTheme="minorEastAsia" w:cstheme="minorEastAsia"/>
                <w:b w:val="0"/>
                <w:bCs w:val="0"/>
                <w:i w:val="0"/>
                <w:iCs w:val="0"/>
                <w:color w:val="auto"/>
                <w:sz w:val="21"/>
                <w:szCs w:val="21"/>
                <w:highlight w:val="none"/>
                <w:u w:val="none"/>
              </w:rPr>
              <w:t>. 信噪比（A计权）：≥100 dB。</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p w14:paraId="2DDF5E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4</w:t>
            </w:r>
            <w:r>
              <w:rPr>
                <w:rFonts w:hint="eastAsia" w:asciiTheme="minorEastAsia" w:hAnsiTheme="minorEastAsia" w:eastAsiaTheme="minorEastAsia" w:cstheme="minorEastAsia"/>
                <w:b w:val="0"/>
                <w:bCs w:val="0"/>
                <w:i w:val="0"/>
                <w:iCs w:val="0"/>
                <w:color w:val="auto"/>
                <w:sz w:val="21"/>
                <w:szCs w:val="21"/>
                <w:highlight w:val="none"/>
                <w:u w:val="none"/>
              </w:rPr>
              <w:t xml:space="preserve">. </w:t>
            </w:r>
            <w:r>
              <w:rPr>
                <w:rFonts w:hint="eastAsia" w:asciiTheme="minorEastAsia" w:hAnsiTheme="minorEastAsia" w:eastAsiaTheme="minorEastAsia" w:cstheme="minorEastAsia"/>
                <w:b w:val="0"/>
                <w:bCs w:val="0"/>
                <w:i w:val="0"/>
                <w:iCs w:val="0"/>
                <w:color w:val="auto"/>
                <w:sz w:val="21"/>
                <w:szCs w:val="21"/>
                <w:highlight w:val="none"/>
                <w:u w:val="none"/>
                <w:lang w:eastAsia="zh-CN"/>
              </w:rPr>
              <w:t>总谐波失真：≤0.1%。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提供所投产品</w:t>
            </w:r>
            <w:r>
              <w:rPr>
                <w:rFonts w:hint="eastAsia" w:asciiTheme="minorEastAsia" w:hAnsiTheme="minorEastAsia" w:eastAsiaTheme="minorEastAsia" w:cstheme="minorEastAsia"/>
                <w:b w:val="0"/>
                <w:bCs w:val="0"/>
                <w:i w:val="0"/>
                <w:iCs w:val="0"/>
                <w:color w:val="auto"/>
                <w:sz w:val="21"/>
                <w:szCs w:val="21"/>
                <w:highlight w:val="none"/>
                <w:u w:val="none"/>
                <w:lang w:eastAsia="zh-CN"/>
              </w:rPr>
              <w:t>制造商公开技术文档（如白皮书、产品规格书、画册、官网规格页截图及链接地址），明确标注该参数，并提供数据真实性的承诺函（格式自拟）。</w:t>
            </w:r>
          </w:p>
          <w:p w14:paraId="59C3933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rPr>
              <w:t>▲</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5</w:t>
            </w:r>
            <w:r>
              <w:rPr>
                <w:rFonts w:hint="eastAsia" w:asciiTheme="minorEastAsia" w:hAnsiTheme="minorEastAsia" w:eastAsiaTheme="minorEastAsia" w:cstheme="minorEastAsia"/>
                <w:b w:val="0"/>
                <w:bCs w:val="0"/>
                <w:i w:val="0"/>
                <w:iCs w:val="0"/>
                <w:color w:val="auto"/>
                <w:sz w:val="21"/>
                <w:szCs w:val="21"/>
                <w:highlight w:val="none"/>
                <w:u w:val="none"/>
                <w:lang w:val="en-US"/>
              </w:rPr>
              <w:t xml:space="preserve">. </w:t>
            </w:r>
            <w:r>
              <w:rPr>
                <w:rFonts w:hint="eastAsia" w:asciiTheme="minorEastAsia" w:hAnsiTheme="minorEastAsia" w:eastAsiaTheme="minorEastAsia" w:cstheme="minorEastAsia"/>
                <w:b w:val="0"/>
                <w:bCs w:val="0"/>
                <w:color w:val="auto"/>
                <w:sz w:val="21"/>
                <w:szCs w:val="21"/>
                <w:highlight w:val="none"/>
              </w:rPr>
              <w:t>内置DSP处理功能</w:t>
            </w:r>
            <w:r>
              <w:rPr>
                <w:rFonts w:hint="eastAsia" w:asciiTheme="minorEastAsia" w:hAnsiTheme="minorEastAsia" w:eastAsiaTheme="minorEastAsia" w:cstheme="minorEastAsia"/>
                <w:b w:val="0"/>
                <w:bCs w:val="0"/>
                <w:color w:val="auto"/>
                <w:sz w:val="21"/>
                <w:szCs w:val="21"/>
                <w:highlight w:val="none"/>
                <w:lang w:eastAsia="zh-CN"/>
              </w:rPr>
              <w:t>。提供所投产品制造商公开技术文档（如白皮书、产品规格书、画册、官网规格页截图及链接地址），明确标注该参数，并提供数据真实性的承诺函（格式自拟）。</w:t>
            </w:r>
          </w:p>
          <w:p w14:paraId="22D3FC7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6.安全与保护功能:具备过载、过热、短路等自动保护功能。</w:t>
            </w:r>
          </w:p>
          <w:p w14:paraId="363EF9EB">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Theme="minorEastAsia" w:hAnsiTheme="minorEastAsia" w:eastAsiaTheme="minorEastAsia" w:cstheme="minorEastAsia"/>
                <w:b w:val="0"/>
                <w:bCs w:val="0"/>
                <w:color w:val="auto"/>
                <w:sz w:val="21"/>
                <w:szCs w:val="21"/>
                <w:highlight w:val="none"/>
                <w:lang w:val="en-US" w:eastAsia="zh-CN"/>
              </w:rPr>
              <w:t>7.提供所投产品的</w:t>
            </w:r>
            <w:r>
              <w:rPr>
                <w:rFonts w:hint="eastAsia" w:asciiTheme="minorEastAsia" w:hAnsiTheme="minorEastAsia" w:eastAsiaTheme="minorEastAsia" w:cstheme="minorEastAsia"/>
                <w:b w:val="0"/>
                <w:bCs w:val="0"/>
                <w:color w:val="auto"/>
                <w:sz w:val="21"/>
                <w:szCs w:val="21"/>
                <w:highlight w:val="none"/>
                <w:lang w:eastAsia="zh-CN"/>
              </w:rPr>
              <w:t>CQC标志自愿认证</w:t>
            </w:r>
            <w:r>
              <w:rPr>
                <w:rFonts w:hint="eastAsia" w:asciiTheme="minorEastAsia" w:hAnsiTheme="minorEastAsia" w:eastAsiaTheme="minorEastAsia" w:cstheme="minorEastAsia"/>
                <w:b w:val="0"/>
                <w:bCs w:val="0"/>
                <w:color w:val="auto"/>
                <w:sz w:val="21"/>
                <w:szCs w:val="21"/>
                <w:highlight w:val="none"/>
                <w:lang w:val="en-US" w:eastAsia="zh-CN"/>
              </w:rPr>
              <w:t>证书扫描件。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354C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71C7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30B07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63A8A56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0F2B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无线手持话筒（一拖二）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F726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E7C6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D863B">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CD12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63928C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2C43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无线会议话筒（一拖四）</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170D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▲1.4通道自动混音，发言人数1-4人可选。提供所投产品原厂技术白皮书。</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2.支持优先发言功能。</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3.载波范围：630MHz-689MHz。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4.频带宽度：32MHz。</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5.调制方式：FM。</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6.单通道接收带宽为32MHz，采用真正分集FM超外差式接收。</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7.AFS功能，根据预设的频率分别有通道内扫频或全部频组内扫频，快整精准地算出无干扰的工作频道。</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F1B9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0801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6A15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E94B53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78A0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天线分配器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02BA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1、可接入支持≥4台无线系列或其它系列的无线系统工作。</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2、精密的电路设计，具有超低噪声低互调失真特性，并能在多频道同时使用时排除混频干扰。</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3、频率范围：630MHz-689MHz。</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0A409">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084B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421E4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FAE549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DCE8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指向性天线</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6D1F0">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1、天线频率范围：630MHz-689MHz 。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2、天线方向性：心形。                                                                                                                      3、天线极化方式：线性 。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4、天线增益：≥6.5dB 。  </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EDFCD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D02BC">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23EFB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376C0715">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5431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8路电源时序器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0DC7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1.最大输入电流≥40A；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2.单路最大输出电流≥20A；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4.配置高精度输入电压表；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5.具有RS232中控串口，可支持设备同时联机使用。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48FC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D027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56F20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407C543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4044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机柜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3A3A8">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22U，600*600标准机柜</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0A12">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03A8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0314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56831AE">
            <w:pPr>
              <w:keepNext w:val="0"/>
              <w:keepLines w:val="0"/>
              <w:pageBreakBefore w:val="0"/>
              <w:widowControl/>
              <w:suppressLineNumbers w:val="0"/>
              <w:spacing w:line="360" w:lineRule="exact"/>
              <w:jc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sz w:val="21"/>
                <w:szCs w:val="21"/>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D2B7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话筒落地支架</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08AF4">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话筒落地支架</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893F8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90A6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43B18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714B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五</w:t>
            </w:r>
          </w:p>
        </w:tc>
        <w:tc>
          <w:tcPr>
            <w:tcW w:w="67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F155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舞蹈教室</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C1111">
            <w:pPr>
              <w:pageBreakBefore w:val="0"/>
              <w:spacing w:line="360" w:lineRule="exact"/>
              <w:rPr>
                <w:rFonts w:hint="eastAsia" w:ascii="宋体" w:hAnsi="宋体" w:eastAsia="宋体" w:cs="宋体"/>
                <w:b w:val="0"/>
                <w:bCs w:val="0"/>
                <w:i w:val="0"/>
                <w:iCs w:val="0"/>
                <w:color w:val="auto"/>
                <w:sz w:val="21"/>
                <w:szCs w:val="21"/>
                <w:highlight w:val="none"/>
                <w:u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BC245">
            <w:pPr>
              <w:pageBreakBefore w:val="0"/>
              <w:spacing w:line="360" w:lineRule="exact"/>
              <w:rPr>
                <w:rFonts w:hint="eastAsia" w:ascii="宋体" w:hAnsi="宋体" w:eastAsia="宋体" w:cs="宋体"/>
                <w:b w:val="0"/>
                <w:bCs w:val="0"/>
                <w:i w:val="0"/>
                <w:iCs w:val="0"/>
                <w:color w:val="auto"/>
                <w:sz w:val="21"/>
                <w:szCs w:val="21"/>
                <w:highlight w:val="none"/>
                <w:u w:val="none"/>
              </w:rPr>
            </w:pPr>
          </w:p>
        </w:tc>
      </w:tr>
      <w:tr w14:paraId="1F27D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6E1CF6D4">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0D3C7">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音箱</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8DFC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1.频率特性（有效频率范围）：不劣于</w:t>
            </w:r>
            <w:r>
              <w:rPr>
                <w:rFonts w:hint="eastAsia" w:ascii="宋体" w:hAnsi="宋体" w:eastAsia="宋体" w:cs="宋体"/>
                <w:b w:val="0"/>
                <w:bCs w:val="0"/>
                <w:i w:val="0"/>
                <w:iCs w:val="0"/>
                <w:color w:val="auto"/>
                <w:sz w:val="21"/>
                <w:szCs w:val="21"/>
                <w:highlight w:val="none"/>
                <w:u w:val="none"/>
                <w:lang w:val="en-US" w:eastAsia="zh-CN" w:bidi="ar"/>
              </w:rPr>
              <w:t>60Hz-18KHz</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572E122D">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2.指定频带内的特性灵敏度级(1瓦/1米)：≥98dB±2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06014A1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★3.额定功率（输入电功率，长期最大功率）（额定阻抗为8Ω时）：不劣于400W。 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3736CDE9">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4.</w:t>
            </w:r>
            <w:r>
              <w:rPr>
                <w:rFonts w:hint="eastAsia" w:ascii="宋体" w:hAnsi="宋体" w:eastAsia="宋体" w:cs="宋体"/>
                <w:b w:val="0"/>
                <w:bCs w:val="0"/>
                <w:i w:val="0"/>
                <w:iCs w:val="0"/>
                <w:color w:val="auto"/>
                <w:sz w:val="21"/>
                <w:szCs w:val="21"/>
                <w:highlight w:val="none"/>
                <w:u w:val="none"/>
                <w:lang w:val="en-US" w:eastAsia="zh-CN" w:bidi="ar"/>
              </w:rPr>
              <w:t>单元组成：低音单元≥2*8〞，高音单元≥1×1.4〞。提供所投产品原厂技术白皮书。</w:t>
            </w:r>
          </w:p>
          <w:p w14:paraId="4B23B286">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p w14:paraId="7435169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 xml:space="preserve">指向性:≥ </w:t>
            </w:r>
            <w:r>
              <w:rPr>
                <w:rFonts w:hint="eastAsia" w:hAnsi="宋体" w:cs="宋体"/>
                <w:b w:val="0"/>
                <w:bCs w:val="0"/>
                <w:i w:val="0"/>
                <w:iCs w:val="0"/>
                <w:color w:val="auto"/>
                <w:sz w:val="21"/>
                <w:szCs w:val="21"/>
                <w:highlight w:val="none"/>
                <w:u w:val="none"/>
                <w:lang w:val="en-US" w:eastAsia="zh-CN" w:bidi="ar"/>
              </w:rPr>
              <w:t>8</w:t>
            </w:r>
            <w:r>
              <w:rPr>
                <w:rFonts w:hint="eastAsia" w:ascii="宋体" w:hAnsi="宋体" w:eastAsia="宋体" w:cs="宋体"/>
                <w:b w:val="0"/>
                <w:bCs w:val="0"/>
                <w:i w:val="0"/>
                <w:iCs w:val="0"/>
                <w:color w:val="auto"/>
                <w:sz w:val="21"/>
                <w:szCs w:val="21"/>
                <w:highlight w:val="none"/>
                <w:u w:val="none"/>
                <w:lang w:val="en-US" w:eastAsia="zh-CN" w:bidi="ar"/>
              </w:rPr>
              <w:t>0°(H)×60°(V)</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。提供所投产品制造商公开技术文档（如白皮书、产品规格书、画册、官网规格页截图及链接地址），明确标注该参数，并提供数据真实性的承诺函（格式自拟）。</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0ACEE">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EB84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r>
      <w:tr w14:paraId="51EE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696DBE0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C67FC">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功放</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8219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Theme="minorEastAsia" w:hAnsiTheme="minorEastAsia" w:eastAsiaTheme="minorEastAsia" w:cstheme="minorEastAsia"/>
                <w:b/>
                <w:bCs/>
                <w:i w:val="0"/>
                <w:iCs w:val="0"/>
                <w:color w:val="auto"/>
                <w:sz w:val="21"/>
                <w:szCs w:val="21"/>
                <w:highlight w:val="none"/>
                <w:u w:val="none"/>
                <w:lang w:val="en-US" w:eastAsia="zh-CN"/>
              </w:rPr>
              <w:t>不劣于</w:t>
            </w:r>
            <w:r>
              <w:rPr>
                <w:rFonts w:hint="eastAsia" w:ascii="宋体" w:hAnsi="宋体" w:eastAsia="宋体" w:cs="宋体"/>
                <w:b w:val="0"/>
                <w:bCs w:val="0"/>
                <w:i w:val="0"/>
                <w:iCs w:val="0"/>
                <w:color w:val="auto"/>
                <w:sz w:val="21"/>
                <w:szCs w:val="21"/>
                <w:highlight w:val="none"/>
                <w:u w:val="none"/>
                <w:lang w:val="en-US" w:eastAsia="zh-CN" w:bidi="ar"/>
              </w:rPr>
              <w:t>(8Ω)600W×2</w:t>
            </w:r>
            <w:r>
              <w:rPr>
                <w:rFonts w:hint="eastAsia" w:ascii="宋体" w:hAnsi="宋体" w:cs="宋体"/>
                <w:b w:val="0"/>
                <w:bCs w:val="0"/>
                <w:i w:val="0"/>
                <w:iCs w:val="0"/>
                <w:color w:val="auto"/>
                <w:sz w:val="21"/>
                <w:szCs w:val="21"/>
                <w:highlight w:val="none"/>
                <w:u w:val="none"/>
                <w:lang w:val="en-US" w:eastAsia="zh-CN" w:bidi="ar"/>
              </w:rPr>
              <w:t>。</w:t>
            </w:r>
          </w:p>
          <w:p w14:paraId="1547B63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2.音频输入信号：AUX\BGM\U盘\蓝牙\光纤\同轴。</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3.≥3路有线话筒输入口，并且独立控制音量。</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strike w:val="0"/>
                <w:color w:val="auto"/>
                <w:sz w:val="21"/>
                <w:szCs w:val="21"/>
                <w:highlight w:val="none"/>
                <w:u w:val="none"/>
                <w:lang w:val="en-US" w:eastAsia="zh-CN" w:bidi="ar"/>
              </w:rPr>
              <w:t>4.带有显示液晶屏。</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5.效果功能：混响、回音、高切、低切、次数、深度、启动时间、延时时间。</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6.3级反馈抑制设定，防止啸叫。</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▲7.支持蓝牙5.0、USB互动音频输入控制接口。提供所投产品原厂技术白皮书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C12C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605D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6FFF4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74AB856F">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70C82">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无线手持话筒（一拖二）</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B946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1.配用双色明亮的LCD液晶显示，可显示工作频道或频率、RF和AF信号强度、发射器的电池容量、以及静音电平。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2.频段UHF 630MHz-689MHz，双通道接收。                                                                                                                                                                                                                                                                                                                                                                                       3.具有自动搜索实际环境中最干净、无干扰频率功能。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4.多级SQ值可自由调节，可根据现场实际使用情况调节静音阈值，无论远近距离发言皆可保证高质量拾音。</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5.外置天线接口： 双BNC 支持 +12V/150mA 输出；</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6.手持话筒配备彩色TFT屏幕，清晰显示频组、频段、电量、dB值、锁定/解锁等状态。</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▲7.配双口充电底座，手持话筒可直接在充电底座上充电，无需取出电池。提供所投产品原厂技术白皮书</w:t>
            </w:r>
            <w:r>
              <w:rPr>
                <w:rFonts w:hint="eastAsia" w:ascii="宋体" w:hAnsi="宋体" w:cs="宋体"/>
                <w:b w:val="0"/>
                <w:bCs w:val="0"/>
                <w:i w:val="0"/>
                <w:iCs w:val="0"/>
                <w:color w:val="auto"/>
                <w:sz w:val="21"/>
                <w:szCs w:val="21"/>
                <w:highlight w:val="none"/>
                <w:u w:val="none"/>
                <w:lang w:val="en-US" w:eastAsia="zh-CN" w:bidi="ar"/>
              </w:rPr>
              <w:t>或接口照片</w:t>
            </w:r>
            <w:r>
              <w:rPr>
                <w:rFonts w:hint="eastAsia" w:ascii="宋体" w:hAnsi="宋体" w:eastAsia="宋体" w:cs="宋体"/>
                <w:b w:val="0"/>
                <w:bCs w:val="0"/>
                <w:i w:val="0"/>
                <w:iCs w:val="0"/>
                <w:color w:val="auto"/>
                <w:sz w:val="21"/>
                <w:szCs w:val="21"/>
                <w:highlight w:val="none"/>
                <w:u w:val="none"/>
                <w:lang w:val="en-US" w:eastAsia="zh-CN" w:bidi="ar"/>
              </w:rPr>
              <w:t>。</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6D43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02C61">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4EA5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2429951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7D476">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电源时序器</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33B3F">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1.最大输入电流≥40A；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2.单路最大输出电流≥20A；</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 xml:space="preserve">3.滤波器：电容滤波器 </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4.配置高精度输入电压表；</w:t>
            </w:r>
            <w:r>
              <w:rPr>
                <w:rFonts w:hint="eastAsia" w:ascii="宋体" w:hAnsi="宋体" w:eastAsia="宋体" w:cs="宋体"/>
                <w:b w:val="0"/>
                <w:bCs w:val="0"/>
                <w:i w:val="0"/>
                <w:iCs w:val="0"/>
                <w:color w:val="auto"/>
                <w:sz w:val="21"/>
                <w:szCs w:val="21"/>
                <w:highlight w:val="none"/>
                <w:u w:val="none"/>
                <w:lang w:val="en-US" w:eastAsia="zh-CN" w:bidi="ar"/>
              </w:rPr>
              <w:br w:type="textWrapping"/>
            </w:r>
            <w:r>
              <w:rPr>
                <w:rFonts w:hint="eastAsia" w:ascii="宋体" w:hAnsi="宋体" w:eastAsia="宋体" w:cs="宋体"/>
                <w:b w:val="0"/>
                <w:bCs w:val="0"/>
                <w:i w:val="0"/>
                <w:iCs w:val="0"/>
                <w:color w:val="auto"/>
                <w:sz w:val="21"/>
                <w:szCs w:val="21"/>
                <w:highlight w:val="none"/>
                <w:u w:val="none"/>
                <w:lang w:val="en-US" w:eastAsia="zh-CN" w:bidi="ar"/>
              </w:rPr>
              <w:t>5.具有RS232中控串口，可支持设备同时联机使用。</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CDA9D">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F3D13">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tr w14:paraId="19693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17" w:type="dxa"/>
            <w:tcBorders>
              <w:top w:val="single" w:color="000000" w:sz="4" w:space="0"/>
              <w:left w:val="single" w:color="000000" w:sz="4" w:space="0"/>
              <w:bottom w:val="single" w:color="000000" w:sz="4" w:space="0"/>
              <w:right w:val="nil"/>
            </w:tcBorders>
            <w:shd w:val="clear" w:color="auto" w:fill="auto"/>
            <w:noWrap w:val="0"/>
            <w:vAlign w:val="center"/>
          </w:tcPr>
          <w:p w14:paraId="17D6A5F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E0D2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机柜</w:t>
            </w:r>
          </w:p>
        </w:tc>
        <w:tc>
          <w:tcPr>
            <w:tcW w:w="53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43315">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22U，600*600标准机柜</w:t>
            </w:r>
          </w:p>
        </w:tc>
        <w:tc>
          <w:tcPr>
            <w:tcW w:w="8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E53A0">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47787">
            <w:pPr>
              <w:keepNext w:val="0"/>
              <w:keepLines w:val="0"/>
              <w:pageBreakBefore w:val="0"/>
              <w:widowControl/>
              <w:suppressLineNumbers w:val="0"/>
              <w:spacing w:line="360" w:lineRule="exact"/>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1</w:t>
            </w:r>
          </w:p>
        </w:tc>
      </w:tr>
      <w:bookmarkEnd w:id="200"/>
    </w:tbl>
    <w:p w14:paraId="532A65CC">
      <w:pPr>
        <w:rPr>
          <w:color w:val="auto"/>
        </w:rPr>
      </w:pPr>
    </w:p>
    <w:p w14:paraId="24A04167">
      <w:pPr>
        <w:spacing w:line="360" w:lineRule="auto"/>
        <w:rPr>
          <w:rFonts w:hint="eastAsia" w:ascii="宋体" w:hAnsi="宋体"/>
          <w:b/>
          <w:bCs/>
          <w:color w:val="auto"/>
          <w:sz w:val="24"/>
          <w:szCs w:val="24"/>
          <w:highlight w:val="none"/>
        </w:rPr>
      </w:pPr>
    </w:p>
    <w:p w14:paraId="21D348A0">
      <w:pPr>
        <w:spacing w:line="36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说明：</w:t>
      </w:r>
      <w:r>
        <w:rPr>
          <w:rFonts w:hint="eastAsia" w:ascii="宋体" w:hAnsi="宋体"/>
          <w:b/>
          <w:bCs/>
          <w:color w:val="auto"/>
          <w:sz w:val="24"/>
          <w:szCs w:val="24"/>
          <w:highlight w:val="none"/>
          <w:lang w:val="en-US" w:eastAsia="zh-CN"/>
        </w:rPr>
        <w:t>报告厅舞台设备及音视频会议系统</w:t>
      </w:r>
      <w:r>
        <w:rPr>
          <w:rFonts w:hint="eastAsia" w:ascii="宋体" w:hAnsi="宋体"/>
          <w:b/>
          <w:bCs/>
          <w:color w:val="auto"/>
          <w:sz w:val="24"/>
          <w:szCs w:val="24"/>
          <w:highlight w:val="none"/>
        </w:rPr>
        <w:t>CAD</w:t>
      </w:r>
      <w:r>
        <w:rPr>
          <w:rFonts w:hint="eastAsia" w:ascii="宋体" w:hAnsi="宋体"/>
          <w:b/>
          <w:bCs/>
          <w:color w:val="auto"/>
          <w:sz w:val="24"/>
          <w:szCs w:val="24"/>
          <w:highlight w:val="none"/>
          <w:lang w:val="en-US" w:eastAsia="zh-CN"/>
        </w:rPr>
        <w:t>建筑</w:t>
      </w:r>
      <w:r>
        <w:rPr>
          <w:rFonts w:hint="eastAsia" w:ascii="宋体" w:hAnsi="宋体"/>
          <w:b/>
          <w:bCs/>
          <w:color w:val="auto"/>
          <w:sz w:val="24"/>
          <w:szCs w:val="24"/>
          <w:highlight w:val="none"/>
        </w:rPr>
        <w:t>图与采购单位联系人联系</w:t>
      </w:r>
      <w:r>
        <w:rPr>
          <w:rFonts w:hint="eastAsia" w:ascii="宋体" w:hAnsi="宋体"/>
          <w:b/>
          <w:bCs/>
          <w:color w:val="auto"/>
          <w:sz w:val="24"/>
          <w:szCs w:val="24"/>
          <w:highlight w:val="none"/>
          <w:lang w:val="en-US" w:eastAsia="zh-CN"/>
        </w:rPr>
        <w:t>获取</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在施工过程中如果涉及到装饰的拆除与修复，一切费用由中标方负责。</w:t>
      </w:r>
    </w:p>
    <w:p w14:paraId="5B10231A">
      <w:pPr>
        <w:pStyle w:val="7"/>
        <w:ind w:left="0" w:leftChars="0" w:firstLine="0" w:firstLineChars="0"/>
        <w:rPr>
          <w:rFonts w:hint="eastAsia" w:asciiTheme="minorEastAsia" w:hAnsiTheme="minorEastAsia" w:eastAsiaTheme="minorEastAsia" w:cstheme="minorEastAsia"/>
          <w:color w:val="auto"/>
        </w:rPr>
      </w:pPr>
    </w:p>
    <w:p w14:paraId="13E3340E">
      <w:pPr>
        <w:pStyle w:val="308"/>
        <w:keepLines w:val="0"/>
        <w:pageBreakBefore w:val="0"/>
        <w:tabs>
          <w:tab w:val="left" w:pos="0"/>
        </w:tabs>
        <w:spacing w:line="400" w:lineRule="exact"/>
        <w:ind w:left="0" w:hanging="432"/>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t>3.</w:t>
      </w:r>
      <w:r>
        <w:rPr>
          <w:rFonts w:ascii="Times New Roman" w:hAnsi="Times New Roman"/>
          <w:b w:val="0"/>
          <w:color w:val="auto"/>
          <w:sz w:val="24"/>
          <w:szCs w:val="21"/>
          <w:highlight w:val="none"/>
        </w:rPr>
        <w:t>验收标准</w:t>
      </w:r>
    </w:p>
    <w:p w14:paraId="513C93F4">
      <w:pPr>
        <w:keepLines w:val="0"/>
        <w:pageBreakBefore w:val="0"/>
        <w:widowControl/>
        <w:spacing w:line="400" w:lineRule="exact"/>
        <w:ind w:left="0" w:firstLine="482"/>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严格按照</w:t>
      </w:r>
      <w:r>
        <w:rPr>
          <w:rFonts w:hint="eastAsia" w:ascii="宋体" w:hAnsi="宋体"/>
          <w:color w:val="auto"/>
          <w:sz w:val="24"/>
          <w:szCs w:val="24"/>
          <w:highlight w:val="none"/>
        </w:rPr>
        <w:t>关于印发《江苏省政府采购履约验收管理办法》的通知（苏财规〔2024〕7号）</w:t>
      </w:r>
      <w:r>
        <w:rPr>
          <w:rFonts w:hint="eastAsia" w:ascii="宋体" w:hAnsi="宋体"/>
          <w:color w:val="auto"/>
          <w:sz w:val="24"/>
          <w:szCs w:val="24"/>
          <w:highlight w:val="none"/>
          <w:lang w:val="en-US" w:eastAsia="zh-CN"/>
        </w:rPr>
        <w:t>进行验收。</w:t>
      </w:r>
      <w:r>
        <w:rPr>
          <w:rFonts w:hint="eastAsia" w:ascii="宋体" w:hAnsi="宋体" w:eastAsia="宋体"/>
          <w:color w:val="auto"/>
          <w:sz w:val="24"/>
          <w:szCs w:val="24"/>
          <w:highlight w:val="none"/>
        </w:rPr>
        <w:t>必要时委托依法取得检测、认证资质的机构进行检测、认证，对于供应商未按合同约定</w:t>
      </w:r>
      <w:r>
        <w:rPr>
          <w:rFonts w:hint="eastAsia" w:ascii="宋体" w:hAnsi="宋体" w:eastAsia="宋体"/>
          <w:color w:val="auto"/>
          <w:sz w:val="24"/>
          <w:szCs w:val="24"/>
          <w:highlight w:val="none"/>
          <w:lang w:val="en-US" w:eastAsia="zh-CN"/>
        </w:rPr>
        <w:t>履约的</w:t>
      </w:r>
      <w:r>
        <w:rPr>
          <w:rFonts w:hint="eastAsia" w:ascii="宋体" w:hAnsi="宋体" w:eastAsia="宋体"/>
          <w:color w:val="auto"/>
          <w:sz w:val="24"/>
          <w:szCs w:val="24"/>
          <w:highlight w:val="none"/>
        </w:rPr>
        <w:t>，采购人依法追究其违约责任。</w:t>
      </w:r>
    </w:p>
    <w:p w14:paraId="151D3C8D">
      <w:pPr>
        <w:keepLines w:val="0"/>
        <w:pageBreakBefore w:val="0"/>
        <w:spacing w:line="40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报告厅舞台设备及音视频会议系统项目</w:t>
      </w:r>
      <w:r>
        <w:rPr>
          <w:rFonts w:hint="eastAsia" w:ascii="宋体" w:hAnsi="宋体"/>
          <w:color w:val="auto"/>
          <w:sz w:val="24"/>
          <w:szCs w:val="24"/>
          <w:highlight w:val="none"/>
        </w:rPr>
        <w:t>验收前应进行自检测试和竣工验收测试工作。</w:t>
      </w:r>
    </w:p>
    <w:p w14:paraId="2020A104">
      <w:pPr>
        <w:keepLines w:val="0"/>
        <w:pageBreakBefore w:val="0"/>
        <w:spacing w:line="400" w:lineRule="exact"/>
        <w:ind w:left="0"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竣工以后，施工单位在</w:t>
      </w: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验收前要提供的材料：</w:t>
      </w:r>
    </w:p>
    <w:p w14:paraId="61835673">
      <w:pPr>
        <w:keepLines w:val="0"/>
        <w:pageBreakBefore w:val="0"/>
        <w:spacing w:line="400" w:lineRule="exact"/>
        <w:ind w:left="0" w:firstLine="480"/>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1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①</w:t>
      </w:r>
      <w:r>
        <w:rPr>
          <w:rFonts w:ascii="宋体" w:hAnsi="宋体"/>
          <w:color w:val="auto"/>
          <w:sz w:val="24"/>
          <w:szCs w:val="24"/>
          <w:highlight w:val="none"/>
        </w:rPr>
        <w:fldChar w:fldCharType="end"/>
      </w:r>
      <w:r>
        <w:rPr>
          <w:rFonts w:hint="eastAsia" w:ascii="宋体" w:hAnsi="宋体"/>
          <w:color w:val="auto"/>
          <w:sz w:val="24"/>
          <w:szCs w:val="24"/>
          <w:highlight w:val="none"/>
        </w:rPr>
        <w:t>一套完整的的</w:t>
      </w:r>
      <w:r>
        <w:rPr>
          <w:rFonts w:ascii="宋体" w:hAnsi="宋体"/>
          <w:color w:val="auto"/>
          <w:sz w:val="24"/>
          <w:szCs w:val="24"/>
          <w:highlight w:val="none"/>
        </w:rPr>
        <w:t>竣工图纸</w:t>
      </w:r>
      <w:r>
        <w:rPr>
          <w:rFonts w:hint="eastAsia" w:ascii="宋体" w:hAnsi="宋体"/>
          <w:color w:val="auto"/>
          <w:sz w:val="24"/>
          <w:szCs w:val="24"/>
          <w:highlight w:val="none"/>
        </w:rPr>
        <w:t>给采购单位，两份纸质稿及一份电子稿。</w:t>
      </w:r>
    </w:p>
    <w:p w14:paraId="02CD3C8B">
      <w:pPr>
        <w:keepLines w:val="0"/>
        <w:pageBreakBefore w:val="0"/>
        <w:spacing w:line="40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竣工图纸应包括说明、设计系统图及反映各部分设备安装情况的施工图。竣工图纸应表示以下内容：</w:t>
      </w:r>
    </w:p>
    <w:p w14:paraId="533A08DB">
      <w:pPr>
        <w:pStyle w:val="7"/>
        <w:keepLines w:val="0"/>
        <w:pageBreakBefore w:val="0"/>
        <w:numPr>
          <w:ilvl w:val="0"/>
          <w:numId w:val="11"/>
        </w:numPr>
        <w:spacing w:line="400" w:lineRule="exact"/>
        <w:ind w:left="0"/>
        <w:rPr>
          <w:rFonts w:hint="eastAsia" w:ascii="宋体" w:hAnsi="宋体"/>
          <w:color w:val="auto"/>
          <w:highlight w:val="none"/>
        </w:rPr>
      </w:pPr>
      <w:r>
        <w:rPr>
          <w:rFonts w:hint="eastAsia" w:ascii="宋体" w:hAnsi="宋体"/>
          <w:color w:val="auto"/>
          <w:highlight w:val="none"/>
        </w:rPr>
        <w:t>安装场地和布线管道的位置、尺寸、标识符等；</w:t>
      </w:r>
    </w:p>
    <w:p w14:paraId="4DD3D4F5">
      <w:pPr>
        <w:pStyle w:val="7"/>
        <w:keepLines w:val="0"/>
        <w:pageBreakBefore w:val="0"/>
        <w:numPr>
          <w:ilvl w:val="0"/>
          <w:numId w:val="11"/>
        </w:numPr>
        <w:spacing w:line="400" w:lineRule="exact"/>
        <w:ind w:left="0"/>
        <w:rPr>
          <w:rFonts w:ascii="宋体" w:hAnsi="宋体"/>
          <w:color w:val="auto"/>
          <w:highlight w:val="none"/>
        </w:rPr>
      </w:pPr>
      <w:r>
        <w:rPr>
          <w:rFonts w:hint="eastAsia" w:ascii="宋体" w:hAnsi="宋体"/>
          <w:color w:val="auto"/>
          <w:highlight w:val="none"/>
          <w:lang w:val="en-US" w:eastAsia="zh-CN"/>
        </w:rPr>
        <w:t>提供设备安装位置图、设备走线图、系统图、机柜布置图等</w:t>
      </w:r>
      <w:r>
        <w:rPr>
          <w:rFonts w:hint="eastAsia" w:ascii="宋体" w:hAnsi="宋体"/>
          <w:color w:val="auto"/>
          <w:highlight w:val="none"/>
        </w:rPr>
        <w:t>；</w:t>
      </w:r>
    </w:p>
    <w:p w14:paraId="425E4037">
      <w:pPr>
        <w:keepLines w:val="0"/>
        <w:pageBreakBefore w:val="0"/>
        <w:spacing w:line="400" w:lineRule="exact"/>
        <w:ind w:left="0" w:firstLine="480"/>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2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②</w:t>
      </w:r>
      <w:r>
        <w:rPr>
          <w:rFonts w:ascii="宋体" w:hAnsi="宋体"/>
          <w:color w:val="auto"/>
          <w:sz w:val="24"/>
          <w:szCs w:val="24"/>
          <w:highlight w:val="none"/>
        </w:rPr>
        <w:fldChar w:fldCharType="end"/>
      </w:r>
      <w:r>
        <w:rPr>
          <w:rFonts w:hint="eastAsia" w:ascii="宋体" w:hAnsi="宋体"/>
          <w:color w:val="auto"/>
          <w:sz w:val="24"/>
          <w:szCs w:val="24"/>
          <w:highlight w:val="none"/>
        </w:rPr>
        <w:t>设备材料进场检验记录及开箱检验记录。</w:t>
      </w:r>
    </w:p>
    <w:p w14:paraId="630DC172">
      <w:pPr>
        <w:keepLines w:val="0"/>
        <w:pageBreakBefore w:val="0"/>
        <w:spacing w:line="400" w:lineRule="exact"/>
        <w:ind w:left="0" w:firstLine="480"/>
        <w:rPr>
          <w:rFonts w:hint="eastAsia" w:ascii="宋体" w:hAnsi="宋体"/>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 3 \* GB3</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separate"/>
      </w:r>
      <w:r>
        <w:rPr>
          <w:rFonts w:hint="eastAsia" w:ascii="宋体" w:hAnsi="宋体"/>
          <w:color w:val="auto"/>
          <w:sz w:val="24"/>
          <w:szCs w:val="24"/>
          <w:highlight w:val="none"/>
        </w:rPr>
        <w:t>③</w:t>
      </w:r>
      <w:r>
        <w:rPr>
          <w:rFonts w:ascii="宋体" w:hAnsi="宋体"/>
          <w:color w:val="auto"/>
          <w:sz w:val="24"/>
          <w:szCs w:val="24"/>
          <w:highlight w:val="none"/>
        </w:rPr>
        <w:fldChar w:fldCharType="end"/>
      </w:r>
      <w:r>
        <w:rPr>
          <w:rFonts w:hint="eastAsia" w:ascii="宋体" w:hAnsi="宋体"/>
          <w:color w:val="auto"/>
          <w:sz w:val="24"/>
          <w:szCs w:val="24"/>
          <w:highlight w:val="none"/>
        </w:rPr>
        <w:t>隐蔽工程验收记录及签证。隐蔽工程要做好时间、施工情况记录，现场拍照存档。要有学校相关人员签字。如有信息化工程监理，要由监理按流程处理并签字确认。</w:t>
      </w:r>
    </w:p>
    <w:p w14:paraId="2A3D9329">
      <w:pPr>
        <w:keepLines w:val="0"/>
        <w:pageBreakBefore w:val="0"/>
        <w:spacing w:line="400" w:lineRule="exact"/>
        <w:ind w:left="0"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工程</w:t>
      </w:r>
      <w:r>
        <w:rPr>
          <w:rFonts w:hint="eastAsia" w:ascii="宋体" w:hAnsi="宋体"/>
          <w:color w:val="auto"/>
          <w:sz w:val="24"/>
          <w:szCs w:val="24"/>
          <w:highlight w:val="none"/>
        </w:rPr>
        <w:t>竣工</w:t>
      </w:r>
      <w:r>
        <w:rPr>
          <w:rFonts w:hint="eastAsia" w:ascii="宋体" w:hAnsi="宋体"/>
          <w:color w:val="auto"/>
          <w:sz w:val="24"/>
          <w:szCs w:val="24"/>
          <w:highlight w:val="none"/>
          <w:lang w:val="en-US" w:eastAsia="zh-CN"/>
        </w:rPr>
        <w:t>验收主要内容</w:t>
      </w:r>
      <w:r>
        <w:rPr>
          <w:rFonts w:hint="eastAsia" w:ascii="宋体" w:hAnsi="宋体"/>
          <w:color w:val="auto"/>
          <w:sz w:val="24"/>
          <w:szCs w:val="24"/>
          <w:highlight w:val="none"/>
        </w:rPr>
        <w:t>：</w:t>
      </w:r>
    </w:p>
    <w:p w14:paraId="229A97E5">
      <w:pPr>
        <w:keepLines w:val="0"/>
        <w:pageBreakBefore w:val="0"/>
        <w:spacing w:line="400" w:lineRule="exact"/>
        <w:ind w:left="0" w:firstLine="480"/>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w:instrText>
      </w:r>
      <w:r>
        <w:rPr>
          <w:rFonts w:hint="eastAsia" w:ascii="宋体" w:hAnsi="宋体" w:eastAsia="宋体"/>
          <w:color w:val="auto"/>
          <w:sz w:val="24"/>
          <w:szCs w:val="24"/>
          <w:highlight w:val="none"/>
        </w:rPr>
        <w:instrText xml:space="preserve">= 1 \* GB3</w:instrText>
      </w:r>
      <w:r>
        <w:rPr>
          <w:rFonts w:ascii="宋体" w:hAnsi="宋体" w:eastAsia="宋体"/>
          <w:color w:val="auto"/>
          <w:sz w:val="24"/>
          <w:szCs w:val="24"/>
          <w:highlight w:val="none"/>
        </w:rPr>
        <w:instrText xml:space="preserve"> </w:instrText>
      </w:r>
      <w:r>
        <w:rPr>
          <w:rFonts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①</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lang w:val="en-US" w:eastAsia="zh-CN"/>
        </w:rPr>
        <w:t>清单核验（品牌、型号、参数、数量等逐项核对），功能性参数逐项论证演示。</w:t>
      </w:r>
    </w:p>
    <w:p w14:paraId="498E59A5">
      <w:pPr>
        <w:keepLines w:val="0"/>
        <w:pageBreakBefore w:val="0"/>
        <w:spacing w:line="400" w:lineRule="exact"/>
        <w:ind w:left="0"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fldChar w:fldCharType="begin"/>
      </w:r>
      <w:r>
        <w:rPr>
          <w:rFonts w:hint="eastAsia" w:ascii="宋体" w:hAnsi="宋体" w:eastAsia="宋体"/>
          <w:color w:val="auto"/>
          <w:sz w:val="24"/>
          <w:szCs w:val="24"/>
          <w:highlight w:val="none"/>
          <w:lang w:val="en-US" w:eastAsia="zh-CN"/>
        </w:rPr>
        <w:instrText xml:space="preserve"> = 2 \* GB3 </w:instrText>
      </w:r>
      <w:r>
        <w:rPr>
          <w:rFonts w:hint="eastAsia" w:ascii="宋体" w:hAnsi="宋体" w:eastAsia="宋体"/>
          <w:color w:val="auto"/>
          <w:sz w:val="24"/>
          <w:szCs w:val="24"/>
          <w:highlight w:val="none"/>
          <w:lang w:val="en-US" w:eastAsia="zh-CN"/>
        </w:rPr>
        <w:fldChar w:fldCharType="separate"/>
      </w:r>
      <w:r>
        <w:rPr>
          <w:rFonts w:hint="eastAsia" w:ascii="宋体" w:hAnsi="宋体" w:eastAsia="宋体"/>
          <w:color w:val="auto"/>
          <w:sz w:val="24"/>
          <w:szCs w:val="24"/>
          <w:highlight w:val="none"/>
          <w:lang w:val="en-US" w:eastAsia="zh-CN"/>
        </w:rPr>
        <w:t>②</w:t>
      </w:r>
      <w:r>
        <w:rPr>
          <w:rFonts w:hint="eastAsia" w:ascii="宋体" w:hAnsi="宋体" w:eastAsia="宋体"/>
          <w:color w:val="auto"/>
          <w:sz w:val="24"/>
          <w:szCs w:val="24"/>
          <w:highlight w:val="none"/>
          <w:lang w:val="en-US" w:eastAsia="zh-CN"/>
        </w:rPr>
        <w:fldChar w:fldCharType="end"/>
      </w:r>
      <w:r>
        <w:rPr>
          <w:rFonts w:hint="eastAsia" w:ascii="宋体" w:hAnsi="宋体" w:eastAsia="宋体"/>
          <w:color w:val="auto"/>
          <w:sz w:val="24"/>
          <w:szCs w:val="24"/>
          <w:highlight w:val="none"/>
          <w:lang w:val="en-US" w:eastAsia="zh-CN"/>
        </w:rPr>
        <w:t>设备的安装布线规范情况及通风散热情况。</w:t>
      </w:r>
    </w:p>
    <w:p w14:paraId="72D6B7AC">
      <w:pPr>
        <w:keepLines w:val="0"/>
        <w:pageBreakBefore w:val="0"/>
        <w:spacing w:line="400" w:lineRule="exact"/>
        <w:ind w:left="0"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fldChar w:fldCharType="begin"/>
      </w:r>
      <w:r>
        <w:rPr>
          <w:rFonts w:hint="eastAsia" w:ascii="宋体" w:hAnsi="宋体" w:eastAsia="宋体"/>
          <w:color w:val="auto"/>
          <w:sz w:val="24"/>
          <w:szCs w:val="24"/>
          <w:highlight w:val="none"/>
          <w:lang w:val="en-US" w:eastAsia="zh-CN"/>
        </w:rPr>
        <w:instrText xml:space="preserve"> = 3 \* GB3 </w:instrText>
      </w:r>
      <w:r>
        <w:rPr>
          <w:rFonts w:hint="eastAsia" w:ascii="宋体" w:hAnsi="宋体" w:eastAsia="宋体"/>
          <w:color w:val="auto"/>
          <w:sz w:val="24"/>
          <w:szCs w:val="24"/>
          <w:highlight w:val="none"/>
          <w:lang w:val="en-US" w:eastAsia="zh-CN"/>
        </w:rPr>
        <w:fldChar w:fldCharType="separate"/>
      </w:r>
      <w:r>
        <w:rPr>
          <w:rFonts w:hint="eastAsia" w:ascii="宋体" w:hAnsi="宋体" w:eastAsia="宋体"/>
          <w:color w:val="auto"/>
          <w:sz w:val="24"/>
          <w:szCs w:val="24"/>
          <w:highlight w:val="none"/>
          <w:lang w:val="en-US" w:eastAsia="zh-CN"/>
        </w:rPr>
        <w:t>③</w:t>
      </w:r>
      <w:r>
        <w:rPr>
          <w:rFonts w:hint="eastAsia" w:ascii="宋体" w:hAnsi="宋体" w:eastAsia="宋体"/>
          <w:color w:val="auto"/>
          <w:sz w:val="24"/>
          <w:szCs w:val="24"/>
          <w:highlight w:val="none"/>
          <w:lang w:val="en-US" w:eastAsia="zh-CN"/>
        </w:rPr>
        <w:fldChar w:fldCharType="end"/>
      </w:r>
      <w:r>
        <w:rPr>
          <w:rFonts w:hint="eastAsia" w:ascii="宋体" w:hAnsi="宋体" w:eastAsia="宋体"/>
          <w:color w:val="auto"/>
          <w:sz w:val="24"/>
          <w:szCs w:val="24"/>
          <w:highlight w:val="none"/>
          <w:lang w:val="en-US" w:eastAsia="zh-CN"/>
        </w:rPr>
        <w:t>设备安装是否美观牢固，特别是吊挂的线阵音箱是否做加固处理，舞台灯具的保险绳等安全措施是否到位，LED显示屏钢结构和舞台机械钢结构是否牢固安全，电机及钢丝绳紧固件是否牢靠。</w:t>
      </w:r>
    </w:p>
    <w:p w14:paraId="043D3B7F">
      <w:pPr>
        <w:keepLines w:val="0"/>
        <w:pageBreakBefore w:val="0"/>
        <w:spacing w:line="400" w:lineRule="exact"/>
        <w:ind w:left="0" w:firstLine="48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④音响测试：声音的音质效果、清晰度、声压级，声场的均匀性、系统的噪声等。</w:t>
      </w:r>
    </w:p>
    <w:p w14:paraId="75F43D30">
      <w:pPr>
        <w:keepLines w:val="0"/>
        <w:pageBreakBefore w:val="0"/>
        <w:spacing w:line="400" w:lineRule="exact"/>
        <w:ind w:left="0"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⑤灯光测试：灯具的亮度测试、显色指数测试、色彩测试，灯具运行噪音测试、编排的节目效果等。</w:t>
      </w:r>
    </w:p>
    <w:p w14:paraId="451197EC">
      <w:pPr>
        <w:keepLines w:val="0"/>
        <w:pageBreakBefore w:val="0"/>
        <w:spacing w:line="400" w:lineRule="exact"/>
        <w:ind w:left="0" w:firstLine="48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⑥显示屏测试：显示屏材质验收，单元模组的平整度，显示屏亮度测试，色彩还原度测试，灰度等级和对比度测试。</w:t>
      </w:r>
    </w:p>
    <w:p w14:paraId="6F46C45D">
      <w:pPr>
        <w:keepLines w:val="0"/>
        <w:pageBreakBefore w:val="0"/>
        <w:spacing w:line="400" w:lineRule="exact"/>
        <w:ind w:left="0"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⑦舞台机械测试：升降吊杆速度、载荷、行程，停位精度验收，电气操作控制系统各种功能、安全标记验收、设备运行状态平稳度，钢结构焊接及油漆检验等。</w:t>
      </w:r>
    </w:p>
    <w:p w14:paraId="6D1D84B3">
      <w:pPr>
        <w:keepLines w:val="0"/>
        <w:pageBreakBefore w:val="0"/>
        <w:spacing w:line="400" w:lineRule="exact"/>
        <w:ind w:left="0" w:firstLine="480"/>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w:t>
      </w:r>
      <w:r>
        <w:rPr>
          <w:rFonts w:hint="eastAsia" w:ascii="宋体" w:hAnsi="宋体" w:cs="Times New Roman"/>
          <w:color w:val="auto"/>
          <w:sz w:val="24"/>
          <w:szCs w:val="24"/>
          <w:highlight w:val="none"/>
          <w:u w:val="none"/>
          <w:lang w:val="en-US" w:eastAsia="zh-CN"/>
        </w:rPr>
        <w:t>3</w:t>
      </w:r>
      <w:r>
        <w:rPr>
          <w:rFonts w:hint="eastAsia" w:ascii="宋体" w:hAnsi="宋体" w:eastAsia="宋体" w:cs="Times New Roman"/>
          <w:color w:val="auto"/>
          <w:sz w:val="24"/>
          <w:szCs w:val="24"/>
          <w:highlight w:val="none"/>
          <w:u w:val="none"/>
        </w:rPr>
        <w:t>）验收应遵循的GB/T 36727-2018</w:t>
      </w:r>
      <w:r>
        <w:rPr>
          <w:rFonts w:hint="eastAsia" w:ascii="宋体" w:hAnsi="宋体" w:cs="Times New Roman"/>
          <w:color w:val="auto"/>
          <w:sz w:val="24"/>
          <w:szCs w:val="24"/>
          <w:highlight w:val="none"/>
          <w:u w:val="none"/>
          <w:lang w:eastAsia="zh-CN"/>
        </w:rPr>
        <w:t>、SJ/T 11711-2018、WH/T 97-2022</w:t>
      </w:r>
      <w:r>
        <w:rPr>
          <w:rFonts w:hint="eastAsia" w:ascii="宋体" w:hAnsi="宋体" w:cs="Times New Roman"/>
          <w:color w:val="auto"/>
          <w:sz w:val="24"/>
          <w:szCs w:val="24"/>
          <w:highlight w:val="none"/>
          <w:u w:val="none"/>
          <w:lang w:val="en-US" w:eastAsia="zh-CN"/>
        </w:rPr>
        <w:t>等</w:t>
      </w:r>
      <w:r>
        <w:rPr>
          <w:rFonts w:hint="eastAsia" w:ascii="宋体" w:hAnsi="宋体" w:eastAsia="宋体" w:cs="Times New Roman"/>
          <w:color w:val="auto"/>
          <w:sz w:val="24"/>
          <w:szCs w:val="24"/>
          <w:highlight w:val="none"/>
          <w:u w:val="none"/>
        </w:rPr>
        <w:t>国家</w:t>
      </w:r>
      <w:r>
        <w:rPr>
          <w:rFonts w:hint="eastAsia" w:ascii="宋体" w:hAnsi="宋体" w:cs="Times New Roman"/>
          <w:color w:val="auto"/>
          <w:sz w:val="24"/>
          <w:szCs w:val="24"/>
          <w:highlight w:val="none"/>
          <w:u w:val="none"/>
          <w:lang w:val="en-US" w:eastAsia="zh-CN"/>
        </w:rPr>
        <w:t>或行业</w:t>
      </w:r>
      <w:r>
        <w:rPr>
          <w:rFonts w:hint="eastAsia" w:ascii="宋体" w:hAnsi="宋体" w:eastAsia="宋体" w:cs="Times New Roman"/>
          <w:color w:val="auto"/>
          <w:sz w:val="24"/>
          <w:szCs w:val="24"/>
          <w:highlight w:val="none"/>
          <w:u w:val="none"/>
        </w:rPr>
        <w:t>现行有关规范或标准</w:t>
      </w:r>
      <w:r>
        <w:rPr>
          <w:rFonts w:hint="eastAsia" w:ascii="宋体" w:hAnsi="宋体" w:cs="Times New Roman"/>
          <w:color w:val="auto"/>
          <w:sz w:val="24"/>
          <w:szCs w:val="24"/>
          <w:highlight w:val="none"/>
          <w:u w:val="none"/>
          <w:lang w:eastAsia="zh-CN"/>
        </w:rPr>
        <w:t>（</w:t>
      </w:r>
      <w:r>
        <w:rPr>
          <w:rFonts w:hint="eastAsia" w:ascii="宋体" w:hAnsi="宋体" w:cs="Times New Roman"/>
          <w:color w:val="auto"/>
          <w:sz w:val="24"/>
          <w:szCs w:val="24"/>
          <w:highlight w:val="none"/>
          <w:u w:val="none"/>
          <w:lang w:val="en-US" w:eastAsia="zh-CN"/>
        </w:rPr>
        <w:t>可参见招标公告附件</w:t>
      </w:r>
      <w:r>
        <w:rPr>
          <w:rFonts w:hint="eastAsia" w:ascii="宋体" w:hAnsi="宋体" w:cs="Times New Roman"/>
          <w:color w:val="auto"/>
          <w:sz w:val="24"/>
          <w:szCs w:val="24"/>
          <w:highlight w:val="none"/>
          <w:u w:val="none"/>
          <w:lang w:eastAsia="zh-CN"/>
        </w:rPr>
        <w:t>）</w:t>
      </w:r>
      <w:r>
        <w:rPr>
          <w:rFonts w:hint="eastAsia" w:ascii="宋体" w:hAnsi="宋体" w:eastAsia="宋体" w:cs="Times New Roman"/>
          <w:color w:val="auto"/>
          <w:sz w:val="24"/>
          <w:szCs w:val="24"/>
          <w:highlight w:val="none"/>
          <w:u w:val="none"/>
        </w:rPr>
        <w:t>。</w:t>
      </w:r>
    </w:p>
    <w:p w14:paraId="59DB1E02">
      <w:pPr>
        <w:widowControl/>
        <w:ind w:firstLine="482"/>
        <w:rPr>
          <w:rFonts w:hint="eastAsia" w:asciiTheme="minorEastAsia" w:hAnsiTheme="minorEastAsia" w:eastAsiaTheme="minorEastAsia" w:cstheme="minorEastAsia"/>
          <w:color w:val="auto"/>
          <w:sz w:val="24"/>
          <w:szCs w:val="24"/>
        </w:rPr>
      </w:pPr>
    </w:p>
    <w:p w14:paraId="0D160F85">
      <w:p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4.其他要求</w:t>
      </w:r>
    </w:p>
    <w:p w14:paraId="7415DD13">
      <w:pPr>
        <w:spacing w:line="276" w:lineRule="auto"/>
        <w:ind w:left="4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6BD5675C">
      <w:pPr>
        <w:spacing w:line="276" w:lineRule="auto"/>
        <w:ind w:left="420"/>
        <w:rPr>
          <w:rFonts w:hint="eastAsia" w:asciiTheme="minorEastAsia" w:hAnsiTheme="minorEastAsia" w:eastAsiaTheme="minorEastAsia" w:cstheme="minorEastAsia"/>
          <w:color w:val="auto"/>
          <w:sz w:val="24"/>
          <w:szCs w:val="24"/>
        </w:rPr>
      </w:pPr>
    </w:p>
    <w:p w14:paraId="29155C04">
      <w:pPr>
        <w:numPr>
          <w:ilvl w:val="0"/>
          <w:numId w:val="12"/>
        </w:numPr>
        <w:tabs>
          <w:tab w:val="clear" w:pos="312"/>
        </w:tabs>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实质性要求</w:t>
      </w:r>
      <w:r>
        <w:rPr>
          <w:rFonts w:hint="eastAsia" w:asciiTheme="minorEastAsia" w:hAnsiTheme="minorEastAsia" w:eastAsiaTheme="minorEastAsia" w:cstheme="minorEastAsia"/>
          <w:color w:val="auto"/>
          <w:sz w:val="24"/>
          <w:szCs w:val="24"/>
          <w:lang w:val="en-US" w:eastAsia="zh-CN"/>
        </w:rPr>
        <w:t xml:space="preserve">  </w:t>
      </w:r>
    </w:p>
    <w:p w14:paraId="41EB205D">
      <w:pPr>
        <w:numPr>
          <w:ilvl w:val="0"/>
          <w:numId w:val="0"/>
        </w:numPr>
        <w:spacing w:line="276" w:lineRule="auto"/>
        <w:rPr>
          <w:rFonts w:hint="eastAsia" w:asciiTheme="minorEastAsia" w:hAnsiTheme="minorEastAsia" w:eastAsiaTheme="minorEastAsia" w:cstheme="minorEastAsia"/>
          <w:color w:val="auto"/>
          <w:sz w:val="24"/>
          <w:szCs w:val="24"/>
        </w:rPr>
      </w:pPr>
    </w:p>
    <w:tbl>
      <w:tblPr>
        <w:tblStyle w:val="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586"/>
        <w:gridCol w:w="1699"/>
        <w:gridCol w:w="3240"/>
        <w:gridCol w:w="2997"/>
      </w:tblGrid>
      <w:tr w14:paraId="607DC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567F994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序号</w:t>
            </w:r>
          </w:p>
        </w:tc>
        <w:tc>
          <w:tcPr>
            <w:tcW w:w="1699" w:type="dxa"/>
            <w:shd w:val="clear" w:color="auto" w:fill="auto"/>
            <w:noWrap w:val="0"/>
            <w:vAlign w:val="center"/>
          </w:tcPr>
          <w:p w14:paraId="35676C3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b/>
                <w:bCs/>
                <w:i w:val="0"/>
                <w:iCs w:val="0"/>
                <w:color w:val="auto"/>
                <w:sz w:val="21"/>
                <w:szCs w:val="21"/>
                <w:u w:val="none"/>
                <w:lang w:val="en-US"/>
              </w:rPr>
            </w:pPr>
            <w:r>
              <w:rPr>
                <w:rFonts w:hint="eastAsia" w:ascii="宋体" w:hAnsi="宋体" w:eastAsia="宋体" w:cs="宋体"/>
                <w:b/>
                <w:bCs/>
                <w:i w:val="0"/>
                <w:iCs w:val="0"/>
                <w:color w:val="auto"/>
                <w:sz w:val="21"/>
                <w:szCs w:val="21"/>
                <w:u w:val="none"/>
                <w:lang w:val="en-US" w:eastAsia="zh-CN" w:bidi="ar"/>
              </w:rPr>
              <w:t>设备名称</w:t>
            </w:r>
            <w:r>
              <w:rPr>
                <w:rFonts w:hint="eastAsia" w:ascii="宋体" w:hAnsi="宋体" w:cs="宋体"/>
                <w:b/>
                <w:bCs/>
                <w:i w:val="0"/>
                <w:iCs w:val="0"/>
                <w:color w:val="auto"/>
                <w:sz w:val="21"/>
                <w:szCs w:val="21"/>
                <w:u w:val="none"/>
                <w:lang w:val="en-US" w:eastAsia="zh-CN" w:bidi="ar"/>
              </w:rPr>
              <w:t>或其它</w:t>
            </w:r>
          </w:p>
        </w:tc>
        <w:tc>
          <w:tcPr>
            <w:tcW w:w="3240" w:type="dxa"/>
            <w:shd w:val="clear" w:color="auto" w:fill="auto"/>
            <w:noWrap w:val="0"/>
            <w:vAlign w:val="center"/>
          </w:tcPr>
          <w:p w14:paraId="6C91944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b/>
                <w:bCs/>
                <w:i w:val="0"/>
                <w:iCs w:val="0"/>
                <w:color w:val="auto"/>
                <w:sz w:val="21"/>
                <w:szCs w:val="21"/>
                <w:u w:val="none"/>
                <w:lang w:val="en-US"/>
              </w:rPr>
            </w:pPr>
            <w:r>
              <w:rPr>
                <w:rFonts w:hint="eastAsia" w:ascii="宋体" w:hAnsi="宋体" w:cs="宋体"/>
                <w:b/>
                <w:bCs/>
                <w:i w:val="0"/>
                <w:iCs w:val="0"/>
                <w:color w:val="auto"/>
                <w:sz w:val="21"/>
                <w:szCs w:val="21"/>
                <w:u w:val="none"/>
                <w:lang w:val="en-US" w:eastAsia="zh-CN" w:bidi="ar"/>
              </w:rPr>
              <w:t>技术参数或要求</w:t>
            </w:r>
          </w:p>
        </w:tc>
        <w:tc>
          <w:tcPr>
            <w:tcW w:w="2997" w:type="dxa"/>
            <w:shd w:val="clear" w:color="auto" w:fill="auto"/>
            <w:noWrap w:val="0"/>
            <w:vAlign w:val="center"/>
          </w:tcPr>
          <w:p w14:paraId="7FC2076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b/>
                <w:bCs/>
                <w:i w:val="0"/>
                <w:iCs w:val="0"/>
                <w:color w:val="auto"/>
                <w:sz w:val="21"/>
                <w:szCs w:val="21"/>
                <w:u w:val="none"/>
                <w:lang w:val="en-US"/>
              </w:rPr>
            </w:pPr>
            <w:r>
              <w:rPr>
                <w:rFonts w:hint="eastAsia" w:ascii="宋体" w:hAnsi="宋体" w:cs="宋体"/>
                <w:b/>
                <w:bCs/>
                <w:i w:val="0"/>
                <w:iCs w:val="0"/>
                <w:color w:val="auto"/>
                <w:sz w:val="21"/>
                <w:szCs w:val="21"/>
                <w:u w:val="none"/>
                <w:lang w:val="en-US" w:eastAsia="zh-CN" w:bidi="ar"/>
              </w:rPr>
              <w:t>证明材料</w:t>
            </w:r>
          </w:p>
        </w:tc>
      </w:tr>
      <w:tr w14:paraId="61F4D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0"/>
            <w:vAlign w:val="center"/>
          </w:tcPr>
          <w:p w14:paraId="4666C60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w:t>
            </w:r>
          </w:p>
        </w:tc>
        <w:tc>
          <w:tcPr>
            <w:tcW w:w="4939" w:type="dxa"/>
            <w:gridSpan w:val="2"/>
            <w:shd w:val="clear" w:color="auto" w:fill="auto"/>
            <w:noWrap w:val="0"/>
            <w:vAlign w:val="center"/>
          </w:tcPr>
          <w:p w14:paraId="2ED90538">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大报告厅</w:t>
            </w:r>
          </w:p>
        </w:tc>
        <w:tc>
          <w:tcPr>
            <w:tcW w:w="2997" w:type="dxa"/>
            <w:shd w:val="clear" w:color="auto" w:fill="auto"/>
            <w:noWrap w:val="0"/>
            <w:vAlign w:val="center"/>
          </w:tcPr>
          <w:p w14:paraId="67BE219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6A1D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0"/>
            <w:vAlign w:val="center"/>
          </w:tcPr>
          <w:p w14:paraId="67E7A50A">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4939" w:type="dxa"/>
            <w:gridSpan w:val="2"/>
            <w:shd w:val="clear" w:color="auto" w:fill="auto"/>
            <w:noWrap w:val="0"/>
            <w:vAlign w:val="center"/>
          </w:tcPr>
          <w:p w14:paraId="3D2826E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舞台音响系统</w:t>
            </w:r>
          </w:p>
        </w:tc>
        <w:tc>
          <w:tcPr>
            <w:tcW w:w="2997" w:type="dxa"/>
            <w:shd w:val="clear" w:color="auto" w:fill="auto"/>
            <w:noWrap w:val="0"/>
            <w:vAlign w:val="center"/>
          </w:tcPr>
          <w:p w14:paraId="5A080F0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29990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2A37A44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5FF1253D">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左右主扩线阵全频音箱</w:t>
            </w:r>
            <w:r>
              <w:rPr>
                <w:rFonts w:hint="eastAsia" w:ascii="宋体" w:hAnsi="宋体" w:cs="宋体"/>
                <w:i w:val="0"/>
                <w:iCs w:val="0"/>
                <w:color w:val="auto"/>
                <w:sz w:val="21"/>
                <w:szCs w:val="21"/>
                <w:u w:val="none"/>
                <w:lang w:val="en-US" w:eastAsia="zh-CN" w:bidi="ar"/>
              </w:rPr>
              <w:t>、</w:t>
            </w:r>
            <w:r>
              <w:rPr>
                <w:rFonts w:hint="eastAsia" w:ascii="宋体" w:hAnsi="宋体" w:eastAsia="宋体" w:cs="宋体"/>
                <w:i w:val="0"/>
                <w:iCs w:val="0"/>
                <w:color w:val="auto"/>
                <w:sz w:val="21"/>
                <w:szCs w:val="21"/>
                <w:u w:val="none"/>
                <w:lang w:val="en-US" w:eastAsia="zh-CN" w:bidi="ar"/>
              </w:rPr>
              <w:t>中置主扩线阵全频音箱</w:t>
            </w:r>
          </w:p>
        </w:tc>
        <w:tc>
          <w:tcPr>
            <w:tcW w:w="3240" w:type="dxa"/>
            <w:shd w:val="clear" w:color="auto" w:fill="auto"/>
            <w:noWrap w:val="0"/>
            <w:vAlign w:val="center"/>
          </w:tcPr>
          <w:p w14:paraId="3858032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）（额定阻抗为8Ω时）：≥600W。</w:t>
            </w:r>
          </w:p>
        </w:tc>
        <w:tc>
          <w:tcPr>
            <w:tcW w:w="2997" w:type="dxa"/>
            <w:vMerge w:val="restart"/>
            <w:shd w:val="clear" w:color="auto" w:fill="auto"/>
            <w:noWrap w:val="0"/>
            <w:vAlign w:val="center"/>
          </w:tcPr>
          <w:p w14:paraId="6A4F1BB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08FB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1EEE458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c>
          <w:tcPr>
            <w:tcW w:w="1699" w:type="dxa"/>
            <w:vMerge w:val="continue"/>
            <w:shd w:val="clear" w:color="auto" w:fill="auto"/>
            <w:noWrap w:val="0"/>
            <w:vAlign w:val="center"/>
          </w:tcPr>
          <w:p w14:paraId="72DFE89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i w:val="0"/>
                <w:iCs w:val="0"/>
                <w:color w:val="auto"/>
                <w:sz w:val="21"/>
                <w:szCs w:val="21"/>
                <w:u w:val="none"/>
                <w:lang w:val="en-US"/>
              </w:rPr>
            </w:pPr>
          </w:p>
        </w:tc>
        <w:tc>
          <w:tcPr>
            <w:tcW w:w="3240" w:type="dxa"/>
            <w:shd w:val="clear" w:color="auto" w:fill="auto"/>
            <w:noWrap w:val="0"/>
            <w:vAlign w:val="center"/>
          </w:tcPr>
          <w:p w14:paraId="482CAB0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指定频带内的声压级（指持续声压级）：≥129 dB±2 dB。</w:t>
            </w:r>
          </w:p>
        </w:tc>
        <w:tc>
          <w:tcPr>
            <w:tcW w:w="2997" w:type="dxa"/>
            <w:vMerge w:val="continue"/>
            <w:shd w:val="clear" w:color="auto" w:fill="auto"/>
            <w:noWrap w:val="0"/>
            <w:vAlign w:val="center"/>
          </w:tcPr>
          <w:p w14:paraId="05E02A3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7350C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3A9E060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2</w:t>
            </w:r>
          </w:p>
        </w:tc>
        <w:tc>
          <w:tcPr>
            <w:tcW w:w="1699" w:type="dxa"/>
            <w:vMerge w:val="restart"/>
            <w:shd w:val="clear" w:color="auto" w:fill="auto"/>
            <w:noWrap w:val="0"/>
            <w:vAlign w:val="center"/>
          </w:tcPr>
          <w:p w14:paraId="4B5881E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拉声像音箱</w:t>
            </w:r>
          </w:p>
        </w:tc>
        <w:tc>
          <w:tcPr>
            <w:tcW w:w="3240" w:type="dxa"/>
            <w:shd w:val="clear" w:color="auto" w:fill="auto"/>
            <w:noWrap w:val="0"/>
            <w:vAlign w:val="center"/>
          </w:tcPr>
          <w:p w14:paraId="007BB3C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）（额定阻抗为8Ω时）：≥500W。</w:t>
            </w:r>
          </w:p>
        </w:tc>
        <w:tc>
          <w:tcPr>
            <w:tcW w:w="2997" w:type="dxa"/>
            <w:vMerge w:val="restart"/>
            <w:shd w:val="clear" w:color="auto" w:fill="auto"/>
            <w:noWrap w:val="0"/>
            <w:vAlign w:val="center"/>
          </w:tcPr>
          <w:p w14:paraId="12A36EAF">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SA"/>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636B0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29FC78B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rPr>
            </w:pPr>
          </w:p>
        </w:tc>
        <w:tc>
          <w:tcPr>
            <w:tcW w:w="1699" w:type="dxa"/>
            <w:vMerge w:val="continue"/>
            <w:shd w:val="clear" w:color="auto" w:fill="auto"/>
            <w:noWrap w:val="0"/>
            <w:vAlign w:val="center"/>
          </w:tcPr>
          <w:p w14:paraId="5CF9FFA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SA"/>
              </w:rPr>
            </w:pPr>
          </w:p>
        </w:tc>
        <w:tc>
          <w:tcPr>
            <w:tcW w:w="3240" w:type="dxa"/>
            <w:shd w:val="clear" w:color="auto" w:fill="auto"/>
            <w:noWrap w:val="0"/>
            <w:vAlign w:val="center"/>
          </w:tcPr>
          <w:p w14:paraId="56AA3BF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SA"/>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指定频带内的声压级（指持续声压级）：≥127 dB±2 dB。</w:t>
            </w:r>
          </w:p>
        </w:tc>
        <w:tc>
          <w:tcPr>
            <w:tcW w:w="2997" w:type="dxa"/>
            <w:vMerge w:val="continue"/>
            <w:shd w:val="clear" w:color="auto" w:fill="auto"/>
            <w:noWrap w:val="0"/>
            <w:vAlign w:val="center"/>
          </w:tcPr>
          <w:p w14:paraId="2075599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SA"/>
              </w:rPr>
            </w:pPr>
          </w:p>
        </w:tc>
      </w:tr>
      <w:tr w14:paraId="550B0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23FDA9BF">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3</w:t>
            </w:r>
          </w:p>
        </w:tc>
        <w:tc>
          <w:tcPr>
            <w:tcW w:w="1699" w:type="dxa"/>
            <w:vMerge w:val="restart"/>
            <w:shd w:val="clear" w:color="auto" w:fill="auto"/>
            <w:noWrap w:val="0"/>
            <w:vAlign w:val="center"/>
          </w:tcPr>
          <w:p w14:paraId="3C3C436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超低音箱</w:t>
            </w:r>
          </w:p>
        </w:tc>
        <w:tc>
          <w:tcPr>
            <w:tcW w:w="3240" w:type="dxa"/>
            <w:shd w:val="clear" w:color="auto" w:fill="auto"/>
            <w:noWrap w:val="0"/>
            <w:vAlign w:val="center"/>
          </w:tcPr>
          <w:p w14:paraId="282C57A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）（额定阻抗为8Ω时）：≥800W。</w:t>
            </w:r>
          </w:p>
        </w:tc>
        <w:tc>
          <w:tcPr>
            <w:tcW w:w="2997" w:type="dxa"/>
            <w:vMerge w:val="restart"/>
            <w:shd w:val="clear" w:color="auto" w:fill="auto"/>
            <w:noWrap w:val="0"/>
            <w:vAlign w:val="center"/>
          </w:tcPr>
          <w:p w14:paraId="7FF80A5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2FFDF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55EA744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SA"/>
              </w:rPr>
            </w:pPr>
          </w:p>
        </w:tc>
        <w:tc>
          <w:tcPr>
            <w:tcW w:w="1699" w:type="dxa"/>
            <w:vMerge w:val="continue"/>
            <w:shd w:val="clear" w:color="auto" w:fill="auto"/>
            <w:noWrap w:val="0"/>
            <w:vAlign w:val="center"/>
          </w:tcPr>
          <w:p w14:paraId="18323EC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66893F3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指定频带内的声压级（指持续声压级）：≥120 dB±2 dB。</w:t>
            </w:r>
          </w:p>
        </w:tc>
        <w:tc>
          <w:tcPr>
            <w:tcW w:w="2997" w:type="dxa"/>
            <w:vMerge w:val="continue"/>
            <w:shd w:val="clear" w:color="auto" w:fill="auto"/>
            <w:noWrap w:val="0"/>
            <w:vAlign w:val="center"/>
          </w:tcPr>
          <w:p w14:paraId="10B72CAF">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p>
        </w:tc>
      </w:tr>
      <w:tr w14:paraId="7826B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3E3F86B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4</w:t>
            </w:r>
          </w:p>
        </w:tc>
        <w:tc>
          <w:tcPr>
            <w:tcW w:w="1699" w:type="dxa"/>
            <w:vMerge w:val="restart"/>
            <w:shd w:val="clear" w:color="auto" w:fill="auto"/>
            <w:noWrap w:val="0"/>
            <w:vAlign w:val="center"/>
          </w:tcPr>
          <w:p w14:paraId="5837867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返听音箱</w:t>
            </w:r>
          </w:p>
        </w:tc>
        <w:tc>
          <w:tcPr>
            <w:tcW w:w="3240" w:type="dxa"/>
            <w:shd w:val="clear" w:color="auto" w:fill="auto"/>
            <w:noWrap w:val="0"/>
            <w:vAlign w:val="center"/>
          </w:tcPr>
          <w:p w14:paraId="2941007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）（额定阻抗为8Ω时）：≥450W。</w:t>
            </w:r>
          </w:p>
        </w:tc>
        <w:tc>
          <w:tcPr>
            <w:tcW w:w="2997" w:type="dxa"/>
            <w:vMerge w:val="restart"/>
            <w:shd w:val="clear" w:color="auto" w:fill="auto"/>
            <w:noWrap w:val="0"/>
            <w:vAlign w:val="center"/>
          </w:tcPr>
          <w:p w14:paraId="47BF9E7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437DB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1F740E0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0F92A58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i w:val="0"/>
                <w:iCs w:val="0"/>
                <w:color w:val="auto"/>
                <w:sz w:val="21"/>
                <w:szCs w:val="21"/>
                <w:u w:val="none"/>
                <w:lang w:val="en-US" w:eastAsia="zh-CN"/>
              </w:rPr>
            </w:pPr>
          </w:p>
        </w:tc>
        <w:tc>
          <w:tcPr>
            <w:tcW w:w="3240" w:type="dxa"/>
            <w:shd w:val="clear" w:color="auto" w:fill="auto"/>
            <w:noWrap w:val="0"/>
            <w:vAlign w:val="center"/>
          </w:tcPr>
          <w:p w14:paraId="48B20E8D">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指定频带内的声压级（指持续声压级）：≥125 dB±2 dB。</w:t>
            </w:r>
          </w:p>
        </w:tc>
        <w:tc>
          <w:tcPr>
            <w:tcW w:w="2997" w:type="dxa"/>
            <w:vMerge w:val="continue"/>
            <w:shd w:val="clear" w:color="auto" w:fill="auto"/>
            <w:noWrap w:val="0"/>
            <w:vAlign w:val="center"/>
          </w:tcPr>
          <w:p w14:paraId="30118CE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10D4D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577FB17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SA"/>
              </w:rPr>
            </w:pPr>
            <w:r>
              <w:rPr>
                <w:rFonts w:hint="eastAsia" w:ascii="宋体" w:hAnsi="宋体" w:cs="宋体"/>
                <w:i w:val="0"/>
                <w:iCs w:val="0"/>
                <w:color w:val="auto"/>
                <w:sz w:val="21"/>
                <w:szCs w:val="21"/>
                <w:u w:val="none"/>
                <w:lang w:val="en-US" w:eastAsia="zh-CN" w:bidi="ar"/>
              </w:rPr>
              <w:t>5</w:t>
            </w:r>
          </w:p>
        </w:tc>
        <w:tc>
          <w:tcPr>
            <w:tcW w:w="1699" w:type="dxa"/>
            <w:vMerge w:val="restart"/>
            <w:shd w:val="clear" w:color="auto" w:fill="auto"/>
            <w:noWrap w:val="0"/>
            <w:vAlign w:val="center"/>
          </w:tcPr>
          <w:p w14:paraId="63DAE9C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台唇音箱</w:t>
            </w:r>
          </w:p>
        </w:tc>
        <w:tc>
          <w:tcPr>
            <w:tcW w:w="3240" w:type="dxa"/>
            <w:shd w:val="clear" w:color="auto" w:fill="auto"/>
            <w:noWrap w:val="0"/>
            <w:vAlign w:val="center"/>
          </w:tcPr>
          <w:p w14:paraId="703425D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）（额定阻抗为8Ω时）：≥400W。</w:t>
            </w:r>
          </w:p>
        </w:tc>
        <w:tc>
          <w:tcPr>
            <w:tcW w:w="2997" w:type="dxa"/>
            <w:vMerge w:val="restart"/>
            <w:shd w:val="clear" w:color="auto" w:fill="auto"/>
            <w:noWrap w:val="0"/>
            <w:vAlign w:val="center"/>
          </w:tcPr>
          <w:p w14:paraId="7ED0C5D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128E1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0FBB0AE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SA"/>
              </w:rPr>
            </w:pPr>
          </w:p>
        </w:tc>
        <w:tc>
          <w:tcPr>
            <w:tcW w:w="1699" w:type="dxa"/>
            <w:vMerge w:val="continue"/>
            <w:shd w:val="clear" w:color="auto" w:fill="auto"/>
            <w:noWrap w:val="0"/>
            <w:vAlign w:val="center"/>
          </w:tcPr>
          <w:p w14:paraId="0E0506B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418BFC8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w:t>
            </w:r>
          </w:p>
        </w:tc>
        <w:tc>
          <w:tcPr>
            <w:tcW w:w="2997" w:type="dxa"/>
            <w:vMerge w:val="continue"/>
            <w:shd w:val="clear" w:color="auto" w:fill="auto"/>
            <w:noWrap w:val="0"/>
            <w:vAlign w:val="center"/>
          </w:tcPr>
          <w:p w14:paraId="25A5AF3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r>
      <w:tr w14:paraId="739E0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586" w:type="dxa"/>
            <w:vMerge w:val="restart"/>
            <w:shd w:val="clear" w:color="auto" w:fill="auto"/>
            <w:noWrap w:val="0"/>
            <w:vAlign w:val="center"/>
          </w:tcPr>
          <w:p w14:paraId="6FFCE254">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6</w:t>
            </w:r>
          </w:p>
        </w:tc>
        <w:tc>
          <w:tcPr>
            <w:tcW w:w="1699" w:type="dxa"/>
            <w:vMerge w:val="restart"/>
            <w:shd w:val="clear" w:color="auto" w:fill="auto"/>
            <w:noWrap w:val="0"/>
            <w:vAlign w:val="center"/>
          </w:tcPr>
          <w:p w14:paraId="52AA4AFB">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主扩线阵全频音箱功放</w:t>
            </w:r>
            <w:r>
              <w:rPr>
                <w:rFonts w:hint="eastAsia" w:ascii="宋体" w:hAnsi="宋体" w:cs="宋体"/>
                <w:i w:val="0"/>
                <w:iCs w:val="0"/>
                <w:color w:val="auto"/>
                <w:sz w:val="21"/>
                <w:szCs w:val="21"/>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t>中央声道音箱功放</w:t>
            </w:r>
            <w:r>
              <w:rPr>
                <w:rFonts w:hint="eastAsia" w:ascii="宋体" w:hAnsi="宋体" w:cs="宋体"/>
                <w:b w:val="0"/>
                <w:bCs w:val="0"/>
                <w:i w:val="0"/>
                <w:iCs w:val="0"/>
                <w:color w:val="auto"/>
                <w:sz w:val="21"/>
                <w:szCs w:val="21"/>
                <w:highlight w:val="none"/>
                <w:u w:val="none"/>
                <w:lang w:val="en-US" w:eastAsia="zh-CN" w:bidi="ar"/>
              </w:rPr>
              <w:t>、</w:t>
            </w:r>
            <w:r>
              <w:rPr>
                <w:rFonts w:hint="eastAsia" w:ascii="宋体" w:hAnsi="宋体" w:eastAsia="宋体" w:cs="宋体"/>
                <w:b w:val="0"/>
                <w:bCs w:val="0"/>
                <w:i w:val="0"/>
                <w:iCs w:val="0"/>
                <w:color w:val="auto"/>
                <w:sz w:val="21"/>
                <w:szCs w:val="21"/>
                <w:highlight w:val="none"/>
                <w:u w:val="none"/>
                <w:lang w:val="en-US" w:eastAsia="zh-CN" w:bidi="ar"/>
              </w:rPr>
              <w:t>超低音箱功放</w:t>
            </w:r>
          </w:p>
        </w:tc>
        <w:tc>
          <w:tcPr>
            <w:tcW w:w="3240" w:type="dxa"/>
            <w:shd w:val="clear" w:color="auto" w:fill="auto"/>
            <w:noWrap w:val="0"/>
            <w:vAlign w:val="center"/>
          </w:tcPr>
          <w:p w14:paraId="7570F9B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(8Ω)2400W×2；</w:t>
            </w:r>
          </w:p>
        </w:tc>
        <w:tc>
          <w:tcPr>
            <w:tcW w:w="2997" w:type="dxa"/>
            <w:shd w:val="clear" w:color="auto" w:fill="auto"/>
            <w:noWrap w:val="0"/>
            <w:vAlign w:val="center"/>
          </w:tcPr>
          <w:p w14:paraId="62773B6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5B39D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0" w:hRule="atLeast"/>
        </w:trPr>
        <w:tc>
          <w:tcPr>
            <w:tcW w:w="586" w:type="dxa"/>
            <w:vMerge w:val="restart"/>
            <w:shd w:val="clear" w:color="auto" w:fill="auto"/>
            <w:noWrap w:val="0"/>
            <w:vAlign w:val="center"/>
          </w:tcPr>
          <w:p w14:paraId="4349A490">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7</w:t>
            </w:r>
          </w:p>
        </w:tc>
        <w:tc>
          <w:tcPr>
            <w:tcW w:w="1699" w:type="dxa"/>
            <w:vMerge w:val="restart"/>
            <w:shd w:val="clear" w:color="auto" w:fill="auto"/>
            <w:noWrap w:val="0"/>
            <w:vAlign w:val="center"/>
          </w:tcPr>
          <w:p w14:paraId="18C5E09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拉声像音箱功放</w:t>
            </w:r>
          </w:p>
        </w:tc>
        <w:tc>
          <w:tcPr>
            <w:tcW w:w="3240" w:type="dxa"/>
            <w:shd w:val="clear" w:color="auto" w:fill="auto"/>
            <w:noWrap w:val="0"/>
            <w:vAlign w:val="center"/>
          </w:tcPr>
          <w:p w14:paraId="634F77E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(8Ω)1</w:t>
            </w:r>
            <w:r>
              <w:rPr>
                <w:rFonts w:hint="eastAsia" w:ascii="宋体" w:hAnsi="宋体" w:cs="宋体"/>
                <w:b w:val="0"/>
                <w:bCs w:val="0"/>
                <w:i w:val="0"/>
                <w:iCs w:val="0"/>
                <w:color w:val="auto"/>
                <w:sz w:val="21"/>
                <w:szCs w:val="21"/>
                <w:highlight w:val="none"/>
                <w:u w:val="none"/>
                <w:lang w:val="en-US" w:eastAsia="zh-CN" w:bidi="ar"/>
              </w:rPr>
              <w:t>0</w:t>
            </w:r>
            <w:r>
              <w:rPr>
                <w:rFonts w:hint="eastAsia" w:ascii="宋体" w:hAnsi="宋体" w:eastAsia="宋体" w:cs="宋体"/>
                <w:b w:val="0"/>
                <w:bCs w:val="0"/>
                <w:i w:val="0"/>
                <w:iCs w:val="0"/>
                <w:color w:val="auto"/>
                <w:sz w:val="21"/>
                <w:szCs w:val="21"/>
                <w:highlight w:val="none"/>
                <w:u w:val="none"/>
                <w:lang w:val="en-US" w:eastAsia="zh-CN" w:bidi="ar"/>
              </w:rPr>
              <w:t>00W×2；</w:t>
            </w:r>
          </w:p>
        </w:tc>
        <w:tc>
          <w:tcPr>
            <w:tcW w:w="2997" w:type="dxa"/>
            <w:shd w:val="clear" w:color="auto" w:fill="auto"/>
            <w:noWrap w:val="0"/>
            <w:vAlign w:val="center"/>
          </w:tcPr>
          <w:p w14:paraId="529468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151B1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0" w:hRule="atLeast"/>
        </w:trPr>
        <w:tc>
          <w:tcPr>
            <w:tcW w:w="586" w:type="dxa"/>
            <w:shd w:val="clear" w:color="auto" w:fill="auto"/>
            <w:noWrap w:val="0"/>
            <w:vAlign w:val="center"/>
          </w:tcPr>
          <w:p w14:paraId="126371C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8</w:t>
            </w:r>
          </w:p>
        </w:tc>
        <w:tc>
          <w:tcPr>
            <w:tcW w:w="1699" w:type="dxa"/>
            <w:shd w:val="clear" w:color="auto" w:fill="auto"/>
            <w:noWrap w:val="0"/>
            <w:vAlign w:val="center"/>
          </w:tcPr>
          <w:p w14:paraId="6C0E999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返听音箱四通道功放</w:t>
            </w:r>
            <w:r>
              <w:rPr>
                <w:rFonts w:hint="eastAsia" w:ascii="宋体" w:hAnsi="宋体" w:cs="宋体"/>
                <w:i w:val="0"/>
                <w:iCs w:val="0"/>
                <w:color w:val="auto"/>
                <w:sz w:val="21"/>
                <w:szCs w:val="21"/>
                <w:u w:val="none"/>
                <w:lang w:val="en-US" w:eastAsia="zh-CN" w:bidi="ar"/>
              </w:rPr>
              <w:t>、</w:t>
            </w:r>
            <w:r>
              <w:rPr>
                <w:rFonts w:hint="eastAsia" w:ascii="宋体" w:hAnsi="宋体" w:eastAsia="宋体" w:cs="宋体"/>
                <w:i w:val="0"/>
                <w:iCs w:val="0"/>
                <w:color w:val="auto"/>
                <w:sz w:val="21"/>
                <w:szCs w:val="21"/>
                <w:u w:val="none"/>
                <w:lang w:val="en-US" w:eastAsia="zh-CN" w:bidi="ar"/>
              </w:rPr>
              <w:t>台唇音箱四通道功放</w:t>
            </w:r>
          </w:p>
        </w:tc>
        <w:tc>
          <w:tcPr>
            <w:tcW w:w="3240" w:type="dxa"/>
            <w:shd w:val="clear" w:color="auto" w:fill="auto"/>
            <w:noWrap w:val="0"/>
            <w:vAlign w:val="center"/>
          </w:tcPr>
          <w:p w14:paraId="257B0B9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p>
          <w:p w14:paraId="64CEA988">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p>
        </w:tc>
        <w:tc>
          <w:tcPr>
            <w:tcW w:w="2997" w:type="dxa"/>
            <w:shd w:val="clear" w:color="auto" w:fill="auto"/>
            <w:noWrap w:val="0"/>
            <w:vAlign w:val="center"/>
          </w:tcPr>
          <w:p w14:paraId="3D05BF6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724F6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42023FB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9</w:t>
            </w:r>
          </w:p>
        </w:tc>
        <w:tc>
          <w:tcPr>
            <w:tcW w:w="1699" w:type="dxa"/>
            <w:shd w:val="clear" w:color="auto" w:fill="auto"/>
            <w:noWrap w:val="0"/>
            <w:vAlign w:val="center"/>
          </w:tcPr>
          <w:p w14:paraId="2FBC1ED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数字调音台</w:t>
            </w:r>
          </w:p>
        </w:tc>
        <w:tc>
          <w:tcPr>
            <w:tcW w:w="3240" w:type="dxa"/>
            <w:shd w:val="clear" w:color="auto" w:fill="auto"/>
            <w:noWrap w:val="0"/>
            <w:vAlign w:val="center"/>
          </w:tcPr>
          <w:p w14:paraId="138338F9">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★1.≥32个话筒输入通道。</w:t>
            </w:r>
          </w:p>
        </w:tc>
        <w:tc>
          <w:tcPr>
            <w:tcW w:w="2997" w:type="dxa"/>
            <w:shd w:val="clear" w:color="auto" w:fill="auto"/>
            <w:noWrap w:val="0"/>
            <w:vAlign w:val="center"/>
          </w:tcPr>
          <w:p w14:paraId="18A5A1B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提供所投产品原厂技术白皮书</w:t>
            </w:r>
            <w:r>
              <w:rPr>
                <w:rFonts w:hint="eastAsia" w:ascii="宋体" w:hAnsi="宋体" w:cs="宋体"/>
                <w:b w:val="0"/>
                <w:bCs w:val="0"/>
                <w:i w:val="0"/>
                <w:iCs w:val="0"/>
                <w:color w:val="auto"/>
                <w:sz w:val="21"/>
                <w:szCs w:val="21"/>
                <w:highlight w:val="none"/>
                <w:u w:val="none"/>
                <w:lang w:val="en-US" w:eastAsia="zh-CN" w:bidi="ar"/>
              </w:rPr>
              <w:t>或官方规格书</w:t>
            </w:r>
            <w:r>
              <w:rPr>
                <w:rFonts w:hint="eastAsia" w:ascii="宋体" w:hAnsi="宋体" w:eastAsia="宋体" w:cs="宋体"/>
                <w:b w:val="0"/>
                <w:bCs w:val="0"/>
                <w:i w:val="0"/>
                <w:iCs w:val="0"/>
                <w:color w:val="auto"/>
                <w:sz w:val="21"/>
                <w:szCs w:val="21"/>
                <w:highlight w:val="none"/>
                <w:u w:val="none"/>
                <w:lang w:val="en-US" w:eastAsia="zh-CN" w:bidi="ar"/>
              </w:rPr>
              <w:t>。</w:t>
            </w:r>
          </w:p>
        </w:tc>
      </w:tr>
      <w:tr w14:paraId="72DF1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371AD96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C</w:t>
            </w:r>
          </w:p>
        </w:tc>
        <w:tc>
          <w:tcPr>
            <w:tcW w:w="4939" w:type="dxa"/>
            <w:gridSpan w:val="2"/>
            <w:shd w:val="clear" w:color="auto" w:fill="auto"/>
            <w:noWrap w:val="0"/>
            <w:vAlign w:val="center"/>
          </w:tcPr>
          <w:p w14:paraId="7E66A14B">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LED显示系统</w:t>
            </w:r>
          </w:p>
        </w:tc>
        <w:tc>
          <w:tcPr>
            <w:tcW w:w="2997" w:type="dxa"/>
            <w:shd w:val="clear" w:color="auto" w:fill="auto"/>
            <w:noWrap w:val="0"/>
            <w:vAlign w:val="center"/>
          </w:tcPr>
          <w:p w14:paraId="7744D19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372C2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2268BB5A">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c>
          <w:tcPr>
            <w:tcW w:w="1699" w:type="dxa"/>
            <w:shd w:val="clear" w:color="auto" w:fill="auto"/>
            <w:noWrap w:val="0"/>
            <w:vAlign w:val="center"/>
          </w:tcPr>
          <w:p w14:paraId="08103203">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主屏</w:t>
            </w:r>
          </w:p>
        </w:tc>
        <w:tc>
          <w:tcPr>
            <w:tcW w:w="3240" w:type="dxa"/>
            <w:shd w:val="clear" w:color="auto" w:fill="auto"/>
            <w:noWrap w:val="0"/>
            <w:vAlign w:val="center"/>
          </w:tcPr>
          <w:p w14:paraId="64B980D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c>
          <w:tcPr>
            <w:tcW w:w="2997" w:type="dxa"/>
            <w:shd w:val="clear" w:color="auto" w:fill="auto"/>
            <w:noWrap w:val="0"/>
            <w:vAlign w:val="center"/>
          </w:tcPr>
          <w:p w14:paraId="4C16BDF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4BD99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6E13BFC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697E88C9">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LED显示屏(核心产品)</w:t>
            </w:r>
          </w:p>
        </w:tc>
        <w:tc>
          <w:tcPr>
            <w:tcW w:w="3240" w:type="dxa"/>
            <w:shd w:val="clear" w:color="auto" w:fill="auto"/>
            <w:noWrap w:val="0"/>
            <w:vAlign w:val="center"/>
          </w:tcPr>
          <w:p w14:paraId="6176EBA9">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全彩LED显示屏，像素点间距≤2.</w:t>
            </w:r>
            <w:r>
              <w:rPr>
                <w:rFonts w:hint="eastAsia" w:asciiTheme="minorEastAsia" w:hAnsiTheme="minorEastAsia" w:eastAsiaTheme="minorEastAsia" w:cstheme="minorEastAsia"/>
                <w:b w:val="0"/>
                <w:bCs w:val="0"/>
                <w:color w:val="auto"/>
                <w:sz w:val="21"/>
                <w:szCs w:val="21"/>
                <w:highlight w:val="none"/>
                <w:u w:val="none"/>
                <w:lang w:val="en-US" w:eastAsia="zh-CN"/>
              </w:rPr>
              <w:t>5</w:t>
            </w:r>
            <w:r>
              <w:rPr>
                <w:rFonts w:hint="eastAsia" w:asciiTheme="minorEastAsia" w:hAnsiTheme="minorEastAsia" w:eastAsiaTheme="minorEastAsia" w:cstheme="minorEastAsia"/>
                <w:b w:val="0"/>
                <w:bCs w:val="0"/>
                <w:color w:val="auto"/>
                <w:sz w:val="21"/>
                <w:szCs w:val="21"/>
                <w:highlight w:val="none"/>
                <w:u w:val="none"/>
              </w:rPr>
              <w:t>mm。外形尺寸： 安装空间允许屏体最大外廓尺寸≈长12.48米*高4.96米计61.9平方。</w:t>
            </w:r>
          </w:p>
        </w:tc>
        <w:tc>
          <w:tcPr>
            <w:tcW w:w="2997" w:type="dxa"/>
            <w:shd w:val="clear" w:color="auto" w:fill="auto"/>
            <w:noWrap w:val="0"/>
            <w:vAlign w:val="center"/>
          </w:tcPr>
          <w:p w14:paraId="49EEA97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tc>
      </w:tr>
      <w:tr w14:paraId="5765C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6D5F98B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0374673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7A412C9E">
            <w:pPr>
              <w:keepNext w:val="0"/>
              <w:keepLines w:val="0"/>
              <w:pageBreakBefore w:val="0"/>
              <w:kinsoku/>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   </w:t>
            </w:r>
          </w:p>
          <w:p w14:paraId="0F8F325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u w:val="none"/>
                <w:lang w:val="en-US" w:eastAsia="zh-CN" w:bidi="ar"/>
              </w:rPr>
            </w:pPr>
          </w:p>
        </w:tc>
        <w:tc>
          <w:tcPr>
            <w:tcW w:w="2997" w:type="dxa"/>
            <w:shd w:val="clear" w:color="auto" w:fill="auto"/>
            <w:noWrap w:val="0"/>
            <w:vAlign w:val="center"/>
          </w:tcPr>
          <w:p w14:paraId="0B8B1C46">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提供以下之一：  </w:t>
            </w:r>
          </w:p>
          <w:p w14:paraId="3C5C9CF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2A32078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tc>
      </w:tr>
      <w:tr w14:paraId="60452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560F2C0C">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3CA52F5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242E9018">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2997" w:type="dxa"/>
            <w:shd w:val="clear" w:color="auto" w:fill="auto"/>
            <w:noWrap w:val="0"/>
            <w:vAlign w:val="center"/>
          </w:tcPr>
          <w:p w14:paraId="7BEAA6B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r>
      <w:tr w14:paraId="24143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0"/>
            <w:vAlign w:val="center"/>
          </w:tcPr>
          <w:p w14:paraId="6241925C">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D</w:t>
            </w:r>
          </w:p>
        </w:tc>
        <w:tc>
          <w:tcPr>
            <w:tcW w:w="4939" w:type="dxa"/>
            <w:gridSpan w:val="2"/>
            <w:shd w:val="clear" w:color="auto" w:fill="auto"/>
            <w:noWrap w:val="0"/>
            <w:vAlign w:val="center"/>
          </w:tcPr>
          <w:p w14:paraId="58F2AFA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舞台机械系统</w:t>
            </w:r>
          </w:p>
        </w:tc>
        <w:tc>
          <w:tcPr>
            <w:tcW w:w="2997" w:type="dxa"/>
            <w:shd w:val="clear" w:color="auto" w:fill="auto"/>
            <w:noWrap w:val="0"/>
            <w:vAlign w:val="center"/>
          </w:tcPr>
          <w:p w14:paraId="2B5FA6E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7BD3F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3EEAB97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1699" w:type="dxa"/>
            <w:shd w:val="clear" w:color="auto" w:fill="auto"/>
            <w:noWrap w:val="0"/>
            <w:vAlign w:val="center"/>
          </w:tcPr>
          <w:p w14:paraId="4899A3E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对开调速大幕机</w:t>
            </w:r>
          </w:p>
        </w:tc>
        <w:tc>
          <w:tcPr>
            <w:tcW w:w="3240" w:type="dxa"/>
            <w:shd w:val="clear" w:color="auto" w:fill="auto"/>
            <w:noWrap w:val="0"/>
            <w:vAlign w:val="center"/>
          </w:tcPr>
          <w:p w14:paraId="6AFD55E5">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i w:val="0"/>
                <w:iCs w:val="0"/>
                <w:color w:val="auto"/>
                <w:sz w:val="21"/>
                <w:szCs w:val="21"/>
                <w:highlight w:val="none"/>
                <w:u w:val="none"/>
                <w:lang w:val="en-US" w:eastAsia="zh-CN" w:bidi="ar"/>
              </w:rPr>
              <w:t>1.最大牵引：≥5KN。</w:t>
            </w:r>
          </w:p>
        </w:tc>
        <w:tc>
          <w:tcPr>
            <w:tcW w:w="2997" w:type="dxa"/>
            <w:vMerge w:val="restart"/>
            <w:shd w:val="clear" w:color="auto" w:fill="auto"/>
            <w:noWrap w:val="0"/>
            <w:vAlign w:val="center"/>
          </w:tcPr>
          <w:p w14:paraId="671B507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提供所投产品的技术白皮书。</w:t>
            </w:r>
          </w:p>
        </w:tc>
      </w:tr>
      <w:tr w14:paraId="57065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6F056E4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1699" w:type="dxa"/>
            <w:shd w:val="clear" w:color="auto" w:fill="auto"/>
            <w:noWrap w:val="0"/>
            <w:vAlign w:val="center"/>
          </w:tcPr>
          <w:p w14:paraId="4F94764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匀速底幕机</w:t>
            </w:r>
          </w:p>
        </w:tc>
        <w:tc>
          <w:tcPr>
            <w:tcW w:w="3240" w:type="dxa"/>
            <w:shd w:val="clear" w:color="auto" w:fill="auto"/>
            <w:noWrap w:val="0"/>
            <w:vAlign w:val="center"/>
          </w:tcPr>
          <w:p w14:paraId="28909A7D">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i w:val="0"/>
                <w:iCs w:val="0"/>
                <w:color w:val="auto"/>
                <w:sz w:val="21"/>
                <w:szCs w:val="21"/>
                <w:highlight w:val="none"/>
                <w:u w:val="none"/>
                <w:lang w:val="en-US" w:eastAsia="zh-CN" w:bidi="ar"/>
              </w:rPr>
              <w:t>1.最大牵引：≥5KN。</w:t>
            </w:r>
          </w:p>
        </w:tc>
        <w:tc>
          <w:tcPr>
            <w:tcW w:w="2997" w:type="dxa"/>
            <w:vMerge w:val="continue"/>
            <w:shd w:val="clear" w:color="auto" w:fill="auto"/>
            <w:noWrap w:val="0"/>
            <w:vAlign w:val="center"/>
          </w:tcPr>
          <w:p w14:paraId="50527557">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55D5A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49922134">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3</w:t>
            </w:r>
          </w:p>
        </w:tc>
        <w:tc>
          <w:tcPr>
            <w:tcW w:w="1699" w:type="dxa"/>
            <w:shd w:val="clear" w:color="auto" w:fill="auto"/>
            <w:noWrap w:val="0"/>
            <w:vAlign w:val="center"/>
          </w:tcPr>
          <w:p w14:paraId="513F81D5">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舞台灯光吊杆机</w:t>
            </w:r>
          </w:p>
        </w:tc>
        <w:tc>
          <w:tcPr>
            <w:tcW w:w="3240" w:type="dxa"/>
            <w:shd w:val="clear" w:color="auto" w:fill="auto"/>
            <w:noWrap w:val="0"/>
            <w:vAlign w:val="center"/>
          </w:tcPr>
          <w:p w14:paraId="5F6065A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b w:val="0"/>
                <w:bCs w:val="0"/>
                <w:color w:val="auto"/>
                <w:sz w:val="21"/>
                <w:szCs w:val="21"/>
                <w:highlight w:val="none"/>
                <w:lang w:bidi="ar"/>
              </w:rPr>
              <w:t>★</w:t>
            </w:r>
            <w:r>
              <w:rPr>
                <w:rFonts w:hint="eastAsia" w:ascii="宋体" w:hAnsi="宋体" w:eastAsia="宋体" w:cs="宋体"/>
                <w:b w:val="0"/>
                <w:bCs w:val="0"/>
                <w:i w:val="0"/>
                <w:iCs w:val="0"/>
                <w:color w:val="auto"/>
                <w:sz w:val="21"/>
                <w:szCs w:val="21"/>
                <w:highlight w:val="none"/>
                <w:u w:val="none"/>
                <w:lang w:val="en-US" w:eastAsia="zh-CN" w:bidi="ar"/>
              </w:rPr>
              <w:t>2.载荷：≥6KN。</w:t>
            </w:r>
          </w:p>
        </w:tc>
        <w:tc>
          <w:tcPr>
            <w:tcW w:w="2997" w:type="dxa"/>
            <w:vMerge w:val="continue"/>
            <w:shd w:val="clear" w:color="auto" w:fill="auto"/>
            <w:noWrap w:val="0"/>
            <w:vAlign w:val="center"/>
          </w:tcPr>
          <w:p w14:paraId="02AE5C1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1974C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shd w:val="clear" w:color="auto" w:fill="auto"/>
            <w:noWrap w:val="0"/>
            <w:vAlign w:val="center"/>
          </w:tcPr>
          <w:p w14:paraId="6DCA9552">
            <w:pPr>
              <w:keepNext w:val="0"/>
              <w:keepLines w:val="0"/>
              <w:pageBreakBefore w:val="0"/>
              <w:widowControl/>
              <w:suppressLineNumbers w:val="0"/>
              <w:spacing w:line="360" w:lineRule="exact"/>
              <w:jc w:val="center"/>
              <w:rPr>
                <w:rFonts w:hint="eastAsia" w:ascii="宋体" w:hAnsi="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E</w:t>
            </w:r>
          </w:p>
        </w:tc>
        <w:tc>
          <w:tcPr>
            <w:tcW w:w="1699" w:type="dxa"/>
            <w:shd w:val="clear" w:color="auto" w:fill="auto"/>
            <w:noWrap w:val="0"/>
            <w:vAlign w:val="center"/>
          </w:tcPr>
          <w:p w14:paraId="010AF32E">
            <w:pPr>
              <w:keepNext w:val="0"/>
              <w:keepLines w:val="0"/>
              <w:pageBreakBefore w:val="0"/>
              <w:widowControl/>
              <w:suppressLineNumbers w:val="0"/>
              <w:spacing w:line="36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舞台幕布系统</w:t>
            </w:r>
          </w:p>
        </w:tc>
        <w:tc>
          <w:tcPr>
            <w:tcW w:w="3240" w:type="dxa"/>
            <w:shd w:val="clear" w:color="auto" w:fill="auto"/>
            <w:noWrap w:val="0"/>
            <w:vAlign w:val="center"/>
          </w:tcPr>
          <w:p w14:paraId="541FABC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color w:val="auto"/>
                <w:sz w:val="21"/>
                <w:szCs w:val="21"/>
                <w:highlight w:val="none"/>
                <w:lang w:bidi="ar"/>
              </w:rPr>
            </w:pPr>
          </w:p>
        </w:tc>
        <w:tc>
          <w:tcPr>
            <w:tcW w:w="2997" w:type="dxa"/>
            <w:shd w:val="clear" w:color="auto" w:fill="auto"/>
            <w:noWrap w:val="0"/>
            <w:vAlign w:val="center"/>
          </w:tcPr>
          <w:p w14:paraId="4F81CF6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2952A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1B1238A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1</w:t>
            </w:r>
          </w:p>
        </w:tc>
        <w:tc>
          <w:tcPr>
            <w:tcW w:w="1699" w:type="dxa"/>
            <w:shd w:val="clear" w:color="auto" w:fill="auto"/>
            <w:noWrap w:val="0"/>
            <w:vAlign w:val="center"/>
          </w:tcPr>
          <w:p w14:paraId="4D4D5FD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阻燃丝绒前檐幕、阻燃前檐幕衬里、阻燃丝绒大幕、阻燃大幕衬里、阻燃丝绒横幕、阻燃丝绒侧幕、阻燃丝绒底幕</w:t>
            </w:r>
          </w:p>
        </w:tc>
        <w:tc>
          <w:tcPr>
            <w:tcW w:w="3240" w:type="dxa"/>
            <w:shd w:val="clear" w:color="auto" w:fill="auto"/>
            <w:noWrap w:val="0"/>
            <w:vAlign w:val="center"/>
          </w:tcPr>
          <w:p w14:paraId="05F4D00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highlight w:val="none"/>
              </w:rPr>
              <w:t>阻燃性能：经阻燃处理后，燃烧性能达到 GB 8624–2012《建筑材料及制品燃烧性能分级》</w:t>
            </w:r>
            <w:r>
              <w:rPr>
                <w:rFonts w:hint="eastAsia" w:asciiTheme="minorEastAsia" w:hAnsiTheme="minorEastAsia" w:eastAsiaTheme="minorEastAsia" w:cstheme="minorEastAsia"/>
                <w:color w:val="auto"/>
                <w:highlight w:val="none"/>
                <w:lang w:val="en-US" w:eastAsia="zh-CN"/>
              </w:rPr>
              <w:t>及GB20286—2006《公共场所阻燃制品及组件燃烧性能要求和标识》</w:t>
            </w:r>
            <w:r>
              <w:rPr>
                <w:rFonts w:hint="eastAsia" w:asciiTheme="minorEastAsia" w:hAnsiTheme="minorEastAsia" w:eastAsiaTheme="minorEastAsia" w:cstheme="minorEastAsia"/>
                <w:color w:val="auto"/>
                <w:highlight w:val="none"/>
              </w:rPr>
              <w:t>规定的</w:t>
            </w:r>
            <w:r>
              <w:rPr>
                <w:rFonts w:hint="eastAsia" w:asciiTheme="minorEastAsia" w:hAnsiTheme="minorEastAsia" w:eastAsiaTheme="minorEastAsia" w:cstheme="minorEastAsia"/>
                <w:color w:val="auto"/>
                <w:highlight w:val="none"/>
                <w:lang w:val="en-US" w:eastAsia="zh-CN"/>
              </w:rPr>
              <w:t>织物阻燃</w:t>
            </w:r>
            <w:r>
              <w:rPr>
                <w:rFonts w:hint="eastAsia" w:asciiTheme="minorEastAsia" w:hAnsiTheme="minorEastAsia" w:eastAsiaTheme="minorEastAsia" w:cstheme="minorEastAsia"/>
                <w:color w:val="auto"/>
                <w:highlight w:val="none"/>
              </w:rPr>
              <w:t>1 级</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氧指数 ≥32</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损毁长度 ≤150mm , 续燃时间 ≤5s , 阴燃时间 ≤5s </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燃烧滴落物未引起脱脂棉燃烧或阴燃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烟密度等级(</w:t>
            </w:r>
            <w:r>
              <w:rPr>
                <w:rFonts w:hint="eastAsia" w:asciiTheme="minorEastAsia" w:hAnsiTheme="minorEastAsia" w:eastAsiaTheme="minorEastAsia" w:cstheme="minorEastAsia"/>
                <w:color w:val="auto"/>
                <w:highlight w:val="none"/>
                <w:lang w:val="en-US" w:eastAsia="zh-CN"/>
              </w:rPr>
              <w:t>S</w:t>
            </w:r>
            <w:r>
              <w:rPr>
                <w:rFonts w:hint="eastAsia" w:asciiTheme="minorEastAsia" w:hAnsiTheme="minorEastAsia" w:eastAsiaTheme="minorEastAsia" w:cstheme="minorEastAsia"/>
                <w:color w:val="auto"/>
                <w:highlight w:val="none"/>
              </w:rPr>
              <w:t>DR)≤15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产烟毒性等级不低于 ZA</w:t>
            </w:r>
            <w:r>
              <w:rPr>
                <w:rFonts w:hint="eastAsia" w:asciiTheme="minorEastAsia" w:hAnsiTheme="minorEastAsia" w:eastAsiaTheme="minorEastAsia" w:cstheme="minorEastAsia"/>
                <w:color w:val="auto"/>
                <w:highlight w:val="none"/>
                <w:vertAlign w:val="subscript"/>
              </w:rPr>
              <w:t>2</w:t>
            </w:r>
            <w:r>
              <w:rPr>
                <w:rFonts w:hint="eastAsia" w:asciiTheme="minorEastAsia" w:hAnsiTheme="minorEastAsia" w:eastAsiaTheme="minorEastAsia" w:cstheme="minorEastAsia"/>
                <w:color w:val="auto"/>
                <w:highlight w:val="none"/>
              </w:rPr>
              <w:t xml:space="preserve"> 级）要求。</w:t>
            </w:r>
          </w:p>
        </w:tc>
        <w:tc>
          <w:tcPr>
            <w:tcW w:w="2997" w:type="dxa"/>
            <w:shd w:val="clear" w:color="auto" w:fill="auto"/>
            <w:noWrap w:val="0"/>
            <w:vAlign w:val="center"/>
          </w:tcPr>
          <w:p w14:paraId="721226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提供由具备有效CMA资质的检测机构出具的封面盖有CMA专用印章的检测报告原件关键页扫描件（检测依据包括 GB/T 5454-1997 、GB/T 5455-2014、GB/T 8627-2007 、GB/T 20285-2006），检测报告数量不限。</w:t>
            </w:r>
          </w:p>
          <w:p w14:paraId="7E059210">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4B508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34D73DE0">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w:t>
            </w:r>
          </w:p>
        </w:tc>
        <w:tc>
          <w:tcPr>
            <w:tcW w:w="4939" w:type="dxa"/>
            <w:gridSpan w:val="2"/>
            <w:shd w:val="clear" w:color="auto" w:fill="auto"/>
            <w:noWrap w:val="0"/>
            <w:vAlign w:val="center"/>
          </w:tcPr>
          <w:p w14:paraId="60A9CF7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小报告厅</w:t>
            </w:r>
          </w:p>
        </w:tc>
        <w:tc>
          <w:tcPr>
            <w:tcW w:w="2997" w:type="dxa"/>
            <w:shd w:val="clear" w:color="auto" w:fill="auto"/>
            <w:noWrap w:val="0"/>
            <w:vAlign w:val="center"/>
          </w:tcPr>
          <w:p w14:paraId="2324B3D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390D7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0"/>
            <w:vAlign w:val="center"/>
          </w:tcPr>
          <w:p w14:paraId="1DF7165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A</w:t>
            </w:r>
          </w:p>
        </w:tc>
        <w:tc>
          <w:tcPr>
            <w:tcW w:w="4939" w:type="dxa"/>
            <w:gridSpan w:val="2"/>
            <w:shd w:val="clear" w:color="auto" w:fill="auto"/>
            <w:noWrap w:val="0"/>
            <w:vAlign w:val="center"/>
          </w:tcPr>
          <w:p w14:paraId="56797D64">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扩声系统</w:t>
            </w:r>
          </w:p>
        </w:tc>
        <w:tc>
          <w:tcPr>
            <w:tcW w:w="2997" w:type="dxa"/>
            <w:shd w:val="clear" w:color="auto" w:fill="auto"/>
            <w:noWrap w:val="0"/>
            <w:vAlign w:val="center"/>
          </w:tcPr>
          <w:p w14:paraId="260D0AB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4C35E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58F6BA7F">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332A861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主扩音箱</w:t>
            </w:r>
          </w:p>
        </w:tc>
        <w:tc>
          <w:tcPr>
            <w:tcW w:w="3240" w:type="dxa"/>
            <w:shd w:val="clear" w:color="auto" w:fill="auto"/>
            <w:noWrap w:val="0"/>
            <w:vAlign w:val="center"/>
          </w:tcPr>
          <w:p w14:paraId="53E1CFAE">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）（额定阻抗为8Ω时）：≥400W。</w:t>
            </w:r>
          </w:p>
        </w:tc>
        <w:tc>
          <w:tcPr>
            <w:tcW w:w="2997" w:type="dxa"/>
            <w:vMerge w:val="restart"/>
            <w:shd w:val="clear" w:color="auto" w:fill="auto"/>
            <w:noWrap w:val="0"/>
            <w:vAlign w:val="center"/>
          </w:tcPr>
          <w:p w14:paraId="0B5A052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02D70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23CD171C">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2529481D">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p>
        </w:tc>
        <w:tc>
          <w:tcPr>
            <w:tcW w:w="3240" w:type="dxa"/>
            <w:shd w:val="clear" w:color="auto" w:fill="auto"/>
            <w:noWrap w:val="0"/>
            <w:vAlign w:val="center"/>
          </w:tcPr>
          <w:p w14:paraId="24B674A3">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w:t>
            </w:r>
          </w:p>
        </w:tc>
        <w:tc>
          <w:tcPr>
            <w:tcW w:w="2997" w:type="dxa"/>
            <w:vMerge w:val="continue"/>
            <w:shd w:val="clear" w:color="auto" w:fill="auto"/>
            <w:noWrap w:val="0"/>
            <w:vAlign w:val="center"/>
          </w:tcPr>
          <w:p w14:paraId="5B19FF5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1B79A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5A861854">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2</w:t>
            </w:r>
          </w:p>
        </w:tc>
        <w:tc>
          <w:tcPr>
            <w:tcW w:w="1699" w:type="dxa"/>
            <w:vMerge w:val="restart"/>
            <w:shd w:val="clear" w:color="auto" w:fill="auto"/>
            <w:noWrap w:val="0"/>
            <w:vAlign w:val="center"/>
          </w:tcPr>
          <w:p w14:paraId="595C642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返听音箱</w:t>
            </w:r>
          </w:p>
        </w:tc>
        <w:tc>
          <w:tcPr>
            <w:tcW w:w="3240" w:type="dxa"/>
            <w:shd w:val="clear" w:color="auto" w:fill="auto"/>
            <w:noWrap w:val="0"/>
            <w:vAlign w:val="center"/>
          </w:tcPr>
          <w:p w14:paraId="4E64906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）（额定阻抗为8Ω时）：≥250W。</w:t>
            </w:r>
          </w:p>
        </w:tc>
        <w:tc>
          <w:tcPr>
            <w:tcW w:w="2997" w:type="dxa"/>
            <w:vMerge w:val="restart"/>
            <w:shd w:val="clear" w:color="auto" w:fill="auto"/>
            <w:noWrap w:val="0"/>
            <w:vAlign w:val="center"/>
          </w:tcPr>
          <w:p w14:paraId="5302D31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59335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45EB16E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4C7F95F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p>
        </w:tc>
        <w:tc>
          <w:tcPr>
            <w:tcW w:w="3240" w:type="dxa"/>
            <w:shd w:val="clear" w:color="auto" w:fill="auto"/>
            <w:noWrap w:val="0"/>
            <w:vAlign w:val="center"/>
          </w:tcPr>
          <w:p w14:paraId="30216F0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指定频带内的声压级（指持续声压级）：≥120 dB±2 dB。</w:t>
            </w:r>
          </w:p>
        </w:tc>
        <w:tc>
          <w:tcPr>
            <w:tcW w:w="2997" w:type="dxa"/>
            <w:vMerge w:val="continue"/>
            <w:shd w:val="clear" w:color="auto" w:fill="auto"/>
            <w:noWrap w:val="0"/>
            <w:vAlign w:val="center"/>
          </w:tcPr>
          <w:p w14:paraId="6B951D5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p>
        </w:tc>
      </w:tr>
      <w:tr w14:paraId="0D58E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0" w:hRule="atLeast"/>
        </w:trPr>
        <w:tc>
          <w:tcPr>
            <w:tcW w:w="586" w:type="dxa"/>
            <w:vMerge w:val="restart"/>
            <w:shd w:val="clear" w:color="auto" w:fill="auto"/>
            <w:noWrap w:val="0"/>
            <w:vAlign w:val="center"/>
          </w:tcPr>
          <w:p w14:paraId="1A95B06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3</w:t>
            </w:r>
          </w:p>
        </w:tc>
        <w:tc>
          <w:tcPr>
            <w:tcW w:w="1699" w:type="dxa"/>
            <w:vMerge w:val="restart"/>
            <w:shd w:val="clear" w:color="auto" w:fill="auto"/>
            <w:noWrap w:val="0"/>
            <w:vAlign w:val="center"/>
          </w:tcPr>
          <w:p w14:paraId="36E085EC">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主扩音箱四通道功放</w:t>
            </w:r>
          </w:p>
        </w:tc>
        <w:tc>
          <w:tcPr>
            <w:tcW w:w="3240" w:type="dxa"/>
            <w:shd w:val="clear" w:color="auto" w:fill="auto"/>
            <w:noWrap w:val="0"/>
            <w:vAlign w:val="center"/>
          </w:tcPr>
          <w:p w14:paraId="1CB8D10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p>
        </w:tc>
        <w:tc>
          <w:tcPr>
            <w:tcW w:w="2997" w:type="dxa"/>
            <w:shd w:val="clear" w:color="auto" w:fill="auto"/>
            <w:noWrap w:val="0"/>
            <w:vAlign w:val="center"/>
          </w:tcPr>
          <w:p w14:paraId="2541F45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4988F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586" w:type="dxa"/>
            <w:shd w:val="clear" w:color="auto" w:fill="auto"/>
            <w:noWrap w:val="0"/>
            <w:vAlign w:val="center"/>
          </w:tcPr>
          <w:p w14:paraId="2042CF90">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4</w:t>
            </w:r>
          </w:p>
        </w:tc>
        <w:tc>
          <w:tcPr>
            <w:tcW w:w="1699" w:type="dxa"/>
            <w:shd w:val="clear" w:color="auto" w:fill="auto"/>
            <w:noWrap w:val="0"/>
            <w:vAlign w:val="center"/>
          </w:tcPr>
          <w:p w14:paraId="130F8F6B">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返听音箱功放</w:t>
            </w:r>
          </w:p>
        </w:tc>
        <w:tc>
          <w:tcPr>
            <w:tcW w:w="3240" w:type="dxa"/>
            <w:shd w:val="clear" w:color="auto" w:fill="auto"/>
            <w:noWrap w:val="0"/>
            <w:vAlign w:val="center"/>
          </w:tcPr>
          <w:p w14:paraId="59603E2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(8Ω)600W×2；</w:t>
            </w:r>
          </w:p>
        </w:tc>
        <w:tc>
          <w:tcPr>
            <w:tcW w:w="2997" w:type="dxa"/>
            <w:shd w:val="clear" w:color="auto" w:fill="auto"/>
            <w:noWrap w:val="0"/>
            <w:vAlign w:val="center"/>
          </w:tcPr>
          <w:p w14:paraId="024221E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17672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177B77E7">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4939" w:type="dxa"/>
            <w:gridSpan w:val="2"/>
            <w:shd w:val="clear" w:color="auto" w:fill="auto"/>
            <w:noWrap w:val="0"/>
            <w:vAlign w:val="center"/>
          </w:tcPr>
          <w:p w14:paraId="20841AD8">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2997" w:type="dxa"/>
            <w:shd w:val="clear" w:color="auto" w:fill="auto"/>
            <w:noWrap w:val="0"/>
            <w:vAlign w:val="center"/>
          </w:tcPr>
          <w:p w14:paraId="410FE2B9">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455F7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5F2D34C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2CAFF56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3240" w:type="dxa"/>
            <w:shd w:val="clear" w:color="auto" w:fill="auto"/>
            <w:noWrap w:val="0"/>
            <w:vAlign w:val="center"/>
          </w:tcPr>
          <w:p w14:paraId="3C28DD6C">
            <w:pPr>
              <w:keepNext w:val="0"/>
              <w:keepLines w:val="0"/>
              <w:pageBreakBefore w:val="0"/>
              <w:widowControl/>
              <w:suppressLineNumbers w:val="0"/>
              <w:spacing w:line="360" w:lineRule="exact"/>
              <w:jc w:val="left"/>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 像素规格：全彩LED显示屏，像素点间距≤2.0mm，像素密度≥250000点/㎡。外形尺寸： 安装空间允许屏体最大外廓尺寸为</w:t>
            </w:r>
            <w:r>
              <w:rPr>
                <w:rFonts w:hint="eastAsia" w:ascii="宋体" w:hAnsi="宋体" w:eastAsia="宋体" w:cs="宋体"/>
                <w:b w:val="0"/>
                <w:bCs w:val="0"/>
                <w:i w:val="0"/>
                <w:iCs w:val="0"/>
                <w:color w:val="auto"/>
                <w:sz w:val="21"/>
                <w:szCs w:val="21"/>
                <w:highlight w:val="none"/>
                <w:u w:val="none"/>
                <w:lang w:val="en-US" w:eastAsia="zh-CN" w:bidi="ar"/>
              </w:rPr>
              <w:t>≈长4.48米*高2.08=9.32平方</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p>
        </w:tc>
        <w:tc>
          <w:tcPr>
            <w:tcW w:w="2997" w:type="dxa"/>
            <w:shd w:val="clear" w:color="auto" w:fill="auto"/>
            <w:noWrap w:val="0"/>
            <w:vAlign w:val="center"/>
          </w:tcPr>
          <w:p w14:paraId="71E49196">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提供承诺函（格式自拟）。</w:t>
            </w:r>
          </w:p>
          <w:p w14:paraId="049A5397">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4B76D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5E9D34F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2C2D04D6">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655C9AA5">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 刷新率：刷新率≥3840Hz，支持50Hz/60Hz换帧频率；平整度与拼缝：模组平整度≤0.1mm，相邻模组间拼接间隙≤0.1mm。</w:t>
            </w:r>
          </w:p>
        </w:tc>
        <w:tc>
          <w:tcPr>
            <w:tcW w:w="2997" w:type="dxa"/>
            <w:shd w:val="clear" w:color="auto" w:fill="auto"/>
            <w:noWrap w:val="0"/>
            <w:vAlign w:val="center"/>
          </w:tcPr>
          <w:p w14:paraId="3C1B5E69">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提供以下之一：  </w:t>
            </w:r>
          </w:p>
          <w:p w14:paraId="25FF035E">
            <w:pPr>
              <w:keepNext w:val="0"/>
              <w:keepLines w:val="0"/>
              <w:pageBreakBefore w:val="0"/>
              <w:widowControl/>
              <w:suppressLineNumbers w:val="0"/>
              <w:spacing w:line="360" w:lineRule="exact"/>
              <w:jc w:val="lef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7A54E36F">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tc>
      </w:tr>
      <w:tr w14:paraId="55B32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497C566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0F84CC6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42C2DDD9">
            <w:pPr>
              <w:keepNext w:val="0"/>
              <w:keepLines w:val="0"/>
              <w:pageBreakBefore w:val="0"/>
              <w:kinsoku/>
              <w:wordWrap/>
              <w:overflowPunct/>
              <w:topLinePunct w:val="0"/>
              <w:autoSpaceDE/>
              <w:autoSpaceDN/>
              <w:bidi w:val="0"/>
              <w:adjustRightInd/>
              <w:snapToGrid/>
              <w:spacing w:line="320" w:lineRule="exac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★16.提供所投产品CCC认证证书扫描件。</w:t>
            </w:r>
          </w:p>
        </w:tc>
        <w:tc>
          <w:tcPr>
            <w:tcW w:w="2997" w:type="dxa"/>
            <w:shd w:val="clear" w:color="auto" w:fill="auto"/>
            <w:noWrap w:val="0"/>
            <w:vAlign w:val="center"/>
          </w:tcPr>
          <w:p w14:paraId="1D404F8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★16.提供所投产品CCC认证证书扫描件。</w:t>
            </w:r>
          </w:p>
        </w:tc>
      </w:tr>
      <w:tr w14:paraId="340F4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0" w:type="auto"/>
            <w:shd w:val="clear" w:color="auto" w:fill="auto"/>
            <w:noWrap w:val="0"/>
            <w:vAlign w:val="center"/>
          </w:tcPr>
          <w:p w14:paraId="0F93823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w:t>
            </w:r>
          </w:p>
        </w:tc>
        <w:tc>
          <w:tcPr>
            <w:tcW w:w="4939" w:type="dxa"/>
            <w:gridSpan w:val="2"/>
            <w:shd w:val="clear" w:color="auto" w:fill="auto"/>
            <w:noWrap w:val="0"/>
            <w:vAlign w:val="center"/>
          </w:tcPr>
          <w:p w14:paraId="2B13FFC6">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行政楼5F会议室</w:t>
            </w:r>
          </w:p>
        </w:tc>
        <w:tc>
          <w:tcPr>
            <w:tcW w:w="2997" w:type="dxa"/>
            <w:shd w:val="clear" w:color="auto" w:fill="auto"/>
            <w:noWrap w:val="0"/>
            <w:vAlign w:val="center"/>
          </w:tcPr>
          <w:p w14:paraId="617A43A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r>
      <w:tr w14:paraId="00041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7AD29F9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5339550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主扩音箱</w:t>
            </w:r>
          </w:p>
        </w:tc>
        <w:tc>
          <w:tcPr>
            <w:tcW w:w="3240" w:type="dxa"/>
            <w:shd w:val="clear" w:color="auto" w:fill="auto"/>
            <w:noWrap w:val="0"/>
            <w:vAlign w:val="center"/>
          </w:tcPr>
          <w:p w14:paraId="2C7BCA2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）（额定阻抗为8Ω时）：≥400W。</w:t>
            </w:r>
          </w:p>
        </w:tc>
        <w:tc>
          <w:tcPr>
            <w:tcW w:w="2997" w:type="dxa"/>
            <w:vMerge w:val="restart"/>
            <w:shd w:val="clear" w:color="auto" w:fill="auto"/>
            <w:noWrap w:val="0"/>
            <w:vAlign w:val="center"/>
          </w:tcPr>
          <w:p w14:paraId="5DD31A3A">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 xml:space="preserve">）。  </w:t>
            </w:r>
          </w:p>
        </w:tc>
      </w:tr>
      <w:tr w14:paraId="24D52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4810754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48ECE309">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3BB8E512">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w:t>
            </w:r>
          </w:p>
        </w:tc>
        <w:tc>
          <w:tcPr>
            <w:tcW w:w="2997" w:type="dxa"/>
            <w:vMerge w:val="continue"/>
            <w:shd w:val="clear" w:color="auto" w:fill="auto"/>
            <w:noWrap w:val="0"/>
            <w:vAlign w:val="center"/>
          </w:tcPr>
          <w:p w14:paraId="23FC161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r>
      <w:tr w14:paraId="4BBE4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34F900A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2</w:t>
            </w:r>
          </w:p>
        </w:tc>
        <w:tc>
          <w:tcPr>
            <w:tcW w:w="1699" w:type="dxa"/>
            <w:vMerge w:val="restart"/>
            <w:shd w:val="clear" w:color="auto" w:fill="auto"/>
            <w:noWrap w:val="0"/>
            <w:vAlign w:val="center"/>
          </w:tcPr>
          <w:p w14:paraId="69739D2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吸顶音箱</w:t>
            </w:r>
          </w:p>
        </w:tc>
        <w:tc>
          <w:tcPr>
            <w:tcW w:w="3240" w:type="dxa"/>
            <w:shd w:val="clear" w:color="auto" w:fill="auto"/>
            <w:noWrap w:val="0"/>
            <w:vAlign w:val="center"/>
          </w:tcPr>
          <w:p w14:paraId="56105C0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w:t>
            </w:r>
            <w:r>
              <w:rPr>
                <w:rFonts w:hint="eastAsia" w:ascii="Times New Roman" w:hAnsi="Times New Roman"/>
                <w:color w:val="auto"/>
                <w:sz w:val="21"/>
                <w:szCs w:val="21"/>
              </w:rPr>
              <w:t>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）（额定阻抗为8Ω时）：≥80W。</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 xml:space="preserve"> </w:t>
            </w:r>
          </w:p>
        </w:tc>
        <w:tc>
          <w:tcPr>
            <w:tcW w:w="2997" w:type="dxa"/>
            <w:vMerge w:val="restart"/>
            <w:shd w:val="clear" w:color="auto" w:fill="auto"/>
            <w:noWrap w:val="0"/>
            <w:vAlign w:val="center"/>
          </w:tcPr>
          <w:p w14:paraId="27B1AAC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提供由具备有效CMA资质的检测机构出具的含CMA认定标志的检测报告原件（关键页或全文）扫描件（依据标准GB/T 12060.5-2011 或 IEC 60268-5:2007）。</w:t>
            </w:r>
          </w:p>
        </w:tc>
      </w:tr>
      <w:tr w14:paraId="121CA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116DFD1C">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2C5A8484">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086B231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指定频带内的声压级（指持续声压级）：≥116 dB±2 dB。</w:t>
            </w:r>
          </w:p>
        </w:tc>
        <w:tc>
          <w:tcPr>
            <w:tcW w:w="2997" w:type="dxa"/>
            <w:vMerge w:val="continue"/>
            <w:shd w:val="clear" w:color="auto" w:fill="auto"/>
            <w:noWrap w:val="0"/>
            <w:vAlign w:val="center"/>
          </w:tcPr>
          <w:p w14:paraId="3C24227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r>
      <w:tr w14:paraId="7F4AA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0" w:hRule="atLeast"/>
        </w:trPr>
        <w:tc>
          <w:tcPr>
            <w:tcW w:w="586" w:type="dxa"/>
            <w:vMerge w:val="restart"/>
            <w:shd w:val="clear" w:color="auto" w:fill="auto"/>
            <w:noWrap w:val="0"/>
            <w:vAlign w:val="center"/>
          </w:tcPr>
          <w:p w14:paraId="315A944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3</w:t>
            </w:r>
          </w:p>
        </w:tc>
        <w:tc>
          <w:tcPr>
            <w:tcW w:w="1699" w:type="dxa"/>
            <w:vMerge w:val="restart"/>
            <w:shd w:val="clear" w:color="auto" w:fill="auto"/>
            <w:noWrap w:val="0"/>
            <w:vAlign w:val="center"/>
          </w:tcPr>
          <w:p w14:paraId="22355F1A">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四通道功放</w:t>
            </w:r>
          </w:p>
        </w:tc>
        <w:tc>
          <w:tcPr>
            <w:tcW w:w="3240" w:type="dxa"/>
            <w:shd w:val="clear" w:color="auto" w:fill="auto"/>
            <w:noWrap w:val="0"/>
            <w:vAlign w:val="center"/>
          </w:tcPr>
          <w:p w14:paraId="755102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lang w:val="en-US" w:eastAsia="zh-CN"/>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r>
              <w:rPr>
                <w:rFonts w:hint="eastAsia" w:ascii="宋体" w:hAnsi="宋体" w:cs="宋体"/>
                <w:b w:val="0"/>
                <w:bCs w:val="0"/>
                <w:i w:val="0"/>
                <w:iCs w:val="0"/>
                <w:color w:val="auto"/>
                <w:sz w:val="21"/>
                <w:szCs w:val="21"/>
                <w:highlight w:val="none"/>
                <w:u w:val="none"/>
                <w:lang w:val="en-US" w:eastAsia="zh-CN" w:bidi="ar"/>
              </w:rPr>
              <w:t>。</w:t>
            </w:r>
          </w:p>
          <w:p w14:paraId="6B9D9CB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p>
        </w:tc>
        <w:tc>
          <w:tcPr>
            <w:tcW w:w="2997" w:type="dxa"/>
            <w:shd w:val="clear" w:color="auto" w:fill="auto"/>
            <w:noWrap w:val="0"/>
            <w:vAlign w:val="center"/>
          </w:tcPr>
          <w:p w14:paraId="165BEE3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7897E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55DD367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4</w:t>
            </w:r>
          </w:p>
        </w:tc>
        <w:tc>
          <w:tcPr>
            <w:tcW w:w="1699" w:type="dxa"/>
            <w:vMerge w:val="restart"/>
            <w:shd w:val="clear" w:color="auto" w:fill="auto"/>
            <w:noWrap w:val="0"/>
            <w:vAlign w:val="center"/>
          </w:tcPr>
          <w:p w14:paraId="4B9DC8D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3240" w:type="dxa"/>
            <w:shd w:val="clear" w:color="auto" w:fill="auto"/>
            <w:noWrap w:val="0"/>
            <w:vAlign w:val="center"/>
          </w:tcPr>
          <w:p w14:paraId="1E543A7B">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全彩LED显示屏，像素点间距≤2.0mm，像素密度≥250000点/㎡。</w:t>
            </w:r>
            <w:r>
              <w:rPr>
                <w:rFonts w:hint="eastAsia" w:ascii="宋体" w:hAnsi="宋体" w:eastAsia="宋体" w:cs="宋体"/>
                <w:b w:val="0"/>
                <w:bCs w:val="0"/>
                <w:i w:val="0"/>
                <w:iCs w:val="0"/>
                <w:color w:val="auto"/>
                <w:sz w:val="21"/>
                <w:szCs w:val="21"/>
                <w:highlight w:val="none"/>
                <w:u w:val="none"/>
                <w:lang w:val="en-US" w:eastAsia="zh-CN" w:bidi="ar"/>
              </w:rPr>
              <w:t>屏体净尺寸：≈长3.84米*高2.08米=7.98平方。</w:t>
            </w:r>
          </w:p>
          <w:p w14:paraId="3990A80E">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0"/>
                <w:szCs w:val="20"/>
                <w:u w:val="none"/>
                <w:lang w:val="en-US" w:eastAsia="zh-CN" w:bidi="ar"/>
              </w:rPr>
            </w:pPr>
          </w:p>
        </w:tc>
        <w:tc>
          <w:tcPr>
            <w:tcW w:w="2997" w:type="dxa"/>
            <w:shd w:val="clear" w:color="auto" w:fill="auto"/>
            <w:noWrap w:val="0"/>
            <w:vAlign w:val="center"/>
          </w:tcPr>
          <w:p w14:paraId="61F8DF24">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p w14:paraId="6C54A3AA">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r>
      <w:tr w14:paraId="0453B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7CF3860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c>
          <w:tcPr>
            <w:tcW w:w="1699" w:type="dxa"/>
            <w:vMerge w:val="continue"/>
            <w:shd w:val="clear" w:color="auto" w:fill="auto"/>
            <w:noWrap w:val="0"/>
            <w:vAlign w:val="center"/>
          </w:tcPr>
          <w:p w14:paraId="5A23A27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p>
        </w:tc>
        <w:tc>
          <w:tcPr>
            <w:tcW w:w="3240" w:type="dxa"/>
            <w:shd w:val="clear" w:color="auto" w:fill="auto"/>
            <w:noWrap w:val="0"/>
            <w:vAlign w:val="center"/>
          </w:tcPr>
          <w:p w14:paraId="228ECFD6">
            <w:pPr>
              <w:keepNext w:val="0"/>
              <w:keepLines w:val="0"/>
              <w:pageBreakBefore w:val="0"/>
              <w:kinsoku/>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 </w:t>
            </w:r>
          </w:p>
          <w:p w14:paraId="5AECF8D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p>
        </w:tc>
        <w:tc>
          <w:tcPr>
            <w:tcW w:w="2997" w:type="dxa"/>
            <w:shd w:val="clear" w:color="auto" w:fill="auto"/>
            <w:noWrap w:val="0"/>
            <w:vAlign w:val="center"/>
          </w:tcPr>
          <w:p w14:paraId="1F1EE697">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提供以下之一：  </w:t>
            </w:r>
          </w:p>
          <w:p w14:paraId="2FC5FE99">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62FC21A4">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tc>
      </w:tr>
      <w:tr w14:paraId="42743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3772B45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c>
          <w:tcPr>
            <w:tcW w:w="1699" w:type="dxa"/>
            <w:vMerge w:val="continue"/>
            <w:shd w:val="clear" w:color="auto" w:fill="auto"/>
            <w:noWrap w:val="0"/>
            <w:vAlign w:val="center"/>
          </w:tcPr>
          <w:p w14:paraId="58F4205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p>
        </w:tc>
        <w:tc>
          <w:tcPr>
            <w:tcW w:w="3240" w:type="dxa"/>
            <w:shd w:val="clear" w:color="auto" w:fill="auto"/>
            <w:noWrap w:val="0"/>
            <w:vAlign w:val="center"/>
          </w:tcPr>
          <w:p w14:paraId="2214DF3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2997" w:type="dxa"/>
            <w:shd w:val="clear" w:color="auto" w:fill="auto"/>
            <w:noWrap w:val="0"/>
            <w:vAlign w:val="center"/>
          </w:tcPr>
          <w:p w14:paraId="4772FF1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r>
      <w:tr w14:paraId="5D3AE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0" w:type="auto"/>
            <w:shd w:val="clear" w:color="auto" w:fill="auto"/>
            <w:noWrap w:val="0"/>
            <w:vAlign w:val="center"/>
          </w:tcPr>
          <w:p w14:paraId="2450E07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四</w:t>
            </w:r>
          </w:p>
        </w:tc>
        <w:tc>
          <w:tcPr>
            <w:tcW w:w="4939" w:type="dxa"/>
            <w:gridSpan w:val="2"/>
            <w:shd w:val="clear" w:color="auto" w:fill="auto"/>
            <w:noWrap w:val="0"/>
            <w:vAlign w:val="center"/>
          </w:tcPr>
          <w:p w14:paraId="4F08D585">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风雨操场</w:t>
            </w:r>
          </w:p>
        </w:tc>
        <w:tc>
          <w:tcPr>
            <w:tcW w:w="2997" w:type="dxa"/>
            <w:shd w:val="clear" w:color="auto" w:fill="auto"/>
            <w:noWrap w:val="0"/>
            <w:vAlign w:val="center"/>
          </w:tcPr>
          <w:p w14:paraId="046FC98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p>
        </w:tc>
      </w:tr>
      <w:tr w14:paraId="5F496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4F105CED">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0B2ACDB3">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室内P</w:t>
            </w:r>
            <w:r>
              <w:rPr>
                <w:rFonts w:hint="eastAsia" w:ascii="宋体" w:hAnsi="宋体" w:cs="宋体"/>
                <w:i w:val="0"/>
                <w:iCs w:val="0"/>
                <w:color w:val="auto"/>
                <w:sz w:val="21"/>
                <w:szCs w:val="21"/>
                <w:u w:val="none"/>
                <w:lang w:val="en-US" w:eastAsia="zh-CN" w:bidi="ar"/>
              </w:rPr>
              <w:t>3</w:t>
            </w:r>
            <w:r>
              <w:rPr>
                <w:rFonts w:hint="eastAsia" w:ascii="宋体" w:hAnsi="宋体" w:eastAsia="宋体" w:cs="宋体"/>
                <w:i w:val="0"/>
                <w:iCs w:val="0"/>
                <w:color w:val="auto"/>
                <w:sz w:val="21"/>
                <w:szCs w:val="21"/>
                <w:u w:val="none"/>
                <w:lang w:val="en-US" w:eastAsia="zh-CN" w:bidi="ar"/>
              </w:rPr>
              <w:t>全彩屏</w:t>
            </w:r>
          </w:p>
        </w:tc>
        <w:tc>
          <w:tcPr>
            <w:tcW w:w="3240" w:type="dxa"/>
            <w:shd w:val="clear" w:color="auto" w:fill="auto"/>
            <w:noWrap w:val="0"/>
            <w:vAlign w:val="center"/>
          </w:tcPr>
          <w:p w14:paraId="158D25AC">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color w:val="auto"/>
                <w:sz w:val="21"/>
                <w:szCs w:val="21"/>
                <w:highlight w:val="none"/>
                <w:u w:val="none"/>
              </w:rPr>
              <w:t>1. 像素规格</w:t>
            </w:r>
            <w:r>
              <w:rPr>
                <w:rFonts w:hint="eastAsia" w:asciiTheme="minorEastAsia" w:hAnsiTheme="minorEastAsia" w:eastAsiaTheme="minorEastAsia" w:cstheme="minorEastAsia"/>
                <w:b w:val="0"/>
                <w:bCs w:val="0"/>
                <w:color w:val="auto"/>
                <w:sz w:val="21"/>
                <w:szCs w:val="21"/>
                <w:highlight w:val="none"/>
                <w:u w:val="none"/>
                <w:lang w:eastAsia="zh-CN"/>
              </w:rPr>
              <w:t>：</w:t>
            </w:r>
            <w:r>
              <w:rPr>
                <w:rFonts w:hint="eastAsia" w:asciiTheme="minorEastAsia" w:hAnsiTheme="minorEastAsia" w:eastAsiaTheme="minorEastAsia" w:cstheme="minorEastAsia"/>
                <w:b w:val="0"/>
                <w:bCs w:val="0"/>
                <w:color w:val="auto"/>
                <w:sz w:val="21"/>
                <w:szCs w:val="21"/>
                <w:highlight w:val="none"/>
                <w:u w:val="none"/>
              </w:rPr>
              <w:t>全彩LED显示屏，像素点间距≤</w:t>
            </w:r>
            <w:r>
              <w:rPr>
                <w:rFonts w:hint="eastAsia" w:asciiTheme="minorEastAsia" w:hAnsiTheme="minorEastAsia" w:eastAsiaTheme="minorEastAsia" w:cstheme="minorEastAsia"/>
                <w:b w:val="0"/>
                <w:bCs w:val="0"/>
                <w:color w:val="auto"/>
                <w:sz w:val="21"/>
                <w:szCs w:val="21"/>
                <w:highlight w:val="none"/>
                <w:u w:val="none"/>
                <w:lang w:val="en-US" w:eastAsia="zh-CN"/>
              </w:rPr>
              <w:t>3</w:t>
            </w:r>
            <w:r>
              <w:rPr>
                <w:rFonts w:hint="eastAsia" w:asciiTheme="minorEastAsia" w:hAnsiTheme="minorEastAsia" w:eastAsiaTheme="minorEastAsia" w:cstheme="minorEastAsia"/>
                <w:b w:val="0"/>
                <w:bCs w:val="0"/>
                <w:color w:val="auto"/>
                <w:sz w:val="21"/>
                <w:szCs w:val="21"/>
                <w:highlight w:val="none"/>
                <w:u w:val="none"/>
              </w:rPr>
              <w:t>.0mm。</w:t>
            </w:r>
            <w:r>
              <w:rPr>
                <w:rFonts w:hint="eastAsia" w:ascii="宋体" w:hAnsi="宋体" w:eastAsia="宋体" w:cs="宋体"/>
                <w:b w:val="0"/>
                <w:bCs w:val="0"/>
                <w:i w:val="0"/>
                <w:iCs w:val="0"/>
                <w:color w:val="auto"/>
                <w:sz w:val="21"/>
                <w:szCs w:val="21"/>
                <w:highlight w:val="none"/>
                <w:u w:val="none"/>
                <w:lang w:val="en-US" w:eastAsia="zh-CN" w:bidi="ar"/>
              </w:rPr>
              <w:t>屏体净尺寸：≈长7.04米*高4米计28.16平方</w:t>
            </w:r>
            <w:r>
              <w:rPr>
                <w:rFonts w:hint="eastAsia" w:asciiTheme="minorEastAsia" w:hAnsiTheme="minorEastAsia" w:eastAsiaTheme="minorEastAsia" w:cstheme="minorEastAsia"/>
                <w:b w:val="0"/>
                <w:bCs w:val="0"/>
                <w:color w:val="auto"/>
                <w:sz w:val="21"/>
                <w:szCs w:val="21"/>
                <w:highlight w:val="none"/>
                <w:u w:val="none"/>
              </w:rPr>
              <w:t>。</w:t>
            </w:r>
          </w:p>
        </w:tc>
        <w:tc>
          <w:tcPr>
            <w:tcW w:w="2997" w:type="dxa"/>
            <w:shd w:val="clear" w:color="auto" w:fill="auto"/>
            <w:noWrap w:val="0"/>
            <w:vAlign w:val="center"/>
          </w:tcPr>
          <w:p w14:paraId="0495FED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rPr>
            </w:pPr>
            <w:r>
              <w:rPr>
                <w:rFonts w:hint="eastAsia" w:asciiTheme="minorEastAsia" w:hAnsiTheme="minorEastAsia" w:eastAsiaTheme="minorEastAsia" w:cstheme="minorEastAsia"/>
                <w:b w:val="0"/>
                <w:bCs w:val="0"/>
                <w:color w:val="auto"/>
                <w:sz w:val="21"/>
                <w:szCs w:val="21"/>
                <w:highlight w:val="none"/>
                <w:u w:val="none"/>
                <w:lang w:val="en-US" w:eastAsia="zh-CN"/>
              </w:rPr>
              <w:t>提供承诺函（格式自拟）</w:t>
            </w:r>
            <w:r>
              <w:rPr>
                <w:rFonts w:hint="eastAsia" w:asciiTheme="minorEastAsia" w:hAnsiTheme="minorEastAsia" w:eastAsiaTheme="minorEastAsia" w:cstheme="minorEastAsia"/>
                <w:b w:val="0"/>
                <w:bCs w:val="0"/>
                <w:color w:val="auto"/>
                <w:sz w:val="21"/>
                <w:szCs w:val="21"/>
                <w:highlight w:val="none"/>
                <w:u w:val="none"/>
                <w:lang w:eastAsia="zh-CN"/>
              </w:rPr>
              <w:t>。</w:t>
            </w:r>
          </w:p>
        </w:tc>
      </w:tr>
      <w:tr w14:paraId="27130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1AD71010">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53FC5071">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6207B28B">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0"/>
                <w:szCs w:val="20"/>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★3. 刷新率：刷新率≥3840Hz，支持50Hz/60Hz换帧频率；平整度与拼缝：模组平整度≤0.1mm，相邻模组间拼接间隙≤0.1mm。 </w:t>
            </w:r>
          </w:p>
        </w:tc>
        <w:tc>
          <w:tcPr>
            <w:tcW w:w="2997" w:type="dxa"/>
            <w:shd w:val="clear" w:color="auto" w:fill="auto"/>
            <w:noWrap w:val="0"/>
            <w:vAlign w:val="center"/>
          </w:tcPr>
          <w:p w14:paraId="746907D1">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提供以下之一：  </w:t>
            </w:r>
          </w:p>
          <w:p w14:paraId="363CF228">
            <w:pPr>
              <w:keepNext w:val="0"/>
              <w:keepLines w:val="0"/>
              <w:pageBreakBefore w:val="0"/>
              <w:kinsoku/>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（1）由具备有效CMA资质的检测机构出具的封面盖有CMA专用印章的检测报告原件关键页扫描件（依据标准SJ/T 11141或GB/T43770-2024）；  </w:t>
            </w:r>
          </w:p>
          <w:p w14:paraId="457EB0A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（2）制造商公开技术文档（如白皮书、产品规格书、彩页、官网规格页截图），明确标注该参数，并提供数据真实性的承诺函（格式自拟）。  </w:t>
            </w:r>
          </w:p>
        </w:tc>
      </w:tr>
      <w:tr w14:paraId="2D26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072D98E7">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78F9ED9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2A62ACCB">
            <w:pPr>
              <w:keepNext w:val="0"/>
              <w:keepLines w:val="0"/>
              <w:pageBreakBefore w:val="0"/>
              <w:kinsoku/>
              <w:wordWrap/>
              <w:overflowPunct/>
              <w:topLinePunct w:val="0"/>
              <w:autoSpaceDE/>
              <w:autoSpaceDN/>
              <w:bidi w:val="0"/>
              <w:adjustRightInd/>
              <w:snapToGrid/>
              <w:spacing w:line="320" w:lineRule="exact"/>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c>
          <w:tcPr>
            <w:tcW w:w="2997" w:type="dxa"/>
            <w:shd w:val="clear" w:color="auto" w:fill="auto"/>
            <w:noWrap w:val="0"/>
            <w:vAlign w:val="center"/>
          </w:tcPr>
          <w:p w14:paraId="10052FA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u w:val="none"/>
                <w:lang w:val="en-US" w:eastAsia="zh-CN"/>
              </w:rPr>
              <w:t>★16.提供所投产品CCC认证证书扫描件。</w:t>
            </w:r>
          </w:p>
        </w:tc>
      </w:tr>
      <w:tr w14:paraId="1947D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12A9EDB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2</w:t>
            </w:r>
          </w:p>
        </w:tc>
        <w:tc>
          <w:tcPr>
            <w:tcW w:w="1699" w:type="dxa"/>
            <w:vMerge w:val="restart"/>
            <w:shd w:val="clear" w:color="auto" w:fill="auto"/>
            <w:noWrap w:val="0"/>
            <w:vAlign w:val="center"/>
          </w:tcPr>
          <w:p w14:paraId="530795B6">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全频音箱</w:t>
            </w:r>
          </w:p>
        </w:tc>
        <w:tc>
          <w:tcPr>
            <w:tcW w:w="3240" w:type="dxa"/>
            <w:shd w:val="clear" w:color="auto" w:fill="auto"/>
            <w:noWrap w:val="0"/>
            <w:vAlign w:val="center"/>
          </w:tcPr>
          <w:p w14:paraId="5A76812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）（额定阻抗为8Ω时）：≥500W。</w:t>
            </w:r>
          </w:p>
        </w:tc>
        <w:tc>
          <w:tcPr>
            <w:tcW w:w="2997" w:type="dxa"/>
            <w:vMerge w:val="restart"/>
            <w:shd w:val="clear" w:color="auto" w:fill="auto"/>
            <w:noWrap w:val="0"/>
            <w:vAlign w:val="center"/>
          </w:tcPr>
          <w:p w14:paraId="4BEAC81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65F4A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2CC7F27E">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31C83675">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739DEC64">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指定频带内的声压级（指持续声压级）：≥126 dB±2 dB。</w:t>
            </w:r>
          </w:p>
        </w:tc>
        <w:tc>
          <w:tcPr>
            <w:tcW w:w="2997" w:type="dxa"/>
            <w:vMerge w:val="continue"/>
            <w:shd w:val="clear" w:color="auto" w:fill="auto"/>
            <w:noWrap w:val="0"/>
            <w:vAlign w:val="center"/>
          </w:tcPr>
          <w:p w14:paraId="6389AA0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p>
        </w:tc>
      </w:tr>
      <w:tr w14:paraId="73471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0" w:hRule="atLeast"/>
        </w:trPr>
        <w:tc>
          <w:tcPr>
            <w:tcW w:w="586" w:type="dxa"/>
            <w:shd w:val="clear" w:color="auto" w:fill="auto"/>
            <w:noWrap w:val="0"/>
            <w:vAlign w:val="center"/>
          </w:tcPr>
          <w:p w14:paraId="2B25526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3</w:t>
            </w:r>
          </w:p>
        </w:tc>
        <w:tc>
          <w:tcPr>
            <w:tcW w:w="1699" w:type="dxa"/>
            <w:shd w:val="clear" w:color="auto" w:fill="auto"/>
            <w:noWrap w:val="0"/>
            <w:vAlign w:val="center"/>
          </w:tcPr>
          <w:p w14:paraId="0F5632B2">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四通道功放</w:t>
            </w:r>
          </w:p>
        </w:tc>
        <w:tc>
          <w:tcPr>
            <w:tcW w:w="3240" w:type="dxa"/>
            <w:shd w:val="clear" w:color="auto" w:fill="auto"/>
            <w:noWrap w:val="0"/>
            <w:vAlign w:val="center"/>
          </w:tcPr>
          <w:p w14:paraId="0AF4AA6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b w:val="0"/>
                <w:bCs w:val="0"/>
                <w:i w:val="0"/>
                <w:iCs w:val="0"/>
                <w:color w:val="auto"/>
                <w:sz w:val="21"/>
                <w:szCs w:val="21"/>
                <w:highlight w:val="none"/>
                <w:u w:val="none"/>
              </w:rPr>
              <w:t>1.</w:t>
            </w:r>
            <w:r>
              <w:rPr>
                <w:rFonts w:hint="eastAsia" w:asciiTheme="minorEastAsia" w:hAnsiTheme="minorEastAsia" w:eastAsiaTheme="minorEastAsia" w:cstheme="minorEastAsia"/>
                <w:b w:val="0"/>
                <w:bCs w:val="0"/>
                <w:i w:val="0"/>
                <w:iCs w:val="0"/>
                <w:color w:val="auto"/>
                <w:sz w:val="21"/>
                <w:szCs w:val="21"/>
                <w:highlight w:val="none"/>
                <w:u w:val="none"/>
                <w:lang w:val="en-US" w:eastAsia="zh-CN"/>
              </w:rPr>
              <w:t>失真限制的输出功率（额定输出功率）：</w:t>
            </w:r>
            <w:r>
              <w:rPr>
                <w:rFonts w:hint="eastAsia" w:ascii="宋体" w:hAnsi="宋体" w:eastAsia="宋体" w:cs="宋体"/>
                <w:b w:val="0"/>
                <w:bCs w:val="0"/>
                <w:i w:val="0"/>
                <w:iCs w:val="0"/>
                <w:color w:val="auto"/>
                <w:sz w:val="21"/>
                <w:szCs w:val="21"/>
                <w:highlight w:val="none"/>
                <w:u w:val="none"/>
                <w:lang w:val="en-US" w:eastAsia="zh-CN" w:bidi="ar"/>
              </w:rPr>
              <w:t>(8Ω)</w:t>
            </w:r>
            <w:r>
              <w:rPr>
                <w:rFonts w:hint="eastAsia" w:ascii="宋体" w:hAnsi="宋体" w:cs="宋体"/>
                <w:b w:val="0"/>
                <w:bCs w:val="0"/>
                <w:i w:val="0"/>
                <w:iCs w:val="0"/>
                <w:color w:val="auto"/>
                <w:sz w:val="21"/>
                <w:szCs w:val="21"/>
                <w:highlight w:val="none"/>
                <w:u w:val="none"/>
                <w:lang w:val="en-US" w:eastAsia="zh-CN" w:bidi="ar"/>
              </w:rPr>
              <w:t>6</w:t>
            </w:r>
            <w:r>
              <w:rPr>
                <w:rFonts w:hint="eastAsia" w:ascii="宋体" w:hAnsi="宋体" w:eastAsia="宋体" w:cs="宋体"/>
                <w:b w:val="0"/>
                <w:bCs w:val="0"/>
                <w:i w:val="0"/>
                <w:iCs w:val="0"/>
                <w:color w:val="auto"/>
                <w:sz w:val="21"/>
                <w:szCs w:val="21"/>
                <w:highlight w:val="none"/>
                <w:u w:val="none"/>
                <w:lang w:val="en-US" w:eastAsia="zh-CN" w:bidi="ar"/>
              </w:rPr>
              <w:t>00W×4；</w:t>
            </w:r>
          </w:p>
        </w:tc>
        <w:tc>
          <w:tcPr>
            <w:tcW w:w="2997" w:type="dxa"/>
            <w:shd w:val="clear" w:color="auto" w:fill="auto"/>
            <w:noWrap w:val="0"/>
            <w:vAlign w:val="center"/>
          </w:tcPr>
          <w:p w14:paraId="07EAD70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提供由具备有效CMA资质的检测机构出具的含CMA认定标志的检测报告原件（关键页或全文）扫描件（依据标准 GB/T 12060.3-2011（IEC 60628-3-2000））。</w:t>
            </w:r>
          </w:p>
        </w:tc>
      </w:tr>
      <w:tr w14:paraId="0F118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shd w:val="clear" w:color="auto" w:fill="auto"/>
            <w:noWrap w:val="0"/>
            <w:vAlign w:val="center"/>
          </w:tcPr>
          <w:p w14:paraId="5C130151">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五</w:t>
            </w:r>
          </w:p>
        </w:tc>
        <w:tc>
          <w:tcPr>
            <w:tcW w:w="1699" w:type="dxa"/>
            <w:shd w:val="clear" w:color="auto" w:fill="auto"/>
            <w:noWrap w:val="0"/>
            <w:vAlign w:val="center"/>
          </w:tcPr>
          <w:p w14:paraId="0ACC691F">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舞蹈教室</w:t>
            </w:r>
          </w:p>
        </w:tc>
        <w:tc>
          <w:tcPr>
            <w:tcW w:w="3240" w:type="dxa"/>
            <w:shd w:val="clear" w:color="auto" w:fill="auto"/>
            <w:noWrap w:val="0"/>
            <w:vAlign w:val="center"/>
          </w:tcPr>
          <w:p w14:paraId="6873D1E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p>
        </w:tc>
        <w:tc>
          <w:tcPr>
            <w:tcW w:w="2997" w:type="dxa"/>
            <w:shd w:val="clear" w:color="auto" w:fill="auto"/>
            <w:noWrap w:val="0"/>
            <w:vAlign w:val="center"/>
          </w:tcPr>
          <w:p w14:paraId="3FD23E38">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p>
        </w:tc>
      </w:tr>
      <w:tr w14:paraId="5277A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restart"/>
            <w:shd w:val="clear" w:color="auto" w:fill="auto"/>
            <w:noWrap w:val="0"/>
            <w:vAlign w:val="center"/>
          </w:tcPr>
          <w:p w14:paraId="18927BFB">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1</w:t>
            </w:r>
          </w:p>
        </w:tc>
        <w:tc>
          <w:tcPr>
            <w:tcW w:w="1699" w:type="dxa"/>
            <w:vMerge w:val="restart"/>
            <w:shd w:val="clear" w:color="auto" w:fill="auto"/>
            <w:noWrap w:val="0"/>
            <w:vAlign w:val="center"/>
          </w:tcPr>
          <w:p w14:paraId="520D2D00">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音箱</w:t>
            </w:r>
          </w:p>
        </w:tc>
        <w:tc>
          <w:tcPr>
            <w:tcW w:w="3240" w:type="dxa"/>
            <w:shd w:val="clear" w:color="auto" w:fill="auto"/>
            <w:noWrap w:val="0"/>
            <w:vAlign w:val="center"/>
          </w:tcPr>
          <w:p w14:paraId="043FA9C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★3.额定功率（输入电功率，长期最大功率</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）（额定阻抗为8Ω时）：不劣于400W。</w:t>
            </w:r>
          </w:p>
        </w:tc>
        <w:tc>
          <w:tcPr>
            <w:tcW w:w="2997" w:type="dxa"/>
            <w:vMerge w:val="restart"/>
            <w:shd w:val="clear" w:color="auto" w:fill="auto"/>
            <w:noWrap w:val="0"/>
            <w:vAlign w:val="center"/>
          </w:tcPr>
          <w:p w14:paraId="0AF0FF45">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提供</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由具备有效CMA资质的检测机构出具的含CMA认定标志的检测报告原件（关键页或全文）扫描件（依据标准</w:t>
            </w: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GB/T 12060.5-2011 或 IEC 60268-5:2007</w:t>
            </w:r>
            <w:r>
              <w:rPr>
                <w:rFonts w:hint="eastAsia" w:asciiTheme="minorEastAsia" w:hAnsiTheme="minorEastAsia" w:eastAsiaTheme="minorEastAsia" w:cstheme="minorEastAsia"/>
                <w:i w:val="0"/>
                <w:iCs w:val="0"/>
                <w:strike w:val="0"/>
                <w:dstrike w:val="0"/>
                <w:color w:val="auto"/>
                <w:kern w:val="0"/>
                <w:sz w:val="21"/>
                <w:szCs w:val="21"/>
                <w:highlight w:val="none"/>
                <w:u w:val="none"/>
                <w:lang w:val="en-US" w:eastAsia="zh-CN" w:bidi="ar"/>
              </w:rPr>
              <w:t>）。</w:t>
            </w:r>
          </w:p>
        </w:tc>
      </w:tr>
      <w:tr w14:paraId="3CA5F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vMerge w:val="continue"/>
            <w:shd w:val="clear" w:color="auto" w:fill="auto"/>
            <w:noWrap w:val="0"/>
            <w:vAlign w:val="center"/>
          </w:tcPr>
          <w:p w14:paraId="67042BA2">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eastAsia="宋体" w:cs="宋体"/>
                <w:i w:val="0"/>
                <w:iCs w:val="0"/>
                <w:color w:val="auto"/>
                <w:sz w:val="21"/>
                <w:szCs w:val="21"/>
                <w:u w:val="none"/>
                <w:lang w:val="en-US" w:eastAsia="zh-CN" w:bidi="ar"/>
              </w:rPr>
            </w:pPr>
          </w:p>
        </w:tc>
        <w:tc>
          <w:tcPr>
            <w:tcW w:w="1699" w:type="dxa"/>
            <w:vMerge w:val="continue"/>
            <w:shd w:val="clear" w:color="auto" w:fill="auto"/>
            <w:noWrap w:val="0"/>
            <w:vAlign w:val="center"/>
          </w:tcPr>
          <w:p w14:paraId="76467284">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eastAsia" w:ascii="宋体" w:hAnsi="宋体" w:eastAsia="宋体" w:cs="宋体"/>
                <w:i w:val="0"/>
                <w:iCs w:val="0"/>
                <w:color w:val="auto"/>
                <w:sz w:val="21"/>
                <w:szCs w:val="21"/>
                <w:u w:val="none"/>
                <w:lang w:val="en-US" w:eastAsia="zh-CN" w:bidi="ar"/>
              </w:rPr>
            </w:pPr>
          </w:p>
        </w:tc>
        <w:tc>
          <w:tcPr>
            <w:tcW w:w="3240" w:type="dxa"/>
            <w:shd w:val="clear" w:color="auto" w:fill="auto"/>
            <w:noWrap w:val="0"/>
            <w:vAlign w:val="center"/>
          </w:tcPr>
          <w:p w14:paraId="5C970D5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Theme="minorEastAsia" w:hAnsiTheme="minorEastAsia" w:eastAsiaTheme="minorEastAsia" w:cstheme="minorEastAsia"/>
                <w:b w:val="0"/>
                <w:bCs w:val="0"/>
                <w:i w:val="0"/>
                <w:iCs w:val="0"/>
                <w:strike w:val="0"/>
                <w:dstrike w:val="0"/>
                <w:color w:val="auto"/>
                <w:kern w:val="0"/>
                <w:sz w:val="21"/>
                <w:szCs w:val="21"/>
                <w:highlight w:val="none"/>
                <w:u w:val="none"/>
                <w:lang w:val="en-US" w:eastAsia="zh-CN" w:bidi="ar"/>
              </w:rPr>
              <w:t>★5. 指定频带内的声压级（指持续声压级）：≥124 dB±2 dB。</w:t>
            </w:r>
          </w:p>
        </w:tc>
        <w:tc>
          <w:tcPr>
            <w:tcW w:w="2997" w:type="dxa"/>
            <w:vMerge w:val="continue"/>
            <w:shd w:val="clear" w:color="auto" w:fill="auto"/>
            <w:noWrap w:val="0"/>
            <w:vAlign w:val="center"/>
          </w:tcPr>
          <w:p w14:paraId="315449B6">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p>
        </w:tc>
      </w:tr>
      <w:tr w14:paraId="4BC54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shd w:val="clear" w:color="auto" w:fill="auto"/>
            <w:noWrap w:val="0"/>
            <w:vAlign w:val="center"/>
          </w:tcPr>
          <w:p w14:paraId="24AC1AA9">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default"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六</w:t>
            </w:r>
          </w:p>
        </w:tc>
        <w:tc>
          <w:tcPr>
            <w:tcW w:w="1699" w:type="dxa"/>
            <w:shd w:val="clear" w:color="auto" w:fill="auto"/>
            <w:noWrap w:val="0"/>
            <w:vAlign w:val="center"/>
          </w:tcPr>
          <w:p w14:paraId="6C0A4697">
            <w:pPr>
              <w:keepNext w:val="0"/>
              <w:keepLines w:val="0"/>
              <w:pageBreakBefore w:val="0"/>
              <w:widowControl/>
              <w:suppressLineNumbers w:val="0"/>
              <w:kinsoku/>
              <w:wordWrap/>
              <w:overflowPunct/>
              <w:topLinePunct w:val="0"/>
              <w:autoSpaceDE/>
              <w:autoSpaceDN/>
              <w:bidi w:val="0"/>
              <w:adjustRightInd/>
              <w:snapToGrid/>
              <w:spacing w:line="320" w:lineRule="exact"/>
              <w:jc w:val="left"/>
              <w:rPr>
                <w:rFonts w:hint="default"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其他</w:t>
            </w:r>
          </w:p>
        </w:tc>
        <w:tc>
          <w:tcPr>
            <w:tcW w:w="3240" w:type="dxa"/>
            <w:shd w:val="clear" w:color="auto" w:fill="auto"/>
            <w:noWrap w:val="0"/>
            <w:vAlign w:val="center"/>
          </w:tcPr>
          <w:p w14:paraId="075E32B7">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b w:val="0"/>
                <w:bCs w:val="0"/>
                <w:i w:val="0"/>
                <w:iCs w:val="0"/>
                <w:color w:val="auto"/>
                <w:sz w:val="21"/>
                <w:szCs w:val="21"/>
                <w:highlight w:val="none"/>
                <w:u w:val="none"/>
                <w:lang w:val="en-US" w:eastAsia="zh-CN" w:bidi="ar"/>
              </w:rPr>
            </w:pPr>
          </w:p>
        </w:tc>
        <w:tc>
          <w:tcPr>
            <w:tcW w:w="2997" w:type="dxa"/>
            <w:shd w:val="clear" w:color="auto" w:fill="auto"/>
            <w:noWrap w:val="0"/>
            <w:vAlign w:val="center"/>
          </w:tcPr>
          <w:p w14:paraId="5BF25833">
            <w:pPr>
              <w:keepNext w:val="0"/>
              <w:keepLines w:val="0"/>
              <w:pageBreakBefore w:val="0"/>
              <w:widowControl/>
              <w:suppressLineNumbers w:val="0"/>
              <w:kinsoku/>
              <w:wordWrap/>
              <w:overflowPunct/>
              <w:topLinePunct w:val="0"/>
              <w:autoSpaceDE/>
              <w:autoSpaceDN/>
              <w:bidi w:val="0"/>
              <w:adjustRightInd/>
              <w:snapToGrid/>
              <w:spacing w:line="320" w:lineRule="exact"/>
              <w:jc w:val="center"/>
              <w:rPr>
                <w:rFonts w:hint="eastAsia" w:ascii="宋体" w:hAnsi="宋体" w:eastAsia="宋体" w:cs="宋体"/>
                <w:b w:val="0"/>
                <w:bCs w:val="0"/>
                <w:i w:val="0"/>
                <w:iCs w:val="0"/>
                <w:color w:val="auto"/>
                <w:sz w:val="21"/>
                <w:szCs w:val="21"/>
                <w:highlight w:val="none"/>
                <w:u w:val="none"/>
                <w:lang w:val="en-US" w:eastAsia="zh-CN" w:bidi="ar"/>
              </w:rPr>
            </w:pPr>
          </w:p>
        </w:tc>
      </w:tr>
      <w:tr w14:paraId="54DAC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586" w:type="dxa"/>
            <w:shd w:val="clear" w:color="auto" w:fill="auto"/>
            <w:noWrap w:val="0"/>
            <w:vAlign w:val="center"/>
          </w:tcPr>
          <w:p w14:paraId="793F181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699" w:type="dxa"/>
            <w:shd w:val="clear" w:color="auto" w:fill="auto"/>
            <w:noWrap w:val="0"/>
            <w:vAlign w:val="center"/>
          </w:tcPr>
          <w:p w14:paraId="33B8892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检测报告要求</w:t>
            </w:r>
          </w:p>
        </w:tc>
        <w:tc>
          <w:tcPr>
            <w:tcW w:w="3240" w:type="dxa"/>
            <w:shd w:val="clear" w:color="auto" w:fill="auto"/>
            <w:noWrap w:val="0"/>
            <w:vAlign w:val="center"/>
          </w:tcPr>
          <w:p w14:paraId="4041554D">
            <w:pPr>
              <w:keepNext w:val="0"/>
              <w:keepLines w:val="0"/>
              <w:pageBreakBefore w:val="0"/>
              <w:kinsoku/>
              <w:wordWrap/>
              <w:overflowPunct/>
              <w:topLinePunct w:val="0"/>
              <w:autoSpaceDE/>
              <w:autoSpaceDN/>
              <w:bidi w:val="0"/>
              <w:adjustRightInd/>
              <w:snapToGrid/>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投标人关于检测报告合规性的承诺函</w:t>
            </w:r>
          </w:p>
        </w:tc>
        <w:tc>
          <w:tcPr>
            <w:tcW w:w="2997" w:type="dxa"/>
            <w:shd w:val="clear" w:color="auto" w:fill="auto"/>
            <w:noWrap w:val="0"/>
            <w:vAlign w:val="center"/>
          </w:tcPr>
          <w:p w14:paraId="6AA51B26">
            <w:pPr>
              <w:keepNext w:val="0"/>
              <w:keepLines w:val="0"/>
              <w:pageBreakBefore w:val="0"/>
              <w:kinsoku/>
              <w:wordWrap/>
              <w:overflowPunct/>
              <w:topLinePunct w:val="0"/>
              <w:autoSpaceDE/>
              <w:autoSpaceDN/>
              <w:bidi w:val="0"/>
              <w:adjustRightInd/>
              <w:snapToGrid/>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提供投标人关于检测报告合规性的承诺函（实质性格式，格式详见附件）</w:t>
            </w:r>
          </w:p>
        </w:tc>
      </w:tr>
    </w:tbl>
    <w:p w14:paraId="628BAC98">
      <w:pPr>
        <w:numPr>
          <w:ilvl w:val="0"/>
          <w:numId w:val="0"/>
        </w:numPr>
        <w:spacing w:line="276" w:lineRule="auto"/>
        <w:rPr>
          <w:rFonts w:hint="eastAsia" w:asciiTheme="minorEastAsia" w:hAnsiTheme="minorEastAsia" w:eastAsiaTheme="minorEastAsia" w:cstheme="minorEastAsia"/>
          <w:color w:val="auto"/>
          <w:sz w:val="24"/>
          <w:szCs w:val="24"/>
        </w:rPr>
      </w:pPr>
    </w:p>
    <w:p w14:paraId="240790A0">
      <w:pPr>
        <w:numPr>
          <w:ilvl w:val="0"/>
          <w:numId w:val="12"/>
        </w:numPr>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样品</w:t>
      </w:r>
      <w:r>
        <w:rPr>
          <w:rFonts w:hint="eastAsia" w:asciiTheme="minorEastAsia" w:hAnsiTheme="minorEastAsia" w:eastAsiaTheme="minorEastAsia" w:cstheme="minorEastAsia"/>
          <w:color w:val="auto"/>
          <w:sz w:val="24"/>
          <w:szCs w:val="24"/>
          <w:lang w:val="en-US" w:eastAsia="zh-CN"/>
        </w:rPr>
        <w:t>及演示要求</w:t>
      </w:r>
      <w:r>
        <w:rPr>
          <w:rFonts w:hint="eastAsia" w:asciiTheme="minorEastAsia" w:hAnsiTheme="minorEastAsia" w:eastAsiaTheme="minorEastAsia" w:cstheme="minorEastAsia"/>
          <w:color w:val="auto"/>
          <w:sz w:val="24"/>
          <w:szCs w:val="24"/>
          <w:lang w:eastAsia="zh-CN"/>
        </w:rPr>
        <w:t>：</w:t>
      </w:r>
    </w:p>
    <w:p w14:paraId="4039E310">
      <w:pPr>
        <w:spacing w:line="360" w:lineRule="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无</w:t>
      </w:r>
    </w:p>
    <w:p w14:paraId="09F801CE">
      <w:pPr>
        <w:rPr>
          <w:rFonts w:hint="eastAsia" w:asciiTheme="minorEastAsia" w:hAnsiTheme="minorEastAsia" w:eastAsiaTheme="minorEastAsia" w:cstheme="minorEastAsia"/>
          <w:color w:val="auto"/>
        </w:rPr>
      </w:pPr>
    </w:p>
    <w:p w14:paraId="104BBCAD">
      <w:pPr>
        <w:numPr>
          <w:ilvl w:val="0"/>
          <w:numId w:val="12"/>
        </w:numPr>
        <w:spacing w:line="276" w:lineRule="auto"/>
        <w:rPr>
          <w:rFonts w:hint="eastAsia" w:asciiTheme="minorEastAsia" w:hAnsiTheme="minorEastAsia" w:eastAsiaTheme="minorEastAsia" w:cstheme="minorEastAsia"/>
          <w:b/>
          <w:bCs/>
          <w:strike w:val="0"/>
          <w:dstrike w:val="0"/>
          <w:color w:val="auto"/>
          <w:sz w:val="24"/>
        </w:rPr>
      </w:pPr>
      <w:bookmarkStart w:id="201" w:name="_Toc7880"/>
      <w:r>
        <w:rPr>
          <w:rFonts w:hint="eastAsia" w:asciiTheme="minorEastAsia" w:hAnsiTheme="minorEastAsia" w:eastAsiaTheme="minorEastAsia" w:cstheme="minorEastAsia"/>
          <w:b/>
          <w:bCs/>
          <w:strike w:val="0"/>
          <w:dstrike w:val="0"/>
          <w:color w:val="auto"/>
          <w:sz w:val="24"/>
        </w:rPr>
        <w:t>采购标的对应的中小企业划分标准所属行业一览表</w:t>
      </w:r>
    </w:p>
    <w:tbl>
      <w:tblPr>
        <w:tblStyle w:val="25"/>
        <w:tblW w:w="831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8"/>
        <w:gridCol w:w="5046"/>
        <w:gridCol w:w="2395"/>
      </w:tblGrid>
      <w:tr w14:paraId="1093F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8143">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序号</w:t>
            </w:r>
          </w:p>
        </w:tc>
        <w:tc>
          <w:tcPr>
            <w:tcW w:w="50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3E435">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采购标的</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39006">
            <w:pPr>
              <w:keepNext w:val="0"/>
              <w:keepLines w:val="0"/>
              <w:widowControl/>
              <w:suppressLineNumbers w:val="0"/>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对应中小企业划分标准所属行业</w:t>
            </w:r>
          </w:p>
        </w:tc>
      </w:tr>
      <w:tr w14:paraId="15C01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BE3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2D5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大报告厅</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0E5A">
            <w:pPr>
              <w:rPr>
                <w:rFonts w:hint="eastAsia" w:ascii="宋体" w:hAnsi="宋体" w:eastAsia="宋体" w:cs="宋体"/>
                <w:i w:val="0"/>
                <w:iCs w:val="0"/>
                <w:color w:val="auto"/>
                <w:sz w:val="21"/>
                <w:szCs w:val="21"/>
                <w:u w:val="none"/>
              </w:rPr>
            </w:pPr>
          </w:p>
        </w:tc>
      </w:tr>
      <w:tr w14:paraId="7E01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5A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6FA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舞台音响系统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9DBB">
            <w:pPr>
              <w:rPr>
                <w:rFonts w:hint="eastAsia" w:ascii="宋体" w:hAnsi="宋体" w:eastAsia="宋体" w:cs="宋体"/>
                <w:i w:val="0"/>
                <w:iCs w:val="0"/>
                <w:color w:val="auto"/>
                <w:sz w:val="21"/>
                <w:szCs w:val="21"/>
                <w:u w:val="none"/>
              </w:rPr>
            </w:pPr>
          </w:p>
        </w:tc>
      </w:tr>
      <w:tr w14:paraId="0878D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624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120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左右主扩线阵全频音箱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4F25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FDDB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8A11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C1C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中置主扩线阵全频音箱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729E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ACB4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10A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2B29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拉声像音箱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F95B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D5B2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8B9D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E6E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超低音箱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F00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1794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1EE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561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FE4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AEC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B42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E05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台唇音箱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724B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3BBD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AFE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76E2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主扩线阵全频音箱功放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103C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6DD3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8A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BA4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中央声道音箱功放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7EDF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288B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DC0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FB3E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拉声像音箱功放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0BBE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19E7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E64E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E03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超低音箱功放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FF3B4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35F2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3CA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9DA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返听音箱四通道功放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B286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7DCE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54A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7D7A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台唇音箱四通道功放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F882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7561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07A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73D6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数字调音台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CF72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D9EE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EFA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149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数字接口箱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1E26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6B1B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1EF3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345B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数字音频处理器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B3B9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494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E73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232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2376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568F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32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A7B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无线领夹话筒（一拖二）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AB78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55F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501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909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4627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9E3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723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69E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合唱话筒</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EF32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8408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4C0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2F0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天线分配器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B0E3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7C5F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570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4BA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指向性天线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5D7D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C694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031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4C4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监听音箱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D4A8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8064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858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A9B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电源管理器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0D19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A75B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1539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D09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线阵音箱安装支架</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A819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79F9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0C1A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96FB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2BFB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16DE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516E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7C6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护套喇叭线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B38D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6081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382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73F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CDDA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F4A0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538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5DC0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天线延长线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F3FB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F2C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AD6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9EB2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话筒落地支架</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BA9F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4CF4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18A2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A070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音频隔离变压器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DFEC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3D6B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F343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92F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音频跳线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1065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FDED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5C33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BA0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多媒体插座</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B43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464A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FB2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477B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桥架</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F913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7044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83E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53B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JDG管</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7C53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5871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401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88A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操作台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CB9D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0878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610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EC6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97B9">
            <w:pPr>
              <w:rPr>
                <w:rFonts w:hint="eastAsia" w:ascii="宋体" w:hAnsi="宋体" w:eastAsia="宋体" w:cs="宋体"/>
                <w:i w:val="0"/>
                <w:iCs w:val="0"/>
                <w:color w:val="auto"/>
                <w:sz w:val="21"/>
                <w:szCs w:val="21"/>
                <w:u w:val="none"/>
              </w:rPr>
            </w:pPr>
          </w:p>
        </w:tc>
      </w:tr>
      <w:tr w14:paraId="7FA4C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E24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6AE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成像面光灯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EBF0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724B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C37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214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一顶光平板会议灯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7EDF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141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A02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939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一顶光帕灯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9F6F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B43B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F24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FFD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二顶光平板会议灯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8A0C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A5BD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5C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D5A5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二顶光帕灯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5A3F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9208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D59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B5D9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三顶光平板会议灯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7DA5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E30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123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276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三顶光帕灯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D620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18A8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8552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473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侧光帕灯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7BB0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B763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2DAD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3F0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灯光控台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651E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7CC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C18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C716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信号放大器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96A9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7170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A88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7F6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电源直通箱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2003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449C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165B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F3CF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信号线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1263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9DFE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0A1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FC1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6085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F9C8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059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E16E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保险链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C3B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700D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6F92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5FA1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铸铝灯钩</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019C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7191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27F4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4C93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安装辅材</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6A04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D49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E73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AA4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F1205">
            <w:pPr>
              <w:rPr>
                <w:rFonts w:hint="eastAsia" w:ascii="宋体" w:hAnsi="宋体" w:eastAsia="宋体" w:cs="宋体"/>
                <w:i w:val="0"/>
                <w:iCs w:val="0"/>
                <w:color w:val="auto"/>
                <w:sz w:val="21"/>
                <w:szCs w:val="21"/>
                <w:u w:val="none"/>
              </w:rPr>
            </w:pPr>
          </w:p>
        </w:tc>
      </w:tr>
      <w:tr w14:paraId="76D3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0019">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2BD9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674E">
            <w:pPr>
              <w:rPr>
                <w:rFonts w:hint="eastAsia" w:ascii="宋体" w:hAnsi="宋体" w:eastAsia="宋体" w:cs="宋体"/>
                <w:i w:val="0"/>
                <w:iCs w:val="0"/>
                <w:color w:val="auto"/>
                <w:sz w:val="21"/>
                <w:szCs w:val="21"/>
                <w:u w:val="none"/>
              </w:rPr>
            </w:pPr>
          </w:p>
        </w:tc>
      </w:tr>
      <w:tr w14:paraId="2C208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7E3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45E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0668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A884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166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0082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D099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7611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A78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B5CB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8D3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8E71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DAF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FE8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播控主机</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25A4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C715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D425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079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 LED专用配电柜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8816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1ED6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2AA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F82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63DE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B509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961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349C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无线协作系统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8E53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E37C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79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11C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B677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5D1B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123A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323C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8CC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C31B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F24D">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2CD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会标屏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21668">
            <w:pPr>
              <w:jc w:val="center"/>
              <w:rPr>
                <w:rFonts w:hint="eastAsia" w:ascii="宋体" w:hAnsi="宋体" w:eastAsia="宋体" w:cs="宋体"/>
                <w:i w:val="0"/>
                <w:iCs w:val="0"/>
                <w:color w:val="auto"/>
                <w:sz w:val="21"/>
                <w:szCs w:val="21"/>
                <w:u w:val="none"/>
              </w:rPr>
            </w:pPr>
          </w:p>
        </w:tc>
      </w:tr>
      <w:tr w14:paraId="4CBC9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45E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BEC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6D2F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3EEE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11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2C04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6163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9B80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6CAF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47B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0D71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13FB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DFD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58A51">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F1BD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4AD2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ED7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ECE7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17432">
            <w:pPr>
              <w:rPr>
                <w:rFonts w:hint="eastAsia" w:ascii="宋体" w:hAnsi="宋体" w:eastAsia="宋体" w:cs="宋体"/>
                <w:i w:val="0"/>
                <w:iCs w:val="0"/>
                <w:color w:val="auto"/>
                <w:sz w:val="21"/>
                <w:szCs w:val="21"/>
                <w:u w:val="none"/>
              </w:rPr>
            </w:pPr>
          </w:p>
        </w:tc>
      </w:tr>
      <w:tr w14:paraId="1745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287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5C5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对开调速大幕机</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A9D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AA5D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D3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6C0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匀速底幕机</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6318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AC70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4A8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83EA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幕布轨道</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C7CA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99E0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5C5E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1C6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幕布轨道传动系统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73A5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5DA9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3F0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F12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舞台灯光吊杆机</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FBD6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6D47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54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ADF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灯光吊杆机滑轮组</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0F66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C2CB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9DF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A93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舞台灯光杆体</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1AC4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6B4E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6684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11AC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固定幕布吊杆</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9A8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EC54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48C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F27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钢丝绳</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2949B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ACB8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327A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E241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舞台机械控制台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A0BF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B2AF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BAD4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9AC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舞台机械电源箱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FD16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27D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C132">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B58A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方管</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4ACB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49CF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F5BA">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987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收线框</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FD10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B49B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049D">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CD7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辅材</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33C2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3F49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5DB2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562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舞台幕布系统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38605">
            <w:pPr>
              <w:jc w:val="center"/>
              <w:rPr>
                <w:rFonts w:hint="eastAsia" w:ascii="宋体" w:hAnsi="宋体" w:eastAsia="宋体" w:cs="宋体"/>
                <w:i w:val="0"/>
                <w:iCs w:val="0"/>
                <w:color w:val="auto"/>
                <w:sz w:val="21"/>
                <w:szCs w:val="21"/>
                <w:u w:val="none"/>
              </w:rPr>
            </w:pPr>
          </w:p>
        </w:tc>
      </w:tr>
      <w:tr w14:paraId="3CD0B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17B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70D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阻燃丝绒前檐幕</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A3B8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D6A3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303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1358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阻燃前檐幕衬里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B6D7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4337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162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45C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阻燃丝绒大幕</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320F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8FD8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D70A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43C3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阻燃大幕衬里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3C7A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9820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0E0D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52A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阻燃丝绒横幕</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4B99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B136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CFA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9DA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阻燃丝绒侧幕</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174A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17D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116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FB43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阻燃丝绒底幕</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2DCB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EE4F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528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E04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小报告厅</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36745">
            <w:pPr>
              <w:rPr>
                <w:rFonts w:hint="eastAsia" w:ascii="宋体" w:hAnsi="宋体" w:eastAsia="宋体" w:cs="宋体"/>
                <w:i w:val="0"/>
                <w:iCs w:val="0"/>
                <w:color w:val="auto"/>
                <w:sz w:val="21"/>
                <w:szCs w:val="21"/>
                <w:u w:val="none"/>
              </w:rPr>
            </w:pPr>
          </w:p>
        </w:tc>
      </w:tr>
      <w:tr w14:paraId="05785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B9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B908A1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4F805">
            <w:pPr>
              <w:rPr>
                <w:rFonts w:hint="eastAsia" w:ascii="宋体" w:hAnsi="宋体" w:eastAsia="宋体" w:cs="宋体"/>
                <w:i w:val="0"/>
                <w:iCs w:val="0"/>
                <w:color w:val="auto"/>
                <w:sz w:val="21"/>
                <w:szCs w:val="21"/>
                <w:u w:val="none"/>
              </w:rPr>
            </w:pPr>
          </w:p>
        </w:tc>
      </w:tr>
      <w:tr w14:paraId="7BE8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84C7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777F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2220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D39C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45A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1B16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FC05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28BD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C8C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4105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主扩音箱四通道功放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FE42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C100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A054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FDF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返听音箱功放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6EFD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9B29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4F6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9C0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22FB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3D3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0C4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54D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6509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EF5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AD6A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328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F95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CCD7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787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BCE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79D0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BDDD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6B3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63F6">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电源管理器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E4A1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58BE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A410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7AE7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45122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A692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5A9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AB17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多媒体地插</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5E97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27AA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7018C">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0F9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线材</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5FC6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3FF9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398931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A5E1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E1A4">
            <w:pPr>
              <w:rPr>
                <w:rFonts w:hint="eastAsia" w:ascii="宋体" w:hAnsi="宋体" w:eastAsia="宋体" w:cs="宋体"/>
                <w:i w:val="0"/>
                <w:iCs w:val="0"/>
                <w:color w:val="auto"/>
                <w:sz w:val="21"/>
                <w:szCs w:val="21"/>
                <w:u w:val="none"/>
              </w:rPr>
            </w:pPr>
          </w:p>
        </w:tc>
      </w:tr>
      <w:tr w14:paraId="7C9A3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57AB50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BF8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33A5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376F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5EBDD6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AE2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B75C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D3B8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F50AB0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E94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EFDE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57D7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8A197F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8487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B107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33C0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C7D09E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862E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6DD4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CBD7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703180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5AD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B2D5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C4CF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38A36D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1BCC">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灯光系统</w:t>
            </w:r>
          </w:p>
        </w:tc>
        <w:tc>
          <w:tcPr>
            <w:tcW w:w="2395" w:type="dxa"/>
            <w:tcBorders>
              <w:top w:val="nil"/>
              <w:left w:val="nil"/>
              <w:bottom w:val="nil"/>
              <w:right w:val="nil"/>
            </w:tcBorders>
            <w:shd w:val="clear" w:color="auto" w:fill="auto"/>
            <w:noWrap/>
            <w:vAlign w:val="center"/>
          </w:tcPr>
          <w:p w14:paraId="3B26F76B">
            <w:pPr>
              <w:rPr>
                <w:rFonts w:hint="eastAsia" w:ascii="宋体" w:hAnsi="宋体" w:eastAsia="宋体" w:cs="宋体"/>
                <w:i w:val="0"/>
                <w:iCs w:val="0"/>
                <w:color w:val="auto"/>
                <w:sz w:val="21"/>
                <w:szCs w:val="21"/>
                <w:u w:val="none"/>
              </w:rPr>
            </w:pPr>
          </w:p>
        </w:tc>
      </w:tr>
      <w:tr w14:paraId="7268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B8F9D8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911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嵌入式会议面光灯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A4D7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6CD6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45157C0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399F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嵌入式会议平板灯</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48F7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D79A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9CE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6140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行政楼5F会议室</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FB597">
            <w:pPr>
              <w:rPr>
                <w:rFonts w:hint="eastAsia" w:ascii="宋体" w:hAnsi="宋体" w:eastAsia="宋体" w:cs="宋体"/>
                <w:i w:val="0"/>
                <w:iCs w:val="0"/>
                <w:color w:val="auto"/>
                <w:sz w:val="21"/>
                <w:szCs w:val="21"/>
                <w:u w:val="none"/>
              </w:rPr>
            </w:pPr>
          </w:p>
        </w:tc>
      </w:tr>
      <w:tr w14:paraId="326D2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418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AEE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6A4F2">
            <w:pPr>
              <w:jc w:val="center"/>
              <w:rPr>
                <w:rFonts w:hint="eastAsia" w:ascii="宋体" w:hAnsi="宋体" w:eastAsia="宋体" w:cs="宋体"/>
                <w:i w:val="0"/>
                <w:iCs w:val="0"/>
                <w:color w:val="auto"/>
                <w:sz w:val="21"/>
                <w:szCs w:val="21"/>
                <w:u w:val="none"/>
              </w:rPr>
            </w:pPr>
          </w:p>
        </w:tc>
      </w:tr>
      <w:tr w14:paraId="19B74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44B8DC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D8A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主扩音箱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8702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FAE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183F58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628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吸顶音箱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B0E7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BFBB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14E812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E353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四通道功放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BF47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B821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517534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CE99">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B95F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09D4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AAF68C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A3C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数字音频处理器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C756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9205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B08F12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86C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8路电源时序器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B010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50E9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C344E0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B21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340B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BE38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25C609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5A1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BE2D8">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20DF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8B16B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5862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多媒体桌插</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3F5B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0693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1C4B1D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C9078F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3CD08">
            <w:pPr>
              <w:jc w:val="center"/>
              <w:rPr>
                <w:rFonts w:hint="eastAsia" w:ascii="宋体" w:hAnsi="宋体" w:eastAsia="宋体" w:cs="宋体"/>
                <w:i w:val="0"/>
                <w:iCs w:val="0"/>
                <w:color w:val="auto"/>
                <w:sz w:val="21"/>
                <w:szCs w:val="21"/>
                <w:u w:val="none"/>
              </w:rPr>
            </w:pPr>
          </w:p>
        </w:tc>
      </w:tr>
      <w:tr w14:paraId="128A3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014F71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62F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LED显示屏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E5A1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19D4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6D4696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9BF8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C057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C4D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552F2F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DC4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控制系统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2B7B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17D1E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E6D9FF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D107">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大屏钢结构及装修装饰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9A0D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FAD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4E4646B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7BE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HDMI高清收发器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B5B5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2D48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5CF7912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B12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A36B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13BD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E6B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808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风雨操场</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8F9B">
            <w:pPr>
              <w:rPr>
                <w:rFonts w:hint="eastAsia" w:ascii="宋体" w:hAnsi="宋体" w:eastAsia="宋体" w:cs="宋体"/>
                <w:i w:val="0"/>
                <w:iCs w:val="0"/>
                <w:color w:val="auto"/>
                <w:sz w:val="21"/>
                <w:szCs w:val="21"/>
                <w:u w:val="none"/>
              </w:rPr>
            </w:pPr>
          </w:p>
        </w:tc>
      </w:tr>
      <w:tr w14:paraId="2091A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EE69B8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A</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2B27CC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显示系统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C50C9">
            <w:pPr>
              <w:jc w:val="center"/>
              <w:rPr>
                <w:rFonts w:hint="eastAsia" w:ascii="宋体" w:hAnsi="宋体" w:eastAsia="宋体" w:cs="宋体"/>
                <w:i w:val="0"/>
                <w:iCs w:val="0"/>
                <w:color w:val="auto"/>
                <w:sz w:val="21"/>
                <w:szCs w:val="21"/>
                <w:u w:val="none"/>
              </w:rPr>
            </w:pPr>
          </w:p>
        </w:tc>
      </w:tr>
      <w:tr w14:paraId="2DDC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CE708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DF7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室内P</w:t>
            </w:r>
            <w:r>
              <w:rPr>
                <w:rFonts w:hint="eastAsia" w:ascii="宋体" w:hAnsi="宋体" w:cs="宋体"/>
                <w:i w:val="0"/>
                <w:iCs w:val="0"/>
                <w:color w:val="auto"/>
                <w:sz w:val="21"/>
                <w:szCs w:val="21"/>
                <w:u w:val="none"/>
                <w:lang w:val="en-US" w:eastAsia="zh-CN" w:bidi="ar"/>
              </w:rPr>
              <w:t>3</w:t>
            </w:r>
            <w:r>
              <w:rPr>
                <w:rFonts w:hint="eastAsia" w:ascii="宋体" w:hAnsi="宋体" w:eastAsia="宋体" w:cs="宋体"/>
                <w:i w:val="0"/>
                <w:iCs w:val="0"/>
                <w:color w:val="auto"/>
                <w:sz w:val="21"/>
                <w:szCs w:val="21"/>
                <w:u w:val="none"/>
                <w:lang w:val="en-US" w:eastAsia="zh-CN" w:bidi="ar"/>
              </w:rPr>
              <w:t>全彩屏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7EE3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97F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201ED1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A12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8C2D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560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A93ED3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E82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视频控制系统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388A2">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8FFC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5AB8307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682D5">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 LED专用配电柜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9658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B9D1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A9260E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FBA2">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布线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A1B4B">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74C9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992582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ABF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无线投屏</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B531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2AB4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81317A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B</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78480FA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扩声系统</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CDBCC">
            <w:pPr>
              <w:jc w:val="center"/>
              <w:rPr>
                <w:rFonts w:hint="eastAsia" w:ascii="宋体" w:hAnsi="宋体" w:eastAsia="宋体" w:cs="宋体"/>
                <w:i w:val="0"/>
                <w:iCs w:val="0"/>
                <w:color w:val="auto"/>
                <w:sz w:val="21"/>
                <w:szCs w:val="21"/>
                <w:u w:val="none"/>
              </w:rPr>
            </w:pPr>
          </w:p>
        </w:tc>
      </w:tr>
      <w:tr w14:paraId="578BE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18F47A7">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9F3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调音台</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B5DD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596E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EC55EF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260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音频处理器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F001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257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B3EF24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A42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全频音箱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1111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686F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DD0E383">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D484">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四通道功放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AC80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BC13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5468C4C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72E0">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DD3E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5ED07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EC591C6">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2D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无线会议话筒（一拖四）</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8ABA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22AE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24FC43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4F5B8">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天线分配器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606F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F0BC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D037D8C">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E95DA">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指向性天线</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5269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7A97E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9BDBB5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1E2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8路电源时序器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A91C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CC9C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237A15D">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0B23">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A164A">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3BA7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EC6A7AE">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4CB2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话筒落地支架</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CA934">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432E7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6249">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4C6E">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舞蹈教室</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8DBB">
            <w:pPr>
              <w:rPr>
                <w:rFonts w:hint="eastAsia" w:ascii="宋体" w:hAnsi="宋体" w:eastAsia="宋体" w:cs="宋体"/>
                <w:i w:val="0"/>
                <w:iCs w:val="0"/>
                <w:color w:val="auto"/>
                <w:sz w:val="21"/>
                <w:szCs w:val="21"/>
                <w:u w:val="none"/>
              </w:rPr>
            </w:pPr>
          </w:p>
        </w:tc>
      </w:tr>
      <w:tr w14:paraId="3B87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2467CFE">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208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音箱</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53A581">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01120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3C092E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103F">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功放</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4E3F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332C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E528C0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307B">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无线手持话筒（一拖二）</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A951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B10B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07FDE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7B6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电源时序器</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73C6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r w14:paraId="29553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D4EC27F">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785D">
            <w:pPr>
              <w:keepNext w:val="0"/>
              <w:keepLines w:val="0"/>
              <w:widowControl/>
              <w:suppressLineNumbers w:val="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机柜</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B72A5">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工业</w:t>
            </w:r>
          </w:p>
        </w:tc>
      </w:tr>
    </w:tbl>
    <w:p w14:paraId="0B2A1E68">
      <w:pPr>
        <w:pStyle w:val="7"/>
        <w:ind w:left="0" w:leftChars="0" w:firstLine="0" w:firstLineChars="0"/>
        <w:rPr>
          <w:rFonts w:hint="eastAsia" w:asciiTheme="minorEastAsia" w:hAnsiTheme="minorEastAsia" w:eastAsiaTheme="minorEastAsia" w:cstheme="minorEastAsia"/>
          <w:color w:val="auto"/>
        </w:rPr>
      </w:pPr>
    </w:p>
    <w:p w14:paraId="5612940B">
      <w:pPr>
        <w:pStyle w:val="195"/>
        <w:jc w:val="center"/>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t xml:space="preserve">第五章  </w:t>
      </w:r>
      <w:r>
        <w:rPr>
          <w:rFonts w:hint="eastAsia" w:asciiTheme="minorEastAsia" w:hAnsiTheme="minorEastAsia" w:eastAsiaTheme="minorEastAsia" w:cstheme="minorEastAsia"/>
          <w:b/>
          <w:bCs/>
          <w:color w:val="auto"/>
          <w:sz w:val="44"/>
        </w:rPr>
        <w:t>评标方法与评标标准</w:t>
      </w:r>
      <w:bookmarkEnd w:id="201"/>
    </w:p>
    <w:p w14:paraId="616363E0">
      <w:pPr>
        <w:rPr>
          <w:rFonts w:hint="eastAsia" w:asciiTheme="minorEastAsia" w:hAnsiTheme="minorEastAsia" w:eastAsiaTheme="minorEastAsia" w:cstheme="minorEastAsia"/>
          <w:color w:val="auto"/>
        </w:rPr>
      </w:pPr>
    </w:p>
    <w:p w14:paraId="27C645F1">
      <w:pPr>
        <w:pStyle w:val="280"/>
        <w:keepNext w:val="0"/>
        <w:keepLines w:val="0"/>
        <w:pageBreakBefore w:val="0"/>
        <w:widowControl w:val="0"/>
        <w:kinsoku/>
        <w:wordWrap/>
        <w:overflowPunct/>
        <w:topLinePunct w:val="0"/>
        <w:autoSpaceDE/>
        <w:autoSpaceDN/>
        <w:bidi w:val="0"/>
        <w:adjustRightInd/>
        <w:snapToGrid/>
        <w:spacing w:line="400" w:lineRule="exact"/>
        <w:ind w:left="0" w:firstLine="43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p>
    <w:p w14:paraId="23548C93">
      <w:pPr>
        <w:pStyle w:val="280"/>
        <w:keepNext w:val="0"/>
        <w:keepLines w:val="0"/>
        <w:pageBreakBefore w:val="0"/>
        <w:widowControl w:val="0"/>
        <w:kinsoku/>
        <w:wordWrap/>
        <w:overflowPunct/>
        <w:topLinePunct w:val="0"/>
        <w:autoSpaceDE/>
        <w:autoSpaceDN/>
        <w:bidi w:val="0"/>
        <w:adjustRightInd/>
        <w:snapToGrid/>
        <w:spacing w:line="400" w:lineRule="exact"/>
        <w:ind w:left="0" w:firstLine="441"/>
        <w:textAlignment w:val="auto"/>
        <w:rPr>
          <w:rFonts w:hint="eastAsia" w:asciiTheme="minorEastAsia" w:hAnsiTheme="minorEastAsia" w:eastAsiaTheme="minorEastAsia" w:cstheme="minorEastAsia"/>
          <w:b/>
          <w:color w:val="auto"/>
          <w:sz w:val="24"/>
          <w:szCs w:val="24"/>
          <w:highlight w:val="yellow"/>
        </w:rPr>
      </w:pPr>
      <w:r>
        <w:rPr>
          <w:rFonts w:hint="eastAsia" w:asciiTheme="minorEastAsia" w:hAnsiTheme="minorEastAsia" w:eastAsiaTheme="minorEastAsia" w:cstheme="minorEastAsia"/>
          <w:b/>
          <w:color w:val="auto"/>
          <w:sz w:val="24"/>
          <w:szCs w:val="24"/>
        </w:rPr>
        <w:t>政府采购政策功能落实</w:t>
      </w:r>
    </w:p>
    <w:p w14:paraId="6C682A1D">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1、小微型企业价格扣除</w:t>
      </w:r>
    </w:p>
    <w:p w14:paraId="6F563607">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（1）本项目对全部采用小型和微型企业产品投标的给予</w:t>
      </w:r>
      <w:r>
        <w:rPr>
          <w:rFonts w:hint="eastAsia" w:asciiTheme="minorEastAsia" w:hAnsiTheme="minorEastAsia" w:eastAsiaTheme="minorEastAsia" w:cstheme="minorEastAsia"/>
          <w:color w:val="auto"/>
          <w:sz w:val="24"/>
          <w:szCs w:val="24"/>
          <w:u w:val="single"/>
          <w:lang w:val="en-US" w:eastAsia="zh-CN"/>
        </w:rPr>
        <w:t>1</w:t>
      </w:r>
      <w:r>
        <w:rPr>
          <w:rFonts w:hint="eastAsia" w:asciiTheme="minorEastAsia" w:hAnsiTheme="minorEastAsia" w:eastAsiaTheme="minorEastAsia" w:cstheme="minorEastAsia"/>
          <w:color w:val="auto"/>
          <w:sz w:val="24"/>
          <w:szCs w:val="24"/>
          <w:u w:val="single"/>
        </w:rPr>
        <w:t>0%</w:t>
      </w:r>
      <w:r>
        <w:rPr>
          <w:rFonts w:hint="eastAsia" w:asciiTheme="minorEastAsia" w:hAnsiTheme="minorEastAsia" w:eastAsiaTheme="minorEastAsia" w:cstheme="minorEastAsia"/>
          <w:color w:val="auto"/>
          <w:sz w:val="24"/>
          <w:szCs w:val="24"/>
        </w:rPr>
        <w:t>的扣除价格，用扣除后的价格参与评审。如果供应商提供的货物既有小、微企业制造货物，也有大、中型企业制造货物的，不享受小微型企业价格扣除政策。</w:t>
      </w:r>
    </w:p>
    <w:p w14:paraId="09F68A63">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（2）供应商需按照采购文件的要求提供相应的《小微企业声明函》。</w:t>
      </w:r>
    </w:p>
    <w:p w14:paraId="6C42747E">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（3）企业标准请参照《关于印发中小企业划型标准规定的通知》（工信部联企业[2011]300号）文件规定自行填写。</w:t>
      </w:r>
    </w:p>
    <w:p w14:paraId="35F86F94">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2、残疾人福利单位价格扣除</w:t>
      </w:r>
    </w:p>
    <w:p w14:paraId="5EB42409">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（1）本项目对残疾人福利性单位视同小型、微型企业，给予</w:t>
      </w:r>
      <w:r>
        <w:rPr>
          <w:rFonts w:hint="eastAsia" w:asciiTheme="minorEastAsia" w:hAnsiTheme="minorEastAsia" w:eastAsiaTheme="minorEastAsia" w:cstheme="minorEastAsia"/>
          <w:color w:val="auto"/>
          <w:sz w:val="24"/>
          <w:szCs w:val="24"/>
          <w:u w:val="single"/>
          <w:lang w:val="en-US" w:eastAsia="zh-CN"/>
        </w:rPr>
        <w:t>1</w:t>
      </w:r>
      <w:r>
        <w:rPr>
          <w:rFonts w:hint="eastAsia" w:asciiTheme="minorEastAsia" w:hAnsiTheme="minorEastAsia" w:eastAsiaTheme="minorEastAsia" w:cstheme="minorEastAsia"/>
          <w:color w:val="auto"/>
          <w:sz w:val="24"/>
          <w:szCs w:val="24"/>
          <w:u w:val="single"/>
        </w:rPr>
        <w:t>0%</w:t>
      </w:r>
      <w:r>
        <w:rPr>
          <w:rFonts w:hint="eastAsia" w:asciiTheme="minorEastAsia" w:hAnsiTheme="minorEastAsia" w:eastAsiaTheme="minorEastAsia" w:cstheme="minorEastAsia"/>
          <w:color w:val="auto"/>
          <w:sz w:val="24"/>
          <w:szCs w:val="24"/>
        </w:rPr>
        <w:t>的价格扣除，用扣除后的价格参与评审。</w:t>
      </w:r>
    </w:p>
    <w:p w14:paraId="32C81599">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（2）残疾人福利单位需按照采购文件的要求提供《残疾人福利性单位声明函》。</w:t>
      </w:r>
    </w:p>
    <w:p w14:paraId="68B44894">
      <w:pPr>
        <w:pStyle w:val="280"/>
        <w:keepNext w:val="0"/>
        <w:keepLines w:val="0"/>
        <w:pageBreakBefore w:val="0"/>
        <w:widowControl w:val="0"/>
        <w:kinsoku/>
        <w:wordWrap/>
        <w:overflowPunct/>
        <w:topLinePunct w:val="0"/>
        <w:autoSpaceDE/>
        <w:autoSpaceDN/>
        <w:bidi w:val="0"/>
        <w:adjustRightInd/>
        <w:snapToGrid/>
        <w:spacing w:line="400" w:lineRule="exact"/>
        <w:ind w:left="0" w:firstLine="36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（3）残疾人福利单位标准请参照《关于促进残疾人就业政府采购政策的通知》（财库〔2017〕141号）。</w:t>
      </w:r>
    </w:p>
    <w:p w14:paraId="6BEC19D4">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3、监狱和戒毒企业价格扣除</w:t>
      </w:r>
    </w:p>
    <w:p w14:paraId="4B43F136">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（1）本项目对监狱和戒毒企业（简称监狱企业）视同小型、微型企业，给予</w:t>
      </w:r>
      <w:r>
        <w:rPr>
          <w:rFonts w:hint="eastAsia" w:asciiTheme="minorEastAsia" w:hAnsiTheme="minorEastAsia" w:eastAsiaTheme="minorEastAsia" w:cstheme="minorEastAsia"/>
          <w:color w:val="auto"/>
          <w:sz w:val="24"/>
          <w:szCs w:val="24"/>
          <w:u w:val="single"/>
          <w:lang w:val="en-US" w:eastAsia="zh-CN"/>
        </w:rPr>
        <w:t>1</w:t>
      </w:r>
      <w:r>
        <w:rPr>
          <w:rFonts w:hint="eastAsia" w:asciiTheme="minorEastAsia" w:hAnsiTheme="minorEastAsia" w:eastAsiaTheme="minorEastAsia" w:cstheme="minorEastAsia"/>
          <w:color w:val="auto"/>
          <w:sz w:val="24"/>
          <w:szCs w:val="24"/>
          <w:u w:val="single"/>
        </w:rPr>
        <w:t>0%</w:t>
      </w:r>
      <w:r>
        <w:rPr>
          <w:rFonts w:hint="eastAsia" w:asciiTheme="minorEastAsia" w:hAnsiTheme="minorEastAsia" w:eastAsiaTheme="minorEastAsia" w:cstheme="minorEastAsia"/>
          <w:color w:val="auto"/>
          <w:sz w:val="24"/>
          <w:szCs w:val="24"/>
        </w:rPr>
        <w:t>的价格扣除，用扣除后的价格参与评审。</w:t>
      </w:r>
    </w:p>
    <w:p w14:paraId="32F1F224">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236E13D">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（3）监狱企业标准请参照《关于政府采购支持监狱企业发展有关问题的通知》（财库[2014]68号）。</w:t>
      </w:r>
    </w:p>
    <w:p w14:paraId="3F799CED">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4、残疾人福利单位、监狱企业属于小型、微型企业的，不重复享受政策。</w:t>
      </w:r>
    </w:p>
    <w:p w14:paraId="59ABF233">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、采购本国产品的支持政策</w:t>
      </w:r>
    </w:p>
    <w:p w14:paraId="11BAB374">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.1 本项目政府采购活动中既有本国产品又有非本国产品参与竞争的，依法对本国产品给予价格评审优惠，对本国产品的报价给予 20%的价格扣除，用扣除后的价格参与评审。</w:t>
      </w:r>
    </w:p>
    <w:p w14:paraId="04D6705D">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E122DAF">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.3 供应商需按照招标文件的要求提供《关于符合本国产品标准的声明函》（以下简称《声明函》），如不提供将不享受本国产品价格评审优惠。</w:t>
      </w:r>
    </w:p>
    <w:p w14:paraId="5E75A3E4">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4052532">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7F4A118">
      <w:pPr>
        <w:pStyle w:val="280"/>
        <w:keepNext w:val="0"/>
        <w:keepLines w:val="0"/>
        <w:pageBreakBefore w:val="0"/>
        <w:widowControl w:val="0"/>
        <w:kinsoku/>
        <w:wordWrap/>
        <w:overflowPunct/>
        <w:topLinePunct w:val="0"/>
        <w:autoSpaceDE/>
        <w:autoSpaceDN/>
        <w:bidi w:val="0"/>
        <w:adjustRightInd/>
        <w:snapToGrid/>
        <w:spacing w:line="400" w:lineRule="exact"/>
        <w:ind w:left="0"/>
        <w:textAlignment w:val="auto"/>
        <w:rPr>
          <w:rFonts w:hint="eastAsia" w:asciiTheme="minorEastAsia" w:hAnsiTheme="minorEastAsia" w:eastAsiaTheme="minorEastAsia" w:cstheme="minorEastAsia"/>
          <w:color w:val="auto"/>
          <w:sz w:val="24"/>
          <w:szCs w:val="24"/>
        </w:rPr>
      </w:pPr>
    </w:p>
    <w:p w14:paraId="4F5297BD">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评标方法与评标标准</w:t>
      </w:r>
    </w:p>
    <w:p w14:paraId="1BEEC94E">
      <w:pPr>
        <w:pStyle w:val="198"/>
        <w:rPr>
          <w:rFonts w:hint="eastAsia" w:asciiTheme="minorEastAsia" w:hAnsiTheme="minorEastAsia" w:eastAsiaTheme="minorEastAsia" w:cstheme="minorEastAsia"/>
          <w:color w:val="auto"/>
          <w:sz w:val="24"/>
          <w:szCs w:val="24"/>
        </w:rPr>
      </w:pPr>
    </w:p>
    <w:tbl>
      <w:tblPr>
        <w:tblStyle w:val="25"/>
        <w:tblW w:w="5237" w:type="pct"/>
        <w:tblInd w:w="-108" w:type="dxa"/>
        <w:tblLayout w:type="fixed"/>
        <w:tblCellMar>
          <w:top w:w="0" w:type="dxa"/>
          <w:left w:w="108" w:type="dxa"/>
          <w:bottom w:w="0" w:type="dxa"/>
          <w:right w:w="108" w:type="dxa"/>
        </w:tblCellMar>
      </w:tblPr>
      <w:tblGrid>
        <w:gridCol w:w="684"/>
        <w:gridCol w:w="1416"/>
        <w:gridCol w:w="3947"/>
        <w:gridCol w:w="720"/>
        <w:gridCol w:w="720"/>
        <w:gridCol w:w="720"/>
        <w:gridCol w:w="720"/>
      </w:tblGrid>
      <w:tr w14:paraId="3ED9A6B7">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1C1CDEFA">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序号</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22610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评分因素</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9936F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评分标准和评审材料</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46BF5B">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最低分值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3387E87">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最高分值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36B413DC">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71AE503">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p>
        </w:tc>
      </w:tr>
      <w:tr w14:paraId="74CD886A">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00A27DF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B1651E">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价格分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2D70B4">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采用低价优先法计算，即满足招标文件要求且投标价格最低的投标报价为评标基准价，其价格分为满分。其他投标人的价格分统一按照下列公式计算：投标报价得分=(评标基准价／投标报价)×价格权值×100。</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A8782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60B9C5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38</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151055A">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FB4FB84">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p>
        </w:tc>
      </w:tr>
      <w:tr w14:paraId="48470AC5">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51B10F6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序号</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54E35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评分因素</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810DD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评分标准和评审材料</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26C10">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最低分值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D8C271B">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最高分值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99E90AE">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是否暗标评审</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D0A2985">
            <w:pPr>
              <w:pageBreakBefore w:val="0"/>
              <w:kinsoku/>
              <w:wordWrap/>
              <w:overflowPunct/>
              <w:topLinePunct w:val="0"/>
              <w:bidi w:val="0"/>
              <w:spacing w:line="36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是否客观分</w:t>
            </w:r>
          </w:p>
        </w:tc>
      </w:tr>
      <w:tr w14:paraId="27FCBB94">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1DA2CBB9">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617375">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技术分</w:t>
            </w:r>
          </w:p>
          <w:p w14:paraId="090FCF79">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（主观分）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92EE8B">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下列（2.1，2.2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2.3</w:t>
            </w:r>
            <w:r>
              <w:rPr>
                <w:rFonts w:hint="eastAsia" w:asciiTheme="minorEastAsia" w:hAnsiTheme="minorEastAsia" w:eastAsiaTheme="minorEastAsia" w:cstheme="minorEastAsia"/>
                <w:b/>
                <w:bCs/>
                <w:color w:val="auto"/>
                <w:sz w:val="21"/>
                <w:szCs w:val="21"/>
                <w:highlight w:val="none"/>
              </w:rPr>
              <w:t>）评分项属于暗标评审项。各投标人（供应商）提供评审材料（含样品）中不能出现投标人（供应商）的名称、标志、标记以及其它能够体现投标人（供应商）的信息，否则所有暗标评审项目均不得分。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716F7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AE27F06">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13</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6913BD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BEA1F5F">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否</w:t>
            </w:r>
          </w:p>
        </w:tc>
      </w:tr>
      <w:tr w14:paraId="1C392FB9">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CD6B18F">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780F5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实施方案</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6D8E0E">
            <w:pPr>
              <w:pageBreakBefore w:val="0"/>
              <w:kinsoku/>
              <w:wordWrap/>
              <w:overflowPunct/>
              <w:topLinePunct w:val="0"/>
              <w:bidi w:val="0"/>
              <w:spacing w:line="360" w:lineRule="exac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整体施工方案评价</w:t>
            </w:r>
          </w:p>
          <w:p w14:paraId="0857CC34">
            <w:pPr>
              <w:pageBreakBefore w:val="0"/>
              <w:kinsoku/>
              <w:wordWrap/>
              <w:overflowPunct/>
              <w:topLinePunct w:val="0"/>
              <w:bidi w:val="0"/>
              <w:spacing w:line="360" w:lineRule="exac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招标文件的要求，提供完善的图纸和施工方案，根据本项目的特点，详细说明在每一个环节中具体做法（例：人员的合理配备、质量的前后监控、与其它施工项目的衔接、施工过程中规范化操作、对不可预见因素的预测及解决方案、施工结束后对各种设备及系统的调试等等），确保项目保质、保量、保时完成，不提供施工方案和各子系统图纸不得分。结合以上要求，进行评价：</w:t>
            </w:r>
          </w:p>
          <w:p w14:paraId="1710F87B">
            <w:pPr>
              <w:pageBreakBefore w:val="0"/>
              <w:kinsoku/>
              <w:wordWrap/>
              <w:overflowPunct/>
              <w:topLinePunct w:val="0"/>
              <w:bidi w:val="0"/>
              <w:spacing w:line="360" w:lineRule="exac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方案详细完善可行，提供完善的图纸，包括每个子系统的设备布局图，布线图，系统图，各子系统图纸齐全、专业、清晰的，对项目中的特点、重点和难点有详细阐述，施工过程规范，人员配备合理，有严格完备的质量监控程序，得</w:t>
            </w:r>
            <w:r>
              <w:rPr>
                <w:rFonts w:hint="eastAsia" w:asciiTheme="minorEastAsia" w:hAnsiTheme="minorEastAsia" w:eastAsiaTheme="minorEastAsia" w:cstheme="minorEastAsia"/>
                <w:color w:val="auto"/>
                <w:szCs w:val="21"/>
                <w:lang w:val="en-US" w:eastAsia="zh-CN"/>
              </w:rPr>
              <w:t>9</w:t>
            </w:r>
            <w:r>
              <w:rPr>
                <w:rFonts w:hint="eastAsia" w:asciiTheme="minorEastAsia" w:hAnsiTheme="minorEastAsia" w:eastAsiaTheme="minorEastAsia" w:cstheme="minorEastAsia"/>
                <w:color w:val="auto"/>
                <w:szCs w:val="21"/>
              </w:rPr>
              <w:t>分；</w:t>
            </w:r>
          </w:p>
          <w:p w14:paraId="4836E7B3">
            <w:pPr>
              <w:pageBreakBefore w:val="0"/>
              <w:kinsoku/>
              <w:wordWrap/>
              <w:overflowPunct/>
              <w:topLinePunct w:val="0"/>
              <w:bidi w:val="0"/>
              <w:spacing w:line="360" w:lineRule="exac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方案详细完善，提供相对完善的图纸，包括每个子系统的设备布局图，施工图，系统图，各子系统图纸比较齐全、专业、清晰的，对项目中的特点、重点和难点有简单阐述，施工过程规范性一般，人员配备较合理，质量监控程序一般，得</w:t>
            </w:r>
            <w:r>
              <w:rPr>
                <w:rFonts w:hint="eastAsia" w:asciiTheme="minorEastAsia" w:hAnsiTheme="minorEastAsia" w:eastAsiaTheme="minorEastAsia" w:cstheme="minorEastAsia"/>
                <w:color w:val="auto"/>
                <w:szCs w:val="21"/>
                <w:lang w:val="en-US" w:eastAsia="zh-CN"/>
              </w:rPr>
              <w:t>6</w:t>
            </w:r>
            <w:r>
              <w:rPr>
                <w:rFonts w:hint="eastAsia" w:asciiTheme="minorEastAsia" w:hAnsiTheme="minorEastAsia" w:eastAsiaTheme="minorEastAsia" w:cstheme="minorEastAsia"/>
                <w:color w:val="auto"/>
                <w:szCs w:val="21"/>
              </w:rPr>
              <w:t>分；</w:t>
            </w:r>
          </w:p>
          <w:p w14:paraId="7E904FA1">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(3)方案简单，各子系统图纸不齐全的，对项目中的特点、重点和难点没有阐述，施工过程规范性一般，人员配备不合理，没有质量监控程序，得</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分。</w:t>
            </w:r>
          </w:p>
          <w:p w14:paraId="6DFB74F3">
            <w:pPr>
              <w:pageBreakBefore w:val="0"/>
              <w:widowControl/>
              <w:kinsoku/>
              <w:wordWrap/>
              <w:overflowPunct/>
              <w:topLinePunct w:val="0"/>
              <w:bidi w:val="0"/>
              <w:spacing w:line="360" w:lineRule="exact"/>
              <w:jc w:val="left"/>
              <w:textAlignment w:val="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(4)不提供不得分。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69D896">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CAB560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9</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D3D094C">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BD51D3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r>
      <w:tr w14:paraId="41ED0AAF">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389A4F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F5C9B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售后服务方案</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03EDA4">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根据项目服务期限，投标人提供详细的售后服务方案。评委评价根据投标人售后人员配置、技术能力和时间响应保障等方面综合考量投标人的综合服务能力。并且承诺将按此方案执行，不提供方案不得分。</w:t>
            </w:r>
          </w:p>
          <w:p w14:paraId="6993B5FF">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1</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服务方案详细可行，能为用户提供完善的维护维修和技术保障服务，得2分。</w:t>
            </w:r>
          </w:p>
          <w:p w14:paraId="76B70112">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2</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服务方案简单，仅能为用户提供有限的售后服务，得1分。</w:t>
            </w:r>
          </w:p>
          <w:p w14:paraId="325926FB">
            <w:pPr>
              <w:pageBreakBefore w:val="0"/>
              <w:widowControl/>
              <w:kinsoku/>
              <w:wordWrap/>
              <w:overflowPunct/>
              <w:topLinePunct w:val="0"/>
              <w:bidi w:val="0"/>
              <w:spacing w:line="360" w:lineRule="exact"/>
              <w:jc w:val="left"/>
              <w:textAlignment w:val="auto"/>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(3)不提供不得分。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93E3A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3F8BD4AB">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2</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0510AC6">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16B4C4A">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r>
      <w:tr w14:paraId="676175CB">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6B7307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3</w:t>
            </w:r>
          </w:p>
        </w:tc>
        <w:tc>
          <w:tcPr>
            <w:tcW w:w="1416"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1753F8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
              </w:rPr>
              <w:t>培训方案</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7EB6E2">
            <w:pPr>
              <w:pageBreakBefore w:val="0"/>
              <w:kinsoku/>
              <w:wordWrap/>
              <w:overflowPunct/>
              <w:topLinePunct w:val="0"/>
              <w:bidi w:val="0"/>
              <w:snapToGrid w:val="0"/>
              <w:spacing w:line="36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培训方案评价：</w:t>
            </w:r>
          </w:p>
          <w:p w14:paraId="28402655">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提供完善的产品培训方案，从师资情况、时间安排、培训内容及教材等方面</w:t>
            </w:r>
            <w:r>
              <w:rPr>
                <w:rFonts w:hint="eastAsia" w:asciiTheme="minorEastAsia" w:hAnsiTheme="minorEastAsia" w:eastAsiaTheme="minorEastAsia" w:cstheme="minorEastAsia"/>
                <w:color w:val="auto"/>
                <w:szCs w:val="21"/>
                <w:highlight w:val="none"/>
                <w:lang w:val="en-US" w:eastAsia="zh-CN"/>
              </w:rPr>
              <w:t>进行评价：</w:t>
            </w:r>
          </w:p>
          <w:p w14:paraId="04A65841">
            <w:pPr>
              <w:pageBreakBefore w:val="0"/>
              <w:widowControl/>
              <w:numPr>
                <w:ilvl w:val="0"/>
                <w:numId w:val="13"/>
              </w:numPr>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方案科学</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合理、</w:t>
            </w:r>
            <w:r>
              <w:rPr>
                <w:rFonts w:hint="eastAsia" w:asciiTheme="minorEastAsia" w:hAnsiTheme="minorEastAsia" w:eastAsiaTheme="minorEastAsia" w:cstheme="minorEastAsia"/>
                <w:color w:val="auto"/>
                <w:kern w:val="0"/>
                <w:szCs w:val="21"/>
                <w:highlight w:val="none"/>
              </w:rPr>
              <w:t>详细，完善可行，得</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5E2FDDB9">
            <w:pPr>
              <w:pageBreakBefore w:val="0"/>
              <w:widowControl/>
              <w:numPr>
                <w:ilvl w:val="0"/>
                <w:numId w:val="13"/>
              </w:numPr>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方案科学</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相对合理、比较</w:t>
            </w:r>
            <w:r>
              <w:rPr>
                <w:rFonts w:hint="eastAsia" w:asciiTheme="minorEastAsia" w:hAnsiTheme="minorEastAsia" w:eastAsiaTheme="minorEastAsia" w:cstheme="minorEastAsia"/>
                <w:color w:val="auto"/>
                <w:kern w:val="0"/>
                <w:szCs w:val="21"/>
                <w:highlight w:val="none"/>
              </w:rPr>
              <w:t>详细，可行</w:t>
            </w:r>
            <w:r>
              <w:rPr>
                <w:rFonts w:hint="eastAsia" w:asciiTheme="minorEastAsia" w:hAnsiTheme="minorEastAsia" w:eastAsiaTheme="minorEastAsia" w:cstheme="minorEastAsia"/>
                <w:color w:val="auto"/>
                <w:kern w:val="0"/>
                <w:szCs w:val="21"/>
                <w:highlight w:val="none"/>
                <w:lang w:val="en-US" w:eastAsia="zh-CN"/>
              </w:rPr>
              <w:t>性一般</w:t>
            </w:r>
            <w:r>
              <w:rPr>
                <w:rFonts w:hint="eastAsia" w:asciiTheme="minorEastAsia" w:hAnsiTheme="minorEastAsia" w:eastAsiaTheme="minorEastAsia" w:cstheme="minorEastAsia"/>
                <w:color w:val="auto"/>
                <w:kern w:val="0"/>
                <w:szCs w:val="21"/>
                <w:highlight w:val="none"/>
              </w:rPr>
              <w:t>，得</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14BC5663">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lang w:val="en-US" w:eastAsia="zh-CN"/>
              </w:rPr>
              <w:t>(3)</w:t>
            </w:r>
            <w:r>
              <w:rPr>
                <w:rFonts w:hint="eastAsia" w:asciiTheme="minorEastAsia" w:hAnsiTheme="minorEastAsia" w:eastAsiaTheme="minorEastAsia" w:cstheme="minorEastAsia"/>
                <w:color w:val="auto"/>
                <w:kern w:val="0"/>
                <w:szCs w:val="21"/>
                <w:highlight w:val="none"/>
              </w:rPr>
              <w:t>不提供方案不得分</w:t>
            </w:r>
            <w:r>
              <w:rPr>
                <w:rFonts w:hint="eastAsia" w:asciiTheme="minorEastAsia" w:hAnsiTheme="minorEastAsia" w:eastAsiaTheme="minorEastAsia" w:cstheme="minorEastAsia"/>
                <w:color w:val="auto"/>
                <w:szCs w:val="21"/>
                <w:highlight w:val="none"/>
              </w:rPr>
              <w:t>。</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143F4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CF65D7C">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9329CD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11E8C45">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否</w:t>
            </w:r>
          </w:p>
        </w:tc>
      </w:tr>
      <w:tr w14:paraId="5E1E2DF4">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56E67F5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D9EF75">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商务分</w:t>
            </w:r>
          </w:p>
          <w:p w14:paraId="3B99DBB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（客观分）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61E1CB">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7013AB">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B5D0A3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49</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84AE27B">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282097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p>
        </w:tc>
      </w:tr>
      <w:tr w14:paraId="1BEF2009">
        <w:tblPrEx>
          <w:tblCellMar>
            <w:top w:w="0" w:type="dxa"/>
            <w:left w:w="108" w:type="dxa"/>
            <w:bottom w:w="0" w:type="dxa"/>
            <w:right w:w="108" w:type="dxa"/>
          </w:tblCellMar>
        </w:tblPrEx>
        <w:trPr>
          <w:trHeight w:val="6125"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3A43712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72D85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技术参数吻合度</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AA7BD6">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根据投标单位技术偏离表中对本招标文件中产品技术指标（参数）的响应程度打分，所投产品全部满足招标文件技术参数要求得</w:t>
            </w:r>
            <w:r>
              <w:rPr>
                <w:rFonts w:hint="eastAsia" w:asciiTheme="minorEastAsia" w:hAnsiTheme="minorEastAsia" w:eastAsiaTheme="minorEastAsia" w:cstheme="minorEastAsia"/>
                <w:b/>
                <w:bCs/>
                <w:color w:val="auto"/>
                <w:sz w:val="21"/>
                <w:szCs w:val="21"/>
                <w:highlight w:val="none"/>
                <w:lang w:val="en-US" w:eastAsia="zh-CN"/>
              </w:rPr>
              <w:t>30</w:t>
            </w:r>
            <w:r>
              <w:rPr>
                <w:rFonts w:hint="eastAsia" w:asciiTheme="minorEastAsia" w:hAnsiTheme="minorEastAsia" w:eastAsiaTheme="minorEastAsia" w:cstheme="minorEastAsia"/>
                <w:b/>
                <w:bCs/>
                <w:color w:val="auto"/>
                <w:sz w:val="21"/>
                <w:szCs w:val="21"/>
                <w:highlight w:val="none"/>
              </w:rPr>
              <w:t>分。</w:t>
            </w:r>
            <w:r>
              <w:rPr>
                <w:rFonts w:hint="eastAsia" w:asciiTheme="minorEastAsia" w:hAnsiTheme="minorEastAsia" w:eastAsiaTheme="minorEastAsia" w:cstheme="minorEastAsia"/>
                <w:color w:val="auto"/>
                <w:sz w:val="21"/>
                <w:szCs w:val="21"/>
                <w:highlight w:val="none"/>
              </w:rPr>
              <w:t>1.带▲项为重要参数，出现一项负偏离扣</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分；2.其他参数为一般参数，允许负偏离，出现一项负偏离扣</w:t>
            </w:r>
            <w:r>
              <w:rPr>
                <w:rFonts w:hint="eastAsia" w:asciiTheme="minorEastAsia" w:hAnsiTheme="minorEastAsia" w:eastAsiaTheme="minorEastAsia" w:cstheme="minorEastAsia"/>
                <w:color w:val="auto"/>
                <w:sz w:val="21"/>
                <w:szCs w:val="21"/>
                <w:highlight w:val="none"/>
                <w:lang w:val="en-US" w:eastAsia="zh-CN"/>
              </w:rPr>
              <w:t>0.2</w:t>
            </w:r>
            <w:r>
              <w:rPr>
                <w:rFonts w:hint="eastAsia" w:asciiTheme="minorEastAsia" w:hAnsiTheme="minorEastAsia" w:eastAsiaTheme="minorEastAsia" w:cstheme="minorEastAsia"/>
                <w:color w:val="auto"/>
                <w:sz w:val="21"/>
                <w:szCs w:val="21"/>
                <w:highlight w:val="none"/>
              </w:rPr>
              <w:t>分，扣完为止。所有带▲参数投标文件需出具相关证明材料</w:t>
            </w:r>
            <w:r>
              <w:rPr>
                <w:rFonts w:hint="eastAsia" w:asciiTheme="minorEastAsia" w:hAnsiTheme="minorEastAsia" w:eastAsiaTheme="minorEastAsia" w:cstheme="minorEastAsia"/>
                <w:color w:val="auto"/>
                <w:sz w:val="21"/>
                <w:szCs w:val="21"/>
                <w:highlight w:val="none"/>
                <w:lang w:val="en-US" w:eastAsia="zh-CN"/>
              </w:rPr>
              <w:t>扫描</w:t>
            </w:r>
            <w:r>
              <w:rPr>
                <w:rFonts w:hint="eastAsia" w:asciiTheme="minorEastAsia" w:hAnsiTheme="minorEastAsia" w:eastAsiaTheme="minorEastAsia" w:cstheme="minorEastAsia"/>
                <w:color w:val="auto"/>
                <w:sz w:val="21"/>
                <w:szCs w:val="21"/>
                <w:highlight w:val="none"/>
              </w:rPr>
              <w:t>件并加盖投标人公章，否则视为负偏离。打“★”项如有负偏离作为无效投标。如有提供虚假技术参数的，一经发现作无效投标处理。</w:t>
            </w:r>
          </w:p>
          <w:p w14:paraId="55E68AF4">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sz w:val="21"/>
                <w:szCs w:val="21"/>
                <w:highlight w:val="none"/>
                <w:lang w:val="en-US" w:eastAsia="zh-CN"/>
              </w:rPr>
              <w:t>注：1、为便于评审，投标人在偏离表中逐条列出相关技术参数证明材料所在页码。投标人需如实填写所投产品参数。2、同一产品按参数点得分或扣分，不重复扣分。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2B33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DA7F9FE">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05AADF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4DD72D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r>
      <w:tr w14:paraId="19B119D3">
        <w:tblPrEx>
          <w:tblCellMar>
            <w:top w:w="0" w:type="dxa"/>
            <w:left w:w="108" w:type="dxa"/>
            <w:bottom w:w="0" w:type="dxa"/>
            <w:right w:w="108" w:type="dxa"/>
          </w:tblCellMar>
        </w:tblPrEx>
        <w:trPr>
          <w:trHeight w:val="1938"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338C54ED">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3.2</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48DBB1">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产品实力</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448622">
            <w:pPr>
              <w:pageBreakBefore w:val="0"/>
              <w:numPr>
                <w:ilvl w:val="0"/>
                <w:numId w:val="0"/>
              </w:numPr>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所投音箱</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功放</w:t>
            </w:r>
            <w:r>
              <w:rPr>
                <w:rFonts w:hint="eastAsia" w:asciiTheme="minorEastAsia" w:hAnsiTheme="minorEastAsia" w:eastAsiaTheme="minorEastAsia" w:cstheme="minorEastAsia"/>
                <w:color w:val="auto"/>
                <w:szCs w:val="21"/>
              </w:rPr>
              <w:t>、灯光和LED显示屏产品的制造商均通过质量管理体系认证证书</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 w:val="21"/>
                <w:szCs w:val="21"/>
              </w:rPr>
              <w:t>GB/T19001-2016</w:t>
            </w:r>
            <w:r>
              <w:rPr>
                <w:rFonts w:hint="eastAsia"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rPr>
              <w:t>ISO 9001:2015</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得2分，</w:t>
            </w:r>
            <w:r>
              <w:rPr>
                <w:rFonts w:hint="eastAsia" w:asciiTheme="minorEastAsia" w:hAnsiTheme="minorEastAsia" w:eastAsiaTheme="minorEastAsia" w:cstheme="minorEastAsia"/>
                <w:color w:val="auto"/>
                <w:szCs w:val="21"/>
              </w:rPr>
              <w:t>其余不得分。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704AA0">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225C7D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2</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D768C2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761666C">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r>
      <w:tr w14:paraId="0232DA2B">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3EC09C7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3.3</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176905">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项目案例</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FC22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根据投标单位提供的20</w:t>
            </w:r>
            <w:r>
              <w:rPr>
                <w:rFonts w:hint="eastAsia" w:asciiTheme="minorEastAsia" w:hAnsiTheme="minorEastAsia" w:eastAsiaTheme="minorEastAsia" w:cstheme="minorEastAsia"/>
                <w:color w:val="auto"/>
                <w:kern w:val="0"/>
                <w:sz w:val="21"/>
                <w:szCs w:val="21"/>
                <w:highlight w:val="none"/>
                <w:lang w:val="en-US" w:eastAsia="zh-CN"/>
              </w:rPr>
              <w:t>23</w:t>
            </w:r>
            <w:r>
              <w:rPr>
                <w:rFonts w:hint="eastAsia" w:asciiTheme="minorEastAsia" w:hAnsiTheme="minorEastAsia" w:eastAsiaTheme="minorEastAsia" w:cstheme="minorEastAsia"/>
                <w:color w:val="auto"/>
                <w:kern w:val="0"/>
                <w:sz w:val="21"/>
                <w:szCs w:val="21"/>
                <w:highlight w:val="none"/>
              </w:rPr>
              <w:t>年</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月1日以来签订的</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b/>
                <w:bCs/>
                <w:color w:val="auto"/>
                <w:kern w:val="0"/>
                <w:sz w:val="21"/>
                <w:szCs w:val="21"/>
                <w:highlight w:val="none"/>
              </w:rPr>
              <w:t>与</w:t>
            </w:r>
            <w:r>
              <w:rPr>
                <w:rFonts w:hint="eastAsia" w:asciiTheme="minorEastAsia" w:hAnsiTheme="minorEastAsia" w:eastAsiaTheme="minorEastAsia" w:cstheme="minorEastAsia"/>
                <w:b/>
                <w:bCs/>
                <w:color w:val="auto"/>
                <w:kern w:val="0"/>
                <w:sz w:val="21"/>
                <w:szCs w:val="21"/>
                <w:highlight w:val="none"/>
                <w:lang w:val="en-US" w:eastAsia="zh-CN"/>
              </w:rPr>
              <w:t>本</w:t>
            </w:r>
            <w:r>
              <w:rPr>
                <w:rFonts w:hint="eastAsia" w:asciiTheme="minorEastAsia" w:hAnsiTheme="minorEastAsia" w:eastAsiaTheme="minorEastAsia" w:cstheme="minorEastAsia"/>
                <w:b/>
                <w:bCs/>
                <w:color w:val="auto"/>
                <w:kern w:val="0"/>
                <w:sz w:val="21"/>
                <w:szCs w:val="21"/>
                <w:highlight w:val="none"/>
              </w:rPr>
              <w:t>采购项目技术特点和需求类似</w:t>
            </w:r>
            <w:r>
              <w:rPr>
                <w:rFonts w:hint="eastAsia" w:asciiTheme="minorEastAsia" w:hAnsiTheme="minorEastAsia" w:eastAsiaTheme="minorEastAsia" w:cstheme="minorEastAsia"/>
                <w:b/>
                <w:bCs/>
                <w:color w:val="auto"/>
                <w:kern w:val="0"/>
                <w:sz w:val="21"/>
                <w:szCs w:val="21"/>
                <w:highlight w:val="none"/>
                <w:lang w:val="en-US" w:eastAsia="zh-CN"/>
              </w:rPr>
              <w:t>的</w:t>
            </w:r>
            <w:r>
              <w:rPr>
                <w:rFonts w:hint="eastAsia" w:asciiTheme="minorEastAsia" w:hAnsiTheme="minorEastAsia" w:eastAsiaTheme="minorEastAsia" w:cstheme="minorEastAsia"/>
                <w:b/>
                <w:bCs/>
                <w:color w:val="auto"/>
                <w:kern w:val="0"/>
                <w:sz w:val="21"/>
                <w:szCs w:val="21"/>
                <w:highlight w:val="none"/>
              </w:rPr>
              <w:t>业绩（主要设备为音</w:t>
            </w:r>
            <w:r>
              <w:rPr>
                <w:rFonts w:hint="eastAsia" w:asciiTheme="minorEastAsia" w:hAnsiTheme="minorEastAsia" w:eastAsiaTheme="minorEastAsia" w:cstheme="minorEastAsia"/>
                <w:b/>
                <w:bCs/>
                <w:color w:val="auto"/>
                <w:kern w:val="0"/>
                <w:sz w:val="21"/>
                <w:szCs w:val="21"/>
                <w:highlight w:val="none"/>
                <w:lang w:val="en-US" w:eastAsia="zh-CN"/>
              </w:rPr>
              <w:t>箱</w:t>
            </w:r>
            <w:r>
              <w:rPr>
                <w:rFonts w:hint="eastAsia" w:asciiTheme="minorEastAsia" w:hAnsiTheme="minorEastAsia" w:eastAsiaTheme="minorEastAsia" w:cstheme="minorEastAsia"/>
                <w:b/>
                <w:bCs/>
                <w:color w:val="auto"/>
                <w:kern w:val="0"/>
                <w:sz w:val="21"/>
                <w:szCs w:val="21"/>
                <w:highlight w:val="none"/>
              </w:rPr>
              <w:t>、灯光、舞台机械及LED屏），提供合同</w:t>
            </w:r>
            <w:r>
              <w:rPr>
                <w:rFonts w:hint="eastAsia" w:asciiTheme="minorEastAsia" w:hAnsiTheme="minorEastAsia" w:eastAsiaTheme="minorEastAsia" w:cstheme="minorEastAsia"/>
                <w:color w:val="auto"/>
                <w:kern w:val="0"/>
                <w:sz w:val="21"/>
                <w:szCs w:val="21"/>
                <w:highlight w:val="none"/>
              </w:rPr>
              <w:t>（提供合同</w:t>
            </w:r>
            <w:r>
              <w:rPr>
                <w:rFonts w:hint="eastAsia" w:asciiTheme="minorEastAsia" w:hAnsiTheme="minorEastAsia" w:eastAsiaTheme="minorEastAsia" w:cstheme="minorEastAsia"/>
                <w:color w:val="auto"/>
                <w:kern w:val="0"/>
                <w:sz w:val="21"/>
                <w:szCs w:val="21"/>
                <w:highlight w:val="none"/>
                <w:lang w:val="en-US" w:eastAsia="zh-CN"/>
              </w:rPr>
              <w:t>全文扫描</w:t>
            </w:r>
            <w:r>
              <w:rPr>
                <w:rFonts w:hint="eastAsia" w:asciiTheme="minorEastAsia" w:hAnsiTheme="minorEastAsia" w:eastAsiaTheme="minorEastAsia" w:cstheme="minorEastAsia"/>
                <w:color w:val="auto"/>
                <w:kern w:val="0"/>
                <w:sz w:val="21"/>
                <w:szCs w:val="21"/>
                <w:highlight w:val="none"/>
              </w:rPr>
              <w:t>件）</w:t>
            </w:r>
            <w:r>
              <w:rPr>
                <w:rFonts w:hint="eastAsia" w:asciiTheme="minorEastAsia" w:hAnsiTheme="minorEastAsia" w:eastAsiaTheme="minorEastAsia" w:cstheme="minorEastAsia"/>
                <w:b/>
                <w:bCs/>
                <w:color w:val="auto"/>
                <w:kern w:val="0"/>
                <w:sz w:val="21"/>
                <w:szCs w:val="21"/>
                <w:highlight w:val="none"/>
              </w:rPr>
              <w:t>、验收报告</w:t>
            </w:r>
            <w:r>
              <w:rPr>
                <w:rFonts w:hint="eastAsia" w:asciiTheme="minorEastAsia" w:hAnsiTheme="minorEastAsia" w:eastAsiaTheme="minorEastAsia" w:cstheme="minorEastAsia"/>
                <w:b/>
                <w:bCs/>
                <w:color w:val="auto"/>
                <w:kern w:val="0"/>
                <w:sz w:val="21"/>
                <w:szCs w:val="21"/>
                <w:highlight w:val="none"/>
                <w:lang w:val="en-US" w:eastAsia="zh-CN"/>
              </w:rPr>
              <w:t>或结算发票</w:t>
            </w:r>
            <w:r>
              <w:rPr>
                <w:rFonts w:hint="eastAsia" w:asciiTheme="minorEastAsia" w:hAnsiTheme="minorEastAsia" w:eastAsiaTheme="minorEastAsia" w:cstheme="minorEastAsia"/>
                <w:b/>
                <w:bCs/>
                <w:color w:val="auto"/>
                <w:kern w:val="0"/>
                <w:sz w:val="21"/>
                <w:szCs w:val="21"/>
                <w:highlight w:val="none"/>
              </w:rPr>
              <w:t>为证明</w:t>
            </w:r>
            <w:r>
              <w:rPr>
                <w:rFonts w:hint="eastAsia" w:asciiTheme="minorEastAsia" w:hAnsiTheme="minorEastAsia" w:eastAsiaTheme="minorEastAsia" w:cstheme="minorEastAsia"/>
                <w:b/>
                <w:bCs/>
                <w:color w:val="auto"/>
                <w:kern w:val="0"/>
                <w:sz w:val="21"/>
                <w:szCs w:val="21"/>
                <w:highlight w:val="none"/>
                <w:lang w:val="en-US" w:eastAsia="zh-CN"/>
              </w:rPr>
              <w:t>材料</w:t>
            </w:r>
            <w:r>
              <w:rPr>
                <w:rFonts w:hint="eastAsia" w:asciiTheme="minorEastAsia" w:hAnsiTheme="minorEastAsia" w:eastAsiaTheme="minorEastAsia" w:cstheme="minorEastAsia"/>
                <w:color w:val="auto"/>
                <w:kern w:val="0"/>
                <w:sz w:val="21"/>
                <w:szCs w:val="21"/>
                <w:highlight w:val="none"/>
                <w:lang w:val="en-US" w:eastAsia="zh-CN"/>
              </w:rPr>
              <w:t>（提供</w:t>
            </w:r>
            <w:r>
              <w:rPr>
                <w:rFonts w:hint="eastAsia" w:asciiTheme="minorEastAsia" w:hAnsiTheme="minorEastAsia" w:eastAsiaTheme="minorEastAsia" w:cstheme="minorEastAsia"/>
                <w:b w:val="0"/>
                <w:bCs w:val="0"/>
                <w:color w:val="auto"/>
                <w:highlight w:val="none"/>
                <w:lang w:val="en-US" w:eastAsia="zh-CN"/>
              </w:rPr>
              <w:t>项目验收报告或结算发票扫描件）</w:t>
            </w:r>
            <w:r>
              <w:rPr>
                <w:rFonts w:hint="eastAsia" w:asciiTheme="minorEastAsia" w:hAnsiTheme="minorEastAsia" w:eastAsiaTheme="minorEastAsia" w:cstheme="minorEastAsia"/>
                <w:color w:val="auto"/>
                <w:kern w:val="0"/>
                <w:sz w:val="21"/>
                <w:szCs w:val="21"/>
                <w:highlight w:val="none"/>
              </w:rPr>
              <w:t>进行评价，合同需符合下述要求：</w:t>
            </w:r>
          </w:p>
          <w:p w14:paraId="0CD6FD7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1.合同时间以签订日期为准</w:t>
            </w:r>
            <w:r>
              <w:rPr>
                <w:rFonts w:hint="eastAsia" w:asciiTheme="minorEastAsia" w:hAnsiTheme="minorEastAsia" w:eastAsiaTheme="minorEastAsia" w:cstheme="minorEastAsia"/>
                <w:color w:val="auto"/>
                <w:kern w:val="0"/>
                <w:sz w:val="21"/>
                <w:szCs w:val="21"/>
                <w:highlight w:val="none"/>
                <w:lang w:eastAsia="zh-CN"/>
              </w:rPr>
              <w:t>。</w:t>
            </w:r>
          </w:p>
          <w:p w14:paraId="2D1E2D4B">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2.</w:t>
            </w:r>
            <w:r>
              <w:rPr>
                <w:rFonts w:hint="eastAsia" w:asciiTheme="minorEastAsia" w:hAnsiTheme="minorEastAsia" w:eastAsiaTheme="minorEastAsia" w:cstheme="minorEastAsia"/>
                <w:color w:val="auto"/>
                <w:kern w:val="0"/>
                <w:sz w:val="21"/>
                <w:szCs w:val="21"/>
                <w:highlight w:val="none"/>
              </w:rPr>
              <w:t>合同不计金额，</w:t>
            </w:r>
            <w:r>
              <w:rPr>
                <w:rFonts w:hint="eastAsia" w:asciiTheme="minorEastAsia" w:hAnsiTheme="minorEastAsia" w:eastAsiaTheme="minorEastAsia" w:cstheme="minorEastAsia"/>
                <w:color w:val="auto"/>
                <w:sz w:val="21"/>
                <w:szCs w:val="21"/>
                <w:highlight w:val="none"/>
              </w:rPr>
              <w:t>多份合同可累加</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每提供1份得</w:t>
            </w:r>
            <w:r>
              <w:rPr>
                <w:rFonts w:hint="eastAsia" w:asciiTheme="minorEastAsia" w:hAnsiTheme="minorEastAsia" w:eastAsiaTheme="minorEastAsia" w:cstheme="minorEastAsia"/>
                <w:color w:val="auto"/>
                <w:kern w:val="0"/>
                <w:sz w:val="21"/>
                <w:szCs w:val="21"/>
                <w:highlight w:val="none"/>
                <w:lang w:val="en-US" w:eastAsia="zh-CN"/>
              </w:rPr>
              <w:t>3</w:t>
            </w:r>
            <w:r>
              <w:rPr>
                <w:rFonts w:hint="eastAsia" w:asciiTheme="minorEastAsia" w:hAnsiTheme="minorEastAsia" w:eastAsiaTheme="minorEastAsia" w:cstheme="minorEastAsia"/>
                <w:color w:val="auto"/>
                <w:kern w:val="0"/>
                <w:sz w:val="21"/>
                <w:szCs w:val="21"/>
                <w:highlight w:val="none"/>
              </w:rPr>
              <w:t>分，最高得</w:t>
            </w:r>
            <w:r>
              <w:rPr>
                <w:rFonts w:hint="eastAsia" w:asciiTheme="minorEastAsia" w:hAnsiTheme="minorEastAsia" w:eastAsiaTheme="minorEastAsia" w:cstheme="minorEastAsia"/>
                <w:color w:val="auto"/>
                <w:kern w:val="0"/>
                <w:sz w:val="21"/>
                <w:szCs w:val="21"/>
                <w:highlight w:val="none"/>
                <w:lang w:val="en-US" w:eastAsia="zh-CN"/>
              </w:rPr>
              <w:t>6</w:t>
            </w:r>
            <w:r>
              <w:rPr>
                <w:rFonts w:hint="eastAsia" w:asciiTheme="minorEastAsia" w:hAnsiTheme="minorEastAsia" w:eastAsiaTheme="minorEastAsia" w:cstheme="minorEastAsia"/>
                <w:color w:val="auto"/>
                <w:kern w:val="0"/>
                <w:sz w:val="21"/>
                <w:szCs w:val="21"/>
                <w:highlight w:val="none"/>
              </w:rPr>
              <w:t>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9B66D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8EDF7A5">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6</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93F36B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F6E4C06">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r>
      <w:tr w14:paraId="68F1B944">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157E422D">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b/>
                <w:bCs/>
                <w:color w:val="auto"/>
                <w:sz w:val="21"/>
                <w:szCs w:val="21"/>
                <w:highlight w:val="none"/>
                <w:lang w:val="en-US" w:eastAsia="zh-CN"/>
              </w:rPr>
              <w:t>4</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6DF0E4">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w:t>
            </w:r>
            <w:r>
              <w:rPr>
                <w:rFonts w:hint="eastAsia" w:asciiTheme="minorEastAsia" w:hAnsiTheme="minorEastAsia" w:eastAsiaTheme="minorEastAsia" w:cstheme="minorEastAsia"/>
                <w:color w:val="auto"/>
                <w:sz w:val="21"/>
                <w:szCs w:val="21"/>
                <w:highlight w:val="none"/>
              </w:rPr>
              <w:t>企业资质</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6AF093">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提供电子与智能化工程专业承包资质贰级及以上资质及企业安全生产许可证的，得</w:t>
            </w: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分。</w:t>
            </w:r>
          </w:p>
          <w:p w14:paraId="524C4528">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提供有效证书</w:t>
            </w:r>
            <w:r>
              <w:rPr>
                <w:rFonts w:hint="eastAsia" w:asciiTheme="minorEastAsia" w:hAnsiTheme="minorEastAsia" w:eastAsiaTheme="minorEastAsia" w:cstheme="minorEastAsia"/>
                <w:b/>
                <w:bCs/>
                <w:color w:val="auto"/>
                <w:sz w:val="21"/>
                <w:szCs w:val="21"/>
                <w:highlight w:val="none"/>
                <w:lang w:val="en-US" w:eastAsia="zh-CN"/>
              </w:rPr>
              <w:t>扫描</w:t>
            </w:r>
            <w:r>
              <w:rPr>
                <w:rFonts w:hint="eastAsia" w:asciiTheme="minorEastAsia" w:hAnsiTheme="minorEastAsia" w:eastAsiaTheme="minorEastAsia" w:cstheme="minorEastAsia"/>
                <w:b/>
                <w:bCs/>
                <w:color w:val="auto"/>
                <w:sz w:val="21"/>
                <w:szCs w:val="21"/>
                <w:highlight w:val="none"/>
              </w:rPr>
              <w:t>件，否则不得分。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4FA75A">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1E90D66">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3</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5825A0D">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C3BABA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r>
      <w:tr w14:paraId="44F4D3E0">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46A21C7">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b/>
                <w:bCs/>
                <w:color w:val="auto"/>
                <w:sz w:val="21"/>
                <w:szCs w:val="21"/>
                <w:highlight w:val="none"/>
                <w:lang w:val="en-US" w:eastAsia="zh-CN"/>
              </w:rPr>
              <w:t>5</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010513">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售后服务</w:t>
            </w:r>
            <w:r>
              <w:rPr>
                <w:rFonts w:hint="eastAsia" w:asciiTheme="minorEastAsia" w:hAnsiTheme="minorEastAsia" w:eastAsiaTheme="minorEastAsia" w:cstheme="minorEastAsia"/>
                <w:color w:val="auto"/>
                <w:sz w:val="21"/>
                <w:szCs w:val="21"/>
                <w:highlight w:val="none"/>
                <w:lang w:val="en-US" w:eastAsia="zh-CN"/>
              </w:rPr>
              <w:t>及质保要求</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CAAC9C">
            <w:pPr>
              <w:pageBreakBefore w:val="0"/>
              <w:widowControl/>
              <w:kinsoku/>
              <w:wordWrap/>
              <w:overflowPunct/>
              <w:topLinePunct w:val="0"/>
              <w:bidi w:val="0"/>
              <w:spacing w:line="36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整体</w:t>
            </w:r>
            <w:r>
              <w:rPr>
                <w:rFonts w:hint="eastAsia" w:asciiTheme="minorEastAsia" w:hAnsiTheme="minorEastAsia" w:eastAsiaTheme="minorEastAsia" w:cstheme="minorEastAsia"/>
                <w:color w:val="auto"/>
                <w:sz w:val="21"/>
                <w:szCs w:val="21"/>
                <w:highlight w:val="none"/>
                <w:lang w:val="en-US" w:eastAsia="zh-CN"/>
              </w:rPr>
              <w:t>原厂</w:t>
            </w:r>
            <w:r>
              <w:rPr>
                <w:rFonts w:hint="eastAsia" w:asciiTheme="minorEastAsia" w:hAnsiTheme="minorEastAsia" w:eastAsiaTheme="minorEastAsia" w:cstheme="minorEastAsia"/>
                <w:color w:val="auto"/>
                <w:sz w:val="21"/>
                <w:szCs w:val="21"/>
                <w:highlight w:val="none"/>
              </w:rPr>
              <w:t>免费质保三年的基础上，每延长一年</w:t>
            </w:r>
            <w:r>
              <w:rPr>
                <w:rFonts w:hint="eastAsia" w:asciiTheme="minorEastAsia" w:hAnsiTheme="minorEastAsia" w:eastAsiaTheme="minorEastAsia" w:cstheme="minorEastAsia"/>
                <w:color w:val="auto"/>
                <w:sz w:val="21"/>
                <w:szCs w:val="21"/>
                <w:highlight w:val="none"/>
                <w:lang w:val="en-US" w:eastAsia="zh-CN"/>
              </w:rPr>
              <w:t>原厂</w:t>
            </w:r>
            <w:r>
              <w:rPr>
                <w:rFonts w:hint="eastAsia" w:asciiTheme="minorEastAsia" w:hAnsiTheme="minorEastAsia" w:eastAsiaTheme="minorEastAsia" w:cstheme="minorEastAsia"/>
                <w:color w:val="auto"/>
                <w:sz w:val="21"/>
                <w:szCs w:val="21"/>
                <w:highlight w:val="none"/>
              </w:rPr>
              <w:t>整体质保期得</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分，最高得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b/>
                <w:bCs/>
                <w:color w:val="auto"/>
                <w:sz w:val="21"/>
                <w:szCs w:val="21"/>
                <w:highlight w:val="none"/>
                <w:lang w:val="en-US" w:eastAsia="zh-CN"/>
              </w:rPr>
              <w:t>提供投标商承诺函，不提供不得分。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2EDC3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C582E29">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6</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5413A2E">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BF9F25D">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是</w:t>
            </w:r>
          </w:p>
        </w:tc>
      </w:tr>
      <w:tr w14:paraId="7EE5FB78">
        <w:tblPrEx>
          <w:tblCellMar>
            <w:top w:w="0" w:type="dxa"/>
            <w:left w:w="108" w:type="dxa"/>
            <w:bottom w:w="0" w:type="dxa"/>
            <w:right w:w="108" w:type="dxa"/>
          </w:tblCellMar>
        </w:tblPrEx>
        <w:trPr>
          <w:trHeight w:val="1525"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7ECA79F0">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b/>
                <w:bCs/>
                <w:color w:val="auto"/>
                <w:sz w:val="21"/>
                <w:szCs w:val="21"/>
                <w:highlight w:val="none"/>
                <w:lang w:val="en-US" w:eastAsia="zh-CN"/>
              </w:rPr>
              <w:t>6</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5EEC6A">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rPr>
              <w:t>政策性得分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846768">
            <w:pPr>
              <w:pageBreakBefore w:val="0"/>
              <w:widowControl/>
              <w:numPr>
                <w:ilvl w:val="0"/>
                <w:numId w:val="14"/>
              </w:numPr>
              <w:kinsoku/>
              <w:wordWrap/>
              <w:overflowPunct/>
              <w:topLinePunct w:val="0"/>
              <w:bidi w:val="0"/>
              <w:spacing w:line="360" w:lineRule="exact"/>
              <w:ind w:left="0"/>
              <w:jc w:val="left"/>
              <w:textAlignment w:val="auto"/>
              <w:rPr>
                <w:rFonts w:hint="eastAsia" w:asciiTheme="minorEastAsia" w:hAnsiTheme="minorEastAsia" w:eastAsiaTheme="minorEastAsia" w:cstheme="minorEastAsia"/>
                <w:color w:val="auto"/>
                <w:sz w:val="21"/>
                <w:szCs w:val="21"/>
                <w:highlight w:val="none"/>
              </w:rPr>
            </w:pPr>
            <w:bookmarkStart w:id="228" w:name="_GoBack"/>
            <w:r>
              <w:rPr>
                <w:rFonts w:hint="eastAsia" w:ascii="宋体" w:hAnsi="宋体" w:eastAsia="宋体" w:cs="宋体"/>
                <w:color w:val="auto"/>
                <w:szCs w:val="21"/>
              </w:rPr>
              <w:t>所投P</w:t>
            </w:r>
            <w:r>
              <w:rPr>
                <w:rFonts w:hint="eastAsia" w:ascii="宋体" w:hAnsi="宋体" w:eastAsia="宋体" w:cs="宋体"/>
                <w:color w:val="auto"/>
                <w:szCs w:val="21"/>
                <w:lang w:val="en-US" w:eastAsia="zh-CN"/>
              </w:rPr>
              <w:t>2</w:t>
            </w:r>
            <w:r>
              <w:rPr>
                <w:rFonts w:hint="eastAsia" w:ascii="宋体" w:hAnsi="宋体" w:eastAsia="宋体" w:cs="宋体"/>
                <w:color w:val="auto"/>
                <w:szCs w:val="21"/>
              </w:rPr>
              <w:t>、P2</w:t>
            </w:r>
            <w:r>
              <w:rPr>
                <w:rFonts w:hint="eastAsia" w:ascii="宋体" w:hAnsi="宋体" w:eastAsia="宋体" w:cs="宋体"/>
                <w:color w:val="auto"/>
                <w:szCs w:val="21"/>
                <w:lang w:val="en-US" w:eastAsia="zh-CN"/>
              </w:rPr>
              <w:t>.5</w:t>
            </w:r>
            <w:r>
              <w:rPr>
                <w:rFonts w:hint="eastAsia" w:ascii="宋体" w:hAnsi="宋体" w:cs="宋体"/>
                <w:color w:val="auto"/>
                <w:szCs w:val="21"/>
                <w:lang w:val="en-US" w:eastAsia="zh-CN"/>
              </w:rPr>
              <w:t>、P3</w:t>
            </w:r>
            <w:r>
              <w:rPr>
                <w:rFonts w:hint="eastAsia" w:ascii="宋体" w:hAnsi="宋体" w:eastAsia="宋体" w:cs="宋体"/>
                <w:color w:val="auto"/>
                <w:szCs w:val="21"/>
              </w:rPr>
              <w:t>LED显示屏产品</w:t>
            </w:r>
            <w:r>
              <w:rPr>
                <w:rFonts w:hint="eastAsia" w:ascii="宋体" w:hAnsi="宋体" w:cs="宋体"/>
                <w:color w:val="auto"/>
                <w:szCs w:val="21"/>
                <w:lang w:val="en-US" w:eastAsia="zh-CN"/>
              </w:rPr>
              <w:t>同时</w:t>
            </w:r>
            <w:r>
              <w:rPr>
                <w:rFonts w:hint="eastAsia" w:asciiTheme="minorEastAsia" w:hAnsiTheme="minorEastAsia" w:eastAsiaTheme="minorEastAsia" w:cstheme="minorEastAsia"/>
                <w:color w:val="auto"/>
                <w:szCs w:val="21"/>
              </w:rPr>
              <w:t>具有CQC等参与实施政府采购节能产品认证机构名录对应机构或企业颁发的有效期内的节能产品认证证书，得</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rPr>
              <w:t>分。</w:t>
            </w:r>
            <w:bookmarkEnd w:id="228"/>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403F78">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595B9D2">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316BD34">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97BE6EF">
            <w:pPr>
              <w:pageBreakBefore w:val="0"/>
              <w:widowControl/>
              <w:kinsoku/>
              <w:wordWrap/>
              <w:overflowPunct/>
              <w:topLinePunct w:val="0"/>
              <w:bidi w:val="0"/>
              <w:spacing w:line="360" w:lineRule="exact"/>
              <w:jc w:val="center"/>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rPr>
              <w:t>是</w:t>
            </w:r>
          </w:p>
        </w:tc>
      </w:tr>
    </w:tbl>
    <w:p w14:paraId="0540D6AD">
      <w:pPr>
        <w:pStyle w:val="280"/>
        <w:spacing w:line="0" w:lineRule="atLeast"/>
        <w:rPr>
          <w:rFonts w:hint="eastAsia" w:asciiTheme="minorEastAsia" w:hAnsiTheme="minorEastAsia" w:eastAsiaTheme="minorEastAsia" w:cstheme="minorEastAsia"/>
          <w:color w:val="auto"/>
        </w:rPr>
      </w:pPr>
    </w:p>
    <w:p w14:paraId="4FC0AAD3">
      <w:pPr>
        <w:pStyle w:val="7"/>
        <w:rPr>
          <w:rFonts w:hint="eastAsia" w:asciiTheme="minorEastAsia" w:hAnsiTheme="minorEastAsia" w:eastAsiaTheme="minorEastAsia" w:cstheme="minorEastAsia"/>
          <w:color w:val="auto"/>
        </w:rPr>
      </w:pPr>
      <w:bookmarkStart w:id="202" w:name="_Toc3874"/>
    </w:p>
    <w:p w14:paraId="59319295">
      <w:pPr>
        <w:pStyle w:val="195"/>
        <w:rPr>
          <w:rFonts w:hint="eastAsia" w:asciiTheme="minorEastAsia" w:hAnsiTheme="minorEastAsia" w:eastAsiaTheme="minorEastAsia" w:cstheme="minorEastAsia"/>
          <w:bCs/>
          <w:color w:val="auto"/>
          <w:sz w:val="44"/>
        </w:rPr>
      </w:pPr>
    </w:p>
    <w:p w14:paraId="2A2E3FE8">
      <w:pPr>
        <w:rPr>
          <w:rFonts w:hint="eastAsia" w:asciiTheme="minorEastAsia" w:hAnsiTheme="minorEastAsia" w:eastAsiaTheme="minorEastAsia" w:cstheme="minorEastAsia"/>
          <w:bCs/>
          <w:color w:val="auto"/>
          <w:sz w:val="44"/>
        </w:rPr>
      </w:pPr>
    </w:p>
    <w:p w14:paraId="2D69739E">
      <w:pPr>
        <w:rPr>
          <w:rFonts w:hint="eastAsia" w:asciiTheme="minorEastAsia" w:hAnsiTheme="minorEastAsia" w:eastAsiaTheme="minorEastAsia" w:cstheme="minorEastAsia"/>
          <w:bCs/>
          <w:color w:val="auto"/>
          <w:sz w:val="44"/>
        </w:rPr>
      </w:pPr>
    </w:p>
    <w:p w14:paraId="502F82E8">
      <w:pPr>
        <w:rPr>
          <w:rFonts w:hint="eastAsia" w:asciiTheme="minorEastAsia" w:hAnsiTheme="minorEastAsia" w:eastAsiaTheme="minorEastAsia" w:cstheme="minorEastAsia"/>
          <w:bCs/>
          <w:color w:val="auto"/>
          <w:sz w:val="44"/>
        </w:rPr>
      </w:pPr>
    </w:p>
    <w:p w14:paraId="5E427A45">
      <w:pPr>
        <w:rPr>
          <w:rFonts w:hint="eastAsia" w:asciiTheme="minorEastAsia" w:hAnsiTheme="minorEastAsia" w:eastAsiaTheme="minorEastAsia" w:cstheme="minorEastAsia"/>
          <w:bCs/>
          <w:color w:val="auto"/>
          <w:sz w:val="44"/>
        </w:rPr>
      </w:pPr>
    </w:p>
    <w:p w14:paraId="015207E8">
      <w:pPr>
        <w:rPr>
          <w:rFonts w:hint="eastAsia" w:asciiTheme="minorEastAsia" w:hAnsiTheme="minorEastAsia" w:eastAsiaTheme="minorEastAsia" w:cstheme="minorEastAsia"/>
          <w:bCs/>
          <w:color w:val="auto"/>
          <w:sz w:val="44"/>
        </w:rPr>
      </w:pPr>
    </w:p>
    <w:p w14:paraId="4FDD68C1">
      <w:pPr>
        <w:rPr>
          <w:rFonts w:hint="eastAsia" w:asciiTheme="minorEastAsia" w:hAnsiTheme="minorEastAsia" w:eastAsiaTheme="minorEastAsia" w:cstheme="minorEastAsia"/>
          <w:bCs/>
          <w:color w:val="auto"/>
          <w:sz w:val="44"/>
        </w:rPr>
      </w:pPr>
    </w:p>
    <w:p w14:paraId="2CBFE61F">
      <w:pPr>
        <w:rPr>
          <w:rFonts w:hint="eastAsia" w:asciiTheme="minorEastAsia" w:hAnsiTheme="minorEastAsia" w:eastAsiaTheme="minorEastAsia" w:cstheme="minorEastAsia"/>
          <w:bCs/>
          <w:color w:val="auto"/>
          <w:sz w:val="44"/>
        </w:rPr>
      </w:pPr>
    </w:p>
    <w:p w14:paraId="62611E4D">
      <w:pPr>
        <w:rPr>
          <w:rFonts w:hint="eastAsia" w:asciiTheme="minorEastAsia" w:hAnsiTheme="minorEastAsia" w:eastAsiaTheme="minorEastAsia" w:cstheme="minorEastAsia"/>
          <w:bCs/>
          <w:color w:val="auto"/>
          <w:sz w:val="44"/>
        </w:rPr>
      </w:pPr>
    </w:p>
    <w:p w14:paraId="5FEF4C6D">
      <w:pPr>
        <w:rPr>
          <w:rFonts w:hint="eastAsia" w:asciiTheme="minorEastAsia" w:hAnsiTheme="minorEastAsia" w:eastAsiaTheme="minorEastAsia" w:cstheme="minorEastAsia"/>
          <w:bCs/>
          <w:color w:val="auto"/>
          <w:sz w:val="44"/>
        </w:rPr>
      </w:pPr>
    </w:p>
    <w:p w14:paraId="364955C1">
      <w:pPr>
        <w:rPr>
          <w:rFonts w:hint="eastAsia" w:asciiTheme="minorEastAsia" w:hAnsiTheme="minorEastAsia" w:eastAsiaTheme="minorEastAsia" w:cstheme="minorEastAsia"/>
          <w:bCs/>
          <w:color w:val="auto"/>
          <w:sz w:val="44"/>
        </w:rPr>
      </w:pPr>
    </w:p>
    <w:p w14:paraId="35172B7F">
      <w:pPr>
        <w:rPr>
          <w:rFonts w:hint="eastAsia" w:asciiTheme="minorEastAsia" w:hAnsiTheme="minorEastAsia" w:eastAsiaTheme="minorEastAsia" w:cstheme="minorEastAsia"/>
          <w:bCs/>
          <w:color w:val="auto"/>
          <w:sz w:val="44"/>
        </w:rPr>
      </w:pPr>
    </w:p>
    <w:p w14:paraId="5EDE3FE0">
      <w:pPr>
        <w:rPr>
          <w:rFonts w:hint="eastAsia" w:asciiTheme="minorEastAsia" w:hAnsiTheme="minorEastAsia" w:eastAsiaTheme="minorEastAsia" w:cstheme="minorEastAsia"/>
          <w:bCs/>
          <w:color w:val="auto"/>
          <w:sz w:val="44"/>
        </w:rPr>
      </w:pPr>
    </w:p>
    <w:p w14:paraId="5970488F">
      <w:pPr>
        <w:pStyle w:val="195"/>
        <w:rPr>
          <w:rFonts w:hint="eastAsia" w:asciiTheme="minorEastAsia" w:hAnsiTheme="minorEastAsia" w:eastAsiaTheme="minorEastAsia" w:cstheme="minorEastAsia"/>
          <w:bCs/>
          <w:color w:val="auto"/>
          <w:sz w:val="44"/>
        </w:rPr>
      </w:pPr>
    </w:p>
    <w:p w14:paraId="63E055D3">
      <w:pPr>
        <w:pStyle w:val="195"/>
        <w:rPr>
          <w:rFonts w:hint="eastAsia" w:asciiTheme="minorEastAsia" w:hAnsiTheme="minorEastAsia" w:eastAsiaTheme="minorEastAsia" w:cstheme="minorEastAsia"/>
          <w:bCs/>
          <w:color w:val="auto"/>
          <w:sz w:val="44"/>
        </w:rPr>
      </w:pPr>
    </w:p>
    <w:p w14:paraId="6BA7EE45">
      <w:pPr>
        <w:pStyle w:val="195"/>
        <w:rPr>
          <w:rFonts w:hint="eastAsia" w:asciiTheme="minorEastAsia" w:hAnsiTheme="minorEastAsia" w:eastAsiaTheme="minorEastAsia" w:cstheme="minorEastAsia"/>
          <w:bCs/>
          <w:color w:val="auto"/>
          <w:sz w:val="44"/>
        </w:rPr>
      </w:pPr>
      <w:r>
        <w:rPr>
          <w:rFonts w:hint="eastAsia" w:asciiTheme="minorEastAsia" w:hAnsiTheme="minorEastAsia" w:eastAsiaTheme="minorEastAsia" w:cstheme="minorEastAsia"/>
          <w:bCs/>
          <w:color w:val="auto"/>
          <w:sz w:val="44"/>
        </w:rPr>
        <w:t>第六章  投标</w:t>
      </w:r>
      <w:bookmarkEnd w:id="195"/>
      <w:bookmarkEnd w:id="196"/>
      <w:bookmarkEnd w:id="197"/>
      <w:r>
        <w:rPr>
          <w:rFonts w:hint="eastAsia" w:asciiTheme="minorEastAsia" w:hAnsiTheme="minorEastAsia" w:eastAsiaTheme="minorEastAsia" w:cstheme="minorEastAsia"/>
          <w:bCs/>
          <w:color w:val="auto"/>
          <w:sz w:val="44"/>
        </w:rPr>
        <w:t>文件格式</w:t>
      </w:r>
      <w:bookmarkEnd w:id="202"/>
      <w:r>
        <w:rPr>
          <w:rFonts w:hint="eastAsia" w:asciiTheme="minorEastAsia" w:hAnsiTheme="minorEastAsia" w:eastAsiaTheme="minorEastAsia" w:cstheme="minorEastAsia"/>
          <w:bCs/>
          <w:color w:val="auto"/>
          <w:sz w:val="44"/>
        </w:rPr>
        <w:t xml:space="preserve"> </w:t>
      </w:r>
    </w:p>
    <w:p w14:paraId="1CEFC2AE">
      <w:pPr>
        <w:jc w:val="center"/>
        <w:rPr>
          <w:rFonts w:hint="eastAsia" w:asciiTheme="minorEastAsia" w:hAnsiTheme="minorEastAsia" w:eastAsiaTheme="minorEastAsia" w:cstheme="minorEastAsia"/>
          <w:b/>
          <w:color w:val="auto"/>
          <w:sz w:val="72"/>
        </w:rPr>
      </w:pPr>
      <w:bookmarkStart w:id="203" w:name="_Hlt26955039"/>
      <w:bookmarkEnd w:id="203"/>
      <w:bookmarkStart w:id="204" w:name="_Hlt26671244"/>
      <w:bookmarkEnd w:id="204"/>
      <w:bookmarkStart w:id="205" w:name="_Toc120614282"/>
      <w:bookmarkStart w:id="206" w:name="_Toc49090576"/>
      <w:bookmarkStart w:id="207" w:name="_Toc26554094"/>
    </w:p>
    <w:p w14:paraId="1D1FF8EF">
      <w:pPr>
        <w:jc w:val="center"/>
        <w:rPr>
          <w:rFonts w:hint="eastAsia" w:asciiTheme="minorEastAsia" w:hAnsiTheme="minorEastAsia" w:eastAsiaTheme="minorEastAsia" w:cstheme="minorEastAsia"/>
          <w:b/>
          <w:color w:val="auto"/>
          <w:sz w:val="72"/>
        </w:rPr>
      </w:pPr>
      <w:r>
        <w:rPr>
          <w:rFonts w:hint="eastAsia" w:asciiTheme="minorEastAsia" w:hAnsiTheme="minorEastAsia" w:eastAsiaTheme="minorEastAsia" w:cstheme="minorEastAsia"/>
          <w:b/>
          <w:color w:val="auto"/>
          <w:sz w:val="72"/>
        </w:rPr>
        <w:t>投  标  文  件</w:t>
      </w:r>
    </w:p>
    <w:p w14:paraId="0A17AE73">
      <w:pPr>
        <w:jc w:val="center"/>
        <w:rPr>
          <w:rFonts w:hint="eastAsia" w:asciiTheme="minorEastAsia" w:hAnsiTheme="minorEastAsia" w:eastAsiaTheme="minorEastAsia" w:cstheme="minorEastAsia"/>
          <w:b/>
          <w:color w:val="auto"/>
          <w:sz w:val="72"/>
        </w:rPr>
      </w:pPr>
    </w:p>
    <w:p w14:paraId="291D529C">
      <w:pPr>
        <w:jc w:val="center"/>
        <w:rPr>
          <w:rFonts w:hint="eastAsia" w:asciiTheme="minorEastAsia" w:hAnsiTheme="minorEastAsia" w:eastAsiaTheme="minorEastAsia" w:cstheme="minorEastAsia"/>
          <w:b/>
          <w:color w:val="auto"/>
          <w:sz w:val="72"/>
        </w:rPr>
      </w:pPr>
    </w:p>
    <w:p w14:paraId="0D5ADE44">
      <w:pPr>
        <w:jc w:val="center"/>
        <w:rPr>
          <w:rFonts w:hint="eastAsia" w:asciiTheme="minorEastAsia" w:hAnsiTheme="minorEastAsia" w:eastAsiaTheme="minorEastAsia" w:cstheme="minorEastAsia"/>
          <w:b/>
          <w:color w:val="auto"/>
          <w:sz w:val="36"/>
        </w:rPr>
      </w:pPr>
    </w:p>
    <w:p w14:paraId="6D59D247">
      <w:pPr>
        <w:jc w:val="center"/>
        <w:rPr>
          <w:rFonts w:hint="eastAsia" w:asciiTheme="minorEastAsia" w:hAnsiTheme="minorEastAsia" w:eastAsiaTheme="minorEastAsia" w:cstheme="minorEastAsia"/>
          <w:b/>
          <w:color w:val="auto"/>
          <w:sz w:val="36"/>
        </w:rPr>
      </w:pPr>
    </w:p>
    <w:p w14:paraId="12D4F0B1">
      <w:pPr>
        <w:jc w:val="center"/>
        <w:rPr>
          <w:rFonts w:hint="eastAsia" w:asciiTheme="minorEastAsia" w:hAnsiTheme="minorEastAsia" w:eastAsiaTheme="minorEastAsia" w:cstheme="minorEastAsia"/>
          <w:b/>
          <w:color w:val="auto"/>
          <w:sz w:val="36"/>
        </w:rPr>
      </w:pPr>
    </w:p>
    <w:p w14:paraId="7B0D3348">
      <w:pPr>
        <w:ind w:firstLine="1084"/>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t>项 目 名 称：</w:t>
      </w:r>
      <w:r>
        <w:rPr>
          <w:rFonts w:hint="eastAsia" w:asciiTheme="minorEastAsia" w:hAnsiTheme="minorEastAsia" w:eastAsiaTheme="minorEastAsia" w:cstheme="minorEastAsia"/>
          <w:b/>
          <w:color w:val="auto"/>
          <w:sz w:val="36"/>
          <w:u w:val="single"/>
        </w:rPr>
        <w:t xml:space="preserve">               </w:t>
      </w:r>
    </w:p>
    <w:p w14:paraId="15C5D595">
      <w:pPr>
        <w:ind w:firstLine="1084"/>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项 目 编 号：</w:t>
      </w:r>
      <w:r>
        <w:rPr>
          <w:rFonts w:hint="eastAsia" w:asciiTheme="minorEastAsia" w:hAnsiTheme="minorEastAsia" w:eastAsiaTheme="minorEastAsia" w:cstheme="minorEastAsia"/>
          <w:b/>
          <w:color w:val="auto"/>
          <w:sz w:val="36"/>
          <w:u w:val="single"/>
        </w:rPr>
        <w:t xml:space="preserve">               </w:t>
      </w:r>
    </w:p>
    <w:p w14:paraId="1614EA55">
      <w:pPr>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投标人名称 ：</w:t>
      </w:r>
      <w:r>
        <w:rPr>
          <w:rFonts w:hint="eastAsia" w:asciiTheme="minorEastAsia" w:hAnsiTheme="minorEastAsia" w:eastAsiaTheme="minorEastAsia" w:cstheme="minorEastAsia"/>
          <w:b/>
          <w:color w:val="auto"/>
          <w:sz w:val="36"/>
          <w:u w:val="single"/>
        </w:rPr>
        <w:t>（加盖CA电子公章）</w:t>
      </w:r>
    </w:p>
    <w:p w14:paraId="6B01AA57">
      <w:pPr>
        <w:rPr>
          <w:rFonts w:hint="eastAsia" w:asciiTheme="minorEastAsia" w:hAnsiTheme="minorEastAsia" w:eastAsiaTheme="minorEastAsia" w:cstheme="minorEastAsia"/>
          <w:b/>
          <w:color w:val="auto"/>
          <w:sz w:val="36"/>
          <w:u w:val="single"/>
        </w:rPr>
      </w:pPr>
      <w:r>
        <w:rPr>
          <w:rFonts w:hint="eastAsia" w:asciiTheme="minorEastAsia" w:hAnsiTheme="minorEastAsia" w:eastAsiaTheme="minorEastAsia" w:cstheme="minorEastAsia"/>
          <w:b/>
          <w:color w:val="auto"/>
          <w:sz w:val="36"/>
        </w:rPr>
        <w:t xml:space="preserve">      日      期 ：</w:t>
      </w:r>
      <w:r>
        <w:rPr>
          <w:rFonts w:hint="eastAsia" w:asciiTheme="minorEastAsia" w:hAnsiTheme="minorEastAsia" w:eastAsiaTheme="minorEastAsia" w:cstheme="minorEastAsia"/>
          <w:b/>
          <w:color w:val="auto"/>
          <w:sz w:val="36"/>
          <w:u w:val="single"/>
        </w:rPr>
        <w:t xml:space="preserve">               </w:t>
      </w:r>
    </w:p>
    <w:p w14:paraId="50EF4CA7">
      <w:pPr>
        <w:spacing w:line="440" w:lineRule="exact"/>
        <w:jc w:val="center"/>
        <w:rPr>
          <w:rFonts w:hint="eastAsia" w:asciiTheme="minorEastAsia" w:hAnsiTheme="minorEastAsia" w:eastAsiaTheme="minorEastAsia" w:cstheme="minorEastAsia"/>
          <w:b/>
          <w:bCs/>
          <w:color w:val="auto"/>
          <w:sz w:val="32"/>
          <w:szCs w:val="32"/>
        </w:rPr>
      </w:pPr>
    </w:p>
    <w:p w14:paraId="4EC0FD5C">
      <w:pPr>
        <w:spacing w:line="440" w:lineRule="exact"/>
        <w:rPr>
          <w:rFonts w:hint="eastAsia" w:asciiTheme="minorEastAsia" w:hAnsiTheme="minorEastAsia" w:eastAsiaTheme="minorEastAsia" w:cstheme="minorEastAsia"/>
          <w:color w:val="auto"/>
        </w:rPr>
      </w:pPr>
    </w:p>
    <w:p w14:paraId="18E69B4B">
      <w:pPr>
        <w:ind w:firstLine="1084"/>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6"/>
          <w:u w:val="single"/>
        </w:rPr>
        <w:br w:type="page" w:clear="all"/>
      </w:r>
    </w:p>
    <w:p w14:paraId="36EB45C0">
      <w:pPr>
        <w:spacing w:line="440" w:lineRule="exact"/>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投标文件主要格式目录</w:t>
      </w:r>
    </w:p>
    <w:p w14:paraId="7190433C">
      <w:pPr>
        <w:spacing w:line="440" w:lineRule="exact"/>
        <w:jc w:val="center"/>
        <w:rPr>
          <w:rFonts w:hint="eastAsia" w:asciiTheme="minorEastAsia" w:hAnsiTheme="minorEastAsia" w:eastAsiaTheme="minorEastAsia" w:cstheme="minorEastAsia"/>
          <w:b/>
          <w:bCs/>
          <w:color w:val="auto"/>
          <w:sz w:val="32"/>
          <w:szCs w:val="32"/>
        </w:rPr>
      </w:pPr>
    </w:p>
    <w:p w14:paraId="56B11FA3">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一、投标人资格声明函</w:t>
      </w:r>
    </w:p>
    <w:p w14:paraId="759424B4">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二、特定资格要求的证明文件（如果本项目设置特定资格要求，则需要提供）</w:t>
      </w:r>
    </w:p>
    <w:p w14:paraId="5FE92420">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三、法定代表人资格证明书（实质性格式）</w:t>
      </w:r>
    </w:p>
    <w:p w14:paraId="39B87667">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四、</w:t>
      </w:r>
      <w:r>
        <w:rPr>
          <w:rFonts w:hint="eastAsia" w:asciiTheme="minorEastAsia" w:hAnsiTheme="minorEastAsia" w:eastAsiaTheme="minorEastAsia" w:cstheme="minorEastAsia"/>
          <w:i w:val="0"/>
          <w:iCs/>
          <w:color w:val="auto"/>
          <w:sz w:val="24"/>
          <w:u w:val="none"/>
        </w:rPr>
        <w:t>法人授权书</w:t>
      </w:r>
    </w:p>
    <w:p w14:paraId="2C773C12">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五</w:t>
      </w:r>
      <w:r>
        <w:rPr>
          <w:rFonts w:hint="eastAsia" w:asciiTheme="minorEastAsia" w:hAnsiTheme="minorEastAsia" w:eastAsiaTheme="minorEastAsia" w:cstheme="minorEastAsia"/>
          <w:i w:val="0"/>
          <w:iCs/>
          <w:color w:val="auto"/>
          <w:sz w:val="24"/>
          <w:u w:val="none"/>
        </w:rPr>
        <w:t>、投标函</w:t>
      </w:r>
    </w:p>
    <w:p w14:paraId="44157E9F">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六、政府采购供应商信用承诺书（实质性格式）</w:t>
      </w:r>
    </w:p>
    <w:p w14:paraId="10A5804D">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七、</w:t>
      </w:r>
      <w:r>
        <w:rPr>
          <w:rFonts w:hint="eastAsia" w:asciiTheme="minorEastAsia" w:hAnsiTheme="minorEastAsia" w:eastAsiaTheme="minorEastAsia" w:cstheme="minorEastAsia"/>
          <w:i w:val="0"/>
          <w:iCs/>
          <w:color w:val="auto"/>
          <w:sz w:val="24"/>
          <w:u w:val="none"/>
        </w:rPr>
        <w:t>小微企业声明函</w:t>
      </w:r>
    </w:p>
    <w:p w14:paraId="2BFDF9E0">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八</w:t>
      </w:r>
      <w:r>
        <w:rPr>
          <w:rFonts w:hint="eastAsia" w:asciiTheme="minorEastAsia" w:hAnsiTheme="minorEastAsia" w:eastAsiaTheme="minorEastAsia" w:cstheme="minorEastAsia"/>
          <w:i w:val="0"/>
          <w:iCs/>
          <w:color w:val="auto"/>
          <w:sz w:val="24"/>
          <w:u w:val="none"/>
        </w:rPr>
        <w:t>、残疾人福利性单位声明函或监狱企业证明</w:t>
      </w:r>
    </w:p>
    <w:p w14:paraId="1417D482">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九、</w:t>
      </w:r>
      <w:r>
        <w:rPr>
          <w:rFonts w:hint="eastAsia" w:asciiTheme="minorEastAsia" w:hAnsiTheme="minorEastAsia" w:eastAsiaTheme="minorEastAsia" w:cstheme="minorEastAsia"/>
          <w:i w:val="0"/>
          <w:iCs/>
          <w:color w:val="auto"/>
          <w:sz w:val="24"/>
          <w:u w:val="none"/>
        </w:rPr>
        <w:t>关于符合本国产品标准的声明函</w:t>
      </w:r>
    </w:p>
    <w:p w14:paraId="7A4B9098">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十</w:t>
      </w:r>
      <w:r>
        <w:rPr>
          <w:rFonts w:hint="eastAsia" w:asciiTheme="minorEastAsia" w:hAnsiTheme="minorEastAsia" w:eastAsiaTheme="minorEastAsia" w:cstheme="minorEastAsia"/>
          <w:i w:val="0"/>
          <w:iCs/>
          <w:color w:val="auto"/>
          <w:sz w:val="24"/>
          <w:u w:val="none"/>
        </w:rPr>
        <w:t>、投标分项报价表</w:t>
      </w:r>
    </w:p>
    <w:p w14:paraId="39EC7685">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十一</w:t>
      </w:r>
      <w:r>
        <w:rPr>
          <w:rFonts w:hint="eastAsia" w:asciiTheme="minorEastAsia" w:hAnsiTheme="minorEastAsia" w:eastAsiaTheme="minorEastAsia" w:cstheme="minorEastAsia"/>
          <w:i w:val="0"/>
          <w:iCs/>
          <w:color w:val="auto"/>
          <w:sz w:val="24"/>
          <w:u w:val="none"/>
        </w:rPr>
        <w:t>、技术要求响应及偏离表</w:t>
      </w:r>
    </w:p>
    <w:p w14:paraId="749E9914">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十</w:t>
      </w:r>
      <w:r>
        <w:rPr>
          <w:rFonts w:hint="eastAsia" w:asciiTheme="minorEastAsia" w:hAnsiTheme="minorEastAsia" w:eastAsiaTheme="minorEastAsia" w:cstheme="minorEastAsia"/>
          <w:i w:val="0"/>
          <w:iCs/>
          <w:color w:val="auto"/>
          <w:sz w:val="24"/>
          <w:u w:val="none"/>
          <w:lang w:val="en-US" w:eastAsia="zh-CN"/>
        </w:rPr>
        <w:t>二</w:t>
      </w:r>
      <w:r>
        <w:rPr>
          <w:rFonts w:hint="eastAsia" w:asciiTheme="minorEastAsia" w:hAnsiTheme="minorEastAsia" w:eastAsiaTheme="minorEastAsia" w:cstheme="minorEastAsia"/>
          <w:i w:val="0"/>
          <w:iCs/>
          <w:color w:val="auto"/>
          <w:sz w:val="24"/>
          <w:u w:val="none"/>
        </w:rPr>
        <w:t>、</w:t>
      </w:r>
      <w:r>
        <w:rPr>
          <w:rFonts w:hint="eastAsia" w:asciiTheme="minorEastAsia" w:hAnsiTheme="minorEastAsia" w:eastAsiaTheme="minorEastAsia" w:cstheme="minorEastAsia"/>
          <w:i w:val="0"/>
          <w:iCs/>
          <w:color w:val="auto"/>
          <w:sz w:val="24"/>
          <w:u w:val="none"/>
          <w:lang w:val="en-US" w:eastAsia="zh-CN"/>
        </w:rPr>
        <w:t>合同及</w:t>
      </w:r>
      <w:r>
        <w:rPr>
          <w:rFonts w:hint="eastAsia" w:asciiTheme="minorEastAsia" w:hAnsiTheme="minorEastAsia" w:eastAsiaTheme="minorEastAsia" w:cstheme="minorEastAsia"/>
          <w:i w:val="0"/>
          <w:iCs/>
          <w:color w:val="auto"/>
          <w:sz w:val="24"/>
          <w:u w:val="none"/>
        </w:rPr>
        <w:t>商务</w:t>
      </w:r>
      <w:r>
        <w:rPr>
          <w:rFonts w:hint="eastAsia" w:asciiTheme="minorEastAsia" w:hAnsiTheme="minorEastAsia" w:eastAsiaTheme="minorEastAsia" w:cstheme="minorEastAsia"/>
          <w:i w:val="0"/>
          <w:iCs/>
          <w:color w:val="auto"/>
          <w:sz w:val="24"/>
          <w:u w:val="none"/>
          <w:lang w:val="en-US" w:eastAsia="zh-CN"/>
        </w:rPr>
        <w:t>条款</w:t>
      </w:r>
      <w:r>
        <w:rPr>
          <w:rFonts w:hint="eastAsia" w:asciiTheme="minorEastAsia" w:hAnsiTheme="minorEastAsia" w:eastAsiaTheme="minorEastAsia" w:cstheme="minorEastAsia"/>
          <w:i w:val="0"/>
          <w:iCs/>
          <w:color w:val="auto"/>
          <w:sz w:val="24"/>
          <w:u w:val="none"/>
        </w:rPr>
        <w:t>偏离表</w:t>
      </w:r>
    </w:p>
    <w:p w14:paraId="40BF3431">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十</w:t>
      </w:r>
      <w:r>
        <w:rPr>
          <w:rFonts w:hint="eastAsia" w:asciiTheme="minorEastAsia" w:hAnsiTheme="minorEastAsia" w:eastAsiaTheme="minorEastAsia" w:cstheme="minorEastAsia"/>
          <w:i w:val="0"/>
          <w:iCs/>
          <w:color w:val="auto"/>
          <w:sz w:val="24"/>
          <w:u w:val="none"/>
          <w:lang w:val="en-US" w:eastAsia="zh-CN"/>
        </w:rPr>
        <w:t>三</w:t>
      </w:r>
      <w:r>
        <w:rPr>
          <w:rFonts w:hint="eastAsia" w:asciiTheme="minorEastAsia" w:hAnsiTheme="minorEastAsia" w:eastAsiaTheme="minorEastAsia" w:cstheme="minorEastAsia"/>
          <w:i w:val="0"/>
          <w:iCs/>
          <w:color w:val="auto"/>
          <w:sz w:val="24"/>
          <w:u w:val="none"/>
        </w:rPr>
        <w:t>、开标一览表</w:t>
      </w:r>
    </w:p>
    <w:p w14:paraId="49567CAB">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lang w:val="en-US" w:eastAsia="zh-CN"/>
        </w:rPr>
        <w:t>十四、</w:t>
      </w:r>
      <w:r>
        <w:rPr>
          <w:rFonts w:hint="eastAsia" w:asciiTheme="minorEastAsia" w:hAnsiTheme="minorEastAsia" w:eastAsiaTheme="minorEastAsia" w:cstheme="minorEastAsia"/>
          <w:i w:val="0"/>
          <w:iCs/>
          <w:color w:val="auto"/>
          <w:sz w:val="24"/>
          <w:u w:val="none"/>
        </w:rPr>
        <w:t>投标人关于检测报告合规性的承诺函（实质性格式）</w:t>
      </w:r>
    </w:p>
    <w:p w14:paraId="580269D2">
      <w:pPr>
        <w:spacing w:line="360" w:lineRule="auto"/>
        <w:ind w:firstLine="480"/>
        <w:rPr>
          <w:rFonts w:hint="eastAsia" w:asciiTheme="minorEastAsia" w:hAnsiTheme="minorEastAsia" w:eastAsiaTheme="minorEastAsia" w:cstheme="minorEastAsia"/>
          <w:i w:val="0"/>
          <w:iCs/>
          <w:color w:val="auto"/>
          <w:sz w:val="24"/>
          <w:u w:val="none"/>
        </w:rPr>
      </w:pPr>
      <w:r>
        <w:rPr>
          <w:rFonts w:hint="eastAsia" w:asciiTheme="minorEastAsia" w:hAnsiTheme="minorEastAsia" w:eastAsiaTheme="minorEastAsia" w:cstheme="minorEastAsia"/>
          <w:i w:val="0"/>
          <w:iCs/>
          <w:color w:val="auto"/>
          <w:sz w:val="24"/>
          <w:u w:val="none"/>
        </w:rPr>
        <w:t>十</w:t>
      </w:r>
      <w:r>
        <w:rPr>
          <w:rFonts w:hint="eastAsia" w:asciiTheme="minorEastAsia" w:hAnsiTheme="minorEastAsia" w:eastAsiaTheme="minorEastAsia" w:cstheme="minorEastAsia"/>
          <w:i w:val="0"/>
          <w:iCs/>
          <w:color w:val="auto"/>
          <w:sz w:val="24"/>
          <w:u w:val="none"/>
          <w:lang w:val="en-US" w:eastAsia="zh-CN"/>
        </w:rPr>
        <w:t>五</w:t>
      </w:r>
      <w:r>
        <w:rPr>
          <w:rFonts w:hint="eastAsia" w:asciiTheme="minorEastAsia" w:hAnsiTheme="minorEastAsia" w:eastAsiaTheme="minorEastAsia" w:cstheme="minorEastAsia"/>
          <w:i w:val="0"/>
          <w:iCs/>
          <w:color w:val="auto"/>
          <w:sz w:val="24"/>
          <w:u w:val="none"/>
        </w:rPr>
        <w:t>、投标文件通用模版编制和评审要求</w:t>
      </w:r>
    </w:p>
    <w:p w14:paraId="0F9FF1FC">
      <w:pPr>
        <w:spacing w:line="440" w:lineRule="exact"/>
        <w:ind w:firstLine="480"/>
        <w:rPr>
          <w:rFonts w:hint="eastAsia" w:asciiTheme="minorEastAsia" w:hAnsiTheme="minorEastAsia" w:eastAsiaTheme="minorEastAsia" w:cstheme="minorEastAsia"/>
          <w:color w:val="auto"/>
          <w:sz w:val="24"/>
        </w:rPr>
      </w:pPr>
    </w:p>
    <w:p w14:paraId="19E5CE71">
      <w:pPr>
        <w:spacing w:line="440" w:lineRule="exact"/>
        <w:ind w:firstLine="480"/>
        <w:rPr>
          <w:rFonts w:hint="eastAsia" w:asciiTheme="minorEastAsia" w:hAnsiTheme="minorEastAsia" w:eastAsiaTheme="minorEastAsia" w:cstheme="minorEastAsia"/>
          <w:color w:val="auto"/>
          <w:sz w:val="24"/>
        </w:rPr>
      </w:pPr>
    </w:p>
    <w:p w14:paraId="507B2C43">
      <w:pPr>
        <w:spacing w:line="440" w:lineRule="exact"/>
        <w:ind w:firstLine="480"/>
        <w:rPr>
          <w:rFonts w:hint="eastAsia" w:asciiTheme="minorEastAsia" w:hAnsiTheme="minorEastAsia" w:eastAsiaTheme="minorEastAsia" w:cstheme="minorEastAsia"/>
          <w:color w:val="auto"/>
          <w:sz w:val="24"/>
        </w:rPr>
      </w:pPr>
    </w:p>
    <w:p w14:paraId="6EEAE5A6">
      <w:pPr>
        <w:spacing w:line="440" w:lineRule="exact"/>
        <w:ind w:firstLine="480"/>
        <w:rPr>
          <w:rFonts w:hint="eastAsia" w:asciiTheme="minorEastAsia" w:hAnsiTheme="minorEastAsia" w:eastAsiaTheme="minorEastAsia" w:cstheme="minorEastAsia"/>
          <w:color w:val="auto"/>
          <w:sz w:val="24"/>
        </w:rPr>
      </w:pPr>
    </w:p>
    <w:p w14:paraId="56830572">
      <w:pPr>
        <w:spacing w:line="440" w:lineRule="exact"/>
        <w:ind w:firstLine="480"/>
        <w:rPr>
          <w:rFonts w:hint="eastAsia" w:asciiTheme="minorEastAsia" w:hAnsiTheme="minorEastAsia" w:eastAsiaTheme="minorEastAsia" w:cstheme="minorEastAsia"/>
          <w:color w:val="auto"/>
          <w:sz w:val="24"/>
        </w:rPr>
      </w:pPr>
    </w:p>
    <w:p w14:paraId="55EF7FB9">
      <w:pPr>
        <w:spacing w:line="440" w:lineRule="exact"/>
        <w:ind w:firstLine="480"/>
        <w:rPr>
          <w:rFonts w:hint="eastAsia" w:asciiTheme="minorEastAsia" w:hAnsiTheme="minorEastAsia" w:eastAsiaTheme="minorEastAsia" w:cstheme="minorEastAsia"/>
          <w:color w:val="auto"/>
          <w:sz w:val="24"/>
        </w:rPr>
      </w:pPr>
    </w:p>
    <w:p w14:paraId="4554413C">
      <w:pPr>
        <w:spacing w:line="440" w:lineRule="exact"/>
        <w:ind w:firstLine="480"/>
        <w:rPr>
          <w:rFonts w:hint="eastAsia" w:asciiTheme="minorEastAsia" w:hAnsiTheme="minorEastAsia" w:eastAsiaTheme="minorEastAsia" w:cstheme="minorEastAsia"/>
          <w:color w:val="auto"/>
          <w:sz w:val="24"/>
        </w:rPr>
      </w:pPr>
    </w:p>
    <w:p w14:paraId="44BA1095">
      <w:pPr>
        <w:spacing w:line="440" w:lineRule="exact"/>
        <w:ind w:firstLine="480"/>
        <w:rPr>
          <w:rFonts w:hint="eastAsia" w:asciiTheme="minorEastAsia" w:hAnsiTheme="minorEastAsia" w:eastAsiaTheme="minorEastAsia" w:cstheme="minorEastAsia"/>
          <w:color w:val="auto"/>
          <w:sz w:val="24"/>
        </w:rPr>
      </w:pPr>
    </w:p>
    <w:p w14:paraId="0DF6E2E8">
      <w:pPr>
        <w:spacing w:line="440" w:lineRule="exact"/>
        <w:ind w:firstLine="480"/>
        <w:rPr>
          <w:rFonts w:hint="eastAsia" w:asciiTheme="minorEastAsia" w:hAnsiTheme="minorEastAsia" w:eastAsiaTheme="minorEastAsia" w:cstheme="minorEastAsia"/>
          <w:color w:val="auto"/>
          <w:sz w:val="24"/>
        </w:rPr>
      </w:pPr>
    </w:p>
    <w:p w14:paraId="3AD00C48">
      <w:pPr>
        <w:spacing w:line="440" w:lineRule="exact"/>
        <w:ind w:firstLine="480"/>
        <w:rPr>
          <w:rFonts w:hint="eastAsia" w:asciiTheme="minorEastAsia" w:hAnsiTheme="minorEastAsia" w:eastAsiaTheme="minorEastAsia" w:cstheme="minorEastAsia"/>
          <w:color w:val="auto"/>
          <w:sz w:val="24"/>
        </w:rPr>
      </w:pPr>
    </w:p>
    <w:p w14:paraId="021643A1">
      <w:pPr>
        <w:spacing w:line="440" w:lineRule="exact"/>
        <w:ind w:firstLine="480"/>
        <w:rPr>
          <w:rFonts w:hint="eastAsia" w:asciiTheme="minorEastAsia" w:hAnsiTheme="minorEastAsia" w:eastAsiaTheme="minorEastAsia" w:cstheme="minorEastAsia"/>
          <w:color w:val="auto"/>
          <w:sz w:val="24"/>
        </w:rPr>
      </w:pPr>
    </w:p>
    <w:p w14:paraId="768A173A">
      <w:pPr>
        <w:spacing w:line="440" w:lineRule="exact"/>
        <w:ind w:firstLine="480"/>
        <w:rPr>
          <w:rFonts w:hint="eastAsia" w:asciiTheme="minorEastAsia" w:hAnsiTheme="minorEastAsia" w:eastAsiaTheme="minorEastAsia" w:cstheme="minorEastAsia"/>
          <w:color w:val="auto"/>
          <w:sz w:val="24"/>
        </w:rPr>
      </w:pPr>
    </w:p>
    <w:p w14:paraId="09CF116B">
      <w:pPr>
        <w:spacing w:line="440" w:lineRule="exact"/>
        <w:ind w:firstLine="480"/>
        <w:rPr>
          <w:rFonts w:hint="eastAsia" w:asciiTheme="minorEastAsia" w:hAnsiTheme="minorEastAsia" w:eastAsiaTheme="minorEastAsia" w:cstheme="minorEastAsia"/>
          <w:color w:val="auto"/>
          <w:sz w:val="24"/>
        </w:rPr>
      </w:pPr>
    </w:p>
    <w:bookmarkEnd w:id="205"/>
    <w:bookmarkEnd w:id="206"/>
    <w:bookmarkEnd w:id="207"/>
    <w:p w14:paraId="789CF048">
      <w:pPr>
        <w:rPr>
          <w:rFonts w:hint="eastAsia" w:asciiTheme="minorEastAsia" w:hAnsiTheme="minorEastAsia" w:eastAsiaTheme="minorEastAsia" w:cstheme="minorEastAsia"/>
          <w:i/>
          <w:color w:val="auto"/>
          <w:sz w:val="32"/>
          <w:szCs w:val="32"/>
          <w:u w:val="single"/>
        </w:rPr>
      </w:pPr>
      <w:bookmarkStart w:id="208" w:name="_Toc120614284"/>
      <w:r>
        <w:rPr>
          <w:rFonts w:hint="eastAsia" w:asciiTheme="minorEastAsia" w:hAnsiTheme="minorEastAsia" w:eastAsiaTheme="minorEastAsia" w:cstheme="minorEastAsia"/>
          <w:i/>
          <w:color w:val="auto"/>
          <w:sz w:val="32"/>
          <w:szCs w:val="32"/>
          <w:u w:val="single"/>
        </w:rPr>
        <w:t>一、投标人资格声明函</w:t>
      </w:r>
    </w:p>
    <w:p w14:paraId="75491FCB">
      <w:pPr>
        <w:widowControl/>
        <w:spacing w:before="156" w:line="360" w:lineRule="auto"/>
        <w:jc w:val="center"/>
        <w:rPr>
          <w:rFonts w:hint="eastAsia" w:asciiTheme="minorEastAsia" w:hAnsiTheme="minorEastAsia" w:eastAsiaTheme="minorEastAsia" w:cstheme="minorEastAsia"/>
          <w:b/>
          <w:color w:val="auto"/>
          <w:sz w:val="28"/>
          <w:szCs w:val="28"/>
        </w:rPr>
      </w:pPr>
    </w:p>
    <w:p w14:paraId="10809CCB">
      <w:pPr>
        <w:widowControl/>
        <w:spacing w:before="156"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8"/>
          <w:szCs w:val="28"/>
        </w:rPr>
        <w:t>投标人资格声明函</w:t>
      </w:r>
      <w:r>
        <w:rPr>
          <w:rFonts w:hint="eastAsia" w:asciiTheme="minorEastAsia" w:hAnsiTheme="minorEastAsia" w:eastAsiaTheme="minorEastAsia" w:cstheme="minorEastAsia"/>
          <w:color w:val="auto"/>
          <w:lang w:val="en-US" w:eastAsia="zh-CN"/>
        </w:rPr>
        <w:t>（实质性格式）</w:t>
      </w:r>
    </w:p>
    <w:p w14:paraId="4FAAACFF">
      <w:pPr>
        <w:pStyle w:val="198"/>
        <w:spacing w:line="460" w:lineRule="exact"/>
        <w:ind w:firstLine="480"/>
        <w:rPr>
          <w:rFonts w:hint="eastAsia" w:asciiTheme="minorEastAsia" w:hAnsiTheme="minorEastAsia" w:eastAsiaTheme="minorEastAsia" w:cstheme="minorEastAsia"/>
          <w:color w:val="auto"/>
        </w:rPr>
      </w:pPr>
    </w:p>
    <w:p w14:paraId="1CEEAF0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致：常州市教育基本建设与装备管理中心</w:t>
      </w:r>
    </w:p>
    <w:p w14:paraId="01E885A2">
      <w:pPr>
        <w:pStyle w:val="198"/>
        <w:spacing w:line="460" w:lineRule="exact"/>
        <w:ind w:firstLine="84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u w:val="single"/>
        </w:rPr>
        <w:t>（采购人名称）</w:t>
      </w:r>
    </w:p>
    <w:p w14:paraId="765D7101">
      <w:pPr>
        <w:pStyle w:val="198"/>
        <w:spacing w:line="460" w:lineRule="exact"/>
        <w:ind w:firstLine="480"/>
        <w:rPr>
          <w:rFonts w:hint="eastAsia" w:asciiTheme="minorEastAsia" w:hAnsiTheme="minorEastAsia" w:eastAsiaTheme="minorEastAsia" w:cstheme="minorEastAsia"/>
          <w:color w:val="auto"/>
        </w:rPr>
      </w:pPr>
    </w:p>
    <w:p w14:paraId="3AA630A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按照《中华人民共和国政府采购法》第二十二条和招标文件的规定，我单位郑重声明如下：</w:t>
      </w:r>
    </w:p>
    <w:p w14:paraId="2EB18B75">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一、我单位是按照中华人民共和国法律规定登记注册的，注册地点为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，全称为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，统一社会信用代码为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，法定代表人（单位负责人）为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，具有独立承担民事责任的能力</w:t>
      </w:r>
      <w:r>
        <w:rPr>
          <w:rFonts w:hint="eastAsia" w:asciiTheme="minorEastAsia" w:hAnsiTheme="minorEastAsia" w:eastAsiaTheme="minorEastAsia" w:cstheme="minorEastAsia"/>
          <w:b/>
          <w:i/>
          <w:color w:val="auto"/>
          <w:u w:val="single"/>
        </w:rPr>
        <w:t>（如属于分公司经总公司授权参与项目，由总公司承担民事责任的，需提供总公司项目授权书）</w:t>
      </w:r>
      <w:r>
        <w:rPr>
          <w:rFonts w:hint="eastAsia" w:asciiTheme="minorEastAsia" w:hAnsiTheme="minorEastAsia" w:eastAsiaTheme="minorEastAsia" w:cstheme="minorEastAsia"/>
          <w:color w:val="auto"/>
        </w:rPr>
        <w:t>。</w:t>
      </w:r>
    </w:p>
    <w:p w14:paraId="313FD7C3">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二、我单位具有良好的商业信誉（指投标人经营状况良好，无本</w:t>
      </w:r>
      <w:r>
        <w:rPr>
          <w:rFonts w:hint="eastAsia" w:asciiTheme="minorEastAsia" w:hAnsiTheme="minorEastAsia" w:eastAsiaTheme="minorEastAsia" w:cstheme="minorEastAsia"/>
          <w:color w:val="auto"/>
          <w:highlight w:val="none"/>
        </w:rPr>
        <w:t>资格声明第</w:t>
      </w:r>
      <w:r>
        <w:rPr>
          <w:rFonts w:hint="eastAsia" w:asciiTheme="minorEastAsia" w:hAnsiTheme="minorEastAsia" w:eastAsiaTheme="minorEastAsia" w:cstheme="minorEastAsia"/>
          <w:color w:val="auto"/>
          <w:highlight w:val="none"/>
          <w:lang w:val="en-US" w:eastAsia="zh-CN"/>
        </w:rPr>
        <w:t>九</w:t>
      </w:r>
      <w:r>
        <w:rPr>
          <w:rFonts w:hint="eastAsia" w:asciiTheme="minorEastAsia" w:hAnsiTheme="minorEastAsia" w:eastAsiaTheme="minorEastAsia" w:cstheme="minorEastAsia"/>
          <w:color w:val="auto"/>
          <w:highlight w:val="none"/>
        </w:rPr>
        <w:t>条情形）</w:t>
      </w:r>
      <w:r>
        <w:rPr>
          <w:rFonts w:hint="eastAsia" w:asciiTheme="minorEastAsia" w:hAnsiTheme="minorEastAsia" w:eastAsiaTheme="minorEastAsia" w:cstheme="minorEastAsia"/>
          <w:color w:val="auto"/>
        </w:rPr>
        <w:t>和健全的财务会计制度。</w:t>
      </w:r>
    </w:p>
    <w:p w14:paraId="05D116D7">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三、我单位依法进行纳税和社会保险申报并实际履行了义务。</w:t>
      </w:r>
    </w:p>
    <w:p w14:paraId="599F82B2">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四、我单位具有履行本项目采购合同所必需的设备和专业技术能力，并具有履行合同的良好记录。为履行本项采购合同我单位具备如下主要设备和主要专业技术能力:</w:t>
      </w:r>
    </w:p>
    <w:p w14:paraId="31E7D16D">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主要设备有：</w:t>
      </w:r>
      <w:r>
        <w:rPr>
          <w:rFonts w:hint="eastAsia" w:asciiTheme="minorEastAsia" w:hAnsiTheme="minorEastAsia" w:eastAsiaTheme="minorEastAsia" w:cstheme="minorEastAsia"/>
          <w:color w:val="auto"/>
          <w:u w:val="single"/>
        </w:rPr>
        <w:t xml:space="preserve">            </w:t>
      </w:r>
    </w:p>
    <w:p w14:paraId="6AECF7F4">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主要专业技术能力有</w:t>
      </w:r>
      <w:r>
        <w:rPr>
          <w:rFonts w:hint="eastAsia" w:asciiTheme="minorEastAsia" w:hAnsiTheme="minorEastAsia" w:eastAsiaTheme="minorEastAsia" w:cstheme="minorEastAsia"/>
          <w:color w:val="auto"/>
          <w:u w:val="single"/>
        </w:rPr>
        <w:t xml:space="preserve">                 </w:t>
      </w:r>
    </w:p>
    <w:p w14:paraId="2C1AA26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C207965">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六、我单位具备法律、行政法规规定的其他条件。</w:t>
      </w:r>
    </w:p>
    <w:p w14:paraId="1C6871E7">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七、与我单位存在“单位负责人为同一人或者存在直接控股、管理关系”的其他单位信息如下（如无此情形的，填写“无”）：</w:t>
      </w:r>
    </w:p>
    <w:p w14:paraId="3295023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1、与我单位的法定代表人（单位负责人）为同一人的其他单位如下：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p>
    <w:p w14:paraId="682BD10D">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2、我单位直接控股的其他单位如下：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p>
    <w:p w14:paraId="688A5CC1">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3、与我单位存在管理关系的其他单位如下：</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w:t>
      </w:r>
    </w:p>
    <w:p w14:paraId="79762E1F">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八、我单位不属于为本项目提供整体设计、规范编制或者项目管理、监理、检测等服务的投标人。</w:t>
      </w:r>
    </w:p>
    <w:p w14:paraId="70D480EC">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九、我单位无以下不良信用记录情形：</w:t>
      </w:r>
    </w:p>
    <w:p w14:paraId="49676FDA">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1、在“信用中国”网站被列入失信被执行人和重大税收违法案件当事人名单；</w:t>
      </w:r>
    </w:p>
    <w:p w14:paraId="3BB64F57">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2、在“中国政府采购网”网站被列入政府采购严重违法失信行为记录名单；</w:t>
      </w:r>
    </w:p>
    <w:p w14:paraId="353CB6BD">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3、不符合《政府采购法》第二十二条规定的条件。</w:t>
      </w:r>
    </w:p>
    <w:p w14:paraId="48531A4C">
      <w:pPr>
        <w:pStyle w:val="198"/>
        <w:spacing w:line="460" w:lineRule="exact"/>
        <w:ind w:firstLine="480"/>
        <w:rPr>
          <w:rFonts w:hint="eastAsia" w:asciiTheme="minorEastAsia" w:hAnsiTheme="minorEastAsia" w:eastAsiaTheme="minorEastAsia" w:cstheme="minorEastAsia"/>
          <w:color w:val="auto"/>
        </w:rPr>
      </w:pPr>
    </w:p>
    <w:p w14:paraId="429A2F95">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我单位保证上述声明的事项都是真实的，如有虚假，我单位愿意承担相应的法律责任，并承担因此所造成的一切损失。</w:t>
      </w:r>
    </w:p>
    <w:p w14:paraId="114DFA2C">
      <w:pPr>
        <w:pStyle w:val="198"/>
        <w:spacing w:line="460" w:lineRule="exact"/>
        <w:ind w:firstLine="480"/>
        <w:rPr>
          <w:rFonts w:hint="eastAsia" w:asciiTheme="minorEastAsia" w:hAnsiTheme="minorEastAsia" w:eastAsiaTheme="minorEastAsia" w:cstheme="minorEastAsia"/>
          <w:color w:val="auto"/>
        </w:rPr>
      </w:pPr>
    </w:p>
    <w:p w14:paraId="208B31D9">
      <w:pPr>
        <w:pStyle w:val="198"/>
        <w:spacing w:line="460" w:lineRule="exact"/>
        <w:ind w:firstLine="480"/>
        <w:rPr>
          <w:rFonts w:hint="eastAsia" w:asciiTheme="minorEastAsia" w:hAnsiTheme="minorEastAsia" w:eastAsiaTheme="minorEastAsia" w:cstheme="minorEastAsia"/>
          <w:color w:val="auto"/>
        </w:rPr>
      </w:pPr>
    </w:p>
    <w:p w14:paraId="6D68D3F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投标人：（加盖公章）</w:t>
      </w:r>
    </w:p>
    <w:p w14:paraId="5EB4F8A9">
      <w:pPr>
        <w:pStyle w:val="198"/>
        <w:spacing w:line="460" w:lineRule="exact"/>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法定代表人（或单位负责人）签字或盖章：</w:t>
      </w:r>
    </w:p>
    <w:p w14:paraId="754CF2F7">
      <w:pPr>
        <w:pStyle w:val="198"/>
        <w:spacing w:line="460" w:lineRule="exact"/>
        <w:ind w:firstLine="430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    年    月    日</w:t>
      </w:r>
    </w:p>
    <w:p w14:paraId="02C31593">
      <w:pPr>
        <w:spacing w:line="360" w:lineRule="auto"/>
        <w:rPr>
          <w:rFonts w:hint="eastAsia" w:asciiTheme="minorEastAsia" w:hAnsiTheme="minorEastAsia" w:eastAsiaTheme="minorEastAsia" w:cstheme="minorEastAsia"/>
          <w:color w:val="auto"/>
          <w:sz w:val="24"/>
        </w:rPr>
      </w:pPr>
    </w:p>
    <w:p w14:paraId="6D96CCAD">
      <w:pPr>
        <w:spacing w:line="360" w:lineRule="auto"/>
        <w:rPr>
          <w:rFonts w:hint="eastAsia" w:asciiTheme="minorEastAsia" w:hAnsiTheme="minorEastAsia" w:eastAsiaTheme="minorEastAsia" w:cstheme="minorEastAsia"/>
          <w:color w:val="auto"/>
          <w:sz w:val="24"/>
        </w:rPr>
      </w:pPr>
    </w:p>
    <w:p w14:paraId="592A4D96">
      <w:pPr>
        <w:spacing w:line="360" w:lineRule="auto"/>
        <w:rPr>
          <w:rFonts w:hint="eastAsia" w:asciiTheme="minorEastAsia" w:hAnsiTheme="minorEastAsia" w:eastAsiaTheme="minorEastAsia" w:cstheme="minorEastAsia"/>
          <w:color w:val="auto"/>
          <w:sz w:val="24"/>
        </w:rPr>
      </w:pPr>
    </w:p>
    <w:p w14:paraId="32B138F7">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说明：投标人承诺不实的，依据《政府采购法》第七十七条“提供虚假材料谋取中标、成交的”有关规定予以处理。</w:t>
      </w:r>
    </w:p>
    <w:p w14:paraId="43FE2D55">
      <w:pPr>
        <w:tabs>
          <w:tab w:val="left" w:pos="5580"/>
        </w:tabs>
        <w:spacing w:line="360" w:lineRule="auto"/>
        <w:rPr>
          <w:rFonts w:hint="eastAsia" w:asciiTheme="minorEastAsia" w:hAnsiTheme="minorEastAsia" w:eastAsiaTheme="minorEastAsia" w:cstheme="minorEastAsia"/>
          <w:color w:val="auto"/>
          <w:sz w:val="24"/>
        </w:rPr>
        <w:sectPr>
          <w:footerReference r:id="rId4" w:type="first"/>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linePitch="360" w:charSpace="0"/>
        </w:sectPr>
      </w:pPr>
    </w:p>
    <w:p w14:paraId="602C43AC">
      <w:pPr>
        <w:rPr>
          <w:rFonts w:hint="eastAsia" w:asciiTheme="minorEastAsia" w:hAnsiTheme="minorEastAsia" w:eastAsiaTheme="minorEastAsia" w:cstheme="minorEastAsia"/>
          <w:i/>
          <w:color w:val="auto"/>
          <w:sz w:val="32"/>
          <w:szCs w:val="32"/>
          <w:u w:val="single"/>
        </w:rPr>
      </w:pPr>
      <w:r>
        <w:rPr>
          <w:rFonts w:hint="eastAsia" w:asciiTheme="minorEastAsia" w:hAnsiTheme="minorEastAsia" w:eastAsiaTheme="minorEastAsia" w:cstheme="minorEastAsia"/>
          <w:i/>
          <w:color w:val="auto"/>
          <w:sz w:val="32"/>
          <w:szCs w:val="32"/>
          <w:u w:val="single"/>
        </w:rPr>
        <w:t>二、特定资格要求的证明文件</w:t>
      </w:r>
    </w:p>
    <w:p w14:paraId="749F23B2">
      <w:pPr>
        <w:spacing w:line="46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 xml:space="preserve">    如果本项目申请人的特定资格要求中要求提供的，必须提供。</w:t>
      </w:r>
    </w:p>
    <w:p w14:paraId="7D5BF8EB">
      <w:pPr>
        <w:spacing w:line="460" w:lineRule="exact"/>
        <w:rPr>
          <w:rFonts w:hint="eastAsia" w:asciiTheme="minorEastAsia" w:hAnsiTheme="minorEastAsia" w:eastAsiaTheme="minorEastAsia" w:cstheme="minorEastAsia"/>
          <w:bCs/>
          <w:color w:val="auto"/>
          <w:sz w:val="24"/>
        </w:rPr>
      </w:pPr>
    </w:p>
    <w:p w14:paraId="7EC51644">
      <w:pPr>
        <w:rPr>
          <w:rFonts w:hint="eastAsia" w:asciiTheme="minorEastAsia" w:hAnsiTheme="minorEastAsia" w:eastAsiaTheme="minorEastAsia" w:cstheme="minorEastAsia"/>
          <w:i/>
          <w:color w:val="auto"/>
          <w:sz w:val="32"/>
          <w:szCs w:val="32"/>
          <w:u w:val="single"/>
        </w:rPr>
      </w:pPr>
      <w:r>
        <w:rPr>
          <w:rFonts w:hint="eastAsia" w:asciiTheme="minorEastAsia" w:hAnsiTheme="minorEastAsia" w:eastAsiaTheme="minorEastAsia" w:cstheme="minorEastAsia"/>
          <w:i/>
          <w:color w:val="auto"/>
          <w:sz w:val="32"/>
          <w:szCs w:val="32"/>
          <w:u w:val="single"/>
          <w:lang w:val="en-US" w:eastAsia="zh-CN"/>
        </w:rPr>
        <w:t>三、法定代表人资格证明书</w:t>
      </w:r>
      <w:r>
        <w:rPr>
          <w:rFonts w:hint="eastAsia" w:asciiTheme="minorEastAsia" w:hAnsiTheme="minorEastAsia" w:eastAsiaTheme="minorEastAsia" w:cstheme="minorEastAsia"/>
          <w:i/>
          <w:color w:val="auto"/>
          <w:sz w:val="32"/>
          <w:szCs w:val="32"/>
          <w:u w:val="single"/>
        </w:rPr>
        <w:t>（实质性格式）</w:t>
      </w:r>
    </w:p>
    <w:p w14:paraId="4B19EA2C">
      <w:pPr>
        <w:spacing w:line="560" w:lineRule="exact"/>
        <w:rPr>
          <w:rFonts w:hint="eastAsia" w:asciiTheme="minorEastAsia" w:hAnsiTheme="minorEastAsia" w:eastAsiaTheme="minorEastAsia" w:cstheme="minorEastAsia"/>
          <w:color w:val="auto"/>
          <w:sz w:val="24"/>
        </w:rPr>
      </w:pPr>
    </w:p>
    <w:p w14:paraId="46252597">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法定代表人资格证明书</w:t>
      </w:r>
    </w:p>
    <w:p w14:paraId="3762C469">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单位名称:</w:t>
      </w:r>
    </w:p>
    <w:p w14:paraId="44398AA9">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地址:</w:t>
      </w:r>
    </w:p>
    <w:p w14:paraId="0FD9A39D">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姓名:     性别:       年龄:      职务:</w:t>
      </w:r>
    </w:p>
    <w:p w14:paraId="1C2BBC38">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系</w:t>
      </w:r>
      <w:r>
        <w:rPr>
          <w:rFonts w:hint="eastAsia" w:asciiTheme="minorEastAsia" w:hAnsiTheme="minorEastAsia" w:eastAsiaTheme="minorEastAsia" w:cstheme="minorEastAsia"/>
          <w:color w:val="auto"/>
          <w:sz w:val="24"/>
          <w:u w:val="single"/>
        </w:rPr>
        <w:t>（</w:t>
      </w:r>
      <w:r>
        <w:rPr>
          <w:rFonts w:hint="eastAsia" w:asciiTheme="minorEastAsia" w:hAnsiTheme="minorEastAsia" w:eastAsiaTheme="minorEastAsia" w:cstheme="minorEastAsia"/>
          <w:color w:val="auto"/>
          <w:sz w:val="24"/>
          <w:u w:val="single"/>
          <w:lang w:val="en-US" w:eastAsia="zh-CN"/>
        </w:rPr>
        <w:t>投标人</w:t>
      </w:r>
      <w:r>
        <w:rPr>
          <w:rFonts w:hint="eastAsia" w:asciiTheme="minorEastAsia" w:hAnsiTheme="minorEastAsia" w:eastAsiaTheme="minorEastAsia" w:cstheme="minorEastAsia"/>
          <w:color w:val="auto"/>
          <w:sz w:val="24"/>
          <w:u w:val="single"/>
        </w:rPr>
        <w:t>名称）</w:t>
      </w:r>
      <w:r>
        <w:rPr>
          <w:rFonts w:hint="eastAsia" w:asciiTheme="minorEastAsia" w:hAnsiTheme="minorEastAsia" w:eastAsiaTheme="minorEastAsia" w:cstheme="minorEastAsia"/>
          <w:color w:val="auto"/>
          <w:sz w:val="24"/>
        </w:rPr>
        <w:t>的法定代表人。为参与</w:t>
      </w:r>
      <w:r>
        <w:rPr>
          <w:rFonts w:hint="eastAsia" w:asciiTheme="minorEastAsia" w:hAnsiTheme="minorEastAsia" w:eastAsiaTheme="minorEastAsia" w:cstheme="minorEastAsia"/>
          <w:color w:val="auto"/>
          <w:sz w:val="24"/>
          <w:u w:val="single"/>
        </w:rPr>
        <w:t>（项目名称）</w:t>
      </w:r>
      <w:r>
        <w:rPr>
          <w:rFonts w:hint="eastAsia" w:asciiTheme="minorEastAsia" w:hAnsiTheme="minorEastAsia" w:eastAsiaTheme="minorEastAsia" w:cstheme="minorEastAsia"/>
          <w:color w:val="auto"/>
          <w:sz w:val="24"/>
        </w:rPr>
        <w:t>的政府采购活动，</w:t>
      </w:r>
      <w:r>
        <w:rPr>
          <w:rFonts w:hint="eastAsia" w:asciiTheme="minorEastAsia" w:hAnsiTheme="minorEastAsia" w:eastAsiaTheme="minorEastAsia" w:cstheme="minorEastAsia"/>
          <w:color w:val="auto"/>
          <w:sz w:val="24"/>
          <w:szCs w:val="20"/>
        </w:rPr>
        <w:t>签署、澄清确认、递交、撤回、修改</w:t>
      </w:r>
      <w:r>
        <w:rPr>
          <w:rFonts w:hint="eastAsia" w:asciiTheme="minorEastAsia" w:hAnsiTheme="minorEastAsia" w:eastAsiaTheme="minorEastAsia" w:cstheme="minorEastAsia"/>
          <w:color w:val="auto"/>
          <w:sz w:val="24"/>
        </w:rPr>
        <w:t>上述项目的</w:t>
      </w:r>
      <w:r>
        <w:rPr>
          <w:rFonts w:hint="eastAsia" w:asciiTheme="minorEastAsia" w:hAnsiTheme="minorEastAsia" w:eastAsiaTheme="minorEastAsia" w:cstheme="minorEastAsia"/>
          <w:color w:val="auto"/>
          <w:sz w:val="24"/>
          <w:lang w:val="en-US" w:eastAsia="zh-CN"/>
        </w:rPr>
        <w:t>投标</w:t>
      </w:r>
      <w:r>
        <w:rPr>
          <w:rFonts w:hint="eastAsia" w:asciiTheme="minorEastAsia" w:hAnsiTheme="minorEastAsia" w:eastAsiaTheme="minorEastAsia" w:cstheme="minorEastAsia"/>
          <w:color w:val="auto"/>
          <w:sz w:val="24"/>
        </w:rPr>
        <w:t>文件、进行合同磋商、签署合同和处理与之有关的一切事务。</w:t>
      </w:r>
    </w:p>
    <w:p w14:paraId="4FFB939B">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特此证明。</w:t>
      </w:r>
    </w:p>
    <w:p w14:paraId="19F60267">
      <w:pPr>
        <w:pStyle w:val="6"/>
        <w:kinsoku w:val="0"/>
        <w:overflowPunct w:val="0"/>
        <w:spacing w:line="583" w:lineRule="auto"/>
        <w:ind w:right="-46"/>
        <w:rPr>
          <w:rFonts w:hint="eastAsia" w:asciiTheme="minorEastAsia" w:hAnsiTheme="minorEastAsia" w:eastAsiaTheme="minorEastAsia" w:cstheme="minorEastAsia"/>
          <w:color w:val="auto"/>
          <w:spacing w:val="-3"/>
        </w:rPr>
      </w:pPr>
      <w:r>
        <w:rPr>
          <w:rFonts w:hint="eastAsia" w:asciiTheme="minorEastAsia" w:hAnsiTheme="minorEastAsia" w:eastAsiaTheme="minorEastAsia" w:cstheme="minorEastAsia"/>
          <w:color w:val="auto"/>
        </w:rPr>
        <w:t>附：</w:t>
      </w:r>
      <w:r>
        <w:rPr>
          <w:rFonts w:hint="eastAsia" w:asciiTheme="minorEastAsia" w:hAnsiTheme="minorEastAsia" w:eastAsiaTheme="minorEastAsia" w:cstheme="minorEastAsia"/>
          <w:color w:val="auto"/>
          <w:spacing w:val="-3"/>
        </w:rPr>
        <w:t>法</w:t>
      </w:r>
      <w:r>
        <w:rPr>
          <w:rFonts w:hint="eastAsia" w:asciiTheme="minorEastAsia" w:hAnsiTheme="minorEastAsia" w:eastAsiaTheme="minorEastAsia" w:cstheme="minorEastAsia"/>
          <w:color w:val="auto"/>
        </w:rPr>
        <w:t>定</w:t>
      </w:r>
      <w:r>
        <w:rPr>
          <w:rFonts w:hint="eastAsia" w:asciiTheme="minorEastAsia" w:hAnsiTheme="minorEastAsia" w:eastAsiaTheme="minorEastAsia" w:cstheme="minorEastAsia"/>
          <w:color w:val="auto"/>
          <w:spacing w:val="-3"/>
        </w:rPr>
        <w:t>代</w:t>
      </w:r>
      <w:r>
        <w:rPr>
          <w:rFonts w:hint="eastAsia" w:asciiTheme="minorEastAsia" w:hAnsiTheme="minorEastAsia" w:eastAsiaTheme="minorEastAsia" w:cstheme="minorEastAsia"/>
          <w:color w:val="auto"/>
        </w:rPr>
        <w:t>表</w:t>
      </w:r>
      <w:r>
        <w:rPr>
          <w:rFonts w:hint="eastAsia" w:asciiTheme="minorEastAsia" w:hAnsiTheme="minorEastAsia" w:eastAsiaTheme="minorEastAsia" w:cstheme="minorEastAsia"/>
          <w:color w:val="auto"/>
          <w:spacing w:val="-3"/>
        </w:rPr>
        <w:t>人</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spacing w:val="-3"/>
        </w:rPr>
        <w:t>单</w:t>
      </w:r>
      <w:r>
        <w:rPr>
          <w:rFonts w:hint="eastAsia" w:asciiTheme="minorEastAsia" w:hAnsiTheme="minorEastAsia" w:eastAsiaTheme="minorEastAsia" w:cstheme="minorEastAsia"/>
          <w:color w:val="auto"/>
        </w:rPr>
        <w:t>位</w:t>
      </w:r>
      <w:r>
        <w:rPr>
          <w:rFonts w:hint="eastAsia" w:asciiTheme="minorEastAsia" w:hAnsiTheme="minorEastAsia" w:eastAsiaTheme="minorEastAsia" w:cstheme="minorEastAsia"/>
          <w:color w:val="auto"/>
          <w:spacing w:val="-3"/>
        </w:rPr>
        <w:t>负</w:t>
      </w:r>
      <w:r>
        <w:rPr>
          <w:rFonts w:hint="eastAsia" w:asciiTheme="minorEastAsia" w:hAnsiTheme="minorEastAsia" w:eastAsiaTheme="minorEastAsia" w:cstheme="minorEastAsia"/>
          <w:color w:val="auto"/>
        </w:rPr>
        <w:t>责人</w:t>
      </w:r>
      <w:r>
        <w:rPr>
          <w:rFonts w:hint="eastAsia" w:asciiTheme="minorEastAsia" w:hAnsiTheme="minorEastAsia" w:eastAsiaTheme="minorEastAsia" w:cstheme="minorEastAsia"/>
          <w:color w:val="auto"/>
          <w:spacing w:val="-3"/>
        </w:rPr>
        <w:t>）有效期内的身份证正反面电子件。</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492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5" w:hRule="atLeast"/>
        </w:trPr>
        <w:tc>
          <w:tcPr>
            <w:tcW w:w="4673" w:type="dxa"/>
            <w:noWrap w:val="0"/>
            <w:vAlign w:val="top"/>
          </w:tcPr>
          <w:p w14:paraId="034A1CF2">
            <w:pPr>
              <w:tabs>
                <w:tab w:val="left" w:pos="5580"/>
              </w:tabs>
              <w:spacing w:line="360" w:lineRule="auto"/>
              <w:jc w:val="left"/>
              <w:rPr>
                <w:rFonts w:hint="eastAsia" w:asciiTheme="minorEastAsia" w:hAnsiTheme="minorEastAsia" w:eastAsiaTheme="minorEastAsia" w:cstheme="minorEastAsia"/>
                <w:color w:val="auto"/>
                <w:sz w:val="24"/>
                <w:szCs w:val="20"/>
              </w:rPr>
            </w:pPr>
          </w:p>
          <w:p w14:paraId="65081B28">
            <w:pPr>
              <w:tabs>
                <w:tab w:val="left" w:pos="5580"/>
              </w:tabs>
              <w:spacing w:line="360" w:lineRule="auto"/>
              <w:jc w:val="left"/>
              <w:rPr>
                <w:rFonts w:hint="eastAsia" w:asciiTheme="minorEastAsia" w:hAnsiTheme="minorEastAsia" w:eastAsiaTheme="minorEastAsia" w:cstheme="minorEastAsia"/>
                <w:color w:val="auto"/>
                <w:sz w:val="24"/>
                <w:szCs w:val="20"/>
              </w:rPr>
            </w:pPr>
          </w:p>
          <w:p w14:paraId="667DBD22">
            <w:pPr>
              <w:tabs>
                <w:tab w:val="left" w:pos="5580"/>
              </w:tabs>
              <w:spacing w:line="360" w:lineRule="auto"/>
              <w:jc w:val="left"/>
              <w:rPr>
                <w:rFonts w:hint="eastAsia" w:asciiTheme="minorEastAsia" w:hAnsiTheme="minorEastAsia" w:eastAsiaTheme="minorEastAsia" w:cstheme="minorEastAsia"/>
                <w:color w:val="auto"/>
                <w:sz w:val="24"/>
                <w:szCs w:val="20"/>
              </w:rPr>
            </w:pPr>
          </w:p>
        </w:tc>
        <w:tc>
          <w:tcPr>
            <w:tcW w:w="4536" w:type="dxa"/>
            <w:noWrap w:val="0"/>
            <w:vAlign w:val="top"/>
          </w:tcPr>
          <w:p w14:paraId="223AE3CD">
            <w:pPr>
              <w:tabs>
                <w:tab w:val="left" w:pos="5580"/>
              </w:tabs>
              <w:spacing w:line="360" w:lineRule="auto"/>
              <w:jc w:val="left"/>
              <w:rPr>
                <w:rFonts w:hint="eastAsia" w:asciiTheme="minorEastAsia" w:hAnsiTheme="minorEastAsia" w:eastAsiaTheme="minorEastAsia" w:cstheme="minorEastAsia"/>
                <w:color w:val="auto"/>
                <w:sz w:val="24"/>
                <w:szCs w:val="20"/>
              </w:rPr>
            </w:pPr>
          </w:p>
          <w:p w14:paraId="2BAA3362">
            <w:pPr>
              <w:tabs>
                <w:tab w:val="left" w:pos="5580"/>
              </w:tabs>
              <w:spacing w:line="360" w:lineRule="auto"/>
              <w:jc w:val="left"/>
              <w:rPr>
                <w:rFonts w:hint="eastAsia" w:asciiTheme="minorEastAsia" w:hAnsiTheme="minorEastAsia" w:eastAsiaTheme="minorEastAsia" w:cstheme="minorEastAsia"/>
                <w:color w:val="auto"/>
                <w:sz w:val="24"/>
                <w:szCs w:val="20"/>
              </w:rPr>
            </w:pPr>
          </w:p>
          <w:p w14:paraId="403CC507">
            <w:pPr>
              <w:tabs>
                <w:tab w:val="left" w:pos="5580"/>
              </w:tabs>
              <w:spacing w:line="360" w:lineRule="auto"/>
              <w:jc w:val="left"/>
              <w:rPr>
                <w:rFonts w:hint="eastAsia" w:asciiTheme="minorEastAsia" w:hAnsiTheme="minorEastAsia" w:eastAsiaTheme="minorEastAsia" w:cstheme="minorEastAsia"/>
                <w:color w:val="auto"/>
                <w:sz w:val="24"/>
                <w:szCs w:val="20"/>
              </w:rPr>
            </w:pPr>
          </w:p>
        </w:tc>
      </w:tr>
    </w:tbl>
    <w:p w14:paraId="32E87D70">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：（加盖公章）</w:t>
      </w:r>
    </w:p>
    <w:p w14:paraId="5012B79C">
      <w:pPr>
        <w:spacing w:line="56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法定代表人</w:t>
      </w:r>
      <w:r>
        <w:rPr>
          <w:rFonts w:hint="eastAsia" w:asciiTheme="minorEastAsia" w:hAnsiTheme="minorEastAsia" w:eastAsiaTheme="minorEastAsia" w:cstheme="minorEastAsia"/>
          <w:color w:val="auto"/>
          <w:sz w:val="24"/>
          <w:szCs w:val="20"/>
        </w:rPr>
        <w:t>签字、签章或印鉴</w:t>
      </w:r>
      <w:r>
        <w:rPr>
          <w:rFonts w:hint="eastAsia" w:asciiTheme="minorEastAsia" w:hAnsiTheme="minorEastAsia" w:eastAsiaTheme="minorEastAsia" w:cstheme="minorEastAsia"/>
          <w:color w:val="auto"/>
          <w:sz w:val="24"/>
        </w:rPr>
        <w:t>：</w:t>
      </w:r>
    </w:p>
    <w:p w14:paraId="214B9BD3">
      <w:pPr>
        <w:spacing w:line="560" w:lineRule="exact"/>
        <w:ind w:firstLine="4320" w:firstLineChars="18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日期：    年    月    日</w:t>
      </w:r>
    </w:p>
    <w:p w14:paraId="53A6383F">
      <w:pPr>
        <w:widowControl/>
        <w:jc w:val="left"/>
        <w:rPr>
          <w:rFonts w:hint="eastAsia" w:asciiTheme="minorEastAsia" w:hAnsiTheme="minorEastAsia" w:eastAsiaTheme="minorEastAsia" w:cstheme="minorEastAsia"/>
          <w:color w:val="auto"/>
          <w:sz w:val="24"/>
        </w:rPr>
      </w:pPr>
    </w:p>
    <w:p w14:paraId="2D3F48A6">
      <w:pPr>
        <w:widowControl/>
        <w:jc w:val="left"/>
        <w:rPr>
          <w:rFonts w:hint="eastAsia" w:asciiTheme="minorEastAsia" w:hAnsiTheme="minorEastAsia" w:eastAsiaTheme="minorEastAsia" w:cstheme="minorEastAsia"/>
          <w:color w:val="auto"/>
          <w:sz w:val="24"/>
        </w:rPr>
      </w:pPr>
    </w:p>
    <w:p w14:paraId="640B4FB2">
      <w:pPr>
        <w:tabs>
          <w:tab w:val="left" w:pos="5580"/>
        </w:tabs>
        <w:spacing w:line="360" w:lineRule="auto"/>
        <w:jc w:val="left"/>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说明：</w:t>
      </w:r>
    </w:p>
    <w:p w14:paraId="3D2371BE">
      <w:pPr>
        <w:tabs>
          <w:tab w:val="left" w:pos="5580"/>
        </w:tabs>
        <w:spacing w:line="360" w:lineRule="auto"/>
        <w:jc w:val="left"/>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1.若</w:t>
      </w:r>
      <w:r>
        <w:rPr>
          <w:rFonts w:hint="eastAsia" w:asciiTheme="minorEastAsia" w:hAnsiTheme="minorEastAsia" w:eastAsiaTheme="minorEastAsia" w:cstheme="minorEastAsia"/>
          <w:color w:val="auto"/>
          <w:sz w:val="24"/>
          <w:szCs w:val="20"/>
          <w:lang w:eastAsia="zh-CN"/>
        </w:rPr>
        <w:t>投标人</w:t>
      </w:r>
      <w:r>
        <w:rPr>
          <w:rFonts w:hint="eastAsia" w:asciiTheme="minorEastAsia" w:hAnsiTheme="minorEastAsia" w:eastAsiaTheme="minorEastAsia" w:cstheme="minorEastAsia"/>
          <w:color w:val="auto"/>
          <w:sz w:val="24"/>
          <w:szCs w:val="20"/>
        </w:rPr>
        <w:t>为事业单位或其他组织或分支机构（仅当</w:t>
      </w:r>
      <w:r>
        <w:rPr>
          <w:rFonts w:hint="eastAsia" w:asciiTheme="minorEastAsia" w:hAnsiTheme="minorEastAsia" w:eastAsiaTheme="minorEastAsia" w:cstheme="minorEastAsia"/>
          <w:color w:val="auto"/>
          <w:sz w:val="24"/>
          <w:szCs w:val="20"/>
          <w:lang w:val="en-US" w:eastAsia="zh-CN"/>
        </w:rPr>
        <w:t>招标</w:t>
      </w:r>
      <w:r>
        <w:rPr>
          <w:rFonts w:hint="eastAsia" w:asciiTheme="minorEastAsia" w:hAnsiTheme="minorEastAsia" w:eastAsiaTheme="minorEastAsia" w:cstheme="minorEastAsia"/>
          <w:color w:val="auto"/>
          <w:sz w:val="24"/>
          <w:szCs w:val="20"/>
        </w:rPr>
        <w:t>文件注明允许分支机构响应的），则法定代表人（单位负责人）处的签署人可为单位负责人。</w:t>
      </w:r>
    </w:p>
    <w:p w14:paraId="68B20B7D">
      <w:pPr>
        <w:tabs>
          <w:tab w:val="left" w:pos="5580"/>
        </w:tabs>
        <w:spacing w:line="360" w:lineRule="auto"/>
        <w:jc w:val="left"/>
        <w:rPr>
          <w:rFonts w:hint="eastAsia" w:asciiTheme="minorEastAsia" w:hAnsiTheme="minorEastAsia" w:eastAsiaTheme="minorEastAsia" w:cstheme="minorEastAsia"/>
          <w:i/>
          <w:color w:val="auto"/>
          <w:sz w:val="24"/>
          <w:szCs w:val="20"/>
          <w:u w:val="single"/>
        </w:rPr>
      </w:pPr>
      <w:r>
        <w:rPr>
          <w:rFonts w:hint="eastAsia" w:asciiTheme="minorEastAsia" w:hAnsiTheme="minorEastAsia" w:eastAsiaTheme="minorEastAsia" w:cstheme="minorEastAsia"/>
          <w:color w:val="auto"/>
          <w:sz w:val="24"/>
          <w:szCs w:val="20"/>
          <w:lang w:val="en-US" w:eastAsia="zh-CN"/>
        </w:rPr>
        <w:t>2.</w:t>
      </w:r>
      <w:r>
        <w:rPr>
          <w:rFonts w:hint="eastAsia" w:asciiTheme="minorEastAsia" w:hAnsiTheme="minorEastAsia" w:eastAsiaTheme="minorEastAsia" w:cstheme="minorEastAsia"/>
          <w:color w:val="auto"/>
          <w:sz w:val="24"/>
          <w:szCs w:val="20"/>
          <w:lang w:eastAsia="zh-CN"/>
        </w:rPr>
        <w:t>投标人</w:t>
      </w:r>
      <w:r>
        <w:rPr>
          <w:rFonts w:hint="eastAsia" w:asciiTheme="minorEastAsia" w:hAnsiTheme="minorEastAsia" w:eastAsiaTheme="minorEastAsia" w:cstheme="minorEastAsia"/>
          <w:color w:val="auto"/>
          <w:sz w:val="24"/>
          <w:szCs w:val="20"/>
        </w:rPr>
        <w:t>为自然人的情形，可不提供本《授权委托书》。</w:t>
      </w:r>
    </w:p>
    <w:p w14:paraId="7DAD003A">
      <w:pPr>
        <w:jc w:val="center"/>
        <w:rPr>
          <w:rFonts w:hint="eastAsia" w:asciiTheme="minorEastAsia" w:hAnsiTheme="minorEastAsia" w:eastAsiaTheme="minorEastAsia" w:cstheme="minorEastAsia"/>
          <w:i/>
          <w:color w:val="auto"/>
          <w:sz w:val="32"/>
          <w:szCs w:val="32"/>
          <w:u w:val="single"/>
        </w:rPr>
      </w:pPr>
    </w:p>
    <w:p w14:paraId="118FAB71">
      <w:pPr>
        <w:rPr>
          <w:rFonts w:hint="eastAsia" w:asciiTheme="minorEastAsia" w:hAnsiTheme="minorEastAsia" w:eastAsiaTheme="minorEastAsia" w:cstheme="minorEastAsia"/>
          <w:i/>
          <w:color w:val="auto"/>
          <w:sz w:val="32"/>
          <w:szCs w:val="32"/>
          <w:u w:val="single"/>
          <w:lang w:val="en-US" w:eastAsia="zh-CN"/>
        </w:rPr>
      </w:pPr>
      <w:r>
        <w:rPr>
          <w:rFonts w:hint="eastAsia" w:asciiTheme="minorEastAsia" w:hAnsiTheme="minorEastAsia" w:eastAsiaTheme="minorEastAsia" w:cstheme="minorEastAsia"/>
          <w:i/>
          <w:color w:val="auto"/>
          <w:sz w:val="32"/>
          <w:szCs w:val="32"/>
          <w:u w:val="single"/>
          <w:lang w:val="en-US" w:eastAsia="zh-CN"/>
        </w:rPr>
        <w:t>四、法人授权书</w:t>
      </w:r>
    </w:p>
    <w:p w14:paraId="0E4B6D53">
      <w:pPr>
        <w:pStyle w:val="278"/>
        <w:ind w:firstLine="480"/>
        <w:rPr>
          <w:rFonts w:hint="eastAsia" w:asciiTheme="minorEastAsia" w:hAnsiTheme="minorEastAsia" w:eastAsiaTheme="minorEastAsia" w:cstheme="minorEastAsia"/>
          <w:color w:val="auto"/>
          <w:sz w:val="24"/>
          <w:szCs w:val="24"/>
        </w:rPr>
      </w:pPr>
    </w:p>
    <w:p w14:paraId="3774AB75">
      <w:pPr>
        <w:pStyle w:val="278"/>
        <w:ind w:firstLine="480"/>
        <w:rPr>
          <w:rFonts w:hint="eastAsia" w:asciiTheme="minorEastAsia" w:hAnsiTheme="minorEastAsia" w:eastAsiaTheme="minorEastAsia" w:cstheme="minorEastAsia"/>
          <w:color w:val="auto"/>
          <w:sz w:val="24"/>
          <w:szCs w:val="24"/>
        </w:rPr>
      </w:pPr>
    </w:p>
    <w:p w14:paraId="4745807D">
      <w:pPr>
        <w:pStyle w:val="278"/>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本授权书声明：____________（投标人名称）授权________________（被授权人的姓名）为我方就JSZC-</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号项目采购活动的合法代理人，以本单位名义全权处理一切与该项目采购有关的事务。</w:t>
      </w:r>
    </w:p>
    <w:p w14:paraId="1230C029">
      <w:pPr>
        <w:pStyle w:val="278"/>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本授权书于______年____月____日起生效，特此声明。</w:t>
      </w:r>
    </w:p>
    <w:p w14:paraId="40B227CE">
      <w:pPr>
        <w:pStyle w:val="278"/>
        <w:spacing w:line="360" w:lineRule="auto"/>
        <w:ind w:firstLine="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被授权人身份证号码：</w:t>
      </w:r>
      <w:r>
        <w:rPr>
          <w:rFonts w:hint="eastAsia" w:asciiTheme="minorEastAsia" w:hAnsiTheme="minorEastAsia" w:eastAsiaTheme="minorEastAsia" w:cstheme="minorEastAsia"/>
          <w:color w:val="auto"/>
          <w:sz w:val="24"/>
          <w:szCs w:val="24"/>
          <w:u w:val="single"/>
        </w:rPr>
        <w:t xml:space="preserve">                              </w:t>
      </w:r>
    </w:p>
    <w:p w14:paraId="37E2EFBA">
      <w:pPr>
        <w:pStyle w:val="278"/>
        <w:spacing w:line="360" w:lineRule="auto"/>
        <w:ind w:firstLine="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被授权人联系电话：（手机）</w:t>
      </w:r>
      <w:r>
        <w:rPr>
          <w:rFonts w:hint="eastAsia" w:asciiTheme="minorEastAsia" w:hAnsiTheme="minorEastAsia" w:eastAsiaTheme="minorEastAsia" w:cstheme="minorEastAsia"/>
          <w:color w:val="auto"/>
          <w:sz w:val="24"/>
          <w:szCs w:val="24"/>
          <w:u w:val="single"/>
        </w:rPr>
        <w:t xml:space="preserve">                          </w:t>
      </w:r>
    </w:p>
    <w:p w14:paraId="14C3A3A8">
      <w:pPr>
        <w:pStyle w:val="278"/>
        <w:spacing w:line="360" w:lineRule="auto"/>
        <w:ind w:firstLine="1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授权单位名称：</w:t>
      </w:r>
      <w:r>
        <w:rPr>
          <w:rFonts w:hint="eastAsia" w:asciiTheme="minorEastAsia" w:hAnsiTheme="minorEastAsia" w:eastAsiaTheme="minorEastAsia" w:cstheme="minorEastAsia"/>
          <w:color w:val="auto"/>
          <w:sz w:val="24"/>
          <w:szCs w:val="24"/>
          <w:u w:val="single"/>
        </w:rPr>
        <w:t>（加盖CA电子公章）</w:t>
      </w:r>
    </w:p>
    <w:p w14:paraId="7ECA2727">
      <w:pPr>
        <w:pStyle w:val="278"/>
        <w:spacing w:line="360" w:lineRule="auto"/>
        <w:ind w:firstLine="48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      单位地址：</w:t>
      </w:r>
      <w:r>
        <w:rPr>
          <w:rFonts w:hint="eastAsia" w:asciiTheme="minorEastAsia" w:hAnsiTheme="minorEastAsia" w:eastAsiaTheme="minorEastAsia" w:cstheme="minorEastAsia"/>
          <w:color w:val="auto"/>
          <w:sz w:val="24"/>
          <w:szCs w:val="24"/>
          <w:u w:val="single"/>
        </w:rPr>
        <w:t xml:space="preserve">                                         </w:t>
      </w:r>
    </w:p>
    <w:p w14:paraId="0CE1DB8C">
      <w:pPr>
        <w:pStyle w:val="278"/>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w:t>
      </w:r>
      <w:bookmarkStart w:id="209" w:name="_Hlt26671380"/>
      <w:bookmarkEnd w:id="209"/>
      <w:bookmarkStart w:id="210" w:name="_Hlt26955070"/>
      <w:bookmarkEnd w:id="210"/>
      <w:bookmarkStart w:id="211" w:name="_格式3__银行出具的资信证明"/>
      <w:bookmarkEnd w:id="211"/>
      <w:r>
        <w:rPr>
          <w:rFonts w:hint="eastAsia" w:asciiTheme="minorEastAsia" w:hAnsiTheme="minorEastAsia" w:eastAsiaTheme="minorEastAsia" w:cstheme="minorEastAsia"/>
          <w:color w:val="auto"/>
          <w:sz w:val="24"/>
          <w:szCs w:val="24"/>
          <w:u w:val="single"/>
        </w:rPr>
        <w:t xml:space="preserve">                                         </w:t>
      </w:r>
    </w:p>
    <w:p w14:paraId="22037CE6">
      <w:pPr>
        <w:pStyle w:val="198"/>
        <w:spacing w:line="360" w:lineRule="auto"/>
        <w:rPr>
          <w:rFonts w:hint="eastAsia" w:asciiTheme="minorEastAsia" w:hAnsiTheme="minorEastAsia" w:eastAsiaTheme="minorEastAsia" w:cstheme="minorEastAsia"/>
          <w:i/>
          <w:color w:val="auto"/>
          <w:sz w:val="24"/>
          <w:szCs w:val="24"/>
          <w:u w:val="single"/>
        </w:rPr>
      </w:pPr>
    </w:p>
    <w:p w14:paraId="5EA4B0C1">
      <w:pPr>
        <w:pStyle w:val="198"/>
        <w:spacing w:line="360" w:lineRule="auto"/>
        <w:ind w:firstLine="0"/>
        <w:rPr>
          <w:rFonts w:hint="eastAsia" w:asciiTheme="minorEastAsia" w:hAnsiTheme="minorEastAsia" w:eastAsiaTheme="minorEastAsia" w:cstheme="minorEastAsia"/>
          <w:color w:val="auto"/>
        </w:rPr>
      </w:pPr>
    </w:p>
    <w:p w14:paraId="37C9C957">
      <w:pPr>
        <w:spacing w:line="360" w:lineRule="auto"/>
        <w:rPr>
          <w:rFonts w:hint="eastAsia" w:asciiTheme="minorEastAsia" w:hAnsiTheme="minorEastAsia" w:eastAsiaTheme="minorEastAsia" w:cstheme="minorEastAsia"/>
          <w:bCs/>
          <w:color w:val="auto"/>
          <w:sz w:val="24"/>
          <w:szCs w:val="24"/>
        </w:rPr>
      </w:pPr>
    </w:p>
    <w:p w14:paraId="7103D493">
      <w:pPr>
        <w:spacing w:line="460" w:lineRule="exact"/>
        <w:rPr>
          <w:rFonts w:hint="eastAsia" w:asciiTheme="minorEastAsia" w:hAnsiTheme="minorEastAsia" w:eastAsiaTheme="minorEastAsia" w:cstheme="minorEastAsia"/>
          <w:bCs/>
          <w:color w:val="auto"/>
          <w:sz w:val="24"/>
        </w:rPr>
      </w:pPr>
    </w:p>
    <w:p w14:paraId="65C50AE1">
      <w:pPr>
        <w:rPr>
          <w:rFonts w:hint="eastAsia" w:asciiTheme="minorEastAsia" w:hAnsiTheme="minorEastAsia" w:eastAsiaTheme="minorEastAsia" w:cstheme="minorEastAsia"/>
          <w:bCs/>
          <w:i/>
          <w:color w:val="auto"/>
          <w:u w:val="single"/>
        </w:rPr>
      </w:pPr>
      <w:r>
        <w:rPr>
          <w:rFonts w:hint="eastAsia" w:asciiTheme="minorEastAsia" w:hAnsiTheme="minorEastAsia" w:eastAsiaTheme="minorEastAsia" w:cstheme="minorEastAsia"/>
          <w:bCs/>
          <w:color w:val="auto"/>
          <w:sz w:val="24"/>
        </w:rPr>
        <w:br w:type="page" w:clear="all"/>
      </w:r>
      <w:r>
        <w:rPr>
          <w:rFonts w:hint="eastAsia" w:asciiTheme="minorEastAsia" w:hAnsiTheme="minorEastAsia" w:eastAsiaTheme="minorEastAsia" w:cstheme="minorEastAsia"/>
          <w:b w:val="0"/>
          <w:bCs w:val="0"/>
          <w:i/>
          <w:color w:val="auto"/>
          <w:sz w:val="32"/>
          <w:szCs w:val="32"/>
          <w:u w:val="single"/>
          <w:lang w:val="en-US" w:eastAsia="zh-CN" w:bidi="ar-SA"/>
        </w:rPr>
        <w:t>五、投标函</w:t>
      </w:r>
    </w:p>
    <w:p w14:paraId="54D7B3F9">
      <w:pPr>
        <w:pStyle w:val="280"/>
        <w:spacing w:before="0" w:after="0" w:line="420" w:lineRule="exact"/>
        <w:ind w:firstLine="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致：常州市教育基本建设与装备管理中心</w:t>
      </w:r>
    </w:p>
    <w:p w14:paraId="0BB19FF3">
      <w:pPr>
        <w:pStyle w:val="28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根据贵方的JSZC-*_____________号招标文件，正式授权下述签字人______(姓名)代表我方______________（投标人的名称），全权处理本次项目投标的有关事宜。</w:t>
      </w:r>
    </w:p>
    <w:p w14:paraId="0DB0592B">
      <w:pPr>
        <w:pStyle w:val="28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据此函，__________签字人兹宣布同意如下：</w:t>
      </w:r>
    </w:p>
    <w:p w14:paraId="3FE3222A">
      <w:pPr>
        <w:adjustRightInd w:val="0"/>
        <w:spacing w:line="420" w:lineRule="exact"/>
        <w:ind w:firstLine="48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1.按招标文件规定的各项要求，向买方提供所需货物（包含与货物相关的服务）。</w:t>
      </w:r>
    </w:p>
    <w:p w14:paraId="6068DE91">
      <w:pPr>
        <w:adjustRightInd w:val="0"/>
        <w:spacing w:line="420" w:lineRule="exact"/>
        <w:ind w:firstLine="480" w:firstLineChars="20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2.我们完全理解贵方不一定将合同授予最低报价的投标人。</w:t>
      </w:r>
    </w:p>
    <w:p w14:paraId="5219D9E5">
      <w:pPr>
        <w:adjustRightInd w:val="0"/>
        <w:spacing w:line="420" w:lineRule="exact"/>
        <w:ind w:firstLine="480" w:firstLineChars="20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3.我们已详细审核全部招标文件及其有效补充文件，我们知道必须放弃提出含糊不清或误解问题的权利。</w:t>
      </w:r>
    </w:p>
    <w:p w14:paraId="1BE45C79">
      <w:pPr>
        <w:adjustRightInd w:val="0"/>
        <w:spacing w:line="420" w:lineRule="exact"/>
        <w:ind w:firstLine="48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4.我们同意从规定的开标日期起遵循本投标文件，并在规定的投标有效期期满之前均具有约束力。</w:t>
      </w:r>
    </w:p>
    <w:p w14:paraId="04188286">
      <w:pPr>
        <w:adjustRightInd w:val="0"/>
        <w:spacing w:line="420" w:lineRule="exact"/>
        <w:ind w:firstLine="48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5.同意向贵方提供贵方可能另外要求的与投标有关的任何证据或资料，并保证我方已提供和将要提供的文件是真实的、准确的。</w:t>
      </w:r>
    </w:p>
    <w:p w14:paraId="762DC06D">
      <w:pPr>
        <w:adjustRightInd w:val="0"/>
        <w:spacing w:line="420" w:lineRule="exact"/>
        <w:ind w:firstLine="480"/>
        <w:jc w:val="left"/>
        <w:textAlignment w:val="baseline"/>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6.一旦我方中标,我方将根据招标文件的规定，严格履行合同的责任和义务,并保证在招标文件规定的时间完成项目，交付买方验收、使用。</w:t>
      </w:r>
    </w:p>
    <w:p w14:paraId="486E0CC0">
      <w:pPr>
        <w:pStyle w:val="28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7.除采购文件第四章采购需求中关于实质性要求需要提供证明材料的之外、与国家相关部门对供应商的响应产品有强制性规定或者有要求的，我方承诺完全满足。</w:t>
      </w:r>
    </w:p>
    <w:p w14:paraId="7FF6ED56">
      <w:pPr>
        <w:pStyle w:val="280"/>
        <w:spacing w:before="0" w:after="0" w:line="42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7.与本投标有关的正式通讯地址为：</w:t>
      </w:r>
    </w:p>
    <w:p w14:paraId="0EC47EA2">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          址：</w:t>
      </w:r>
    </w:p>
    <w:p w14:paraId="5E1ABEA6">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邮          编：</w:t>
      </w:r>
    </w:p>
    <w:p w14:paraId="38B3CF07">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电          话：</w:t>
      </w:r>
    </w:p>
    <w:p w14:paraId="37606D3F">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传          真：</w:t>
      </w:r>
    </w:p>
    <w:p w14:paraId="01C5D1EE">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投标人开户行：</w:t>
      </w:r>
    </w:p>
    <w:p w14:paraId="7C0CED04">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账          号： </w:t>
      </w:r>
    </w:p>
    <w:p w14:paraId="7C95577F">
      <w:pPr>
        <w:pStyle w:val="280"/>
        <w:spacing w:before="0" w:after="0" w:line="420" w:lineRule="exact"/>
        <w:ind w:left="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日           期：________年____月____日</w:t>
      </w:r>
    </w:p>
    <w:p w14:paraId="23AC63ED">
      <w:pPr>
        <w:spacing w:line="560" w:lineRule="exact"/>
        <w:ind w:firstLine="240"/>
        <w:jc w:val="center"/>
        <w:rPr>
          <w:rFonts w:hint="eastAsia" w:asciiTheme="minorEastAsia" w:hAnsiTheme="minorEastAsia" w:eastAsiaTheme="minorEastAsia" w:cstheme="minorEastAsia"/>
          <w:bCs/>
          <w:color w:val="auto"/>
          <w:sz w:val="24"/>
        </w:rPr>
      </w:pPr>
    </w:p>
    <w:p w14:paraId="351EE773">
      <w:pPr>
        <w:spacing w:line="560" w:lineRule="exact"/>
        <w:ind w:firstLine="240"/>
        <w:jc w:val="center"/>
        <w:rPr>
          <w:rFonts w:hint="eastAsia" w:asciiTheme="minorEastAsia" w:hAnsiTheme="minorEastAsia" w:eastAsiaTheme="minorEastAsia" w:cstheme="minorEastAsia"/>
          <w:bCs/>
          <w:color w:val="auto"/>
          <w:sz w:val="24"/>
        </w:rPr>
      </w:pPr>
    </w:p>
    <w:p w14:paraId="12AFEA6A">
      <w:pPr>
        <w:spacing w:line="560" w:lineRule="exact"/>
        <w:ind w:firstLine="240"/>
        <w:jc w:val="center"/>
        <w:rPr>
          <w:rFonts w:hint="eastAsia" w:asciiTheme="minorEastAsia" w:hAnsiTheme="minorEastAsia" w:eastAsiaTheme="minorEastAsia" w:cstheme="minorEastAsia"/>
          <w:bCs/>
          <w:color w:val="auto"/>
          <w:sz w:val="24"/>
        </w:rPr>
      </w:pPr>
    </w:p>
    <w:p w14:paraId="54175213">
      <w:pPr>
        <w:spacing w:line="560" w:lineRule="exact"/>
        <w:ind w:firstLine="240"/>
        <w:jc w:val="center"/>
        <w:rPr>
          <w:rFonts w:hint="eastAsia" w:asciiTheme="minorEastAsia" w:hAnsiTheme="minorEastAsia" w:eastAsiaTheme="minorEastAsia" w:cstheme="minorEastAsia"/>
          <w:bCs/>
          <w:color w:val="auto"/>
          <w:sz w:val="24"/>
        </w:rPr>
      </w:pPr>
    </w:p>
    <w:p w14:paraId="27FD7DF4">
      <w:pPr>
        <w:pStyle w:val="7"/>
        <w:rPr>
          <w:rFonts w:hint="eastAsia" w:asciiTheme="minorEastAsia" w:hAnsiTheme="minorEastAsia" w:eastAsiaTheme="minorEastAsia" w:cstheme="minorEastAsia"/>
          <w:color w:val="auto"/>
        </w:rPr>
      </w:pPr>
    </w:p>
    <w:p w14:paraId="7950A80A">
      <w:pPr>
        <w:spacing w:line="460" w:lineRule="exact"/>
        <w:jc w:val="center"/>
        <w:rPr>
          <w:rFonts w:hint="eastAsia" w:asciiTheme="minorEastAsia" w:hAnsiTheme="minorEastAsia" w:eastAsiaTheme="minorEastAsia" w:cstheme="minorEastAsia"/>
          <w:b/>
          <w:color w:val="auto"/>
          <w:sz w:val="32"/>
          <w:szCs w:val="32"/>
        </w:rPr>
      </w:pPr>
    </w:p>
    <w:p w14:paraId="37C733B5">
      <w:pPr>
        <w:rPr>
          <w:rFonts w:hint="eastAsia" w:asciiTheme="minorEastAsia" w:hAnsiTheme="minorEastAsia" w:eastAsiaTheme="minorEastAsia" w:cstheme="minorEastAsia"/>
          <w:b w:val="0"/>
          <w:bCs w:val="0"/>
          <w:i/>
          <w:color w:val="auto"/>
          <w:sz w:val="32"/>
          <w:szCs w:val="32"/>
          <w:u w:val="single"/>
          <w:lang w:val="en-US" w:eastAsia="zh-CN" w:bidi="ar-SA"/>
        </w:rPr>
      </w:pPr>
      <w:r>
        <w:rPr>
          <w:rFonts w:hint="eastAsia" w:asciiTheme="minorEastAsia" w:hAnsiTheme="minorEastAsia" w:eastAsiaTheme="minorEastAsia" w:cstheme="minorEastAsia"/>
          <w:b w:val="0"/>
          <w:bCs w:val="0"/>
          <w:i/>
          <w:color w:val="auto"/>
          <w:sz w:val="32"/>
          <w:szCs w:val="32"/>
          <w:u w:val="single"/>
          <w:lang w:val="en-US" w:eastAsia="zh-CN" w:bidi="ar-SA"/>
        </w:rPr>
        <w:t>六、政府采购供应商信用承诺书（实质性格式）</w:t>
      </w:r>
    </w:p>
    <w:p w14:paraId="4FB763F7">
      <w:pPr>
        <w:spacing w:line="560" w:lineRule="exact"/>
        <w:ind w:firstLine="321" w:firstLineChars="100"/>
        <w:jc w:val="center"/>
        <w:rPr>
          <w:rFonts w:hint="eastAsia" w:asciiTheme="minorEastAsia" w:hAnsiTheme="minorEastAsia" w:eastAsiaTheme="minorEastAsia" w:cstheme="minorEastAsia"/>
          <w:b/>
          <w:color w:val="auto"/>
          <w:sz w:val="32"/>
          <w:szCs w:val="32"/>
        </w:rPr>
      </w:pPr>
    </w:p>
    <w:p w14:paraId="549B4FBD">
      <w:pPr>
        <w:spacing w:line="560" w:lineRule="exact"/>
        <w:ind w:firstLine="321" w:firstLineChars="100"/>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政府采购供应商信用承诺书</w:t>
      </w:r>
    </w:p>
    <w:p w14:paraId="29654EE6">
      <w:pPr>
        <w:ind w:firstLine="640"/>
        <w:rPr>
          <w:rFonts w:hint="eastAsia" w:asciiTheme="minorEastAsia" w:hAnsiTheme="minorEastAsia" w:eastAsiaTheme="minorEastAsia" w:cstheme="minorEastAsia"/>
          <w:snapToGrid w:val="0"/>
          <w:color w:val="auto"/>
          <w:kern w:val="0"/>
        </w:rPr>
      </w:pPr>
    </w:p>
    <w:p w14:paraId="0C03B3FC">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为维护公开、公平、公正的政府采购市场秩序，树立诚实守信的供应商形象，本单位在参与政府采购活动中,自愿作出以下承诺：</w:t>
      </w:r>
    </w:p>
    <w:p w14:paraId="14D82F3E">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一、严格遵守国家法律、法规和规章，全面履行应尽的责任和义务，全面做到履约守信，具备《政府采购法》第二十二条第一款规定的条件。</w:t>
      </w:r>
    </w:p>
    <w:p w14:paraId="62220029">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20EDB2E6">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三、本单位提供给注册登记部门、行业管理部门、司法部门、行业组织以及在政府采购活动中提交的所有资料均合法、真实、有效，无任何伪造、修改、虚假成份，并对所提供资料的真实性负责。</w:t>
      </w:r>
    </w:p>
    <w:p w14:paraId="2EF06362">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四、严格依法开展生产经营活动，主动接受行业监管，自愿接受依法开展的日常检查；违法失信经营后将自愿接受约束和惩戒，并依法承担相应责任。</w:t>
      </w:r>
    </w:p>
    <w:p w14:paraId="521A11F2">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五、承诺本单位自觉接受行政管理部门、行业组织、社会公众、新闻舆论的监督。 </w:t>
      </w:r>
    </w:p>
    <w:p w14:paraId="7506EEF7">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六、承诺本单位自我约束、自我管理，重合同、守信用，不制假售假、商标侵权、虚假宣传、违约毁约、恶意逃债、偷税漏税、价格欺诈、垄断和不正当竞争，维护经营者、消费者的合法权益。 </w:t>
      </w:r>
    </w:p>
    <w:p w14:paraId="10E5D55D">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七、承诺本单位在信用中国（江苏）网站中无违法违规、较重或严重失信记录。 </w:t>
      </w:r>
    </w:p>
    <w:p w14:paraId="1D6C91A8">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八、承诺本单位提出政府采购质疑和投诉坚持依法依规、诚实信用原则。</w:t>
      </w:r>
    </w:p>
    <w:p w14:paraId="5318F6E8">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九、根据政府采购相关法律法规的规定需要作出的其他承诺。 </w:t>
      </w:r>
    </w:p>
    <w:p w14:paraId="15CF8488">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十、承诺本单位若违背承诺约定，经查实，愿意接受行业主管部门和信用管理部门相应的规定处罚，承担违约责任，并依法承担相应的法律责任。</w:t>
      </w:r>
    </w:p>
    <w:p w14:paraId="5194C0B7">
      <w:pPr>
        <w:spacing w:line="276"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十一、承诺本单位同意将以上承诺事项上网公示，违背承诺约定行为将作为失信信息，记录到常州市公共信用信息系统，并予以公开。</w:t>
      </w:r>
    </w:p>
    <w:p w14:paraId="2AB70F31">
      <w:pPr>
        <w:pStyle w:val="313"/>
        <w:spacing w:line="276" w:lineRule="auto"/>
        <w:ind w:right="1050" w:rightChars="500" w:firstLine="2880" w:firstLineChars="1200"/>
        <w:jc w:val="both"/>
        <w:rPr>
          <w:rFonts w:hint="eastAsia" w:asciiTheme="minorEastAsia" w:hAnsiTheme="minorEastAsia" w:eastAsiaTheme="minorEastAsia" w:cstheme="minorEastAsia"/>
          <w:color w:val="auto"/>
          <w:sz w:val="24"/>
          <w:szCs w:val="22"/>
        </w:rPr>
      </w:pPr>
    </w:p>
    <w:p w14:paraId="46020681">
      <w:pPr>
        <w:autoSpaceDE w:val="0"/>
        <w:autoSpaceDN w:val="0"/>
        <w:adjustRightInd w:val="0"/>
        <w:snapToGrid w:val="0"/>
        <w:spacing w:before="25" w:after="25" w:line="360" w:lineRule="auto"/>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名称（加盖公章）</w:t>
      </w:r>
      <w:r>
        <w:rPr>
          <w:rFonts w:hint="eastAsia" w:asciiTheme="minorEastAsia" w:hAnsiTheme="minorEastAsia" w:eastAsiaTheme="minorEastAsia" w:cstheme="minorEastAsia"/>
          <w:color w:val="auto"/>
          <w:sz w:val="24"/>
          <w:lang w:val="zh-CN"/>
        </w:rPr>
        <w:t>：____________</w:t>
      </w:r>
    </w:p>
    <w:p w14:paraId="4C4F7820">
      <w:pPr>
        <w:autoSpaceDE w:val="0"/>
        <w:autoSpaceDN w:val="0"/>
        <w:adjustRightInd w:val="0"/>
        <w:snapToGrid w:val="0"/>
        <w:spacing w:before="25" w:after="25" w:line="360" w:lineRule="auto"/>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rPr>
        <w:t xml:space="preserve">日期：_____年______月______日   </w:t>
      </w:r>
    </w:p>
    <w:p w14:paraId="234512CB">
      <w:pPr>
        <w:spacing w:line="560" w:lineRule="exact"/>
        <w:ind w:firstLine="321"/>
        <w:jc w:val="center"/>
        <w:rPr>
          <w:rFonts w:hint="eastAsia" w:asciiTheme="minorEastAsia" w:hAnsiTheme="minorEastAsia" w:eastAsiaTheme="minorEastAsia" w:cstheme="minorEastAsia"/>
          <w:b/>
          <w:color w:val="auto"/>
          <w:sz w:val="32"/>
          <w:szCs w:val="32"/>
        </w:rPr>
      </w:pPr>
    </w:p>
    <w:p w14:paraId="525294AD">
      <w:pPr>
        <w:spacing w:line="560" w:lineRule="exact"/>
        <w:ind w:firstLine="321"/>
        <w:jc w:val="center"/>
        <w:rPr>
          <w:rFonts w:hint="eastAsia" w:asciiTheme="minorEastAsia" w:hAnsiTheme="minorEastAsia" w:eastAsiaTheme="minorEastAsia" w:cstheme="minorEastAsia"/>
          <w:b/>
          <w:color w:val="auto"/>
          <w:sz w:val="32"/>
          <w:szCs w:val="32"/>
        </w:rPr>
      </w:pPr>
    </w:p>
    <w:p w14:paraId="630A7AA9">
      <w:pPr>
        <w:spacing w:line="560" w:lineRule="exact"/>
        <w:ind w:firstLine="321"/>
        <w:jc w:val="center"/>
        <w:rPr>
          <w:rFonts w:hint="eastAsia" w:asciiTheme="minorEastAsia" w:hAnsiTheme="minorEastAsia" w:eastAsiaTheme="minorEastAsia" w:cstheme="minorEastAsia"/>
          <w:b/>
          <w:color w:val="auto"/>
          <w:sz w:val="32"/>
          <w:szCs w:val="32"/>
        </w:rPr>
      </w:pPr>
    </w:p>
    <w:p w14:paraId="0B0A739C">
      <w:pPr>
        <w:spacing w:line="560" w:lineRule="exact"/>
        <w:ind w:firstLine="321"/>
        <w:jc w:val="center"/>
        <w:rPr>
          <w:rFonts w:hint="eastAsia" w:asciiTheme="minorEastAsia" w:hAnsiTheme="minorEastAsia" w:eastAsiaTheme="minorEastAsia" w:cstheme="minorEastAsia"/>
          <w:b/>
          <w:color w:val="auto"/>
          <w:sz w:val="32"/>
          <w:szCs w:val="32"/>
        </w:rPr>
      </w:pPr>
    </w:p>
    <w:p w14:paraId="7C3BA372">
      <w:pPr>
        <w:spacing w:line="560" w:lineRule="exact"/>
        <w:ind w:firstLine="321"/>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lang w:val="en-US" w:eastAsia="zh-CN"/>
        </w:rPr>
        <w:t>七</w:t>
      </w:r>
      <w:r>
        <w:rPr>
          <w:rFonts w:hint="eastAsia" w:asciiTheme="minorEastAsia" w:hAnsiTheme="minorEastAsia" w:eastAsiaTheme="minorEastAsia" w:cstheme="minorEastAsia"/>
          <w:b/>
          <w:color w:val="auto"/>
          <w:sz w:val="32"/>
          <w:szCs w:val="32"/>
        </w:rPr>
        <w:t>、小微企业声明函（货物）（分包号：）</w:t>
      </w:r>
    </w:p>
    <w:p w14:paraId="2FC2D539">
      <w:pPr>
        <w:spacing w:line="560" w:lineRule="exact"/>
        <w:ind w:firstLine="3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color w:val="auto"/>
          <w:sz w:val="24"/>
          <w:szCs w:val="24"/>
          <w:u w:val="single"/>
        </w:rPr>
        <w:t>（采购单位名称）</w:t>
      </w:r>
      <w:r>
        <w:rPr>
          <w:rFonts w:hint="eastAsia" w:asciiTheme="minorEastAsia" w:hAnsiTheme="minorEastAsia" w:eastAsiaTheme="minorEastAsia" w:cstheme="minorEastAsia"/>
          <w:color w:val="auto"/>
          <w:sz w:val="24"/>
          <w:szCs w:val="24"/>
        </w:rPr>
        <w:t>采购编号为</w:t>
      </w:r>
      <w:r>
        <w:rPr>
          <w:rFonts w:hint="eastAsia" w:asciiTheme="minorEastAsia" w:hAnsiTheme="minorEastAsia" w:eastAsiaTheme="minorEastAsia" w:cstheme="minorEastAsia"/>
          <w:color w:val="auto"/>
          <w:sz w:val="24"/>
          <w:szCs w:val="24"/>
          <w:u w:val="single"/>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（项目名称）（分包号：）</w:t>
      </w:r>
      <w:r>
        <w:rPr>
          <w:rFonts w:hint="eastAsia" w:asciiTheme="minorEastAsia" w:hAnsiTheme="minorEastAsia" w:eastAsiaTheme="minorEastAsia" w:cstheme="minorEastAsia"/>
          <w:color w:val="auto"/>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3436704">
      <w:pPr>
        <w:spacing w:line="560" w:lineRule="exact"/>
        <w:ind w:firstLine="360"/>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（标的名称）</w:t>
      </w:r>
      <w:r>
        <w:rPr>
          <w:rFonts w:hint="eastAsia" w:asciiTheme="minorEastAsia" w:hAnsiTheme="minorEastAsia" w:eastAsiaTheme="minorEastAsia" w:cstheme="minorEastAsia"/>
          <w:i/>
          <w:color w:val="auto"/>
          <w:sz w:val="24"/>
          <w:szCs w:val="24"/>
        </w:rPr>
        <w:t>，</w:t>
      </w:r>
      <w:r>
        <w:rPr>
          <w:rFonts w:hint="eastAsia" w:asciiTheme="minorEastAsia" w:hAnsiTheme="minorEastAsia" w:eastAsiaTheme="minorEastAsia" w:cstheme="minorEastAsia"/>
          <w:color w:val="auto"/>
          <w:sz w:val="24"/>
          <w:szCs w:val="24"/>
        </w:rPr>
        <w:t>属于</w:t>
      </w:r>
      <w:r>
        <w:rPr>
          <w:rFonts w:hint="eastAsia" w:asciiTheme="minorEastAsia" w:hAnsiTheme="minorEastAsia" w:eastAsiaTheme="minorEastAsia" w:cstheme="minorEastAsia"/>
          <w:color w:val="auto"/>
          <w:sz w:val="24"/>
          <w:szCs w:val="24"/>
          <w:u w:val="single"/>
        </w:rPr>
        <w:t>工业</w:t>
      </w:r>
      <w:r>
        <w:rPr>
          <w:rFonts w:hint="eastAsia" w:asciiTheme="minorEastAsia" w:hAnsiTheme="minorEastAsia" w:eastAsiaTheme="minorEastAsia" w:cstheme="minorEastAsia"/>
          <w:color w:val="auto"/>
          <w:sz w:val="24"/>
          <w:szCs w:val="24"/>
        </w:rPr>
        <w:t>行业；制造商为</w:t>
      </w:r>
      <w:r>
        <w:rPr>
          <w:rFonts w:hint="eastAsia" w:asciiTheme="minorEastAsia" w:hAnsiTheme="minorEastAsia" w:eastAsiaTheme="minorEastAsia" w:cstheme="minorEastAsia"/>
          <w:color w:val="auto"/>
          <w:sz w:val="24"/>
          <w:szCs w:val="24"/>
          <w:u w:val="single"/>
        </w:rPr>
        <w:t>（企业名称）</w:t>
      </w:r>
      <w:r>
        <w:rPr>
          <w:rFonts w:hint="eastAsia" w:asciiTheme="minorEastAsia" w:hAnsiTheme="minorEastAsia" w:eastAsiaTheme="minorEastAsia" w:cstheme="minorEastAsia"/>
          <w:color w:val="auto"/>
          <w:sz w:val="24"/>
          <w:szCs w:val="24"/>
        </w:rPr>
        <w:t>，从业人员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万元，属于</w:t>
      </w:r>
      <w:r>
        <w:rPr>
          <w:rFonts w:hint="eastAsia" w:asciiTheme="minorEastAsia" w:hAnsiTheme="minorEastAsia" w:eastAsiaTheme="minorEastAsia" w:cstheme="minorEastAsia"/>
          <w:color w:val="auto"/>
          <w:sz w:val="24"/>
          <w:szCs w:val="24"/>
          <w:u w:val="single"/>
        </w:rPr>
        <w:t>（小型企业、微型企业）；</w:t>
      </w:r>
    </w:p>
    <w:p w14:paraId="0365C053">
      <w:pPr>
        <w:spacing w:line="560" w:lineRule="exact"/>
        <w:ind w:firstLine="360"/>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（标的名称）</w:t>
      </w:r>
      <w:r>
        <w:rPr>
          <w:rFonts w:hint="eastAsia" w:asciiTheme="minorEastAsia" w:hAnsiTheme="minorEastAsia" w:eastAsiaTheme="minorEastAsia" w:cstheme="minorEastAsia"/>
          <w:i/>
          <w:color w:val="auto"/>
          <w:sz w:val="24"/>
          <w:szCs w:val="24"/>
        </w:rPr>
        <w:t>，</w:t>
      </w:r>
      <w:r>
        <w:rPr>
          <w:rFonts w:hint="eastAsia" w:asciiTheme="minorEastAsia" w:hAnsiTheme="minorEastAsia" w:eastAsiaTheme="minorEastAsia" w:cstheme="minorEastAsia"/>
          <w:color w:val="auto"/>
          <w:sz w:val="24"/>
          <w:szCs w:val="24"/>
        </w:rPr>
        <w:t>属于</w:t>
      </w:r>
      <w:r>
        <w:rPr>
          <w:rFonts w:hint="eastAsia" w:asciiTheme="minorEastAsia" w:hAnsiTheme="minorEastAsia" w:eastAsiaTheme="minorEastAsia" w:cstheme="minorEastAsia"/>
          <w:color w:val="auto"/>
          <w:sz w:val="24"/>
          <w:szCs w:val="24"/>
          <w:u w:val="single"/>
        </w:rPr>
        <w:t>工业</w:t>
      </w:r>
      <w:r>
        <w:rPr>
          <w:rFonts w:hint="eastAsia" w:asciiTheme="minorEastAsia" w:hAnsiTheme="minorEastAsia" w:eastAsiaTheme="minorEastAsia" w:cstheme="minorEastAsia"/>
          <w:color w:val="auto"/>
          <w:sz w:val="24"/>
          <w:szCs w:val="24"/>
        </w:rPr>
        <w:t>行业；制造商为</w:t>
      </w:r>
      <w:r>
        <w:rPr>
          <w:rFonts w:hint="eastAsia" w:asciiTheme="minorEastAsia" w:hAnsiTheme="minorEastAsia" w:eastAsiaTheme="minorEastAsia" w:cstheme="minorEastAsia"/>
          <w:color w:val="auto"/>
          <w:sz w:val="24"/>
          <w:szCs w:val="24"/>
          <w:u w:val="single"/>
        </w:rPr>
        <w:t>（企业名称）</w:t>
      </w:r>
      <w:r>
        <w:rPr>
          <w:rFonts w:hint="eastAsia" w:asciiTheme="minorEastAsia" w:hAnsiTheme="minorEastAsia" w:eastAsiaTheme="minorEastAsia" w:cstheme="minorEastAsia"/>
          <w:color w:val="auto"/>
          <w:sz w:val="24"/>
          <w:szCs w:val="24"/>
        </w:rPr>
        <w:t>，从业人员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万元，属于</w:t>
      </w:r>
      <w:r>
        <w:rPr>
          <w:rFonts w:hint="eastAsia" w:asciiTheme="minorEastAsia" w:hAnsiTheme="minorEastAsia" w:eastAsiaTheme="minorEastAsia" w:cstheme="minorEastAsia"/>
          <w:color w:val="auto"/>
          <w:sz w:val="24"/>
          <w:szCs w:val="24"/>
          <w:u w:val="single"/>
        </w:rPr>
        <w:t>（小型企业、微型企业）；</w:t>
      </w:r>
    </w:p>
    <w:p w14:paraId="37BD5EA6">
      <w:pPr>
        <w:spacing w:line="46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14DC782F">
      <w:pPr>
        <w:spacing w:line="560" w:lineRule="exact"/>
        <w:ind w:firstLine="3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以上企业，不属于大企业的分支机构，不存在控股股东为大企业的情形，也不存在与大企业的负责人为同一人的情形。</w:t>
      </w:r>
    </w:p>
    <w:p w14:paraId="4606DBE5">
      <w:pPr>
        <w:spacing w:line="560" w:lineRule="exact"/>
        <w:ind w:firstLine="3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本企业对上述声明内容的真实性负责。如有虚假，将依法承担相应责任</w:t>
      </w:r>
    </w:p>
    <w:p w14:paraId="0B5C7E6F">
      <w:pPr>
        <w:spacing w:line="560" w:lineRule="exact"/>
        <w:ind w:right="720"/>
        <w:rPr>
          <w:rFonts w:hint="eastAsia" w:asciiTheme="minorEastAsia" w:hAnsiTheme="minorEastAsia" w:eastAsiaTheme="minorEastAsia" w:cstheme="minorEastAsia"/>
          <w:color w:val="auto"/>
          <w:sz w:val="24"/>
          <w:szCs w:val="24"/>
        </w:rPr>
      </w:pPr>
    </w:p>
    <w:p w14:paraId="60B75D7E">
      <w:pPr>
        <w:spacing w:line="560" w:lineRule="exact"/>
        <w:ind w:right="180" w:firstLine="36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企业名称（加盖CA电子公章）：</w:t>
      </w:r>
    </w:p>
    <w:p w14:paraId="36A2F098">
      <w:pPr>
        <w:spacing w:line="560" w:lineRule="exact"/>
        <w:ind w:right="480" w:firstLine="54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  期：</w:t>
      </w:r>
    </w:p>
    <w:p w14:paraId="050B1035">
      <w:pPr>
        <w:spacing w:line="560" w:lineRule="exact"/>
        <w:ind w:firstLine="240"/>
        <w:rPr>
          <w:rFonts w:hint="eastAsia" w:asciiTheme="minorEastAsia" w:hAnsiTheme="minorEastAsia" w:eastAsiaTheme="minorEastAsia" w:cstheme="minorEastAsia"/>
          <w:color w:val="auto"/>
          <w:sz w:val="24"/>
          <w:szCs w:val="24"/>
        </w:rPr>
      </w:pPr>
    </w:p>
    <w:p w14:paraId="0AFF3CB6">
      <w:pPr>
        <w:spacing w:line="560" w:lineRule="exact"/>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备注1：从业人员、营业收入、资产总额填报上一年度数据，无上一年度数据的新成立企业可不填报。</w:t>
      </w:r>
    </w:p>
    <w:p w14:paraId="3DF2C74C">
      <w:pPr>
        <w:spacing w:line="560" w:lineRule="exact"/>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备注2：供应商如不提供此声明函，价格将不做相应扣除。</w:t>
      </w:r>
      <w:r>
        <w:rPr>
          <w:rFonts w:hint="eastAsia" w:asciiTheme="minorEastAsia" w:hAnsiTheme="minorEastAsia" w:eastAsiaTheme="minorEastAsia" w:cstheme="minorEastAsia"/>
          <w:color w:val="auto"/>
          <w:sz w:val="24"/>
        </w:rPr>
        <w:t>中标人为小微企业的，此声明函将随中标结果同时公告，接受社会监督。</w:t>
      </w:r>
    </w:p>
    <w:p w14:paraId="15FD2A42">
      <w:pPr>
        <w:spacing w:line="460" w:lineRule="exact"/>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br w:type="page" w:clear="all"/>
      </w:r>
      <w:r>
        <w:rPr>
          <w:rFonts w:hint="eastAsia" w:asciiTheme="minorEastAsia" w:hAnsiTheme="minorEastAsia" w:eastAsiaTheme="minorEastAsia" w:cstheme="minorEastAsia"/>
          <w:b/>
          <w:color w:val="auto"/>
          <w:sz w:val="32"/>
          <w:szCs w:val="32"/>
          <w:lang w:val="en-US" w:eastAsia="zh-CN"/>
        </w:rPr>
        <w:t>八</w:t>
      </w:r>
      <w:r>
        <w:rPr>
          <w:rFonts w:hint="eastAsia" w:asciiTheme="minorEastAsia" w:hAnsiTheme="minorEastAsia" w:eastAsiaTheme="minorEastAsia" w:cstheme="minorEastAsia"/>
          <w:b/>
          <w:color w:val="auto"/>
          <w:sz w:val="32"/>
          <w:szCs w:val="32"/>
        </w:rPr>
        <w:t>、残疾人福利性单位声明函（分包号：）</w:t>
      </w:r>
    </w:p>
    <w:p w14:paraId="10B1877D">
      <w:pPr>
        <w:spacing w:line="588" w:lineRule="exact"/>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项目（分包号：）采购活动提供本单位制造的货物，或者提供其他残疾人福利性单位制造的货物（不包括使用非残疾人福利性单位注册商标的货物）。</w:t>
      </w:r>
    </w:p>
    <w:p w14:paraId="3A0F30FC">
      <w:pPr>
        <w:spacing w:line="588" w:lineRule="exact"/>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本单位对上述声明的真实性负责。如有虚假，将依法承担相应责任。</w:t>
      </w:r>
    </w:p>
    <w:p w14:paraId="0CA15288">
      <w:pPr>
        <w:spacing w:line="588" w:lineRule="exact"/>
        <w:ind w:firstLine="480"/>
        <w:rPr>
          <w:rFonts w:hint="eastAsia" w:asciiTheme="minorEastAsia" w:hAnsiTheme="minorEastAsia" w:eastAsiaTheme="minorEastAsia" w:cstheme="minorEastAsia"/>
          <w:color w:val="auto"/>
          <w:sz w:val="24"/>
        </w:rPr>
      </w:pPr>
    </w:p>
    <w:p w14:paraId="22253248">
      <w:pPr>
        <w:spacing w:line="588" w:lineRule="exact"/>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（备注：1、供应商如不提供此声明函，价格将不做相应扣除。2、中标人为残疾人福利单位的，此声明函将随中标结果同时公告，接受社会监督）</w:t>
      </w:r>
    </w:p>
    <w:p w14:paraId="6390AA23">
      <w:pPr>
        <w:spacing w:line="588" w:lineRule="exact"/>
        <w:ind w:firstLine="624"/>
        <w:rPr>
          <w:rFonts w:hint="eastAsia" w:asciiTheme="minorEastAsia" w:hAnsiTheme="minorEastAsia" w:eastAsiaTheme="minorEastAsia" w:cstheme="minorEastAsia"/>
          <w:color w:val="auto"/>
          <w:spacing w:val="6"/>
          <w:sz w:val="30"/>
          <w:szCs w:val="30"/>
        </w:rPr>
      </w:pPr>
    </w:p>
    <w:p w14:paraId="5D8DF86D">
      <w:pPr>
        <w:tabs>
          <w:tab w:val="left" w:pos="4860"/>
        </w:tabs>
        <w:spacing w:line="588" w:lineRule="exact"/>
        <w:ind w:right="1560" w:firstLine="62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pacing w:val="6"/>
          <w:sz w:val="30"/>
          <w:szCs w:val="30"/>
        </w:rPr>
        <w:t xml:space="preserve">             </w:t>
      </w:r>
      <w:r>
        <w:rPr>
          <w:rFonts w:hint="eastAsia" w:asciiTheme="minorEastAsia" w:hAnsiTheme="minorEastAsia" w:eastAsiaTheme="minorEastAsia" w:cstheme="minorEastAsia"/>
          <w:color w:val="auto"/>
          <w:sz w:val="24"/>
        </w:rPr>
        <w:t xml:space="preserve">         供应商全称（加盖CA电子公章）：</w:t>
      </w:r>
    </w:p>
    <w:p w14:paraId="13A1DFBD">
      <w:pPr>
        <w:tabs>
          <w:tab w:val="left" w:pos="4860"/>
        </w:tabs>
        <w:spacing w:line="588" w:lineRule="exact"/>
        <w:ind w:right="1560" w:firstLine="48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日  期：</w:t>
      </w:r>
    </w:p>
    <w:p w14:paraId="6B1EA308">
      <w:pPr>
        <w:spacing w:line="560" w:lineRule="exact"/>
        <w:jc w:val="center"/>
        <w:rPr>
          <w:rFonts w:hint="eastAsia" w:asciiTheme="minorEastAsia" w:hAnsiTheme="minorEastAsia" w:eastAsiaTheme="minorEastAsia" w:cstheme="minorEastAsia"/>
          <w:b/>
          <w:color w:val="auto"/>
          <w:sz w:val="32"/>
          <w:szCs w:val="32"/>
        </w:rPr>
      </w:pPr>
    </w:p>
    <w:p w14:paraId="1DAC23DF">
      <w:pPr>
        <w:spacing w:line="560" w:lineRule="exact"/>
        <w:jc w:val="center"/>
        <w:rPr>
          <w:rFonts w:hint="eastAsia" w:asciiTheme="minorEastAsia" w:hAnsiTheme="minorEastAsia" w:eastAsiaTheme="minorEastAsia" w:cstheme="minorEastAsia"/>
          <w:b/>
          <w:color w:val="auto"/>
          <w:sz w:val="32"/>
          <w:szCs w:val="32"/>
        </w:rPr>
      </w:pPr>
    </w:p>
    <w:p w14:paraId="2BBA7957">
      <w:pPr>
        <w:spacing w:line="560" w:lineRule="exact"/>
        <w:jc w:val="center"/>
        <w:rPr>
          <w:rFonts w:hint="eastAsia" w:asciiTheme="minorEastAsia" w:hAnsiTheme="minorEastAsia" w:eastAsiaTheme="minorEastAsia" w:cstheme="minorEastAsia"/>
          <w:b/>
          <w:color w:val="auto"/>
          <w:sz w:val="32"/>
          <w:szCs w:val="32"/>
        </w:rPr>
      </w:pPr>
    </w:p>
    <w:p w14:paraId="753A4E6F">
      <w:pPr>
        <w:spacing w:line="560" w:lineRule="exact"/>
        <w:jc w:val="center"/>
        <w:rPr>
          <w:rFonts w:hint="eastAsia" w:asciiTheme="minorEastAsia" w:hAnsiTheme="minorEastAsia" w:eastAsiaTheme="minorEastAsia" w:cstheme="minorEastAsia"/>
          <w:b/>
          <w:color w:val="auto"/>
          <w:sz w:val="32"/>
          <w:szCs w:val="32"/>
        </w:rPr>
      </w:pPr>
    </w:p>
    <w:p w14:paraId="519F3327">
      <w:pPr>
        <w:spacing w:line="560" w:lineRule="exact"/>
        <w:jc w:val="center"/>
        <w:rPr>
          <w:rFonts w:hint="eastAsia" w:asciiTheme="minorEastAsia" w:hAnsiTheme="minorEastAsia" w:eastAsiaTheme="minorEastAsia" w:cstheme="minorEastAsia"/>
          <w:b/>
          <w:color w:val="auto"/>
          <w:sz w:val="32"/>
          <w:szCs w:val="32"/>
        </w:rPr>
      </w:pPr>
    </w:p>
    <w:p w14:paraId="44FCBA4F">
      <w:pPr>
        <w:spacing w:line="588" w:lineRule="exact"/>
        <w:ind w:firstLine="643"/>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color w:val="auto"/>
          <w:sz w:val="32"/>
          <w:szCs w:val="32"/>
        </w:rPr>
        <w:t>监狱企业证明文件。</w:t>
      </w:r>
      <w:r>
        <w:rPr>
          <w:rFonts w:hint="eastAsia" w:asciiTheme="minorEastAsia" w:hAnsiTheme="minorEastAsia" w:eastAsiaTheme="minorEastAsia" w:cstheme="minorEastAsia"/>
          <w:color w:val="auto"/>
          <w:sz w:val="24"/>
        </w:rPr>
        <w:t>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color w:val="auto"/>
          <w:sz w:val="24"/>
          <w:szCs w:val="24"/>
        </w:rPr>
        <w:t>资格审查不予通过，作为无效投标。</w:t>
      </w:r>
      <w:r>
        <w:rPr>
          <w:rFonts w:hint="eastAsia" w:asciiTheme="minorEastAsia" w:hAnsiTheme="minorEastAsia" w:eastAsiaTheme="minorEastAsia" w:cstheme="minorEastAsia"/>
          <w:color w:val="auto"/>
          <w:sz w:val="24"/>
        </w:rPr>
        <w:t>）</w:t>
      </w:r>
    </w:p>
    <w:p w14:paraId="7E7F6684">
      <w:pPr>
        <w:spacing w:line="560" w:lineRule="exact"/>
        <w:jc w:val="center"/>
        <w:rPr>
          <w:rFonts w:hint="eastAsia" w:asciiTheme="minorEastAsia" w:hAnsiTheme="minorEastAsia" w:eastAsiaTheme="minorEastAsia" w:cstheme="minorEastAsia"/>
          <w:b/>
          <w:color w:val="auto"/>
          <w:sz w:val="32"/>
          <w:szCs w:val="32"/>
        </w:rPr>
      </w:pPr>
    </w:p>
    <w:p w14:paraId="1DD21841">
      <w:pPr>
        <w:spacing w:line="560" w:lineRule="exact"/>
        <w:jc w:val="center"/>
        <w:rPr>
          <w:rFonts w:hint="eastAsia" w:asciiTheme="minorEastAsia" w:hAnsiTheme="minorEastAsia" w:eastAsiaTheme="minorEastAsia" w:cstheme="minorEastAsia"/>
          <w:b/>
          <w:color w:val="auto"/>
          <w:sz w:val="32"/>
          <w:szCs w:val="32"/>
        </w:rPr>
      </w:pPr>
    </w:p>
    <w:p w14:paraId="6580505B">
      <w:pPr>
        <w:pStyle w:val="7"/>
        <w:rPr>
          <w:rFonts w:hint="eastAsia" w:asciiTheme="minorEastAsia" w:hAnsiTheme="minorEastAsia" w:eastAsiaTheme="minorEastAsia" w:cstheme="minorEastAsia"/>
          <w:color w:val="auto"/>
        </w:rPr>
      </w:pPr>
    </w:p>
    <w:p w14:paraId="244A445E">
      <w:pPr>
        <w:rPr>
          <w:rFonts w:hint="eastAsia" w:asciiTheme="minorEastAsia" w:hAnsiTheme="minorEastAsia" w:eastAsiaTheme="minorEastAsia" w:cstheme="minorEastAsia"/>
          <w:color w:val="auto"/>
        </w:rPr>
      </w:pPr>
    </w:p>
    <w:p w14:paraId="77771F9A">
      <w:pPr>
        <w:numPr>
          <w:ilvl w:val="0"/>
          <w:numId w:val="15"/>
        </w:numPr>
        <w:jc w:val="center"/>
        <w:rPr>
          <w:rFonts w:hint="eastAsia" w:asciiTheme="minorEastAsia" w:hAnsiTheme="minorEastAsia" w:eastAsiaTheme="minorEastAsia" w:cstheme="minorEastAsia"/>
          <w:b/>
          <w:i/>
          <w:color w:val="auto"/>
          <w:sz w:val="32"/>
          <w:szCs w:val="32"/>
          <w:u w:val="single"/>
        </w:rPr>
      </w:pPr>
      <w:r>
        <w:rPr>
          <w:rFonts w:hint="eastAsia" w:asciiTheme="minorEastAsia" w:hAnsiTheme="minorEastAsia" w:eastAsiaTheme="minorEastAsia" w:cstheme="minorEastAsia"/>
          <w:b/>
          <w:i/>
          <w:color w:val="auto"/>
          <w:sz w:val="32"/>
          <w:szCs w:val="32"/>
          <w:u w:val="single"/>
        </w:rPr>
        <w:t>关于符合本国产品标准的声明函（采购包号：**）</w:t>
      </w:r>
    </w:p>
    <w:p w14:paraId="32FB1849">
      <w:pPr>
        <w:pStyle w:val="23"/>
        <w:spacing w:before="0" w:beforeAutospacing="0" w:after="0" w:afterAutospacing="0" w:line="0" w:lineRule="atLeast"/>
        <w:ind w:firstLine="420"/>
        <w:rPr>
          <w:rFonts w:ascii="方正魏碑_GBK" w:hAnsi="方正魏碑_GBK" w:eastAsia="方正魏碑_GBK" w:cs="方正魏碑_GBK"/>
          <w:color w:val="auto"/>
        </w:rPr>
      </w:pPr>
    </w:p>
    <w:p w14:paraId="2527FE5A">
      <w:pPr>
        <w:pStyle w:val="23"/>
        <w:spacing w:before="0" w:beforeAutospacing="0" w:after="0" w:afterAutospacing="0" w:line="360" w:lineRule="auto"/>
        <w:ind w:firstLine="42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本公司（单位）郑重声明，根据《国务院办公厅关于在政府采购中实施本国产品标准及相关政策的通知》（国办发〔2025〕34号）的规定，本公司（单位）提供的以下产品属于本国产品。具体情况如下：</w:t>
      </w:r>
    </w:p>
    <w:p w14:paraId="3D3BF43E">
      <w:pPr>
        <w:pStyle w:val="23"/>
        <w:spacing w:before="30" w:beforeAutospacing="0" w:after="30" w:afterAutospacing="0" w:line="360" w:lineRule="auto"/>
        <w:ind w:firstLine="42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6672" behindDoc="0" locked="0" layoutInCell="1" allowOverlap="1">
                <wp:simplePos x="0" y="0"/>
                <wp:positionH relativeFrom="column">
                  <wp:posOffset>2245360</wp:posOffset>
                </wp:positionH>
                <wp:positionV relativeFrom="paragraph">
                  <wp:posOffset>66675</wp:posOffset>
                </wp:positionV>
                <wp:extent cx="565785" cy="130810"/>
                <wp:effectExtent l="1270" t="4445" r="4445" b="17145"/>
                <wp:wrapNone/>
                <wp:docPr id="18" name="直接箭头连接符 18"/>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76.8pt;margin-top:5.25pt;height:10.3pt;width:44.55pt;z-index:251676672;mso-width-relative:page;mso-height-relative:page;" filled="f" stroked="t" coordsize="21600,21600" o:gfxdata="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q7gVPXAAAACQEAAA8AAAAAAAAAAQAgAAAAIgAA&#10;AGRycy9kb3ducmV2LnhtbFBLAQIUABQAAAAIAIdO4kBCrMQaCQIAAPw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8480"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93pt;margin-top:47.75pt;height:11.6pt;width:64.3pt;z-index:251668480;mso-width-relative:page;mso-height-relative:page;" filled="f" stroked="t" coordsize="21600,21600" o:gfxdata="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NoUEr2AAAAAoBAAAPAAAAAAAAAAEAIAAAACIA&#10;AABkcnMvZG93bnJldi54bWxQSwECFAAUAAAACACHTuJAU6lkSQkCAAD6AwAADgAAAAAAAAABACAA&#10;AAAn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9" name="直接箭头连接符 9"/>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1.9pt;margin-top:48.65pt;height:9.45pt;width:69pt;z-index:251661312;mso-width-relative:page;mso-height-relative:page;" filled="f" stroked="t" coordsize="21600,21600" o:gfxdata="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727KNcAAAAKAQAADwAAAAAAAAABACAAAAAiAAAAZHJz&#10;L2Rvd25yZXYueG1sUEsBAhQAFAAAAAgAh07iQO+xq00FAgAA+g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2" name="直接箭头连接符 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7.05pt;margin-top:26.45pt;height:8.15pt;width:64.3pt;z-index:251660288;mso-width-relative:page;mso-height-relative:page;" filled="f" stroked="t" coordsize="21600,21600" o:gfxdata="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NHQKSWWGXzw&#10;27c33998uP3y+dv7mx9f3yX700cyTVINHmrMWNlNOJ7Ab0LivW+DIa1W/jXOVFYCuZF9FvpwElru&#10;I+F4eVHN5xU+AUdXVT6clbOEXowwCc4HiE+kMyQZDYUYmOr6uHLW4pO6MJZgu6cQx8RfCSlZWzI0&#10;9NFsOsMKDEe0xdFA03ikCbbL7YHTSlwprVMGhG670oHsWBqTvI4N/RWWiqwZ9GNcdqUwVveSicdW&#10;kHjwKKDFf0NTC0YKSrTEb5asHBmZ0udEohbaoiRJ8VHjZG2dOGTp8z2ORBbtOL5p5v485+zfX3b5&#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FhHWPXAAAACQEAAA8AAAAAAAAAAQAgAAAAIgAAAGRy&#10;cy9kb3ducmV2LnhtbFBLAQIUABQAAAAIAIdO4kCfa9k/BgIAAPo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5"/>
                <wp:wrapNone/>
                <wp:docPr id="4" name="直接箭头连接符 4"/>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93.3pt;margin-top:29pt;height:6pt;width:64.3pt;z-index:251659264;mso-width-relative:page;mso-height-relative:page;" filled="f" stroked="t" coordsize="21600,21600" o:gfxdata="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aNridcAAAAJAQAADwAAAAAAAAABACAAAAAiAAAAZHJz&#10;L2Rvd25yZXYueG1sUEsBAhQAFAAAAAgAh07iQDWba58FAgAA+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7456" behindDoc="0" locked="0" layoutInCell="1" allowOverlap="1">
                <wp:simplePos x="0" y="0"/>
                <wp:positionH relativeFrom="column">
                  <wp:posOffset>847090</wp:posOffset>
                </wp:positionH>
                <wp:positionV relativeFrom="paragraph">
                  <wp:posOffset>71755</wp:posOffset>
                </wp:positionV>
                <wp:extent cx="364490" cy="97790"/>
                <wp:effectExtent l="1270" t="4445" r="15240" b="12065"/>
                <wp:wrapNone/>
                <wp:docPr id="10" name="直接箭头连接符 10"/>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66.7pt;margin-top:5.65pt;height:7.7pt;width:28.7pt;z-index:251667456;mso-width-relative:page;mso-height-relative:page;" filled="f" stroked="t" coordsize="21600,21600" o:gfxdata="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N//g1gAAAAkBAAAPAAAAAAAAAAEAIAAAACIAAABkcnMv&#10;ZG93bnJldi54bWxQSwECFAAUAAAACACHTuJA3WmQLwUCAAD7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0528" behindDoc="0" locked="0" layoutInCell="1" allowOverlap="1">
                <wp:simplePos x="0" y="0"/>
                <wp:positionH relativeFrom="column">
                  <wp:posOffset>3626485</wp:posOffset>
                </wp:positionH>
                <wp:positionV relativeFrom="paragraph">
                  <wp:posOffset>19050</wp:posOffset>
                </wp:positionV>
                <wp:extent cx="565785" cy="130810"/>
                <wp:effectExtent l="1270" t="4445" r="4445" b="17145"/>
                <wp:wrapNone/>
                <wp:docPr id="7" name="直接箭头连接符 7"/>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5.55pt;margin-top:1.5pt;height:10.3pt;width:44.55pt;z-index:251670528;mso-width-relative:page;mso-height-relative:page;" filled="f" stroked="t" coordsize="21600,21600" o:gfxdata="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bOkLXAAAACAEAAA8AAAAAAAAAAQAgAAAAIgAA&#10;AGRycy9kb3ducmV2LnhtbFBLAQIUABQAAAAIAIdO4kDaY+RV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25pt;margin-top:6.85pt;height:7.25pt;width:45.45pt;z-index:251666432;mso-width-relative:page;mso-height-relative:page;" filled="f" stroked="t" coordsize="21600,21600" o:gfxdata="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Syu/k1wAAAAkBAAAPAAAAAAAAAAEAIAAAACIAAABkcnMv&#10;ZG93bnJldi54bWxQSwECFAAUAAAACACHTuJAiTQInwQCAAD7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5"/>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qk6gUGAgAA+QMAAA4AAAAAAAAAAQAgAAAAJQ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1.</w:t>
      </w:r>
      <w:r>
        <w:rPr>
          <w:rStyle w:val="30"/>
          <w:rFonts w:hint="eastAsia" w:ascii="方正魏碑_GBK" w:hAnsi="方正魏碑_GBK" w:eastAsia="方正魏碑_GBK" w:cs="方正魏碑_GBK"/>
          <w:i w:val="0"/>
          <w:color w:val="auto"/>
          <w:u w:val="single"/>
          <w:shd w:val="clear" w:color="auto" w:fill="FFFFFF"/>
        </w:rPr>
        <w:t>（产品名称1）</w:t>
      </w:r>
      <w:r>
        <w:rPr>
          <w:rStyle w:val="30"/>
          <w:rFonts w:hint="eastAsia" w:ascii="方正魏碑_GBK" w:hAnsi="方正魏碑_GBK" w:eastAsia="方正魏碑_GBK" w:cs="方正魏碑_GBK"/>
          <w:i w:val="0"/>
          <w:color w:val="auto"/>
          <w:shd w:val="clear" w:color="auto" w:fill="FFFFFF"/>
          <w:vertAlign w:val="superscript"/>
        </w:rPr>
        <w:t>1</w:t>
      </w:r>
      <w:r>
        <w:rPr>
          <w:rFonts w:hint="eastAsia" w:ascii="方正魏碑_GBK" w:hAnsi="方正魏碑_GBK" w:eastAsia="方正魏碑_GBK" w:cs="方正魏碑_GBK"/>
          <w:color w:val="auto"/>
          <w:shd w:val="clear" w:color="auto" w:fill="FFFFFF"/>
        </w:rPr>
        <w:t>，生产厂为</w:t>
      </w:r>
      <w:r>
        <w:rPr>
          <w:rStyle w:val="30"/>
          <w:rFonts w:hint="eastAsia" w:ascii="方正魏碑_GBK" w:hAnsi="方正魏碑_GBK" w:eastAsia="方正魏碑_GBK" w:cs="方正魏碑_GBK"/>
          <w:i w:val="0"/>
          <w:color w:val="auto"/>
          <w:u w:val="single"/>
          <w:shd w:val="clear" w:color="auto" w:fill="FFFFFF"/>
        </w:rPr>
        <w:t>（厂名）</w:t>
      </w:r>
      <w:r>
        <w:rPr>
          <w:rStyle w:val="30"/>
          <w:rFonts w:hint="eastAsia" w:ascii="方正魏碑_GBK" w:hAnsi="方正魏碑_GBK" w:eastAsia="方正魏碑_GBK" w:cs="方正魏碑_GBK"/>
          <w:i w:val="0"/>
          <w:color w:val="auto"/>
          <w:shd w:val="clear" w:color="auto" w:fill="FFFFFF"/>
          <w:vertAlign w:val="superscript"/>
        </w:rPr>
        <w:t>2</w:t>
      </w:r>
      <w:r>
        <w:rPr>
          <w:rFonts w:hint="eastAsia" w:ascii="方正魏碑_GBK" w:hAnsi="方正魏碑_GBK" w:eastAsia="方正魏碑_GBK" w:cs="方正魏碑_GBK"/>
          <w:color w:val="auto"/>
          <w:shd w:val="clear" w:color="auto" w:fill="FFFFFF"/>
        </w:rPr>
        <w:t>，厂址为</w:t>
      </w:r>
      <w:r>
        <w:rPr>
          <w:rStyle w:val="30"/>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Fonts w:hint="eastAsia" w:ascii="方正魏碑_GBK" w:hAnsi="方正魏碑_GBK" w:eastAsia="方正魏碑_GBK" w:cs="方正魏碑_GBK"/>
          <w:color w:val="auto"/>
          <w:u w:val="single"/>
          <w:shd w:val="clear" w:color="auto" w:fill="FFFFFF"/>
        </w:rPr>
        <w:t xml:space="preserve"> </w:t>
      </w:r>
      <w:r>
        <w:rPr>
          <w:rStyle w:val="30"/>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的中国境内生产的组件成本占比≥</w:t>
      </w:r>
      <w:r>
        <w:rPr>
          <w:rStyle w:val="30"/>
          <w:rFonts w:hint="eastAsia" w:ascii="方正魏碑_GBK" w:hAnsi="方正魏碑_GBK" w:eastAsia="方正魏碑_GBK" w:cs="方正魏碑_GBK"/>
          <w:i w:val="0"/>
          <w:color w:val="auto"/>
          <w:u w:val="single"/>
          <w:shd w:val="clear" w:color="auto" w:fill="FFFFFF"/>
        </w:rPr>
        <w:t>（规定</w:t>
      </w:r>
      <w:r>
        <w:rPr>
          <w:rStyle w:val="30"/>
          <w:rFonts w:ascii="方正魏碑_GBK" w:hAnsi="方正魏碑_GBK" w:eastAsia="方正魏碑_GBK" w:cs="方正魏碑_GBK"/>
          <w:i w:val="0"/>
          <w:color w:val="auto"/>
          <w:u w:val="single"/>
          <w:shd w:val="clear" w:color="auto" w:fill="FFFFFF"/>
        </w:rPr>
        <w:t>比例</w:t>
      </w:r>
      <w:r>
        <w:rPr>
          <w:rStyle w:val="30"/>
          <w:rFonts w:hint="eastAsia" w:ascii="方正魏碑_GBK" w:hAnsi="方正魏碑_GBK" w:eastAsia="方正魏碑_GBK" w:cs="方正魏碑_GBK"/>
          <w:i w:val="0"/>
          <w:color w:val="auto"/>
          <w:u w:val="single"/>
          <w:shd w:val="clear" w:color="auto" w:fill="FFFFFF"/>
        </w:rPr>
        <w:t>）</w:t>
      </w:r>
      <w:r>
        <w:rPr>
          <w:rStyle w:val="30"/>
          <w:rFonts w:hint="eastAsia" w:ascii="方正魏碑_GBK" w:hAnsi="方正魏碑_GBK" w:eastAsia="方正魏碑_GBK" w:cs="方正魏碑_GBK"/>
          <w:i w:val="0"/>
          <w:color w:val="auto"/>
          <w:shd w:val="clear" w:color="auto" w:fill="FFFFFF"/>
          <w:vertAlign w:val="superscript"/>
        </w:rPr>
        <w:t>3</w:t>
      </w:r>
      <w:r>
        <w:rPr>
          <w:rFonts w:hint="eastAsia" w:ascii="方正魏碑_GBK" w:hAnsi="方正魏碑_GBK" w:eastAsia="方正魏碑_GBK" w:cs="方正魏碑_GBK"/>
          <w:color w:val="auto"/>
          <w:shd w:val="clear" w:color="auto" w:fill="FFFFFF"/>
        </w:rPr>
        <w:t>。</w:t>
      </w:r>
      <w:r>
        <w:rPr>
          <w:rStyle w:val="30"/>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0"/>
          <w:rFonts w:hint="eastAsia" w:ascii="方正魏碑_GBK" w:hAnsi="方正魏碑_GBK" w:eastAsia="方正魏碑_GBK" w:cs="方正魏碑_GBK"/>
          <w:i w:val="0"/>
          <w:color w:val="auto"/>
          <w:u w:val="single"/>
          <w:shd w:val="clear" w:color="auto" w:fill="FFFFFF"/>
        </w:rPr>
        <w:t>（关键</w:t>
      </w:r>
      <w:r>
        <w:rPr>
          <w:rStyle w:val="30"/>
          <w:rFonts w:ascii="方正魏碑_GBK" w:hAnsi="方正魏碑_GBK" w:eastAsia="方正魏碑_GBK" w:cs="方正魏碑_GBK"/>
          <w:i w:val="0"/>
          <w:color w:val="auto"/>
          <w:u w:val="single"/>
          <w:shd w:val="clear" w:color="auto" w:fill="FFFFFF"/>
        </w:rPr>
        <w:t>组件</w:t>
      </w:r>
      <w:r>
        <w:rPr>
          <w:rStyle w:val="30"/>
          <w:rFonts w:hint="eastAsia" w:ascii="方正魏碑_GBK" w:hAnsi="方正魏碑_GBK" w:eastAsia="方正魏碑_GBK" w:cs="方正魏碑_GBK"/>
          <w:i w:val="0"/>
          <w:color w:val="auto"/>
          <w:u w:val="single"/>
          <w:shd w:val="clear" w:color="auto" w:fill="FFFFFF"/>
        </w:rPr>
        <w:t>）</w:t>
      </w:r>
      <w:r>
        <w:rPr>
          <w:rStyle w:val="30"/>
          <w:rFonts w:hint="eastAsia" w:ascii="方正魏碑_GBK" w:hAnsi="方正魏碑_GBK" w:eastAsia="方正魏碑_GBK" w:cs="方正魏碑_GBK"/>
          <w:i w:val="0"/>
          <w:color w:val="auto"/>
          <w:shd w:val="clear" w:color="auto" w:fill="FFFFFF"/>
          <w:vertAlign w:val="superscript"/>
        </w:rPr>
        <w:t>4</w:t>
      </w:r>
      <w:r>
        <w:rPr>
          <w:rFonts w:hint="eastAsia" w:ascii="方正魏碑_GBK" w:hAnsi="方正魏碑_GBK" w:eastAsia="方正魏碑_GBK" w:cs="方正魏碑_GBK"/>
          <w:color w:val="auto"/>
          <w:shd w:val="clear" w:color="auto" w:fill="FFFFFF"/>
        </w:rPr>
        <w:t>在中国境内生产。</w:t>
      </w:r>
      <w:r>
        <w:rPr>
          <w:rStyle w:val="30"/>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0"/>
          <w:rFonts w:hint="eastAsia" w:ascii="方正魏碑_GBK" w:hAnsi="方正魏碑_GBK" w:eastAsia="方正魏碑_GBK" w:cs="方正魏碑_GBK"/>
          <w:i w:val="0"/>
          <w:color w:val="auto"/>
          <w:u w:val="single"/>
          <w:shd w:val="clear" w:color="auto" w:fill="FFFFFF"/>
        </w:rPr>
        <w:t>（关键工序）</w:t>
      </w:r>
      <w:r>
        <w:rPr>
          <w:rStyle w:val="30"/>
          <w:rFonts w:hint="eastAsia" w:ascii="方正魏碑_GBK" w:hAnsi="方正魏碑_GBK" w:eastAsia="方正魏碑_GBK" w:cs="方正魏碑_GBK"/>
          <w:i w:val="0"/>
          <w:color w:val="auto"/>
          <w:shd w:val="clear" w:color="auto" w:fill="FFFFFF"/>
          <w:vertAlign w:val="superscript"/>
        </w:rPr>
        <w:t>5</w:t>
      </w:r>
      <w:r>
        <w:rPr>
          <w:rFonts w:hint="eastAsia" w:ascii="方正魏碑_GBK" w:hAnsi="方正魏碑_GBK" w:eastAsia="方正魏碑_GBK" w:cs="方正魏碑_GBK"/>
          <w:color w:val="auto"/>
          <w:shd w:val="clear" w:color="auto" w:fill="FFFFFF"/>
        </w:rPr>
        <w:t>在中国境内完成。</w:t>
      </w:r>
    </w:p>
    <w:p w14:paraId="7AC89F6C">
      <w:pPr>
        <w:pStyle w:val="23"/>
        <w:spacing w:before="30" w:beforeAutospacing="0" w:after="30" w:afterAutospacing="0" w:line="360" w:lineRule="auto"/>
        <w:ind w:firstLine="42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7696" behindDoc="0" locked="0" layoutInCell="1" allowOverlap="1">
                <wp:simplePos x="0" y="0"/>
                <wp:positionH relativeFrom="column">
                  <wp:posOffset>3531235</wp:posOffset>
                </wp:positionH>
                <wp:positionV relativeFrom="paragraph">
                  <wp:posOffset>35560</wp:posOffset>
                </wp:positionV>
                <wp:extent cx="718185" cy="97790"/>
                <wp:effectExtent l="635" t="4445" r="5080" b="12065"/>
                <wp:wrapNone/>
                <wp:docPr id="19" name="直接箭头连接符 1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8.05pt;margin-top:2.8pt;height:7.7pt;width:56.55pt;z-index:251677696;mso-width-relative:page;mso-height-relative:page;" filled="f" stroked="t" coordsize="21600,21600" o:gfxdata="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6FtS7WAAAACAEAAA8AAAAAAAAAAQAgAAAAIgAAAGRy&#10;cy9kb3ducmV2LnhtbFBLAQIUABQAAAAIAIdO4kCapBM4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13" name="直接箭头连接符 13"/>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77.8pt;margin-top:49.3pt;height:11.1pt;width:71.55pt;z-index:251664384;mso-width-relative:page;mso-height-relative:page;" filled="f" stroked="t" coordsize="21600,21600" o:gfxdata="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h4wz1wAAAAoBAAAPAAAAAAAAAAEAIAAAACIA&#10;AABkcnMvZG93bnJldi54bWxQSwECFAAUAAAACACHTuJAQn7ml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73.8pt;margin-top:49.05pt;height:8.1pt;width:64.7pt;z-index:251665408;mso-width-relative:page;mso-height-relative:page;" filled="f" stroked="t" coordsize="21600,21600" o:gfxdata="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B4OS61wAAAAo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3600"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1" name="直接箭头连接符 1"/>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8.95pt;margin-top:21.4pt;height:11.6pt;width:36.4pt;z-index:251673600;mso-width-relative:page;mso-height-relative:page;" filled="f" stroked="t" coordsize="21600,21600" o:gfxdata="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JvqN3XAAAACQEAAA8AAAAAAAAAAQAgAAAAIgAA&#10;AGRycy9kb3ducmV2LnhtbFBLAQIUABQAAAAIAIdO4kCCLM5X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4.1pt;margin-top:23.1pt;height:9.45pt;width:66.9pt;z-index:251663360;mso-width-relative:page;mso-height-relative:page;" filled="f" stroked="t" coordsize="21600,21600" o:gfxdata="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1xYCl1wAAAAkBAAAPAAAAAAAAAAEAIAAAACIAAABk&#10;cnMvZG93bnJldi54bWxQSwECFAAUAAAACACHTuJAIGZVpA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2" name="直接箭头连接符 12"/>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7.4pt;margin-top:22.05pt;height:9.9pt;width:66.45pt;z-index:251662336;mso-width-relative:page;mso-height-relative:page;" filled="f" stroked="t" coordsize="21600,21600" o:gfxdata="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aZ8mk1wAAAAkBAAAPAAAAAAAAAAEAIAAAACIA&#10;AABkcnMvZG93bnJldi54bWxQSwECFAAUAAAACACHTuJAQ9oMi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4624" behindDoc="0" locked="0" layoutInCell="1" allowOverlap="1">
                <wp:simplePos x="0" y="0"/>
                <wp:positionH relativeFrom="column">
                  <wp:posOffset>655320</wp:posOffset>
                </wp:positionH>
                <wp:positionV relativeFrom="paragraph">
                  <wp:posOffset>35560</wp:posOffset>
                </wp:positionV>
                <wp:extent cx="424815" cy="112395"/>
                <wp:effectExtent l="1270" t="4445" r="12065" b="16510"/>
                <wp:wrapNone/>
                <wp:docPr id="3" name="直接箭头连接符 3"/>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1.6pt;margin-top:2.8pt;height:8.85pt;width:33.45pt;z-index:251674624;mso-width-relative:page;mso-height-relative:page;" filled="f" stroked="t" coordsize="21600,21600" o:gfxdata="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BQwAdUAAAAIAQAADwAAAAAAAAABACAAAAAiAAAAZHJz&#10;L2Rvd25yZXYueG1sUEsBAhQAFAAAAAgAh07iQB7JqqIHAgAA+gMAAA4AAAAAAAAAAQAgAAAAJA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2576" behindDoc="0" locked="0" layoutInCell="1" allowOverlap="1">
                <wp:simplePos x="0" y="0"/>
                <wp:positionH relativeFrom="column">
                  <wp:posOffset>2364105</wp:posOffset>
                </wp:positionH>
                <wp:positionV relativeFrom="paragraph">
                  <wp:posOffset>58420</wp:posOffset>
                </wp:positionV>
                <wp:extent cx="234315" cy="86995"/>
                <wp:effectExtent l="1905" t="4445" r="11430" b="22860"/>
                <wp:wrapNone/>
                <wp:docPr id="15" name="直接箭头连接符 1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6.15pt;margin-top:4.6pt;height:6.85pt;width:18.45pt;z-index:251672576;mso-width-relative:page;mso-height-relative:page;" filled="f" stroked="t" coordsize="21600,21600" o:gfxdata="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&#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rlRF3WAAAACAEAAA8AAAAAAAAAAQAgAAAAIgAAAGRy&#10;cy9kb3ducmV2LnhtbFBLAQIUABQAAAAIAIdO4kBNwFSA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2CUPeAcCAAD7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2.</w:t>
      </w:r>
      <w:r>
        <w:rPr>
          <w:rStyle w:val="30"/>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，生产厂为</w:t>
      </w:r>
      <w:r>
        <w:rPr>
          <w:rStyle w:val="30"/>
          <w:rFonts w:hint="eastAsia" w:ascii="方正魏碑_GBK" w:hAnsi="方正魏碑_GBK" w:eastAsia="方正魏碑_GBK" w:cs="方正魏碑_GBK"/>
          <w:i w:val="0"/>
          <w:color w:val="auto"/>
          <w:u w:val="single"/>
          <w:shd w:val="clear" w:color="auto" w:fill="FFFFFF"/>
        </w:rPr>
        <w:t>（厂名）</w:t>
      </w:r>
      <w:r>
        <w:rPr>
          <w:rFonts w:hint="eastAsia" w:ascii="方正魏碑_GBK" w:hAnsi="方正魏碑_GBK" w:eastAsia="方正魏碑_GBK" w:cs="方正魏碑_GBK"/>
          <w:color w:val="auto"/>
          <w:shd w:val="clear" w:color="auto" w:fill="FFFFFF"/>
        </w:rPr>
        <w:t>，厂址为</w:t>
      </w:r>
      <w:r>
        <w:rPr>
          <w:rStyle w:val="30"/>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Style w:val="30"/>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的中国境内生产的组件成本占比≥</w:t>
      </w:r>
      <w:r>
        <w:rPr>
          <w:rStyle w:val="30"/>
          <w:rFonts w:hint="eastAsia" w:ascii="方正魏碑_GBK" w:hAnsi="方正魏碑_GBK" w:eastAsia="方正魏碑_GBK" w:cs="方正魏碑_GBK"/>
          <w:i w:val="0"/>
          <w:color w:val="auto"/>
          <w:u w:val="single"/>
          <w:shd w:val="clear" w:color="auto" w:fill="FFFFFF"/>
        </w:rPr>
        <w:t>（规定</w:t>
      </w:r>
      <w:r>
        <w:rPr>
          <w:rStyle w:val="30"/>
          <w:rFonts w:ascii="方正魏碑_GBK" w:hAnsi="方正魏碑_GBK" w:eastAsia="方正魏碑_GBK" w:cs="方正魏碑_GBK"/>
          <w:i w:val="0"/>
          <w:color w:val="auto"/>
          <w:u w:val="single"/>
          <w:shd w:val="clear" w:color="auto" w:fill="FFFFFF"/>
        </w:rPr>
        <w:t>比例</w:t>
      </w:r>
      <w:r>
        <w:rPr>
          <w:rStyle w:val="30"/>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w:t>
      </w:r>
      <w:r>
        <w:rPr>
          <w:rStyle w:val="30"/>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w:t>
      </w:r>
      <w:r>
        <w:rPr>
          <w:rStyle w:val="30"/>
          <w:rFonts w:hint="eastAsia" w:ascii="方正魏碑_GBK" w:hAnsi="方正魏碑_GBK" w:eastAsia="方正魏碑_GBK" w:cs="方正魏碑_GBK"/>
          <w:i w:val="0"/>
          <w:color w:val="auto"/>
          <w:u w:val="single"/>
          <w:shd w:val="clear" w:color="auto" w:fill="FFFFFF"/>
        </w:rPr>
        <w:t>（关键</w:t>
      </w:r>
      <w:r>
        <w:rPr>
          <w:rStyle w:val="30"/>
          <w:rFonts w:ascii="方正魏碑_GBK" w:hAnsi="方正魏碑_GBK" w:eastAsia="方正魏碑_GBK" w:cs="方正魏碑_GBK"/>
          <w:i w:val="0"/>
          <w:color w:val="auto"/>
          <w:u w:val="single"/>
          <w:shd w:val="clear" w:color="auto" w:fill="FFFFFF"/>
        </w:rPr>
        <w:t>组件</w:t>
      </w:r>
      <w:r>
        <w:rPr>
          <w:rStyle w:val="30"/>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在中国境内生产。</w:t>
      </w:r>
      <w:r>
        <w:rPr>
          <w:rStyle w:val="30"/>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0"/>
          <w:rFonts w:hint="eastAsia" w:ascii="方正魏碑_GBK" w:hAnsi="方正魏碑_GBK" w:eastAsia="方正魏碑_GBK" w:cs="方正魏碑_GBK"/>
          <w:i w:val="0"/>
          <w:color w:val="auto"/>
          <w:u w:val="single"/>
          <w:shd w:val="clear" w:color="auto" w:fill="FFFFFF"/>
        </w:rPr>
        <w:t>（关键工序）</w:t>
      </w:r>
      <w:r>
        <w:rPr>
          <w:rFonts w:hint="eastAsia" w:ascii="方正魏碑_GBK" w:hAnsi="方正魏碑_GBK" w:eastAsia="方正魏碑_GBK" w:cs="方正魏碑_GBK"/>
          <w:color w:val="auto"/>
          <w:shd w:val="clear" w:color="auto" w:fill="FFFFFF"/>
        </w:rPr>
        <w:t>在中国境内完成。</w:t>
      </w:r>
    </w:p>
    <w:p w14:paraId="2BB8C9A4">
      <w:pPr>
        <w:pStyle w:val="23"/>
        <w:spacing w:before="30" w:beforeAutospacing="0" w:after="30" w:afterAutospacing="0" w:line="360" w:lineRule="auto"/>
        <w:ind w:firstLine="42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w:t>
      </w:r>
    </w:p>
    <w:p w14:paraId="6A20BC74">
      <w:pPr>
        <w:pStyle w:val="23"/>
        <w:spacing w:before="30" w:beforeAutospacing="0" w:after="30" w:afterAutospacing="0" w:line="360" w:lineRule="auto"/>
        <w:ind w:firstLine="42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本公司（单位）对上述声明内容的真实性负责。如有虚假，愿承担相应法律责任。</w:t>
      </w:r>
    </w:p>
    <w:p w14:paraId="446F37C9">
      <w:pPr>
        <w:pStyle w:val="23"/>
        <w:spacing w:before="30" w:beforeAutospacing="0" w:after="30" w:afterAutospacing="0" w:line="360" w:lineRule="auto"/>
        <w:rPr>
          <w:rFonts w:hint="eastAsia" w:ascii="方正魏碑_GBK" w:hAnsi="方正魏碑_GBK" w:eastAsia="方正魏碑_GBK" w:cs="方正魏碑_GBK"/>
          <w:color w:val="auto"/>
        </w:rPr>
      </w:pPr>
    </w:p>
    <w:p w14:paraId="52BD71E0">
      <w:pPr>
        <w:pStyle w:val="23"/>
        <w:spacing w:before="30" w:beforeAutospacing="0" w:after="30" w:afterAutospacing="0" w:line="360" w:lineRule="auto"/>
        <w:ind w:right="480" w:firstLine="3720" w:firstLineChars="1550"/>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公司（单位）名称（盖章）：　        </w:t>
      </w:r>
    </w:p>
    <w:p w14:paraId="7A2CEAAD">
      <w:pPr>
        <w:pStyle w:val="23"/>
        <w:spacing w:before="30" w:beforeAutospacing="0" w:after="30" w:afterAutospacing="0" w:line="360" w:lineRule="auto"/>
        <w:jc w:val="center"/>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日期：　   年　  月　  日         </w:t>
      </w:r>
    </w:p>
    <w:p w14:paraId="0BB133E1">
      <w:pPr>
        <w:pStyle w:val="23"/>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p>
    <w:p w14:paraId="0D5CFA53">
      <w:pPr>
        <w:pStyle w:val="23"/>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1.产品如有型号，请在“产品名称”栏一并填写。</w:t>
      </w:r>
    </w:p>
    <w:p w14:paraId="4BB4F7E2">
      <w:pPr>
        <w:pStyle w:val="23"/>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2.生产厂名与厂址应与生产厂营业执照载明的相关信息保持一致。</w:t>
      </w:r>
    </w:p>
    <w:p w14:paraId="2CF80042">
      <w:pPr>
        <w:pStyle w:val="23"/>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3.该产品的中国境内生产的组件成本占比相关要求实施前，“规定比例”栏可不填，下同。</w:t>
      </w:r>
    </w:p>
    <w:p w14:paraId="00246FDA">
      <w:pPr>
        <w:pStyle w:val="23"/>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4.该产品的关键组件要求实施前，“关键组件”栏可不填，下同。</w:t>
      </w:r>
    </w:p>
    <w:p w14:paraId="3EE7C83A">
      <w:pPr>
        <w:pStyle w:val="23"/>
        <w:spacing w:before="30" w:beforeAutospacing="0" w:after="30" w:afterAutospacing="0" w:line="360" w:lineRule="auto"/>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5.该产品的关键工序要求实施前，“关键工序”栏可不填，下同。</w:t>
      </w:r>
    </w:p>
    <w:p w14:paraId="4467B595">
      <w:pPr>
        <w:pStyle w:val="23"/>
        <w:spacing w:before="30" w:beforeAutospacing="0" w:after="30" w:afterAutospacing="0" w:line="360" w:lineRule="auto"/>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6.用斜线划除的地方无需填写。</w:t>
      </w:r>
    </w:p>
    <w:p w14:paraId="1C8A7E86">
      <w:pPr>
        <w:rPr>
          <w:rFonts w:hint="eastAsia" w:asciiTheme="minorEastAsia" w:hAnsiTheme="minorEastAsia" w:eastAsiaTheme="minorEastAsia" w:cstheme="minorEastAsia"/>
          <w:color w:val="auto"/>
        </w:rPr>
      </w:pPr>
    </w:p>
    <w:p w14:paraId="691A2E6C">
      <w:pPr>
        <w:rPr>
          <w:rFonts w:hint="eastAsia" w:asciiTheme="minorEastAsia" w:hAnsiTheme="minorEastAsia" w:eastAsiaTheme="minorEastAsia" w:cstheme="minorEastAsia"/>
          <w:color w:val="auto"/>
        </w:rPr>
      </w:pPr>
    </w:p>
    <w:p w14:paraId="788B5012">
      <w:pPr>
        <w:rPr>
          <w:rFonts w:hint="eastAsia" w:asciiTheme="minorEastAsia" w:hAnsiTheme="minorEastAsia" w:eastAsiaTheme="minorEastAsia" w:cstheme="minorEastAsia"/>
          <w:color w:val="auto"/>
        </w:rPr>
      </w:pPr>
    </w:p>
    <w:p w14:paraId="31A74E28">
      <w:pPr>
        <w:rPr>
          <w:rFonts w:hint="eastAsia" w:asciiTheme="minorEastAsia" w:hAnsiTheme="minorEastAsia" w:eastAsiaTheme="minorEastAsia" w:cstheme="minorEastAsia"/>
          <w:color w:val="auto"/>
        </w:rPr>
      </w:pPr>
    </w:p>
    <w:p w14:paraId="79E91F06">
      <w:pPr>
        <w:rPr>
          <w:rFonts w:hint="eastAsia" w:asciiTheme="minorEastAsia" w:hAnsiTheme="minorEastAsia" w:eastAsiaTheme="minorEastAsia" w:cstheme="minorEastAsia"/>
          <w:color w:val="auto"/>
        </w:rPr>
      </w:pPr>
    </w:p>
    <w:p w14:paraId="282955B4">
      <w:pPr>
        <w:rPr>
          <w:rFonts w:hint="eastAsia" w:asciiTheme="minorEastAsia" w:hAnsiTheme="minorEastAsia" w:eastAsiaTheme="minorEastAsia" w:cstheme="minorEastAsia"/>
          <w:color w:val="auto"/>
        </w:rPr>
      </w:pPr>
    </w:p>
    <w:p w14:paraId="729BC120">
      <w:pPr>
        <w:rPr>
          <w:rFonts w:hint="eastAsia" w:asciiTheme="minorEastAsia" w:hAnsiTheme="minorEastAsia" w:eastAsiaTheme="minorEastAsia" w:cstheme="minorEastAsia"/>
          <w:color w:val="auto"/>
        </w:rPr>
      </w:pPr>
    </w:p>
    <w:p w14:paraId="5D279A4B">
      <w:pPr>
        <w:rPr>
          <w:rFonts w:hint="eastAsia" w:asciiTheme="minorEastAsia" w:hAnsiTheme="minorEastAsia" w:eastAsiaTheme="minorEastAsia" w:cstheme="minorEastAsia"/>
          <w:color w:val="auto"/>
        </w:rPr>
      </w:pPr>
    </w:p>
    <w:p w14:paraId="4D86B381">
      <w:pPr>
        <w:rPr>
          <w:rFonts w:hint="eastAsia" w:asciiTheme="minorEastAsia" w:hAnsiTheme="minorEastAsia" w:eastAsiaTheme="minorEastAsia" w:cstheme="minorEastAsia"/>
          <w:color w:val="auto"/>
        </w:rPr>
      </w:pPr>
    </w:p>
    <w:p w14:paraId="6233E2EC">
      <w:pPr>
        <w:rPr>
          <w:rFonts w:hint="eastAsia" w:asciiTheme="minorEastAsia" w:hAnsiTheme="minorEastAsia" w:eastAsiaTheme="minorEastAsia" w:cstheme="minorEastAsia"/>
          <w:color w:val="auto"/>
        </w:rPr>
      </w:pPr>
    </w:p>
    <w:p w14:paraId="31CEE149">
      <w:pPr>
        <w:rPr>
          <w:rFonts w:hint="eastAsia" w:asciiTheme="minorEastAsia" w:hAnsiTheme="minorEastAsia" w:eastAsiaTheme="minorEastAsia" w:cstheme="minorEastAsia"/>
          <w:color w:val="auto"/>
        </w:rPr>
      </w:pPr>
    </w:p>
    <w:p w14:paraId="57523AD1">
      <w:pPr>
        <w:numPr>
          <w:ilvl w:val="0"/>
          <w:numId w:val="15"/>
        </w:numPr>
        <w:jc w:val="center"/>
        <w:rPr>
          <w:rFonts w:hint="eastAsia" w:asciiTheme="minorEastAsia" w:hAnsiTheme="minorEastAsia" w:eastAsiaTheme="minorEastAsia" w:cstheme="minorEastAsia"/>
          <w:b/>
          <w:i/>
          <w:color w:val="auto"/>
          <w:sz w:val="32"/>
          <w:szCs w:val="32"/>
          <w:u w:val="single"/>
        </w:rPr>
      </w:pPr>
      <w:r>
        <w:rPr>
          <w:rFonts w:hint="eastAsia" w:asciiTheme="minorEastAsia" w:hAnsiTheme="minorEastAsia" w:eastAsiaTheme="minorEastAsia" w:cstheme="minorEastAsia"/>
          <w:b/>
          <w:i/>
          <w:color w:val="auto"/>
          <w:sz w:val="32"/>
          <w:szCs w:val="32"/>
          <w:u w:val="single"/>
        </w:rPr>
        <w:t>投标分项报价表（分包号：）</w:t>
      </w:r>
    </w:p>
    <w:p w14:paraId="39D1A5E7">
      <w:pPr>
        <w:pStyle w:val="7"/>
        <w:numPr>
          <w:ilvl w:val="0"/>
          <w:numId w:val="0"/>
        </w:numPr>
        <w:rPr>
          <w:rFonts w:hint="eastAsia" w:asciiTheme="minorEastAsia" w:hAnsiTheme="minorEastAsia" w:eastAsiaTheme="minorEastAsia" w:cstheme="minorEastAsia"/>
          <w:color w:val="auto"/>
        </w:rPr>
      </w:pPr>
    </w:p>
    <w:tbl>
      <w:tblPr>
        <w:tblStyle w:val="2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34AF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194C54C3">
            <w:pPr>
              <w:spacing w:line="0" w:lineRule="atLeast"/>
              <w:jc w:val="center"/>
              <w:rPr>
                <w:rFonts w:hint="eastAsia" w:ascii="宋体" w:hAnsi="宋体"/>
                <w:color w:val="auto"/>
                <w:sz w:val="24"/>
                <w:szCs w:val="24"/>
              </w:rPr>
            </w:pPr>
            <w:r>
              <w:rPr>
                <w:rFonts w:hint="eastAsia" w:ascii="宋体" w:hAnsi="宋体"/>
                <w:color w:val="auto"/>
                <w:sz w:val="24"/>
                <w:szCs w:val="24"/>
              </w:rPr>
              <w:t>序号</w:t>
            </w:r>
          </w:p>
        </w:tc>
        <w:tc>
          <w:tcPr>
            <w:tcW w:w="728" w:type="dxa"/>
            <w:noWrap w:val="0"/>
            <w:vAlign w:val="center"/>
          </w:tcPr>
          <w:p w14:paraId="37F056EE">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noWrap w:val="0"/>
            <w:vAlign w:val="center"/>
          </w:tcPr>
          <w:p w14:paraId="10A453EE">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938" w:type="dxa"/>
            <w:noWrap w:val="0"/>
            <w:vAlign w:val="center"/>
          </w:tcPr>
          <w:p w14:paraId="6A8C02D3">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980" w:type="dxa"/>
            <w:noWrap w:val="0"/>
            <w:vAlign w:val="center"/>
          </w:tcPr>
          <w:p w14:paraId="63171B8C">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1106" w:type="dxa"/>
            <w:noWrap w:val="0"/>
            <w:vAlign w:val="center"/>
          </w:tcPr>
          <w:p w14:paraId="705D849B">
            <w:pPr>
              <w:spacing w:line="0" w:lineRule="atLeast"/>
              <w:jc w:val="center"/>
              <w:rPr>
                <w:rFonts w:hint="eastAsia" w:ascii="宋体" w:hAnsi="宋体"/>
                <w:color w:val="auto"/>
                <w:sz w:val="24"/>
                <w:szCs w:val="24"/>
              </w:rPr>
            </w:pPr>
            <w:r>
              <w:rPr>
                <w:rFonts w:ascii="宋体" w:hAnsi="宋体"/>
                <w:color w:val="auto"/>
                <w:sz w:val="24"/>
                <w:szCs w:val="24"/>
              </w:rPr>
              <w:t>5</w:t>
            </w:r>
          </w:p>
        </w:tc>
        <w:tc>
          <w:tcPr>
            <w:tcW w:w="1385" w:type="dxa"/>
            <w:noWrap w:val="0"/>
            <w:vAlign w:val="center"/>
          </w:tcPr>
          <w:p w14:paraId="2BFF5C95">
            <w:pPr>
              <w:spacing w:line="0" w:lineRule="atLeast"/>
              <w:jc w:val="center"/>
              <w:rPr>
                <w:rFonts w:hint="eastAsia" w:ascii="宋体" w:hAnsi="宋体"/>
                <w:color w:val="auto"/>
                <w:sz w:val="24"/>
                <w:szCs w:val="24"/>
              </w:rPr>
            </w:pPr>
            <w:r>
              <w:rPr>
                <w:rFonts w:hint="eastAsia" w:ascii="宋体" w:hAnsi="宋体"/>
                <w:color w:val="auto"/>
                <w:sz w:val="24"/>
                <w:szCs w:val="24"/>
              </w:rPr>
              <w:t>6</w:t>
            </w:r>
          </w:p>
        </w:tc>
        <w:tc>
          <w:tcPr>
            <w:tcW w:w="924" w:type="dxa"/>
            <w:noWrap w:val="0"/>
            <w:vAlign w:val="center"/>
          </w:tcPr>
          <w:p w14:paraId="5E19C7A0">
            <w:pPr>
              <w:spacing w:line="0" w:lineRule="atLeast"/>
              <w:jc w:val="center"/>
              <w:rPr>
                <w:rFonts w:hint="eastAsia" w:ascii="宋体" w:hAnsi="宋体"/>
                <w:color w:val="auto"/>
                <w:sz w:val="24"/>
                <w:szCs w:val="24"/>
              </w:rPr>
            </w:pPr>
            <w:r>
              <w:rPr>
                <w:rFonts w:hint="eastAsia" w:ascii="宋体" w:hAnsi="宋体"/>
                <w:color w:val="auto"/>
                <w:sz w:val="24"/>
                <w:szCs w:val="24"/>
              </w:rPr>
              <w:t>7</w:t>
            </w:r>
          </w:p>
        </w:tc>
        <w:tc>
          <w:tcPr>
            <w:tcW w:w="1008" w:type="dxa"/>
            <w:noWrap w:val="0"/>
            <w:vAlign w:val="center"/>
          </w:tcPr>
          <w:p w14:paraId="59B3A03D">
            <w:pPr>
              <w:spacing w:line="0" w:lineRule="atLeast"/>
              <w:jc w:val="center"/>
              <w:rPr>
                <w:rFonts w:hint="eastAsia" w:ascii="宋体" w:hAnsi="宋体"/>
                <w:color w:val="auto"/>
                <w:sz w:val="24"/>
                <w:szCs w:val="24"/>
              </w:rPr>
            </w:pPr>
            <w:r>
              <w:rPr>
                <w:rFonts w:hint="eastAsia" w:ascii="宋体" w:hAnsi="宋体"/>
                <w:color w:val="auto"/>
                <w:sz w:val="24"/>
                <w:szCs w:val="24"/>
              </w:rPr>
              <w:t>8</w:t>
            </w:r>
          </w:p>
        </w:tc>
        <w:tc>
          <w:tcPr>
            <w:tcW w:w="966" w:type="dxa"/>
            <w:noWrap w:val="0"/>
            <w:vAlign w:val="center"/>
          </w:tcPr>
          <w:p w14:paraId="26405E76">
            <w:pPr>
              <w:spacing w:line="0" w:lineRule="atLeast"/>
              <w:jc w:val="center"/>
              <w:rPr>
                <w:rFonts w:hint="eastAsia" w:ascii="宋体" w:hAnsi="宋体"/>
                <w:color w:val="auto"/>
                <w:sz w:val="24"/>
                <w:szCs w:val="24"/>
              </w:rPr>
            </w:pPr>
            <w:r>
              <w:rPr>
                <w:rFonts w:hint="eastAsia" w:ascii="宋体" w:hAnsi="宋体"/>
                <w:color w:val="auto"/>
                <w:sz w:val="24"/>
                <w:szCs w:val="24"/>
              </w:rPr>
              <w:t>9</w:t>
            </w:r>
          </w:p>
        </w:tc>
      </w:tr>
      <w:tr w14:paraId="5812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57E372AD">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noWrap w:val="0"/>
            <w:vAlign w:val="center"/>
          </w:tcPr>
          <w:p w14:paraId="6FC86339">
            <w:pPr>
              <w:spacing w:line="0" w:lineRule="atLeast"/>
              <w:jc w:val="center"/>
              <w:rPr>
                <w:rFonts w:hint="eastAsia" w:ascii="宋体" w:hAnsi="宋体"/>
                <w:color w:val="auto"/>
                <w:sz w:val="24"/>
                <w:szCs w:val="24"/>
              </w:rPr>
            </w:pPr>
            <w:r>
              <w:rPr>
                <w:rFonts w:hint="eastAsia" w:ascii="宋体" w:hAnsi="宋体"/>
                <w:color w:val="auto"/>
                <w:sz w:val="24"/>
                <w:szCs w:val="24"/>
              </w:rPr>
              <w:t>产品</w:t>
            </w:r>
          </w:p>
          <w:p w14:paraId="575D8697">
            <w:pPr>
              <w:spacing w:line="0" w:lineRule="atLeast"/>
              <w:jc w:val="center"/>
              <w:rPr>
                <w:rFonts w:hint="eastAsia" w:ascii="宋体" w:hAnsi="宋体"/>
                <w:color w:val="auto"/>
                <w:sz w:val="24"/>
                <w:szCs w:val="24"/>
              </w:rPr>
            </w:pPr>
            <w:r>
              <w:rPr>
                <w:rFonts w:hint="eastAsia" w:ascii="宋体" w:hAnsi="宋体"/>
                <w:color w:val="auto"/>
                <w:sz w:val="24"/>
                <w:szCs w:val="24"/>
              </w:rPr>
              <w:t>名称</w:t>
            </w:r>
          </w:p>
        </w:tc>
        <w:tc>
          <w:tcPr>
            <w:tcW w:w="728" w:type="dxa"/>
            <w:noWrap w:val="0"/>
            <w:vAlign w:val="center"/>
          </w:tcPr>
          <w:p w14:paraId="25F5B0DB">
            <w:pPr>
              <w:spacing w:line="0" w:lineRule="atLeast"/>
              <w:jc w:val="center"/>
              <w:rPr>
                <w:rFonts w:hint="eastAsia" w:ascii="宋体" w:hAnsi="宋体"/>
                <w:color w:val="auto"/>
                <w:sz w:val="24"/>
                <w:szCs w:val="24"/>
              </w:rPr>
            </w:pPr>
            <w:r>
              <w:rPr>
                <w:rFonts w:hint="eastAsia" w:ascii="宋体" w:hAnsi="宋体"/>
                <w:color w:val="auto"/>
                <w:sz w:val="24"/>
                <w:szCs w:val="24"/>
              </w:rPr>
              <w:t>品牌</w:t>
            </w:r>
          </w:p>
        </w:tc>
        <w:tc>
          <w:tcPr>
            <w:tcW w:w="938" w:type="dxa"/>
            <w:noWrap w:val="0"/>
            <w:vAlign w:val="center"/>
          </w:tcPr>
          <w:p w14:paraId="06DCA1A9">
            <w:pPr>
              <w:spacing w:line="0" w:lineRule="atLeast"/>
              <w:jc w:val="center"/>
              <w:rPr>
                <w:rFonts w:hint="eastAsia" w:ascii="宋体" w:hAnsi="宋体"/>
                <w:color w:val="auto"/>
                <w:sz w:val="24"/>
                <w:szCs w:val="24"/>
              </w:rPr>
            </w:pPr>
            <w:r>
              <w:rPr>
                <w:rFonts w:hint="eastAsia" w:ascii="宋体" w:hAnsi="宋体"/>
                <w:color w:val="auto"/>
                <w:sz w:val="24"/>
                <w:szCs w:val="24"/>
              </w:rPr>
              <w:t>规格</w:t>
            </w:r>
          </w:p>
          <w:p w14:paraId="2A468FE6">
            <w:pPr>
              <w:spacing w:line="0" w:lineRule="atLeast"/>
              <w:jc w:val="center"/>
              <w:rPr>
                <w:rFonts w:hint="eastAsia" w:ascii="宋体" w:hAnsi="宋体"/>
                <w:color w:val="auto"/>
                <w:sz w:val="24"/>
                <w:szCs w:val="24"/>
              </w:rPr>
            </w:pPr>
            <w:r>
              <w:rPr>
                <w:rFonts w:hint="eastAsia" w:ascii="宋体" w:hAnsi="宋体"/>
                <w:color w:val="auto"/>
                <w:sz w:val="24"/>
                <w:szCs w:val="24"/>
              </w:rPr>
              <w:t>型号</w:t>
            </w:r>
          </w:p>
        </w:tc>
        <w:tc>
          <w:tcPr>
            <w:tcW w:w="980" w:type="dxa"/>
            <w:noWrap w:val="0"/>
            <w:vAlign w:val="center"/>
          </w:tcPr>
          <w:p w14:paraId="1AD72F0F">
            <w:pPr>
              <w:spacing w:line="0" w:lineRule="atLeast"/>
              <w:jc w:val="center"/>
              <w:rPr>
                <w:rFonts w:hint="eastAsia" w:ascii="宋体" w:hAnsi="宋体"/>
                <w:color w:val="auto"/>
                <w:sz w:val="24"/>
                <w:szCs w:val="24"/>
              </w:rPr>
            </w:pPr>
            <w:r>
              <w:rPr>
                <w:rFonts w:hint="eastAsia" w:ascii="宋体" w:hAnsi="宋体"/>
                <w:color w:val="auto"/>
                <w:sz w:val="24"/>
                <w:szCs w:val="24"/>
              </w:rPr>
              <w:t>制造商名称</w:t>
            </w:r>
          </w:p>
        </w:tc>
        <w:tc>
          <w:tcPr>
            <w:tcW w:w="1106" w:type="dxa"/>
            <w:noWrap w:val="0"/>
            <w:vAlign w:val="center"/>
          </w:tcPr>
          <w:p w14:paraId="36CF4818">
            <w:pPr>
              <w:spacing w:line="0" w:lineRule="atLeast"/>
              <w:jc w:val="center"/>
              <w:rPr>
                <w:rFonts w:hint="eastAsia" w:ascii="宋体" w:hAnsi="宋体"/>
                <w:color w:val="auto"/>
                <w:sz w:val="24"/>
                <w:szCs w:val="24"/>
              </w:rPr>
            </w:pPr>
            <w:r>
              <w:rPr>
                <w:rFonts w:hint="eastAsia" w:ascii="宋体" w:hAnsi="宋体"/>
                <w:color w:val="auto"/>
                <w:sz w:val="24"/>
                <w:szCs w:val="24"/>
              </w:rPr>
              <w:t>产地</w:t>
            </w:r>
          </w:p>
        </w:tc>
        <w:tc>
          <w:tcPr>
            <w:tcW w:w="1385" w:type="dxa"/>
            <w:noWrap w:val="0"/>
            <w:vAlign w:val="center"/>
          </w:tcPr>
          <w:p w14:paraId="4C2104EC">
            <w:pPr>
              <w:spacing w:line="0" w:lineRule="atLeast"/>
              <w:jc w:val="center"/>
              <w:rPr>
                <w:rFonts w:hint="eastAsia" w:ascii="宋体" w:hAnsi="宋体"/>
                <w:color w:val="auto"/>
                <w:sz w:val="24"/>
                <w:szCs w:val="24"/>
              </w:rPr>
            </w:pPr>
            <w:r>
              <w:rPr>
                <w:rFonts w:hint="eastAsia" w:ascii="宋体" w:hAnsi="宋体"/>
                <w:color w:val="auto"/>
                <w:sz w:val="24"/>
                <w:szCs w:val="24"/>
              </w:rPr>
              <w:t>交付期</w:t>
            </w:r>
          </w:p>
        </w:tc>
        <w:tc>
          <w:tcPr>
            <w:tcW w:w="924" w:type="dxa"/>
            <w:noWrap w:val="0"/>
            <w:vAlign w:val="center"/>
          </w:tcPr>
          <w:p w14:paraId="7EB3C791">
            <w:pPr>
              <w:spacing w:line="0" w:lineRule="atLeast"/>
              <w:jc w:val="center"/>
              <w:rPr>
                <w:rFonts w:hint="eastAsia" w:ascii="宋体" w:hAnsi="宋体"/>
                <w:color w:val="auto"/>
                <w:sz w:val="24"/>
                <w:szCs w:val="24"/>
              </w:rPr>
            </w:pPr>
            <w:r>
              <w:rPr>
                <w:rFonts w:hint="eastAsia" w:ascii="宋体" w:hAnsi="宋体"/>
                <w:color w:val="auto"/>
                <w:sz w:val="24"/>
                <w:szCs w:val="24"/>
              </w:rPr>
              <w:t>数量</w:t>
            </w:r>
          </w:p>
        </w:tc>
        <w:tc>
          <w:tcPr>
            <w:tcW w:w="1008" w:type="dxa"/>
            <w:noWrap w:val="0"/>
            <w:vAlign w:val="center"/>
          </w:tcPr>
          <w:p w14:paraId="4FCB0BD6">
            <w:pPr>
              <w:spacing w:line="0" w:lineRule="atLeast"/>
              <w:jc w:val="center"/>
              <w:rPr>
                <w:rFonts w:ascii="宋体" w:hAnsi="宋体"/>
                <w:color w:val="auto"/>
                <w:sz w:val="24"/>
                <w:szCs w:val="24"/>
              </w:rPr>
            </w:pPr>
            <w:r>
              <w:rPr>
                <w:rFonts w:hint="eastAsia" w:ascii="宋体" w:hAnsi="宋体"/>
                <w:color w:val="auto"/>
                <w:sz w:val="24"/>
                <w:szCs w:val="24"/>
              </w:rPr>
              <w:t>分项</w:t>
            </w:r>
          </w:p>
          <w:p w14:paraId="5C7CF7A0">
            <w:pPr>
              <w:spacing w:line="0" w:lineRule="atLeast"/>
              <w:jc w:val="center"/>
              <w:rPr>
                <w:rFonts w:hint="eastAsia" w:ascii="宋体" w:hAnsi="宋体"/>
                <w:color w:val="auto"/>
                <w:sz w:val="24"/>
                <w:szCs w:val="24"/>
              </w:rPr>
            </w:pPr>
            <w:r>
              <w:rPr>
                <w:rFonts w:hint="eastAsia" w:ascii="宋体" w:hAnsi="宋体"/>
                <w:color w:val="auto"/>
                <w:sz w:val="24"/>
                <w:szCs w:val="24"/>
              </w:rPr>
              <w:t>单价</w:t>
            </w:r>
          </w:p>
        </w:tc>
        <w:tc>
          <w:tcPr>
            <w:tcW w:w="966" w:type="dxa"/>
            <w:noWrap w:val="0"/>
            <w:vAlign w:val="center"/>
          </w:tcPr>
          <w:p w14:paraId="1C3C262A">
            <w:pPr>
              <w:spacing w:line="0" w:lineRule="atLeast"/>
              <w:jc w:val="center"/>
              <w:rPr>
                <w:rFonts w:ascii="宋体" w:hAnsi="宋体"/>
                <w:color w:val="auto"/>
                <w:sz w:val="24"/>
                <w:szCs w:val="24"/>
              </w:rPr>
            </w:pPr>
            <w:r>
              <w:rPr>
                <w:rFonts w:hint="eastAsia" w:ascii="宋体" w:hAnsi="宋体"/>
                <w:color w:val="auto"/>
                <w:sz w:val="24"/>
                <w:szCs w:val="24"/>
              </w:rPr>
              <w:t>分项</w:t>
            </w:r>
          </w:p>
          <w:p w14:paraId="13688C6B">
            <w:pPr>
              <w:spacing w:line="0" w:lineRule="atLeast"/>
              <w:jc w:val="center"/>
              <w:rPr>
                <w:rFonts w:hint="eastAsia" w:ascii="宋体" w:hAnsi="宋体"/>
                <w:color w:val="auto"/>
                <w:sz w:val="24"/>
                <w:szCs w:val="24"/>
              </w:rPr>
            </w:pPr>
            <w:r>
              <w:rPr>
                <w:rFonts w:hint="eastAsia" w:ascii="宋体" w:hAnsi="宋体"/>
                <w:color w:val="auto"/>
                <w:sz w:val="24"/>
                <w:szCs w:val="24"/>
              </w:rPr>
              <w:t>总价</w:t>
            </w:r>
          </w:p>
        </w:tc>
      </w:tr>
      <w:tr w14:paraId="02802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1F856B50">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728" w:type="dxa"/>
            <w:noWrap w:val="0"/>
            <w:vAlign w:val="center"/>
          </w:tcPr>
          <w:p w14:paraId="7CD90120">
            <w:pPr>
              <w:spacing w:line="0" w:lineRule="atLeast"/>
              <w:jc w:val="center"/>
              <w:rPr>
                <w:rFonts w:hint="eastAsia" w:ascii="宋体" w:hAnsi="宋体"/>
                <w:color w:val="auto"/>
                <w:sz w:val="24"/>
                <w:szCs w:val="24"/>
              </w:rPr>
            </w:pPr>
          </w:p>
        </w:tc>
        <w:tc>
          <w:tcPr>
            <w:tcW w:w="728" w:type="dxa"/>
            <w:noWrap w:val="0"/>
            <w:vAlign w:val="center"/>
          </w:tcPr>
          <w:p w14:paraId="6EA752A1">
            <w:pPr>
              <w:spacing w:line="0" w:lineRule="atLeast"/>
              <w:jc w:val="center"/>
              <w:rPr>
                <w:rFonts w:hint="eastAsia" w:ascii="宋体" w:hAnsi="宋体"/>
                <w:color w:val="auto"/>
                <w:sz w:val="24"/>
                <w:szCs w:val="24"/>
              </w:rPr>
            </w:pPr>
          </w:p>
        </w:tc>
        <w:tc>
          <w:tcPr>
            <w:tcW w:w="938" w:type="dxa"/>
            <w:noWrap w:val="0"/>
            <w:vAlign w:val="center"/>
          </w:tcPr>
          <w:p w14:paraId="3A1E387A">
            <w:pPr>
              <w:spacing w:line="0" w:lineRule="atLeast"/>
              <w:jc w:val="center"/>
              <w:rPr>
                <w:rFonts w:hint="eastAsia" w:ascii="宋体" w:hAnsi="宋体"/>
                <w:color w:val="auto"/>
                <w:sz w:val="24"/>
                <w:szCs w:val="24"/>
              </w:rPr>
            </w:pPr>
          </w:p>
        </w:tc>
        <w:tc>
          <w:tcPr>
            <w:tcW w:w="980" w:type="dxa"/>
            <w:noWrap w:val="0"/>
            <w:vAlign w:val="center"/>
          </w:tcPr>
          <w:p w14:paraId="100A6F20">
            <w:pPr>
              <w:spacing w:line="0" w:lineRule="atLeast"/>
              <w:jc w:val="center"/>
              <w:rPr>
                <w:rFonts w:hint="eastAsia" w:ascii="宋体" w:hAnsi="宋体"/>
                <w:color w:val="auto"/>
                <w:sz w:val="24"/>
                <w:szCs w:val="24"/>
                <w:highlight w:val="cyan"/>
              </w:rPr>
            </w:pPr>
          </w:p>
        </w:tc>
        <w:tc>
          <w:tcPr>
            <w:tcW w:w="1106" w:type="dxa"/>
            <w:noWrap w:val="0"/>
            <w:vAlign w:val="top"/>
          </w:tcPr>
          <w:p w14:paraId="7F51074C">
            <w:pPr>
              <w:spacing w:line="0" w:lineRule="atLeast"/>
              <w:jc w:val="center"/>
              <w:rPr>
                <w:rFonts w:hint="eastAsia" w:ascii="宋体" w:hAnsi="宋体"/>
                <w:color w:val="auto"/>
                <w:sz w:val="24"/>
                <w:szCs w:val="24"/>
              </w:rPr>
            </w:pPr>
          </w:p>
        </w:tc>
        <w:tc>
          <w:tcPr>
            <w:tcW w:w="1385" w:type="dxa"/>
            <w:noWrap w:val="0"/>
            <w:vAlign w:val="center"/>
          </w:tcPr>
          <w:p w14:paraId="2DF956DF">
            <w:pPr>
              <w:spacing w:line="0" w:lineRule="atLeast"/>
              <w:jc w:val="center"/>
              <w:rPr>
                <w:rFonts w:hint="eastAsia" w:ascii="宋体" w:hAnsi="宋体"/>
                <w:color w:val="auto"/>
                <w:sz w:val="24"/>
                <w:szCs w:val="24"/>
                <w:u w:val="single"/>
              </w:rPr>
            </w:pPr>
            <w:r>
              <w:rPr>
                <w:rFonts w:hint="eastAsia" w:ascii="宋体" w:hAnsi="宋体"/>
                <w:color w:val="auto"/>
                <w:sz w:val="24"/>
                <w:szCs w:val="24"/>
              </w:rPr>
              <w:t>合同签订后</w:t>
            </w:r>
            <w:r>
              <w:rPr>
                <w:rFonts w:hint="eastAsia" w:ascii="宋体" w:hAnsi="宋体"/>
                <w:color w:val="auto"/>
                <w:sz w:val="24"/>
                <w:szCs w:val="24"/>
                <w:u w:val="single"/>
              </w:rPr>
              <w:t xml:space="preserve">  </w:t>
            </w:r>
            <w:r>
              <w:rPr>
                <w:rFonts w:hint="eastAsia" w:ascii="宋体" w:hAnsi="宋体"/>
                <w:color w:val="auto"/>
                <w:sz w:val="24"/>
                <w:szCs w:val="24"/>
              </w:rPr>
              <w:t>日</w:t>
            </w:r>
          </w:p>
        </w:tc>
        <w:tc>
          <w:tcPr>
            <w:tcW w:w="924" w:type="dxa"/>
            <w:noWrap w:val="0"/>
            <w:vAlign w:val="center"/>
          </w:tcPr>
          <w:p w14:paraId="655B8F40">
            <w:pPr>
              <w:spacing w:line="0" w:lineRule="atLeast"/>
              <w:jc w:val="center"/>
              <w:rPr>
                <w:rFonts w:hint="eastAsia" w:ascii="宋体" w:hAnsi="宋体"/>
                <w:color w:val="auto"/>
                <w:sz w:val="24"/>
                <w:szCs w:val="24"/>
              </w:rPr>
            </w:pPr>
          </w:p>
        </w:tc>
        <w:tc>
          <w:tcPr>
            <w:tcW w:w="1008" w:type="dxa"/>
            <w:noWrap w:val="0"/>
            <w:vAlign w:val="center"/>
          </w:tcPr>
          <w:p w14:paraId="27F353DD">
            <w:pPr>
              <w:spacing w:line="0" w:lineRule="atLeast"/>
              <w:jc w:val="center"/>
              <w:rPr>
                <w:rFonts w:hint="eastAsia" w:ascii="宋体" w:hAnsi="宋体"/>
                <w:color w:val="auto"/>
                <w:sz w:val="24"/>
                <w:szCs w:val="24"/>
              </w:rPr>
            </w:pPr>
          </w:p>
        </w:tc>
        <w:tc>
          <w:tcPr>
            <w:tcW w:w="966" w:type="dxa"/>
            <w:noWrap w:val="0"/>
            <w:vAlign w:val="center"/>
          </w:tcPr>
          <w:p w14:paraId="0897ACDE">
            <w:pPr>
              <w:spacing w:line="0" w:lineRule="atLeast"/>
              <w:jc w:val="center"/>
              <w:rPr>
                <w:rFonts w:hint="eastAsia" w:ascii="宋体" w:hAnsi="宋体"/>
                <w:color w:val="auto"/>
                <w:sz w:val="24"/>
                <w:szCs w:val="24"/>
              </w:rPr>
            </w:pPr>
          </w:p>
        </w:tc>
      </w:tr>
      <w:tr w14:paraId="4206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1C0F8892">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728" w:type="dxa"/>
            <w:noWrap w:val="0"/>
            <w:vAlign w:val="center"/>
          </w:tcPr>
          <w:p w14:paraId="4DA4405B">
            <w:pPr>
              <w:spacing w:line="0" w:lineRule="atLeast"/>
              <w:jc w:val="center"/>
              <w:rPr>
                <w:rFonts w:hint="eastAsia" w:ascii="宋体" w:hAnsi="宋体"/>
                <w:color w:val="auto"/>
                <w:sz w:val="24"/>
                <w:szCs w:val="24"/>
              </w:rPr>
            </w:pPr>
          </w:p>
        </w:tc>
        <w:tc>
          <w:tcPr>
            <w:tcW w:w="728" w:type="dxa"/>
            <w:noWrap w:val="0"/>
            <w:vAlign w:val="center"/>
          </w:tcPr>
          <w:p w14:paraId="15CCD934">
            <w:pPr>
              <w:spacing w:line="0" w:lineRule="atLeast"/>
              <w:jc w:val="center"/>
              <w:rPr>
                <w:rFonts w:hint="eastAsia" w:ascii="宋体" w:hAnsi="宋体"/>
                <w:color w:val="auto"/>
                <w:sz w:val="24"/>
                <w:szCs w:val="24"/>
              </w:rPr>
            </w:pPr>
          </w:p>
        </w:tc>
        <w:tc>
          <w:tcPr>
            <w:tcW w:w="938" w:type="dxa"/>
            <w:noWrap w:val="0"/>
            <w:vAlign w:val="center"/>
          </w:tcPr>
          <w:p w14:paraId="57878C33">
            <w:pPr>
              <w:spacing w:line="0" w:lineRule="atLeast"/>
              <w:jc w:val="center"/>
              <w:rPr>
                <w:rFonts w:hint="eastAsia" w:ascii="宋体" w:hAnsi="宋体"/>
                <w:color w:val="auto"/>
                <w:sz w:val="24"/>
                <w:szCs w:val="24"/>
              </w:rPr>
            </w:pPr>
          </w:p>
        </w:tc>
        <w:tc>
          <w:tcPr>
            <w:tcW w:w="980" w:type="dxa"/>
            <w:noWrap w:val="0"/>
            <w:vAlign w:val="center"/>
          </w:tcPr>
          <w:p w14:paraId="56D638F3">
            <w:pPr>
              <w:spacing w:line="0" w:lineRule="atLeast"/>
              <w:jc w:val="center"/>
              <w:rPr>
                <w:rFonts w:hint="eastAsia" w:ascii="宋体" w:hAnsi="宋体"/>
                <w:color w:val="auto"/>
                <w:sz w:val="24"/>
                <w:szCs w:val="24"/>
              </w:rPr>
            </w:pPr>
          </w:p>
        </w:tc>
        <w:tc>
          <w:tcPr>
            <w:tcW w:w="1106" w:type="dxa"/>
            <w:noWrap w:val="0"/>
            <w:vAlign w:val="top"/>
          </w:tcPr>
          <w:p w14:paraId="2C093CAD">
            <w:pPr>
              <w:spacing w:line="0" w:lineRule="atLeast"/>
              <w:jc w:val="center"/>
              <w:rPr>
                <w:rFonts w:hint="eastAsia" w:ascii="宋体" w:hAnsi="宋体"/>
                <w:color w:val="auto"/>
                <w:sz w:val="24"/>
                <w:szCs w:val="24"/>
              </w:rPr>
            </w:pPr>
          </w:p>
        </w:tc>
        <w:tc>
          <w:tcPr>
            <w:tcW w:w="1385" w:type="dxa"/>
            <w:noWrap w:val="0"/>
            <w:vAlign w:val="center"/>
          </w:tcPr>
          <w:p w14:paraId="3C516E2E">
            <w:pPr>
              <w:spacing w:line="0" w:lineRule="atLeast"/>
              <w:jc w:val="center"/>
              <w:rPr>
                <w:rFonts w:hint="eastAsia" w:ascii="宋体" w:hAnsi="宋体"/>
                <w:color w:val="auto"/>
                <w:sz w:val="24"/>
                <w:szCs w:val="24"/>
              </w:rPr>
            </w:pPr>
          </w:p>
        </w:tc>
        <w:tc>
          <w:tcPr>
            <w:tcW w:w="924" w:type="dxa"/>
            <w:noWrap w:val="0"/>
            <w:vAlign w:val="center"/>
          </w:tcPr>
          <w:p w14:paraId="010284DB">
            <w:pPr>
              <w:spacing w:line="0" w:lineRule="atLeast"/>
              <w:jc w:val="center"/>
              <w:rPr>
                <w:rFonts w:hint="eastAsia" w:ascii="宋体" w:hAnsi="宋体"/>
                <w:color w:val="auto"/>
                <w:sz w:val="24"/>
                <w:szCs w:val="24"/>
              </w:rPr>
            </w:pPr>
          </w:p>
        </w:tc>
        <w:tc>
          <w:tcPr>
            <w:tcW w:w="1008" w:type="dxa"/>
            <w:noWrap w:val="0"/>
            <w:vAlign w:val="center"/>
          </w:tcPr>
          <w:p w14:paraId="3EBCD962">
            <w:pPr>
              <w:spacing w:line="0" w:lineRule="atLeast"/>
              <w:jc w:val="center"/>
              <w:rPr>
                <w:rFonts w:hint="eastAsia" w:ascii="宋体" w:hAnsi="宋体"/>
                <w:color w:val="auto"/>
                <w:sz w:val="24"/>
                <w:szCs w:val="24"/>
              </w:rPr>
            </w:pPr>
          </w:p>
        </w:tc>
        <w:tc>
          <w:tcPr>
            <w:tcW w:w="966" w:type="dxa"/>
            <w:noWrap w:val="0"/>
            <w:vAlign w:val="center"/>
          </w:tcPr>
          <w:p w14:paraId="42A27219">
            <w:pPr>
              <w:spacing w:line="0" w:lineRule="atLeast"/>
              <w:jc w:val="center"/>
              <w:rPr>
                <w:rFonts w:hint="eastAsia" w:ascii="宋体" w:hAnsi="宋体"/>
                <w:color w:val="auto"/>
                <w:sz w:val="24"/>
                <w:szCs w:val="24"/>
              </w:rPr>
            </w:pPr>
          </w:p>
        </w:tc>
      </w:tr>
      <w:tr w14:paraId="3D48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51FA1F4D">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728" w:type="dxa"/>
            <w:noWrap w:val="0"/>
            <w:vAlign w:val="center"/>
          </w:tcPr>
          <w:p w14:paraId="2EAFF373">
            <w:pPr>
              <w:spacing w:line="0" w:lineRule="atLeast"/>
              <w:jc w:val="center"/>
              <w:rPr>
                <w:rFonts w:hint="eastAsia" w:ascii="宋体" w:hAnsi="宋体"/>
                <w:color w:val="auto"/>
                <w:sz w:val="24"/>
                <w:szCs w:val="24"/>
              </w:rPr>
            </w:pPr>
          </w:p>
        </w:tc>
        <w:tc>
          <w:tcPr>
            <w:tcW w:w="728" w:type="dxa"/>
            <w:noWrap w:val="0"/>
            <w:vAlign w:val="center"/>
          </w:tcPr>
          <w:p w14:paraId="6445B09F">
            <w:pPr>
              <w:spacing w:line="0" w:lineRule="atLeast"/>
              <w:jc w:val="center"/>
              <w:rPr>
                <w:rFonts w:hint="eastAsia" w:ascii="宋体" w:hAnsi="宋体"/>
                <w:color w:val="auto"/>
                <w:sz w:val="24"/>
                <w:szCs w:val="24"/>
              </w:rPr>
            </w:pPr>
          </w:p>
        </w:tc>
        <w:tc>
          <w:tcPr>
            <w:tcW w:w="938" w:type="dxa"/>
            <w:noWrap w:val="0"/>
            <w:vAlign w:val="center"/>
          </w:tcPr>
          <w:p w14:paraId="20FC4F3E">
            <w:pPr>
              <w:spacing w:line="0" w:lineRule="atLeast"/>
              <w:jc w:val="center"/>
              <w:rPr>
                <w:rFonts w:hint="eastAsia" w:ascii="宋体" w:hAnsi="宋体"/>
                <w:color w:val="auto"/>
                <w:sz w:val="24"/>
                <w:szCs w:val="24"/>
              </w:rPr>
            </w:pPr>
          </w:p>
        </w:tc>
        <w:tc>
          <w:tcPr>
            <w:tcW w:w="980" w:type="dxa"/>
            <w:noWrap w:val="0"/>
            <w:vAlign w:val="center"/>
          </w:tcPr>
          <w:p w14:paraId="0AB0600F">
            <w:pPr>
              <w:spacing w:line="0" w:lineRule="atLeast"/>
              <w:jc w:val="center"/>
              <w:rPr>
                <w:rFonts w:hint="eastAsia" w:ascii="宋体" w:hAnsi="宋体"/>
                <w:color w:val="auto"/>
                <w:sz w:val="24"/>
                <w:szCs w:val="24"/>
              </w:rPr>
            </w:pPr>
          </w:p>
        </w:tc>
        <w:tc>
          <w:tcPr>
            <w:tcW w:w="1106" w:type="dxa"/>
            <w:noWrap w:val="0"/>
            <w:vAlign w:val="top"/>
          </w:tcPr>
          <w:p w14:paraId="29D07586">
            <w:pPr>
              <w:spacing w:line="0" w:lineRule="atLeast"/>
              <w:jc w:val="center"/>
              <w:rPr>
                <w:rFonts w:hint="eastAsia" w:ascii="宋体" w:hAnsi="宋体"/>
                <w:color w:val="auto"/>
                <w:sz w:val="24"/>
                <w:szCs w:val="24"/>
              </w:rPr>
            </w:pPr>
          </w:p>
        </w:tc>
        <w:tc>
          <w:tcPr>
            <w:tcW w:w="1385" w:type="dxa"/>
            <w:noWrap w:val="0"/>
            <w:vAlign w:val="center"/>
          </w:tcPr>
          <w:p w14:paraId="688650FD">
            <w:pPr>
              <w:spacing w:line="0" w:lineRule="atLeast"/>
              <w:jc w:val="center"/>
              <w:rPr>
                <w:rFonts w:hint="eastAsia" w:ascii="宋体" w:hAnsi="宋体"/>
                <w:color w:val="auto"/>
                <w:sz w:val="24"/>
                <w:szCs w:val="24"/>
              </w:rPr>
            </w:pPr>
          </w:p>
        </w:tc>
        <w:tc>
          <w:tcPr>
            <w:tcW w:w="924" w:type="dxa"/>
            <w:noWrap w:val="0"/>
            <w:vAlign w:val="center"/>
          </w:tcPr>
          <w:p w14:paraId="67F82ACC">
            <w:pPr>
              <w:spacing w:line="0" w:lineRule="atLeast"/>
              <w:jc w:val="center"/>
              <w:rPr>
                <w:rFonts w:hint="eastAsia" w:ascii="宋体" w:hAnsi="宋体"/>
                <w:color w:val="auto"/>
                <w:sz w:val="24"/>
                <w:szCs w:val="24"/>
              </w:rPr>
            </w:pPr>
          </w:p>
        </w:tc>
        <w:tc>
          <w:tcPr>
            <w:tcW w:w="1008" w:type="dxa"/>
            <w:noWrap w:val="0"/>
            <w:vAlign w:val="center"/>
          </w:tcPr>
          <w:p w14:paraId="4C68AD98">
            <w:pPr>
              <w:spacing w:line="0" w:lineRule="atLeast"/>
              <w:jc w:val="center"/>
              <w:rPr>
                <w:rFonts w:hint="eastAsia" w:ascii="宋体" w:hAnsi="宋体"/>
                <w:color w:val="auto"/>
                <w:sz w:val="24"/>
                <w:szCs w:val="24"/>
              </w:rPr>
            </w:pPr>
          </w:p>
        </w:tc>
        <w:tc>
          <w:tcPr>
            <w:tcW w:w="966" w:type="dxa"/>
            <w:noWrap w:val="0"/>
            <w:vAlign w:val="center"/>
          </w:tcPr>
          <w:p w14:paraId="04B1E91E">
            <w:pPr>
              <w:spacing w:line="0" w:lineRule="atLeast"/>
              <w:jc w:val="center"/>
              <w:rPr>
                <w:rFonts w:hint="eastAsia" w:ascii="宋体" w:hAnsi="宋体"/>
                <w:color w:val="auto"/>
                <w:sz w:val="24"/>
                <w:szCs w:val="24"/>
              </w:rPr>
            </w:pPr>
          </w:p>
        </w:tc>
      </w:tr>
      <w:tr w14:paraId="43B1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4F7C2485">
            <w:pPr>
              <w:spacing w:line="0" w:lineRule="atLeast"/>
              <w:jc w:val="center"/>
              <w:rPr>
                <w:rFonts w:ascii="宋体" w:hAnsi="宋体"/>
                <w:color w:val="auto"/>
                <w:sz w:val="24"/>
                <w:szCs w:val="24"/>
              </w:rPr>
            </w:pPr>
            <w:r>
              <w:rPr>
                <w:rFonts w:ascii="宋体" w:hAnsi="宋体"/>
                <w:color w:val="auto"/>
                <w:sz w:val="24"/>
                <w:szCs w:val="24"/>
              </w:rPr>
              <w:t>…</w:t>
            </w:r>
          </w:p>
        </w:tc>
        <w:tc>
          <w:tcPr>
            <w:tcW w:w="728" w:type="dxa"/>
            <w:noWrap w:val="0"/>
            <w:vAlign w:val="center"/>
          </w:tcPr>
          <w:p w14:paraId="4570E5CC">
            <w:pPr>
              <w:spacing w:line="0" w:lineRule="atLeast"/>
              <w:jc w:val="center"/>
              <w:rPr>
                <w:rFonts w:hint="eastAsia" w:ascii="宋体" w:hAnsi="宋体"/>
                <w:color w:val="auto"/>
                <w:sz w:val="24"/>
                <w:szCs w:val="24"/>
              </w:rPr>
            </w:pPr>
            <w:r>
              <w:rPr>
                <w:rFonts w:ascii="宋体" w:hAnsi="宋体"/>
                <w:color w:val="auto"/>
                <w:sz w:val="24"/>
                <w:szCs w:val="24"/>
              </w:rPr>
              <w:t>……</w:t>
            </w:r>
          </w:p>
        </w:tc>
        <w:tc>
          <w:tcPr>
            <w:tcW w:w="728" w:type="dxa"/>
            <w:noWrap w:val="0"/>
            <w:vAlign w:val="center"/>
          </w:tcPr>
          <w:p w14:paraId="784A6ECF">
            <w:pPr>
              <w:spacing w:line="0" w:lineRule="atLeast"/>
              <w:jc w:val="center"/>
              <w:rPr>
                <w:rFonts w:hint="eastAsia" w:ascii="宋体" w:hAnsi="宋体"/>
                <w:color w:val="auto"/>
                <w:sz w:val="24"/>
                <w:szCs w:val="24"/>
              </w:rPr>
            </w:pPr>
          </w:p>
        </w:tc>
        <w:tc>
          <w:tcPr>
            <w:tcW w:w="938" w:type="dxa"/>
            <w:noWrap w:val="0"/>
            <w:vAlign w:val="center"/>
          </w:tcPr>
          <w:p w14:paraId="200296E1">
            <w:pPr>
              <w:spacing w:line="0" w:lineRule="atLeast"/>
              <w:jc w:val="center"/>
              <w:rPr>
                <w:rFonts w:hint="eastAsia" w:ascii="宋体" w:hAnsi="宋体"/>
                <w:color w:val="auto"/>
                <w:sz w:val="24"/>
                <w:szCs w:val="24"/>
              </w:rPr>
            </w:pPr>
          </w:p>
        </w:tc>
        <w:tc>
          <w:tcPr>
            <w:tcW w:w="980" w:type="dxa"/>
            <w:noWrap w:val="0"/>
            <w:vAlign w:val="center"/>
          </w:tcPr>
          <w:p w14:paraId="5D973B24">
            <w:pPr>
              <w:spacing w:line="0" w:lineRule="atLeast"/>
              <w:jc w:val="center"/>
              <w:rPr>
                <w:rFonts w:hint="eastAsia" w:ascii="宋体" w:hAnsi="宋体"/>
                <w:color w:val="auto"/>
                <w:sz w:val="24"/>
                <w:szCs w:val="24"/>
              </w:rPr>
            </w:pPr>
          </w:p>
        </w:tc>
        <w:tc>
          <w:tcPr>
            <w:tcW w:w="1106" w:type="dxa"/>
            <w:noWrap w:val="0"/>
            <w:vAlign w:val="top"/>
          </w:tcPr>
          <w:p w14:paraId="3E0C33A6">
            <w:pPr>
              <w:spacing w:line="0" w:lineRule="atLeast"/>
              <w:jc w:val="center"/>
              <w:rPr>
                <w:rFonts w:hint="eastAsia" w:ascii="宋体" w:hAnsi="宋体"/>
                <w:color w:val="auto"/>
                <w:sz w:val="24"/>
                <w:szCs w:val="24"/>
              </w:rPr>
            </w:pPr>
          </w:p>
        </w:tc>
        <w:tc>
          <w:tcPr>
            <w:tcW w:w="1385" w:type="dxa"/>
            <w:noWrap w:val="0"/>
            <w:vAlign w:val="center"/>
          </w:tcPr>
          <w:p w14:paraId="6466ECA7">
            <w:pPr>
              <w:spacing w:line="0" w:lineRule="atLeast"/>
              <w:jc w:val="center"/>
              <w:rPr>
                <w:rFonts w:hint="eastAsia" w:ascii="宋体" w:hAnsi="宋体"/>
                <w:color w:val="auto"/>
                <w:sz w:val="24"/>
                <w:szCs w:val="24"/>
              </w:rPr>
            </w:pPr>
          </w:p>
        </w:tc>
        <w:tc>
          <w:tcPr>
            <w:tcW w:w="924" w:type="dxa"/>
            <w:noWrap w:val="0"/>
            <w:vAlign w:val="center"/>
          </w:tcPr>
          <w:p w14:paraId="1B58D8A4">
            <w:pPr>
              <w:spacing w:line="0" w:lineRule="atLeast"/>
              <w:jc w:val="center"/>
              <w:rPr>
                <w:rFonts w:hint="eastAsia" w:ascii="宋体" w:hAnsi="宋体"/>
                <w:color w:val="auto"/>
                <w:sz w:val="24"/>
                <w:szCs w:val="24"/>
              </w:rPr>
            </w:pPr>
          </w:p>
        </w:tc>
        <w:tc>
          <w:tcPr>
            <w:tcW w:w="1008" w:type="dxa"/>
            <w:noWrap w:val="0"/>
            <w:vAlign w:val="center"/>
          </w:tcPr>
          <w:p w14:paraId="2BCFB4A5">
            <w:pPr>
              <w:spacing w:line="0" w:lineRule="atLeast"/>
              <w:jc w:val="center"/>
              <w:rPr>
                <w:rFonts w:hint="eastAsia" w:ascii="宋体" w:hAnsi="宋体"/>
                <w:color w:val="auto"/>
                <w:sz w:val="24"/>
                <w:szCs w:val="24"/>
              </w:rPr>
            </w:pPr>
          </w:p>
        </w:tc>
        <w:tc>
          <w:tcPr>
            <w:tcW w:w="966" w:type="dxa"/>
            <w:noWrap w:val="0"/>
            <w:vAlign w:val="center"/>
          </w:tcPr>
          <w:p w14:paraId="0E6ECF4C">
            <w:pPr>
              <w:spacing w:line="0" w:lineRule="atLeast"/>
              <w:jc w:val="center"/>
              <w:rPr>
                <w:rFonts w:hint="eastAsia" w:ascii="宋体" w:hAnsi="宋体"/>
                <w:color w:val="auto"/>
                <w:sz w:val="24"/>
                <w:szCs w:val="24"/>
              </w:rPr>
            </w:pPr>
          </w:p>
        </w:tc>
      </w:tr>
      <w:tr w14:paraId="1069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noWrap w:val="0"/>
            <w:vAlign w:val="top"/>
          </w:tcPr>
          <w:p w14:paraId="7742DC8E">
            <w:pPr>
              <w:rPr>
                <w:rFonts w:ascii="宋体" w:hAnsi="宋体"/>
                <w:color w:val="auto"/>
                <w:sz w:val="24"/>
                <w:szCs w:val="24"/>
                <w:u w:val="single"/>
              </w:rPr>
            </w:pPr>
            <w:r>
              <w:rPr>
                <w:rFonts w:hint="eastAsia" w:ascii="宋体" w:hAnsi="宋体"/>
                <w:color w:val="auto"/>
                <w:sz w:val="24"/>
                <w:szCs w:val="24"/>
              </w:rPr>
              <w:t>投标总报价（人民币：元）</w:t>
            </w:r>
            <w:r>
              <w:rPr>
                <w:rFonts w:hint="eastAsia" w:ascii="宋体" w:hAnsi="宋体"/>
                <w:color w:val="auto"/>
                <w:sz w:val="24"/>
                <w:szCs w:val="24"/>
                <w:u w:val="single"/>
              </w:rPr>
              <w:t xml:space="preserve">                             </w:t>
            </w:r>
          </w:p>
        </w:tc>
      </w:tr>
      <w:tr w14:paraId="661E4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noWrap w:val="0"/>
            <w:vAlign w:val="top"/>
          </w:tcPr>
          <w:p w14:paraId="0242DE16">
            <w:pPr>
              <w:pStyle w:val="23"/>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4"/>
                <w:szCs w:val="24"/>
              </w:rPr>
              <w:t>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4"/>
                <w:szCs w:val="24"/>
                <w:u w:val="single"/>
              </w:rPr>
              <w:t>***</w:t>
            </w:r>
            <w:r>
              <w:rPr>
                <w:rFonts w:hint="eastAsia" w:ascii="方正魏碑_GBK" w:hAnsi="方正魏碑_GBK" w:eastAsia="方正魏碑_GBK" w:cs="方正魏碑_GBK"/>
                <w:color w:val="auto"/>
                <w:sz w:val="24"/>
                <w:szCs w:val="24"/>
              </w:rPr>
              <w:t>%。</w:t>
            </w:r>
          </w:p>
        </w:tc>
      </w:tr>
    </w:tbl>
    <w:p w14:paraId="66FB63E9">
      <w:pPr>
        <w:pStyle w:val="7"/>
        <w:numPr>
          <w:ilvl w:val="0"/>
          <w:numId w:val="0"/>
        </w:numPr>
        <w:rPr>
          <w:rFonts w:hint="eastAsia" w:asciiTheme="minorEastAsia" w:hAnsiTheme="minorEastAsia" w:eastAsiaTheme="minorEastAsia" w:cstheme="minorEastAsia"/>
          <w:color w:val="auto"/>
        </w:rPr>
      </w:pPr>
    </w:p>
    <w:p w14:paraId="14C157D1">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p w14:paraId="6C033DF9">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1DD12E3C">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2.“投标分项报价表”中“投标总报价”数额应当与“开标一览表”中“投标总报价”数额一致。</w:t>
      </w:r>
    </w:p>
    <w:p w14:paraId="6778BCC1">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3D18D3D">
      <w:pPr>
        <w:spacing w:line="400" w:lineRule="exact"/>
        <w:rPr>
          <w:rFonts w:hint="eastAsia" w:asciiTheme="minorEastAsia" w:hAnsiTheme="minorEastAsia" w:eastAsiaTheme="minorEastAsia" w:cstheme="minorEastAsia"/>
          <w:b/>
          <w:i/>
          <w:iCs/>
          <w:color w:val="auto"/>
          <w:sz w:val="24"/>
          <w:szCs w:val="24"/>
          <w:u w:val="single"/>
        </w:rPr>
      </w:pPr>
      <w:r>
        <w:rPr>
          <w:rFonts w:hint="eastAsia" w:asciiTheme="minorEastAsia" w:hAnsiTheme="minorEastAsia" w:eastAsiaTheme="minorEastAsia" w:cstheme="minorEastAsia"/>
          <w:b/>
          <w:i/>
          <w:iCs/>
          <w:color w:val="auto"/>
          <w:sz w:val="24"/>
          <w:szCs w:val="24"/>
          <w:u w:val="single"/>
        </w:rPr>
        <w:t>4.投标人需认真填写本报价表，尤其注意规格型号的准确填写。</w:t>
      </w:r>
    </w:p>
    <w:p w14:paraId="433C9D25">
      <w:pPr>
        <w:spacing w:line="400" w:lineRule="exact"/>
        <w:rPr>
          <w:rFonts w:hint="eastAsia" w:ascii="方正魏碑_GBK" w:hAnsi="方正魏碑_GBK" w:eastAsia="方正魏碑_GBK" w:cs="方正魏碑_GBK"/>
          <w:color w:val="auto"/>
          <w:sz w:val="24"/>
          <w:szCs w:val="24"/>
        </w:rPr>
      </w:pPr>
    </w:p>
    <w:p w14:paraId="66E631B6">
      <w:pPr>
        <w:jc w:val="center"/>
        <w:rPr>
          <w:rFonts w:hint="eastAsia" w:asciiTheme="minorEastAsia" w:hAnsiTheme="minorEastAsia" w:eastAsiaTheme="minorEastAsia" w:cstheme="minorEastAsia"/>
          <w:b/>
          <w:color w:val="auto"/>
          <w:sz w:val="32"/>
          <w:szCs w:val="32"/>
        </w:rPr>
      </w:pPr>
    </w:p>
    <w:p w14:paraId="25863872">
      <w:pPr>
        <w:jc w:val="center"/>
        <w:rPr>
          <w:rFonts w:hint="eastAsia" w:asciiTheme="minorEastAsia" w:hAnsiTheme="minorEastAsia" w:eastAsiaTheme="minorEastAsia" w:cstheme="minorEastAsia"/>
          <w:b/>
          <w:color w:val="auto"/>
          <w:sz w:val="32"/>
          <w:szCs w:val="32"/>
        </w:rPr>
      </w:pPr>
    </w:p>
    <w:p w14:paraId="30A3DD3D">
      <w:pPr>
        <w:jc w:val="center"/>
        <w:rPr>
          <w:rFonts w:hint="eastAsia" w:asciiTheme="minorEastAsia" w:hAnsiTheme="minorEastAsia" w:eastAsiaTheme="minorEastAsia" w:cstheme="minorEastAsia"/>
          <w:b/>
          <w:color w:val="auto"/>
          <w:sz w:val="32"/>
          <w:szCs w:val="32"/>
        </w:rPr>
      </w:pPr>
    </w:p>
    <w:p w14:paraId="4D6BA1BA">
      <w:pPr>
        <w:jc w:val="center"/>
        <w:rPr>
          <w:rFonts w:hint="eastAsia" w:asciiTheme="minorEastAsia" w:hAnsiTheme="minorEastAsia" w:eastAsiaTheme="minorEastAsia" w:cstheme="minorEastAsia"/>
          <w:b/>
          <w:color w:val="auto"/>
          <w:sz w:val="32"/>
          <w:szCs w:val="32"/>
        </w:rPr>
      </w:pPr>
    </w:p>
    <w:p w14:paraId="2B7B02B1">
      <w:pPr>
        <w:jc w:val="center"/>
        <w:rPr>
          <w:rFonts w:hint="eastAsia" w:asciiTheme="minorEastAsia" w:hAnsiTheme="minorEastAsia" w:eastAsiaTheme="minorEastAsia" w:cstheme="minorEastAsia"/>
          <w:b/>
          <w:bCs/>
          <w:color w:val="auto"/>
          <w:sz w:val="32"/>
          <w:szCs w:val="32"/>
        </w:rPr>
      </w:pPr>
    </w:p>
    <w:p w14:paraId="4926307D">
      <w:pPr>
        <w:jc w:val="center"/>
        <w:rPr>
          <w:rFonts w:hint="eastAsia" w:asciiTheme="minorEastAsia" w:hAnsiTheme="minorEastAsia" w:eastAsiaTheme="minorEastAsia" w:cstheme="minorEastAsia"/>
          <w:b/>
          <w:bCs/>
          <w:color w:val="auto"/>
          <w:sz w:val="32"/>
          <w:szCs w:val="32"/>
        </w:rPr>
      </w:pPr>
    </w:p>
    <w:p w14:paraId="372E282C">
      <w:pPr>
        <w:numPr>
          <w:ilvl w:val="0"/>
          <w:numId w:val="15"/>
        </w:numPr>
        <w:ind w:left="0" w:leftChars="0" w:firstLine="0" w:firstLineChars="0"/>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技术要求响应及偏离表（分包号：）</w:t>
      </w:r>
    </w:p>
    <w:p w14:paraId="0DFC7F46">
      <w:pPr>
        <w:pStyle w:val="7"/>
        <w:numPr>
          <w:ilvl w:val="0"/>
          <w:numId w:val="0"/>
        </w:numPr>
        <w:ind w:leftChars="0"/>
        <w:rPr>
          <w:rFonts w:hint="eastAsia" w:asciiTheme="minorEastAsia" w:hAnsiTheme="minorEastAsia" w:eastAsiaTheme="minorEastAsia" w:cstheme="minorEastAsia"/>
          <w:color w:val="auto"/>
        </w:rPr>
      </w:pPr>
    </w:p>
    <w:tbl>
      <w:tblPr>
        <w:tblStyle w:val="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714"/>
        <w:gridCol w:w="1527"/>
        <w:gridCol w:w="1092"/>
      </w:tblGrid>
      <w:tr w14:paraId="17960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448CFFBD">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对本项目技术要求条款的偏离情况（请进行勾选）：</w:t>
            </w:r>
          </w:p>
          <w:p w14:paraId="3E90D646">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□无偏离</w:t>
            </w:r>
            <w:r>
              <w:rPr>
                <w:rFonts w:hint="eastAsia" w:asciiTheme="minorEastAsia" w:hAnsiTheme="minorEastAsia" w:eastAsiaTheme="minorEastAsia" w:cstheme="minorEastAsia"/>
                <w:color w:val="auto"/>
                <w:sz w:val="24"/>
              </w:rPr>
              <w:t>（如无偏离，仅勾选无偏离即可）</w:t>
            </w:r>
          </w:p>
          <w:p w14:paraId="7EF39B28">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rPr>
              <w:t>□有偏离</w:t>
            </w:r>
            <w:r>
              <w:rPr>
                <w:rFonts w:hint="eastAsia" w:asciiTheme="minorEastAsia" w:hAnsiTheme="minorEastAsia" w:eastAsiaTheme="minorEastAsia" w:cstheme="minorEastAsia"/>
                <w:color w:val="auto"/>
                <w:sz w:val="24"/>
              </w:rPr>
              <w:t>（如有超出或者偏离，则须在本表中对超出或者偏离项逐一列明）</w:t>
            </w:r>
          </w:p>
        </w:tc>
      </w:tr>
      <w:tr w14:paraId="159B7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7F5BE6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3291" w:type="dxa"/>
            <w:noWrap w:val="0"/>
            <w:vAlign w:val="center"/>
          </w:tcPr>
          <w:p w14:paraId="6A95BE9F">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714" w:type="dxa"/>
            <w:noWrap w:val="0"/>
            <w:vAlign w:val="center"/>
          </w:tcPr>
          <w:p w14:paraId="363A3E88">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1527" w:type="dxa"/>
            <w:noWrap w:val="0"/>
            <w:vAlign w:val="center"/>
          </w:tcPr>
          <w:p w14:paraId="042EE3E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超出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符合</w:t>
            </w:r>
          </w:p>
          <w:p w14:paraId="11783855">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或偏离</w:t>
            </w:r>
          </w:p>
        </w:tc>
        <w:tc>
          <w:tcPr>
            <w:tcW w:w="1092" w:type="dxa"/>
            <w:noWrap w:val="0"/>
            <w:vAlign w:val="center"/>
          </w:tcPr>
          <w:p w14:paraId="78CB5044">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证明</w:t>
            </w:r>
          </w:p>
          <w:p w14:paraId="60AECE30">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材料</w:t>
            </w:r>
          </w:p>
        </w:tc>
      </w:tr>
      <w:tr w14:paraId="72697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A447CA">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5A7F5BF7">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5A7C4836">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1282F8FC">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6038548E">
            <w:pPr>
              <w:jc w:val="center"/>
              <w:rPr>
                <w:rFonts w:hint="eastAsia" w:asciiTheme="minorEastAsia" w:hAnsiTheme="minorEastAsia" w:eastAsiaTheme="minorEastAsia" w:cstheme="minorEastAsia"/>
                <w:color w:val="auto"/>
                <w:sz w:val="24"/>
                <w:szCs w:val="24"/>
              </w:rPr>
            </w:pPr>
          </w:p>
        </w:tc>
      </w:tr>
      <w:tr w14:paraId="5695A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BDC5086">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7A512388">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222AF09F">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5D933818">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6C1CA51B">
            <w:pPr>
              <w:jc w:val="center"/>
              <w:rPr>
                <w:rFonts w:hint="eastAsia" w:asciiTheme="minorEastAsia" w:hAnsiTheme="minorEastAsia" w:eastAsiaTheme="minorEastAsia" w:cstheme="minorEastAsia"/>
                <w:color w:val="auto"/>
                <w:sz w:val="24"/>
                <w:szCs w:val="24"/>
              </w:rPr>
            </w:pPr>
          </w:p>
        </w:tc>
      </w:tr>
      <w:tr w14:paraId="3CCFB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7DFD50A">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18487596">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700EC9AB">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39208FE9">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3CE4270D">
            <w:pPr>
              <w:jc w:val="center"/>
              <w:rPr>
                <w:rFonts w:hint="eastAsia" w:asciiTheme="minorEastAsia" w:hAnsiTheme="minorEastAsia" w:eastAsiaTheme="minorEastAsia" w:cstheme="minorEastAsia"/>
                <w:color w:val="auto"/>
                <w:sz w:val="24"/>
                <w:szCs w:val="24"/>
              </w:rPr>
            </w:pPr>
          </w:p>
        </w:tc>
      </w:tr>
      <w:tr w14:paraId="12FB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450D1EC">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13F83D8C">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27E5CBC3">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6BA04807">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653FBF0F">
            <w:pPr>
              <w:jc w:val="center"/>
              <w:rPr>
                <w:rFonts w:hint="eastAsia" w:asciiTheme="minorEastAsia" w:hAnsiTheme="minorEastAsia" w:eastAsiaTheme="minorEastAsia" w:cstheme="minorEastAsia"/>
                <w:color w:val="auto"/>
                <w:sz w:val="24"/>
                <w:szCs w:val="24"/>
              </w:rPr>
            </w:pPr>
          </w:p>
        </w:tc>
      </w:tr>
      <w:tr w14:paraId="5724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3F2F0A7">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12F60B2E">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436BF87A">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204B5B30">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5C0096C3">
            <w:pPr>
              <w:jc w:val="center"/>
              <w:rPr>
                <w:rFonts w:hint="eastAsia" w:asciiTheme="minorEastAsia" w:hAnsiTheme="minorEastAsia" w:eastAsiaTheme="minorEastAsia" w:cstheme="minorEastAsia"/>
                <w:color w:val="auto"/>
                <w:sz w:val="24"/>
                <w:szCs w:val="24"/>
              </w:rPr>
            </w:pPr>
          </w:p>
        </w:tc>
      </w:tr>
      <w:tr w14:paraId="28E33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8366A0F">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42A40EB9">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525356EE">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4D68491C">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4B8BCE79">
            <w:pPr>
              <w:jc w:val="center"/>
              <w:rPr>
                <w:rFonts w:hint="eastAsia" w:asciiTheme="minorEastAsia" w:hAnsiTheme="minorEastAsia" w:eastAsiaTheme="minorEastAsia" w:cstheme="minorEastAsia"/>
                <w:color w:val="auto"/>
                <w:sz w:val="24"/>
                <w:szCs w:val="24"/>
              </w:rPr>
            </w:pPr>
          </w:p>
        </w:tc>
      </w:tr>
      <w:tr w14:paraId="1B82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47538C6">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17F1233D">
            <w:pPr>
              <w:jc w:val="center"/>
              <w:rPr>
                <w:rFonts w:hint="eastAsia" w:asciiTheme="minorEastAsia" w:hAnsiTheme="minorEastAsia" w:eastAsiaTheme="minorEastAsia" w:cstheme="minorEastAsia"/>
                <w:color w:val="auto"/>
                <w:sz w:val="24"/>
                <w:szCs w:val="24"/>
              </w:rPr>
            </w:pPr>
          </w:p>
        </w:tc>
        <w:tc>
          <w:tcPr>
            <w:tcW w:w="2714" w:type="dxa"/>
            <w:noWrap w:val="0"/>
            <w:vAlign w:val="top"/>
          </w:tcPr>
          <w:p w14:paraId="215DB6F5">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67B5AC51">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1EC298B9">
            <w:pPr>
              <w:jc w:val="center"/>
              <w:rPr>
                <w:rFonts w:hint="eastAsia" w:asciiTheme="minorEastAsia" w:hAnsiTheme="minorEastAsia" w:eastAsiaTheme="minorEastAsia" w:cstheme="minorEastAsia"/>
                <w:color w:val="auto"/>
                <w:sz w:val="24"/>
                <w:szCs w:val="24"/>
              </w:rPr>
            </w:pPr>
          </w:p>
        </w:tc>
      </w:tr>
      <w:tr w14:paraId="3EBE6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A90D5D6">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537D8377">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714" w:type="dxa"/>
            <w:noWrap w:val="0"/>
            <w:vAlign w:val="top"/>
          </w:tcPr>
          <w:p w14:paraId="7308C1C1">
            <w:pPr>
              <w:jc w:val="center"/>
              <w:rPr>
                <w:rFonts w:hint="eastAsia" w:asciiTheme="minorEastAsia" w:hAnsiTheme="minorEastAsia" w:eastAsiaTheme="minorEastAsia" w:cstheme="minorEastAsia"/>
                <w:color w:val="auto"/>
                <w:sz w:val="24"/>
                <w:szCs w:val="24"/>
              </w:rPr>
            </w:pPr>
          </w:p>
        </w:tc>
        <w:tc>
          <w:tcPr>
            <w:tcW w:w="1527" w:type="dxa"/>
            <w:noWrap w:val="0"/>
            <w:vAlign w:val="top"/>
          </w:tcPr>
          <w:p w14:paraId="60B12E1A">
            <w:pPr>
              <w:jc w:val="center"/>
              <w:rPr>
                <w:rFonts w:hint="eastAsia" w:asciiTheme="minorEastAsia" w:hAnsiTheme="minorEastAsia" w:eastAsiaTheme="minorEastAsia" w:cstheme="minorEastAsia"/>
                <w:color w:val="auto"/>
                <w:sz w:val="24"/>
                <w:szCs w:val="24"/>
              </w:rPr>
            </w:pPr>
          </w:p>
        </w:tc>
        <w:tc>
          <w:tcPr>
            <w:tcW w:w="1092" w:type="dxa"/>
            <w:noWrap w:val="0"/>
            <w:vAlign w:val="top"/>
          </w:tcPr>
          <w:p w14:paraId="203DACD1">
            <w:pPr>
              <w:jc w:val="center"/>
              <w:rPr>
                <w:rFonts w:hint="eastAsia" w:asciiTheme="minorEastAsia" w:hAnsiTheme="minorEastAsia" w:eastAsiaTheme="minorEastAsia" w:cstheme="minorEastAsia"/>
                <w:color w:val="auto"/>
                <w:sz w:val="24"/>
                <w:szCs w:val="24"/>
              </w:rPr>
            </w:pPr>
          </w:p>
        </w:tc>
      </w:tr>
    </w:tbl>
    <w:p w14:paraId="347C72E5">
      <w:pPr>
        <w:spacing w:line="400" w:lineRule="exact"/>
        <w:rPr>
          <w:rFonts w:hint="eastAsia" w:ascii="宋体" w:hAnsi="宋体"/>
          <w:color w:val="auto"/>
          <w:sz w:val="24"/>
          <w:szCs w:val="24"/>
        </w:rPr>
      </w:pPr>
      <w:r>
        <w:rPr>
          <w:rFonts w:hint="eastAsia" w:ascii="宋体" w:hAnsi="宋体"/>
          <w:color w:val="auto"/>
          <w:sz w:val="24"/>
          <w:szCs w:val="24"/>
        </w:rPr>
        <w:t>技术要求响应及偏离表</w:t>
      </w:r>
      <w:r>
        <w:rPr>
          <w:rFonts w:hint="eastAsia" w:ascii="宋体" w:hAnsi="宋体"/>
          <w:color w:val="auto"/>
          <w:sz w:val="24"/>
          <w:szCs w:val="24"/>
          <w:lang w:val="en-US" w:eastAsia="zh-CN"/>
        </w:rPr>
        <w:t>附件</w:t>
      </w:r>
      <w:r>
        <w:rPr>
          <w:rFonts w:hint="eastAsia" w:ascii="宋体" w:hAnsi="宋体"/>
          <w:color w:val="auto"/>
          <w:sz w:val="24"/>
          <w:szCs w:val="24"/>
        </w:rPr>
        <w:t xml:space="preserve">  证明</w:t>
      </w:r>
      <w:r>
        <w:rPr>
          <w:rFonts w:ascii="宋体" w:hAnsi="宋体"/>
          <w:color w:val="auto"/>
          <w:sz w:val="24"/>
          <w:szCs w:val="24"/>
        </w:rPr>
        <w:t>材料</w:t>
      </w:r>
      <w:r>
        <w:rPr>
          <w:rFonts w:hint="eastAsia" w:ascii="宋体" w:hAnsi="宋体"/>
          <w:color w:val="auto"/>
          <w:sz w:val="24"/>
          <w:szCs w:val="24"/>
        </w:rPr>
        <w:t>1，证明</w:t>
      </w:r>
      <w:r>
        <w:rPr>
          <w:rFonts w:ascii="宋体" w:hAnsi="宋体"/>
          <w:color w:val="auto"/>
          <w:sz w:val="24"/>
          <w:szCs w:val="24"/>
        </w:rPr>
        <w:t>材料</w:t>
      </w:r>
      <w:r>
        <w:rPr>
          <w:rFonts w:hint="eastAsia" w:ascii="宋体" w:hAnsi="宋体"/>
          <w:color w:val="auto"/>
          <w:sz w:val="24"/>
          <w:szCs w:val="24"/>
        </w:rPr>
        <w:t>2，</w:t>
      </w:r>
      <w:r>
        <w:rPr>
          <w:rFonts w:ascii="宋体" w:hAnsi="宋体"/>
          <w:color w:val="auto"/>
          <w:sz w:val="24"/>
          <w:szCs w:val="24"/>
        </w:rPr>
        <w:t>……</w:t>
      </w:r>
    </w:p>
    <w:p w14:paraId="29D602F7">
      <w:pPr>
        <w:rPr>
          <w:rFonts w:hint="eastAsia" w:asciiTheme="minorEastAsia" w:hAnsiTheme="minorEastAsia" w:eastAsiaTheme="minorEastAsia" w:cstheme="minorEastAsia"/>
          <w:color w:val="auto"/>
          <w:sz w:val="24"/>
          <w:szCs w:val="24"/>
        </w:rPr>
      </w:pPr>
    </w:p>
    <w:p w14:paraId="15DA857B">
      <w:pPr>
        <w:rPr>
          <w:rFonts w:hint="eastAsia" w:asciiTheme="minorEastAsia" w:hAnsiTheme="minorEastAsia" w:eastAsiaTheme="minorEastAsia" w:cstheme="minorEastAsia"/>
          <w:color w:val="auto"/>
          <w:sz w:val="24"/>
          <w:szCs w:val="24"/>
        </w:rPr>
      </w:pPr>
    </w:p>
    <w:p w14:paraId="1F6A1737">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4CACDA53">
      <w:pPr>
        <w:numPr>
          <w:ilvl w:val="0"/>
          <w:numId w:val="16"/>
        </w:num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行数不够，可自行添加。</w:t>
      </w:r>
    </w:p>
    <w:p w14:paraId="5E1EEED5">
      <w:pPr>
        <w:numPr>
          <w:ilvl w:val="0"/>
          <w:numId w:val="16"/>
        </w:numPr>
        <w:spacing w:line="400" w:lineRule="exact"/>
        <w:rPr>
          <w:rFonts w:ascii="宋体" w:hAnsi="宋体"/>
          <w:color w:val="auto"/>
          <w:sz w:val="24"/>
          <w:szCs w:val="24"/>
        </w:rPr>
      </w:pPr>
      <w:r>
        <w:rPr>
          <w:rFonts w:hint="eastAsia" w:ascii="宋体" w:hAnsi="宋体" w:cs="宋体"/>
          <w:color w:val="auto"/>
          <w:sz w:val="24"/>
          <w:szCs w:val="24"/>
        </w:rPr>
        <w:t>投标人需对招标文件技术要求中非实质性要求（</w:t>
      </w:r>
      <w:r>
        <w:rPr>
          <w:rFonts w:hint="eastAsia" w:ascii="宋体" w:hAnsi="宋体" w:cs="宋体"/>
          <w:b/>
          <w:color w:val="auto"/>
          <w:sz w:val="24"/>
          <w:szCs w:val="24"/>
        </w:rPr>
        <w:t>未加*号条款</w:t>
      </w:r>
      <w:r>
        <w:rPr>
          <w:rFonts w:hint="eastAsia" w:ascii="宋体" w:hAnsi="宋体" w:cs="宋体"/>
          <w:color w:val="auto"/>
          <w:sz w:val="24"/>
          <w:szCs w:val="24"/>
        </w:rPr>
        <w:t>）</w:t>
      </w:r>
      <w:r>
        <w:rPr>
          <w:rFonts w:ascii="宋体" w:hAnsi="宋体"/>
          <w:color w:val="auto"/>
          <w:sz w:val="24"/>
          <w:szCs w:val="24"/>
        </w:rPr>
        <w:t>逐条做出明确响应</w:t>
      </w:r>
      <w:r>
        <w:rPr>
          <w:rFonts w:hint="eastAsia" w:ascii="宋体" w:hAnsi="宋体"/>
          <w:color w:val="auto"/>
          <w:sz w:val="24"/>
          <w:szCs w:val="24"/>
        </w:rPr>
        <w:t>。</w:t>
      </w:r>
    </w:p>
    <w:p w14:paraId="3C757591">
      <w:pPr>
        <w:numPr>
          <w:ilvl w:val="0"/>
          <w:numId w:val="16"/>
        </w:numPr>
        <w:spacing w:line="400" w:lineRule="exact"/>
        <w:ind w:left="0" w:leftChars="0" w:firstLine="0" w:firstLineChars="0"/>
        <w:rPr>
          <w:rFonts w:hint="eastAsia" w:asciiTheme="minorEastAsia" w:hAnsiTheme="minorEastAsia" w:eastAsiaTheme="minorEastAsia" w:cstheme="minorEastAsia"/>
          <w:color w:val="auto"/>
          <w:sz w:val="24"/>
          <w:szCs w:val="24"/>
        </w:rPr>
      </w:pPr>
      <w:r>
        <w:rPr>
          <w:rFonts w:hint="eastAsia" w:ascii="宋体" w:hAnsi="宋体"/>
          <w:color w:val="auto"/>
          <w:sz w:val="24"/>
          <w:szCs w:val="24"/>
        </w:rPr>
        <w:t>如果招标</w:t>
      </w:r>
      <w:r>
        <w:rPr>
          <w:rFonts w:ascii="宋体" w:hAnsi="宋体"/>
          <w:color w:val="auto"/>
          <w:sz w:val="24"/>
          <w:szCs w:val="24"/>
        </w:rPr>
        <w:t>文件要求提供</w:t>
      </w:r>
      <w:r>
        <w:rPr>
          <w:rFonts w:hint="eastAsia" w:ascii="宋体" w:hAnsi="宋体"/>
          <w:color w:val="auto"/>
          <w:sz w:val="24"/>
          <w:szCs w:val="24"/>
        </w:rPr>
        <w:t>证明</w:t>
      </w:r>
      <w:r>
        <w:rPr>
          <w:rFonts w:ascii="宋体" w:hAnsi="宋体"/>
          <w:color w:val="auto"/>
          <w:sz w:val="24"/>
          <w:szCs w:val="24"/>
        </w:rPr>
        <w:t>材料，投标人</w:t>
      </w:r>
      <w:r>
        <w:rPr>
          <w:rFonts w:hint="eastAsia" w:ascii="宋体" w:hAnsi="宋体"/>
          <w:color w:val="auto"/>
          <w:sz w:val="24"/>
          <w:szCs w:val="24"/>
        </w:rPr>
        <w:t>需</w:t>
      </w:r>
      <w:r>
        <w:rPr>
          <w:rFonts w:ascii="宋体" w:hAnsi="宋体"/>
          <w:color w:val="auto"/>
          <w:sz w:val="24"/>
          <w:szCs w:val="24"/>
        </w:rPr>
        <w:t>将证明材料</w:t>
      </w:r>
      <w:r>
        <w:rPr>
          <w:rFonts w:hint="eastAsia" w:ascii="宋体" w:hAnsi="宋体"/>
          <w:color w:val="auto"/>
          <w:sz w:val="24"/>
          <w:szCs w:val="24"/>
        </w:rPr>
        <w:t>列于</w:t>
      </w:r>
      <w:r>
        <w:rPr>
          <w:rFonts w:ascii="宋体" w:hAnsi="宋体"/>
          <w:color w:val="auto"/>
          <w:sz w:val="24"/>
          <w:szCs w:val="24"/>
        </w:rPr>
        <w:t>该表之下。</w:t>
      </w:r>
    </w:p>
    <w:p w14:paraId="46B9B0FC">
      <w:pPr>
        <w:numPr>
          <w:ilvl w:val="0"/>
          <w:numId w:val="16"/>
        </w:numPr>
        <w:spacing w:line="400" w:lineRule="exact"/>
        <w:ind w:left="0" w:leftChars="0" w:firstLine="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为便于评审，投标人在偏离表中逐条列出相关技术参数证明材料所在页码。</w:t>
      </w:r>
    </w:p>
    <w:p w14:paraId="20FBC4C9">
      <w:pPr>
        <w:jc w:val="center"/>
        <w:rPr>
          <w:rFonts w:hint="eastAsia" w:asciiTheme="minorEastAsia" w:hAnsiTheme="minorEastAsia" w:eastAsiaTheme="minorEastAsia" w:cstheme="minorEastAsia"/>
          <w:b/>
          <w:color w:val="auto"/>
          <w:sz w:val="36"/>
        </w:rPr>
      </w:pPr>
    </w:p>
    <w:p w14:paraId="17367B5F">
      <w:pPr>
        <w:jc w:val="center"/>
        <w:rPr>
          <w:rFonts w:hint="eastAsia" w:asciiTheme="minorEastAsia" w:hAnsiTheme="minorEastAsia" w:eastAsiaTheme="minorEastAsia" w:cstheme="minorEastAsia"/>
          <w:b/>
          <w:color w:val="auto"/>
          <w:sz w:val="36"/>
        </w:rPr>
      </w:pPr>
    </w:p>
    <w:p w14:paraId="2E542C0A">
      <w:pPr>
        <w:jc w:val="center"/>
        <w:rPr>
          <w:rFonts w:hint="eastAsia" w:asciiTheme="minorEastAsia" w:hAnsiTheme="minorEastAsia" w:eastAsiaTheme="minorEastAsia" w:cstheme="minorEastAsia"/>
          <w:b/>
          <w:color w:val="auto"/>
          <w:sz w:val="36"/>
        </w:rPr>
      </w:pPr>
    </w:p>
    <w:p w14:paraId="34F2C1F9">
      <w:pPr>
        <w:jc w:val="center"/>
        <w:rPr>
          <w:rFonts w:hint="eastAsia" w:asciiTheme="minorEastAsia" w:hAnsiTheme="minorEastAsia" w:eastAsiaTheme="minorEastAsia" w:cstheme="minorEastAsia"/>
          <w:b/>
          <w:color w:val="auto"/>
          <w:sz w:val="36"/>
        </w:rPr>
      </w:pPr>
    </w:p>
    <w:p w14:paraId="1DC8D77A">
      <w:pPr>
        <w:rPr>
          <w:rFonts w:hint="eastAsia" w:asciiTheme="minorEastAsia" w:hAnsiTheme="minorEastAsia" w:eastAsiaTheme="minorEastAsia" w:cstheme="minorEastAsia"/>
          <w:color w:val="auto"/>
          <w:sz w:val="32"/>
        </w:rPr>
      </w:pPr>
    </w:p>
    <w:p w14:paraId="7564CA6E">
      <w:pPr>
        <w:rPr>
          <w:rFonts w:hint="eastAsia" w:asciiTheme="minorEastAsia" w:hAnsiTheme="minorEastAsia" w:eastAsiaTheme="minorEastAsia" w:cstheme="minorEastAsia"/>
          <w:color w:val="auto"/>
          <w:sz w:val="32"/>
        </w:rPr>
      </w:pPr>
    </w:p>
    <w:p w14:paraId="5FB07865">
      <w:pPr>
        <w:rPr>
          <w:rFonts w:hint="eastAsia" w:asciiTheme="minorEastAsia" w:hAnsiTheme="minorEastAsia" w:eastAsiaTheme="minorEastAsia" w:cstheme="minorEastAsia"/>
          <w:color w:val="auto"/>
          <w:sz w:val="32"/>
          <w:szCs w:val="32"/>
        </w:rPr>
      </w:pPr>
    </w:p>
    <w:p w14:paraId="6BB4E193">
      <w:pPr>
        <w:rPr>
          <w:rFonts w:hint="eastAsia" w:asciiTheme="minorEastAsia" w:hAnsiTheme="minorEastAsia" w:eastAsiaTheme="minorEastAsia" w:cstheme="minorEastAsia"/>
          <w:color w:val="auto"/>
          <w:sz w:val="32"/>
        </w:rPr>
      </w:pPr>
    </w:p>
    <w:bookmarkEnd w:id="208"/>
    <w:p w14:paraId="18157409">
      <w:pPr>
        <w:numPr>
          <w:ilvl w:val="0"/>
          <w:numId w:val="15"/>
        </w:numPr>
        <w:ind w:left="0" w:leftChars="0" w:firstLine="0" w:firstLineChars="0"/>
        <w:jc w:val="center"/>
        <w:rPr>
          <w:rFonts w:hint="eastAsia" w:asciiTheme="minorEastAsia" w:hAnsiTheme="minorEastAsia" w:eastAsiaTheme="minorEastAsia" w:cstheme="minorEastAsia"/>
          <w:b/>
          <w:color w:val="auto"/>
          <w:sz w:val="32"/>
          <w:szCs w:val="32"/>
        </w:rPr>
      </w:pPr>
      <w:bookmarkStart w:id="212" w:name="_Hlt26955054"/>
      <w:bookmarkEnd w:id="212"/>
      <w:r>
        <w:rPr>
          <w:rFonts w:hint="eastAsia" w:asciiTheme="minorEastAsia" w:hAnsiTheme="minorEastAsia" w:eastAsiaTheme="minorEastAsia" w:cstheme="minorEastAsia"/>
          <w:b/>
          <w:color w:val="auto"/>
          <w:sz w:val="32"/>
          <w:szCs w:val="32"/>
        </w:rPr>
        <w:t>合同及商务条款偏离表（分包号：）</w:t>
      </w:r>
    </w:p>
    <w:p w14:paraId="427A2C3A">
      <w:pPr>
        <w:pStyle w:val="7"/>
        <w:numPr>
          <w:ilvl w:val="0"/>
          <w:numId w:val="0"/>
        </w:numPr>
        <w:ind w:leftChars="0"/>
        <w:rPr>
          <w:rFonts w:hint="eastAsia" w:asciiTheme="minorEastAsia" w:hAnsiTheme="minorEastAsia" w:eastAsiaTheme="minorEastAsia" w:cstheme="minorEastAsia"/>
          <w:color w:val="auto"/>
        </w:rPr>
      </w:pPr>
    </w:p>
    <w:tbl>
      <w:tblPr>
        <w:tblStyle w:val="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416"/>
        <w:gridCol w:w="1065"/>
      </w:tblGrid>
      <w:tr w14:paraId="31F4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3B1B61D5">
            <w:pPr>
              <w:jc w:val="left"/>
              <w:rPr>
                <w:rFonts w:hint="eastAsia" w:asciiTheme="minorEastAsia" w:hAnsiTheme="minorEastAsia" w:eastAsiaTheme="minorEastAsia" w:cstheme="minorEastAsia"/>
                <w:b/>
                <w:color w:val="auto"/>
                <w:sz w:val="24"/>
              </w:rPr>
            </w:pPr>
            <w:bookmarkStart w:id="213" w:name="_Hlt26671372"/>
            <w:bookmarkEnd w:id="213"/>
            <w:bookmarkStart w:id="214" w:name="_Hlt26955056"/>
            <w:bookmarkEnd w:id="214"/>
            <w:bookmarkStart w:id="215" w:name="_Hlt26580838"/>
            <w:bookmarkEnd w:id="215"/>
            <w:bookmarkStart w:id="216" w:name="_Hlt26955064"/>
            <w:bookmarkEnd w:id="216"/>
            <w:bookmarkStart w:id="217" w:name="_Hlt26671343"/>
            <w:bookmarkEnd w:id="217"/>
            <w:bookmarkStart w:id="218" w:name="_Hlt26782999"/>
            <w:bookmarkEnd w:id="218"/>
            <w:bookmarkStart w:id="219" w:name="_Hlt24879081"/>
            <w:bookmarkEnd w:id="219"/>
            <w:bookmarkStart w:id="220" w:name="_Hlt26609391"/>
            <w:bookmarkEnd w:id="220"/>
            <w:r>
              <w:rPr>
                <w:rFonts w:hint="eastAsia" w:asciiTheme="minorEastAsia" w:hAnsiTheme="minorEastAsia" w:eastAsiaTheme="minorEastAsia" w:cstheme="minorEastAsia"/>
                <w:b/>
                <w:color w:val="auto"/>
                <w:sz w:val="24"/>
              </w:rPr>
              <w:t>对本项目商务要求条款的偏离情况（请进行勾选）：</w:t>
            </w:r>
          </w:p>
          <w:p w14:paraId="2985C6B4">
            <w:pPr>
              <w:jc w:val="lef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□无偏离</w:t>
            </w:r>
            <w:r>
              <w:rPr>
                <w:rFonts w:hint="eastAsia" w:asciiTheme="minorEastAsia" w:hAnsiTheme="minorEastAsia" w:eastAsiaTheme="minorEastAsia" w:cstheme="minorEastAsia"/>
                <w:color w:val="auto"/>
                <w:sz w:val="24"/>
              </w:rPr>
              <w:t>（如无偏离，仅勾选无偏离即可）</w:t>
            </w:r>
          </w:p>
          <w:p w14:paraId="7547E0E5">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rPr>
              <w:t>□有偏离</w:t>
            </w:r>
            <w:r>
              <w:rPr>
                <w:rFonts w:hint="eastAsia" w:asciiTheme="minorEastAsia" w:hAnsiTheme="minorEastAsia" w:eastAsiaTheme="minorEastAsia" w:cstheme="minorEastAsia"/>
                <w:color w:val="auto"/>
                <w:sz w:val="24"/>
              </w:rPr>
              <w:t>（如有超出或者偏离，则须在本表中对超出或者偏离项逐一列明）</w:t>
            </w:r>
          </w:p>
        </w:tc>
      </w:tr>
      <w:tr w14:paraId="7D77C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05943CB">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3291" w:type="dxa"/>
            <w:noWrap w:val="0"/>
            <w:vAlign w:val="center"/>
          </w:tcPr>
          <w:p w14:paraId="75DCA4B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852" w:type="dxa"/>
            <w:noWrap w:val="0"/>
            <w:vAlign w:val="center"/>
          </w:tcPr>
          <w:p w14:paraId="76BB829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1416" w:type="dxa"/>
            <w:noWrap w:val="0"/>
            <w:vAlign w:val="center"/>
          </w:tcPr>
          <w:p w14:paraId="1FD7D6E3">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超出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符合</w:t>
            </w:r>
          </w:p>
          <w:p w14:paraId="5F14ED66">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或偏离</w:t>
            </w:r>
          </w:p>
        </w:tc>
        <w:tc>
          <w:tcPr>
            <w:tcW w:w="1065" w:type="dxa"/>
            <w:noWrap w:val="0"/>
            <w:vAlign w:val="center"/>
          </w:tcPr>
          <w:p w14:paraId="7175BD0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证明</w:t>
            </w:r>
          </w:p>
          <w:p w14:paraId="6583F3BE">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材料</w:t>
            </w:r>
          </w:p>
        </w:tc>
      </w:tr>
      <w:tr w14:paraId="15FB8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E12EE8">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61B83690">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4D5FB5D7">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50A07819">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20F8616C">
            <w:pPr>
              <w:jc w:val="center"/>
              <w:rPr>
                <w:rFonts w:hint="eastAsia" w:asciiTheme="minorEastAsia" w:hAnsiTheme="minorEastAsia" w:eastAsiaTheme="minorEastAsia" w:cstheme="minorEastAsia"/>
                <w:color w:val="auto"/>
                <w:sz w:val="24"/>
                <w:szCs w:val="24"/>
              </w:rPr>
            </w:pPr>
          </w:p>
        </w:tc>
      </w:tr>
      <w:tr w14:paraId="4890C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48EF1F9">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22735C03">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7D9B8F7F">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0D4AA61D">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7DB363E5">
            <w:pPr>
              <w:jc w:val="center"/>
              <w:rPr>
                <w:rFonts w:hint="eastAsia" w:asciiTheme="minorEastAsia" w:hAnsiTheme="minorEastAsia" w:eastAsiaTheme="minorEastAsia" w:cstheme="minorEastAsia"/>
                <w:color w:val="auto"/>
                <w:sz w:val="24"/>
                <w:szCs w:val="24"/>
              </w:rPr>
            </w:pPr>
          </w:p>
        </w:tc>
      </w:tr>
      <w:tr w14:paraId="1076B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B9DFE22">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1C297DD6">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44F45A3A">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1327D695">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3D350CFF">
            <w:pPr>
              <w:jc w:val="center"/>
              <w:rPr>
                <w:rFonts w:hint="eastAsia" w:asciiTheme="minorEastAsia" w:hAnsiTheme="minorEastAsia" w:eastAsiaTheme="minorEastAsia" w:cstheme="minorEastAsia"/>
                <w:color w:val="auto"/>
                <w:sz w:val="24"/>
                <w:szCs w:val="24"/>
              </w:rPr>
            </w:pPr>
          </w:p>
        </w:tc>
      </w:tr>
      <w:tr w14:paraId="070E7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8B18ECB">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37DF3CE0">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6696356D">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2E556EAF">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14EC33E2">
            <w:pPr>
              <w:jc w:val="center"/>
              <w:rPr>
                <w:rFonts w:hint="eastAsia" w:asciiTheme="minorEastAsia" w:hAnsiTheme="minorEastAsia" w:eastAsiaTheme="minorEastAsia" w:cstheme="minorEastAsia"/>
                <w:color w:val="auto"/>
                <w:sz w:val="24"/>
                <w:szCs w:val="24"/>
              </w:rPr>
            </w:pPr>
          </w:p>
        </w:tc>
      </w:tr>
      <w:tr w14:paraId="5ABC5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EBA64E0">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39A4B65E">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5BB3C6C8">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19673A5A">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5E6071C6">
            <w:pPr>
              <w:jc w:val="center"/>
              <w:rPr>
                <w:rFonts w:hint="eastAsia" w:asciiTheme="minorEastAsia" w:hAnsiTheme="minorEastAsia" w:eastAsiaTheme="minorEastAsia" w:cstheme="minorEastAsia"/>
                <w:color w:val="auto"/>
                <w:sz w:val="24"/>
                <w:szCs w:val="24"/>
              </w:rPr>
            </w:pPr>
          </w:p>
        </w:tc>
      </w:tr>
      <w:tr w14:paraId="5C2D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41C2BDE">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782B96B6">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08913829">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54309E9E">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63997BA4">
            <w:pPr>
              <w:jc w:val="center"/>
              <w:rPr>
                <w:rFonts w:hint="eastAsia" w:asciiTheme="minorEastAsia" w:hAnsiTheme="minorEastAsia" w:eastAsiaTheme="minorEastAsia" w:cstheme="minorEastAsia"/>
                <w:color w:val="auto"/>
                <w:sz w:val="24"/>
                <w:szCs w:val="24"/>
              </w:rPr>
            </w:pPr>
          </w:p>
        </w:tc>
      </w:tr>
      <w:tr w14:paraId="5D72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CE309CB">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0466D2B8">
            <w:pPr>
              <w:jc w:val="center"/>
              <w:rPr>
                <w:rFonts w:hint="eastAsia" w:asciiTheme="minorEastAsia" w:hAnsiTheme="minorEastAsia" w:eastAsiaTheme="minorEastAsia" w:cstheme="minorEastAsia"/>
                <w:color w:val="auto"/>
                <w:sz w:val="24"/>
                <w:szCs w:val="24"/>
              </w:rPr>
            </w:pPr>
          </w:p>
        </w:tc>
        <w:tc>
          <w:tcPr>
            <w:tcW w:w="2852" w:type="dxa"/>
            <w:noWrap w:val="0"/>
            <w:vAlign w:val="top"/>
          </w:tcPr>
          <w:p w14:paraId="3E443E24">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1FED80B6">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06477EAE">
            <w:pPr>
              <w:jc w:val="center"/>
              <w:rPr>
                <w:rFonts w:hint="eastAsia" w:asciiTheme="minorEastAsia" w:hAnsiTheme="minorEastAsia" w:eastAsiaTheme="minorEastAsia" w:cstheme="minorEastAsia"/>
                <w:color w:val="auto"/>
                <w:sz w:val="24"/>
                <w:szCs w:val="24"/>
              </w:rPr>
            </w:pPr>
          </w:p>
        </w:tc>
      </w:tr>
      <w:tr w14:paraId="3185E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02E4D3B">
            <w:pPr>
              <w:jc w:val="center"/>
              <w:rPr>
                <w:rFonts w:hint="eastAsia" w:asciiTheme="minorEastAsia" w:hAnsiTheme="minorEastAsia" w:eastAsiaTheme="minorEastAsia" w:cstheme="minorEastAsia"/>
                <w:color w:val="auto"/>
                <w:sz w:val="24"/>
                <w:szCs w:val="24"/>
              </w:rPr>
            </w:pPr>
          </w:p>
        </w:tc>
        <w:tc>
          <w:tcPr>
            <w:tcW w:w="3291" w:type="dxa"/>
            <w:noWrap w:val="0"/>
            <w:vAlign w:val="top"/>
          </w:tcPr>
          <w:p w14:paraId="2A11D06D">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852" w:type="dxa"/>
            <w:noWrap w:val="0"/>
            <w:vAlign w:val="top"/>
          </w:tcPr>
          <w:p w14:paraId="72012F80">
            <w:pPr>
              <w:jc w:val="center"/>
              <w:rPr>
                <w:rFonts w:hint="eastAsia" w:asciiTheme="minorEastAsia" w:hAnsiTheme="minorEastAsia" w:eastAsiaTheme="minorEastAsia" w:cstheme="minorEastAsia"/>
                <w:color w:val="auto"/>
                <w:sz w:val="24"/>
                <w:szCs w:val="24"/>
              </w:rPr>
            </w:pPr>
          </w:p>
        </w:tc>
        <w:tc>
          <w:tcPr>
            <w:tcW w:w="1416" w:type="dxa"/>
            <w:noWrap w:val="0"/>
            <w:vAlign w:val="top"/>
          </w:tcPr>
          <w:p w14:paraId="4970E4DD">
            <w:pPr>
              <w:jc w:val="center"/>
              <w:rPr>
                <w:rFonts w:hint="eastAsia" w:asciiTheme="minorEastAsia" w:hAnsiTheme="minorEastAsia" w:eastAsiaTheme="minorEastAsia" w:cstheme="minorEastAsia"/>
                <w:color w:val="auto"/>
                <w:sz w:val="24"/>
                <w:szCs w:val="24"/>
              </w:rPr>
            </w:pPr>
          </w:p>
        </w:tc>
        <w:tc>
          <w:tcPr>
            <w:tcW w:w="1065" w:type="dxa"/>
            <w:noWrap w:val="0"/>
            <w:vAlign w:val="top"/>
          </w:tcPr>
          <w:p w14:paraId="01C79BDB">
            <w:pPr>
              <w:jc w:val="center"/>
              <w:rPr>
                <w:rFonts w:hint="eastAsia" w:asciiTheme="minorEastAsia" w:hAnsiTheme="minorEastAsia" w:eastAsiaTheme="minorEastAsia" w:cstheme="minorEastAsia"/>
                <w:color w:val="auto"/>
                <w:sz w:val="24"/>
                <w:szCs w:val="24"/>
              </w:rPr>
            </w:pPr>
          </w:p>
        </w:tc>
      </w:tr>
    </w:tbl>
    <w:p w14:paraId="6DCFFCCD">
      <w:pPr>
        <w:spacing w:line="400" w:lineRule="exact"/>
        <w:rPr>
          <w:rFonts w:hint="eastAsia" w:ascii="宋体" w:hAnsi="宋体"/>
          <w:color w:val="auto"/>
          <w:sz w:val="24"/>
          <w:szCs w:val="24"/>
        </w:rPr>
      </w:pPr>
      <w:r>
        <w:rPr>
          <w:rFonts w:hint="eastAsia" w:ascii="宋体" w:hAnsi="宋体"/>
          <w:color w:val="auto"/>
          <w:sz w:val="24"/>
          <w:szCs w:val="24"/>
        </w:rPr>
        <w:t>合同及商务条款偏离表附件  证明</w:t>
      </w:r>
      <w:r>
        <w:rPr>
          <w:rFonts w:ascii="宋体" w:hAnsi="宋体"/>
          <w:color w:val="auto"/>
          <w:sz w:val="24"/>
          <w:szCs w:val="24"/>
        </w:rPr>
        <w:t>材料</w:t>
      </w:r>
      <w:r>
        <w:rPr>
          <w:rFonts w:hint="eastAsia" w:ascii="宋体" w:hAnsi="宋体"/>
          <w:color w:val="auto"/>
          <w:sz w:val="24"/>
          <w:szCs w:val="24"/>
        </w:rPr>
        <w:t>1，证明</w:t>
      </w:r>
      <w:r>
        <w:rPr>
          <w:rFonts w:ascii="宋体" w:hAnsi="宋体"/>
          <w:color w:val="auto"/>
          <w:sz w:val="24"/>
          <w:szCs w:val="24"/>
        </w:rPr>
        <w:t>材料</w:t>
      </w:r>
      <w:r>
        <w:rPr>
          <w:rFonts w:hint="eastAsia" w:ascii="宋体" w:hAnsi="宋体"/>
          <w:color w:val="auto"/>
          <w:sz w:val="24"/>
          <w:szCs w:val="24"/>
        </w:rPr>
        <w:t>2，</w:t>
      </w:r>
      <w:r>
        <w:rPr>
          <w:rFonts w:ascii="宋体" w:hAnsi="宋体"/>
          <w:color w:val="auto"/>
          <w:sz w:val="24"/>
          <w:szCs w:val="24"/>
        </w:rPr>
        <w:t>……</w:t>
      </w:r>
    </w:p>
    <w:p w14:paraId="4B2A5588">
      <w:pPr>
        <w:rPr>
          <w:rFonts w:hint="eastAsia" w:asciiTheme="minorEastAsia" w:hAnsiTheme="minorEastAsia" w:eastAsiaTheme="minorEastAsia" w:cstheme="minorEastAsia"/>
          <w:color w:val="auto"/>
          <w:sz w:val="24"/>
          <w:szCs w:val="24"/>
        </w:rPr>
      </w:pPr>
    </w:p>
    <w:p w14:paraId="6B60E05E">
      <w:pPr>
        <w:numPr>
          <w:ilvl w:val="0"/>
          <w:numId w:val="16"/>
        </w:num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行数不够，可自行添加。</w:t>
      </w:r>
    </w:p>
    <w:p w14:paraId="59365C35">
      <w:pPr>
        <w:numPr>
          <w:ilvl w:val="0"/>
          <w:numId w:val="16"/>
        </w:numPr>
        <w:spacing w:line="400" w:lineRule="exact"/>
        <w:rPr>
          <w:rFonts w:ascii="宋体" w:hAnsi="宋体"/>
          <w:color w:val="auto"/>
          <w:sz w:val="24"/>
          <w:szCs w:val="24"/>
        </w:rPr>
      </w:pPr>
      <w:r>
        <w:rPr>
          <w:rFonts w:hint="eastAsia" w:ascii="宋体" w:hAnsi="宋体" w:cs="宋体"/>
          <w:color w:val="auto"/>
          <w:sz w:val="24"/>
          <w:szCs w:val="24"/>
        </w:rPr>
        <w:t>投标人需对招标文件技术要求中非实质性要求（</w:t>
      </w:r>
      <w:r>
        <w:rPr>
          <w:rFonts w:hint="eastAsia" w:ascii="宋体" w:hAnsi="宋体" w:cs="宋体"/>
          <w:b/>
          <w:color w:val="auto"/>
          <w:sz w:val="24"/>
          <w:szCs w:val="24"/>
        </w:rPr>
        <w:t>未加*号条款</w:t>
      </w:r>
      <w:r>
        <w:rPr>
          <w:rFonts w:hint="eastAsia" w:ascii="宋体" w:hAnsi="宋体" w:cs="宋体"/>
          <w:color w:val="auto"/>
          <w:sz w:val="24"/>
          <w:szCs w:val="24"/>
        </w:rPr>
        <w:t>）</w:t>
      </w:r>
      <w:r>
        <w:rPr>
          <w:rFonts w:ascii="宋体" w:hAnsi="宋体"/>
          <w:color w:val="auto"/>
          <w:sz w:val="24"/>
          <w:szCs w:val="24"/>
        </w:rPr>
        <w:t>逐条做出明确响应</w:t>
      </w:r>
      <w:r>
        <w:rPr>
          <w:rFonts w:hint="eastAsia" w:ascii="宋体" w:hAnsi="宋体"/>
          <w:color w:val="auto"/>
          <w:sz w:val="24"/>
          <w:szCs w:val="24"/>
        </w:rPr>
        <w:t>。</w:t>
      </w:r>
    </w:p>
    <w:p w14:paraId="5DF7287E">
      <w:pPr>
        <w:spacing w:line="400" w:lineRule="exact"/>
        <w:rPr>
          <w:rFonts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.如果招标</w:t>
      </w:r>
      <w:r>
        <w:rPr>
          <w:rFonts w:ascii="宋体" w:hAnsi="宋体"/>
          <w:color w:val="auto"/>
          <w:sz w:val="24"/>
          <w:szCs w:val="24"/>
        </w:rPr>
        <w:t>文件要求提供</w:t>
      </w:r>
      <w:r>
        <w:rPr>
          <w:rFonts w:hint="eastAsia" w:ascii="宋体" w:hAnsi="宋体"/>
          <w:color w:val="auto"/>
          <w:sz w:val="24"/>
          <w:szCs w:val="24"/>
        </w:rPr>
        <w:t>证明</w:t>
      </w:r>
      <w:r>
        <w:rPr>
          <w:rFonts w:ascii="宋体" w:hAnsi="宋体"/>
          <w:color w:val="auto"/>
          <w:sz w:val="24"/>
          <w:szCs w:val="24"/>
        </w:rPr>
        <w:t>材料，投标人</w:t>
      </w:r>
      <w:r>
        <w:rPr>
          <w:rFonts w:hint="eastAsia" w:ascii="宋体" w:hAnsi="宋体"/>
          <w:color w:val="auto"/>
          <w:sz w:val="24"/>
          <w:szCs w:val="24"/>
        </w:rPr>
        <w:t>需</w:t>
      </w:r>
      <w:r>
        <w:rPr>
          <w:rFonts w:ascii="宋体" w:hAnsi="宋体"/>
          <w:color w:val="auto"/>
          <w:sz w:val="24"/>
          <w:szCs w:val="24"/>
        </w:rPr>
        <w:t>将证明材料</w:t>
      </w:r>
      <w:r>
        <w:rPr>
          <w:rFonts w:hint="eastAsia" w:ascii="宋体" w:hAnsi="宋体"/>
          <w:color w:val="auto"/>
          <w:sz w:val="24"/>
          <w:szCs w:val="24"/>
        </w:rPr>
        <w:t>列于</w:t>
      </w:r>
      <w:r>
        <w:rPr>
          <w:rFonts w:ascii="宋体" w:hAnsi="宋体"/>
          <w:color w:val="auto"/>
          <w:sz w:val="24"/>
          <w:szCs w:val="24"/>
        </w:rPr>
        <w:t>该表之下。</w:t>
      </w:r>
    </w:p>
    <w:p w14:paraId="36423E49">
      <w:pPr>
        <w:spacing w:line="480" w:lineRule="auto"/>
        <w:rPr>
          <w:rFonts w:hint="eastAsia" w:asciiTheme="minorEastAsia" w:hAnsiTheme="minorEastAsia" w:eastAsiaTheme="minorEastAsia" w:cstheme="minorEastAsia"/>
          <w:color w:val="auto"/>
          <w:sz w:val="24"/>
        </w:rPr>
      </w:pPr>
    </w:p>
    <w:p w14:paraId="7C5EE258">
      <w:pPr>
        <w:spacing w:line="480" w:lineRule="auto"/>
        <w:rPr>
          <w:rFonts w:hint="eastAsia" w:asciiTheme="minorEastAsia" w:hAnsiTheme="minorEastAsia" w:eastAsiaTheme="minorEastAsia" w:cstheme="minorEastAsia"/>
          <w:color w:val="auto"/>
          <w:sz w:val="30"/>
        </w:rPr>
      </w:pPr>
    </w:p>
    <w:p w14:paraId="56759FC1">
      <w:pPr>
        <w:pStyle w:val="198"/>
        <w:ind w:firstLine="0"/>
        <w:rPr>
          <w:rFonts w:hint="eastAsia" w:asciiTheme="minorEastAsia" w:hAnsiTheme="minorEastAsia" w:eastAsiaTheme="minorEastAsia" w:cstheme="minorEastAsia"/>
          <w:color w:val="auto"/>
          <w:sz w:val="24"/>
        </w:rPr>
      </w:pPr>
      <w:bookmarkStart w:id="221" w:name="_Hlt26955066"/>
      <w:bookmarkEnd w:id="221"/>
      <w:bookmarkStart w:id="222" w:name="_Hlt26609389"/>
      <w:bookmarkEnd w:id="222"/>
      <w:bookmarkStart w:id="223" w:name="_Hlt26671374"/>
      <w:bookmarkEnd w:id="223"/>
      <w:bookmarkStart w:id="224" w:name="_Toc462564146"/>
    </w:p>
    <w:bookmarkEnd w:id="198"/>
    <w:bookmarkEnd w:id="199"/>
    <w:bookmarkEnd w:id="224"/>
    <w:p w14:paraId="50C64BD2">
      <w:pPr>
        <w:jc w:val="center"/>
        <w:rPr>
          <w:rFonts w:hint="eastAsia" w:asciiTheme="minorEastAsia" w:hAnsiTheme="minorEastAsia" w:eastAsiaTheme="minorEastAsia" w:cstheme="minorEastAsia"/>
          <w:b/>
          <w:color w:val="auto"/>
          <w:sz w:val="32"/>
          <w:szCs w:val="32"/>
        </w:rPr>
      </w:pPr>
      <w:bookmarkStart w:id="225" w:name="_格式2__法定代表人授权书"/>
      <w:bookmarkEnd w:id="225"/>
    </w:p>
    <w:p w14:paraId="0A6C06E1">
      <w:pPr>
        <w:jc w:val="center"/>
        <w:rPr>
          <w:rFonts w:hint="eastAsia" w:asciiTheme="minorEastAsia" w:hAnsiTheme="minorEastAsia" w:eastAsiaTheme="minorEastAsia" w:cstheme="minorEastAsia"/>
          <w:b/>
          <w:color w:val="auto"/>
          <w:sz w:val="32"/>
          <w:szCs w:val="32"/>
        </w:rPr>
      </w:pPr>
    </w:p>
    <w:p w14:paraId="63064986">
      <w:pPr>
        <w:rPr>
          <w:rFonts w:hint="eastAsia" w:asciiTheme="minorEastAsia" w:hAnsiTheme="minorEastAsia" w:eastAsiaTheme="minorEastAsia" w:cstheme="minorEastAsia"/>
          <w:b/>
          <w:color w:val="auto"/>
          <w:sz w:val="32"/>
          <w:szCs w:val="32"/>
        </w:rPr>
      </w:pPr>
    </w:p>
    <w:p w14:paraId="134FBDC8">
      <w:pPr>
        <w:rPr>
          <w:rFonts w:hint="eastAsia" w:asciiTheme="minorEastAsia" w:hAnsiTheme="minorEastAsia" w:eastAsiaTheme="minorEastAsia" w:cstheme="minorEastAsia"/>
          <w:b/>
          <w:bCs/>
          <w:color w:val="auto"/>
          <w:sz w:val="32"/>
          <w:szCs w:val="32"/>
        </w:rPr>
      </w:pPr>
    </w:p>
    <w:p w14:paraId="5093813E">
      <w:pPr>
        <w:rPr>
          <w:rFonts w:hint="eastAsia" w:asciiTheme="minorEastAsia" w:hAnsiTheme="minorEastAsia" w:eastAsiaTheme="minorEastAsia" w:cstheme="minorEastAsia"/>
          <w:b/>
          <w:color w:val="auto"/>
          <w:sz w:val="32"/>
          <w:szCs w:val="32"/>
        </w:rPr>
      </w:pPr>
    </w:p>
    <w:p w14:paraId="6451F652">
      <w:pPr>
        <w:rPr>
          <w:rFonts w:hint="eastAsia" w:asciiTheme="minorEastAsia" w:hAnsiTheme="minorEastAsia" w:eastAsiaTheme="minorEastAsia" w:cstheme="minorEastAsia"/>
          <w:b/>
          <w:color w:val="auto"/>
          <w:sz w:val="32"/>
          <w:szCs w:val="32"/>
        </w:rPr>
      </w:pPr>
    </w:p>
    <w:p w14:paraId="71427886">
      <w:pPr>
        <w:jc w:val="center"/>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b/>
          <w:i/>
          <w:color w:val="auto"/>
          <w:sz w:val="32"/>
          <w:szCs w:val="32"/>
          <w:u w:val="single"/>
        </w:rPr>
        <w:t>十</w:t>
      </w:r>
      <w:r>
        <w:rPr>
          <w:rFonts w:hint="eastAsia" w:asciiTheme="minorEastAsia" w:hAnsiTheme="minorEastAsia" w:eastAsiaTheme="minorEastAsia" w:cstheme="minorEastAsia"/>
          <w:b/>
          <w:i/>
          <w:color w:val="auto"/>
          <w:sz w:val="32"/>
          <w:szCs w:val="32"/>
          <w:u w:val="single"/>
          <w:lang w:val="en-US" w:eastAsia="zh-CN"/>
        </w:rPr>
        <w:t>三</w:t>
      </w:r>
      <w:r>
        <w:rPr>
          <w:rFonts w:hint="eastAsia" w:asciiTheme="minorEastAsia" w:hAnsiTheme="minorEastAsia" w:eastAsiaTheme="minorEastAsia" w:cstheme="minorEastAsia"/>
          <w:b/>
          <w:i/>
          <w:color w:val="auto"/>
          <w:sz w:val="32"/>
          <w:szCs w:val="32"/>
          <w:u w:val="single"/>
        </w:rPr>
        <w:t>、开标一览表</w:t>
      </w:r>
    </w:p>
    <w:p w14:paraId="6B7394D3">
      <w:pPr>
        <w:ind w:firstLine="480"/>
        <w:rPr>
          <w:rFonts w:hint="eastAsia" w:asciiTheme="minorEastAsia" w:hAnsiTheme="minorEastAsia" w:eastAsiaTheme="minorEastAsia" w:cstheme="minorEastAsia"/>
          <w:color w:val="auto"/>
          <w:sz w:val="24"/>
          <w:szCs w:val="24"/>
        </w:rPr>
      </w:pPr>
    </w:p>
    <w:p w14:paraId="4E8405A4">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投标人全称（加盖CA电子签章）：</w:t>
      </w:r>
    </w:p>
    <w:p w14:paraId="65B0E45A">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p w14:paraId="194D589C">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招标编号：                                   分包号：</w:t>
      </w:r>
    </w:p>
    <w:tbl>
      <w:tblPr>
        <w:tblStyle w:val="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1620D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73C85713">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投标总报价</w:t>
            </w:r>
          </w:p>
        </w:tc>
      </w:tr>
      <w:tr w14:paraId="52B02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181B8035">
            <w:pPr>
              <w:spacing w:line="360" w:lineRule="auto"/>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小写：                             （人民币：元）</w:t>
            </w:r>
          </w:p>
        </w:tc>
      </w:tr>
      <w:tr w14:paraId="32558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22FD2394">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核心产品品牌</w:t>
            </w:r>
          </w:p>
        </w:tc>
        <w:tc>
          <w:tcPr>
            <w:tcW w:w="6405" w:type="dxa"/>
            <w:noWrap w:val="0"/>
            <w:vAlign w:val="center"/>
          </w:tcPr>
          <w:p w14:paraId="693E7F98">
            <w:pPr>
              <w:spacing w:line="360" w:lineRule="auto"/>
              <w:jc w:val="left"/>
              <w:rPr>
                <w:rFonts w:hint="eastAsia" w:asciiTheme="minorEastAsia" w:hAnsiTheme="minorEastAsia" w:eastAsiaTheme="minorEastAsia" w:cstheme="minorEastAsia"/>
                <w:color w:val="auto"/>
                <w:sz w:val="24"/>
                <w:szCs w:val="24"/>
              </w:rPr>
            </w:pPr>
          </w:p>
        </w:tc>
      </w:tr>
    </w:tbl>
    <w:p w14:paraId="1D5FAAD5">
      <w:pPr>
        <w:spacing w:line="360" w:lineRule="auto"/>
        <w:rPr>
          <w:rFonts w:hint="eastAsia" w:asciiTheme="minorEastAsia" w:hAnsiTheme="minorEastAsia" w:eastAsiaTheme="minorEastAsia" w:cstheme="minorEastAsia"/>
          <w:color w:val="auto"/>
          <w:sz w:val="24"/>
          <w:szCs w:val="24"/>
        </w:rPr>
      </w:pPr>
    </w:p>
    <w:p w14:paraId="6BAE07B7">
      <w:pPr>
        <w:spacing w:line="360" w:lineRule="auto"/>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日</w:t>
      </w:r>
    </w:p>
    <w:p w14:paraId="0E1C600E">
      <w:pPr>
        <w:rPr>
          <w:rFonts w:hint="eastAsia" w:asciiTheme="minorEastAsia" w:hAnsiTheme="minorEastAsia" w:eastAsiaTheme="minorEastAsia" w:cstheme="minorEastAsia"/>
          <w:b/>
          <w:color w:val="auto"/>
          <w:sz w:val="32"/>
          <w:szCs w:val="32"/>
        </w:rPr>
      </w:pPr>
    </w:p>
    <w:p w14:paraId="709329D2">
      <w:pPr>
        <w:jc w:val="center"/>
        <w:rPr>
          <w:rFonts w:hint="eastAsia" w:asciiTheme="minorEastAsia" w:hAnsiTheme="minorEastAsia" w:eastAsiaTheme="minorEastAsia" w:cstheme="minorEastAsia"/>
          <w:b/>
          <w:bCs/>
          <w:color w:val="auto"/>
          <w:sz w:val="32"/>
          <w:szCs w:val="32"/>
        </w:rPr>
      </w:pPr>
    </w:p>
    <w:p w14:paraId="5D73C649">
      <w:pPr>
        <w:jc w:val="center"/>
        <w:rPr>
          <w:rFonts w:hint="eastAsia" w:asciiTheme="minorEastAsia" w:hAnsiTheme="minorEastAsia" w:eastAsiaTheme="minorEastAsia" w:cstheme="minorEastAsia"/>
          <w:b/>
          <w:bCs/>
          <w:color w:val="auto"/>
          <w:sz w:val="32"/>
          <w:szCs w:val="32"/>
        </w:rPr>
      </w:pPr>
    </w:p>
    <w:p w14:paraId="47B282C7">
      <w:pPr>
        <w:jc w:val="center"/>
        <w:rPr>
          <w:rFonts w:hint="eastAsia" w:asciiTheme="minorEastAsia" w:hAnsiTheme="minorEastAsia" w:eastAsiaTheme="minorEastAsia" w:cstheme="minorEastAsia"/>
          <w:b/>
          <w:bCs/>
          <w:color w:val="auto"/>
          <w:sz w:val="32"/>
          <w:szCs w:val="32"/>
        </w:rPr>
      </w:pPr>
    </w:p>
    <w:p w14:paraId="10A6B15D">
      <w:pPr>
        <w:jc w:val="center"/>
        <w:rPr>
          <w:rFonts w:hint="eastAsia" w:asciiTheme="minorEastAsia" w:hAnsiTheme="minorEastAsia" w:eastAsiaTheme="minorEastAsia" w:cstheme="minorEastAsia"/>
          <w:b/>
          <w:bCs/>
          <w:color w:val="auto"/>
          <w:sz w:val="32"/>
          <w:szCs w:val="32"/>
        </w:rPr>
      </w:pPr>
    </w:p>
    <w:p w14:paraId="11DB6028">
      <w:pPr>
        <w:jc w:val="center"/>
        <w:rPr>
          <w:rFonts w:hint="eastAsia" w:asciiTheme="minorEastAsia" w:hAnsiTheme="minorEastAsia" w:eastAsiaTheme="minorEastAsia" w:cstheme="minorEastAsia"/>
          <w:b/>
          <w:bCs/>
          <w:color w:val="auto"/>
          <w:sz w:val="32"/>
          <w:szCs w:val="32"/>
        </w:rPr>
      </w:pPr>
    </w:p>
    <w:p w14:paraId="2008A287">
      <w:pPr>
        <w:jc w:val="center"/>
        <w:rPr>
          <w:rFonts w:hint="eastAsia" w:asciiTheme="minorEastAsia" w:hAnsiTheme="minorEastAsia" w:eastAsiaTheme="minorEastAsia" w:cstheme="minorEastAsia"/>
          <w:b/>
          <w:bCs/>
          <w:color w:val="auto"/>
          <w:sz w:val="32"/>
          <w:szCs w:val="32"/>
        </w:rPr>
      </w:pPr>
    </w:p>
    <w:p w14:paraId="0DCBE959">
      <w:pPr>
        <w:jc w:val="center"/>
        <w:rPr>
          <w:rFonts w:hint="eastAsia" w:asciiTheme="minorEastAsia" w:hAnsiTheme="minorEastAsia" w:eastAsiaTheme="minorEastAsia" w:cstheme="minorEastAsia"/>
          <w:b/>
          <w:bCs/>
          <w:color w:val="auto"/>
          <w:sz w:val="32"/>
          <w:szCs w:val="32"/>
        </w:rPr>
      </w:pPr>
    </w:p>
    <w:p w14:paraId="17D236B6">
      <w:pPr>
        <w:jc w:val="center"/>
        <w:rPr>
          <w:rFonts w:hint="eastAsia" w:asciiTheme="minorEastAsia" w:hAnsiTheme="minorEastAsia" w:eastAsiaTheme="minorEastAsia" w:cstheme="minorEastAsia"/>
          <w:b/>
          <w:bCs/>
          <w:color w:val="auto"/>
          <w:sz w:val="32"/>
          <w:szCs w:val="32"/>
        </w:rPr>
      </w:pPr>
    </w:p>
    <w:p w14:paraId="3F3ED8D1">
      <w:pPr>
        <w:jc w:val="center"/>
        <w:rPr>
          <w:rFonts w:hint="eastAsia" w:asciiTheme="minorEastAsia" w:hAnsiTheme="minorEastAsia" w:eastAsiaTheme="minorEastAsia" w:cstheme="minorEastAsia"/>
          <w:b/>
          <w:bCs/>
          <w:color w:val="auto"/>
          <w:sz w:val="32"/>
          <w:szCs w:val="32"/>
        </w:rPr>
      </w:pPr>
    </w:p>
    <w:p w14:paraId="3A833B9D">
      <w:pPr>
        <w:jc w:val="center"/>
        <w:rPr>
          <w:rFonts w:hint="eastAsia" w:asciiTheme="minorEastAsia" w:hAnsiTheme="minorEastAsia" w:eastAsiaTheme="minorEastAsia" w:cstheme="minorEastAsia"/>
          <w:b/>
          <w:bCs/>
          <w:color w:val="auto"/>
          <w:sz w:val="32"/>
          <w:szCs w:val="32"/>
        </w:rPr>
      </w:pPr>
    </w:p>
    <w:p w14:paraId="233F2A96">
      <w:pPr>
        <w:jc w:val="center"/>
        <w:rPr>
          <w:rFonts w:hint="eastAsia" w:asciiTheme="minorEastAsia" w:hAnsiTheme="minorEastAsia" w:eastAsiaTheme="minorEastAsia" w:cstheme="minorEastAsia"/>
          <w:b/>
          <w:bCs/>
          <w:color w:val="auto"/>
          <w:sz w:val="32"/>
          <w:szCs w:val="32"/>
        </w:rPr>
      </w:pPr>
    </w:p>
    <w:p w14:paraId="21302BDE">
      <w:pPr>
        <w:jc w:val="center"/>
        <w:rPr>
          <w:rFonts w:hint="eastAsia" w:asciiTheme="minorEastAsia" w:hAnsiTheme="minorEastAsia" w:eastAsiaTheme="minorEastAsia" w:cstheme="minorEastAsia"/>
          <w:b/>
          <w:bCs/>
          <w:color w:val="auto"/>
          <w:sz w:val="32"/>
          <w:szCs w:val="32"/>
        </w:rPr>
      </w:pPr>
    </w:p>
    <w:p w14:paraId="48204C3D">
      <w:pPr>
        <w:jc w:val="center"/>
        <w:rPr>
          <w:rFonts w:hint="eastAsia" w:asciiTheme="minorEastAsia" w:hAnsiTheme="minorEastAsia" w:eastAsiaTheme="minorEastAsia" w:cstheme="minorEastAsia"/>
          <w:b/>
          <w:bCs/>
          <w:color w:val="auto"/>
          <w:sz w:val="32"/>
          <w:szCs w:val="32"/>
        </w:rPr>
      </w:pPr>
    </w:p>
    <w:p w14:paraId="18020C24">
      <w:pPr>
        <w:jc w:val="center"/>
        <w:rPr>
          <w:rFonts w:hint="eastAsia" w:asciiTheme="minorEastAsia" w:hAnsiTheme="minorEastAsia" w:eastAsiaTheme="minorEastAsia" w:cstheme="minorEastAsia"/>
          <w:b/>
          <w:bCs/>
          <w:color w:val="auto"/>
          <w:sz w:val="32"/>
          <w:szCs w:val="32"/>
        </w:rPr>
      </w:pPr>
    </w:p>
    <w:p w14:paraId="6E7F0DDA">
      <w:pPr>
        <w:jc w:val="center"/>
        <w:rPr>
          <w:rFonts w:hint="eastAsia" w:asciiTheme="minorEastAsia" w:hAnsiTheme="minorEastAsia" w:eastAsiaTheme="minorEastAsia" w:cstheme="minorEastAsia"/>
          <w:b/>
          <w:bCs/>
          <w:color w:val="auto"/>
          <w:sz w:val="32"/>
          <w:szCs w:val="32"/>
        </w:rPr>
      </w:pPr>
    </w:p>
    <w:p w14:paraId="22BB5E05">
      <w:pPr>
        <w:jc w:val="center"/>
        <w:rPr>
          <w:rFonts w:hint="eastAsia" w:asciiTheme="minorEastAsia" w:hAnsiTheme="minorEastAsia" w:eastAsiaTheme="minorEastAsia" w:cstheme="minorEastAsia"/>
          <w:b/>
          <w:bCs/>
          <w:color w:val="auto"/>
          <w:sz w:val="32"/>
          <w:szCs w:val="32"/>
        </w:rPr>
      </w:pPr>
    </w:p>
    <w:p w14:paraId="4F8B8E1A">
      <w:pPr>
        <w:jc w:val="center"/>
        <w:rPr>
          <w:rFonts w:hint="eastAsia" w:asciiTheme="minorEastAsia" w:hAnsiTheme="minorEastAsia" w:eastAsiaTheme="minorEastAsia" w:cstheme="minorEastAsia"/>
          <w:b/>
          <w:bCs/>
          <w:color w:val="auto"/>
          <w:sz w:val="32"/>
          <w:szCs w:val="32"/>
        </w:rPr>
      </w:pPr>
    </w:p>
    <w:p w14:paraId="6436D40A">
      <w:pPr>
        <w:jc w:val="center"/>
        <w:rPr>
          <w:rFonts w:hint="eastAsia" w:asciiTheme="minorEastAsia" w:hAnsiTheme="minorEastAsia" w:eastAsiaTheme="minorEastAsia" w:cstheme="minorEastAsia"/>
          <w:b/>
          <w:bCs/>
          <w:color w:val="auto"/>
          <w:sz w:val="32"/>
          <w:szCs w:val="32"/>
        </w:rPr>
      </w:pPr>
    </w:p>
    <w:p w14:paraId="1287C015">
      <w:pPr>
        <w:spacing w:line="460" w:lineRule="exact"/>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十四、投标人关于检测报告合规性的承诺函（实质性格式）</w:t>
      </w:r>
    </w:p>
    <w:p w14:paraId="2A6A84B8">
      <w:pPr>
        <w:numPr>
          <w:ilvl w:val="0"/>
          <w:numId w:val="0"/>
        </w:numPr>
        <w:spacing w:line="360" w:lineRule="auto"/>
        <w:ind w:leftChars="0" w:firstLine="42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7564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6" name="矩形 6"/>
                <wp:cNvGraphicFramePr/>
                <a:graphic xmlns:a="http://schemas.openxmlformats.org/drawingml/2006/main">
                  <a:graphicData uri="http://schemas.microsoft.com/office/word/2010/wordprocessingShape">
                    <wps:wsp>
                      <wps:cNvSpPr/>
                      <wps:spPr>
                        <a:xfrm>
                          <a:off x="0" y="0"/>
                          <a:ext cx="38100" cy="222885"/>
                        </a:xfrm>
                        <a:prstGeom prst="rect">
                          <a:avLst/>
                        </a:prstGeom>
                        <a:solidFill>
                          <a:srgbClr val="DDDDDD"/>
                        </a:solidFill>
                        <a:ln>
                          <a:noFill/>
                        </a:ln>
                      </wps:spPr>
                      <wps:bodyPr upright="1"/>
                    </wps:wsp>
                  </a:graphicData>
                </a:graphic>
              </wp:anchor>
            </w:drawing>
          </mc:Choice>
          <mc:Fallback>
            <w:pict>
              <v:rect id="_x0000_s1026" o:spid="_x0000_s1026" o:spt="1" style="position:absolute;left:0pt;margin-left:42pt;margin-top:11.1pt;height:17.55pt;width:3pt;mso-position-horizontal-relative:page;z-index:251675648;mso-width-relative:page;mso-height-relative:page;" fillcolor="#DDDDDD" filled="t" stroked="f" coordsize="21600,21600" o:gfxdata="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La/KTY&#10;AAAABwEAAA8AAAAAAAAAAQAgAAAAIgAAAGRycy9kb3ducmV2LnhtbFBLAQIUABQAAAAIAIdO4kDE&#10;GrgurgEAAF0DAAAOAAAAAAAAAAEAIAAAACcBAABkcnMvZTJvRG9jLnhtbFBLBQYAAAAABgAGAFkB&#10;AABHBQAAAAA=&#10;">
                <v:fill on="t" focussize="0,0"/>
                <v:stroke on="f"/>
                <v:imagedata o:title=""/>
                <o:lock v:ext="edit" aspectratio="f"/>
              </v:rect>
            </w:pict>
          </mc:Fallback>
        </mc:AlternateContent>
      </w:r>
      <w:r>
        <w:rPr>
          <w:rFonts w:hint="eastAsia" w:asciiTheme="minorEastAsia" w:hAnsiTheme="minorEastAsia" w:eastAsiaTheme="minorEastAsia" w:cstheme="minorEastAsia"/>
          <w:color w:val="auto"/>
          <w:sz w:val="24"/>
          <w:szCs w:val="24"/>
          <w:highlight w:val="none"/>
        </w:rPr>
        <w:t>（本承诺书须加盖投标人公章，随投标文件一并提交）</w:t>
      </w:r>
    </w:p>
    <w:p w14:paraId="4D8E6C04">
      <w:pPr>
        <w:pStyle w:val="6"/>
        <w:spacing w:before="17"/>
        <w:rPr>
          <w:rFonts w:hint="eastAsia" w:asciiTheme="minorEastAsia" w:hAnsiTheme="minorEastAsia" w:eastAsiaTheme="minorEastAsia" w:cstheme="minorEastAsia"/>
          <w:b/>
          <w:color w:val="auto"/>
          <w:sz w:val="10"/>
        </w:rPr>
      </w:pPr>
    </w:p>
    <w:p w14:paraId="5C8E7029">
      <w:pPr>
        <w:keepNext w:val="0"/>
        <w:keepLines w:val="0"/>
        <w:pageBreakBefore w:val="0"/>
        <w:widowControl w:val="0"/>
        <w:kinsoku/>
        <w:wordWrap/>
        <w:overflowPunct/>
        <w:topLinePunct w:val="0"/>
        <w:autoSpaceDE/>
        <w:autoSpaceDN/>
        <w:bidi w:val="0"/>
        <w:adjustRightInd/>
        <w:snapToGrid/>
        <w:spacing w:before="201" w:line="400" w:lineRule="exact"/>
        <w:ind w:left="100" w:right="0" w:firstLine="0"/>
        <w:jc w:val="center"/>
        <w:textAlignment w:val="auto"/>
        <w:rPr>
          <w:rFonts w:hint="eastAsia" w:asciiTheme="minorEastAsia" w:hAnsiTheme="minorEastAsia" w:eastAsiaTheme="minorEastAsia" w:cstheme="minorEastAsia"/>
          <w:b/>
          <w:color w:val="auto"/>
          <w:sz w:val="24"/>
          <w:szCs w:val="24"/>
          <w:lang w:val="en-US" w:eastAsia="zh-CN"/>
        </w:rPr>
      </w:pPr>
      <w:bookmarkStart w:id="226" w:name="投标人关于检测报告合规性的承诺书"/>
      <w:bookmarkEnd w:id="226"/>
      <w:r>
        <w:rPr>
          <w:rFonts w:hint="eastAsia" w:asciiTheme="minorEastAsia" w:hAnsiTheme="minorEastAsia" w:eastAsiaTheme="minorEastAsia" w:cstheme="minorEastAsia"/>
          <w:b/>
          <w:color w:val="auto"/>
          <w:sz w:val="24"/>
          <w:szCs w:val="24"/>
        </w:rPr>
        <w:t>投标人关于检测报告合规性的承诺</w:t>
      </w:r>
      <w:r>
        <w:rPr>
          <w:rFonts w:hint="eastAsia" w:asciiTheme="minorEastAsia" w:hAnsiTheme="minorEastAsia" w:eastAsiaTheme="minorEastAsia" w:cstheme="minorEastAsia"/>
          <w:b/>
          <w:color w:val="auto"/>
          <w:sz w:val="24"/>
          <w:szCs w:val="24"/>
          <w:lang w:val="en-US" w:eastAsia="zh-CN"/>
        </w:rPr>
        <w:t>函</w:t>
      </w:r>
    </w:p>
    <w:p w14:paraId="462A83CE">
      <w:pPr>
        <w:pStyle w:val="6"/>
        <w:keepNext w:val="0"/>
        <w:keepLines w:val="0"/>
        <w:pageBreakBefore w:val="0"/>
        <w:widowControl w:val="0"/>
        <w:tabs>
          <w:tab w:val="left" w:pos="1888"/>
          <w:tab w:val="clear" w:pos="567"/>
        </w:tabs>
        <w:kinsoku/>
        <w:wordWrap/>
        <w:overflowPunct/>
        <w:topLinePunct w:val="0"/>
        <w:autoSpaceDE/>
        <w:autoSpaceDN/>
        <w:bidi w:val="0"/>
        <w:adjustRightInd/>
        <w:snapToGrid/>
        <w:spacing w:before="116" w:line="400" w:lineRule="exact"/>
        <w:ind w:left="100"/>
        <w:textAlignment w:val="auto"/>
        <w:rPr>
          <w:rFonts w:hint="eastAsia" w:asciiTheme="minorEastAsia" w:hAnsiTheme="minorEastAsia" w:eastAsiaTheme="minorEastAsia" w:cstheme="minorEastAsia"/>
          <w:color w:val="auto"/>
          <w:w w:val="105"/>
          <w:sz w:val="24"/>
          <w:szCs w:val="24"/>
        </w:rPr>
      </w:pPr>
      <w:r>
        <w:rPr>
          <w:rFonts w:hint="eastAsia" w:asciiTheme="minorEastAsia" w:hAnsiTheme="minorEastAsia" w:eastAsiaTheme="minorEastAsia" w:cstheme="minorEastAsia"/>
          <w:color w:val="auto"/>
          <w:w w:val="105"/>
          <w:sz w:val="24"/>
          <w:szCs w:val="24"/>
        </w:rPr>
        <w:t>致：</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w w:val="105"/>
          <w:sz w:val="24"/>
          <w:szCs w:val="24"/>
        </w:rPr>
        <w:t>（采购人/采购代理机构）</w:t>
      </w:r>
    </w:p>
    <w:p w14:paraId="60C94562">
      <w:pPr>
        <w:pStyle w:val="6"/>
        <w:keepNext w:val="0"/>
        <w:keepLines w:val="0"/>
        <w:pageBreakBefore w:val="0"/>
        <w:widowControl w:val="0"/>
        <w:tabs>
          <w:tab w:val="left" w:pos="1888"/>
          <w:tab w:val="clear" w:pos="567"/>
        </w:tabs>
        <w:kinsoku/>
        <w:wordWrap/>
        <w:overflowPunct/>
        <w:topLinePunct w:val="0"/>
        <w:autoSpaceDE/>
        <w:autoSpaceDN/>
        <w:bidi w:val="0"/>
        <w:adjustRightInd/>
        <w:snapToGrid/>
        <w:spacing w:before="116" w:line="400" w:lineRule="exact"/>
        <w:ind w:left="100" w:firstLine="504"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我单位（投标人全称：</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lang w:val="en-US" w:eastAsia="zh-CN"/>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w w:val="105"/>
          <w:sz w:val="24"/>
          <w:szCs w:val="24"/>
        </w:rPr>
        <w:t>，统一社会信用代码：</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lang w:val="en-US" w:eastAsia="zh-CN"/>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w w:val="105"/>
          <w:sz w:val="24"/>
          <w:szCs w:val="24"/>
        </w:rPr>
        <w:t>）就参与贵单位组织的“</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w w:val="105"/>
          <w:sz w:val="24"/>
          <w:szCs w:val="24"/>
        </w:rPr>
        <w:t>”项目（项目编号：</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sz w:val="24"/>
          <w:szCs w:val="24"/>
        </w:rPr>
        <w:t>）投标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，现就所提交的检测报告及相关证明材料郑重承诺</w:t>
      </w:r>
      <w:r>
        <w:rPr>
          <w:rFonts w:hint="eastAsia" w:asciiTheme="minorEastAsia" w:hAnsiTheme="minorEastAsia" w:eastAsiaTheme="minorEastAsia" w:cstheme="minorEastAsia"/>
          <w:color w:val="auto"/>
          <w:spacing w:val="-17"/>
          <w:sz w:val="24"/>
          <w:szCs w:val="24"/>
        </w:rPr>
        <w:t>如</w:t>
      </w:r>
      <w:r>
        <w:rPr>
          <w:rFonts w:hint="eastAsia" w:asciiTheme="minorEastAsia" w:hAnsiTheme="minorEastAsia" w:eastAsiaTheme="minorEastAsia" w:cstheme="minorEastAsia"/>
          <w:color w:val="auto"/>
          <w:w w:val="105"/>
          <w:sz w:val="24"/>
          <w:szCs w:val="24"/>
        </w:rPr>
        <w:t>下：</w:t>
      </w:r>
    </w:p>
    <w:p w14:paraId="633198D7">
      <w:pPr>
        <w:pStyle w:val="3"/>
        <w:keepNext w:val="0"/>
        <w:keepLines w:val="0"/>
        <w:pageBreakBefore w:val="0"/>
        <w:widowControl w:val="0"/>
        <w:numPr>
          <w:ilvl w:val="0"/>
          <w:numId w:val="17"/>
        </w:numPr>
        <w:tabs>
          <w:tab w:val="left" w:pos="490"/>
        </w:tabs>
        <w:kinsoku/>
        <w:wordWrap/>
        <w:overflowPunct/>
        <w:topLinePunct w:val="0"/>
        <w:autoSpaceDE/>
        <w:autoSpaceDN/>
        <w:bidi w:val="0"/>
        <w:adjustRightInd/>
        <w:snapToGrid/>
        <w:spacing w:before="122" w:after="0" w:line="400" w:lineRule="exact"/>
        <w:ind w:left="490" w:right="0" w:hanging="27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检测报告真实性</w:t>
      </w:r>
    </w:p>
    <w:p w14:paraId="2F002D8B">
      <w:pPr>
        <w:pStyle w:val="6"/>
        <w:keepNext w:val="0"/>
        <w:keepLines w:val="0"/>
        <w:pageBreakBefore w:val="0"/>
        <w:widowControl w:val="0"/>
        <w:tabs>
          <w:tab w:val="left" w:pos="4483"/>
          <w:tab w:val="clear" w:pos="567"/>
        </w:tabs>
        <w:kinsoku/>
        <w:wordWrap/>
        <w:overflowPunct/>
        <w:topLinePunct w:val="0"/>
        <w:autoSpaceDE/>
        <w:autoSpaceDN/>
        <w:bidi w:val="0"/>
        <w:adjustRightInd/>
        <w:snapToGrid/>
        <w:spacing w:before="0" w:line="400" w:lineRule="exact"/>
        <w:ind w:right="180" w:firstLine="504"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我单位提交的检测报告（报告编号：</w:t>
      </w:r>
      <w:r>
        <w:rPr>
          <w:rFonts w:hint="eastAsia" w:asciiTheme="minorEastAsia" w:hAnsiTheme="minorEastAsia" w:eastAsiaTheme="minorEastAsia" w:cstheme="minorEastAsia"/>
          <w:color w:val="auto"/>
          <w:w w:val="105"/>
          <w:sz w:val="24"/>
          <w:szCs w:val="24"/>
          <w:u w:val="single"/>
        </w:rPr>
        <w:t xml:space="preserve"> </w:t>
      </w:r>
      <w:r>
        <w:rPr>
          <w:rFonts w:hint="eastAsia" w:asciiTheme="minorEastAsia" w:hAnsiTheme="minorEastAsia" w:eastAsiaTheme="minorEastAsia" w:cstheme="minorEastAsia"/>
          <w:color w:val="auto"/>
          <w:w w:val="105"/>
          <w:sz w:val="24"/>
          <w:szCs w:val="24"/>
          <w:u w:val="single"/>
        </w:rPr>
        <w:tab/>
      </w:r>
      <w:r>
        <w:rPr>
          <w:rFonts w:hint="eastAsia" w:asciiTheme="minorEastAsia" w:hAnsiTheme="minorEastAsia" w:eastAsiaTheme="minorEastAsia" w:cstheme="minorEastAsia"/>
          <w:color w:val="auto"/>
          <w:sz w:val="24"/>
          <w:szCs w:val="24"/>
        </w:rPr>
        <w:t>）系由具备有效CMA资质的检验检测机构依法出具，内容真实、完整</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w w:val="105"/>
          <w:sz w:val="24"/>
          <w:szCs w:val="24"/>
        </w:rPr>
        <w:t>未作任何篡改或伪造。</w:t>
      </w:r>
    </w:p>
    <w:p w14:paraId="298BA56D">
      <w:pPr>
        <w:pStyle w:val="3"/>
        <w:keepNext w:val="0"/>
        <w:keepLines w:val="0"/>
        <w:pageBreakBefore w:val="0"/>
        <w:widowControl w:val="0"/>
        <w:numPr>
          <w:ilvl w:val="0"/>
          <w:numId w:val="17"/>
        </w:numPr>
        <w:tabs>
          <w:tab w:val="left" w:pos="490"/>
        </w:tabs>
        <w:kinsoku/>
        <w:wordWrap/>
        <w:overflowPunct/>
        <w:topLinePunct w:val="0"/>
        <w:autoSpaceDE/>
        <w:autoSpaceDN/>
        <w:bidi w:val="0"/>
        <w:adjustRightInd/>
        <w:snapToGrid/>
        <w:spacing w:before="41" w:after="0" w:line="400" w:lineRule="exact"/>
        <w:ind w:left="490" w:right="0" w:hanging="27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检测机构资质有效性</w:t>
      </w:r>
    </w:p>
    <w:p w14:paraId="0F1AF132">
      <w:pPr>
        <w:pStyle w:val="6"/>
        <w:keepNext w:val="0"/>
        <w:keepLines w:val="0"/>
        <w:pageBreakBefore w:val="0"/>
        <w:widowControl w:val="0"/>
        <w:tabs>
          <w:tab w:val="left" w:pos="7739"/>
          <w:tab w:val="clear" w:pos="567"/>
        </w:tabs>
        <w:kinsoku/>
        <w:wordWrap/>
        <w:overflowPunct/>
        <w:topLinePunct w:val="0"/>
        <w:autoSpaceDE/>
        <w:autoSpaceDN/>
        <w:bidi w:val="0"/>
        <w:adjustRightInd/>
        <w:snapToGrid/>
        <w:spacing w:line="400" w:lineRule="exact"/>
        <w:ind w:right="308"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出具机构持有有效的《检验检测机构资质认定证书》（CMA证书编号：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），且所检项目、依据标准及</w:t>
      </w:r>
      <w:r>
        <w:rPr>
          <w:rFonts w:hint="eastAsia" w:asciiTheme="minorEastAsia" w:hAnsiTheme="minorEastAsia" w:eastAsiaTheme="minorEastAsia" w:cstheme="minorEastAsia"/>
          <w:color w:val="auto"/>
          <w:spacing w:val="-18"/>
          <w:sz w:val="24"/>
          <w:szCs w:val="24"/>
        </w:rPr>
        <w:t>方</w:t>
      </w:r>
      <w:r>
        <w:rPr>
          <w:rFonts w:hint="eastAsia" w:asciiTheme="minorEastAsia" w:hAnsiTheme="minorEastAsia" w:eastAsiaTheme="minorEastAsia" w:cstheme="minorEastAsia"/>
          <w:color w:val="auto"/>
          <w:w w:val="105"/>
          <w:sz w:val="24"/>
          <w:szCs w:val="24"/>
        </w:rPr>
        <w:t>法均在其《资质认定能力附表》核准范围内。</w:t>
      </w:r>
    </w:p>
    <w:p w14:paraId="699FDD57">
      <w:pPr>
        <w:pStyle w:val="3"/>
        <w:keepNext w:val="0"/>
        <w:keepLines w:val="0"/>
        <w:pageBreakBefore w:val="0"/>
        <w:widowControl w:val="0"/>
        <w:numPr>
          <w:ilvl w:val="0"/>
          <w:numId w:val="17"/>
        </w:numPr>
        <w:tabs>
          <w:tab w:val="left" w:pos="490"/>
        </w:tabs>
        <w:kinsoku/>
        <w:wordWrap/>
        <w:overflowPunct/>
        <w:topLinePunct w:val="0"/>
        <w:autoSpaceDE/>
        <w:autoSpaceDN/>
        <w:bidi w:val="0"/>
        <w:adjustRightInd/>
        <w:snapToGrid/>
        <w:spacing w:before="121" w:after="0" w:line="400" w:lineRule="exact"/>
        <w:ind w:left="490" w:right="0" w:hanging="277"/>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材料一致性</w:t>
      </w:r>
    </w:p>
    <w:p w14:paraId="625AAC21">
      <w:pPr>
        <w:pStyle w:val="6"/>
        <w:keepNext w:val="0"/>
        <w:keepLines w:val="0"/>
        <w:pageBreakBefore w:val="0"/>
        <w:widowControl w:val="0"/>
        <w:kinsoku/>
        <w:wordWrap/>
        <w:overflowPunct/>
        <w:topLinePunct w:val="0"/>
        <w:autoSpaceDE/>
        <w:autoSpaceDN/>
        <w:bidi w:val="0"/>
        <w:adjustRightInd/>
        <w:snapToGrid/>
        <w:spacing w:line="400" w:lineRule="exact"/>
        <w:ind w:firstLine="504"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所投产品品牌、型号、技术参数与检测报告完全一致。</w:t>
      </w:r>
    </w:p>
    <w:p w14:paraId="35617E57">
      <w:pPr>
        <w:pStyle w:val="3"/>
        <w:keepNext w:val="0"/>
        <w:keepLines w:val="0"/>
        <w:pageBreakBefore w:val="0"/>
        <w:widowControl w:val="0"/>
        <w:numPr>
          <w:ilvl w:val="0"/>
          <w:numId w:val="17"/>
        </w:numPr>
        <w:tabs>
          <w:tab w:val="left" w:pos="490"/>
        </w:tabs>
        <w:kinsoku/>
        <w:wordWrap/>
        <w:overflowPunct/>
        <w:topLinePunct w:val="0"/>
        <w:autoSpaceDE/>
        <w:autoSpaceDN/>
        <w:bidi w:val="0"/>
        <w:adjustRightInd/>
        <w:snapToGrid/>
        <w:spacing w:before="122" w:after="0" w:line="400" w:lineRule="exact"/>
        <w:ind w:left="490" w:right="0" w:hanging="277"/>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法律责任承担</w:t>
      </w:r>
    </w:p>
    <w:p w14:paraId="77AACF8D">
      <w:pPr>
        <w:pStyle w:val="6"/>
        <w:keepNext w:val="0"/>
        <w:keepLines w:val="0"/>
        <w:pageBreakBefore w:val="0"/>
        <w:widowControl w:val="0"/>
        <w:kinsoku/>
        <w:wordWrap/>
        <w:overflowPunct/>
        <w:topLinePunct w:val="0"/>
        <w:autoSpaceDE/>
        <w:autoSpaceDN/>
        <w:bidi w:val="0"/>
        <w:adjustRightInd/>
        <w:snapToGrid/>
        <w:spacing w:line="400" w:lineRule="exact"/>
        <w:ind w:firstLine="504"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如上述承诺不实，或经核查发现存在提供虚假材料谋取中标行为，我单位自愿接受以下处理：投标无效或中标无效；列入政府采购不良行为记录；承担由此造成的一切法律责任及经济损失。</w:t>
      </w:r>
    </w:p>
    <w:p w14:paraId="5D3627CD">
      <w:pPr>
        <w:pStyle w:val="6"/>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rPr>
      </w:pPr>
    </w:p>
    <w:p w14:paraId="4D1D744E">
      <w:pPr>
        <w:pStyle w:val="6"/>
        <w:keepNext w:val="0"/>
        <w:keepLines w:val="0"/>
        <w:pageBreakBefore w:val="0"/>
        <w:widowControl w:val="0"/>
        <w:kinsoku/>
        <w:wordWrap/>
        <w:overflowPunct/>
        <w:topLinePunct w:val="0"/>
        <w:autoSpaceDE/>
        <w:autoSpaceDN/>
        <w:bidi w:val="0"/>
        <w:adjustRightInd/>
        <w:snapToGrid/>
        <w:spacing w:before="56" w:line="400" w:lineRule="exact"/>
        <w:ind w:left="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w w:val="105"/>
          <w:sz w:val="24"/>
          <w:szCs w:val="24"/>
        </w:rPr>
        <w:t>本承诺</w:t>
      </w:r>
      <w:r>
        <w:rPr>
          <w:rFonts w:hint="eastAsia" w:asciiTheme="minorEastAsia" w:hAnsiTheme="minorEastAsia" w:eastAsiaTheme="minorEastAsia" w:cstheme="minorEastAsia"/>
          <w:color w:val="auto"/>
          <w:w w:val="105"/>
          <w:sz w:val="24"/>
          <w:szCs w:val="24"/>
          <w:lang w:val="en-US" w:eastAsia="zh-CN"/>
        </w:rPr>
        <w:t>函</w:t>
      </w:r>
      <w:r>
        <w:rPr>
          <w:rFonts w:hint="eastAsia" w:asciiTheme="minorEastAsia" w:hAnsiTheme="minorEastAsia" w:eastAsiaTheme="minorEastAsia" w:cstheme="minorEastAsia"/>
          <w:color w:val="auto"/>
          <w:w w:val="105"/>
          <w:sz w:val="24"/>
          <w:szCs w:val="24"/>
        </w:rPr>
        <w:t>自签署之日起生效，具有法律约束力。</w:t>
      </w:r>
    </w:p>
    <w:p w14:paraId="493610B0">
      <w:pPr>
        <w:pStyle w:val="6"/>
        <w:keepNext w:val="0"/>
        <w:keepLines w:val="0"/>
        <w:pageBreakBefore w:val="0"/>
        <w:widowControl w:val="0"/>
        <w:kinsoku/>
        <w:wordWrap/>
        <w:overflowPunct/>
        <w:topLinePunct w:val="0"/>
        <w:autoSpaceDE/>
        <w:autoSpaceDN/>
        <w:bidi w:val="0"/>
        <w:adjustRightInd/>
        <w:snapToGrid/>
        <w:spacing w:before="121" w:line="400" w:lineRule="exact"/>
        <w:ind w:left="100"/>
        <w:textAlignment w:val="auto"/>
        <w:rPr>
          <w:rFonts w:hint="eastAsia" w:asciiTheme="minorEastAsia" w:hAnsiTheme="minorEastAsia" w:eastAsiaTheme="minorEastAsia" w:cstheme="minorEastAsia"/>
          <w:color w:val="auto"/>
          <w:w w:val="105"/>
          <w:sz w:val="24"/>
          <w:szCs w:val="24"/>
        </w:rPr>
      </w:pPr>
      <w:r>
        <w:rPr>
          <w:rFonts w:hint="eastAsia" w:asciiTheme="minorEastAsia" w:hAnsiTheme="minorEastAsia" w:eastAsiaTheme="minorEastAsia" w:cstheme="minorEastAsia"/>
          <w:color w:val="auto"/>
          <w:w w:val="105"/>
          <w:sz w:val="24"/>
          <w:szCs w:val="24"/>
        </w:rPr>
        <w:t>投标人（盖章）：</w:t>
      </w:r>
    </w:p>
    <w:p w14:paraId="0F4083F2">
      <w:pPr>
        <w:pStyle w:val="6"/>
        <w:keepNext w:val="0"/>
        <w:keepLines w:val="0"/>
        <w:pageBreakBefore w:val="0"/>
        <w:widowControl w:val="0"/>
        <w:kinsoku/>
        <w:wordWrap/>
        <w:overflowPunct/>
        <w:topLinePunct w:val="0"/>
        <w:autoSpaceDE/>
        <w:autoSpaceDN/>
        <w:bidi w:val="0"/>
        <w:adjustRightInd/>
        <w:snapToGrid/>
        <w:spacing w:before="121" w:line="400" w:lineRule="exact"/>
        <w:ind w:left="100"/>
        <w:textAlignment w:val="auto"/>
        <w:rPr>
          <w:rFonts w:hint="eastAsia" w:asciiTheme="minorEastAsia" w:hAnsiTheme="minorEastAsia" w:eastAsiaTheme="minorEastAsia" w:cstheme="minorEastAsia"/>
          <w:color w:val="auto"/>
          <w:w w:val="105"/>
          <w:sz w:val="24"/>
          <w:szCs w:val="24"/>
          <w:lang w:val="en-US" w:eastAsia="zh-CN"/>
        </w:rPr>
      </w:pPr>
      <w:r>
        <w:rPr>
          <w:rFonts w:hint="eastAsia" w:asciiTheme="minorEastAsia" w:hAnsiTheme="minorEastAsia" w:eastAsiaTheme="minorEastAsia" w:cstheme="minorEastAsia"/>
          <w:color w:val="auto"/>
          <w:w w:val="105"/>
          <w:sz w:val="24"/>
          <w:szCs w:val="24"/>
          <w:lang w:val="en-US" w:eastAsia="zh-CN"/>
        </w:rPr>
        <w:t>法定代表人或授权代表（签字）</w:t>
      </w:r>
    </w:p>
    <w:p w14:paraId="5712D66F">
      <w:pPr>
        <w:pStyle w:val="6"/>
        <w:keepNext w:val="0"/>
        <w:keepLines w:val="0"/>
        <w:pageBreakBefore w:val="0"/>
        <w:widowControl w:val="0"/>
        <w:kinsoku/>
        <w:wordWrap/>
        <w:overflowPunct/>
        <w:topLinePunct w:val="0"/>
        <w:autoSpaceDE/>
        <w:autoSpaceDN/>
        <w:bidi w:val="0"/>
        <w:adjustRightInd/>
        <w:snapToGrid/>
        <w:spacing w:before="121" w:line="400" w:lineRule="exact"/>
        <w:ind w:left="100"/>
        <w:textAlignment w:val="auto"/>
        <w:rPr>
          <w:rFonts w:hint="eastAsia" w:asciiTheme="minorEastAsia" w:hAnsiTheme="minorEastAsia" w:eastAsiaTheme="minorEastAsia" w:cstheme="minorEastAsia"/>
          <w:color w:val="auto"/>
          <w:w w:val="105"/>
          <w:sz w:val="24"/>
          <w:szCs w:val="24"/>
          <w:lang w:val="en-US" w:eastAsia="zh-CN"/>
        </w:rPr>
      </w:pPr>
      <w:r>
        <w:rPr>
          <w:rFonts w:hint="eastAsia" w:asciiTheme="minorEastAsia" w:hAnsiTheme="minorEastAsia" w:eastAsiaTheme="minorEastAsia" w:cstheme="minorEastAsia"/>
          <w:color w:val="auto"/>
          <w:w w:val="105"/>
          <w:sz w:val="24"/>
          <w:szCs w:val="24"/>
          <w:lang w:val="en-US" w:eastAsia="zh-CN"/>
        </w:rPr>
        <w:t>日期：    年      月     日</w:t>
      </w:r>
    </w:p>
    <w:p w14:paraId="7517F522">
      <w:pPr>
        <w:pStyle w:val="6"/>
        <w:keepNext w:val="0"/>
        <w:keepLines w:val="0"/>
        <w:pageBreakBefore w:val="0"/>
        <w:widowControl w:val="0"/>
        <w:kinsoku/>
        <w:wordWrap/>
        <w:overflowPunct/>
        <w:topLinePunct w:val="0"/>
        <w:autoSpaceDE/>
        <w:autoSpaceDN/>
        <w:bidi w:val="0"/>
        <w:adjustRightInd/>
        <w:snapToGrid/>
        <w:spacing w:before="18" w:line="400" w:lineRule="exact"/>
        <w:textAlignment w:val="auto"/>
        <w:rPr>
          <w:rFonts w:hint="eastAsia" w:asciiTheme="minorEastAsia" w:hAnsiTheme="minorEastAsia" w:eastAsiaTheme="minorEastAsia" w:cstheme="minorEastAsia"/>
          <w:color w:val="auto"/>
          <w:sz w:val="24"/>
          <w:szCs w:val="24"/>
        </w:rPr>
      </w:pPr>
    </w:p>
    <w:p w14:paraId="7655DF07">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rPr>
      </w:pPr>
      <w:bookmarkStart w:id="227" w:name="使用说明："/>
      <w:bookmarkEnd w:id="227"/>
      <w:r>
        <w:rPr>
          <w:rFonts w:hint="eastAsia" w:asciiTheme="minorEastAsia" w:hAnsiTheme="minorEastAsia" w:eastAsiaTheme="minorEastAsia" w:cstheme="minorEastAsia"/>
          <w:color w:val="auto"/>
          <w:sz w:val="24"/>
          <w:szCs w:val="24"/>
        </w:rPr>
        <w:t>使用说明：</w:t>
      </w:r>
    </w:p>
    <w:p w14:paraId="1E2C3721">
      <w:pPr>
        <w:pStyle w:val="6"/>
        <w:keepNext w:val="0"/>
        <w:keepLines w:val="0"/>
        <w:pageBreakBefore w:val="0"/>
        <w:widowControl w:val="0"/>
        <w:kinsoku/>
        <w:wordWrap/>
        <w:overflowPunct/>
        <w:topLinePunct w:val="0"/>
        <w:autoSpaceDE/>
        <w:autoSpaceDN/>
        <w:bidi w:val="0"/>
        <w:adjustRightInd/>
        <w:snapToGrid/>
        <w:spacing w:before="121" w:line="400" w:lineRule="exact"/>
        <w:ind w:left="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w w:val="105"/>
          <w:sz w:val="24"/>
          <w:szCs w:val="24"/>
          <w:lang w:val="en-US" w:eastAsia="zh-CN"/>
        </w:rPr>
        <w:t>本承诺函为强制性投标文件组成部分 ，未提供或未盖章视为未实质性响应采购要求； 采购人有权依据本承诺书启动核查程序，并作为后续处理依据。</w:t>
      </w:r>
    </w:p>
    <w:p w14:paraId="7A85B40F">
      <w:pPr>
        <w:jc w:val="center"/>
        <w:rPr>
          <w:rFonts w:hint="eastAsia" w:asciiTheme="minorEastAsia" w:hAnsiTheme="minorEastAsia" w:eastAsiaTheme="minorEastAsia" w:cstheme="minorEastAsia"/>
          <w:b/>
          <w:bCs/>
          <w:color w:val="auto"/>
          <w:sz w:val="32"/>
          <w:szCs w:val="32"/>
        </w:rPr>
      </w:pPr>
    </w:p>
    <w:p w14:paraId="674E1129">
      <w:pPr>
        <w:spacing w:line="460" w:lineRule="exact"/>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十</w:t>
      </w:r>
      <w:r>
        <w:rPr>
          <w:rFonts w:hint="eastAsia" w:asciiTheme="minorEastAsia" w:hAnsiTheme="minorEastAsia" w:eastAsiaTheme="minorEastAsia" w:cstheme="minorEastAsia"/>
          <w:b/>
          <w:color w:val="auto"/>
          <w:sz w:val="32"/>
          <w:szCs w:val="32"/>
          <w:lang w:val="en-US" w:eastAsia="zh-CN"/>
        </w:rPr>
        <w:t>五</w:t>
      </w:r>
      <w:r>
        <w:rPr>
          <w:rFonts w:hint="eastAsia" w:asciiTheme="minorEastAsia" w:hAnsiTheme="minorEastAsia" w:eastAsiaTheme="minorEastAsia" w:cstheme="minorEastAsia"/>
          <w:b/>
          <w:color w:val="auto"/>
          <w:sz w:val="32"/>
          <w:szCs w:val="32"/>
        </w:rPr>
        <w:t>、投标文件通用模版编制和评审要求</w:t>
      </w:r>
    </w:p>
    <w:tbl>
      <w:tblPr>
        <w:tblStyle w:val="25"/>
        <w:tblpPr w:leftFromText="180" w:rightFromText="180" w:vertAnchor="text" w:horzAnchor="page" w:tblpX="1358" w:tblpY="398"/>
        <w:tblOverlap w:val="neve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099"/>
        <w:gridCol w:w="2946"/>
        <w:gridCol w:w="5311"/>
      </w:tblGrid>
      <w:tr w14:paraId="6123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5" w:hRule="atLeast"/>
        </w:trPr>
        <w:tc>
          <w:tcPr>
            <w:tcW w:w="1099" w:type="dxa"/>
            <w:shd w:val="clear" w:color="auto" w:fill="auto"/>
            <w:noWrap w:val="0"/>
            <w:vAlign w:val="center"/>
          </w:tcPr>
          <w:p w14:paraId="08F1C302">
            <w:pPr>
              <w:widowControl/>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类型</w:t>
            </w:r>
          </w:p>
        </w:tc>
        <w:tc>
          <w:tcPr>
            <w:tcW w:w="2946" w:type="dxa"/>
            <w:shd w:val="clear" w:color="auto" w:fill="auto"/>
            <w:noWrap w:val="0"/>
            <w:vAlign w:val="center"/>
          </w:tcPr>
          <w:p w14:paraId="540EEF41">
            <w:pPr>
              <w:widowControl/>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栏目名称</w:t>
            </w:r>
          </w:p>
        </w:tc>
        <w:tc>
          <w:tcPr>
            <w:tcW w:w="5311" w:type="dxa"/>
            <w:shd w:val="clear" w:color="auto" w:fill="auto"/>
            <w:noWrap w:val="0"/>
            <w:vAlign w:val="center"/>
          </w:tcPr>
          <w:p w14:paraId="717F9EE2">
            <w:pPr>
              <w:widowControl/>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编制和评审要求</w:t>
            </w:r>
          </w:p>
        </w:tc>
      </w:tr>
      <w:tr w14:paraId="6027A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18DCE81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基本目录</w:t>
            </w:r>
          </w:p>
        </w:tc>
        <w:tc>
          <w:tcPr>
            <w:tcW w:w="2946" w:type="dxa"/>
            <w:shd w:val="clear" w:color="auto" w:fill="auto"/>
            <w:noWrap w:val="0"/>
            <w:vAlign w:val="center"/>
          </w:tcPr>
          <w:p w14:paraId="2944A57D">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投标文件封面</w:t>
            </w:r>
          </w:p>
        </w:tc>
        <w:tc>
          <w:tcPr>
            <w:tcW w:w="5311" w:type="dxa"/>
            <w:shd w:val="clear" w:color="auto" w:fill="auto"/>
            <w:noWrap w:val="0"/>
            <w:vAlign w:val="center"/>
          </w:tcPr>
          <w:p w14:paraId="1C2AD8F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按照招标（采购）文件的规定格式。(格式见</w:t>
            </w:r>
            <w:r>
              <w:rPr>
                <w:rFonts w:hint="eastAsia" w:asciiTheme="minorEastAsia" w:hAnsiTheme="minorEastAsia" w:eastAsiaTheme="minorEastAsia" w:cstheme="minorEastAsia"/>
                <w:b/>
                <w:bCs/>
                <w:color w:val="auto"/>
              </w:rPr>
              <w:t>《投标文件格式》</w:t>
            </w:r>
            <w:r>
              <w:rPr>
                <w:rFonts w:hint="eastAsia" w:asciiTheme="minorEastAsia" w:hAnsiTheme="minorEastAsia" w:eastAsiaTheme="minorEastAsia" w:cstheme="minorEastAsia"/>
                <w:color w:val="auto"/>
              </w:rPr>
              <w:t>)</w:t>
            </w:r>
          </w:p>
        </w:tc>
      </w:tr>
      <w:tr w14:paraId="5A8DF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1AB0C8E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基本目录</w:t>
            </w:r>
          </w:p>
        </w:tc>
        <w:tc>
          <w:tcPr>
            <w:tcW w:w="2946" w:type="dxa"/>
            <w:shd w:val="clear" w:color="auto" w:fill="auto"/>
            <w:noWrap w:val="0"/>
            <w:vAlign w:val="center"/>
          </w:tcPr>
          <w:p w14:paraId="03523CDC">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开标一览表</w:t>
            </w:r>
          </w:p>
        </w:tc>
        <w:tc>
          <w:tcPr>
            <w:tcW w:w="5311" w:type="dxa"/>
            <w:shd w:val="clear" w:color="auto" w:fill="auto"/>
            <w:noWrap w:val="0"/>
            <w:vAlign w:val="center"/>
          </w:tcPr>
          <w:p w14:paraId="4513CF5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按照招标（采购）文件的规定格式提供</w:t>
            </w:r>
            <w:r>
              <w:rPr>
                <w:rFonts w:hint="eastAsia" w:asciiTheme="minorEastAsia" w:hAnsiTheme="minorEastAsia" w:eastAsiaTheme="minorEastAsia" w:cstheme="minorEastAsia"/>
                <w:b/>
                <w:bCs/>
                <w:color w:val="auto"/>
              </w:rPr>
              <w:t>《开标一览表》</w:t>
            </w:r>
            <w:r>
              <w:rPr>
                <w:rFonts w:hint="eastAsia" w:asciiTheme="minorEastAsia" w:hAnsiTheme="minorEastAsia" w:eastAsiaTheme="minorEastAsia" w:cstheme="minorEastAsia"/>
                <w:color w:val="auto"/>
              </w:rPr>
              <w:t>。(格式见《投标文件格式》)</w:t>
            </w:r>
          </w:p>
        </w:tc>
      </w:tr>
      <w:tr w14:paraId="18EFC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1ABA79E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基本目录</w:t>
            </w:r>
          </w:p>
        </w:tc>
        <w:tc>
          <w:tcPr>
            <w:tcW w:w="2946" w:type="dxa"/>
            <w:shd w:val="clear" w:color="auto" w:fill="auto"/>
            <w:noWrap w:val="0"/>
            <w:vAlign w:val="center"/>
          </w:tcPr>
          <w:p w14:paraId="1A166A15">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技术要求响应及偏离表</w:t>
            </w:r>
          </w:p>
        </w:tc>
        <w:tc>
          <w:tcPr>
            <w:tcW w:w="5311" w:type="dxa"/>
            <w:shd w:val="clear" w:color="auto" w:fill="auto"/>
            <w:noWrap w:val="0"/>
            <w:vAlign w:val="center"/>
          </w:tcPr>
          <w:p w14:paraId="5765A1ED">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按照招标（采购）文件的规定格式提供</w:t>
            </w:r>
            <w:r>
              <w:rPr>
                <w:rFonts w:hint="eastAsia" w:asciiTheme="minorEastAsia" w:hAnsiTheme="minorEastAsia" w:eastAsiaTheme="minorEastAsia" w:cstheme="minorEastAsia"/>
                <w:b/>
                <w:bCs/>
                <w:color w:val="auto"/>
              </w:rPr>
              <w:t>《技术要求响应及偏离表》</w:t>
            </w:r>
            <w:r>
              <w:rPr>
                <w:rFonts w:hint="eastAsia" w:asciiTheme="minorEastAsia" w:hAnsiTheme="minorEastAsia" w:eastAsiaTheme="minorEastAsia" w:cstheme="minorEastAsia"/>
                <w:color w:val="auto"/>
              </w:rPr>
              <w:t>。(格式见《投标文件格式》)</w:t>
            </w:r>
          </w:p>
        </w:tc>
      </w:tr>
      <w:tr w14:paraId="730EA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70B5233C">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基本目录</w:t>
            </w:r>
          </w:p>
        </w:tc>
        <w:tc>
          <w:tcPr>
            <w:tcW w:w="2946" w:type="dxa"/>
            <w:shd w:val="clear" w:color="auto" w:fill="auto"/>
            <w:noWrap w:val="0"/>
            <w:vAlign w:val="center"/>
          </w:tcPr>
          <w:p w14:paraId="43EE61C9">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商务要求响应及偏离表</w:t>
            </w:r>
          </w:p>
        </w:tc>
        <w:tc>
          <w:tcPr>
            <w:tcW w:w="5311" w:type="dxa"/>
            <w:shd w:val="clear" w:color="auto" w:fill="auto"/>
            <w:noWrap w:val="0"/>
            <w:vAlign w:val="center"/>
          </w:tcPr>
          <w:p w14:paraId="60860CD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按照招标（采购）文件的规定格式提供</w:t>
            </w:r>
            <w:r>
              <w:rPr>
                <w:rFonts w:hint="eastAsia" w:asciiTheme="minorEastAsia" w:hAnsiTheme="minorEastAsia" w:eastAsiaTheme="minorEastAsia" w:cstheme="minorEastAsia"/>
                <w:b/>
                <w:bCs/>
                <w:color w:val="auto"/>
              </w:rPr>
              <w:t>《商务要求响应及偏离表》</w:t>
            </w:r>
            <w:r>
              <w:rPr>
                <w:rFonts w:hint="eastAsia" w:asciiTheme="minorEastAsia" w:hAnsiTheme="minorEastAsia" w:eastAsiaTheme="minorEastAsia" w:cstheme="minorEastAsia"/>
                <w:color w:val="auto"/>
              </w:rPr>
              <w:t>。(格式见《投标文件格式》)</w:t>
            </w:r>
          </w:p>
        </w:tc>
      </w:tr>
      <w:tr w14:paraId="6CCF0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3045DFA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基本目录</w:t>
            </w:r>
          </w:p>
        </w:tc>
        <w:tc>
          <w:tcPr>
            <w:tcW w:w="2946" w:type="dxa"/>
            <w:shd w:val="clear" w:color="auto" w:fill="auto"/>
            <w:noWrap w:val="0"/>
            <w:vAlign w:val="center"/>
          </w:tcPr>
          <w:p w14:paraId="5E849FD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项目完整技术和实施方案</w:t>
            </w:r>
          </w:p>
        </w:tc>
        <w:tc>
          <w:tcPr>
            <w:tcW w:w="5311" w:type="dxa"/>
            <w:shd w:val="clear" w:color="auto" w:fill="auto"/>
            <w:noWrap w:val="0"/>
            <w:vAlign w:val="center"/>
          </w:tcPr>
          <w:p w14:paraId="3846390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本项目的完整的技术和实施方案，包括但不限于：项目技术、组织、实施方案；项目管理方案；拟达到的标准，配备的人员、设备配置等；培训方案、技术支持等方案；优惠条款或承诺；其他。</w:t>
            </w:r>
          </w:p>
        </w:tc>
      </w:tr>
      <w:tr w14:paraId="3F010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52348801">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3CB9310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投标人（供应商）资格声明函</w:t>
            </w:r>
          </w:p>
        </w:tc>
        <w:tc>
          <w:tcPr>
            <w:tcW w:w="5311" w:type="dxa"/>
            <w:shd w:val="clear" w:color="auto" w:fill="auto"/>
            <w:noWrap w:val="0"/>
            <w:vAlign w:val="center"/>
          </w:tcPr>
          <w:p w14:paraId="13B1CC0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提供符合招标（采购）文件要求的</w:t>
            </w:r>
            <w:r>
              <w:rPr>
                <w:rFonts w:hint="eastAsia" w:asciiTheme="minorEastAsia" w:hAnsiTheme="minorEastAsia" w:eastAsiaTheme="minorEastAsia" w:cstheme="minorEastAsia"/>
                <w:b/>
                <w:bCs/>
                <w:color w:val="auto"/>
              </w:rPr>
              <w:t>《投标人（供应商）资格声明函》</w:t>
            </w:r>
            <w:r>
              <w:rPr>
                <w:rFonts w:hint="eastAsia" w:asciiTheme="minorEastAsia" w:hAnsiTheme="minorEastAsia" w:eastAsiaTheme="minorEastAsia" w:cstheme="minorEastAsia"/>
                <w:color w:val="auto"/>
              </w:rPr>
              <w:t>。(格式见《投标文件格式》)</w:t>
            </w:r>
          </w:p>
        </w:tc>
      </w:tr>
      <w:tr w14:paraId="096B7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0" w:hRule="atLeast"/>
        </w:trPr>
        <w:tc>
          <w:tcPr>
            <w:tcW w:w="1099" w:type="dxa"/>
            <w:shd w:val="clear" w:color="auto" w:fill="auto"/>
            <w:noWrap w:val="0"/>
            <w:vAlign w:val="center"/>
          </w:tcPr>
          <w:p w14:paraId="76B74F8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145BACDC">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p>
        </w:tc>
        <w:tc>
          <w:tcPr>
            <w:tcW w:w="5311" w:type="dxa"/>
            <w:shd w:val="clear" w:color="auto" w:fill="auto"/>
            <w:noWrap w:val="0"/>
            <w:vAlign w:val="center"/>
          </w:tcPr>
          <w:p w14:paraId="0E7E3A0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无需投标人（供应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007E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1099" w:type="dxa"/>
            <w:shd w:val="clear" w:color="auto" w:fill="auto"/>
            <w:noWrap w:val="0"/>
            <w:vAlign w:val="center"/>
          </w:tcPr>
          <w:p w14:paraId="0030580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2C8EA961">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中小企业声明函等</w:t>
            </w:r>
          </w:p>
        </w:tc>
        <w:tc>
          <w:tcPr>
            <w:tcW w:w="5311" w:type="dxa"/>
            <w:shd w:val="clear" w:color="auto" w:fill="auto"/>
            <w:noWrap w:val="0"/>
            <w:vAlign w:val="center"/>
          </w:tcPr>
          <w:p w14:paraId="7F8E036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提供符合招标（采购）文件要求的</w:t>
            </w:r>
            <w:r>
              <w:rPr>
                <w:rFonts w:hint="eastAsia" w:asciiTheme="minorEastAsia" w:hAnsiTheme="minorEastAsia" w:eastAsiaTheme="minorEastAsia" w:cstheme="minorEastAsia"/>
                <w:b/>
                <w:bCs/>
                <w:color w:val="auto"/>
              </w:rPr>
              <w:t>《中小企业声明函》或者《残疾人福利性单位声明函》或者监狱企业证明文件</w:t>
            </w:r>
            <w:r>
              <w:rPr>
                <w:rFonts w:hint="eastAsia" w:asciiTheme="minorEastAsia" w:hAnsiTheme="minorEastAsia" w:eastAsiaTheme="minorEastAsia" w:cstheme="minorEastAsia"/>
                <w:color w:val="auto"/>
              </w:rPr>
              <w:t>。(格式见《投标文件格式》)</w:t>
            </w:r>
          </w:p>
        </w:tc>
      </w:tr>
      <w:tr w14:paraId="7A64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197FB411">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063079D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其他落实政府采购政策的资格要求</w:t>
            </w:r>
          </w:p>
        </w:tc>
        <w:tc>
          <w:tcPr>
            <w:tcW w:w="5311" w:type="dxa"/>
            <w:shd w:val="clear" w:color="auto" w:fill="auto"/>
            <w:noWrap w:val="0"/>
            <w:vAlign w:val="center"/>
          </w:tcPr>
          <w:p w14:paraId="22BD45E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如有的提供，否则无需提供。详见第一章《投标邀请》相关要求。</w:t>
            </w:r>
          </w:p>
        </w:tc>
      </w:tr>
      <w:tr w14:paraId="0F88B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11FB0D3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453FFD59">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是否接受联合体投标</w:t>
            </w:r>
          </w:p>
        </w:tc>
        <w:tc>
          <w:tcPr>
            <w:tcW w:w="5311" w:type="dxa"/>
            <w:shd w:val="clear" w:color="auto" w:fill="auto"/>
            <w:noWrap w:val="0"/>
            <w:vAlign w:val="center"/>
          </w:tcPr>
          <w:p w14:paraId="42B07EE5">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如是接受联合体投标，且投标人（供应商）组成联合体投标的必须提供</w:t>
            </w:r>
            <w:r>
              <w:rPr>
                <w:rFonts w:hint="eastAsia" w:asciiTheme="minorEastAsia" w:hAnsiTheme="minorEastAsia" w:eastAsiaTheme="minorEastAsia" w:cstheme="minorEastAsia"/>
                <w:b/>
                <w:bCs/>
                <w:color w:val="auto"/>
              </w:rPr>
              <w:t>《联合体协议》</w:t>
            </w:r>
            <w:r>
              <w:rPr>
                <w:rFonts w:hint="eastAsia" w:asciiTheme="minorEastAsia" w:hAnsiTheme="minorEastAsia" w:eastAsiaTheme="minorEastAsia" w:cstheme="minorEastAsia"/>
                <w:color w:val="auto"/>
              </w:rPr>
              <w:t>原件的电子件，格式见《投标文件格式》)，否则无需提供。</w:t>
            </w:r>
          </w:p>
        </w:tc>
      </w:tr>
      <w:tr w14:paraId="5DA74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7790AD5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w:t>
            </w:r>
          </w:p>
        </w:tc>
        <w:tc>
          <w:tcPr>
            <w:tcW w:w="2946" w:type="dxa"/>
            <w:shd w:val="clear" w:color="auto" w:fill="auto"/>
            <w:noWrap w:val="0"/>
            <w:vAlign w:val="center"/>
          </w:tcPr>
          <w:p w14:paraId="30C0454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本项目的特定资格要求</w:t>
            </w:r>
          </w:p>
        </w:tc>
        <w:tc>
          <w:tcPr>
            <w:tcW w:w="5311" w:type="dxa"/>
            <w:shd w:val="clear" w:color="auto" w:fill="auto"/>
            <w:noWrap w:val="0"/>
            <w:vAlign w:val="center"/>
          </w:tcPr>
          <w:p w14:paraId="17BA2A7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如有特定资格要求的提供，详见第一章《投标邀请》本项目的特定资格要求中规定要求提供的证明文件或材料，否则无需提供。</w:t>
            </w:r>
          </w:p>
        </w:tc>
      </w:tr>
      <w:tr w14:paraId="4CB1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042F15CF">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　</w:t>
            </w:r>
          </w:p>
        </w:tc>
        <w:tc>
          <w:tcPr>
            <w:tcW w:w="2946" w:type="dxa"/>
            <w:shd w:val="clear" w:color="auto" w:fill="auto"/>
            <w:noWrap w:val="0"/>
            <w:vAlign w:val="center"/>
          </w:tcPr>
          <w:p w14:paraId="31197AAD">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政府采购供应商信用承诺书（实质性格式）</w:t>
            </w:r>
          </w:p>
        </w:tc>
        <w:tc>
          <w:tcPr>
            <w:tcW w:w="5311" w:type="dxa"/>
            <w:shd w:val="clear" w:color="auto" w:fill="auto"/>
            <w:noWrap w:val="0"/>
            <w:vAlign w:val="center"/>
          </w:tcPr>
          <w:p w14:paraId="73437FE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提供符合招标（采购）文件要求的</w:t>
            </w:r>
            <w:r>
              <w:rPr>
                <w:rFonts w:hint="eastAsia" w:asciiTheme="minorEastAsia" w:hAnsiTheme="minorEastAsia" w:eastAsiaTheme="minorEastAsia" w:cstheme="minorEastAsia"/>
                <w:b/>
                <w:bCs/>
                <w:color w:val="auto"/>
              </w:rPr>
              <w:t>《政府采购供应商信用承诺书（实质性格式）》</w:t>
            </w:r>
            <w:r>
              <w:rPr>
                <w:rFonts w:hint="eastAsia" w:asciiTheme="minorEastAsia" w:hAnsiTheme="minorEastAsia" w:eastAsiaTheme="minorEastAsia" w:cstheme="minorEastAsia"/>
                <w:color w:val="auto"/>
              </w:rPr>
              <w:t>。(格式见《投标文件格式》)　</w:t>
            </w:r>
          </w:p>
        </w:tc>
      </w:tr>
      <w:tr w14:paraId="46BE3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shd w:val="clear" w:color="auto" w:fill="auto"/>
            <w:noWrap w:val="0"/>
            <w:vAlign w:val="center"/>
          </w:tcPr>
          <w:p w14:paraId="28AA6D31">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163C8B7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法定代表人资格证明书</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法人授权书、投标函</w:t>
            </w:r>
          </w:p>
        </w:tc>
        <w:tc>
          <w:tcPr>
            <w:tcW w:w="5311" w:type="dxa"/>
            <w:shd w:val="clear" w:color="auto" w:fill="auto"/>
            <w:noWrap w:val="0"/>
            <w:vAlign w:val="center"/>
          </w:tcPr>
          <w:p w14:paraId="5EC8838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按招标（采购）文件要求提供</w:t>
            </w:r>
            <w:r>
              <w:rPr>
                <w:rFonts w:hint="eastAsia" w:asciiTheme="minorEastAsia" w:hAnsiTheme="minorEastAsia" w:eastAsiaTheme="minorEastAsia" w:cstheme="minorEastAsia"/>
                <w:b/>
                <w:bCs/>
                <w:color w:val="auto"/>
                <w:lang w:eastAsia="zh-CN"/>
              </w:rPr>
              <w:t>《法定代表人资格证明书》、</w:t>
            </w:r>
            <w:r>
              <w:rPr>
                <w:rFonts w:hint="eastAsia" w:asciiTheme="minorEastAsia" w:hAnsiTheme="minorEastAsia" w:eastAsiaTheme="minorEastAsia" w:cstheme="minorEastAsia"/>
                <w:b/>
                <w:bCs/>
                <w:color w:val="auto"/>
              </w:rPr>
              <w:t>《法人授权书》、《投标函》</w:t>
            </w:r>
            <w:r>
              <w:rPr>
                <w:rFonts w:hint="eastAsia" w:asciiTheme="minorEastAsia" w:hAnsiTheme="minorEastAsia" w:eastAsiaTheme="minorEastAsia" w:cstheme="minorEastAsia"/>
                <w:color w:val="auto"/>
              </w:rPr>
              <w:t>。(格式见《投标文件格式》)</w:t>
            </w:r>
          </w:p>
        </w:tc>
      </w:tr>
      <w:tr w14:paraId="4FDF9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689FE06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299D7787">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投标报价</w:t>
            </w:r>
          </w:p>
        </w:tc>
        <w:tc>
          <w:tcPr>
            <w:tcW w:w="5311" w:type="dxa"/>
            <w:shd w:val="clear" w:color="auto" w:fill="auto"/>
            <w:noWrap w:val="0"/>
            <w:vAlign w:val="center"/>
          </w:tcPr>
          <w:p w14:paraId="65B237DF">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由评委审查，无需供应商提供材料。开标一览表</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投标报价</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未超过招标（采购）文件中规定的项目/采购包预算金额或者项目/采购包最高限价。</w:t>
            </w:r>
          </w:p>
        </w:tc>
      </w:tr>
      <w:tr w14:paraId="3555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23025CE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4AAB267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报价唯一性</w:t>
            </w:r>
          </w:p>
        </w:tc>
        <w:tc>
          <w:tcPr>
            <w:tcW w:w="5311" w:type="dxa"/>
            <w:shd w:val="clear" w:color="auto" w:fill="auto"/>
            <w:noWrap w:val="0"/>
            <w:vAlign w:val="center"/>
          </w:tcPr>
          <w:p w14:paraId="48913C2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投标（响应）文件未出现可选择性或可调整的报价（招标（采购）文件另有规定的除外）；提供</w:t>
            </w:r>
            <w:r>
              <w:rPr>
                <w:rFonts w:hint="eastAsia" w:asciiTheme="minorEastAsia" w:hAnsiTheme="minorEastAsia" w:eastAsiaTheme="minorEastAsia" w:cstheme="minorEastAsia"/>
                <w:b/>
                <w:bCs/>
                <w:color w:val="auto"/>
              </w:rPr>
              <w:t>《分项报价表》</w:t>
            </w:r>
            <w:r>
              <w:rPr>
                <w:rFonts w:hint="eastAsia" w:asciiTheme="minorEastAsia" w:hAnsiTheme="minorEastAsia" w:eastAsiaTheme="minorEastAsia" w:cstheme="minorEastAsia"/>
                <w:color w:val="auto"/>
              </w:rPr>
              <w:t>。(格式见《投标文件格式》)</w:t>
            </w:r>
          </w:p>
        </w:tc>
      </w:tr>
      <w:tr w14:paraId="207BA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1099" w:type="dxa"/>
            <w:shd w:val="clear" w:color="auto" w:fill="auto"/>
            <w:noWrap w:val="0"/>
            <w:vAlign w:val="center"/>
          </w:tcPr>
          <w:p w14:paraId="21515BF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11060ADB">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报价合理性</w:t>
            </w:r>
          </w:p>
        </w:tc>
        <w:tc>
          <w:tcPr>
            <w:tcW w:w="5311" w:type="dxa"/>
            <w:shd w:val="clear" w:color="auto" w:fill="auto"/>
            <w:noWrap w:val="0"/>
            <w:vAlign w:val="center"/>
          </w:tcPr>
          <w:p w14:paraId="14D41C5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报价合理，或投标人（供应商）的报价明显低于其他通过符合性审查投标人（供应商）的报价，有可能影响产品质量或诚信履约的，能够应评标委员会要求在规定时间内证明其报价合理性的。</w:t>
            </w:r>
          </w:p>
        </w:tc>
      </w:tr>
      <w:tr w14:paraId="129D9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2B6496F7">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1BA1E1DF">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报价的修正（如有）</w:t>
            </w:r>
          </w:p>
        </w:tc>
        <w:tc>
          <w:tcPr>
            <w:tcW w:w="5311" w:type="dxa"/>
            <w:shd w:val="clear" w:color="auto" w:fill="auto"/>
            <w:noWrap w:val="0"/>
            <w:vAlign w:val="center"/>
          </w:tcPr>
          <w:p w14:paraId="60DF1AA7">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由评委审查，无需供应商提供材料。不涉及报价修正，或投标（响应）文件报价出现前后不一致时，投标人（供应商）对修正后的报价予以确认。</w:t>
            </w:r>
          </w:p>
        </w:tc>
      </w:tr>
      <w:tr w14:paraId="2137E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046152E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459910D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签署、加盖公章</w:t>
            </w:r>
          </w:p>
        </w:tc>
        <w:tc>
          <w:tcPr>
            <w:tcW w:w="5311" w:type="dxa"/>
            <w:shd w:val="clear" w:color="auto" w:fill="auto"/>
            <w:noWrap w:val="0"/>
            <w:vAlign w:val="center"/>
          </w:tcPr>
          <w:p w14:paraId="4785B63C">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由评委审查，无需供应商提供材料。按照招标（采购）文件要求签署、加盖公章的。</w:t>
            </w:r>
          </w:p>
        </w:tc>
      </w:tr>
      <w:tr w14:paraId="218A9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555E6C39">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29A5CE0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进口产品（如有）</w:t>
            </w:r>
          </w:p>
        </w:tc>
        <w:tc>
          <w:tcPr>
            <w:tcW w:w="5311" w:type="dxa"/>
            <w:shd w:val="clear" w:color="auto" w:fill="auto"/>
            <w:noWrap w:val="0"/>
            <w:vAlign w:val="center"/>
          </w:tcPr>
          <w:p w14:paraId="728EF95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由评委审查，无需供应商提供材料。招标（采购）文件不接受进口产品投标的内容时，投标人（供应商）所投产品均为非进口产品。</w:t>
            </w:r>
          </w:p>
        </w:tc>
      </w:tr>
      <w:tr w14:paraId="41BC9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1099" w:type="dxa"/>
            <w:shd w:val="clear" w:color="auto" w:fill="auto"/>
            <w:noWrap w:val="0"/>
            <w:vAlign w:val="center"/>
          </w:tcPr>
          <w:p w14:paraId="57F2A68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581ADC07">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投标完整性</w:t>
            </w:r>
          </w:p>
        </w:tc>
        <w:tc>
          <w:tcPr>
            <w:tcW w:w="5311" w:type="dxa"/>
            <w:shd w:val="clear" w:color="auto" w:fill="auto"/>
            <w:noWrap w:val="0"/>
            <w:vAlign w:val="center"/>
          </w:tcPr>
          <w:p w14:paraId="0122100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由评委审查，无需供应商提供材料。投标人（供应商）未将一个采购包中的内容拆开投标。</w:t>
            </w:r>
          </w:p>
        </w:tc>
      </w:tr>
      <w:tr w14:paraId="30CE8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50" w:hRule="atLeast"/>
        </w:trPr>
        <w:tc>
          <w:tcPr>
            <w:tcW w:w="1099" w:type="dxa"/>
            <w:shd w:val="clear" w:color="auto" w:fill="auto"/>
            <w:noWrap w:val="0"/>
            <w:vAlign w:val="center"/>
          </w:tcPr>
          <w:p w14:paraId="1F543D8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0FE2C64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公平竞争</w:t>
            </w:r>
          </w:p>
        </w:tc>
        <w:tc>
          <w:tcPr>
            <w:tcW w:w="5311" w:type="dxa"/>
            <w:shd w:val="clear" w:color="auto" w:fill="auto"/>
            <w:noWrap w:val="0"/>
            <w:vAlign w:val="center"/>
          </w:tcPr>
          <w:p w14:paraId="1180AD6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70294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430" w:hRule="atLeast"/>
        </w:trPr>
        <w:tc>
          <w:tcPr>
            <w:tcW w:w="1099" w:type="dxa"/>
            <w:shd w:val="clear" w:color="auto" w:fill="auto"/>
            <w:noWrap w:val="0"/>
            <w:vAlign w:val="center"/>
          </w:tcPr>
          <w:p w14:paraId="3B7B6A79">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6D3EF1C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国家有关部门对投标产品有强制性规定或要求的</w:t>
            </w:r>
          </w:p>
        </w:tc>
        <w:tc>
          <w:tcPr>
            <w:tcW w:w="5311" w:type="dxa"/>
            <w:shd w:val="clear" w:color="auto" w:fill="auto"/>
            <w:noWrap w:val="0"/>
            <w:vAlign w:val="center"/>
          </w:tcPr>
          <w:p w14:paraId="41893B2E">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3A71D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540" w:hRule="atLeast"/>
        </w:trPr>
        <w:tc>
          <w:tcPr>
            <w:tcW w:w="1099" w:type="dxa"/>
            <w:shd w:val="clear" w:color="auto" w:fill="auto"/>
            <w:noWrap w:val="0"/>
            <w:vAlign w:val="center"/>
          </w:tcPr>
          <w:p w14:paraId="4AAE846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167B4CD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附加条件</w:t>
            </w:r>
          </w:p>
        </w:tc>
        <w:tc>
          <w:tcPr>
            <w:tcW w:w="5311" w:type="dxa"/>
            <w:shd w:val="clear" w:color="auto" w:fill="auto"/>
            <w:noWrap w:val="0"/>
            <w:vAlign w:val="center"/>
          </w:tcPr>
          <w:p w14:paraId="4A478B6F">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由评委审查，无需供应商提供材料。投标文件未含有采购人不能接受的附加条件的。</w:t>
            </w:r>
          </w:p>
        </w:tc>
      </w:tr>
      <w:tr w14:paraId="4BAE2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1099" w:type="dxa"/>
            <w:shd w:val="clear" w:color="auto" w:fill="auto"/>
            <w:noWrap w:val="0"/>
            <w:vAlign w:val="center"/>
          </w:tcPr>
          <w:p w14:paraId="2ADF0080">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006AC95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其他无效情形</w:t>
            </w:r>
          </w:p>
        </w:tc>
        <w:tc>
          <w:tcPr>
            <w:tcW w:w="5311" w:type="dxa"/>
            <w:shd w:val="clear" w:color="auto" w:fill="auto"/>
            <w:noWrap w:val="0"/>
            <w:vAlign w:val="center"/>
          </w:tcPr>
          <w:p w14:paraId="1E96C6CB">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由评委审查，无需供应商提供材料。投标人（供应商）、投标文件不存在不符合法律、法规和招标（采购）文件规定的其他无效情形。</w:t>
            </w:r>
          </w:p>
        </w:tc>
      </w:tr>
      <w:tr w14:paraId="49B1C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1099" w:type="dxa"/>
            <w:shd w:val="clear" w:color="auto" w:fill="auto"/>
            <w:noWrap w:val="0"/>
            <w:vAlign w:val="center"/>
          </w:tcPr>
          <w:p w14:paraId="541823A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46F94E85">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实质性条款响应</w:t>
            </w:r>
          </w:p>
        </w:tc>
        <w:tc>
          <w:tcPr>
            <w:tcW w:w="5311" w:type="dxa"/>
            <w:shd w:val="clear" w:color="auto" w:fill="auto"/>
            <w:noWrap w:val="0"/>
            <w:vAlign w:val="center"/>
          </w:tcPr>
          <w:p w14:paraId="2E7BCCC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投标（响应）文件满足招标（采购）文件第四章《采购需求》中实质性条款（斜体且有下划线部分的、或者加“★”号的、或者以文字说明属于实质性要求的内容）要求的，在下列表单逐项提供相关证明材料。</w:t>
            </w:r>
          </w:p>
        </w:tc>
      </w:tr>
      <w:tr w14:paraId="4E2F6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5CCA74FB">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03E7678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实质性条款响应1</w:t>
            </w:r>
          </w:p>
        </w:tc>
        <w:tc>
          <w:tcPr>
            <w:tcW w:w="5311" w:type="dxa"/>
            <w:shd w:val="clear" w:color="auto" w:fill="auto"/>
            <w:noWrap w:val="0"/>
            <w:vAlign w:val="center"/>
          </w:tcPr>
          <w:p w14:paraId="45586F8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逐项提供相关证明材料</w:t>
            </w:r>
          </w:p>
        </w:tc>
      </w:tr>
      <w:tr w14:paraId="795F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106091C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5C4D6A76">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实质性条款响应2</w:t>
            </w:r>
          </w:p>
        </w:tc>
        <w:tc>
          <w:tcPr>
            <w:tcW w:w="5311" w:type="dxa"/>
            <w:shd w:val="clear" w:color="auto" w:fill="auto"/>
            <w:noWrap w:val="0"/>
            <w:vAlign w:val="center"/>
          </w:tcPr>
          <w:p w14:paraId="3B125F8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逐项提供相关证明材料</w:t>
            </w:r>
          </w:p>
        </w:tc>
      </w:tr>
      <w:tr w14:paraId="1D889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23FDFE57">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492668A5">
            <w:pPr>
              <w:widowControl/>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实质性条款响应</w:t>
            </w:r>
            <w:r>
              <w:rPr>
                <w:rFonts w:hint="eastAsia" w:asciiTheme="minorEastAsia" w:hAnsiTheme="minorEastAsia" w:eastAsiaTheme="minorEastAsia" w:cstheme="minorEastAsia"/>
                <w:color w:val="auto"/>
                <w:lang w:val="en-US" w:eastAsia="zh-CN"/>
              </w:rPr>
              <w:t>3</w:t>
            </w:r>
          </w:p>
        </w:tc>
        <w:tc>
          <w:tcPr>
            <w:tcW w:w="5311" w:type="dxa"/>
            <w:shd w:val="clear" w:color="auto" w:fill="auto"/>
            <w:noWrap w:val="0"/>
            <w:vAlign w:val="center"/>
          </w:tcPr>
          <w:p w14:paraId="7E7C6D64">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逐项提供相关证明材料</w:t>
            </w:r>
          </w:p>
        </w:tc>
      </w:tr>
      <w:tr w14:paraId="76879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2D120653">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54A908AC">
            <w:pPr>
              <w:widowControl/>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实质性条款响应</w:t>
            </w:r>
            <w:r>
              <w:rPr>
                <w:rFonts w:hint="eastAsia" w:asciiTheme="minorEastAsia" w:hAnsiTheme="minorEastAsia" w:eastAsiaTheme="minorEastAsia" w:cstheme="minorEastAsia"/>
                <w:color w:val="auto"/>
                <w:lang w:val="en-US" w:eastAsia="zh-CN"/>
              </w:rPr>
              <w:t>4</w:t>
            </w:r>
          </w:p>
        </w:tc>
        <w:tc>
          <w:tcPr>
            <w:tcW w:w="5311" w:type="dxa"/>
            <w:shd w:val="clear" w:color="auto" w:fill="auto"/>
            <w:noWrap w:val="0"/>
            <w:vAlign w:val="center"/>
          </w:tcPr>
          <w:p w14:paraId="35FD60F1">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逐项提供相关证明材料</w:t>
            </w:r>
          </w:p>
        </w:tc>
      </w:tr>
      <w:tr w14:paraId="6F9D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334AD50C">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02BBE94A">
            <w:pPr>
              <w:widowControl/>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实质性条款响应</w:t>
            </w:r>
            <w:r>
              <w:rPr>
                <w:rFonts w:hint="eastAsia" w:asciiTheme="minorEastAsia" w:hAnsiTheme="minorEastAsia" w:eastAsiaTheme="minorEastAsia" w:cstheme="minorEastAsia"/>
                <w:color w:val="auto"/>
                <w:lang w:val="en-US" w:eastAsia="zh-CN"/>
              </w:rPr>
              <w:t>5</w:t>
            </w:r>
          </w:p>
        </w:tc>
        <w:tc>
          <w:tcPr>
            <w:tcW w:w="5311" w:type="dxa"/>
            <w:shd w:val="clear" w:color="auto" w:fill="auto"/>
            <w:noWrap w:val="0"/>
            <w:vAlign w:val="center"/>
          </w:tcPr>
          <w:p w14:paraId="5654B215">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逐项提供相关证明材料</w:t>
            </w:r>
          </w:p>
        </w:tc>
      </w:tr>
      <w:tr w14:paraId="332F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1099" w:type="dxa"/>
            <w:shd w:val="clear" w:color="auto" w:fill="auto"/>
            <w:noWrap w:val="0"/>
            <w:vAlign w:val="center"/>
          </w:tcPr>
          <w:p w14:paraId="62531538">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符合性审查</w:t>
            </w:r>
          </w:p>
        </w:tc>
        <w:tc>
          <w:tcPr>
            <w:tcW w:w="2946" w:type="dxa"/>
            <w:shd w:val="clear" w:color="auto" w:fill="auto"/>
            <w:noWrap w:val="0"/>
            <w:vAlign w:val="center"/>
          </w:tcPr>
          <w:p w14:paraId="26AC18E2">
            <w:pPr>
              <w:widowControl/>
              <w:spacing w:line="360"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其他</w:t>
            </w:r>
            <w:r>
              <w:rPr>
                <w:rFonts w:hint="eastAsia" w:asciiTheme="minorEastAsia" w:hAnsiTheme="minorEastAsia" w:eastAsiaTheme="minorEastAsia" w:cstheme="minorEastAsia"/>
                <w:color w:val="auto"/>
              </w:rPr>
              <w:t>实质性条款响应</w:t>
            </w:r>
          </w:p>
        </w:tc>
        <w:tc>
          <w:tcPr>
            <w:tcW w:w="5311" w:type="dxa"/>
            <w:shd w:val="clear" w:color="auto" w:fill="auto"/>
            <w:noWrap w:val="0"/>
            <w:vAlign w:val="center"/>
          </w:tcPr>
          <w:p w14:paraId="391BA8BB">
            <w:pPr>
              <w:widowControl/>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w:t>
            </w:r>
          </w:p>
        </w:tc>
      </w:tr>
      <w:tr w14:paraId="2FE8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1099" w:type="dxa"/>
            <w:shd w:val="clear" w:color="auto" w:fill="auto"/>
            <w:noWrap w:val="0"/>
            <w:vAlign w:val="center"/>
          </w:tcPr>
          <w:p w14:paraId="244097A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价格折扣文件格式</w:t>
            </w:r>
          </w:p>
        </w:tc>
        <w:tc>
          <w:tcPr>
            <w:tcW w:w="2946" w:type="dxa"/>
            <w:shd w:val="clear" w:color="auto" w:fill="auto"/>
            <w:noWrap w:val="0"/>
            <w:vAlign w:val="center"/>
          </w:tcPr>
          <w:p w14:paraId="55EA9412">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小微企业声明函</w:t>
            </w:r>
          </w:p>
        </w:tc>
        <w:tc>
          <w:tcPr>
            <w:tcW w:w="5311" w:type="dxa"/>
            <w:shd w:val="clear" w:color="auto" w:fill="auto"/>
            <w:noWrap w:val="0"/>
            <w:vAlign w:val="center"/>
          </w:tcPr>
          <w:p w14:paraId="5DDA156A">
            <w:pPr>
              <w:widowControl/>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属于小微企业的提供符合招标（采购）文件要求的</w:t>
            </w:r>
            <w:r>
              <w:rPr>
                <w:rFonts w:hint="eastAsia" w:asciiTheme="minorEastAsia" w:hAnsiTheme="minorEastAsia" w:eastAsiaTheme="minorEastAsia" w:cstheme="minorEastAsia"/>
                <w:b/>
                <w:bCs/>
                <w:color w:val="auto"/>
              </w:rPr>
              <w:t>《小微企业声明函》</w:t>
            </w:r>
            <w:r>
              <w:rPr>
                <w:rFonts w:hint="eastAsia" w:asciiTheme="minorEastAsia" w:hAnsiTheme="minorEastAsia" w:eastAsiaTheme="minorEastAsia" w:cstheme="minorEastAsia"/>
                <w:color w:val="auto"/>
              </w:rPr>
              <w:t>或者</w:t>
            </w:r>
            <w:r>
              <w:rPr>
                <w:rFonts w:hint="eastAsia" w:asciiTheme="minorEastAsia" w:hAnsiTheme="minorEastAsia" w:eastAsiaTheme="minorEastAsia" w:cstheme="minorEastAsia"/>
                <w:b/>
                <w:bCs/>
                <w:color w:val="auto"/>
              </w:rPr>
              <w:t>《残疾人福利性单位声明函》</w:t>
            </w:r>
            <w:r>
              <w:rPr>
                <w:rFonts w:hint="eastAsia" w:asciiTheme="minorEastAsia" w:hAnsiTheme="minorEastAsia" w:eastAsiaTheme="minorEastAsia" w:cstheme="minorEastAsia"/>
                <w:color w:val="auto"/>
              </w:rPr>
              <w:t>或者</w:t>
            </w:r>
            <w:r>
              <w:rPr>
                <w:rFonts w:hint="eastAsia" w:asciiTheme="minorEastAsia" w:hAnsiTheme="minorEastAsia" w:eastAsiaTheme="minorEastAsia" w:cstheme="minorEastAsia"/>
                <w:b/>
                <w:bCs/>
                <w:color w:val="auto"/>
              </w:rPr>
              <w:t>监狱企业证明文件</w:t>
            </w:r>
            <w:r>
              <w:rPr>
                <w:rFonts w:hint="eastAsia" w:asciiTheme="minorEastAsia" w:hAnsiTheme="minorEastAsia" w:eastAsiaTheme="minorEastAsia" w:cstheme="minorEastAsia"/>
                <w:color w:val="auto"/>
              </w:rPr>
              <w:t>。(格式见《投标文件格式》)</w:t>
            </w:r>
          </w:p>
        </w:tc>
      </w:tr>
    </w:tbl>
    <w:p w14:paraId="1BB83FD5">
      <w:pPr>
        <w:jc w:val="center"/>
        <w:rPr>
          <w:rFonts w:hint="eastAsia" w:asciiTheme="minorEastAsia" w:hAnsiTheme="minorEastAsia" w:eastAsiaTheme="minorEastAsia" w:cstheme="minorEastAsia"/>
          <w:b/>
          <w:bCs/>
          <w:color w:val="auto"/>
          <w:sz w:val="32"/>
          <w:szCs w:val="32"/>
        </w:rPr>
      </w:pPr>
    </w:p>
    <w:p w14:paraId="3F96F207">
      <w:pPr>
        <w:jc w:val="center"/>
        <w:rPr>
          <w:rFonts w:hint="eastAsia" w:asciiTheme="minorEastAsia" w:hAnsiTheme="minorEastAsia" w:eastAsiaTheme="minorEastAsia" w:cstheme="minorEastAsia"/>
          <w:b/>
          <w:bCs/>
          <w:color w:val="auto"/>
          <w:sz w:val="32"/>
          <w:szCs w:val="32"/>
        </w:rPr>
      </w:pPr>
    </w:p>
    <w:p w14:paraId="61F2D74C">
      <w:pPr>
        <w:jc w:val="center"/>
        <w:rPr>
          <w:rFonts w:hint="eastAsia" w:asciiTheme="minorEastAsia" w:hAnsiTheme="minorEastAsia" w:eastAsiaTheme="minorEastAsia" w:cstheme="minorEastAsia"/>
          <w:b/>
          <w:bCs/>
          <w:color w:val="auto"/>
          <w:sz w:val="32"/>
          <w:szCs w:val="32"/>
        </w:rPr>
      </w:pPr>
    </w:p>
    <w:p w14:paraId="27913D15">
      <w:pPr>
        <w:jc w:val="center"/>
        <w:rPr>
          <w:rFonts w:hint="eastAsia" w:asciiTheme="minorEastAsia" w:hAnsiTheme="minorEastAsia" w:eastAsiaTheme="minorEastAsia" w:cstheme="minorEastAsia"/>
          <w:b/>
          <w:bCs/>
          <w:color w:val="auto"/>
          <w:sz w:val="32"/>
          <w:szCs w:val="32"/>
        </w:rPr>
      </w:pPr>
    </w:p>
    <w:p w14:paraId="5E01990D">
      <w:pPr>
        <w:jc w:val="center"/>
        <w:rPr>
          <w:rFonts w:hint="eastAsia" w:asciiTheme="minorEastAsia" w:hAnsiTheme="minorEastAsia" w:eastAsiaTheme="minorEastAsia" w:cstheme="minorEastAsia"/>
          <w:b/>
          <w:bCs/>
          <w:color w:val="auto"/>
          <w:sz w:val="32"/>
          <w:szCs w:val="32"/>
        </w:rPr>
      </w:pPr>
    </w:p>
    <w:p w14:paraId="10721F87">
      <w:pPr>
        <w:jc w:val="center"/>
        <w:rPr>
          <w:rFonts w:hint="eastAsia" w:asciiTheme="minorEastAsia" w:hAnsiTheme="minorEastAsia" w:eastAsiaTheme="minorEastAsia" w:cstheme="minorEastAsia"/>
          <w:b/>
          <w:bCs/>
          <w:color w:val="auto"/>
          <w:sz w:val="32"/>
          <w:szCs w:val="32"/>
        </w:rPr>
      </w:pPr>
    </w:p>
    <w:p w14:paraId="7FE22C4C">
      <w:pPr>
        <w:jc w:val="center"/>
        <w:rPr>
          <w:rFonts w:hint="eastAsia" w:asciiTheme="minorEastAsia" w:hAnsiTheme="minorEastAsia" w:eastAsiaTheme="minorEastAsia" w:cstheme="minorEastAsia"/>
          <w:b/>
          <w:bCs/>
          <w:color w:val="auto"/>
          <w:sz w:val="32"/>
          <w:szCs w:val="32"/>
        </w:rPr>
      </w:pPr>
    </w:p>
    <w:p w14:paraId="312FCF2D">
      <w:pPr>
        <w:jc w:val="center"/>
        <w:rPr>
          <w:rFonts w:hint="eastAsia" w:asciiTheme="minorEastAsia" w:hAnsiTheme="minorEastAsia" w:eastAsiaTheme="minorEastAsia" w:cstheme="minorEastAsia"/>
          <w:b/>
          <w:bCs/>
          <w:color w:val="auto"/>
          <w:sz w:val="32"/>
          <w:szCs w:val="32"/>
        </w:rPr>
      </w:pPr>
    </w:p>
    <w:p w14:paraId="0F7DCACA">
      <w:pPr>
        <w:jc w:val="center"/>
        <w:rPr>
          <w:rFonts w:hint="eastAsia" w:asciiTheme="minorEastAsia" w:hAnsiTheme="minorEastAsia" w:eastAsiaTheme="minorEastAsia" w:cstheme="minorEastAsia"/>
          <w:b/>
          <w:bCs/>
          <w:color w:val="auto"/>
          <w:sz w:val="32"/>
          <w:szCs w:val="32"/>
        </w:rPr>
      </w:pPr>
    </w:p>
    <w:p w14:paraId="250B48CA">
      <w:pPr>
        <w:jc w:val="center"/>
        <w:rPr>
          <w:rFonts w:hint="eastAsia" w:asciiTheme="minorEastAsia" w:hAnsiTheme="minorEastAsia" w:eastAsiaTheme="minorEastAsia" w:cstheme="minorEastAsia"/>
          <w:b/>
          <w:bCs/>
          <w:color w:val="auto"/>
          <w:sz w:val="32"/>
          <w:szCs w:val="32"/>
        </w:rPr>
      </w:pPr>
    </w:p>
    <w:p w14:paraId="3848B8A2">
      <w:pPr>
        <w:jc w:val="center"/>
        <w:rPr>
          <w:rFonts w:hint="eastAsia" w:asciiTheme="minorEastAsia" w:hAnsiTheme="minorEastAsia" w:eastAsiaTheme="minorEastAsia" w:cstheme="minorEastAsia"/>
          <w:b/>
          <w:bCs/>
          <w:color w:val="auto"/>
          <w:sz w:val="32"/>
          <w:szCs w:val="32"/>
        </w:rPr>
      </w:pPr>
    </w:p>
    <w:p w14:paraId="1656EAB3">
      <w:pPr>
        <w:jc w:val="center"/>
        <w:rPr>
          <w:rFonts w:hint="eastAsia" w:asciiTheme="minorEastAsia" w:hAnsiTheme="minorEastAsia" w:eastAsiaTheme="minorEastAsia" w:cstheme="minorEastAsia"/>
          <w:b/>
          <w:bCs/>
          <w:color w:val="auto"/>
          <w:sz w:val="32"/>
          <w:szCs w:val="32"/>
        </w:rPr>
      </w:pPr>
    </w:p>
    <w:p w14:paraId="31A69582">
      <w:pPr>
        <w:jc w:val="center"/>
        <w:rPr>
          <w:rFonts w:hint="eastAsia" w:asciiTheme="minorEastAsia" w:hAnsiTheme="minorEastAsia" w:eastAsiaTheme="minorEastAsia" w:cstheme="minorEastAsia"/>
          <w:b/>
          <w:bCs/>
          <w:color w:val="auto"/>
          <w:sz w:val="32"/>
          <w:szCs w:val="32"/>
        </w:rPr>
      </w:pPr>
    </w:p>
    <w:p w14:paraId="3C210F3B">
      <w:pPr>
        <w:jc w:val="center"/>
        <w:rPr>
          <w:rFonts w:hint="eastAsia" w:asciiTheme="minorEastAsia" w:hAnsiTheme="minorEastAsia" w:eastAsiaTheme="minorEastAsia" w:cstheme="minorEastAsia"/>
          <w:b/>
          <w:bCs/>
          <w:color w:val="auto"/>
          <w:sz w:val="32"/>
          <w:szCs w:val="32"/>
        </w:rPr>
      </w:pPr>
    </w:p>
    <w:p w14:paraId="2C661753">
      <w:pPr>
        <w:jc w:val="center"/>
        <w:rPr>
          <w:rFonts w:hint="eastAsia" w:asciiTheme="minorEastAsia" w:hAnsiTheme="minorEastAsia" w:eastAsiaTheme="minorEastAsia" w:cstheme="minorEastAsia"/>
          <w:b/>
          <w:bCs/>
          <w:color w:val="auto"/>
          <w:sz w:val="32"/>
          <w:szCs w:val="32"/>
        </w:rPr>
      </w:pPr>
    </w:p>
    <w:p w14:paraId="2007439A">
      <w:pPr>
        <w:jc w:val="center"/>
        <w:rPr>
          <w:rFonts w:hint="eastAsia" w:asciiTheme="minorEastAsia" w:hAnsiTheme="minorEastAsia" w:eastAsiaTheme="minorEastAsia" w:cstheme="minorEastAsia"/>
          <w:b/>
          <w:bCs/>
          <w:color w:val="auto"/>
          <w:sz w:val="32"/>
          <w:szCs w:val="32"/>
        </w:rPr>
      </w:pPr>
    </w:p>
    <w:p w14:paraId="50BEA917">
      <w:pPr>
        <w:jc w:val="center"/>
        <w:rPr>
          <w:rFonts w:hint="eastAsia" w:asciiTheme="minorEastAsia" w:hAnsiTheme="minorEastAsia" w:eastAsiaTheme="minorEastAsia" w:cstheme="minorEastAsia"/>
          <w:b/>
          <w:bCs/>
          <w:color w:val="auto"/>
          <w:sz w:val="32"/>
          <w:szCs w:val="32"/>
        </w:rPr>
      </w:pPr>
    </w:p>
    <w:p w14:paraId="5D31EB21">
      <w:pPr>
        <w:pStyle w:val="7"/>
        <w:rPr>
          <w:rFonts w:hint="eastAsia" w:asciiTheme="minorEastAsia" w:hAnsiTheme="minorEastAsia" w:eastAsiaTheme="minorEastAsia" w:cstheme="minorEastAsia"/>
          <w:b/>
          <w:bCs/>
          <w:color w:val="auto"/>
          <w:sz w:val="32"/>
          <w:szCs w:val="32"/>
        </w:rPr>
      </w:pPr>
    </w:p>
    <w:p w14:paraId="17C6BFE0">
      <w:pPr>
        <w:pStyle w:val="7"/>
        <w:rPr>
          <w:rFonts w:hint="eastAsia" w:asciiTheme="minorEastAsia" w:hAnsiTheme="minorEastAsia" w:eastAsiaTheme="minorEastAsia" w:cstheme="minorEastAsia"/>
          <w:b/>
          <w:bCs/>
          <w:color w:val="auto"/>
          <w:sz w:val="32"/>
          <w:szCs w:val="32"/>
        </w:rPr>
      </w:pPr>
    </w:p>
    <w:p w14:paraId="238DBE1A">
      <w:pPr>
        <w:pStyle w:val="7"/>
        <w:rPr>
          <w:rFonts w:hint="eastAsia" w:asciiTheme="minorEastAsia" w:hAnsiTheme="minorEastAsia" w:eastAsiaTheme="minorEastAsia" w:cstheme="minorEastAsia"/>
          <w:b/>
          <w:bCs/>
          <w:color w:val="auto"/>
          <w:sz w:val="32"/>
          <w:szCs w:val="32"/>
        </w:rPr>
      </w:pPr>
    </w:p>
    <w:p w14:paraId="4921B910">
      <w:pPr>
        <w:jc w:val="center"/>
        <w:rPr>
          <w:rFonts w:hint="eastAsia" w:asciiTheme="minorEastAsia" w:hAnsiTheme="minorEastAsia" w:eastAsiaTheme="minorEastAsia" w:cstheme="minorEastAsia"/>
          <w:b/>
          <w:bCs/>
          <w:color w:val="auto"/>
          <w:sz w:val="32"/>
          <w:szCs w:val="32"/>
        </w:rPr>
      </w:pPr>
    </w:p>
    <w:p w14:paraId="21750CFC">
      <w:pPr>
        <w:jc w:val="center"/>
        <w:rPr>
          <w:rFonts w:hint="eastAsia" w:asciiTheme="minorEastAsia" w:hAnsiTheme="minorEastAsia" w:eastAsiaTheme="minorEastAsia" w:cstheme="minorEastAsia"/>
          <w:b/>
          <w:bCs/>
          <w:color w:val="auto"/>
          <w:sz w:val="32"/>
          <w:szCs w:val="32"/>
        </w:rPr>
      </w:pPr>
    </w:p>
    <w:p w14:paraId="3287D4E3">
      <w:pPr>
        <w:jc w:val="center"/>
        <w:rPr>
          <w:rFonts w:hint="eastAsia" w:asciiTheme="minorEastAsia" w:hAnsiTheme="minorEastAsia" w:eastAsiaTheme="minorEastAsia" w:cstheme="minorEastAsia"/>
          <w:b/>
          <w:bCs/>
          <w:color w:val="auto"/>
          <w:sz w:val="32"/>
          <w:szCs w:val="32"/>
        </w:rPr>
      </w:pPr>
    </w:p>
    <w:p w14:paraId="54544868">
      <w:pPr>
        <w:jc w:val="center"/>
        <w:rPr>
          <w:rFonts w:hint="eastAsia" w:asciiTheme="minorEastAsia" w:hAnsiTheme="minorEastAsia" w:eastAsiaTheme="minorEastAsia" w:cstheme="minorEastAsia"/>
          <w:b/>
          <w:bCs/>
          <w:color w:val="auto"/>
          <w:sz w:val="32"/>
          <w:szCs w:val="32"/>
        </w:rPr>
      </w:pPr>
    </w:p>
    <w:p w14:paraId="39256C31">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质疑函范本</w:t>
      </w:r>
    </w:p>
    <w:p w14:paraId="04E642CC">
      <w:pPr>
        <w:spacing w:before="290"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一、质疑供应商基本信息</w:t>
      </w:r>
    </w:p>
    <w:p w14:paraId="75CC2A36">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质疑供应商：</w:t>
      </w:r>
      <w:r>
        <w:rPr>
          <w:rFonts w:hint="eastAsia" w:asciiTheme="minorEastAsia" w:hAnsiTheme="minorEastAsia" w:eastAsiaTheme="minorEastAsia" w:cstheme="minorEastAsia"/>
          <w:color w:val="auto"/>
          <w:sz w:val="24"/>
          <w:szCs w:val="24"/>
          <w:u w:val="single"/>
        </w:rPr>
        <w:t xml:space="preserve">                                                              </w:t>
      </w:r>
    </w:p>
    <w:p w14:paraId="03DAFA83">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46E6A17B">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6B1B9608">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授权代表：</w:t>
      </w:r>
      <w:r>
        <w:rPr>
          <w:rFonts w:hint="eastAsia" w:asciiTheme="minorEastAsia" w:hAnsiTheme="minorEastAsia" w:eastAsiaTheme="minorEastAsia" w:cstheme="minorEastAsia"/>
          <w:color w:val="auto"/>
          <w:sz w:val="24"/>
          <w:szCs w:val="24"/>
          <w:u w:val="single"/>
        </w:rPr>
        <w:t xml:space="preserve">                                                                 </w:t>
      </w:r>
    </w:p>
    <w:p w14:paraId="4531F2E5">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5A33D675">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地址：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0DAE26FC">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二、质疑项目基本情况</w:t>
      </w:r>
    </w:p>
    <w:p w14:paraId="7FE6397F">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质疑项目的名称：</w:t>
      </w:r>
      <w:r>
        <w:rPr>
          <w:rFonts w:hint="eastAsia" w:asciiTheme="minorEastAsia" w:hAnsiTheme="minorEastAsia" w:eastAsiaTheme="minorEastAsia" w:cstheme="minorEastAsia"/>
          <w:color w:val="auto"/>
          <w:sz w:val="24"/>
          <w:szCs w:val="24"/>
          <w:u w:val="single"/>
        </w:rPr>
        <w:t xml:space="preserve">                                                          </w:t>
      </w:r>
    </w:p>
    <w:p w14:paraId="14EEC312">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质疑项目的编号：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包号：</w:t>
      </w:r>
      <w:r>
        <w:rPr>
          <w:rFonts w:hint="eastAsia" w:asciiTheme="minorEastAsia" w:hAnsiTheme="minorEastAsia" w:eastAsiaTheme="minorEastAsia" w:cstheme="minorEastAsia"/>
          <w:color w:val="auto"/>
          <w:sz w:val="24"/>
          <w:szCs w:val="24"/>
          <w:u w:val="single"/>
        </w:rPr>
        <w:t xml:space="preserve">                           </w:t>
      </w:r>
    </w:p>
    <w:p w14:paraId="5B3795F6">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采购人名称：</w:t>
      </w:r>
      <w:r>
        <w:rPr>
          <w:rFonts w:hint="eastAsia" w:asciiTheme="minorEastAsia" w:hAnsiTheme="minorEastAsia" w:eastAsiaTheme="minorEastAsia" w:cstheme="minorEastAsia"/>
          <w:color w:val="auto"/>
          <w:sz w:val="24"/>
          <w:szCs w:val="24"/>
          <w:u w:val="single"/>
        </w:rPr>
        <w:t xml:space="preserve">                                                              </w:t>
      </w:r>
    </w:p>
    <w:p w14:paraId="740E5329">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采购文件获取日期：</w:t>
      </w:r>
      <w:r>
        <w:rPr>
          <w:rFonts w:hint="eastAsia" w:asciiTheme="minorEastAsia" w:hAnsiTheme="minorEastAsia" w:eastAsiaTheme="minorEastAsia" w:cstheme="minorEastAsia"/>
          <w:color w:val="auto"/>
          <w:sz w:val="24"/>
          <w:szCs w:val="24"/>
          <w:u w:val="single"/>
        </w:rPr>
        <w:t xml:space="preserve">                                                        </w:t>
      </w:r>
    </w:p>
    <w:p w14:paraId="7450661C">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三、质疑事项具体内容</w:t>
      </w:r>
    </w:p>
    <w:p w14:paraId="49EA18E1">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质疑事项1：</w:t>
      </w:r>
      <w:r>
        <w:rPr>
          <w:rFonts w:hint="eastAsia" w:asciiTheme="minorEastAsia" w:hAnsiTheme="minorEastAsia" w:eastAsiaTheme="minorEastAsia" w:cstheme="minorEastAsia"/>
          <w:color w:val="auto"/>
          <w:sz w:val="24"/>
          <w:szCs w:val="24"/>
          <w:u w:val="single"/>
        </w:rPr>
        <w:t xml:space="preserve">                                                              </w:t>
      </w:r>
    </w:p>
    <w:p w14:paraId="5CEA6837">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事实依据：</w:t>
      </w:r>
      <w:r>
        <w:rPr>
          <w:rFonts w:hint="eastAsia" w:asciiTheme="minorEastAsia" w:hAnsiTheme="minorEastAsia" w:eastAsiaTheme="minorEastAsia" w:cstheme="minorEastAsia"/>
          <w:color w:val="auto"/>
          <w:sz w:val="24"/>
          <w:szCs w:val="24"/>
          <w:u w:val="single"/>
        </w:rPr>
        <w:t xml:space="preserve">                                                                </w:t>
      </w:r>
    </w:p>
    <w:p w14:paraId="747B0379">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rPr>
        <w:t xml:space="preserve">                                                                           </w:t>
      </w:r>
    </w:p>
    <w:p w14:paraId="2AAB6D7B">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法律依据：</w:t>
      </w:r>
      <w:r>
        <w:rPr>
          <w:rFonts w:hint="eastAsia" w:asciiTheme="minorEastAsia" w:hAnsiTheme="minorEastAsia" w:eastAsiaTheme="minorEastAsia" w:cstheme="minorEastAsia"/>
          <w:color w:val="auto"/>
          <w:sz w:val="24"/>
          <w:szCs w:val="24"/>
          <w:u w:val="single"/>
        </w:rPr>
        <w:t xml:space="preserve">                                                                 </w:t>
      </w:r>
    </w:p>
    <w:p w14:paraId="6F4594B3">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u w:val="single"/>
        </w:rPr>
        <w:t xml:space="preserve">                                                                           </w:t>
      </w:r>
    </w:p>
    <w:p w14:paraId="5F8936E1">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质疑事项2</w:t>
      </w:r>
    </w:p>
    <w:p w14:paraId="0ECD1DFB">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03A7E59D">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四、与质疑事项相关的质疑请求</w:t>
      </w:r>
    </w:p>
    <w:p w14:paraId="52BE3C2D">
      <w:pPr>
        <w:spacing w:line="360" w:lineRule="auto"/>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请求：</w:t>
      </w:r>
      <w:r>
        <w:rPr>
          <w:rFonts w:hint="eastAsia" w:asciiTheme="minorEastAsia" w:hAnsiTheme="minorEastAsia" w:eastAsiaTheme="minorEastAsia" w:cstheme="minorEastAsia"/>
          <w:color w:val="auto"/>
          <w:sz w:val="24"/>
          <w:szCs w:val="24"/>
          <w:u w:val="single"/>
        </w:rPr>
        <w:t xml:space="preserve">                                                                     </w:t>
      </w:r>
    </w:p>
    <w:p w14:paraId="5DB2B5DA">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p>
    <w:p w14:paraId="2FA98A12">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p>
    <w:p w14:paraId="567C6DB5">
      <w:pPr>
        <w:spacing w:line="400" w:lineRule="exact"/>
        <w:rPr>
          <w:rFonts w:hint="eastAsia" w:asciiTheme="minorEastAsia" w:hAnsiTheme="minorEastAsia" w:eastAsiaTheme="minorEastAsia" w:cstheme="minorEastAsia"/>
          <w:b/>
          <w:color w:val="auto"/>
          <w:sz w:val="24"/>
          <w:szCs w:val="24"/>
        </w:rPr>
      </w:pPr>
    </w:p>
    <w:p w14:paraId="6273EF47">
      <w:pPr>
        <w:spacing w:line="400" w:lineRule="exact"/>
        <w:rPr>
          <w:rFonts w:hint="eastAsia" w:asciiTheme="minorEastAsia" w:hAnsiTheme="minorEastAsia" w:eastAsiaTheme="minorEastAsia" w:cstheme="minorEastAsia"/>
          <w:b/>
          <w:color w:val="auto"/>
          <w:sz w:val="24"/>
          <w:szCs w:val="24"/>
        </w:rPr>
      </w:pPr>
    </w:p>
    <w:p w14:paraId="27406BC6">
      <w:pPr>
        <w:spacing w:line="400" w:lineRule="exact"/>
        <w:rPr>
          <w:rFonts w:hint="eastAsia" w:asciiTheme="minorEastAsia" w:hAnsiTheme="minorEastAsia" w:eastAsiaTheme="minorEastAsia" w:cstheme="minorEastAsia"/>
          <w:b/>
          <w:color w:val="auto"/>
          <w:sz w:val="24"/>
          <w:szCs w:val="24"/>
        </w:rPr>
      </w:pPr>
    </w:p>
    <w:p w14:paraId="56E2A748">
      <w:pPr>
        <w:spacing w:line="400" w:lineRule="exact"/>
        <w:rPr>
          <w:rFonts w:hint="eastAsia" w:asciiTheme="minorEastAsia" w:hAnsiTheme="minorEastAsia" w:eastAsiaTheme="minorEastAsia" w:cstheme="minorEastAsia"/>
          <w:b/>
          <w:color w:val="auto"/>
          <w:sz w:val="24"/>
          <w:szCs w:val="24"/>
        </w:rPr>
      </w:pPr>
    </w:p>
    <w:p w14:paraId="66DA4E64">
      <w:pPr>
        <w:spacing w:line="4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质疑函制作说明：</w:t>
      </w:r>
    </w:p>
    <w:p w14:paraId="428A27F5">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1.供应商提出质疑时，应提交质疑函和必要的证明材料。</w:t>
      </w:r>
    </w:p>
    <w:p w14:paraId="32634827">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3FBBAF0">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3.质疑供应商若对项目的某一分包进行质疑，质疑函中应列明具体分包号。</w:t>
      </w:r>
    </w:p>
    <w:p w14:paraId="6CAAED81">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4.质疑函的质疑事项应具体、明确，并有必要的事实依据和法律依据。</w:t>
      </w:r>
    </w:p>
    <w:p w14:paraId="204DB453">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5.质疑函的质疑请求应与质疑事项相关。</w:t>
      </w:r>
    </w:p>
    <w:p w14:paraId="0274E651">
      <w:pPr>
        <w:widowControl/>
        <w:spacing w:line="400" w:lineRule="exact"/>
        <w:ind w:firstLine="48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6.质疑供应商为自然人的，质疑函应由本人签字；质疑供应商为法人或者其他组织的，质疑函应由法定代表人、主要负责人，或者其授权代表签字或者盖章，并加盖公章。</w:t>
      </w:r>
    </w:p>
    <w:p w14:paraId="57CB50D7">
      <w:pPr>
        <w:pStyle w:val="198"/>
        <w:rPr>
          <w:rFonts w:hint="eastAsia" w:asciiTheme="minorEastAsia" w:hAnsiTheme="minorEastAsia" w:eastAsiaTheme="minorEastAsia" w:cstheme="minorEastAsia"/>
          <w:color w:val="auto"/>
          <w:sz w:val="24"/>
          <w:szCs w:val="24"/>
        </w:rPr>
      </w:pPr>
    </w:p>
    <w:p w14:paraId="5D505E9B">
      <w:pPr>
        <w:pStyle w:val="198"/>
        <w:rPr>
          <w:rFonts w:hint="eastAsia" w:asciiTheme="minorEastAsia" w:hAnsiTheme="minorEastAsia" w:eastAsiaTheme="minorEastAsia" w:cstheme="minorEastAsia"/>
          <w:color w:val="auto"/>
          <w:sz w:val="24"/>
          <w:szCs w:val="24"/>
        </w:rPr>
      </w:pPr>
    </w:p>
    <w:p w14:paraId="41FB4B40">
      <w:pPr>
        <w:pStyle w:val="198"/>
        <w:rPr>
          <w:rFonts w:hint="eastAsia" w:asciiTheme="minorEastAsia" w:hAnsiTheme="minorEastAsia" w:eastAsiaTheme="minorEastAsia" w:cstheme="minorEastAsia"/>
          <w:color w:val="auto"/>
          <w:sz w:val="24"/>
          <w:szCs w:val="24"/>
        </w:rPr>
      </w:pPr>
    </w:p>
    <w:p w14:paraId="1516516F">
      <w:pPr>
        <w:pStyle w:val="198"/>
        <w:rPr>
          <w:rFonts w:hint="eastAsia" w:asciiTheme="minorEastAsia" w:hAnsiTheme="minorEastAsia" w:eastAsiaTheme="minorEastAsia" w:cstheme="minorEastAsia"/>
          <w:color w:val="auto"/>
          <w:sz w:val="24"/>
          <w:szCs w:val="24"/>
        </w:rPr>
      </w:pPr>
    </w:p>
    <w:p w14:paraId="5836C43D">
      <w:pPr>
        <w:pStyle w:val="198"/>
        <w:rPr>
          <w:rFonts w:hint="eastAsia" w:asciiTheme="minorEastAsia" w:hAnsiTheme="minorEastAsia" w:eastAsiaTheme="minorEastAsia" w:cstheme="minorEastAsia"/>
          <w:color w:val="auto"/>
          <w:sz w:val="24"/>
          <w:szCs w:val="24"/>
        </w:rPr>
      </w:pPr>
    </w:p>
    <w:p w14:paraId="5EF31181">
      <w:pPr>
        <w:pStyle w:val="198"/>
        <w:rPr>
          <w:rFonts w:hint="eastAsia" w:asciiTheme="minorEastAsia" w:hAnsiTheme="minorEastAsia" w:eastAsiaTheme="minorEastAsia" w:cstheme="minorEastAsia"/>
          <w:color w:val="auto"/>
          <w:sz w:val="24"/>
          <w:szCs w:val="24"/>
        </w:rPr>
      </w:pPr>
    </w:p>
    <w:p w14:paraId="3AA83CDC">
      <w:pPr>
        <w:pStyle w:val="198"/>
        <w:rPr>
          <w:rFonts w:hint="eastAsia" w:asciiTheme="minorEastAsia" w:hAnsiTheme="minorEastAsia" w:eastAsiaTheme="minorEastAsia" w:cstheme="minorEastAsia"/>
          <w:color w:val="auto"/>
          <w:sz w:val="24"/>
          <w:szCs w:val="24"/>
        </w:rPr>
      </w:pPr>
    </w:p>
    <w:p w14:paraId="6733F907">
      <w:pPr>
        <w:pStyle w:val="198"/>
        <w:rPr>
          <w:rFonts w:hint="eastAsia" w:asciiTheme="minorEastAsia" w:hAnsiTheme="minorEastAsia" w:eastAsiaTheme="minorEastAsia" w:cstheme="minorEastAsia"/>
          <w:color w:val="auto"/>
          <w:sz w:val="24"/>
          <w:szCs w:val="24"/>
        </w:rPr>
      </w:pPr>
    </w:p>
    <w:p w14:paraId="0761981E">
      <w:pPr>
        <w:pStyle w:val="198"/>
        <w:rPr>
          <w:rFonts w:hint="eastAsia" w:asciiTheme="minorEastAsia" w:hAnsiTheme="minorEastAsia" w:eastAsiaTheme="minorEastAsia" w:cstheme="minorEastAsia"/>
          <w:color w:val="auto"/>
          <w:sz w:val="24"/>
          <w:szCs w:val="24"/>
        </w:rPr>
      </w:pPr>
    </w:p>
    <w:p w14:paraId="77B98A2E">
      <w:pPr>
        <w:pStyle w:val="198"/>
        <w:rPr>
          <w:rFonts w:hint="eastAsia" w:asciiTheme="minorEastAsia" w:hAnsiTheme="minorEastAsia" w:eastAsiaTheme="minorEastAsia" w:cstheme="minorEastAsia"/>
          <w:color w:val="auto"/>
          <w:sz w:val="24"/>
          <w:szCs w:val="24"/>
        </w:rPr>
      </w:pPr>
    </w:p>
    <w:p w14:paraId="57BED9E6">
      <w:pPr>
        <w:pStyle w:val="198"/>
        <w:rPr>
          <w:rFonts w:hint="eastAsia" w:asciiTheme="minorEastAsia" w:hAnsiTheme="minorEastAsia" w:eastAsiaTheme="minorEastAsia" w:cstheme="minorEastAsia"/>
          <w:color w:val="auto"/>
          <w:sz w:val="24"/>
          <w:szCs w:val="24"/>
        </w:rPr>
      </w:pPr>
    </w:p>
    <w:p w14:paraId="5496D80F">
      <w:pPr>
        <w:pStyle w:val="198"/>
        <w:rPr>
          <w:rFonts w:hint="eastAsia" w:asciiTheme="minorEastAsia" w:hAnsiTheme="minorEastAsia" w:eastAsiaTheme="minorEastAsia" w:cstheme="minorEastAsia"/>
          <w:color w:val="auto"/>
          <w:sz w:val="24"/>
          <w:szCs w:val="24"/>
        </w:rPr>
      </w:pPr>
    </w:p>
    <w:p w14:paraId="0A3FC993">
      <w:pPr>
        <w:pStyle w:val="198"/>
        <w:rPr>
          <w:rFonts w:hint="eastAsia" w:asciiTheme="minorEastAsia" w:hAnsiTheme="minorEastAsia" w:eastAsiaTheme="minorEastAsia" w:cstheme="minorEastAsia"/>
          <w:color w:val="auto"/>
          <w:sz w:val="24"/>
          <w:szCs w:val="24"/>
        </w:rPr>
      </w:pPr>
    </w:p>
    <w:p w14:paraId="171F559B">
      <w:pPr>
        <w:pStyle w:val="198"/>
        <w:rPr>
          <w:rFonts w:hint="eastAsia" w:asciiTheme="minorEastAsia" w:hAnsiTheme="minorEastAsia" w:eastAsiaTheme="minorEastAsia" w:cstheme="minorEastAsia"/>
          <w:color w:val="auto"/>
          <w:sz w:val="24"/>
          <w:szCs w:val="24"/>
        </w:rPr>
      </w:pPr>
    </w:p>
    <w:p w14:paraId="26A0A98B">
      <w:pPr>
        <w:pStyle w:val="198"/>
        <w:rPr>
          <w:rFonts w:hint="eastAsia" w:asciiTheme="minorEastAsia" w:hAnsiTheme="minorEastAsia" w:eastAsiaTheme="minorEastAsia" w:cstheme="minorEastAsia"/>
          <w:color w:val="auto"/>
          <w:sz w:val="24"/>
          <w:szCs w:val="24"/>
        </w:rPr>
      </w:pPr>
    </w:p>
    <w:p w14:paraId="1D531464">
      <w:pPr>
        <w:pStyle w:val="198"/>
        <w:rPr>
          <w:rFonts w:hint="eastAsia" w:asciiTheme="minorEastAsia" w:hAnsiTheme="minorEastAsia" w:eastAsiaTheme="minorEastAsia" w:cstheme="minorEastAsia"/>
          <w:color w:val="auto"/>
          <w:sz w:val="24"/>
          <w:szCs w:val="24"/>
        </w:rPr>
      </w:pPr>
    </w:p>
    <w:p w14:paraId="6B16163B">
      <w:pPr>
        <w:pStyle w:val="198"/>
        <w:rPr>
          <w:rFonts w:hint="eastAsia" w:asciiTheme="minorEastAsia" w:hAnsiTheme="minorEastAsia" w:eastAsiaTheme="minorEastAsia" w:cstheme="minorEastAsia"/>
          <w:color w:val="auto"/>
          <w:sz w:val="24"/>
          <w:szCs w:val="24"/>
        </w:rPr>
      </w:pPr>
    </w:p>
    <w:p w14:paraId="3A9C1290">
      <w:pPr>
        <w:pStyle w:val="198"/>
        <w:rPr>
          <w:rFonts w:hint="eastAsia" w:asciiTheme="minorEastAsia" w:hAnsiTheme="minorEastAsia" w:eastAsiaTheme="minorEastAsia" w:cstheme="minorEastAsia"/>
          <w:color w:val="auto"/>
          <w:sz w:val="24"/>
          <w:szCs w:val="24"/>
        </w:rPr>
      </w:pPr>
    </w:p>
    <w:p w14:paraId="34361BAF">
      <w:pPr>
        <w:pStyle w:val="198"/>
        <w:rPr>
          <w:rFonts w:hint="eastAsia" w:asciiTheme="minorEastAsia" w:hAnsiTheme="minorEastAsia" w:eastAsiaTheme="minorEastAsia" w:cstheme="minorEastAsia"/>
          <w:color w:val="auto"/>
          <w:sz w:val="24"/>
          <w:szCs w:val="24"/>
        </w:rPr>
      </w:pPr>
    </w:p>
    <w:p w14:paraId="1CD664B3">
      <w:pPr>
        <w:pStyle w:val="198"/>
        <w:rPr>
          <w:rFonts w:hint="eastAsia" w:asciiTheme="minorEastAsia" w:hAnsiTheme="minorEastAsia" w:eastAsiaTheme="minorEastAsia" w:cstheme="minorEastAsia"/>
          <w:color w:val="auto"/>
          <w:sz w:val="24"/>
          <w:szCs w:val="24"/>
        </w:rPr>
      </w:pPr>
    </w:p>
    <w:p w14:paraId="2D152158">
      <w:pPr>
        <w:pStyle w:val="198"/>
        <w:rPr>
          <w:rFonts w:hint="eastAsia" w:asciiTheme="minorEastAsia" w:hAnsiTheme="minorEastAsia" w:eastAsiaTheme="minorEastAsia" w:cstheme="minorEastAsia"/>
          <w:color w:val="auto"/>
          <w:sz w:val="24"/>
          <w:szCs w:val="24"/>
        </w:rPr>
      </w:pPr>
    </w:p>
    <w:p w14:paraId="0C850FFB">
      <w:pPr>
        <w:pStyle w:val="198"/>
        <w:rPr>
          <w:rFonts w:hint="eastAsia" w:asciiTheme="minorEastAsia" w:hAnsiTheme="minorEastAsia" w:eastAsiaTheme="minorEastAsia" w:cstheme="minorEastAsia"/>
          <w:color w:val="auto"/>
          <w:sz w:val="24"/>
          <w:szCs w:val="24"/>
        </w:rPr>
      </w:pPr>
    </w:p>
    <w:p w14:paraId="24A0DEA1">
      <w:pPr>
        <w:pStyle w:val="198"/>
        <w:rPr>
          <w:rFonts w:hint="eastAsia" w:asciiTheme="minorEastAsia" w:hAnsiTheme="minorEastAsia" w:eastAsiaTheme="minorEastAsia" w:cstheme="minorEastAsia"/>
          <w:color w:val="auto"/>
          <w:sz w:val="24"/>
          <w:szCs w:val="24"/>
        </w:rPr>
      </w:pPr>
    </w:p>
    <w:p w14:paraId="676F8342">
      <w:pPr>
        <w:pStyle w:val="198"/>
        <w:rPr>
          <w:rFonts w:hint="eastAsia" w:asciiTheme="minorEastAsia" w:hAnsiTheme="minorEastAsia" w:eastAsiaTheme="minorEastAsia" w:cstheme="minorEastAsia"/>
          <w:color w:val="auto"/>
          <w:sz w:val="24"/>
          <w:szCs w:val="24"/>
        </w:rPr>
      </w:pPr>
    </w:p>
    <w:p w14:paraId="4743ED9F">
      <w:pPr>
        <w:pStyle w:val="198"/>
        <w:rPr>
          <w:rFonts w:hint="eastAsia" w:asciiTheme="minorEastAsia" w:hAnsiTheme="minorEastAsia" w:eastAsiaTheme="minorEastAsia" w:cstheme="minorEastAsia"/>
          <w:color w:val="auto"/>
          <w:sz w:val="24"/>
          <w:szCs w:val="24"/>
        </w:rPr>
      </w:pPr>
    </w:p>
    <w:p w14:paraId="12B4AAE1">
      <w:pPr>
        <w:pStyle w:val="198"/>
        <w:rPr>
          <w:rFonts w:hint="eastAsia" w:asciiTheme="minorEastAsia" w:hAnsiTheme="minorEastAsia" w:eastAsiaTheme="minorEastAsia" w:cstheme="minorEastAsia"/>
          <w:color w:val="auto"/>
          <w:sz w:val="24"/>
          <w:szCs w:val="24"/>
        </w:rPr>
      </w:pPr>
    </w:p>
    <w:p w14:paraId="708CF15E">
      <w:pPr>
        <w:pStyle w:val="198"/>
        <w:rPr>
          <w:rFonts w:hint="eastAsia" w:asciiTheme="minorEastAsia" w:hAnsiTheme="minorEastAsia" w:eastAsiaTheme="minorEastAsia" w:cstheme="minorEastAsia"/>
          <w:color w:val="auto"/>
          <w:sz w:val="24"/>
          <w:szCs w:val="24"/>
        </w:rPr>
      </w:pPr>
    </w:p>
    <w:p w14:paraId="0790E408">
      <w:pPr>
        <w:pStyle w:val="198"/>
        <w:rPr>
          <w:rFonts w:hint="eastAsia" w:asciiTheme="minorEastAsia" w:hAnsiTheme="minorEastAsia" w:eastAsiaTheme="minorEastAsia" w:cstheme="minorEastAsia"/>
          <w:color w:val="auto"/>
          <w:sz w:val="24"/>
          <w:szCs w:val="24"/>
        </w:rPr>
      </w:pPr>
    </w:p>
    <w:p w14:paraId="0A930850">
      <w:pPr>
        <w:pStyle w:val="198"/>
        <w:rPr>
          <w:rFonts w:hint="eastAsia" w:asciiTheme="minorEastAsia" w:hAnsiTheme="minorEastAsia" w:eastAsiaTheme="minorEastAsia" w:cstheme="minorEastAsia"/>
          <w:color w:val="auto"/>
          <w:sz w:val="24"/>
          <w:szCs w:val="24"/>
        </w:rPr>
      </w:pPr>
    </w:p>
    <w:sectPr>
      <w:headerReference r:id="rId5" w:type="default"/>
      <w:footerReference r:id="rId6" w:type="default"/>
      <w:footerReference r:id="rId7" w:type="even"/>
      <w:pgSz w:w="11906" w:h="16838"/>
      <w:pgMar w:top="1418" w:right="1588" w:bottom="1418" w:left="1365" w:header="851" w:footer="907"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华文楷体">
    <w:panose1 w:val="02010600040101010101"/>
    <w:charset w:val="86"/>
    <w:family w:val="auto"/>
    <w:pitch w:val="default"/>
    <w:sig w:usb0="00000287" w:usb1="080F0000" w:usb2="00000000" w:usb3="00000000" w:csb0="0004009F" w:csb1="DFD70000"/>
  </w:font>
  <w:font w:name="方正魏碑_GBK">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08E17">
    <w:pPr>
      <w:pStyle w:val="241"/>
      <w:jc w:val="right"/>
    </w:pPr>
    <w:r>
      <w:fldChar w:fldCharType="begin"/>
    </w:r>
    <w:r>
      <w:instrText xml:space="preserve">PAGE   \* MERGEFORMAT</w:instrText>
    </w:r>
    <w:r>
      <w:fldChar w:fldCharType="separate"/>
    </w:r>
    <w:r>
      <w:rPr>
        <w:lang w:val="zh-CN"/>
      </w:rPr>
      <w:t>-</w:t>
    </w:r>
    <w:r>
      <w:t xml:space="preserve"> 28 -</w:t>
    </w:r>
    <w:r>
      <w:fldChar w:fldCharType="end"/>
    </w:r>
  </w:p>
  <w:p w14:paraId="04573894">
    <w:pPr>
      <w:pStyle w:val="241"/>
    </w:pPr>
  </w:p>
  <w:p w14:paraId="5340F3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EFE62">
    <w:pPr>
      <w:pStyle w:val="241"/>
      <w:jc w:val="right"/>
    </w:pPr>
    <w:r>
      <w:fldChar w:fldCharType="begin"/>
    </w:r>
    <w:r>
      <w:instrText xml:space="preserve">PAGE   \* MERGEFORMAT</w:instrText>
    </w:r>
    <w:r>
      <w:fldChar w:fldCharType="separate"/>
    </w:r>
    <w:r>
      <w:rPr>
        <w:lang w:val="zh-CN"/>
      </w:rPr>
      <w:t>-</w:t>
    </w:r>
    <w:r>
      <w:t xml:space="preserve"> 48 -</w:t>
    </w:r>
    <w:r>
      <w:fldChar w:fldCharType="end"/>
    </w:r>
  </w:p>
  <w:p w14:paraId="791CD1D2">
    <w:pPr>
      <w:pStyle w:val="241"/>
    </w:pPr>
  </w:p>
  <w:p w14:paraId="41A14C0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B7C42">
    <w:pPr>
      <w:pStyle w:val="241"/>
      <w:jc w:val="right"/>
    </w:pPr>
    <w:r>
      <w:fldChar w:fldCharType="begin"/>
    </w:r>
    <w:r>
      <w:instrText xml:space="preserve">PAGE   \* MERGEFORMAT</w:instrText>
    </w:r>
    <w:r>
      <w:fldChar w:fldCharType="separate"/>
    </w:r>
    <w:r>
      <w:rPr>
        <w:lang w:val="zh-CN"/>
      </w:rPr>
      <w:t>-</w:t>
    </w:r>
    <w:r>
      <w:t xml:space="preserve"> 62 -</w:t>
    </w:r>
    <w:r>
      <w:fldChar w:fldCharType="end"/>
    </w:r>
  </w:p>
  <w:p w14:paraId="0D1B65A4">
    <w:pPr>
      <w:pStyle w:val="241"/>
      <w:jc w:val="center"/>
      <w:rPr>
        <w:rFonts w:hint="eastAsia"/>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3F826">
    <w:pPr>
      <w:pStyle w:val="241"/>
      <w:framePr w:wrap="around" w:vAnchor="text" w:hAnchor="margin" w:xAlign="center" w:y="1"/>
      <w:rPr>
        <w:rStyle w:val="266"/>
      </w:rPr>
    </w:pPr>
    <w:r>
      <w:fldChar w:fldCharType="begin"/>
    </w:r>
    <w:r>
      <w:rPr>
        <w:rStyle w:val="266"/>
      </w:rPr>
      <w:instrText xml:space="preserve">PAGE  </w:instrText>
    </w:r>
    <w:r>
      <w:fldChar w:fldCharType="separate"/>
    </w:r>
    <w:r>
      <w:rPr>
        <w:rStyle w:val="266"/>
      </w:rPr>
      <w:t>1</w:t>
    </w:r>
    <w:r>
      <w:fldChar w:fldCharType="end"/>
    </w:r>
  </w:p>
  <w:p w14:paraId="625C3A21">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24E72">
    <w:pPr>
      <w:pStyle w:val="24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73851B"/>
    <w:multiLevelType w:val="multilevel"/>
    <w:tmpl w:val="8C73851B"/>
    <w:lvl w:ilvl="0" w:tentative="0">
      <w:start w:val="1"/>
      <w:numFmt w:val="decimal"/>
      <w:suff w:val="space"/>
      <w:lvlText w:val="%1."/>
      <w:lvlJc w:val="left"/>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D10D54D"/>
    <w:multiLevelType w:val="singleLevel"/>
    <w:tmpl w:val="9D10D54D"/>
    <w:lvl w:ilvl="0" w:tentative="0">
      <w:start w:val="9"/>
      <w:numFmt w:val="chineseCounting"/>
      <w:suff w:val="nothing"/>
      <w:lvlText w:val="%1、"/>
      <w:lvlJc w:val="left"/>
      <w:rPr>
        <w:rFonts w:hint="eastAsia"/>
      </w:rPr>
    </w:lvl>
  </w:abstractNum>
  <w:abstractNum w:abstractNumId="3">
    <w:nsid w:val="0005DA34"/>
    <w:multiLevelType w:val="multilevel"/>
    <w:tmpl w:val="0005DA34"/>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0F24916"/>
    <w:multiLevelType w:val="singleLevel"/>
    <w:tmpl w:val="10F24916"/>
    <w:lvl w:ilvl="0" w:tentative="0">
      <w:start w:val="1"/>
      <w:numFmt w:val="decimal"/>
      <w:lvlText w:val="%1."/>
      <w:lvlJc w:val="left"/>
      <w:pPr>
        <w:tabs>
          <w:tab w:val="left" w:pos="312"/>
        </w:tabs>
      </w:pPr>
    </w:lvl>
  </w:abstractNum>
  <w:abstractNum w:abstractNumId="6">
    <w:nsid w:val="2A8F537B"/>
    <w:multiLevelType w:val="multilevel"/>
    <w:tmpl w:val="2A8F537B"/>
    <w:lvl w:ilvl="0" w:tentative="0">
      <w:start w:val="1"/>
      <w:numFmt w:val="upperLetter"/>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D1438C1"/>
    <w:multiLevelType w:val="multilevel"/>
    <w:tmpl w:val="2D1438C1"/>
    <w:lvl w:ilvl="0" w:tentative="0">
      <w:start w:val="1"/>
      <w:numFmt w:val="decimal"/>
      <w:pStyle w:val="2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08EE12A"/>
    <w:multiLevelType w:val="singleLevel"/>
    <w:tmpl w:val="408EE12A"/>
    <w:lvl w:ilvl="0" w:tentative="0">
      <w:start w:val="1"/>
      <w:numFmt w:val="decimal"/>
      <w:lvlText w:val="%1."/>
      <w:lvlJc w:val="left"/>
      <w:pPr>
        <w:tabs>
          <w:tab w:val="left" w:pos="312"/>
        </w:tabs>
      </w:pPr>
    </w:lvl>
  </w:abstractNum>
  <w:abstractNum w:abstractNumId="9">
    <w:nsid w:val="470FF841"/>
    <w:multiLevelType w:val="multilevel"/>
    <w:tmpl w:val="470FF841"/>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8203C85"/>
    <w:multiLevelType w:val="multilevel"/>
    <w:tmpl w:val="48203C8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7"/>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1"/>
      <w:suff w:val="nothing"/>
      <w:lvlText w:val=""/>
      <w:lvlJc w:val="left"/>
      <w:pPr>
        <w:ind w:left="0" w:firstLine="0"/>
      </w:pPr>
      <w:rPr>
        <w:rFonts w:hint="eastAsia"/>
      </w:rPr>
    </w:lvl>
    <w:lvl w:ilvl="8" w:tentative="0">
      <w:start w:val="1"/>
      <w:numFmt w:val="decimal"/>
      <w:pStyle w:val="213"/>
      <w:suff w:val="nothing"/>
      <w:lvlText w:val=""/>
      <w:lvlJc w:val="left"/>
      <w:pPr>
        <w:ind w:left="0" w:firstLine="0"/>
      </w:pPr>
      <w:rPr>
        <w:rFonts w:hint="eastAsia"/>
      </w:rPr>
    </w:lvl>
  </w:abstractNum>
  <w:abstractNum w:abstractNumId="11">
    <w:nsid w:val="54E457CA"/>
    <w:multiLevelType w:val="singleLevel"/>
    <w:tmpl w:val="54E457CA"/>
    <w:lvl w:ilvl="0" w:tentative="0">
      <w:start w:val="1"/>
      <w:numFmt w:val="decimal"/>
      <w:lvlText w:val="%1."/>
      <w:lvlJc w:val="left"/>
      <w:pPr>
        <w:tabs>
          <w:tab w:val="left" w:pos="312"/>
        </w:tabs>
      </w:pPr>
    </w:lvl>
  </w:abstractNum>
  <w:abstractNum w:abstractNumId="12">
    <w:nsid w:val="59ADCABA"/>
    <w:multiLevelType w:val="multilevel"/>
    <w:tmpl w:val="59ADCABA"/>
    <w:lvl w:ilvl="0" w:tentative="0">
      <w:start w:val="1"/>
      <w:numFmt w:val="decimal"/>
      <w:lvlText w:val="%1."/>
      <w:lvlJc w:val="left"/>
      <w:pPr>
        <w:ind w:left="490" w:hanging="277"/>
        <w:jc w:val="left"/>
      </w:pPr>
      <w:rPr>
        <w:rFonts w:hint="default" w:ascii="微软雅黑" w:hAnsi="微软雅黑" w:eastAsia="微软雅黑" w:cs="微软雅黑"/>
        <w:spacing w:val="-1"/>
        <w:w w:val="102"/>
        <w:sz w:val="19"/>
        <w:szCs w:val="19"/>
        <w:lang w:val="en-US" w:eastAsia="zh-CN" w:bidi="ar-SA"/>
      </w:rPr>
    </w:lvl>
    <w:lvl w:ilvl="1" w:tentative="0">
      <w:start w:val="0"/>
      <w:numFmt w:val="bullet"/>
      <w:lvlText w:val="•"/>
      <w:lvlJc w:val="left"/>
      <w:pPr>
        <w:ind w:left="1528" w:hanging="277"/>
      </w:pPr>
      <w:rPr>
        <w:rFonts w:hint="default"/>
        <w:lang w:val="en-US" w:eastAsia="zh-CN" w:bidi="ar-SA"/>
      </w:rPr>
    </w:lvl>
    <w:lvl w:ilvl="2" w:tentative="0">
      <w:start w:val="0"/>
      <w:numFmt w:val="bullet"/>
      <w:lvlText w:val="•"/>
      <w:lvlJc w:val="left"/>
      <w:pPr>
        <w:ind w:left="2556" w:hanging="277"/>
      </w:pPr>
      <w:rPr>
        <w:rFonts w:hint="default"/>
        <w:lang w:val="en-US" w:eastAsia="zh-CN" w:bidi="ar-SA"/>
      </w:rPr>
    </w:lvl>
    <w:lvl w:ilvl="3" w:tentative="0">
      <w:start w:val="0"/>
      <w:numFmt w:val="bullet"/>
      <w:lvlText w:val="•"/>
      <w:lvlJc w:val="left"/>
      <w:pPr>
        <w:ind w:left="3584" w:hanging="277"/>
      </w:pPr>
      <w:rPr>
        <w:rFonts w:hint="default"/>
        <w:lang w:val="en-US" w:eastAsia="zh-CN" w:bidi="ar-SA"/>
      </w:rPr>
    </w:lvl>
    <w:lvl w:ilvl="4" w:tentative="0">
      <w:start w:val="0"/>
      <w:numFmt w:val="bullet"/>
      <w:lvlText w:val="•"/>
      <w:lvlJc w:val="left"/>
      <w:pPr>
        <w:ind w:left="4612" w:hanging="277"/>
      </w:pPr>
      <w:rPr>
        <w:rFonts w:hint="default"/>
        <w:lang w:val="en-US" w:eastAsia="zh-CN" w:bidi="ar-SA"/>
      </w:rPr>
    </w:lvl>
    <w:lvl w:ilvl="5" w:tentative="0">
      <w:start w:val="0"/>
      <w:numFmt w:val="bullet"/>
      <w:lvlText w:val="•"/>
      <w:lvlJc w:val="left"/>
      <w:pPr>
        <w:ind w:left="5640" w:hanging="277"/>
      </w:pPr>
      <w:rPr>
        <w:rFonts w:hint="default"/>
        <w:lang w:val="en-US" w:eastAsia="zh-CN" w:bidi="ar-SA"/>
      </w:rPr>
    </w:lvl>
    <w:lvl w:ilvl="6" w:tentative="0">
      <w:start w:val="0"/>
      <w:numFmt w:val="bullet"/>
      <w:lvlText w:val="•"/>
      <w:lvlJc w:val="left"/>
      <w:pPr>
        <w:ind w:left="6668" w:hanging="277"/>
      </w:pPr>
      <w:rPr>
        <w:rFonts w:hint="default"/>
        <w:lang w:val="en-US" w:eastAsia="zh-CN" w:bidi="ar-SA"/>
      </w:rPr>
    </w:lvl>
    <w:lvl w:ilvl="7" w:tentative="0">
      <w:start w:val="0"/>
      <w:numFmt w:val="bullet"/>
      <w:lvlText w:val="•"/>
      <w:lvlJc w:val="left"/>
      <w:pPr>
        <w:ind w:left="7696" w:hanging="277"/>
      </w:pPr>
      <w:rPr>
        <w:rFonts w:hint="default"/>
        <w:lang w:val="en-US" w:eastAsia="zh-CN" w:bidi="ar-SA"/>
      </w:rPr>
    </w:lvl>
    <w:lvl w:ilvl="8" w:tentative="0">
      <w:start w:val="0"/>
      <w:numFmt w:val="bullet"/>
      <w:lvlText w:val="•"/>
      <w:lvlJc w:val="left"/>
      <w:pPr>
        <w:ind w:left="8724" w:hanging="277"/>
      </w:pPr>
      <w:rPr>
        <w:rFonts w:hint="default"/>
        <w:lang w:val="en-US" w:eastAsia="zh-CN" w:bidi="ar-SA"/>
      </w:rPr>
    </w:lvl>
  </w:abstractNum>
  <w:abstractNum w:abstractNumId="13">
    <w:nsid w:val="65D61E90"/>
    <w:multiLevelType w:val="multilevel"/>
    <w:tmpl w:val="65D61E90"/>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584BCEA"/>
    <w:multiLevelType w:val="singleLevel"/>
    <w:tmpl w:val="7584BCEA"/>
    <w:lvl w:ilvl="0" w:tentative="0">
      <w:start w:val="1"/>
      <w:numFmt w:val="decimal"/>
      <w:lvlText w:val="(%1)"/>
      <w:lvlJc w:val="left"/>
      <w:pPr>
        <w:tabs>
          <w:tab w:val="left" w:pos="312"/>
        </w:tabs>
      </w:pPr>
    </w:lvl>
  </w:abstractNum>
  <w:abstractNum w:abstractNumId="16">
    <w:nsid w:val="7BBC20D0"/>
    <w:multiLevelType w:val="multilevel"/>
    <w:tmpl w:val="7BBC20D0"/>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7"/>
  </w:num>
  <w:num w:numId="4">
    <w:abstractNumId w:val="3"/>
  </w:num>
  <w:num w:numId="5">
    <w:abstractNumId w:val="11"/>
  </w:num>
  <w:num w:numId="6">
    <w:abstractNumId w:val="0"/>
  </w:num>
  <w:num w:numId="7">
    <w:abstractNumId w:val="5"/>
  </w:num>
  <w:num w:numId="8">
    <w:abstractNumId w:val="14"/>
  </w:num>
  <w:num w:numId="9">
    <w:abstractNumId w:val="4"/>
  </w:num>
  <w:num w:numId="10">
    <w:abstractNumId w:val="1"/>
  </w:num>
  <w:num w:numId="11">
    <w:abstractNumId w:val="6"/>
  </w:num>
  <w:num w:numId="12">
    <w:abstractNumId w:val="13"/>
  </w:num>
  <w:num w:numId="13">
    <w:abstractNumId w:val="15"/>
  </w:num>
  <w:num w:numId="14">
    <w:abstractNumId w:val="16"/>
  </w:num>
  <w:num w:numId="15">
    <w:abstractNumId w:val="2"/>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12C"/>
    <w:rsid w:val="00020A0B"/>
    <w:rsid w:val="000316F3"/>
    <w:rsid w:val="00046623"/>
    <w:rsid w:val="00076791"/>
    <w:rsid w:val="000917BF"/>
    <w:rsid w:val="000B7393"/>
    <w:rsid w:val="000C4D36"/>
    <w:rsid w:val="000D492F"/>
    <w:rsid w:val="000E78D9"/>
    <w:rsid w:val="00150BD0"/>
    <w:rsid w:val="00156497"/>
    <w:rsid w:val="00170EDC"/>
    <w:rsid w:val="00180605"/>
    <w:rsid w:val="00184378"/>
    <w:rsid w:val="001865CF"/>
    <w:rsid w:val="0019587B"/>
    <w:rsid w:val="00197666"/>
    <w:rsid w:val="001B00BA"/>
    <w:rsid w:val="001B5217"/>
    <w:rsid w:val="001B5E13"/>
    <w:rsid w:val="001F3BF1"/>
    <w:rsid w:val="001F4327"/>
    <w:rsid w:val="00201FBB"/>
    <w:rsid w:val="002152FA"/>
    <w:rsid w:val="002263B8"/>
    <w:rsid w:val="00230E84"/>
    <w:rsid w:val="00247810"/>
    <w:rsid w:val="002532A9"/>
    <w:rsid w:val="0026612C"/>
    <w:rsid w:val="00272D34"/>
    <w:rsid w:val="002738C6"/>
    <w:rsid w:val="002C06E4"/>
    <w:rsid w:val="002C1883"/>
    <w:rsid w:val="002D02B7"/>
    <w:rsid w:val="002E078C"/>
    <w:rsid w:val="002E0D5F"/>
    <w:rsid w:val="002E5078"/>
    <w:rsid w:val="002F4029"/>
    <w:rsid w:val="002F4906"/>
    <w:rsid w:val="003032D8"/>
    <w:rsid w:val="003117D0"/>
    <w:rsid w:val="00314308"/>
    <w:rsid w:val="00317383"/>
    <w:rsid w:val="003214DE"/>
    <w:rsid w:val="003427A4"/>
    <w:rsid w:val="00351137"/>
    <w:rsid w:val="00364BD3"/>
    <w:rsid w:val="003663BA"/>
    <w:rsid w:val="00366D34"/>
    <w:rsid w:val="00366DB5"/>
    <w:rsid w:val="00372748"/>
    <w:rsid w:val="003834F5"/>
    <w:rsid w:val="003A3141"/>
    <w:rsid w:val="003C40EF"/>
    <w:rsid w:val="003D6C3E"/>
    <w:rsid w:val="003F13AD"/>
    <w:rsid w:val="00400397"/>
    <w:rsid w:val="00405448"/>
    <w:rsid w:val="00420149"/>
    <w:rsid w:val="004217DE"/>
    <w:rsid w:val="00422781"/>
    <w:rsid w:val="004279F8"/>
    <w:rsid w:val="00453BE9"/>
    <w:rsid w:val="00453C86"/>
    <w:rsid w:val="00461082"/>
    <w:rsid w:val="00461C06"/>
    <w:rsid w:val="00465059"/>
    <w:rsid w:val="00467C3B"/>
    <w:rsid w:val="0047022B"/>
    <w:rsid w:val="00490403"/>
    <w:rsid w:val="00494822"/>
    <w:rsid w:val="004A30C1"/>
    <w:rsid w:val="004A4C06"/>
    <w:rsid w:val="004B1234"/>
    <w:rsid w:val="004B7B7E"/>
    <w:rsid w:val="004C327A"/>
    <w:rsid w:val="004D080B"/>
    <w:rsid w:val="004D1274"/>
    <w:rsid w:val="004E6A65"/>
    <w:rsid w:val="004E7D3B"/>
    <w:rsid w:val="0050757B"/>
    <w:rsid w:val="005113F6"/>
    <w:rsid w:val="00520B2B"/>
    <w:rsid w:val="00521128"/>
    <w:rsid w:val="00523EB0"/>
    <w:rsid w:val="005521B4"/>
    <w:rsid w:val="00557A90"/>
    <w:rsid w:val="0057639C"/>
    <w:rsid w:val="00596B96"/>
    <w:rsid w:val="00597DD6"/>
    <w:rsid w:val="005C564A"/>
    <w:rsid w:val="005D47F1"/>
    <w:rsid w:val="00601CDB"/>
    <w:rsid w:val="00612EDF"/>
    <w:rsid w:val="00630202"/>
    <w:rsid w:val="00633884"/>
    <w:rsid w:val="00640395"/>
    <w:rsid w:val="00641BA5"/>
    <w:rsid w:val="006545EE"/>
    <w:rsid w:val="006633C6"/>
    <w:rsid w:val="00675CBE"/>
    <w:rsid w:val="006849D4"/>
    <w:rsid w:val="006A123F"/>
    <w:rsid w:val="006A3D26"/>
    <w:rsid w:val="006D3AE7"/>
    <w:rsid w:val="006D53AC"/>
    <w:rsid w:val="006E1277"/>
    <w:rsid w:val="006E4406"/>
    <w:rsid w:val="006F472D"/>
    <w:rsid w:val="00702B1C"/>
    <w:rsid w:val="00732DF9"/>
    <w:rsid w:val="00734159"/>
    <w:rsid w:val="00785252"/>
    <w:rsid w:val="00785895"/>
    <w:rsid w:val="007A1664"/>
    <w:rsid w:val="007A6515"/>
    <w:rsid w:val="007A77BA"/>
    <w:rsid w:val="007D2AAF"/>
    <w:rsid w:val="007F07BA"/>
    <w:rsid w:val="007F3BDE"/>
    <w:rsid w:val="00804DA4"/>
    <w:rsid w:val="00810543"/>
    <w:rsid w:val="00816F08"/>
    <w:rsid w:val="00817676"/>
    <w:rsid w:val="00835775"/>
    <w:rsid w:val="00835EAC"/>
    <w:rsid w:val="00843505"/>
    <w:rsid w:val="0084772C"/>
    <w:rsid w:val="008537B3"/>
    <w:rsid w:val="008673F8"/>
    <w:rsid w:val="0088688E"/>
    <w:rsid w:val="00890AF1"/>
    <w:rsid w:val="008959AA"/>
    <w:rsid w:val="008A55D5"/>
    <w:rsid w:val="008B08ED"/>
    <w:rsid w:val="008B2524"/>
    <w:rsid w:val="008C693F"/>
    <w:rsid w:val="008E698D"/>
    <w:rsid w:val="008F3A61"/>
    <w:rsid w:val="008F3F28"/>
    <w:rsid w:val="009169B4"/>
    <w:rsid w:val="00920750"/>
    <w:rsid w:val="00936B16"/>
    <w:rsid w:val="00937C61"/>
    <w:rsid w:val="0097362C"/>
    <w:rsid w:val="00992F44"/>
    <w:rsid w:val="009C3BCC"/>
    <w:rsid w:val="009C6225"/>
    <w:rsid w:val="009C7316"/>
    <w:rsid w:val="009D2A96"/>
    <w:rsid w:val="009E1A0D"/>
    <w:rsid w:val="009F1BC9"/>
    <w:rsid w:val="00A26F41"/>
    <w:rsid w:val="00A42779"/>
    <w:rsid w:val="00A43778"/>
    <w:rsid w:val="00A54484"/>
    <w:rsid w:val="00A9494F"/>
    <w:rsid w:val="00AA5226"/>
    <w:rsid w:val="00AC26EE"/>
    <w:rsid w:val="00AC31A5"/>
    <w:rsid w:val="00AD1E11"/>
    <w:rsid w:val="00B0351C"/>
    <w:rsid w:val="00B121E7"/>
    <w:rsid w:val="00B525F6"/>
    <w:rsid w:val="00B60078"/>
    <w:rsid w:val="00B63AC3"/>
    <w:rsid w:val="00B73883"/>
    <w:rsid w:val="00B9374D"/>
    <w:rsid w:val="00B93999"/>
    <w:rsid w:val="00BA2162"/>
    <w:rsid w:val="00BE146A"/>
    <w:rsid w:val="00BE6F56"/>
    <w:rsid w:val="00C02E6D"/>
    <w:rsid w:val="00C424EC"/>
    <w:rsid w:val="00C42E30"/>
    <w:rsid w:val="00C63B60"/>
    <w:rsid w:val="00C67942"/>
    <w:rsid w:val="00C72B14"/>
    <w:rsid w:val="00C9296D"/>
    <w:rsid w:val="00CA06DD"/>
    <w:rsid w:val="00CC4F83"/>
    <w:rsid w:val="00CE431D"/>
    <w:rsid w:val="00CE774E"/>
    <w:rsid w:val="00CF0DEC"/>
    <w:rsid w:val="00CF2875"/>
    <w:rsid w:val="00CF659B"/>
    <w:rsid w:val="00D16322"/>
    <w:rsid w:val="00D31077"/>
    <w:rsid w:val="00D5008E"/>
    <w:rsid w:val="00D77A7A"/>
    <w:rsid w:val="00D86813"/>
    <w:rsid w:val="00DA5C26"/>
    <w:rsid w:val="00DB4767"/>
    <w:rsid w:val="00DB57D3"/>
    <w:rsid w:val="00DB6777"/>
    <w:rsid w:val="00DD614A"/>
    <w:rsid w:val="00E054C3"/>
    <w:rsid w:val="00E072C7"/>
    <w:rsid w:val="00E32B6C"/>
    <w:rsid w:val="00E5278A"/>
    <w:rsid w:val="00E64721"/>
    <w:rsid w:val="00E93218"/>
    <w:rsid w:val="00E9400B"/>
    <w:rsid w:val="00EB2365"/>
    <w:rsid w:val="00ED1BFD"/>
    <w:rsid w:val="00ED3FB7"/>
    <w:rsid w:val="00EE7129"/>
    <w:rsid w:val="00EF19E6"/>
    <w:rsid w:val="00F3645E"/>
    <w:rsid w:val="00F4261F"/>
    <w:rsid w:val="00F44974"/>
    <w:rsid w:val="00F6207A"/>
    <w:rsid w:val="00F7735A"/>
    <w:rsid w:val="00F80F80"/>
    <w:rsid w:val="00F964CF"/>
    <w:rsid w:val="00FC031A"/>
    <w:rsid w:val="00FE4247"/>
    <w:rsid w:val="00FF0754"/>
    <w:rsid w:val="011D0D1E"/>
    <w:rsid w:val="012A2737"/>
    <w:rsid w:val="01313F60"/>
    <w:rsid w:val="01475D04"/>
    <w:rsid w:val="014B1EB6"/>
    <w:rsid w:val="017E2A82"/>
    <w:rsid w:val="019D73AC"/>
    <w:rsid w:val="01AD00CE"/>
    <w:rsid w:val="01BB7833"/>
    <w:rsid w:val="01BD14F3"/>
    <w:rsid w:val="01CC1C02"/>
    <w:rsid w:val="01DF5C17"/>
    <w:rsid w:val="0201302D"/>
    <w:rsid w:val="02186A33"/>
    <w:rsid w:val="022A6DAF"/>
    <w:rsid w:val="02303F74"/>
    <w:rsid w:val="02572DDA"/>
    <w:rsid w:val="02624490"/>
    <w:rsid w:val="02657CFF"/>
    <w:rsid w:val="02AB78A7"/>
    <w:rsid w:val="02B43095"/>
    <w:rsid w:val="02BC2AE3"/>
    <w:rsid w:val="02C754CF"/>
    <w:rsid w:val="03497C46"/>
    <w:rsid w:val="034D6BB0"/>
    <w:rsid w:val="035241C7"/>
    <w:rsid w:val="03976A73"/>
    <w:rsid w:val="03AC0546"/>
    <w:rsid w:val="03CA0201"/>
    <w:rsid w:val="03CB4164"/>
    <w:rsid w:val="03D61E65"/>
    <w:rsid w:val="03E428B0"/>
    <w:rsid w:val="03F32F39"/>
    <w:rsid w:val="03F90E04"/>
    <w:rsid w:val="03FF0950"/>
    <w:rsid w:val="04141ED4"/>
    <w:rsid w:val="04293CFB"/>
    <w:rsid w:val="046143CB"/>
    <w:rsid w:val="04670E5D"/>
    <w:rsid w:val="048C421C"/>
    <w:rsid w:val="04936845"/>
    <w:rsid w:val="04A67347"/>
    <w:rsid w:val="04B714D1"/>
    <w:rsid w:val="04D247FF"/>
    <w:rsid w:val="04DB0649"/>
    <w:rsid w:val="04E4034A"/>
    <w:rsid w:val="04EE6171"/>
    <w:rsid w:val="054967AD"/>
    <w:rsid w:val="055C2098"/>
    <w:rsid w:val="05BD626F"/>
    <w:rsid w:val="05BE1FE7"/>
    <w:rsid w:val="05C07B0D"/>
    <w:rsid w:val="05C50D54"/>
    <w:rsid w:val="05D93239"/>
    <w:rsid w:val="05DD5625"/>
    <w:rsid w:val="05F61781"/>
    <w:rsid w:val="061340E1"/>
    <w:rsid w:val="06382729"/>
    <w:rsid w:val="065C36FD"/>
    <w:rsid w:val="066E18CA"/>
    <w:rsid w:val="066F003F"/>
    <w:rsid w:val="0683733C"/>
    <w:rsid w:val="069360D2"/>
    <w:rsid w:val="06E478C3"/>
    <w:rsid w:val="06E635A4"/>
    <w:rsid w:val="07195727"/>
    <w:rsid w:val="071A2D33"/>
    <w:rsid w:val="0725531D"/>
    <w:rsid w:val="07A513C4"/>
    <w:rsid w:val="07AD5B55"/>
    <w:rsid w:val="07BF0C15"/>
    <w:rsid w:val="07C92500"/>
    <w:rsid w:val="07E76C04"/>
    <w:rsid w:val="07EA6EC3"/>
    <w:rsid w:val="07EF2272"/>
    <w:rsid w:val="080D3120"/>
    <w:rsid w:val="080D690E"/>
    <w:rsid w:val="08313B80"/>
    <w:rsid w:val="083706DF"/>
    <w:rsid w:val="08436E14"/>
    <w:rsid w:val="0852399A"/>
    <w:rsid w:val="08625452"/>
    <w:rsid w:val="08682B69"/>
    <w:rsid w:val="086C26E0"/>
    <w:rsid w:val="08F17FDE"/>
    <w:rsid w:val="09006F08"/>
    <w:rsid w:val="094905F4"/>
    <w:rsid w:val="095011A8"/>
    <w:rsid w:val="09564AC8"/>
    <w:rsid w:val="095B73E3"/>
    <w:rsid w:val="0967021B"/>
    <w:rsid w:val="096C65C2"/>
    <w:rsid w:val="097B33C8"/>
    <w:rsid w:val="099E768A"/>
    <w:rsid w:val="09EF276F"/>
    <w:rsid w:val="09F05C1C"/>
    <w:rsid w:val="0A0021CD"/>
    <w:rsid w:val="0A00382D"/>
    <w:rsid w:val="0A0501E5"/>
    <w:rsid w:val="0A201B31"/>
    <w:rsid w:val="0A3E3365"/>
    <w:rsid w:val="0A40419F"/>
    <w:rsid w:val="0A4A7645"/>
    <w:rsid w:val="0A823C26"/>
    <w:rsid w:val="0A8530D4"/>
    <w:rsid w:val="0A8D1F77"/>
    <w:rsid w:val="0A9133AF"/>
    <w:rsid w:val="0A9E57DD"/>
    <w:rsid w:val="0AFF7045"/>
    <w:rsid w:val="0B0673E9"/>
    <w:rsid w:val="0B246449"/>
    <w:rsid w:val="0B3E5597"/>
    <w:rsid w:val="0B5224A3"/>
    <w:rsid w:val="0B546770"/>
    <w:rsid w:val="0B717E57"/>
    <w:rsid w:val="0B8C581D"/>
    <w:rsid w:val="0BAD09B5"/>
    <w:rsid w:val="0BC97BED"/>
    <w:rsid w:val="0BFC074E"/>
    <w:rsid w:val="0C0C1FF2"/>
    <w:rsid w:val="0C266BE8"/>
    <w:rsid w:val="0C304497"/>
    <w:rsid w:val="0C311F07"/>
    <w:rsid w:val="0C49746F"/>
    <w:rsid w:val="0C5C1C12"/>
    <w:rsid w:val="0C650A72"/>
    <w:rsid w:val="0C6514E4"/>
    <w:rsid w:val="0C684A5B"/>
    <w:rsid w:val="0C6D47A8"/>
    <w:rsid w:val="0C9C450F"/>
    <w:rsid w:val="0CAB0E29"/>
    <w:rsid w:val="0CBC2B4C"/>
    <w:rsid w:val="0CD62711"/>
    <w:rsid w:val="0CD724B2"/>
    <w:rsid w:val="0CE444BD"/>
    <w:rsid w:val="0D157D63"/>
    <w:rsid w:val="0D1F0495"/>
    <w:rsid w:val="0D314E4D"/>
    <w:rsid w:val="0D441024"/>
    <w:rsid w:val="0D554FDF"/>
    <w:rsid w:val="0D6156BB"/>
    <w:rsid w:val="0D701E19"/>
    <w:rsid w:val="0D8F6E0D"/>
    <w:rsid w:val="0DDB70EE"/>
    <w:rsid w:val="0DE93979"/>
    <w:rsid w:val="0DEF083C"/>
    <w:rsid w:val="0DF1287B"/>
    <w:rsid w:val="0DF447F8"/>
    <w:rsid w:val="0E3D2E6B"/>
    <w:rsid w:val="0EA12C66"/>
    <w:rsid w:val="0EA44FFF"/>
    <w:rsid w:val="0EBC33BB"/>
    <w:rsid w:val="0EC84DA0"/>
    <w:rsid w:val="0ED71A24"/>
    <w:rsid w:val="0ED71D6D"/>
    <w:rsid w:val="0F0767AD"/>
    <w:rsid w:val="0F0B68D1"/>
    <w:rsid w:val="0F293D6D"/>
    <w:rsid w:val="0F5B4FC2"/>
    <w:rsid w:val="0F9A317D"/>
    <w:rsid w:val="0FC1695C"/>
    <w:rsid w:val="0FC65D20"/>
    <w:rsid w:val="0FD147C9"/>
    <w:rsid w:val="0FD97A1A"/>
    <w:rsid w:val="0FE90C6D"/>
    <w:rsid w:val="0FFE760A"/>
    <w:rsid w:val="101747CE"/>
    <w:rsid w:val="102978DA"/>
    <w:rsid w:val="102C7938"/>
    <w:rsid w:val="102F7D69"/>
    <w:rsid w:val="10374E70"/>
    <w:rsid w:val="104E5D16"/>
    <w:rsid w:val="105E064F"/>
    <w:rsid w:val="106C21B5"/>
    <w:rsid w:val="10925A19"/>
    <w:rsid w:val="10A122E9"/>
    <w:rsid w:val="10B10EAB"/>
    <w:rsid w:val="10BC5AA5"/>
    <w:rsid w:val="10CD7582"/>
    <w:rsid w:val="10D650C7"/>
    <w:rsid w:val="10E8616A"/>
    <w:rsid w:val="10E9510E"/>
    <w:rsid w:val="11010158"/>
    <w:rsid w:val="11011A22"/>
    <w:rsid w:val="11082369"/>
    <w:rsid w:val="11103A05"/>
    <w:rsid w:val="11170587"/>
    <w:rsid w:val="111E357A"/>
    <w:rsid w:val="1165779F"/>
    <w:rsid w:val="116F273E"/>
    <w:rsid w:val="11754AA2"/>
    <w:rsid w:val="118714DF"/>
    <w:rsid w:val="11A64059"/>
    <w:rsid w:val="11C7052A"/>
    <w:rsid w:val="11E626AA"/>
    <w:rsid w:val="11FC344C"/>
    <w:rsid w:val="122D02D9"/>
    <w:rsid w:val="122D0E8D"/>
    <w:rsid w:val="12353631"/>
    <w:rsid w:val="12567090"/>
    <w:rsid w:val="126B11BF"/>
    <w:rsid w:val="126E2C82"/>
    <w:rsid w:val="128857C0"/>
    <w:rsid w:val="12AA7B7B"/>
    <w:rsid w:val="12BE5911"/>
    <w:rsid w:val="13180CB3"/>
    <w:rsid w:val="131E5227"/>
    <w:rsid w:val="13285B03"/>
    <w:rsid w:val="1347361C"/>
    <w:rsid w:val="135953B4"/>
    <w:rsid w:val="1385150D"/>
    <w:rsid w:val="13871BD3"/>
    <w:rsid w:val="13BD302D"/>
    <w:rsid w:val="13C216FC"/>
    <w:rsid w:val="13CC59B7"/>
    <w:rsid w:val="13F86ECA"/>
    <w:rsid w:val="13FA1BED"/>
    <w:rsid w:val="144B61E9"/>
    <w:rsid w:val="147A7427"/>
    <w:rsid w:val="14847F58"/>
    <w:rsid w:val="14B06F9F"/>
    <w:rsid w:val="14C45D3C"/>
    <w:rsid w:val="14CA39A9"/>
    <w:rsid w:val="14EC1151"/>
    <w:rsid w:val="14F277EF"/>
    <w:rsid w:val="14FD1AC5"/>
    <w:rsid w:val="15112A00"/>
    <w:rsid w:val="15241F50"/>
    <w:rsid w:val="15535755"/>
    <w:rsid w:val="155B5497"/>
    <w:rsid w:val="15845ED1"/>
    <w:rsid w:val="158A09C0"/>
    <w:rsid w:val="159341B5"/>
    <w:rsid w:val="15C131B8"/>
    <w:rsid w:val="160F7CF5"/>
    <w:rsid w:val="16141EE8"/>
    <w:rsid w:val="16206241"/>
    <w:rsid w:val="162437A1"/>
    <w:rsid w:val="16244FC0"/>
    <w:rsid w:val="162714E3"/>
    <w:rsid w:val="164B0B45"/>
    <w:rsid w:val="166567A5"/>
    <w:rsid w:val="16660E75"/>
    <w:rsid w:val="166B342B"/>
    <w:rsid w:val="169E5370"/>
    <w:rsid w:val="16B31282"/>
    <w:rsid w:val="16BE72DC"/>
    <w:rsid w:val="16CB2A44"/>
    <w:rsid w:val="170466EF"/>
    <w:rsid w:val="17113F08"/>
    <w:rsid w:val="172461F9"/>
    <w:rsid w:val="17572FBC"/>
    <w:rsid w:val="17672074"/>
    <w:rsid w:val="17823028"/>
    <w:rsid w:val="178C3CF3"/>
    <w:rsid w:val="179A16BB"/>
    <w:rsid w:val="179B713C"/>
    <w:rsid w:val="18150F13"/>
    <w:rsid w:val="182644B9"/>
    <w:rsid w:val="187A4C68"/>
    <w:rsid w:val="18997E67"/>
    <w:rsid w:val="189D555A"/>
    <w:rsid w:val="18AF4E5E"/>
    <w:rsid w:val="18B0330F"/>
    <w:rsid w:val="18B81128"/>
    <w:rsid w:val="18CD55AF"/>
    <w:rsid w:val="18CD6371"/>
    <w:rsid w:val="18DC4807"/>
    <w:rsid w:val="18DD74FF"/>
    <w:rsid w:val="18FC0A05"/>
    <w:rsid w:val="19153875"/>
    <w:rsid w:val="19384D8A"/>
    <w:rsid w:val="193F59E1"/>
    <w:rsid w:val="194E31B4"/>
    <w:rsid w:val="195B481F"/>
    <w:rsid w:val="196D3C94"/>
    <w:rsid w:val="1988751A"/>
    <w:rsid w:val="19AA0461"/>
    <w:rsid w:val="19C63C0E"/>
    <w:rsid w:val="19C81275"/>
    <w:rsid w:val="19D34E8C"/>
    <w:rsid w:val="19E66834"/>
    <w:rsid w:val="19EA2CB8"/>
    <w:rsid w:val="19EC1B1A"/>
    <w:rsid w:val="19EC2827"/>
    <w:rsid w:val="19F17097"/>
    <w:rsid w:val="1A187F1D"/>
    <w:rsid w:val="1A257974"/>
    <w:rsid w:val="1A260BD2"/>
    <w:rsid w:val="1A283D75"/>
    <w:rsid w:val="1A3B4A49"/>
    <w:rsid w:val="1A814098"/>
    <w:rsid w:val="1A8477ED"/>
    <w:rsid w:val="1A8C45F2"/>
    <w:rsid w:val="1A9E3398"/>
    <w:rsid w:val="1AEB5B33"/>
    <w:rsid w:val="1AF851FC"/>
    <w:rsid w:val="1B0537E4"/>
    <w:rsid w:val="1B1A2A74"/>
    <w:rsid w:val="1B244243"/>
    <w:rsid w:val="1B303BC7"/>
    <w:rsid w:val="1B595A85"/>
    <w:rsid w:val="1B730C5D"/>
    <w:rsid w:val="1B8A054A"/>
    <w:rsid w:val="1B8F5B60"/>
    <w:rsid w:val="1B917644"/>
    <w:rsid w:val="1B963D2F"/>
    <w:rsid w:val="1BEA0FE8"/>
    <w:rsid w:val="1BFB09C3"/>
    <w:rsid w:val="1C036637"/>
    <w:rsid w:val="1C1010F1"/>
    <w:rsid w:val="1C211D51"/>
    <w:rsid w:val="1C5B2030"/>
    <w:rsid w:val="1C60574F"/>
    <w:rsid w:val="1C8A538C"/>
    <w:rsid w:val="1C910CBE"/>
    <w:rsid w:val="1CA405A6"/>
    <w:rsid w:val="1CC03ABA"/>
    <w:rsid w:val="1CC57360"/>
    <w:rsid w:val="1CC950A2"/>
    <w:rsid w:val="1CEB5018"/>
    <w:rsid w:val="1CEC0D90"/>
    <w:rsid w:val="1CFC4F75"/>
    <w:rsid w:val="1D01261E"/>
    <w:rsid w:val="1D0936F0"/>
    <w:rsid w:val="1D636B46"/>
    <w:rsid w:val="1D6778A8"/>
    <w:rsid w:val="1DBA77BE"/>
    <w:rsid w:val="1DC1221D"/>
    <w:rsid w:val="1DC3766D"/>
    <w:rsid w:val="1DC675B2"/>
    <w:rsid w:val="1DCE5F09"/>
    <w:rsid w:val="1DE5615E"/>
    <w:rsid w:val="1DEA0FB7"/>
    <w:rsid w:val="1DFC3255"/>
    <w:rsid w:val="1E080E0F"/>
    <w:rsid w:val="1E4E511A"/>
    <w:rsid w:val="1E8F0832"/>
    <w:rsid w:val="1E92548C"/>
    <w:rsid w:val="1E937238"/>
    <w:rsid w:val="1ED31C96"/>
    <w:rsid w:val="1EED11DB"/>
    <w:rsid w:val="1EEE5408"/>
    <w:rsid w:val="1EF86BDC"/>
    <w:rsid w:val="1EFD54D7"/>
    <w:rsid w:val="1F5122ED"/>
    <w:rsid w:val="1F68534D"/>
    <w:rsid w:val="1F952153"/>
    <w:rsid w:val="1FA262CD"/>
    <w:rsid w:val="1FC55242"/>
    <w:rsid w:val="1FFC578E"/>
    <w:rsid w:val="201C3E17"/>
    <w:rsid w:val="205329D2"/>
    <w:rsid w:val="206673AF"/>
    <w:rsid w:val="208A2105"/>
    <w:rsid w:val="208B3605"/>
    <w:rsid w:val="208F405E"/>
    <w:rsid w:val="209054C4"/>
    <w:rsid w:val="20C256D8"/>
    <w:rsid w:val="20D34084"/>
    <w:rsid w:val="20E64474"/>
    <w:rsid w:val="210A3AE5"/>
    <w:rsid w:val="210B7BFA"/>
    <w:rsid w:val="211E38B3"/>
    <w:rsid w:val="21222FD3"/>
    <w:rsid w:val="21244F9D"/>
    <w:rsid w:val="21253C2A"/>
    <w:rsid w:val="212F7E01"/>
    <w:rsid w:val="213C22E6"/>
    <w:rsid w:val="217557F8"/>
    <w:rsid w:val="21D818E3"/>
    <w:rsid w:val="220F749F"/>
    <w:rsid w:val="225C71F5"/>
    <w:rsid w:val="225E4682"/>
    <w:rsid w:val="22647910"/>
    <w:rsid w:val="22851F9A"/>
    <w:rsid w:val="22910410"/>
    <w:rsid w:val="229B49E4"/>
    <w:rsid w:val="229D6EE5"/>
    <w:rsid w:val="22C02938"/>
    <w:rsid w:val="22C11262"/>
    <w:rsid w:val="22C80558"/>
    <w:rsid w:val="22D8603F"/>
    <w:rsid w:val="22FD6A4D"/>
    <w:rsid w:val="231352C9"/>
    <w:rsid w:val="23166F6D"/>
    <w:rsid w:val="23353491"/>
    <w:rsid w:val="234D74B3"/>
    <w:rsid w:val="238B1303"/>
    <w:rsid w:val="23930C1F"/>
    <w:rsid w:val="23DF2DDD"/>
    <w:rsid w:val="24087567"/>
    <w:rsid w:val="240D7547"/>
    <w:rsid w:val="2423153B"/>
    <w:rsid w:val="24430DBB"/>
    <w:rsid w:val="244B1D53"/>
    <w:rsid w:val="245C67FB"/>
    <w:rsid w:val="246B4C91"/>
    <w:rsid w:val="24902830"/>
    <w:rsid w:val="24B16B47"/>
    <w:rsid w:val="24CB075E"/>
    <w:rsid w:val="24D1681D"/>
    <w:rsid w:val="24D75F82"/>
    <w:rsid w:val="24EE7708"/>
    <w:rsid w:val="24F15EB8"/>
    <w:rsid w:val="25142258"/>
    <w:rsid w:val="25186BC6"/>
    <w:rsid w:val="259048CC"/>
    <w:rsid w:val="25B5245F"/>
    <w:rsid w:val="25CA020F"/>
    <w:rsid w:val="2619229C"/>
    <w:rsid w:val="2627173D"/>
    <w:rsid w:val="262F656B"/>
    <w:rsid w:val="263D6C98"/>
    <w:rsid w:val="26625BC2"/>
    <w:rsid w:val="266618EF"/>
    <w:rsid w:val="269728B5"/>
    <w:rsid w:val="26D134D1"/>
    <w:rsid w:val="26E734B9"/>
    <w:rsid w:val="26FB0D17"/>
    <w:rsid w:val="27053978"/>
    <w:rsid w:val="27111C9E"/>
    <w:rsid w:val="2717777F"/>
    <w:rsid w:val="27360CEB"/>
    <w:rsid w:val="27376191"/>
    <w:rsid w:val="27800A53"/>
    <w:rsid w:val="27F84A8D"/>
    <w:rsid w:val="28395A0A"/>
    <w:rsid w:val="285B2B5C"/>
    <w:rsid w:val="28662918"/>
    <w:rsid w:val="287B66AD"/>
    <w:rsid w:val="287E4EA3"/>
    <w:rsid w:val="287F11BC"/>
    <w:rsid w:val="28A229B1"/>
    <w:rsid w:val="28B34C27"/>
    <w:rsid w:val="28B409B4"/>
    <w:rsid w:val="28B81882"/>
    <w:rsid w:val="28C77B6A"/>
    <w:rsid w:val="291420A9"/>
    <w:rsid w:val="29171D1B"/>
    <w:rsid w:val="29A1666F"/>
    <w:rsid w:val="29D25259"/>
    <w:rsid w:val="29DF3150"/>
    <w:rsid w:val="29E3678C"/>
    <w:rsid w:val="29E654E5"/>
    <w:rsid w:val="2A061253"/>
    <w:rsid w:val="2A2B2AE2"/>
    <w:rsid w:val="2A2B739C"/>
    <w:rsid w:val="2A6B1546"/>
    <w:rsid w:val="2A84085A"/>
    <w:rsid w:val="2A9A1E2C"/>
    <w:rsid w:val="2A9F4EFA"/>
    <w:rsid w:val="2AA53905"/>
    <w:rsid w:val="2AC1385C"/>
    <w:rsid w:val="2AE3370D"/>
    <w:rsid w:val="2B157704"/>
    <w:rsid w:val="2B2B10ED"/>
    <w:rsid w:val="2BA74C87"/>
    <w:rsid w:val="2BAC7115"/>
    <w:rsid w:val="2BAF760E"/>
    <w:rsid w:val="2BEE1A12"/>
    <w:rsid w:val="2C1D4AC2"/>
    <w:rsid w:val="2C607A86"/>
    <w:rsid w:val="2C7212B2"/>
    <w:rsid w:val="2C972AC7"/>
    <w:rsid w:val="2CC80477"/>
    <w:rsid w:val="2CCE569A"/>
    <w:rsid w:val="2CDF37FE"/>
    <w:rsid w:val="2CE06E25"/>
    <w:rsid w:val="2CF3503A"/>
    <w:rsid w:val="2D5B4B56"/>
    <w:rsid w:val="2D6740ED"/>
    <w:rsid w:val="2D811081"/>
    <w:rsid w:val="2D907C42"/>
    <w:rsid w:val="2DAD495C"/>
    <w:rsid w:val="2DB77EC3"/>
    <w:rsid w:val="2DCD054A"/>
    <w:rsid w:val="2DCE15AF"/>
    <w:rsid w:val="2DD914DD"/>
    <w:rsid w:val="2E016958"/>
    <w:rsid w:val="2E121B0B"/>
    <w:rsid w:val="2E2E310A"/>
    <w:rsid w:val="2E495311"/>
    <w:rsid w:val="2E5978A3"/>
    <w:rsid w:val="2E7153AB"/>
    <w:rsid w:val="2E727EB9"/>
    <w:rsid w:val="2E9276CB"/>
    <w:rsid w:val="2EA4771D"/>
    <w:rsid w:val="2EBC07B1"/>
    <w:rsid w:val="2ECB20BA"/>
    <w:rsid w:val="2ED20D19"/>
    <w:rsid w:val="2ED51684"/>
    <w:rsid w:val="2EDD7B2A"/>
    <w:rsid w:val="2EE63891"/>
    <w:rsid w:val="2EFB0588"/>
    <w:rsid w:val="2F0D0E1E"/>
    <w:rsid w:val="2F2D2212"/>
    <w:rsid w:val="2F316221"/>
    <w:rsid w:val="2F367A9F"/>
    <w:rsid w:val="2F3C03BB"/>
    <w:rsid w:val="2F432A92"/>
    <w:rsid w:val="2F88603F"/>
    <w:rsid w:val="2F9C5934"/>
    <w:rsid w:val="2F9F5292"/>
    <w:rsid w:val="2FC96F0B"/>
    <w:rsid w:val="2FCB0C38"/>
    <w:rsid w:val="2FFB511A"/>
    <w:rsid w:val="30305023"/>
    <w:rsid w:val="303139E4"/>
    <w:rsid w:val="306C0471"/>
    <w:rsid w:val="306E505B"/>
    <w:rsid w:val="3097418D"/>
    <w:rsid w:val="30A6777C"/>
    <w:rsid w:val="30DA6138"/>
    <w:rsid w:val="30DC72B8"/>
    <w:rsid w:val="30FF4EEE"/>
    <w:rsid w:val="310224D9"/>
    <w:rsid w:val="3106021B"/>
    <w:rsid w:val="31250D61"/>
    <w:rsid w:val="31495DDF"/>
    <w:rsid w:val="314F1BC2"/>
    <w:rsid w:val="31512C92"/>
    <w:rsid w:val="315A744B"/>
    <w:rsid w:val="316F5DC0"/>
    <w:rsid w:val="31772EC7"/>
    <w:rsid w:val="318712F5"/>
    <w:rsid w:val="318C0804"/>
    <w:rsid w:val="319B7E9F"/>
    <w:rsid w:val="319D7AB7"/>
    <w:rsid w:val="31AD3D8D"/>
    <w:rsid w:val="31AF440F"/>
    <w:rsid w:val="31C972A6"/>
    <w:rsid w:val="31FB3AF8"/>
    <w:rsid w:val="321F4B94"/>
    <w:rsid w:val="3232786A"/>
    <w:rsid w:val="324A7FD1"/>
    <w:rsid w:val="32624BA7"/>
    <w:rsid w:val="32AA2E28"/>
    <w:rsid w:val="32B85890"/>
    <w:rsid w:val="32E01416"/>
    <w:rsid w:val="32E86094"/>
    <w:rsid w:val="32EE219B"/>
    <w:rsid w:val="32FA5B5D"/>
    <w:rsid w:val="331704BD"/>
    <w:rsid w:val="334E686E"/>
    <w:rsid w:val="335039CF"/>
    <w:rsid w:val="335C41CB"/>
    <w:rsid w:val="336F5645"/>
    <w:rsid w:val="337F2D65"/>
    <w:rsid w:val="33876A6C"/>
    <w:rsid w:val="3393097F"/>
    <w:rsid w:val="33A65CE5"/>
    <w:rsid w:val="33AB173F"/>
    <w:rsid w:val="33B10912"/>
    <w:rsid w:val="33BE302F"/>
    <w:rsid w:val="33BF338F"/>
    <w:rsid w:val="33F022D3"/>
    <w:rsid w:val="34202E81"/>
    <w:rsid w:val="342B1D46"/>
    <w:rsid w:val="342D5E0A"/>
    <w:rsid w:val="343F6303"/>
    <w:rsid w:val="344D62A8"/>
    <w:rsid w:val="344E0417"/>
    <w:rsid w:val="3454129D"/>
    <w:rsid w:val="347D689D"/>
    <w:rsid w:val="34B37A61"/>
    <w:rsid w:val="34C04B85"/>
    <w:rsid w:val="34C93A39"/>
    <w:rsid w:val="34DD0610"/>
    <w:rsid w:val="35476E77"/>
    <w:rsid w:val="356475BC"/>
    <w:rsid w:val="356E3930"/>
    <w:rsid w:val="35B93076"/>
    <w:rsid w:val="35C67F79"/>
    <w:rsid w:val="35F61E0D"/>
    <w:rsid w:val="36014EA7"/>
    <w:rsid w:val="361C5DEB"/>
    <w:rsid w:val="366666CA"/>
    <w:rsid w:val="36B43455"/>
    <w:rsid w:val="36BB1AA7"/>
    <w:rsid w:val="36E8167B"/>
    <w:rsid w:val="37113475"/>
    <w:rsid w:val="37312A9D"/>
    <w:rsid w:val="37334C6B"/>
    <w:rsid w:val="3735501F"/>
    <w:rsid w:val="37665214"/>
    <w:rsid w:val="3786529A"/>
    <w:rsid w:val="378679C0"/>
    <w:rsid w:val="3788079D"/>
    <w:rsid w:val="37B20750"/>
    <w:rsid w:val="37D83F93"/>
    <w:rsid w:val="37FE39FA"/>
    <w:rsid w:val="380B3C27"/>
    <w:rsid w:val="38111559"/>
    <w:rsid w:val="382B67B9"/>
    <w:rsid w:val="387E76B6"/>
    <w:rsid w:val="388D4D7E"/>
    <w:rsid w:val="38925B9B"/>
    <w:rsid w:val="38C70DF9"/>
    <w:rsid w:val="38D44097"/>
    <w:rsid w:val="38EB79E4"/>
    <w:rsid w:val="3914493A"/>
    <w:rsid w:val="393F076E"/>
    <w:rsid w:val="3942200C"/>
    <w:rsid w:val="395064D7"/>
    <w:rsid w:val="39642886"/>
    <w:rsid w:val="39644270"/>
    <w:rsid w:val="3995349D"/>
    <w:rsid w:val="39AB5E03"/>
    <w:rsid w:val="39C00197"/>
    <w:rsid w:val="39CE564E"/>
    <w:rsid w:val="3A03179B"/>
    <w:rsid w:val="3A067134"/>
    <w:rsid w:val="3A296D28"/>
    <w:rsid w:val="3A2F07E2"/>
    <w:rsid w:val="3A39262A"/>
    <w:rsid w:val="3A3951BD"/>
    <w:rsid w:val="3A4445B7"/>
    <w:rsid w:val="3A5A7331"/>
    <w:rsid w:val="3A6848C4"/>
    <w:rsid w:val="3A771C4D"/>
    <w:rsid w:val="3A8F0DDF"/>
    <w:rsid w:val="3AA84368"/>
    <w:rsid w:val="3ABB659B"/>
    <w:rsid w:val="3ABF49A7"/>
    <w:rsid w:val="3AC16F61"/>
    <w:rsid w:val="3AF7062E"/>
    <w:rsid w:val="3B52394A"/>
    <w:rsid w:val="3B5C6A72"/>
    <w:rsid w:val="3B66588E"/>
    <w:rsid w:val="3BBA0580"/>
    <w:rsid w:val="3BC4519D"/>
    <w:rsid w:val="3BD03DB4"/>
    <w:rsid w:val="3BD35C98"/>
    <w:rsid w:val="3BEB31A4"/>
    <w:rsid w:val="3BEE5DBD"/>
    <w:rsid w:val="3C1A656B"/>
    <w:rsid w:val="3C6272CB"/>
    <w:rsid w:val="3C6D55F2"/>
    <w:rsid w:val="3C717C1B"/>
    <w:rsid w:val="3C765B76"/>
    <w:rsid w:val="3C867C64"/>
    <w:rsid w:val="3C9F3CF8"/>
    <w:rsid w:val="3CA813AC"/>
    <w:rsid w:val="3CD90484"/>
    <w:rsid w:val="3CE6216B"/>
    <w:rsid w:val="3D235CB1"/>
    <w:rsid w:val="3D3D4FC4"/>
    <w:rsid w:val="3D483969"/>
    <w:rsid w:val="3D4E71D1"/>
    <w:rsid w:val="3D5749D2"/>
    <w:rsid w:val="3D7309E6"/>
    <w:rsid w:val="3DC50029"/>
    <w:rsid w:val="3DD1570D"/>
    <w:rsid w:val="3DFA4DBC"/>
    <w:rsid w:val="3E083097"/>
    <w:rsid w:val="3E1169E0"/>
    <w:rsid w:val="3E2517CE"/>
    <w:rsid w:val="3E6863B9"/>
    <w:rsid w:val="3E75078E"/>
    <w:rsid w:val="3EC7118D"/>
    <w:rsid w:val="3EE83100"/>
    <w:rsid w:val="3EE834FF"/>
    <w:rsid w:val="3EEA25EF"/>
    <w:rsid w:val="3EEF591C"/>
    <w:rsid w:val="3EF6431C"/>
    <w:rsid w:val="3F032E19"/>
    <w:rsid w:val="3F3B29E6"/>
    <w:rsid w:val="3F472FA8"/>
    <w:rsid w:val="3F5A275C"/>
    <w:rsid w:val="3F7A6160"/>
    <w:rsid w:val="3F97700D"/>
    <w:rsid w:val="3F9C74CA"/>
    <w:rsid w:val="3FA446D8"/>
    <w:rsid w:val="3FAC4683"/>
    <w:rsid w:val="3FCB1639"/>
    <w:rsid w:val="4010076E"/>
    <w:rsid w:val="402C0554"/>
    <w:rsid w:val="403A4AB5"/>
    <w:rsid w:val="40570FBB"/>
    <w:rsid w:val="40582115"/>
    <w:rsid w:val="40772E4D"/>
    <w:rsid w:val="4096559E"/>
    <w:rsid w:val="40992814"/>
    <w:rsid w:val="40AB44E9"/>
    <w:rsid w:val="40E165AE"/>
    <w:rsid w:val="40F2256A"/>
    <w:rsid w:val="41113062"/>
    <w:rsid w:val="41285AB1"/>
    <w:rsid w:val="413C5593"/>
    <w:rsid w:val="41654AEA"/>
    <w:rsid w:val="41933124"/>
    <w:rsid w:val="41970A1B"/>
    <w:rsid w:val="41AF4BFE"/>
    <w:rsid w:val="41B31CA4"/>
    <w:rsid w:val="41B75A39"/>
    <w:rsid w:val="41BD0482"/>
    <w:rsid w:val="42181B5C"/>
    <w:rsid w:val="421C0031"/>
    <w:rsid w:val="42454447"/>
    <w:rsid w:val="42457DBC"/>
    <w:rsid w:val="424B00CA"/>
    <w:rsid w:val="426E477F"/>
    <w:rsid w:val="42D40179"/>
    <w:rsid w:val="42EA009C"/>
    <w:rsid w:val="42ED1455"/>
    <w:rsid w:val="42FD44B2"/>
    <w:rsid w:val="430F11B1"/>
    <w:rsid w:val="43106CD7"/>
    <w:rsid w:val="431E796B"/>
    <w:rsid w:val="43274A3A"/>
    <w:rsid w:val="432F4C06"/>
    <w:rsid w:val="43476B9D"/>
    <w:rsid w:val="435B1E49"/>
    <w:rsid w:val="436A5D90"/>
    <w:rsid w:val="43994686"/>
    <w:rsid w:val="43B835F7"/>
    <w:rsid w:val="43CC0921"/>
    <w:rsid w:val="43D83D1B"/>
    <w:rsid w:val="43FA3C0F"/>
    <w:rsid w:val="44000AFA"/>
    <w:rsid w:val="4401703C"/>
    <w:rsid w:val="440717A1"/>
    <w:rsid w:val="442717A3"/>
    <w:rsid w:val="44305883"/>
    <w:rsid w:val="443D3AFC"/>
    <w:rsid w:val="444B7652"/>
    <w:rsid w:val="44727C49"/>
    <w:rsid w:val="4496320C"/>
    <w:rsid w:val="44BA15F0"/>
    <w:rsid w:val="44F33BEB"/>
    <w:rsid w:val="450155C4"/>
    <w:rsid w:val="450B3BFA"/>
    <w:rsid w:val="450E5498"/>
    <w:rsid w:val="45183286"/>
    <w:rsid w:val="452934C8"/>
    <w:rsid w:val="455156BD"/>
    <w:rsid w:val="45610E00"/>
    <w:rsid w:val="45672D3E"/>
    <w:rsid w:val="456C1648"/>
    <w:rsid w:val="4586244F"/>
    <w:rsid w:val="45965BDD"/>
    <w:rsid w:val="459674BE"/>
    <w:rsid w:val="45A414FD"/>
    <w:rsid w:val="45B872F1"/>
    <w:rsid w:val="463213DE"/>
    <w:rsid w:val="46371FBC"/>
    <w:rsid w:val="464E0242"/>
    <w:rsid w:val="465700F4"/>
    <w:rsid w:val="465F5FAB"/>
    <w:rsid w:val="46712FE2"/>
    <w:rsid w:val="469C3AE2"/>
    <w:rsid w:val="47094169"/>
    <w:rsid w:val="471F5537"/>
    <w:rsid w:val="47352512"/>
    <w:rsid w:val="47376F28"/>
    <w:rsid w:val="473E6412"/>
    <w:rsid w:val="474B1C4B"/>
    <w:rsid w:val="4770243A"/>
    <w:rsid w:val="477B022D"/>
    <w:rsid w:val="479243B4"/>
    <w:rsid w:val="4799373F"/>
    <w:rsid w:val="47CD7C33"/>
    <w:rsid w:val="47CE7B04"/>
    <w:rsid w:val="47CF1D69"/>
    <w:rsid w:val="47FF2AD8"/>
    <w:rsid w:val="483A2A74"/>
    <w:rsid w:val="483E6094"/>
    <w:rsid w:val="484F6A1D"/>
    <w:rsid w:val="486420C6"/>
    <w:rsid w:val="48671147"/>
    <w:rsid w:val="48683357"/>
    <w:rsid w:val="489A5B58"/>
    <w:rsid w:val="489D2A01"/>
    <w:rsid w:val="48C7608A"/>
    <w:rsid w:val="48D07E6C"/>
    <w:rsid w:val="48DB584C"/>
    <w:rsid w:val="490A13B5"/>
    <w:rsid w:val="491105E4"/>
    <w:rsid w:val="491E442E"/>
    <w:rsid w:val="492C0C76"/>
    <w:rsid w:val="495F1A08"/>
    <w:rsid w:val="49A14FD8"/>
    <w:rsid w:val="4A0B3079"/>
    <w:rsid w:val="4A3E1970"/>
    <w:rsid w:val="4A515A1B"/>
    <w:rsid w:val="4A6022F2"/>
    <w:rsid w:val="4A941B05"/>
    <w:rsid w:val="4A9A1CA8"/>
    <w:rsid w:val="4A9C3D82"/>
    <w:rsid w:val="4A9E76D0"/>
    <w:rsid w:val="4AB64608"/>
    <w:rsid w:val="4AC52F3E"/>
    <w:rsid w:val="4ACE2E03"/>
    <w:rsid w:val="4AF41E03"/>
    <w:rsid w:val="4B032EF2"/>
    <w:rsid w:val="4B170A0A"/>
    <w:rsid w:val="4B226DD3"/>
    <w:rsid w:val="4B2276C9"/>
    <w:rsid w:val="4B257098"/>
    <w:rsid w:val="4B2F78AA"/>
    <w:rsid w:val="4B3519D1"/>
    <w:rsid w:val="4B4B6AFE"/>
    <w:rsid w:val="4B6A3FA5"/>
    <w:rsid w:val="4B7F3827"/>
    <w:rsid w:val="4BA53B2D"/>
    <w:rsid w:val="4BBB3FA1"/>
    <w:rsid w:val="4BFC429C"/>
    <w:rsid w:val="4C0340EA"/>
    <w:rsid w:val="4C197209"/>
    <w:rsid w:val="4C266086"/>
    <w:rsid w:val="4C5477EB"/>
    <w:rsid w:val="4C5950B5"/>
    <w:rsid w:val="4C847C0F"/>
    <w:rsid w:val="4C931DC4"/>
    <w:rsid w:val="4CBE67F4"/>
    <w:rsid w:val="4CF97076"/>
    <w:rsid w:val="4CFA2DD6"/>
    <w:rsid w:val="4D2E3455"/>
    <w:rsid w:val="4D3B1C54"/>
    <w:rsid w:val="4D4D1254"/>
    <w:rsid w:val="4D6628CD"/>
    <w:rsid w:val="4D8B55C5"/>
    <w:rsid w:val="4DA133ED"/>
    <w:rsid w:val="4DBA2162"/>
    <w:rsid w:val="4DE160D8"/>
    <w:rsid w:val="4DE3517A"/>
    <w:rsid w:val="4DF27705"/>
    <w:rsid w:val="4E023350"/>
    <w:rsid w:val="4E2D7162"/>
    <w:rsid w:val="4E2E1055"/>
    <w:rsid w:val="4E4329D3"/>
    <w:rsid w:val="4E50267E"/>
    <w:rsid w:val="4E946A0E"/>
    <w:rsid w:val="4EC210D8"/>
    <w:rsid w:val="4ECE0172"/>
    <w:rsid w:val="4EDB328E"/>
    <w:rsid w:val="4EF6519A"/>
    <w:rsid w:val="4F115DD4"/>
    <w:rsid w:val="4F2002A2"/>
    <w:rsid w:val="4F2414A1"/>
    <w:rsid w:val="4F28465E"/>
    <w:rsid w:val="4F314F92"/>
    <w:rsid w:val="4F383685"/>
    <w:rsid w:val="4F411D97"/>
    <w:rsid w:val="4F454465"/>
    <w:rsid w:val="4F56062B"/>
    <w:rsid w:val="4F824059"/>
    <w:rsid w:val="4F865C4B"/>
    <w:rsid w:val="4F905E41"/>
    <w:rsid w:val="4F912F4E"/>
    <w:rsid w:val="4F9602BC"/>
    <w:rsid w:val="4FB94ED8"/>
    <w:rsid w:val="4FEF7931"/>
    <w:rsid w:val="4FFA6FC7"/>
    <w:rsid w:val="500C5EEB"/>
    <w:rsid w:val="50290FD7"/>
    <w:rsid w:val="502C2160"/>
    <w:rsid w:val="50667490"/>
    <w:rsid w:val="50765E0A"/>
    <w:rsid w:val="507F10F8"/>
    <w:rsid w:val="5099030C"/>
    <w:rsid w:val="50A670C6"/>
    <w:rsid w:val="50D059C8"/>
    <w:rsid w:val="50EE68AA"/>
    <w:rsid w:val="50FB4B23"/>
    <w:rsid w:val="50FD0370"/>
    <w:rsid w:val="510934AE"/>
    <w:rsid w:val="51257DF2"/>
    <w:rsid w:val="513B5792"/>
    <w:rsid w:val="51695F30"/>
    <w:rsid w:val="517A0B4A"/>
    <w:rsid w:val="51864D34"/>
    <w:rsid w:val="51874D51"/>
    <w:rsid w:val="521560B8"/>
    <w:rsid w:val="525F6430"/>
    <w:rsid w:val="52673AB9"/>
    <w:rsid w:val="52794B8E"/>
    <w:rsid w:val="52865EB4"/>
    <w:rsid w:val="52AC6530"/>
    <w:rsid w:val="52C35B14"/>
    <w:rsid w:val="52D12946"/>
    <w:rsid w:val="52F91536"/>
    <w:rsid w:val="53052629"/>
    <w:rsid w:val="530879CB"/>
    <w:rsid w:val="53142C1B"/>
    <w:rsid w:val="531A2F22"/>
    <w:rsid w:val="53230361"/>
    <w:rsid w:val="532A7941"/>
    <w:rsid w:val="53402B31"/>
    <w:rsid w:val="5341311F"/>
    <w:rsid w:val="53426A39"/>
    <w:rsid w:val="53514ECE"/>
    <w:rsid w:val="536F7A4A"/>
    <w:rsid w:val="537137C2"/>
    <w:rsid w:val="53740BBC"/>
    <w:rsid w:val="53C47995"/>
    <w:rsid w:val="54102FDB"/>
    <w:rsid w:val="54275230"/>
    <w:rsid w:val="543570E8"/>
    <w:rsid w:val="5445084F"/>
    <w:rsid w:val="547F1C23"/>
    <w:rsid w:val="54A12CB7"/>
    <w:rsid w:val="54CC1D1D"/>
    <w:rsid w:val="54D43FFE"/>
    <w:rsid w:val="5503030E"/>
    <w:rsid w:val="55064773"/>
    <w:rsid w:val="55227A54"/>
    <w:rsid w:val="55242E4B"/>
    <w:rsid w:val="554D505F"/>
    <w:rsid w:val="555111B5"/>
    <w:rsid w:val="556636A2"/>
    <w:rsid w:val="55777DA6"/>
    <w:rsid w:val="55CC1950"/>
    <w:rsid w:val="55E4027B"/>
    <w:rsid w:val="55F33BA2"/>
    <w:rsid w:val="56170651"/>
    <w:rsid w:val="562F3917"/>
    <w:rsid w:val="5639273B"/>
    <w:rsid w:val="56440D1A"/>
    <w:rsid w:val="56446F6C"/>
    <w:rsid w:val="564C5ABC"/>
    <w:rsid w:val="567515C3"/>
    <w:rsid w:val="56B94D5B"/>
    <w:rsid w:val="56BD287A"/>
    <w:rsid w:val="56BE7966"/>
    <w:rsid w:val="56BF6D5B"/>
    <w:rsid w:val="56C80006"/>
    <w:rsid w:val="56E90A44"/>
    <w:rsid w:val="56EB388B"/>
    <w:rsid w:val="56F5005C"/>
    <w:rsid w:val="56FA587C"/>
    <w:rsid w:val="57133DE9"/>
    <w:rsid w:val="571626F9"/>
    <w:rsid w:val="57456D36"/>
    <w:rsid w:val="578842EC"/>
    <w:rsid w:val="581A6CD3"/>
    <w:rsid w:val="582726A1"/>
    <w:rsid w:val="58272CC8"/>
    <w:rsid w:val="582C6358"/>
    <w:rsid w:val="584A6390"/>
    <w:rsid w:val="58523B09"/>
    <w:rsid w:val="585805EE"/>
    <w:rsid w:val="58594829"/>
    <w:rsid w:val="58927D2B"/>
    <w:rsid w:val="58A649F2"/>
    <w:rsid w:val="58AD5A20"/>
    <w:rsid w:val="58AD78B3"/>
    <w:rsid w:val="58D72319"/>
    <w:rsid w:val="58DB02A7"/>
    <w:rsid w:val="58E857BC"/>
    <w:rsid w:val="58EF1411"/>
    <w:rsid w:val="58F114F3"/>
    <w:rsid w:val="59225C8C"/>
    <w:rsid w:val="592941F7"/>
    <w:rsid w:val="593F2A6A"/>
    <w:rsid w:val="59504AE8"/>
    <w:rsid w:val="59BD17E2"/>
    <w:rsid w:val="59C200C3"/>
    <w:rsid w:val="59CB760E"/>
    <w:rsid w:val="59CF3EE0"/>
    <w:rsid w:val="59D6437F"/>
    <w:rsid w:val="59EC2355"/>
    <w:rsid w:val="5A08052A"/>
    <w:rsid w:val="5A1478CF"/>
    <w:rsid w:val="5A2076E9"/>
    <w:rsid w:val="5A2B4091"/>
    <w:rsid w:val="5A2C629F"/>
    <w:rsid w:val="5A491034"/>
    <w:rsid w:val="5A6C083F"/>
    <w:rsid w:val="5A7D47FA"/>
    <w:rsid w:val="5A80657D"/>
    <w:rsid w:val="5A87612D"/>
    <w:rsid w:val="5AD447BC"/>
    <w:rsid w:val="5ADE5A0B"/>
    <w:rsid w:val="5AE96F8D"/>
    <w:rsid w:val="5B091A19"/>
    <w:rsid w:val="5B0B1E06"/>
    <w:rsid w:val="5B3475AF"/>
    <w:rsid w:val="5B866C4A"/>
    <w:rsid w:val="5B8D78C2"/>
    <w:rsid w:val="5B9E5A89"/>
    <w:rsid w:val="5BAE47D8"/>
    <w:rsid w:val="5C25514A"/>
    <w:rsid w:val="5C267C26"/>
    <w:rsid w:val="5C30520F"/>
    <w:rsid w:val="5C5E4A8F"/>
    <w:rsid w:val="5C7030B1"/>
    <w:rsid w:val="5C74433D"/>
    <w:rsid w:val="5C9D2F32"/>
    <w:rsid w:val="5CB17D56"/>
    <w:rsid w:val="5CB344A2"/>
    <w:rsid w:val="5CBB2094"/>
    <w:rsid w:val="5CBB3C32"/>
    <w:rsid w:val="5CC10BB9"/>
    <w:rsid w:val="5CC93979"/>
    <w:rsid w:val="5CCC338D"/>
    <w:rsid w:val="5CCE4613"/>
    <w:rsid w:val="5D1C3851"/>
    <w:rsid w:val="5D330ACE"/>
    <w:rsid w:val="5D616312"/>
    <w:rsid w:val="5D676980"/>
    <w:rsid w:val="5D691D08"/>
    <w:rsid w:val="5D752101"/>
    <w:rsid w:val="5D7F24D5"/>
    <w:rsid w:val="5D821D20"/>
    <w:rsid w:val="5D8A04B2"/>
    <w:rsid w:val="5D8A38F0"/>
    <w:rsid w:val="5DD02F69"/>
    <w:rsid w:val="5DD166EA"/>
    <w:rsid w:val="5DE02986"/>
    <w:rsid w:val="5DE11544"/>
    <w:rsid w:val="5DF30937"/>
    <w:rsid w:val="5DF876C8"/>
    <w:rsid w:val="5E416216"/>
    <w:rsid w:val="5E450665"/>
    <w:rsid w:val="5E4661D1"/>
    <w:rsid w:val="5E5D10F5"/>
    <w:rsid w:val="5E5E59C1"/>
    <w:rsid w:val="5E660228"/>
    <w:rsid w:val="5E6C1CA0"/>
    <w:rsid w:val="5E77516C"/>
    <w:rsid w:val="5E79352B"/>
    <w:rsid w:val="5E8D0F42"/>
    <w:rsid w:val="5E984134"/>
    <w:rsid w:val="5E9D36BD"/>
    <w:rsid w:val="5EDB2DD5"/>
    <w:rsid w:val="5EF32CA2"/>
    <w:rsid w:val="5F1C1A53"/>
    <w:rsid w:val="5F363B40"/>
    <w:rsid w:val="5F5B2128"/>
    <w:rsid w:val="5F8F0C98"/>
    <w:rsid w:val="5F9A0261"/>
    <w:rsid w:val="5FE55BA7"/>
    <w:rsid w:val="600A6B30"/>
    <w:rsid w:val="603E4A2C"/>
    <w:rsid w:val="605F5585"/>
    <w:rsid w:val="6067535B"/>
    <w:rsid w:val="607A0954"/>
    <w:rsid w:val="60966616"/>
    <w:rsid w:val="60AE535D"/>
    <w:rsid w:val="60B45E71"/>
    <w:rsid w:val="60BB2A43"/>
    <w:rsid w:val="60C3607A"/>
    <w:rsid w:val="60EC2C44"/>
    <w:rsid w:val="60F7513F"/>
    <w:rsid w:val="61072D0D"/>
    <w:rsid w:val="611539DF"/>
    <w:rsid w:val="615F2EAC"/>
    <w:rsid w:val="61753A83"/>
    <w:rsid w:val="617E1F26"/>
    <w:rsid w:val="61840B64"/>
    <w:rsid w:val="61954B1F"/>
    <w:rsid w:val="61A22D98"/>
    <w:rsid w:val="61C40F61"/>
    <w:rsid w:val="61DC5CFD"/>
    <w:rsid w:val="61F902FA"/>
    <w:rsid w:val="62274D59"/>
    <w:rsid w:val="622C7A48"/>
    <w:rsid w:val="626554B1"/>
    <w:rsid w:val="626764BC"/>
    <w:rsid w:val="627942CF"/>
    <w:rsid w:val="6297732B"/>
    <w:rsid w:val="629E55A6"/>
    <w:rsid w:val="62A01048"/>
    <w:rsid w:val="62A768B8"/>
    <w:rsid w:val="62C0319B"/>
    <w:rsid w:val="62C47A1E"/>
    <w:rsid w:val="63026180"/>
    <w:rsid w:val="631A7337"/>
    <w:rsid w:val="631B5A25"/>
    <w:rsid w:val="63212B0F"/>
    <w:rsid w:val="63376EA9"/>
    <w:rsid w:val="6339364F"/>
    <w:rsid w:val="63435BFE"/>
    <w:rsid w:val="63620F5A"/>
    <w:rsid w:val="63A34684"/>
    <w:rsid w:val="63CB65D6"/>
    <w:rsid w:val="63E87188"/>
    <w:rsid w:val="63EF123E"/>
    <w:rsid w:val="64083519"/>
    <w:rsid w:val="641461CF"/>
    <w:rsid w:val="641D154F"/>
    <w:rsid w:val="645668EA"/>
    <w:rsid w:val="646F486F"/>
    <w:rsid w:val="64727ADC"/>
    <w:rsid w:val="64814C7D"/>
    <w:rsid w:val="64B17823"/>
    <w:rsid w:val="64B223AA"/>
    <w:rsid w:val="64DA7905"/>
    <w:rsid w:val="64E138C7"/>
    <w:rsid w:val="64E22589"/>
    <w:rsid w:val="64E27492"/>
    <w:rsid w:val="64F16511"/>
    <w:rsid w:val="64FE044D"/>
    <w:rsid w:val="65196844"/>
    <w:rsid w:val="6529563B"/>
    <w:rsid w:val="6536434F"/>
    <w:rsid w:val="656A4AB3"/>
    <w:rsid w:val="658B4735"/>
    <w:rsid w:val="659B25C1"/>
    <w:rsid w:val="659C0766"/>
    <w:rsid w:val="65A86E3B"/>
    <w:rsid w:val="65E87914"/>
    <w:rsid w:val="65FE1D41"/>
    <w:rsid w:val="65FE7E8C"/>
    <w:rsid w:val="65FF1ED9"/>
    <w:rsid w:val="660425BC"/>
    <w:rsid w:val="66044022"/>
    <w:rsid w:val="662E3D86"/>
    <w:rsid w:val="663C37BC"/>
    <w:rsid w:val="6659611C"/>
    <w:rsid w:val="66694F6D"/>
    <w:rsid w:val="66962D42"/>
    <w:rsid w:val="669F05BC"/>
    <w:rsid w:val="66A355E9"/>
    <w:rsid w:val="66AE7F8C"/>
    <w:rsid w:val="66C90D44"/>
    <w:rsid w:val="66DB4D83"/>
    <w:rsid w:val="66F978FF"/>
    <w:rsid w:val="66FF4E55"/>
    <w:rsid w:val="67074E34"/>
    <w:rsid w:val="67101ADB"/>
    <w:rsid w:val="674D250A"/>
    <w:rsid w:val="67760F46"/>
    <w:rsid w:val="6784267F"/>
    <w:rsid w:val="679D472E"/>
    <w:rsid w:val="67A6226D"/>
    <w:rsid w:val="67B101D9"/>
    <w:rsid w:val="67B22CFE"/>
    <w:rsid w:val="67D04F6F"/>
    <w:rsid w:val="67E72C55"/>
    <w:rsid w:val="67FF6D44"/>
    <w:rsid w:val="68091977"/>
    <w:rsid w:val="68172D06"/>
    <w:rsid w:val="681A72DB"/>
    <w:rsid w:val="682D1089"/>
    <w:rsid w:val="684F3107"/>
    <w:rsid w:val="68534DEC"/>
    <w:rsid w:val="68572589"/>
    <w:rsid w:val="6878614C"/>
    <w:rsid w:val="687F6C5D"/>
    <w:rsid w:val="6888718C"/>
    <w:rsid w:val="68907DEF"/>
    <w:rsid w:val="68AE68FE"/>
    <w:rsid w:val="68C42A6D"/>
    <w:rsid w:val="68CA672F"/>
    <w:rsid w:val="68F23CD8"/>
    <w:rsid w:val="69390486"/>
    <w:rsid w:val="693D6B04"/>
    <w:rsid w:val="694330B3"/>
    <w:rsid w:val="69595A12"/>
    <w:rsid w:val="696848C8"/>
    <w:rsid w:val="699403F0"/>
    <w:rsid w:val="699D1949"/>
    <w:rsid w:val="69C94A59"/>
    <w:rsid w:val="69D017A4"/>
    <w:rsid w:val="69D46C11"/>
    <w:rsid w:val="69E13737"/>
    <w:rsid w:val="69F841CD"/>
    <w:rsid w:val="6A181292"/>
    <w:rsid w:val="6A3D7EF0"/>
    <w:rsid w:val="6A460532"/>
    <w:rsid w:val="6A6233E9"/>
    <w:rsid w:val="6A655CE6"/>
    <w:rsid w:val="6A745C1A"/>
    <w:rsid w:val="6A7F64C9"/>
    <w:rsid w:val="6A8C3374"/>
    <w:rsid w:val="6AAA269C"/>
    <w:rsid w:val="6B234CAE"/>
    <w:rsid w:val="6B2D2481"/>
    <w:rsid w:val="6B454EC0"/>
    <w:rsid w:val="6B5357DA"/>
    <w:rsid w:val="6B5B54CD"/>
    <w:rsid w:val="6B60619E"/>
    <w:rsid w:val="6B6C4B43"/>
    <w:rsid w:val="6BAB3F11"/>
    <w:rsid w:val="6BAC0D2E"/>
    <w:rsid w:val="6BC009EB"/>
    <w:rsid w:val="6BC16121"/>
    <w:rsid w:val="6BC524A5"/>
    <w:rsid w:val="6BC8789F"/>
    <w:rsid w:val="6BDB376C"/>
    <w:rsid w:val="6BE52C01"/>
    <w:rsid w:val="6C296590"/>
    <w:rsid w:val="6C515567"/>
    <w:rsid w:val="6C6C5049"/>
    <w:rsid w:val="6C7D64DB"/>
    <w:rsid w:val="6C814974"/>
    <w:rsid w:val="6C9D5AD7"/>
    <w:rsid w:val="6CEB6724"/>
    <w:rsid w:val="6CEC03E2"/>
    <w:rsid w:val="6D12171A"/>
    <w:rsid w:val="6D255245"/>
    <w:rsid w:val="6D2C4F2B"/>
    <w:rsid w:val="6D3B58FF"/>
    <w:rsid w:val="6D49662C"/>
    <w:rsid w:val="6D56057C"/>
    <w:rsid w:val="6D742E68"/>
    <w:rsid w:val="6D761CA9"/>
    <w:rsid w:val="6D853C9A"/>
    <w:rsid w:val="6D8D7829"/>
    <w:rsid w:val="6D984BF9"/>
    <w:rsid w:val="6D9C40BF"/>
    <w:rsid w:val="6DA02A52"/>
    <w:rsid w:val="6DC70F12"/>
    <w:rsid w:val="6DDD59B7"/>
    <w:rsid w:val="6E0F78F9"/>
    <w:rsid w:val="6E114396"/>
    <w:rsid w:val="6E155C6B"/>
    <w:rsid w:val="6E2830E1"/>
    <w:rsid w:val="6E361438"/>
    <w:rsid w:val="6E480B7B"/>
    <w:rsid w:val="6E4D2790"/>
    <w:rsid w:val="6E8124EE"/>
    <w:rsid w:val="6EA018EA"/>
    <w:rsid w:val="6EC2735F"/>
    <w:rsid w:val="6EED386F"/>
    <w:rsid w:val="6EEE4BC6"/>
    <w:rsid w:val="6EF03395"/>
    <w:rsid w:val="6EF91340"/>
    <w:rsid w:val="6F060E0B"/>
    <w:rsid w:val="6F142219"/>
    <w:rsid w:val="6F1D4DB2"/>
    <w:rsid w:val="6F1E66B2"/>
    <w:rsid w:val="6F1F5A4C"/>
    <w:rsid w:val="6F2F65B3"/>
    <w:rsid w:val="6F46231F"/>
    <w:rsid w:val="6F474413"/>
    <w:rsid w:val="6F487EA1"/>
    <w:rsid w:val="6F507156"/>
    <w:rsid w:val="6F8E4FD7"/>
    <w:rsid w:val="6F9B4C66"/>
    <w:rsid w:val="6F9C68A0"/>
    <w:rsid w:val="6FA523D2"/>
    <w:rsid w:val="6FC00FB9"/>
    <w:rsid w:val="6FE25F7F"/>
    <w:rsid w:val="6FE54EC4"/>
    <w:rsid w:val="6FEA4288"/>
    <w:rsid w:val="6FF93409"/>
    <w:rsid w:val="70033F47"/>
    <w:rsid w:val="700C06A3"/>
    <w:rsid w:val="70142419"/>
    <w:rsid w:val="70293003"/>
    <w:rsid w:val="703457D6"/>
    <w:rsid w:val="704A1CB4"/>
    <w:rsid w:val="70701803"/>
    <w:rsid w:val="707708B3"/>
    <w:rsid w:val="707F0C44"/>
    <w:rsid w:val="7089584F"/>
    <w:rsid w:val="708B7819"/>
    <w:rsid w:val="70AD3B52"/>
    <w:rsid w:val="70B477EF"/>
    <w:rsid w:val="70DE35B0"/>
    <w:rsid w:val="713C0137"/>
    <w:rsid w:val="713F0604"/>
    <w:rsid w:val="71480521"/>
    <w:rsid w:val="71576149"/>
    <w:rsid w:val="71652FCA"/>
    <w:rsid w:val="7166431B"/>
    <w:rsid w:val="717E737E"/>
    <w:rsid w:val="718E0607"/>
    <w:rsid w:val="71A3644A"/>
    <w:rsid w:val="71BE59CD"/>
    <w:rsid w:val="71E1364C"/>
    <w:rsid w:val="71E3744E"/>
    <w:rsid w:val="71E836CD"/>
    <w:rsid w:val="71F238C8"/>
    <w:rsid w:val="71F437A4"/>
    <w:rsid w:val="71FB452B"/>
    <w:rsid w:val="72031631"/>
    <w:rsid w:val="720F257D"/>
    <w:rsid w:val="72282418"/>
    <w:rsid w:val="72374164"/>
    <w:rsid w:val="725D6F93"/>
    <w:rsid w:val="7282044A"/>
    <w:rsid w:val="72B93E8A"/>
    <w:rsid w:val="72CB62F8"/>
    <w:rsid w:val="72D82ABE"/>
    <w:rsid w:val="72F85BD1"/>
    <w:rsid w:val="731A4E85"/>
    <w:rsid w:val="732706F9"/>
    <w:rsid w:val="73354FA7"/>
    <w:rsid w:val="73414E93"/>
    <w:rsid w:val="734B6228"/>
    <w:rsid w:val="73DC6D36"/>
    <w:rsid w:val="73E07E7C"/>
    <w:rsid w:val="740A5396"/>
    <w:rsid w:val="74145D78"/>
    <w:rsid w:val="74340AEB"/>
    <w:rsid w:val="743453B3"/>
    <w:rsid w:val="743B4BF5"/>
    <w:rsid w:val="74503CDC"/>
    <w:rsid w:val="745D1E15"/>
    <w:rsid w:val="7463285B"/>
    <w:rsid w:val="74724A2C"/>
    <w:rsid w:val="749E3893"/>
    <w:rsid w:val="74A72F67"/>
    <w:rsid w:val="74DE1F19"/>
    <w:rsid w:val="74E61367"/>
    <w:rsid w:val="750D6D18"/>
    <w:rsid w:val="752714C3"/>
    <w:rsid w:val="752C160D"/>
    <w:rsid w:val="753F0BD2"/>
    <w:rsid w:val="75443A1C"/>
    <w:rsid w:val="75491A51"/>
    <w:rsid w:val="7555750E"/>
    <w:rsid w:val="7556218D"/>
    <w:rsid w:val="755723C0"/>
    <w:rsid w:val="75B55338"/>
    <w:rsid w:val="75C94940"/>
    <w:rsid w:val="75EA059C"/>
    <w:rsid w:val="75F24BB9"/>
    <w:rsid w:val="760416B8"/>
    <w:rsid w:val="761F284D"/>
    <w:rsid w:val="76222AD2"/>
    <w:rsid w:val="76233793"/>
    <w:rsid w:val="765B1A3C"/>
    <w:rsid w:val="765C7562"/>
    <w:rsid w:val="766F0E0C"/>
    <w:rsid w:val="76726D86"/>
    <w:rsid w:val="767C19B2"/>
    <w:rsid w:val="768C460E"/>
    <w:rsid w:val="768F5B89"/>
    <w:rsid w:val="769270A4"/>
    <w:rsid w:val="76A41CB5"/>
    <w:rsid w:val="76AC2297"/>
    <w:rsid w:val="76BA3FEF"/>
    <w:rsid w:val="76D77575"/>
    <w:rsid w:val="76EE4DEF"/>
    <w:rsid w:val="773B58C7"/>
    <w:rsid w:val="773B6F94"/>
    <w:rsid w:val="774D5922"/>
    <w:rsid w:val="77536BB7"/>
    <w:rsid w:val="77611DCE"/>
    <w:rsid w:val="77650AAE"/>
    <w:rsid w:val="77724603"/>
    <w:rsid w:val="777B1113"/>
    <w:rsid w:val="77804B1B"/>
    <w:rsid w:val="779934C6"/>
    <w:rsid w:val="78084341"/>
    <w:rsid w:val="782422EC"/>
    <w:rsid w:val="783F701E"/>
    <w:rsid w:val="78571CD3"/>
    <w:rsid w:val="78727DBB"/>
    <w:rsid w:val="78753F79"/>
    <w:rsid w:val="787D213D"/>
    <w:rsid w:val="78991B31"/>
    <w:rsid w:val="78A05E2C"/>
    <w:rsid w:val="78D21D5D"/>
    <w:rsid w:val="78E42141"/>
    <w:rsid w:val="78E4496B"/>
    <w:rsid w:val="78ED6C51"/>
    <w:rsid w:val="78F71D59"/>
    <w:rsid w:val="79256331"/>
    <w:rsid w:val="792918C8"/>
    <w:rsid w:val="79376736"/>
    <w:rsid w:val="79420C91"/>
    <w:rsid w:val="796926C2"/>
    <w:rsid w:val="79760AD3"/>
    <w:rsid w:val="798412AA"/>
    <w:rsid w:val="79891B97"/>
    <w:rsid w:val="799F6AC5"/>
    <w:rsid w:val="79A11E5C"/>
    <w:rsid w:val="79A436FA"/>
    <w:rsid w:val="79B37DE1"/>
    <w:rsid w:val="79FB19AC"/>
    <w:rsid w:val="79FC5657"/>
    <w:rsid w:val="7A1405FD"/>
    <w:rsid w:val="7A3007BF"/>
    <w:rsid w:val="7A3E58FC"/>
    <w:rsid w:val="7A526905"/>
    <w:rsid w:val="7A596109"/>
    <w:rsid w:val="7A65278B"/>
    <w:rsid w:val="7A7C26DB"/>
    <w:rsid w:val="7A823074"/>
    <w:rsid w:val="7AAD74C6"/>
    <w:rsid w:val="7AB43E11"/>
    <w:rsid w:val="7AC55F9F"/>
    <w:rsid w:val="7ACF0CE0"/>
    <w:rsid w:val="7AD52D2A"/>
    <w:rsid w:val="7ADE322A"/>
    <w:rsid w:val="7AEF7C3B"/>
    <w:rsid w:val="7B0B047E"/>
    <w:rsid w:val="7B3B4BD9"/>
    <w:rsid w:val="7B3E065C"/>
    <w:rsid w:val="7B5D4DF0"/>
    <w:rsid w:val="7B6E0463"/>
    <w:rsid w:val="7B6E5D6D"/>
    <w:rsid w:val="7BFD36FB"/>
    <w:rsid w:val="7C122423"/>
    <w:rsid w:val="7C2B2975"/>
    <w:rsid w:val="7C3E7E36"/>
    <w:rsid w:val="7C4D5D0E"/>
    <w:rsid w:val="7C844D4A"/>
    <w:rsid w:val="7C85389C"/>
    <w:rsid w:val="7C997D49"/>
    <w:rsid w:val="7CA0289E"/>
    <w:rsid w:val="7CB12CAA"/>
    <w:rsid w:val="7CB47F6B"/>
    <w:rsid w:val="7CB9570E"/>
    <w:rsid w:val="7CFD581C"/>
    <w:rsid w:val="7CFE28AA"/>
    <w:rsid w:val="7D4B27D4"/>
    <w:rsid w:val="7D536D97"/>
    <w:rsid w:val="7D5470E9"/>
    <w:rsid w:val="7D7358BD"/>
    <w:rsid w:val="7D9D293A"/>
    <w:rsid w:val="7DAC5273"/>
    <w:rsid w:val="7DB12880"/>
    <w:rsid w:val="7DDE5692"/>
    <w:rsid w:val="7DF65C53"/>
    <w:rsid w:val="7E0F05D8"/>
    <w:rsid w:val="7E1C633B"/>
    <w:rsid w:val="7E653AE9"/>
    <w:rsid w:val="7F233EAD"/>
    <w:rsid w:val="7F637F37"/>
    <w:rsid w:val="7F816BF3"/>
    <w:rsid w:val="7F9325A5"/>
    <w:rsid w:val="7F9619AB"/>
    <w:rsid w:val="7FBB354B"/>
    <w:rsid w:val="7FE9630A"/>
    <w:rsid w:val="7FF5112D"/>
    <w:rsid w:val="7FF77CD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2"/>
    <w:basedOn w:val="1"/>
    <w:qFormat/>
    <w:uiPriority w:val="1"/>
    <w:pPr>
      <w:spacing w:before="201"/>
      <w:ind w:left="100"/>
      <w:outlineLvl w:val="2"/>
    </w:pPr>
    <w:rPr>
      <w:rFonts w:ascii="微软雅黑" w:hAnsi="微软雅黑" w:eastAsia="微软雅黑" w:cs="微软雅黑"/>
      <w:b/>
      <w:bCs/>
      <w:sz w:val="23"/>
      <w:szCs w:val="23"/>
      <w:lang w:val="en-US" w:eastAsia="zh-CN" w:bidi="ar-SA"/>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7">
    <w:name w:val="Default Paragraph Font"/>
    <w:unhideWhenUsed/>
    <w:qFormat/>
    <w:uiPriority w:val="1"/>
  </w:style>
  <w:style w:type="table" w:default="1" w:styleId="25">
    <w:name w:val="Normal Table"/>
    <w:unhideWhenUsed/>
    <w:qFormat/>
    <w:uiPriority w:val="99"/>
    <w:tblPr>
      <w:tblCellMar>
        <w:top w:w="0" w:type="dxa"/>
        <w:left w:w="108" w:type="dxa"/>
        <w:bottom w:w="0" w:type="dxa"/>
        <w:right w:w="108" w:type="dxa"/>
      </w:tblCellMar>
    </w:tblPr>
  </w:style>
  <w:style w:type="paragraph" w:styleId="4">
    <w:name w:val="toc 7"/>
    <w:basedOn w:val="1"/>
    <w:next w:val="1"/>
    <w:unhideWhenUsed/>
    <w:qFormat/>
    <w:uiPriority w:val="39"/>
    <w:pPr>
      <w:spacing w:after="57"/>
      <w:ind w:left="1701" w:right="0" w:firstLine="0"/>
    </w:pPr>
  </w:style>
  <w:style w:type="paragraph" w:styleId="5">
    <w:name w:val="annotation text"/>
    <w:basedOn w:val="1"/>
    <w:unhideWhenUsed/>
    <w:qFormat/>
    <w:uiPriority w:val="99"/>
    <w:pPr>
      <w:jc w:val="left"/>
    </w:pPr>
  </w:style>
  <w:style w:type="paragraph" w:styleId="6">
    <w:name w:val="Body Text"/>
    <w:basedOn w:val="1"/>
    <w:qFormat/>
    <w:uiPriority w:val="0"/>
    <w:pPr>
      <w:tabs>
        <w:tab w:val="left" w:pos="567"/>
      </w:tabs>
      <w:spacing w:before="120" w:line="22" w:lineRule="atLeast"/>
    </w:pPr>
    <w:rPr>
      <w:rFonts w:ascii="宋体" w:hAnsi="宋体"/>
      <w:sz w:val="24"/>
    </w:rPr>
  </w:style>
  <w:style w:type="paragraph" w:styleId="7">
    <w:name w:val="Body Text Indent"/>
    <w:basedOn w:val="1"/>
    <w:qFormat/>
    <w:uiPriority w:val="0"/>
    <w:pPr>
      <w:spacing w:line="360" w:lineRule="auto"/>
      <w:ind w:firstLine="570"/>
    </w:pPr>
    <w:rPr>
      <w:kern w:val="2"/>
      <w:sz w:val="24"/>
      <w:szCs w:val="24"/>
    </w:rPr>
  </w:style>
  <w:style w:type="paragraph" w:styleId="8">
    <w:name w:val="toc 5"/>
    <w:basedOn w:val="1"/>
    <w:next w:val="1"/>
    <w:unhideWhenUsed/>
    <w:qFormat/>
    <w:uiPriority w:val="39"/>
    <w:pPr>
      <w:spacing w:after="57"/>
      <w:ind w:left="1134" w:right="0" w:firstLine="0"/>
    </w:pPr>
  </w:style>
  <w:style w:type="paragraph" w:styleId="9">
    <w:name w:val="toc 3"/>
    <w:basedOn w:val="1"/>
    <w:next w:val="1"/>
    <w:unhideWhenUsed/>
    <w:qFormat/>
    <w:uiPriority w:val="39"/>
    <w:pPr>
      <w:spacing w:after="57"/>
      <w:ind w:left="567" w:right="0" w:firstLine="0"/>
    </w:pPr>
  </w:style>
  <w:style w:type="paragraph" w:styleId="10">
    <w:name w:val="Plain Text"/>
    <w:basedOn w:val="1"/>
    <w:qFormat/>
    <w:uiPriority w:val="0"/>
    <w:rPr>
      <w:rFonts w:hint="eastAsia" w:ascii="宋体" w:hAnsi="Courier New"/>
      <w:szCs w:val="20"/>
    </w:rPr>
  </w:style>
  <w:style w:type="paragraph" w:styleId="11">
    <w:name w:val="toc 8"/>
    <w:basedOn w:val="1"/>
    <w:next w:val="1"/>
    <w:unhideWhenUsed/>
    <w:qFormat/>
    <w:uiPriority w:val="39"/>
    <w:pPr>
      <w:spacing w:after="57"/>
      <w:ind w:left="1984" w:right="0" w:firstLine="0"/>
    </w:pPr>
  </w:style>
  <w:style w:type="paragraph" w:styleId="12">
    <w:name w:val="endnote text"/>
    <w:basedOn w:val="1"/>
    <w:link w:val="33"/>
    <w:unhideWhenUsed/>
    <w:qFormat/>
    <w:uiPriority w:val="99"/>
    <w:pPr>
      <w:spacing w:after="0" w:line="240" w:lineRule="auto"/>
    </w:pPr>
    <w:rPr>
      <w:sz w:val="20"/>
    </w:rPr>
  </w:style>
  <w:style w:type="paragraph" w:styleId="13">
    <w:name w:val="footer"/>
    <w:basedOn w:val="1"/>
    <w:link w:val="34"/>
    <w:unhideWhenUsed/>
    <w:qFormat/>
    <w:uiPriority w:val="99"/>
    <w:pPr>
      <w:tabs>
        <w:tab w:val="center" w:pos="4153"/>
        <w:tab w:val="right" w:pos="8306"/>
      </w:tabs>
      <w:snapToGrid w:val="0"/>
      <w:jc w:val="left"/>
    </w:pPr>
    <w:rPr>
      <w:sz w:val="18"/>
      <w:szCs w:val="18"/>
    </w:rPr>
  </w:style>
  <w:style w:type="paragraph" w:styleId="14">
    <w:name w:val="header"/>
    <w:basedOn w:val="1"/>
    <w:link w:val="35"/>
    <w:unhideWhenUsed/>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39"/>
    <w:pPr>
      <w:spacing w:after="57"/>
      <w:ind w:left="0" w:right="0" w:firstLine="0"/>
    </w:pPr>
  </w:style>
  <w:style w:type="paragraph" w:styleId="16">
    <w:name w:val="toc 4"/>
    <w:basedOn w:val="1"/>
    <w:next w:val="1"/>
    <w:unhideWhenUsed/>
    <w:qFormat/>
    <w:uiPriority w:val="39"/>
    <w:pPr>
      <w:spacing w:after="57"/>
      <w:ind w:left="850" w:right="0" w:firstLine="0"/>
    </w:pPr>
  </w:style>
  <w:style w:type="paragraph" w:styleId="17">
    <w:name w:val="Subtitle"/>
    <w:basedOn w:val="1"/>
    <w:next w:val="1"/>
    <w:link w:val="36"/>
    <w:qFormat/>
    <w:uiPriority w:val="11"/>
    <w:pPr>
      <w:spacing w:before="200" w:after="200"/>
    </w:pPr>
    <w:rPr>
      <w:sz w:val="24"/>
      <w:szCs w:val="24"/>
    </w:rPr>
  </w:style>
  <w:style w:type="paragraph" w:styleId="18">
    <w:name w:val="footnote text"/>
    <w:basedOn w:val="1"/>
    <w:link w:val="37"/>
    <w:unhideWhenUsed/>
    <w:qFormat/>
    <w:uiPriority w:val="99"/>
    <w:pPr>
      <w:spacing w:after="40" w:line="240" w:lineRule="auto"/>
    </w:pPr>
    <w:rPr>
      <w:sz w:val="18"/>
    </w:rPr>
  </w:style>
  <w:style w:type="paragraph" w:styleId="19">
    <w:name w:val="toc 6"/>
    <w:basedOn w:val="1"/>
    <w:next w:val="1"/>
    <w:unhideWhenUsed/>
    <w:qFormat/>
    <w:uiPriority w:val="39"/>
    <w:pPr>
      <w:spacing w:after="57"/>
      <w:ind w:left="1417" w:right="0" w:firstLine="0"/>
    </w:pPr>
  </w:style>
  <w:style w:type="paragraph" w:styleId="20">
    <w:name w:val="table of figures"/>
    <w:basedOn w:val="1"/>
    <w:next w:val="1"/>
    <w:unhideWhenUsed/>
    <w:qFormat/>
    <w:uiPriority w:val="99"/>
    <w:pPr>
      <w:spacing w:after="0" w:afterAutospacing="0"/>
    </w:pPr>
  </w:style>
  <w:style w:type="paragraph" w:styleId="21">
    <w:name w:val="toc 2"/>
    <w:basedOn w:val="1"/>
    <w:next w:val="1"/>
    <w:unhideWhenUsed/>
    <w:qFormat/>
    <w:uiPriority w:val="39"/>
    <w:pPr>
      <w:spacing w:after="57"/>
      <w:ind w:left="283" w:right="0" w:firstLine="0"/>
    </w:pPr>
  </w:style>
  <w:style w:type="paragraph" w:styleId="22">
    <w:name w:val="toc 9"/>
    <w:basedOn w:val="1"/>
    <w:next w:val="1"/>
    <w:unhideWhenUsed/>
    <w:qFormat/>
    <w:uiPriority w:val="39"/>
    <w:pPr>
      <w:spacing w:after="57"/>
      <w:ind w:left="2268" w:right="0" w:firstLine="0"/>
    </w:pPr>
  </w:style>
  <w:style w:type="paragraph" w:styleId="2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4">
    <w:name w:val="Title"/>
    <w:basedOn w:val="1"/>
    <w:next w:val="1"/>
    <w:link w:val="38"/>
    <w:qFormat/>
    <w:uiPriority w:val="10"/>
    <w:pPr>
      <w:spacing w:before="300" w:after="200"/>
      <w:contextualSpacing/>
    </w:pPr>
    <w:rPr>
      <w:sz w:val="48"/>
      <w:szCs w:val="48"/>
    </w:rPr>
  </w:style>
  <w:style w:type="table" w:styleId="26">
    <w:name w:val="Table Grid"/>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Strong"/>
    <w:basedOn w:val="27"/>
    <w:qFormat/>
    <w:uiPriority w:val="22"/>
    <w:rPr>
      <w:b/>
    </w:rPr>
  </w:style>
  <w:style w:type="character" w:styleId="29">
    <w:name w:val="endnote reference"/>
    <w:unhideWhenUsed/>
    <w:qFormat/>
    <w:uiPriority w:val="99"/>
    <w:rPr>
      <w:vertAlign w:val="superscript"/>
    </w:rPr>
  </w:style>
  <w:style w:type="character" w:styleId="30">
    <w:name w:val="Emphasis"/>
    <w:qFormat/>
    <w:uiPriority w:val="0"/>
    <w:rPr>
      <w:i/>
    </w:rPr>
  </w:style>
  <w:style w:type="character" w:styleId="31">
    <w:name w:val="Hyperlink"/>
    <w:unhideWhenUsed/>
    <w:qFormat/>
    <w:uiPriority w:val="99"/>
    <w:rPr>
      <w:color w:val="0000FF"/>
      <w:u w:val="single"/>
    </w:rPr>
  </w:style>
  <w:style w:type="character" w:styleId="32">
    <w:name w:val="footnote reference"/>
    <w:unhideWhenUsed/>
    <w:qFormat/>
    <w:uiPriority w:val="99"/>
    <w:rPr>
      <w:vertAlign w:val="superscript"/>
    </w:rPr>
  </w:style>
  <w:style w:type="character" w:customStyle="1" w:styleId="33">
    <w:name w:val="尾注文本 字符"/>
    <w:link w:val="12"/>
    <w:qFormat/>
    <w:uiPriority w:val="99"/>
    <w:rPr>
      <w:sz w:val="20"/>
    </w:rPr>
  </w:style>
  <w:style w:type="character" w:customStyle="1" w:styleId="34">
    <w:name w:val="页脚 字符1"/>
    <w:link w:val="13"/>
    <w:qFormat/>
    <w:uiPriority w:val="99"/>
    <w:rPr>
      <w:sz w:val="18"/>
      <w:szCs w:val="18"/>
    </w:rPr>
  </w:style>
  <w:style w:type="character" w:customStyle="1" w:styleId="35">
    <w:name w:val="页眉 字符1"/>
    <w:link w:val="14"/>
    <w:qFormat/>
    <w:uiPriority w:val="99"/>
    <w:rPr>
      <w:sz w:val="18"/>
      <w:szCs w:val="18"/>
    </w:rPr>
  </w:style>
  <w:style w:type="character" w:customStyle="1" w:styleId="36">
    <w:name w:val="副标题 字符"/>
    <w:link w:val="17"/>
    <w:qFormat/>
    <w:uiPriority w:val="11"/>
    <w:rPr>
      <w:sz w:val="24"/>
      <w:szCs w:val="24"/>
    </w:rPr>
  </w:style>
  <w:style w:type="character" w:customStyle="1" w:styleId="37">
    <w:name w:val="脚注文本 字符"/>
    <w:link w:val="18"/>
    <w:qFormat/>
    <w:uiPriority w:val="99"/>
    <w:rPr>
      <w:sz w:val="18"/>
    </w:rPr>
  </w:style>
  <w:style w:type="character" w:customStyle="1" w:styleId="38">
    <w:name w:val="标题 字符"/>
    <w:link w:val="24"/>
    <w:qFormat/>
    <w:uiPriority w:val="10"/>
    <w:rPr>
      <w:sz w:val="48"/>
      <w:szCs w:val="48"/>
    </w:rPr>
  </w:style>
  <w:style w:type="paragraph" w:customStyle="1" w:styleId="39">
    <w:name w:val="Heading 1"/>
    <w:basedOn w:val="1"/>
    <w:next w:val="1"/>
    <w:link w:val="40"/>
    <w:qFormat/>
    <w:uiPriority w:val="9"/>
    <w:pPr>
      <w:keepNext/>
      <w:keepLines/>
      <w:spacing w:before="480" w:after="200"/>
      <w:outlineLvl w:val="0"/>
    </w:pPr>
    <w:rPr>
      <w:rFonts w:ascii="Arial" w:hAnsi="Arial" w:eastAsia="Arial" w:cs="Arial"/>
      <w:sz w:val="40"/>
      <w:szCs w:val="40"/>
    </w:rPr>
  </w:style>
  <w:style w:type="character" w:customStyle="1" w:styleId="40">
    <w:name w:val="Heading 1 Char"/>
    <w:link w:val="39"/>
    <w:qFormat/>
    <w:uiPriority w:val="9"/>
    <w:rPr>
      <w:rFonts w:ascii="Arial" w:hAnsi="Arial" w:eastAsia="Arial" w:cs="Arial"/>
      <w:sz w:val="40"/>
      <w:szCs w:val="40"/>
    </w:rPr>
  </w:style>
  <w:style w:type="paragraph" w:customStyle="1" w:styleId="41">
    <w:name w:val="Heading 2"/>
    <w:basedOn w:val="1"/>
    <w:next w:val="1"/>
    <w:link w:val="42"/>
    <w:unhideWhenUsed/>
    <w:qFormat/>
    <w:uiPriority w:val="9"/>
    <w:pPr>
      <w:keepNext/>
      <w:keepLines/>
      <w:spacing w:before="360" w:after="200"/>
      <w:outlineLvl w:val="1"/>
    </w:pPr>
    <w:rPr>
      <w:rFonts w:ascii="Arial" w:hAnsi="Arial" w:eastAsia="Arial" w:cs="Arial"/>
      <w:sz w:val="34"/>
    </w:rPr>
  </w:style>
  <w:style w:type="character" w:customStyle="1" w:styleId="42">
    <w:name w:val="Heading 2 Char"/>
    <w:link w:val="41"/>
    <w:qFormat/>
    <w:uiPriority w:val="9"/>
    <w:rPr>
      <w:rFonts w:ascii="Arial" w:hAnsi="Arial" w:eastAsia="Arial" w:cs="Arial"/>
      <w:sz w:val="34"/>
    </w:rPr>
  </w:style>
  <w:style w:type="paragraph" w:customStyle="1" w:styleId="43">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character" w:customStyle="1" w:styleId="44">
    <w:name w:val="Heading 3 Char"/>
    <w:link w:val="43"/>
    <w:qFormat/>
    <w:uiPriority w:val="9"/>
    <w:rPr>
      <w:rFonts w:ascii="Arial" w:hAnsi="Arial" w:eastAsia="Arial" w:cs="Arial"/>
      <w:sz w:val="30"/>
      <w:szCs w:val="30"/>
    </w:rPr>
  </w:style>
  <w:style w:type="paragraph" w:customStyle="1" w:styleId="4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character" w:customStyle="1" w:styleId="46">
    <w:name w:val="Heading 4 Char"/>
    <w:link w:val="45"/>
    <w:qFormat/>
    <w:uiPriority w:val="9"/>
    <w:rPr>
      <w:rFonts w:ascii="Arial" w:hAnsi="Arial" w:eastAsia="Arial" w:cs="Arial"/>
      <w:b/>
      <w:bCs/>
      <w:sz w:val="26"/>
      <w:szCs w:val="26"/>
    </w:rPr>
  </w:style>
  <w:style w:type="paragraph" w:customStyle="1" w:styleId="4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character" w:customStyle="1" w:styleId="48">
    <w:name w:val="Heading 5 Char"/>
    <w:link w:val="47"/>
    <w:qFormat/>
    <w:uiPriority w:val="9"/>
    <w:rPr>
      <w:rFonts w:ascii="Arial" w:hAnsi="Arial" w:eastAsia="Arial" w:cs="Arial"/>
      <w:b/>
      <w:bCs/>
      <w:sz w:val="24"/>
      <w:szCs w:val="24"/>
    </w:rPr>
  </w:style>
  <w:style w:type="paragraph" w:customStyle="1" w:styleId="4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character" w:customStyle="1" w:styleId="50">
    <w:name w:val="Heading 6 Char"/>
    <w:link w:val="49"/>
    <w:qFormat/>
    <w:uiPriority w:val="9"/>
    <w:rPr>
      <w:rFonts w:ascii="Arial" w:hAnsi="Arial" w:eastAsia="Arial" w:cs="Arial"/>
      <w:b/>
      <w:bCs/>
      <w:sz w:val="22"/>
      <w:szCs w:val="22"/>
    </w:rPr>
  </w:style>
  <w:style w:type="paragraph" w:customStyle="1" w:styleId="51">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52">
    <w:name w:val="Heading 7 Char"/>
    <w:link w:val="51"/>
    <w:qFormat/>
    <w:uiPriority w:val="9"/>
    <w:rPr>
      <w:rFonts w:ascii="Arial" w:hAnsi="Arial" w:eastAsia="Arial" w:cs="Arial"/>
      <w:b/>
      <w:bCs/>
      <w:i/>
      <w:iCs/>
      <w:sz w:val="22"/>
      <w:szCs w:val="22"/>
    </w:rPr>
  </w:style>
  <w:style w:type="paragraph" w:customStyle="1" w:styleId="53">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character" w:customStyle="1" w:styleId="54">
    <w:name w:val="Heading 8 Char"/>
    <w:link w:val="53"/>
    <w:qFormat/>
    <w:uiPriority w:val="9"/>
    <w:rPr>
      <w:rFonts w:ascii="Arial" w:hAnsi="Arial" w:eastAsia="Arial" w:cs="Arial"/>
      <w:i/>
      <w:iCs/>
      <w:sz w:val="22"/>
      <w:szCs w:val="22"/>
    </w:rPr>
  </w:style>
  <w:style w:type="paragraph" w:customStyle="1" w:styleId="55">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customStyle="1" w:styleId="56">
    <w:name w:val="Heading 9 Char"/>
    <w:link w:val="55"/>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rPr>
      <w:rFonts w:ascii="Times New Roman" w:hAnsi="Times New Roman" w:eastAsia="宋体" w:cs="Times New Roman"/>
      <w:lang w:val="en-US" w:eastAsia="zh-CN" w:bidi="ar-SA"/>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paragraph" w:customStyle="1" w:styleId="63">
    <w:name w:val="Header"/>
    <w:basedOn w:val="1"/>
    <w:link w:val="64"/>
    <w:unhideWhenUsed/>
    <w:qFormat/>
    <w:uiPriority w:val="99"/>
    <w:pPr>
      <w:tabs>
        <w:tab w:val="center" w:pos="7143"/>
        <w:tab w:val="right" w:pos="14287"/>
      </w:tabs>
      <w:spacing w:after="0" w:line="240" w:lineRule="auto"/>
    </w:pPr>
  </w:style>
  <w:style w:type="character" w:customStyle="1" w:styleId="64">
    <w:name w:val="Header Char"/>
    <w:link w:val="63"/>
    <w:qFormat/>
    <w:uiPriority w:val="99"/>
  </w:style>
  <w:style w:type="paragraph" w:customStyle="1" w:styleId="65">
    <w:name w:val="Footer"/>
    <w:basedOn w:val="1"/>
    <w:link w:val="67"/>
    <w:unhideWhenUsed/>
    <w:qFormat/>
    <w:uiPriority w:val="99"/>
    <w:pPr>
      <w:tabs>
        <w:tab w:val="center" w:pos="7143"/>
        <w:tab w:val="right" w:pos="14287"/>
      </w:tabs>
      <w:spacing w:after="0" w:line="240" w:lineRule="auto"/>
    </w:pPr>
  </w:style>
  <w:style w:type="character" w:customStyle="1" w:styleId="66">
    <w:name w:val="Caption Char"/>
    <w:link w:val="65"/>
    <w:qFormat/>
    <w:uiPriority w:val="99"/>
  </w:style>
  <w:style w:type="character" w:customStyle="1" w:styleId="67">
    <w:name w:val="Footer Char"/>
    <w:link w:val="65"/>
    <w:qFormat/>
    <w:uiPriority w:val="99"/>
  </w:style>
  <w:style w:type="paragraph" w:customStyle="1" w:styleId="68">
    <w:name w:val="Caption"/>
    <w:basedOn w:val="1"/>
    <w:next w:val="1"/>
    <w:unhideWhenUsed/>
    <w:qFormat/>
    <w:uiPriority w:val="35"/>
    <w:pPr>
      <w:spacing w:line="276" w:lineRule="auto"/>
    </w:pPr>
    <w:rPr>
      <w:b/>
      <w:bCs/>
      <w:color w:val="4F81BD"/>
      <w:sz w:val="18"/>
      <w:szCs w:val="18"/>
    </w:rPr>
  </w:style>
  <w:style w:type="table" w:customStyle="1" w:styleId="69">
    <w:name w:val="Table Grid Light"/>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70">
    <w:name w:val="_Style 65"/>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71">
    <w:name w:val="_Style 66"/>
    <w:qFormat/>
    <w:uiPriority w:val="59"/>
    <w:rPr>
      <w:lang w:val="en-US" w:eastAsia="zh-CN" w:bidi="ar-SA"/>
    </w:rPr>
    <w:tblPr>
      <w:tblBorders>
        <w:top w:val="single" w:color="000000" w:sz="4" w:space="0"/>
        <w:bottom w:val="single" w:color="000000" w:sz="4" w:space="0"/>
      </w:tblBorders>
      <w:tblCellMar>
        <w:top w:w="0" w:type="dxa"/>
        <w:left w:w="108" w:type="dxa"/>
        <w:bottom w:w="0" w:type="dxa"/>
        <w:right w:w="108" w:type="dxa"/>
      </w:tblCellMar>
    </w:tblPr>
  </w:style>
  <w:style w:type="table" w:customStyle="1" w:styleId="72">
    <w:name w:val="_Style 67"/>
    <w:qFormat/>
    <w:uiPriority w:val="99"/>
    <w:rPr>
      <w:lang w:val="en-US" w:eastAsia="zh-CN" w:bidi="ar-SA"/>
    </w:rPr>
  </w:style>
  <w:style w:type="table" w:customStyle="1" w:styleId="73">
    <w:name w:val="_Style 68"/>
    <w:qFormat/>
    <w:uiPriority w:val="99"/>
    <w:rPr>
      <w:lang w:val="en-US" w:eastAsia="zh-CN" w:bidi="ar-SA"/>
    </w:rPr>
  </w:style>
  <w:style w:type="table" w:customStyle="1" w:styleId="74">
    <w:name w:val="_Style 69"/>
    <w:qFormat/>
    <w:uiPriority w:val="99"/>
    <w:rPr>
      <w:lang w:val="en-US" w:eastAsia="zh-CN" w:bidi="ar-SA"/>
    </w:rPr>
  </w:style>
  <w:style w:type="table" w:customStyle="1" w:styleId="75">
    <w:name w:val="_Style 70"/>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6">
    <w:name w:val="Grid Table 1 Light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7">
    <w:name w:val="Grid Table 1 Light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8">
    <w:name w:val="Grid Table 1 Light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9">
    <w:name w:val="Grid Table 1 Light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0">
    <w:name w:val="Grid Table 1 Light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1">
    <w:name w:val="Grid Table 1 Light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2">
    <w:name w:val="_Style 77"/>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3">
    <w:name w:val="Grid Table 2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4">
    <w:name w:val="Grid Table 2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5">
    <w:name w:val="Grid Table 2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6">
    <w:name w:val="Grid Table 2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7">
    <w:name w:val="Grid Table 2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8">
    <w:name w:val="Grid Table 2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9">
    <w:name w:val="_Style 8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0">
    <w:name w:val="Grid Table 3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1">
    <w:name w:val="Grid Table 3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2">
    <w:name w:val="Grid Table 3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3">
    <w:name w:val="Grid Table 3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4">
    <w:name w:val="Grid Table 3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5">
    <w:name w:val="Grid Table 3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6">
    <w:name w:val="_Style 91"/>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7">
    <w:name w:val="Grid Table 4 - Accent 1"/>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8">
    <w:name w:val="Grid Table 4 - Accent 2"/>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9">
    <w:name w:val="Grid Table 4 - Accent 3"/>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0">
    <w:name w:val="Grid Table 4 - Accent 4"/>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d Table 4 - Accent 5"/>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Grid Table 4 - Accent 6"/>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3">
    <w:name w:val="_Style 98"/>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4">
    <w:name w:val="Grid Table 5 Dark-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5">
    <w:name w:val="Grid Table 5 Dark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6">
    <w:name w:val="Grid Table 5 Dark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7">
    <w:name w:val="Grid Table 5 Dark-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8">
    <w:name w:val="Grid Table 5 Dark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9">
    <w:name w:val="Grid Table 5 Dark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0">
    <w:name w:val="_Style 10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1">
    <w:name w:val="Grid Table 6 Colorful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2">
    <w:name w:val="Grid Table 6 Colorful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3">
    <w:name w:val="Grid Table 6 Colorful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4">
    <w:name w:val="Grid Table 6 Colorful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5">
    <w:name w:val="Grid Table 6 Colorful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6">
    <w:name w:val="Grid Table 6 Colorful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7">
    <w:name w:val="_Style 112"/>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8">
    <w:name w:val="Grid Table 7 Colorful - Accent 1"/>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9">
    <w:name w:val="Grid Table 7 Colorful - Accent 2"/>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0">
    <w:name w:val="Grid Table 7 Colorful - Accent 3"/>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1">
    <w:name w:val="Grid Table 7 Colorful - Accent 4"/>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2">
    <w:name w:val="Grid Table 7 Colorful - Accent 5"/>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3">
    <w:name w:val="Grid Table 7 Colorful - Accent 6"/>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4">
    <w:name w:val="_Style 119"/>
    <w:qFormat/>
    <w:uiPriority w:val="99"/>
    <w:rPr>
      <w:lang w:val="en-US" w:eastAsia="zh-CN" w:bidi="ar-SA"/>
    </w:rPr>
  </w:style>
  <w:style w:type="table" w:customStyle="1" w:styleId="125">
    <w:name w:val="List Table 1 Light - Accent 1"/>
    <w:qFormat/>
    <w:uiPriority w:val="99"/>
    <w:rPr>
      <w:lang w:val="en-US" w:eastAsia="zh-CN" w:bidi="ar-SA"/>
    </w:rPr>
  </w:style>
  <w:style w:type="table" w:customStyle="1" w:styleId="126">
    <w:name w:val="List Table 1 Light - Accent 2"/>
    <w:qFormat/>
    <w:uiPriority w:val="99"/>
    <w:rPr>
      <w:lang w:val="en-US" w:eastAsia="zh-CN" w:bidi="ar-SA"/>
    </w:rPr>
  </w:style>
  <w:style w:type="table" w:customStyle="1" w:styleId="127">
    <w:name w:val="List Table 1 Light - Accent 3"/>
    <w:qFormat/>
    <w:uiPriority w:val="99"/>
    <w:rPr>
      <w:lang w:val="en-US" w:eastAsia="zh-CN" w:bidi="ar-SA"/>
    </w:rPr>
  </w:style>
  <w:style w:type="table" w:customStyle="1" w:styleId="128">
    <w:name w:val="List Table 1 Light - Accent 4"/>
    <w:qFormat/>
    <w:uiPriority w:val="99"/>
    <w:rPr>
      <w:lang w:val="en-US" w:eastAsia="zh-CN" w:bidi="ar-SA"/>
    </w:rPr>
  </w:style>
  <w:style w:type="table" w:customStyle="1" w:styleId="129">
    <w:name w:val="List Table 1 Light - Accent 5"/>
    <w:qFormat/>
    <w:uiPriority w:val="99"/>
    <w:rPr>
      <w:lang w:val="en-US" w:eastAsia="zh-CN" w:bidi="ar-SA"/>
    </w:rPr>
  </w:style>
  <w:style w:type="table" w:customStyle="1" w:styleId="130">
    <w:name w:val="List Table 1 Light - Accent 6"/>
    <w:qFormat/>
    <w:uiPriority w:val="99"/>
    <w:rPr>
      <w:lang w:val="en-US" w:eastAsia="zh-CN" w:bidi="ar-SA"/>
    </w:rPr>
  </w:style>
  <w:style w:type="table" w:customStyle="1" w:styleId="131">
    <w:name w:val="_Style 126"/>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2">
    <w:name w:val="List Table 2 - Accent 1"/>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3">
    <w:name w:val="List Table 2 - Accent 2"/>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4">
    <w:name w:val="List Table 2 - Accent 3"/>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5">
    <w:name w:val="List Table 2 - Accent 4"/>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6">
    <w:name w:val="List Table 2 - Accent 5"/>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7">
    <w:name w:val="List Table 2 - Accent 6"/>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8">
    <w:name w:val="_Style 13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9">
    <w:name w:val="List Table 3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0">
    <w:name w:val="List Table 3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1">
    <w:name w:val="List Table 3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2">
    <w:name w:val="List Table 3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3">
    <w:name w:val="List Table 3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4">
    <w:name w:val="List Table 3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5">
    <w:name w:val="_Style 140"/>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6">
    <w:name w:val="List Table 4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7">
    <w:name w:val="List Table 4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8">
    <w:name w:val="List Table 4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9">
    <w:name w:val="List Table 4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50">
    <w:name w:val="List Table 4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51">
    <w:name w:val="List Table 4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52">
    <w:name w:val="_Style 147"/>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3">
    <w:name w:val="List Table 5 Dark - Accent 1"/>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4">
    <w:name w:val="List Table 5 Dark - Accent 2"/>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5">
    <w:name w:val="List Table 5 Dark - Accent 3"/>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6">
    <w:name w:val="List Table 5 Dark - Accent 4"/>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7">
    <w:name w:val="List Table 5 Dark - Accent 5"/>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8">
    <w:name w:val="List Table 5 Dark - Accent 6"/>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9">
    <w:name w:val="_Style 154"/>
    <w:qFormat/>
    <w:uiPriority w:val="99"/>
    <w:rPr>
      <w:lang w:val="en-US" w:eastAsia="zh-CN" w:bidi="ar-SA"/>
    </w:rPr>
    <w:tblPr>
      <w:tblBorders>
        <w:top w:val="single" w:color="000000" w:sz="4" w:space="0"/>
        <w:bottom w:val="single" w:color="000000" w:sz="4" w:space="0"/>
      </w:tblBorders>
    </w:tblPr>
  </w:style>
  <w:style w:type="table" w:customStyle="1" w:styleId="160">
    <w:name w:val="List Table 6 Colorful - Accent 1"/>
    <w:qFormat/>
    <w:uiPriority w:val="99"/>
    <w:rPr>
      <w:lang w:val="en-US" w:eastAsia="zh-CN" w:bidi="ar-SA"/>
    </w:rPr>
    <w:tblPr>
      <w:tblBorders>
        <w:top w:val="single" w:color="000000" w:sz="4" w:space="0"/>
        <w:bottom w:val="single" w:color="000000" w:sz="4" w:space="0"/>
      </w:tblBorders>
    </w:tblPr>
  </w:style>
  <w:style w:type="table" w:customStyle="1" w:styleId="161">
    <w:name w:val="List Table 6 Colorful - Accent 2"/>
    <w:qFormat/>
    <w:uiPriority w:val="99"/>
    <w:rPr>
      <w:lang w:val="en-US" w:eastAsia="zh-CN" w:bidi="ar-SA"/>
    </w:rPr>
    <w:tblPr>
      <w:tblBorders>
        <w:top w:val="single" w:color="000000" w:sz="4" w:space="0"/>
        <w:bottom w:val="single" w:color="000000" w:sz="4" w:space="0"/>
      </w:tblBorders>
    </w:tblPr>
  </w:style>
  <w:style w:type="table" w:customStyle="1" w:styleId="162">
    <w:name w:val="List Table 6 Colorful - Accent 3"/>
    <w:qFormat/>
    <w:uiPriority w:val="99"/>
    <w:rPr>
      <w:lang w:val="en-US" w:eastAsia="zh-CN" w:bidi="ar-SA"/>
    </w:rPr>
    <w:tblPr>
      <w:tblBorders>
        <w:top w:val="single" w:color="000000" w:sz="4" w:space="0"/>
        <w:bottom w:val="single" w:color="000000" w:sz="4" w:space="0"/>
      </w:tblBorders>
    </w:tblPr>
  </w:style>
  <w:style w:type="table" w:customStyle="1" w:styleId="163">
    <w:name w:val="List Table 6 Colorful - Accent 4"/>
    <w:qFormat/>
    <w:uiPriority w:val="99"/>
    <w:rPr>
      <w:lang w:val="en-US" w:eastAsia="zh-CN" w:bidi="ar-SA"/>
    </w:rPr>
    <w:tblPr>
      <w:tblBorders>
        <w:top w:val="single" w:color="000000" w:sz="4" w:space="0"/>
        <w:bottom w:val="single" w:color="000000" w:sz="4" w:space="0"/>
      </w:tblBorders>
    </w:tblPr>
  </w:style>
  <w:style w:type="table" w:customStyle="1" w:styleId="164">
    <w:name w:val="List Table 6 Colorful - Accent 5"/>
    <w:qFormat/>
    <w:uiPriority w:val="99"/>
    <w:rPr>
      <w:lang w:val="en-US" w:eastAsia="zh-CN" w:bidi="ar-SA"/>
    </w:rPr>
    <w:tblPr>
      <w:tblBorders>
        <w:top w:val="single" w:color="000000" w:sz="4" w:space="0"/>
        <w:bottom w:val="single" w:color="000000" w:sz="4" w:space="0"/>
      </w:tblBorders>
    </w:tblPr>
  </w:style>
  <w:style w:type="table" w:customStyle="1" w:styleId="165">
    <w:name w:val="List Table 6 Colorful - Accent 6"/>
    <w:qFormat/>
    <w:uiPriority w:val="99"/>
    <w:rPr>
      <w:lang w:val="en-US" w:eastAsia="zh-CN" w:bidi="ar-SA"/>
    </w:rPr>
    <w:tblPr>
      <w:tblBorders>
        <w:top w:val="single" w:color="000000" w:sz="4" w:space="0"/>
        <w:bottom w:val="single" w:color="000000" w:sz="4" w:space="0"/>
      </w:tblBorders>
    </w:tblPr>
  </w:style>
  <w:style w:type="table" w:customStyle="1" w:styleId="166">
    <w:name w:val="_Style 161"/>
    <w:qFormat/>
    <w:uiPriority w:val="99"/>
    <w:rPr>
      <w:lang w:val="en-US" w:eastAsia="zh-CN" w:bidi="ar-SA"/>
    </w:rPr>
    <w:tblPr>
      <w:tblBorders>
        <w:right w:val="single" w:color="000000" w:sz="4" w:space="0"/>
      </w:tblBorders>
    </w:tblPr>
  </w:style>
  <w:style w:type="table" w:customStyle="1" w:styleId="167">
    <w:name w:val="List Table 7 Colorful - Accent 1"/>
    <w:qFormat/>
    <w:uiPriority w:val="99"/>
    <w:rPr>
      <w:lang w:val="en-US" w:eastAsia="zh-CN" w:bidi="ar-SA"/>
    </w:rPr>
    <w:tblPr>
      <w:tblBorders>
        <w:right w:val="single" w:color="000000" w:sz="4" w:space="0"/>
      </w:tblBorders>
    </w:tblPr>
  </w:style>
  <w:style w:type="table" w:customStyle="1" w:styleId="168">
    <w:name w:val="List Table 7 Colorful - Accent 2"/>
    <w:qFormat/>
    <w:uiPriority w:val="99"/>
    <w:rPr>
      <w:lang w:val="en-US" w:eastAsia="zh-CN" w:bidi="ar-SA"/>
    </w:rPr>
    <w:tblPr>
      <w:tblBorders>
        <w:right w:val="single" w:color="000000" w:sz="4" w:space="0"/>
      </w:tblBorders>
    </w:tblPr>
  </w:style>
  <w:style w:type="table" w:customStyle="1" w:styleId="169">
    <w:name w:val="List Table 7 Colorful - Accent 3"/>
    <w:qFormat/>
    <w:uiPriority w:val="99"/>
    <w:rPr>
      <w:lang w:val="en-US" w:eastAsia="zh-CN" w:bidi="ar-SA"/>
    </w:rPr>
    <w:tblPr>
      <w:tblBorders>
        <w:right w:val="single" w:color="000000" w:sz="4" w:space="0"/>
      </w:tblBorders>
    </w:tblPr>
  </w:style>
  <w:style w:type="table" w:customStyle="1" w:styleId="170">
    <w:name w:val="List Table 7 Colorful - Accent 4"/>
    <w:qFormat/>
    <w:uiPriority w:val="99"/>
    <w:rPr>
      <w:lang w:val="en-US" w:eastAsia="zh-CN" w:bidi="ar-SA"/>
    </w:rPr>
    <w:tblPr>
      <w:tblBorders>
        <w:right w:val="single" w:color="000000" w:sz="4" w:space="0"/>
      </w:tblBorders>
    </w:tblPr>
  </w:style>
  <w:style w:type="table" w:customStyle="1" w:styleId="171">
    <w:name w:val="List Table 7 Colorful - Accent 5"/>
    <w:qFormat/>
    <w:uiPriority w:val="99"/>
    <w:rPr>
      <w:lang w:val="en-US" w:eastAsia="zh-CN" w:bidi="ar-SA"/>
    </w:rPr>
    <w:tblPr>
      <w:tblBorders>
        <w:right w:val="single" w:color="000000" w:sz="4" w:space="0"/>
      </w:tblBorders>
    </w:tblPr>
  </w:style>
  <w:style w:type="table" w:customStyle="1" w:styleId="172">
    <w:name w:val="List Table 7 Colorful - Accent 6"/>
    <w:qFormat/>
    <w:uiPriority w:val="99"/>
    <w:rPr>
      <w:lang w:val="en-US" w:eastAsia="zh-CN" w:bidi="ar-SA"/>
    </w:rPr>
    <w:tblPr>
      <w:tblBorders>
        <w:right w:val="single" w:color="000000" w:sz="4" w:space="0"/>
      </w:tblBorders>
    </w:tblPr>
  </w:style>
  <w:style w:type="table" w:customStyle="1" w:styleId="173">
    <w:name w:val="Lined - Accent"/>
    <w:qFormat/>
    <w:uiPriority w:val="99"/>
    <w:rPr>
      <w:color w:val="404040"/>
      <w:lang w:val="en-US" w:eastAsia="zh-CN" w:bidi="ar-SA"/>
    </w:rPr>
  </w:style>
  <w:style w:type="table" w:customStyle="1" w:styleId="174">
    <w:name w:val="Lined - Accent 1"/>
    <w:qFormat/>
    <w:uiPriority w:val="99"/>
    <w:rPr>
      <w:color w:val="404040"/>
      <w:lang w:val="en-US" w:eastAsia="zh-CN" w:bidi="ar-SA"/>
    </w:rPr>
  </w:style>
  <w:style w:type="table" w:customStyle="1" w:styleId="175">
    <w:name w:val="Lined - Accent 2"/>
    <w:qFormat/>
    <w:uiPriority w:val="99"/>
    <w:rPr>
      <w:color w:val="404040"/>
      <w:lang w:val="en-US" w:eastAsia="zh-CN" w:bidi="ar-SA"/>
    </w:rPr>
  </w:style>
  <w:style w:type="table" w:customStyle="1" w:styleId="176">
    <w:name w:val="Lined - Accent 3"/>
    <w:qFormat/>
    <w:uiPriority w:val="99"/>
    <w:rPr>
      <w:color w:val="404040"/>
      <w:lang w:val="en-US" w:eastAsia="zh-CN" w:bidi="ar-SA"/>
    </w:rPr>
  </w:style>
  <w:style w:type="table" w:customStyle="1" w:styleId="177">
    <w:name w:val="Lined - Accent 4"/>
    <w:qFormat/>
    <w:uiPriority w:val="99"/>
    <w:rPr>
      <w:color w:val="404040"/>
      <w:lang w:val="en-US" w:eastAsia="zh-CN" w:bidi="ar-SA"/>
    </w:rPr>
  </w:style>
  <w:style w:type="table" w:customStyle="1" w:styleId="178">
    <w:name w:val="Lined - Accent 5"/>
    <w:qFormat/>
    <w:uiPriority w:val="99"/>
    <w:rPr>
      <w:color w:val="404040"/>
      <w:lang w:val="en-US" w:eastAsia="zh-CN" w:bidi="ar-SA"/>
    </w:rPr>
  </w:style>
  <w:style w:type="table" w:customStyle="1" w:styleId="179">
    <w:name w:val="Lined - Accent 6"/>
    <w:qFormat/>
    <w:uiPriority w:val="99"/>
    <w:rPr>
      <w:color w:val="404040"/>
      <w:lang w:val="en-US" w:eastAsia="zh-CN" w:bidi="ar-SA"/>
    </w:rPr>
  </w:style>
  <w:style w:type="table" w:customStyle="1" w:styleId="180">
    <w:name w:val="Bordered &amp; Lined - Accent"/>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1">
    <w:name w:val="Bordered &amp; Lined - Accent 1"/>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2">
    <w:name w:val="Bordered &amp; Lined - Accent 2"/>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3">
    <w:name w:val="Bordered &amp; Lined - Accent 3"/>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4">
    <w:name w:val="Bordered &amp; Lined - Accent 4"/>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5">
    <w:name w:val="Bordered &amp; Lined - Accent 5"/>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6">
    <w:name w:val="Bordered &amp; Lined - Accent 6"/>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7">
    <w:name w:val="Bordered"/>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8">
    <w:name w:val="Bordered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9">
    <w:name w:val="Bordered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0">
    <w:name w:val="Bordered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1">
    <w:name w:val="Bordered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2">
    <w:name w:val="Bordered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3">
    <w:name w:val="Bordered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4">
    <w:name w:val="_Style 189"/>
    <w:qFormat/>
    <w:uiPriority w:val="39"/>
    <w:rPr>
      <w:rFonts w:ascii="Times New Roman" w:hAnsi="Times New Roman" w:eastAsia="宋体" w:cs="Times New Roman"/>
      <w:lang w:val="en-US" w:eastAsia="zh-CN" w:bidi="ar-SA"/>
    </w:rPr>
  </w:style>
  <w:style w:type="paragraph" w:customStyle="1" w:styleId="195">
    <w:name w:val="标题 111"/>
    <w:basedOn w:val="1"/>
    <w:next w:val="1"/>
    <w:link w:val="196"/>
    <w:qFormat/>
    <w:uiPriority w:val="0"/>
    <w:pPr>
      <w:keepNext/>
      <w:jc w:val="center"/>
      <w:outlineLvl w:val="0"/>
    </w:pPr>
    <w:rPr>
      <w:rFonts w:ascii="楷体_GB2312" w:eastAsia="楷体_GB2312"/>
      <w:sz w:val="28"/>
      <w:szCs w:val="28"/>
    </w:rPr>
  </w:style>
  <w:style w:type="character" w:customStyle="1" w:styleId="196">
    <w:name w:val="标题 1 字符"/>
    <w:link w:val="195"/>
    <w:qFormat/>
    <w:uiPriority w:val="0"/>
    <w:rPr>
      <w:rFonts w:ascii="楷体_GB2312" w:hAnsi="Times New Roman" w:eastAsia="楷体_GB2312" w:cs="Times New Roman"/>
      <w:sz w:val="28"/>
      <w:szCs w:val="28"/>
    </w:rPr>
  </w:style>
  <w:style w:type="paragraph" w:customStyle="1" w:styleId="197">
    <w:name w:val="标题 21"/>
    <w:basedOn w:val="1"/>
    <w:next w:val="198"/>
    <w:link w:val="19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8">
    <w:name w:val="正文缩进1"/>
    <w:basedOn w:val="1"/>
    <w:link w:val="200"/>
    <w:qFormat/>
    <w:uiPriority w:val="99"/>
    <w:pPr>
      <w:ind w:firstLine="420"/>
    </w:pPr>
  </w:style>
  <w:style w:type="character" w:customStyle="1" w:styleId="199">
    <w:name w:val="标题 2 字符"/>
    <w:link w:val="197"/>
    <w:qFormat/>
    <w:uiPriority w:val="0"/>
    <w:rPr>
      <w:rFonts w:ascii="Arial" w:hAnsi="Arial" w:eastAsia="幼圆" w:cs="Arial"/>
      <w:b/>
      <w:bCs/>
      <w:sz w:val="44"/>
      <w:szCs w:val="44"/>
    </w:rPr>
  </w:style>
  <w:style w:type="character" w:customStyle="1" w:styleId="200">
    <w:name w:val="正文缩进 字符"/>
    <w:link w:val="198"/>
    <w:qFormat/>
    <w:uiPriority w:val="0"/>
    <w:rPr>
      <w:rFonts w:ascii="Times New Roman" w:hAnsi="Times New Roman" w:eastAsia="宋体" w:cs="Times New Roman"/>
      <w:szCs w:val="21"/>
    </w:rPr>
  </w:style>
  <w:style w:type="paragraph" w:customStyle="1" w:styleId="201">
    <w:name w:val="标题 31"/>
    <w:basedOn w:val="1"/>
    <w:next w:val="198"/>
    <w:link w:val="202"/>
    <w:qFormat/>
    <w:uiPriority w:val="0"/>
    <w:pPr>
      <w:keepNext/>
      <w:keepLines/>
      <w:spacing w:before="260" w:after="260" w:line="416" w:lineRule="auto"/>
      <w:outlineLvl w:val="2"/>
    </w:pPr>
    <w:rPr>
      <w:b/>
      <w:bCs/>
      <w:sz w:val="32"/>
      <w:szCs w:val="32"/>
    </w:rPr>
  </w:style>
  <w:style w:type="character" w:customStyle="1" w:styleId="202">
    <w:name w:val="标题 3 字符"/>
    <w:link w:val="201"/>
    <w:qFormat/>
    <w:uiPriority w:val="0"/>
    <w:rPr>
      <w:rFonts w:ascii="Times New Roman" w:hAnsi="Times New Roman" w:eastAsia="宋体" w:cs="Times New Roman"/>
      <w:b/>
      <w:bCs/>
      <w:sz w:val="32"/>
      <w:szCs w:val="32"/>
    </w:rPr>
  </w:style>
  <w:style w:type="paragraph" w:customStyle="1" w:styleId="203">
    <w:name w:val="标题 41"/>
    <w:basedOn w:val="1"/>
    <w:next w:val="198"/>
    <w:link w:val="204"/>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04">
    <w:name w:val="标题 4 字符"/>
    <w:link w:val="203"/>
    <w:qFormat/>
    <w:uiPriority w:val="0"/>
    <w:rPr>
      <w:rFonts w:ascii="Arial" w:hAnsi="Arial" w:eastAsia="黑体" w:cs="Arial"/>
      <w:b/>
      <w:bCs/>
      <w:sz w:val="28"/>
      <w:szCs w:val="28"/>
    </w:rPr>
  </w:style>
  <w:style w:type="paragraph" w:customStyle="1" w:styleId="205">
    <w:name w:val="标题 51"/>
    <w:basedOn w:val="1"/>
    <w:next w:val="198"/>
    <w:link w:val="206"/>
    <w:qFormat/>
    <w:uiPriority w:val="0"/>
    <w:pPr>
      <w:keepNext/>
      <w:outlineLvl w:val="4"/>
    </w:pPr>
    <w:rPr>
      <w:rFonts w:ascii="宋体"/>
      <w:color w:val="000000"/>
      <w:sz w:val="28"/>
      <w:szCs w:val="28"/>
    </w:rPr>
  </w:style>
  <w:style w:type="character" w:customStyle="1" w:styleId="206">
    <w:name w:val="标题 5 字符"/>
    <w:link w:val="205"/>
    <w:qFormat/>
    <w:uiPriority w:val="0"/>
    <w:rPr>
      <w:rFonts w:ascii="宋体" w:hAnsi="Times New Roman" w:eastAsia="宋体" w:cs="Times New Roman"/>
      <w:color w:val="000000"/>
      <w:sz w:val="28"/>
      <w:szCs w:val="28"/>
    </w:rPr>
  </w:style>
  <w:style w:type="paragraph" w:customStyle="1" w:styleId="207">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08">
    <w:name w:val="标题 6 字符"/>
    <w:link w:val="207"/>
    <w:qFormat/>
    <w:uiPriority w:val="0"/>
    <w:rPr>
      <w:rFonts w:ascii="Arial" w:hAnsi="Arial" w:eastAsia="黑体" w:cs="Times New Roman"/>
      <w:b/>
      <w:bCs/>
      <w:sz w:val="24"/>
      <w:szCs w:val="24"/>
    </w:rPr>
  </w:style>
  <w:style w:type="paragraph" w:customStyle="1" w:styleId="209">
    <w:name w:val="标题 71"/>
    <w:basedOn w:val="1"/>
    <w:next w:val="1"/>
    <w:link w:val="210"/>
    <w:qFormat/>
    <w:uiPriority w:val="0"/>
    <w:pPr>
      <w:keepNext/>
      <w:keepLines/>
      <w:numPr>
        <w:ilvl w:val="6"/>
        <w:numId w:val="1"/>
      </w:numPr>
      <w:spacing w:before="240" w:after="64" w:line="320" w:lineRule="auto"/>
      <w:outlineLvl w:val="6"/>
    </w:pPr>
    <w:rPr>
      <w:b/>
      <w:bCs/>
      <w:sz w:val="24"/>
      <w:szCs w:val="24"/>
    </w:rPr>
  </w:style>
  <w:style w:type="character" w:customStyle="1" w:styleId="210">
    <w:name w:val="标题 7 字符"/>
    <w:link w:val="209"/>
    <w:qFormat/>
    <w:uiPriority w:val="0"/>
    <w:rPr>
      <w:rFonts w:ascii="Times New Roman" w:hAnsi="Times New Roman" w:eastAsia="宋体" w:cs="Times New Roman"/>
      <w:b/>
      <w:bCs/>
      <w:sz w:val="24"/>
      <w:szCs w:val="24"/>
    </w:rPr>
  </w:style>
  <w:style w:type="paragraph" w:customStyle="1" w:styleId="211">
    <w:name w:val="标题 81"/>
    <w:basedOn w:val="1"/>
    <w:next w:val="1"/>
    <w:link w:val="212"/>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12">
    <w:name w:val="标题 8 字符"/>
    <w:link w:val="211"/>
    <w:qFormat/>
    <w:uiPriority w:val="0"/>
    <w:rPr>
      <w:rFonts w:ascii="Arial" w:hAnsi="Arial" w:eastAsia="黑体" w:cs="Times New Roman"/>
      <w:sz w:val="24"/>
      <w:szCs w:val="24"/>
    </w:rPr>
  </w:style>
  <w:style w:type="paragraph" w:customStyle="1" w:styleId="213">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rPr>
  </w:style>
  <w:style w:type="character" w:customStyle="1" w:styleId="214">
    <w:name w:val="标题 9 字符"/>
    <w:link w:val="213"/>
    <w:qFormat/>
    <w:uiPriority w:val="0"/>
    <w:rPr>
      <w:rFonts w:ascii="Arial" w:hAnsi="Arial" w:eastAsia="黑体" w:cs="Times New Roman"/>
      <w:szCs w:val="21"/>
    </w:rPr>
  </w:style>
  <w:style w:type="character" w:customStyle="1" w:styleId="215">
    <w:name w:val="默认段落字体1"/>
    <w:unhideWhenUsed/>
    <w:qFormat/>
    <w:uiPriority w:val="1"/>
  </w:style>
  <w:style w:type="table" w:customStyle="1" w:styleId="216">
    <w:name w:val="普通表格1"/>
    <w:unhideWhenUsed/>
    <w:qFormat/>
    <w:uiPriority w:val="99"/>
    <w:rPr>
      <w:lang w:val="en-US" w:eastAsia="zh-CN" w:bidi="ar-SA"/>
    </w:rPr>
  </w:style>
  <w:style w:type="paragraph" w:customStyle="1" w:styleId="217">
    <w:name w:val="列表 31"/>
    <w:basedOn w:val="1"/>
    <w:qFormat/>
    <w:uiPriority w:val="0"/>
    <w:pPr>
      <w:ind w:left="100" w:hanging="200"/>
    </w:pPr>
  </w:style>
  <w:style w:type="paragraph" w:customStyle="1" w:styleId="218">
    <w:name w:val="目录 71"/>
    <w:basedOn w:val="1"/>
    <w:next w:val="1"/>
    <w:semiHidden/>
    <w:qFormat/>
    <w:uiPriority w:val="0"/>
    <w:pPr>
      <w:ind w:left="1260"/>
      <w:jc w:val="left"/>
    </w:pPr>
  </w:style>
  <w:style w:type="paragraph" w:customStyle="1" w:styleId="219">
    <w:name w:val="文档结构图1"/>
    <w:basedOn w:val="1"/>
    <w:link w:val="220"/>
    <w:semiHidden/>
    <w:qFormat/>
    <w:uiPriority w:val="0"/>
    <w:pPr>
      <w:shd w:val="clear" w:color="auto" w:fill="000080"/>
    </w:pPr>
  </w:style>
  <w:style w:type="character" w:customStyle="1" w:styleId="220">
    <w:name w:val="文档结构图 字符"/>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qFormat/>
    <w:uiPriority w:val="99"/>
    <w:pPr>
      <w:jc w:val="left"/>
    </w:pPr>
  </w:style>
  <w:style w:type="character" w:customStyle="1" w:styleId="222">
    <w:name w:val="批注文字 字符"/>
    <w:link w:val="221"/>
    <w:qFormat/>
    <w:uiPriority w:val="99"/>
    <w:rPr>
      <w:rFonts w:ascii="Times New Roman" w:hAnsi="Times New Roman" w:eastAsia="宋体" w:cs="Times New Roman"/>
      <w:szCs w:val="21"/>
    </w:rPr>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字符"/>
    <w:link w:val="223"/>
    <w:qFormat/>
    <w:uiPriority w:val="0"/>
    <w:rPr>
      <w:rFonts w:ascii="仿宋_GB2312" w:hAnsi="Arial" w:eastAsia="仿宋_GB2312" w:cs="Times New Roman"/>
      <w:sz w:val="32"/>
      <w:szCs w:val="32"/>
    </w:rPr>
  </w:style>
  <w:style w:type="paragraph" w:customStyle="1" w:styleId="225">
    <w:name w:val="正文文本1"/>
    <w:basedOn w:val="1"/>
    <w:link w:val="226"/>
    <w:qFormat/>
    <w:uiPriority w:val="0"/>
    <w:rPr>
      <w:rFonts w:ascii="楷体_GB2312" w:hAnsi="Arial" w:eastAsia="楷体_GB2312"/>
      <w:sz w:val="28"/>
      <w:szCs w:val="28"/>
    </w:rPr>
  </w:style>
  <w:style w:type="character" w:customStyle="1" w:styleId="226">
    <w:name w:val="正文文本 字符"/>
    <w:link w:val="225"/>
    <w:qFormat/>
    <w:uiPriority w:val="0"/>
    <w:rPr>
      <w:rFonts w:ascii="楷体_GB2312" w:hAnsi="Arial" w:eastAsia="楷体_GB2312" w:cs="Times New Roman"/>
      <w:sz w:val="28"/>
      <w:szCs w:val="28"/>
    </w:rPr>
  </w:style>
  <w:style w:type="paragraph" w:customStyle="1" w:styleId="227">
    <w:name w:val="正文文本缩进1"/>
    <w:basedOn w:val="1"/>
    <w:link w:val="228"/>
    <w:qFormat/>
    <w:uiPriority w:val="0"/>
    <w:pPr>
      <w:ind w:firstLine="645"/>
    </w:pPr>
    <w:rPr>
      <w:rFonts w:ascii="楷体_GB2312" w:eastAsia="楷体_GB2312"/>
      <w:sz w:val="32"/>
      <w:szCs w:val="32"/>
    </w:rPr>
  </w:style>
  <w:style w:type="character" w:customStyle="1" w:styleId="228">
    <w:name w:val="正文文本缩进 字符"/>
    <w:link w:val="227"/>
    <w:qFormat/>
    <w:uiPriority w:val="0"/>
    <w:rPr>
      <w:rFonts w:ascii="楷体_GB2312" w:hAnsi="Times New Roman" w:eastAsia="楷体_GB2312" w:cs="Times New Roman"/>
      <w:sz w:val="32"/>
      <w:szCs w:val="32"/>
    </w:rPr>
  </w:style>
  <w:style w:type="paragraph" w:customStyle="1" w:styleId="229">
    <w:name w:val="列表 21"/>
    <w:basedOn w:val="1"/>
    <w:qFormat/>
    <w:uiPriority w:val="0"/>
    <w:pPr>
      <w:ind w:left="100" w:hanging="200"/>
    </w:pPr>
  </w:style>
  <w:style w:type="paragraph" w:customStyle="1" w:styleId="230">
    <w:name w:val="目录 51"/>
    <w:basedOn w:val="1"/>
    <w:next w:val="1"/>
    <w:semiHidden/>
    <w:qFormat/>
    <w:uiPriority w:val="0"/>
    <w:pPr>
      <w:ind w:left="840"/>
      <w:jc w:val="left"/>
    </w:pPr>
  </w:style>
  <w:style w:type="paragraph" w:customStyle="1" w:styleId="231">
    <w:name w:val="目录 31"/>
    <w:basedOn w:val="1"/>
    <w:next w:val="1"/>
    <w:semiHidden/>
    <w:qFormat/>
    <w:uiPriority w:val="0"/>
    <w:pPr>
      <w:ind w:left="420"/>
      <w:jc w:val="left"/>
    </w:pPr>
    <w:rPr>
      <w:i/>
      <w:iCs/>
      <w:szCs w:val="24"/>
    </w:rPr>
  </w:style>
  <w:style w:type="paragraph" w:customStyle="1" w:styleId="232">
    <w:name w:val="纯文本1"/>
    <w:basedOn w:val="1"/>
    <w:link w:val="233"/>
    <w:qFormat/>
    <w:uiPriority w:val="0"/>
    <w:rPr>
      <w:rFonts w:ascii="宋体" w:hAnsi="Courier New" w:cs="Courier New"/>
    </w:rPr>
  </w:style>
  <w:style w:type="character" w:customStyle="1" w:styleId="233">
    <w:name w:val="纯文本 字符"/>
    <w:link w:val="232"/>
    <w:qFormat/>
    <w:uiPriority w:val="0"/>
    <w:rPr>
      <w:rFonts w:ascii="宋体" w:hAnsi="Courier New" w:eastAsia="宋体" w:cs="Courier New"/>
      <w:szCs w:val="21"/>
    </w:rPr>
  </w:style>
  <w:style w:type="paragraph" w:customStyle="1" w:styleId="234">
    <w:name w:val="目录 81"/>
    <w:basedOn w:val="1"/>
    <w:next w:val="1"/>
    <w:semiHidden/>
    <w:qFormat/>
    <w:uiPriority w:val="0"/>
    <w:pPr>
      <w:ind w:left="1470"/>
      <w:jc w:val="left"/>
    </w:pPr>
  </w:style>
  <w:style w:type="paragraph" w:customStyle="1" w:styleId="235">
    <w:name w:val="日期1"/>
    <w:basedOn w:val="1"/>
    <w:next w:val="1"/>
    <w:link w:val="236"/>
    <w:qFormat/>
    <w:uiPriority w:val="0"/>
    <w:rPr>
      <w:sz w:val="24"/>
      <w:szCs w:val="24"/>
    </w:rPr>
  </w:style>
  <w:style w:type="character" w:customStyle="1" w:styleId="236">
    <w:name w:val="日期 字符"/>
    <w:link w:val="235"/>
    <w:qFormat/>
    <w:uiPriority w:val="0"/>
    <w:rPr>
      <w:rFonts w:ascii="Times New Roman" w:hAnsi="Times New Roman" w:eastAsia="宋体" w:cs="Times New Roman"/>
      <w:sz w:val="24"/>
      <w:szCs w:val="24"/>
    </w:rPr>
  </w:style>
  <w:style w:type="paragraph" w:customStyle="1" w:styleId="237">
    <w:name w:val="正文文本缩进 21"/>
    <w:basedOn w:val="1"/>
    <w:link w:val="238"/>
    <w:qFormat/>
    <w:uiPriority w:val="0"/>
    <w:pPr>
      <w:ind w:left="630" w:firstLine="645"/>
    </w:pPr>
    <w:rPr>
      <w:rFonts w:ascii="Arial" w:hAnsi="Arial" w:eastAsia="仿宋_GB2312" w:cs="Arial"/>
      <w:sz w:val="32"/>
      <w:szCs w:val="32"/>
    </w:rPr>
  </w:style>
  <w:style w:type="character" w:customStyle="1" w:styleId="238">
    <w:name w:val="正文文本缩进 2 字符"/>
    <w:link w:val="237"/>
    <w:qFormat/>
    <w:uiPriority w:val="0"/>
    <w:rPr>
      <w:rFonts w:ascii="Arial" w:hAnsi="Arial" w:eastAsia="仿宋_GB2312" w:cs="Arial"/>
      <w:sz w:val="32"/>
      <w:szCs w:val="32"/>
    </w:rPr>
  </w:style>
  <w:style w:type="paragraph" w:customStyle="1" w:styleId="239">
    <w:name w:val="批注框文本1"/>
    <w:basedOn w:val="1"/>
    <w:link w:val="240"/>
    <w:semiHidden/>
    <w:qFormat/>
    <w:uiPriority w:val="0"/>
    <w:rPr>
      <w:sz w:val="18"/>
      <w:szCs w:val="18"/>
    </w:rPr>
  </w:style>
  <w:style w:type="character" w:customStyle="1" w:styleId="240">
    <w:name w:val="批注框文本 字符"/>
    <w:link w:val="239"/>
    <w:semiHidden/>
    <w:qFormat/>
    <w:uiPriority w:val="0"/>
    <w:rPr>
      <w:rFonts w:ascii="Times New Roman" w:hAnsi="Times New Roman" w:eastAsia="宋体" w:cs="Times New Roman"/>
      <w:sz w:val="18"/>
      <w:szCs w:val="18"/>
    </w:rPr>
  </w:style>
  <w:style w:type="paragraph" w:customStyle="1" w:styleId="241">
    <w:name w:val="页脚1"/>
    <w:basedOn w:val="1"/>
    <w:link w:val="242"/>
    <w:qFormat/>
    <w:uiPriority w:val="99"/>
    <w:pPr>
      <w:tabs>
        <w:tab w:val="center" w:pos="4153"/>
        <w:tab w:val="right" w:pos="8306"/>
      </w:tabs>
      <w:jc w:val="left"/>
    </w:pPr>
    <w:rPr>
      <w:sz w:val="18"/>
      <w:szCs w:val="18"/>
    </w:rPr>
  </w:style>
  <w:style w:type="character" w:customStyle="1" w:styleId="242">
    <w:name w:val="页脚 字符"/>
    <w:link w:val="241"/>
    <w:qFormat/>
    <w:uiPriority w:val="99"/>
    <w:rPr>
      <w:rFonts w:ascii="Times New Roman" w:hAnsi="Times New Roman" w:eastAsia="宋体" w:cs="Times New Roman"/>
      <w:sz w:val="18"/>
      <w:szCs w:val="18"/>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0"/>
    <w:rPr>
      <w:rFonts w:ascii="Times New Roman" w:hAnsi="Times New Roman" w:eastAsia="宋体" w:cs="Times New Roman"/>
      <w:sz w:val="18"/>
      <w:szCs w:val="18"/>
    </w:rPr>
  </w:style>
  <w:style w:type="paragraph" w:customStyle="1" w:styleId="24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6">
    <w:name w:val="目录 41"/>
    <w:basedOn w:val="1"/>
    <w:next w:val="1"/>
    <w:semiHidden/>
    <w:qFormat/>
    <w:uiPriority w:val="0"/>
    <w:pPr>
      <w:ind w:left="630"/>
      <w:jc w:val="left"/>
    </w:pPr>
  </w:style>
  <w:style w:type="paragraph" w:customStyle="1" w:styleId="247">
    <w:name w:val="列表1"/>
    <w:basedOn w:val="1"/>
    <w:qFormat/>
    <w:uiPriority w:val="0"/>
    <w:pPr>
      <w:ind w:left="200" w:hanging="200"/>
    </w:pPr>
  </w:style>
  <w:style w:type="paragraph" w:customStyle="1" w:styleId="248">
    <w:name w:val="目录 61"/>
    <w:basedOn w:val="1"/>
    <w:next w:val="1"/>
    <w:semiHidden/>
    <w:qFormat/>
    <w:uiPriority w:val="0"/>
    <w:pPr>
      <w:ind w:left="1050"/>
      <w:jc w:val="left"/>
    </w:pPr>
  </w:style>
  <w:style w:type="paragraph" w:customStyle="1" w:styleId="249">
    <w:name w:val="正文文本缩进 31"/>
    <w:basedOn w:val="1"/>
    <w:link w:val="250"/>
    <w:qFormat/>
    <w:uiPriority w:val="0"/>
    <w:pPr>
      <w:ind w:left="645" w:firstLine="645"/>
    </w:pPr>
    <w:rPr>
      <w:rFonts w:ascii="Arial" w:hAnsi="Arial" w:eastAsia="仿宋_GB2312" w:cs="Arial"/>
      <w:color w:val="FFFF00"/>
      <w:sz w:val="32"/>
      <w:szCs w:val="32"/>
    </w:rPr>
  </w:style>
  <w:style w:type="character" w:customStyle="1" w:styleId="250">
    <w:name w:val="正文文本缩进 3 字符"/>
    <w:link w:val="249"/>
    <w:qFormat/>
    <w:uiPriority w:val="0"/>
    <w:rPr>
      <w:rFonts w:ascii="Arial" w:hAnsi="Arial" w:eastAsia="仿宋_GB2312" w:cs="Arial"/>
      <w:color w:val="FFFF00"/>
      <w:sz w:val="32"/>
      <w:szCs w:val="32"/>
    </w:rPr>
  </w:style>
  <w:style w:type="paragraph" w:customStyle="1" w:styleId="251">
    <w:name w:val="图表目录1"/>
    <w:basedOn w:val="1"/>
    <w:next w:val="1"/>
    <w:semiHidden/>
    <w:qFormat/>
    <w:uiPriority w:val="0"/>
    <w:pPr>
      <w:ind w:left="840" w:hanging="420"/>
    </w:pPr>
  </w:style>
  <w:style w:type="paragraph" w:customStyle="1" w:styleId="252">
    <w:name w:val="目录 21"/>
    <w:basedOn w:val="1"/>
    <w:next w:val="1"/>
    <w:semiHidden/>
    <w:qFormat/>
    <w:uiPriority w:val="0"/>
    <w:pPr>
      <w:ind w:left="210"/>
      <w:jc w:val="left"/>
    </w:pPr>
    <w:rPr>
      <w:smallCaps/>
      <w:szCs w:val="24"/>
    </w:rPr>
  </w:style>
  <w:style w:type="paragraph" w:customStyle="1" w:styleId="253">
    <w:name w:val="目录 91"/>
    <w:basedOn w:val="1"/>
    <w:next w:val="1"/>
    <w:semiHidden/>
    <w:qFormat/>
    <w:uiPriority w:val="0"/>
    <w:pPr>
      <w:ind w:left="1680"/>
      <w:jc w:val="left"/>
    </w:pPr>
  </w:style>
  <w:style w:type="paragraph" w:customStyle="1" w:styleId="254">
    <w:name w:val="正文文本 21"/>
    <w:basedOn w:val="1"/>
    <w:link w:val="255"/>
    <w:qFormat/>
    <w:uiPriority w:val="0"/>
    <w:pPr>
      <w:widowControl/>
      <w:jc w:val="center"/>
    </w:pPr>
    <w:rPr>
      <w:rFonts w:ascii="楷体_GB2312" w:eastAsia="楷体_GB2312"/>
      <w:sz w:val="28"/>
      <w:szCs w:val="28"/>
    </w:rPr>
  </w:style>
  <w:style w:type="character" w:customStyle="1" w:styleId="255">
    <w:name w:val="正文文本 2 字符"/>
    <w:link w:val="254"/>
    <w:qFormat/>
    <w:uiPriority w:val="0"/>
    <w:rPr>
      <w:rFonts w:ascii="楷体_GB2312" w:hAnsi="Times New Roman" w:eastAsia="楷体_GB2312" w:cs="Times New Roman"/>
      <w:sz w:val="28"/>
      <w:szCs w:val="28"/>
    </w:rPr>
  </w:style>
  <w:style w:type="paragraph" w:customStyle="1" w:styleId="25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7">
    <w:name w:val="索引 11"/>
    <w:basedOn w:val="1"/>
    <w:next w:val="1"/>
    <w:semiHidden/>
    <w:qFormat/>
    <w:uiPriority w:val="0"/>
    <w:pPr>
      <w:spacing w:line="240" w:lineRule="atLeast"/>
    </w:pPr>
    <w:rPr>
      <w:b/>
      <w:bCs/>
    </w:rPr>
  </w:style>
  <w:style w:type="paragraph" w:customStyle="1" w:styleId="258">
    <w:name w:val="批注主题1"/>
    <w:basedOn w:val="221"/>
    <w:next w:val="221"/>
    <w:link w:val="259"/>
    <w:semiHidden/>
    <w:qFormat/>
    <w:uiPriority w:val="0"/>
    <w:rPr>
      <w:b/>
      <w:bCs/>
    </w:rPr>
  </w:style>
  <w:style w:type="character" w:customStyle="1" w:styleId="259">
    <w:name w:val="批注主题 字符"/>
    <w:link w:val="258"/>
    <w:semiHidden/>
    <w:qFormat/>
    <w:uiPriority w:val="0"/>
    <w:rPr>
      <w:rFonts w:ascii="Times New Roman" w:hAnsi="Times New Roman" w:eastAsia="宋体" w:cs="Times New Roman"/>
      <w:b/>
      <w:bCs/>
      <w:szCs w:val="21"/>
    </w:rPr>
  </w:style>
  <w:style w:type="paragraph" w:customStyle="1" w:styleId="260">
    <w:name w:val="正文首行缩进1"/>
    <w:basedOn w:val="1"/>
    <w:link w:val="261"/>
    <w:qFormat/>
    <w:uiPriority w:val="0"/>
    <w:pPr>
      <w:spacing w:line="360" w:lineRule="auto"/>
      <w:ind w:firstLine="200"/>
    </w:pPr>
    <w:rPr>
      <w:rFonts w:ascii="仿宋_GB2312" w:eastAsia="仿宋_GB2312"/>
      <w:sz w:val="30"/>
      <w:szCs w:val="30"/>
    </w:rPr>
  </w:style>
  <w:style w:type="character" w:customStyle="1" w:styleId="261">
    <w:name w:val="正文文本首行缩进 字符"/>
    <w:link w:val="260"/>
    <w:qFormat/>
    <w:uiPriority w:val="0"/>
    <w:rPr>
      <w:rFonts w:ascii="仿宋_GB2312" w:hAnsi="Times New Roman" w:eastAsia="仿宋_GB2312" w:cs="Times New Roman"/>
      <w:sz w:val="30"/>
      <w:szCs w:val="30"/>
    </w:rPr>
  </w:style>
  <w:style w:type="paragraph" w:customStyle="1" w:styleId="262">
    <w:name w:val="正文首行缩进 21"/>
    <w:basedOn w:val="227"/>
    <w:link w:val="263"/>
    <w:qFormat/>
    <w:uiPriority w:val="0"/>
    <w:pPr>
      <w:spacing w:line="360" w:lineRule="auto"/>
      <w:ind w:firstLine="420"/>
    </w:pPr>
    <w:rPr>
      <w:rFonts w:ascii="宋体" w:hAnsi="宋体" w:eastAsia="宋体"/>
      <w:sz w:val="21"/>
      <w:szCs w:val="20"/>
    </w:rPr>
  </w:style>
  <w:style w:type="character" w:customStyle="1" w:styleId="263">
    <w:name w:val="正文文本首行缩进 2 字符"/>
    <w:link w:val="262"/>
    <w:qFormat/>
    <w:uiPriority w:val="0"/>
    <w:rPr>
      <w:rFonts w:ascii="宋体" w:hAnsi="宋体" w:eastAsia="宋体" w:cs="Times New Roman"/>
      <w:sz w:val="32"/>
      <w:szCs w:val="20"/>
    </w:rPr>
  </w:style>
  <w:style w:type="table" w:customStyle="1" w:styleId="264">
    <w:name w:val="网格型1"/>
    <w:basedOn w:val="216"/>
    <w:qFormat/>
    <w:uiPriority w:val="0"/>
    <w:pPr>
      <w:widowControl w:val="0"/>
      <w:jc w:val="both"/>
    </w:pPr>
    <w:rPr>
      <w:rFonts w:ascii="Times New Roman" w:hAnsi="Times New Roman" w:eastAsia="宋体" w:cs="Times New Roman"/>
      <w:sz w:val="20"/>
      <w:szCs w:val="20"/>
    </w:rPr>
  </w:style>
  <w:style w:type="character" w:customStyle="1" w:styleId="265">
    <w:name w:val="要点1"/>
    <w:qFormat/>
    <w:uiPriority w:val="0"/>
    <w:rPr>
      <w:b/>
      <w:bCs/>
    </w:rPr>
  </w:style>
  <w:style w:type="character" w:customStyle="1" w:styleId="266">
    <w:name w:val="页码1"/>
    <w:qFormat/>
    <w:uiPriority w:val="0"/>
  </w:style>
  <w:style w:type="character" w:customStyle="1" w:styleId="267">
    <w:name w:val="已访问的超链接1"/>
    <w:qFormat/>
    <w:uiPriority w:val="0"/>
    <w:rPr>
      <w:color w:val="800080"/>
      <w:u w:val="single"/>
    </w:rPr>
  </w:style>
  <w:style w:type="character" w:customStyle="1" w:styleId="268">
    <w:name w:val="超链接1"/>
    <w:qFormat/>
    <w:uiPriority w:val="0"/>
    <w:rPr>
      <w:color w:val="0000FF"/>
      <w:u w:val="single"/>
    </w:rPr>
  </w:style>
  <w:style w:type="character" w:customStyle="1" w:styleId="269">
    <w:name w:val="批注引用1"/>
    <w:qFormat/>
    <w:uiPriority w:val="99"/>
    <w:rPr>
      <w:sz w:val="21"/>
      <w:szCs w:val="21"/>
    </w:rPr>
  </w:style>
  <w:style w:type="character" w:customStyle="1" w:styleId="270">
    <w:name w:val="font5 Char"/>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rPr>
  </w:style>
  <w:style w:type="paragraph" w:customStyle="1" w:styleId="272">
    <w:name w:val="二级目录"/>
    <w:next w:val="1"/>
    <w:link w:val="271"/>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73">
    <w:name w:val="列出段落 Char"/>
    <w:link w:val="274"/>
    <w:qFormat/>
    <w:uiPriority w:val="0"/>
    <w:rPr>
      <w:rFonts w:ascii="Calibri" w:hAnsi="Calibri"/>
      <w:sz w:val="24"/>
      <w:szCs w:val="24"/>
      <w:lang w:eastAsia="en-US" w:bidi="en-US"/>
    </w:rPr>
  </w:style>
  <w:style w:type="paragraph" w:customStyle="1" w:styleId="274">
    <w:name w:val="列出段落1"/>
    <w:basedOn w:val="1"/>
    <w:link w:val="27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5">
    <w:name w:val="Body Text(ch)"/>
    <w:basedOn w:val="1"/>
    <w:next w:val="225"/>
    <w:qFormat/>
    <w:uiPriority w:val="0"/>
    <w:pPr>
      <w:spacing w:after="120"/>
    </w:pPr>
    <w:rPr>
      <w:rFonts w:ascii="宋体" w:hAnsi="Arial"/>
      <w:bCs/>
      <w:iCs/>
      <w:szCs w:val="24"/>
    </w:rPr>
  </w:style>
  <w:style w:type="paragraph" w:customStyle="1" w:styleId="27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8">
    <w:name w:val="Char"/>
    <w:basedOn w:val="1"/>
    <w:qFormat/>
    <w:uiPriority w:val="0"/>
    <w:pPr>
      <w:tabs>
        <w:tab w:val="left" w:pos="360"/>
      </w:tabs>
      <w:ind w:firstLine="200"/>
    </w:pPr>
    <w:rPr>
      <w:sz w:val="28"/>
      <w:szCs w:val="30"/>
    </w:rPr>
  </w:style>
  <w:style w:type="paragraph" w:customStyle="1" w:styleId="279">
    <w:name w:val=" Char"/>
    <w:basedOn w:val="219"/>
    <w:qFormat/>
    <w:uiPriority w:val="0"/>
    <w:rPr>
      <w:rFonts w:ascii="Tahoma" w:hAnsi="Tahoma"/>
      <w:sz w:val="24"/>
      <w:szCs w:val="24"/>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table_lines"/>
    <w:basedOn w:val="1"/>
    <w:qFormat/>
    <w:uiPriority w:val="0"/>
    <w:pPr>
      <w:widowControl/>
      <w:jc w:val="left"/>
    </w:pPr>
    <w:rPr>
      <w:sz w:val="20"/>
      <w:szCs w:val="20"/>
      <w:lang w:val="de-DE" w:eastAsia="de-DE"/>
    </w:rPr>
  </w:style>
  <w:style w:type="paragraph" w:customStyle="1" w:styleId="282">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4">
    <w:name w:val=" Char Char Char Char"/>
    <w:basedOn w:val="219"/>
    <w:qFormat/>
    <w:uiPriority w:val="0"/>
    <w:pPr>
      <w:spacing w:line="360" w:lineRule="auto"/>
    </w:pPr>
    <w:rPr>
      <w:rFonts w:ascii="Tahoma" w:hAnsi="Tahoma"/>
      <w:sz w:val="24"/>
      <w:szCs w:val="24"/>
    </w:rPr>
  </w:style>
  <w:style w:type="paragraph" w:customStyle="1" w:styleId="285">
    <w:name w:val="列表段落1"/>
    <w:basedOn w:val="1"/>
    <w:link w:val="286"/>
    <w:qFormat/>
    <w:uiPriority w:val="34"/>
    <w:pPr>
      <w:widowControl/>
      <w:ind w:left="720"/>
      <w:contextualSpacing/>
      <w:jc w:val="left"/>
    </w:pPr>
    <w:rPr>
      <w:rFonts w:ascii="Calibri" w:hAnsi="Calibri"/>
      <w:sz w:val="24"/>
      <w:szCs w:val="24"/>
      <w:lang w:eastAsia="en-US" w:bidi="en-US"/>
    </w:rPr>
  </w:style>
  <w:style w:type="character" w:customStyle="1" w:styleId="286">
    <w:name w:val="列表段落 字符"/>
    <w:link w:val="285"/>
    <w:qFormat/>
    <w:uiPriority w:val="34"/>
    <w:rPr>
      <w:sz w:val="24"/>
      <w:szCs w:val="24"/>
      <w:lang w:eastAsia="en-US" w:bidi="en-US"/>
    </w:rPr>
  </w:style>
  <w:style w:type="paragraph" w:customStyle="1" w:styleId="287">
    <w:name w:val="4"/>
    <w:basedOn w:val="1"/>
    <w:next w:val="249"/>
    <w:qFormat/>
    <w:uiPriority w:val="0"/>
    <w:pPr>
      <w:spacing w:line="360" w:lineRule="auto"/>
      <w:ind w:firstLine="420"/>
    </w:pPr>
    <w:rPr>
      <w:color w:val="FF0000"/>
      <w:sz w:val="24"/>
      <w:szCs w:val="24"/>
    </w:rPr>
  </w:style>
  <w:style w:type="paragraph" w:customStyle="1" w:styleId="28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9">
    <w:name w:val=" Char Char Char Char Char Char Char Char Char Char"/>
    <w:basedOn w:val="1"/>
    <w:qFormat/>
    <w:uiPriority w:val="0"/>
    <w:pPr>
      <w:spacing w:line="360" w:lineRule="auto"/>
    </w:pPr>
    <w:rPr>
      <w:sz w:val="24"/>
      <w:szCs w:val="20"/>
    </w:rPr>
  </w:style>
  <w:style w:type="paragraph" w:customStyle="1" w:styleId="290">
    <w:name w:val="样式1"/>
    <w:basedOn w:val="1"/>
    <w:qFormat/>
    <w:uiPriority w:val="0"/>
    <w:pPr>
      <w:numPr>
        <w:ilvl w:val="0"/>
        <w:numId w:val="3"/>
      </w:numPr>
    </w:pPr>
    <w:rPr>
      <w:rFonts w:ascii="宋体" w:hAnsi="宋体"/>
    </w:rPr>
  </w:style>
  <w:style w:type="paragraph" w:customStyle="1" w:styleId="29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1">
    <w:name w:val="Char Char Char Char"/>
    <w:basedOn w:val="219"/>
    <w:qFormat/>
    <w:uiPriority w:val="0"/>
    <w:pPr>
      <w:spacing w:line="360" w:lineRule="auto"/>
    </w:pPr>
    <w:rPr>
      <w:rFonts w:ascii="Tahoma" w:hAnsi="Tahoma"/>
      <w:sz w:val="24"/>
      <w:szCs w:val="24"/>
    </w:rPr>
  </w:style>
  <w:style w:type="paragraph" w:customStyle="1" w:styleId="302">
    <w:name w:val="table_1stline"/>
    <w:basedOn w:val="1"/>
    <w:qFormat/>
    <w:uiPriority w:val="0"/>
    <w:pPr>
      <w:widowControl/>
      <w:spacing w:before="120"/>
      <w:jc w:val="left"/>
    </w:pPr>
    <w:rPr>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5">
    <w:name w:val="_Style 300"/>
    <w:semiHidden/>
    <w:qFormat/>
    <w:uiPriority w:val="99"/>
    <w:rPr>
      <w:rFonts w:ascii="Times New Roman" w:hAnsi="Times New Roman" w:eastAsia="宋体" w:cs="Times New Roman"/>
      <w:sz w:val="21"/>
      <w:szCs w:val="21"/>
      <w:lang w:val="en-US" w:eastAsia="zh-CN" w:bidi="ar-SA"/>
    </w:rPr>
  </w:style>
  <w:style w:type="paragraph" w:customStyle="1" w:styleId="306">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308">
    <w:name w:val="标题 11"/>
    <w:basedOn w:val="1"/>
    <w:next w:val="1"/>
    <w:qFormat/>
    <w:uiPriority w:val="0"/>
    <w:pPr>
      <w:keepNext/>
      <w:jc w:val="left"/>
      <w:outlineLvl w:val="0"/>
    </w:pPr>
    <w:rPr>
      <w:rFonts w:ascii="楷体_GB2312" w:hAnsi="楷体_GB2312"/>
      <w:b/>
      <w:sz w:val="32"/>
      <w:szCs w:val="28"/>
    </w:rPr>
  </w:style>
  <w:style w:type="paragraph" w:customStyle="1" w:styleId="309">
    <w:name w:val="WPSOffice手动目录 1"/>
    <w:qFormat/>
    <w:uiPriority w:val="0"/>
    <w:rPr>
      <w:rFonts w:ascii="Times New Roman" w:hAnsi="Times New Roman" w:eastAsia="宋体" w:cs="Times New Roman"/>
      <w:lang w:val="en-US" w:eastAsia="zh-CN" w:bidi="ar-SA"/>
    </w:rPr>
  </w:style>
  <w:style w:type="character" w:customStyle="1" w:styleId="310">
    <w:name w:val="正文文本缩进 字符1"/>
    <w:semiHidden/>
    <w:qFormat/>
    <w:uiPriority w:val="99"/>
    <w:rPr>
      <w:sz w:val="21"/>
      <w:szCs w:val="21"/>
    </w:rPr>
  </w:style>
  <w:style w:type="character" w:customStyle="1" w:styleId="311">
    <w:name w:val="font41"/>
    <w:basedOn w:val="27"/>
    <w:qFormat/>
    <w:uiPriority w:val="0"/>
    <w:rPr>
      <w:rFonts w:hint="eastAsia" w:ascii="微软雅黑" w:hAnsi="微软雅黑" w:eastAsia="微软雅黑" w:cs="微软雅黑"/>
      <w:color w:val="000000"/>
      <w:sz w:val="18"/>
      <w:szCs w:val="18"/>
      <w:u w:val="none"/>
    </w:rPr>
  </w:style>
  <w:style w:type="character" w:customStyle="1" w:styleId="312">
    <w:name w:val="font51"/>
    <w:basedOn w:val="27"/>
    <w:qFormat/>
    <w:uiPriority w:val="0"/>
    <w:rPr>
      <w:rFonts w:hint="eastAsia" w:ascii="微软雅黑" w:hAnsi="微软雅黑" w:eastAsia="微软雅黑" w:cs="微软雅黑"/>
      <w:color w:val="FF0000"/>
      <w:sz w:val="18"/>
      <w:szCs w:val="18"/>
      <w:u w:val="none"/>
    </w:rPr>
  </w:style>
  <w:style w:type="paragraph" w:customStyle="1" w:styleId="313">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314">
    <w:name w:val="apple-style-span"/>
    <w:qFormat/>
    <w:uiPriority w:val="0"/>
    <w:rPr>
      <w:rFonts w:cs="Times New Roman"/>
    </w:rPr>
  </w:style>
  <w:style w:type="character" w:customStyle="1" w:styleId="315">
    <w:name w:val="font11"/>
    <w:basedOn w:val="27"/>
    <w:qFormat/>
    <w:uiPriority w:val="0"/>
    <w:rPr>
      <w:rFonts w:hint="eastAsia" w:ascii="宋体" w:hAnsi="宋体" w:eastAsia="宋体" w:cs="宋体"/>
      <w:color w:val="000000"/>
      <w:sz w:val="20"/>
      <w:szCs w:val="20"/>
      <w:u w:val="none"/>
    </w:rPr>
  </w:style>
  <w:style w:type="character" w:customStyle="1" w:styleId="316">
    <w:name w:val="font21"/>
    <w:basedOn w:val="2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129</Pages>
  <Words>27833</Words>
  <Characters>31241</Characters>
  <Lines>350</Lines>
  <Paragraphs>98</Paragraphs>
  <TotalTime>13</TotalTime>
  <ScaleCrop>false</ScaleCrop>
  <LinksUpToDate>false</LinksUpToDate>
  <CharactersWithSpaces>33406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2025-04-06T12:24:00Z</dcterms:created>
  <dc:creator>赵国</dc:creator>
  <cp:lastModifiedBy>彭文华</cp:lastModifiedBy>
  <dcterms:modified xsi:type="dcterms:W3CDTF">2026-04-09T06:42:35Z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6FB2F4BD4F6C46B6A72910A795653751_13</vt:lpwstr>
  </property>
  <property fmtid="{D5CDD505-2E9C-101B-9397-08002B2CF9AE}" pid="4" name="KSOTemplateDocerSaveRecord">
    <vt:lpwstr>eyJoZGlkIjoiZGJmNGVmOTkyYmRlYWVmNjNhMWY0NGViOTkzY2NlZDYiLCJ1c2VySWQiOiIxNjcxOTk3NTUzIn0=</vt:lpwstr>
  </property>
</Properties>
</file>