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jc w:val="both"/>
        <w:rPr>
          <w:rFonts w:ascii="宋体" w:hAnsi="宋体" w:cs="宋体"/>
          <w:b/>
          <w:bCs/>
          <w:sz w:val="44"/>
          <w:szCs w:val="44"/>
        </w:rPr>
      </w:pPr>
      <w:r/>
      <w:bookmarkStart w:id="13" w:name="_GoBack"/>
      <w:r/>
      <w:bookmarkEnd w:id="13"/>
      <w:r/>
      <w:r/>
    </w:p>
    <w:p>
      <w:pPr>
        <w:pStyle w:val="973"/>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73"/>
        <w:ind w:firstLine="0"/>
        <w:jc w:val="both"/>
        <w:rPr>
          <w:rFonts w:ascii="宋体" w:hAnsi="宋体" w:cs="宋体"/>
          <w:b/>
          <w:bCs/>
          <w:sz w:val="30"/>
          <w:szCs w:val="30"/>
        </w:rPr>
      </w:pPr>
      <w:r>
        <w:rPr>
          <w:rFonts w:ascii="宋体" w:hAnsi="宋体" w:cs="宋体"/>
          <w:b/>
          <w:bCs/>
          <w:sz w:val="30"/>
          <w:szCs w:val="30"/>
        </w:rPr>
      </w:r>
      <w:r/>
    </w:p>
    <w:p>
      <w:pPr>
        <w:pStyle w:val="973"/>
        <w:ind w:firstLine="0"/>
        <w:jc w:val="center"/>
        <w:rPr>
          <w:rFonts w:hint="eastAsia" w:ascii="宋体" w:hAnsi="宋体" w:cs="宋体"/>
          <w:b/>
          <w:bCs/>
          <w:sz w:val="30"/>
          <w:szCs w:val="30"/>
        </w:rPr>
      </w:pPr>
      <w:r>
        <w:rPr>
          <w:rFonts w:hint="eastAsia" w:ascii="宋体" w:hAnsi="宋体" w:cs="宋体"/>
          <w:b/>
          <w:bCs/>
          <w:sz w:val="30"/>
          <w:szCs w:val="30"/>
        </w:rPr>
      </w:r>
      <w:r/>
    </w:p>
    <w:p>
      <w:pPr>
        <w:pStyle w:val="973"/>
        <w:ind w:firstLine="0"/>
        <w:jc w:val="center"/>
        <w:rPr>
          <w:rFonts w:hint="eastAsia" w:ascii="宋体" w:hAnsi="宋体" w:cs="宋体"/>
          <w:b/>
          <w:bCs/>
          <w:sz w:val="30"/>
          <w:szCs w:val="30"/>
        </w:rPr>
      </w:pPr>
      <w:r>
        <w:rPr>
          <w:rFonts w:hint="eastAsia" w:ascii="宋体" w:hAnsi="宋体" w:cs="宋体"/>
          <w:b/>
          <w:bCs/>
          <w:sz w:val="30"/>
          <w:szCs w:val="30"/>
        </w:rPr>
      </w:r>
      <w:r/>
    </w:p>
    <w:p>
      <w:pPr>
        <w:pStyle w:val="973"/>
        <w:ind w:firstLine="0"/>
        <w:jc w:val="center"/>
        <w:rPr>
          <w:rFonts w:hint="eastAsia" w:ascii="宋体" w:hAnsi="宋体" w:cs="宋体"/>
          <w:b/>
          <w:bCs/>
          <w:sz w:val="30"/>
          <w:szCs w:val="30"/>
        </w:rPr>
      </w:pPr>
      <w:r>
        <w:rPr>
          <w:rFonts w:hint="eastAsia" w:ascii="宋体" w:hAnsi="宋体" w:cs="宋体"/>
          <w:b/>
          <w:bCs/>
          <w:sz w:val="30"/>
          <w:szCs w:val="30"/>
        </w:rPr>
      </w:r>
      <w:r/>
    </w:p>
    <w:p>
      <w:pPr>
        <w:pStyle w:val="973"/>
        <w:ind w:firstLine="0"/>
        <w:jc w:val="center"/>
        <w:rPr>
          <w:rFonts w:hint="eastAsia" w:ascii="宋体" w:hAnsi="宋体" w:cs="宋体"/>
          <w:b/>
          <w:bCs/>
          <w:sz w:val="30"/>
          <w:szCs w:val="30"/>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新四军纪念馆（含泰山庙）物业管理服务项目</w:t>
      </w:r>
      <w:r/>
    </w:p>
    <w:p>
      <w:pPr>
        <w:pStyle w:val="973"/>
        <w:ind w:firstLine="0"/>
        <w:jc w:val="center"/>
        <w:rPr>
          <w:rFonts w:ascii="宋体" w:hAnsi="宋体" w:cs="宋体"/>
          <w:b/>
          <w:bCs/>
          <w:sz w:val="30"/>
          <w:szCs w:val="30"/>
        </w:rPr>
      </w:pPr>
      <w:r>
        <w:rPr>
          <w:rFonts w:ascii="宋体" w:hAnsi="宋体" w:cs="宋体"/>
          <w:b/>
          <w:bCs/>
          <w:sz w:val="30"/>
          <w:szCs w:val="30"/>
        </w:rPr>
      </w:r>
      <w:r/>
    </w:p>
    <w:p>
      <w:pPr>
        <w:pStyle w:val="973"/>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highlight w:val="none"/>
          <w:lang w:eastAsia="zh-CN"/>
        </w:rPr>
        <w:t xml:space="preserve">JSZC-320900-JZCG-G2026-0014</w:t>
      </w:r>
      <w:r/>
    </w:p>
    <w:p>
      <w:pPr>
        <w:pStyle w:val="973"/>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2"/>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r>
      <w:r/>
    </w:p>
    <w:p>
      <w:pPr>
        <w:pStyle w:val="822"/>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r>
      <w:r/>
    </w:p>
    <w:p>
      <w:pPr>
        <w:pStyle w:val="822"/>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t xml:space="preserve">新四军纪念馆</w:t>
      </w:r>
      <w:r/>
    </w:p>
    <w:p>
      <w:pPr>
        <w:pStyle w:val="822"/>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3</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1060"/>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第四章  采购需求………………………………</w:t>
      </w:r>
      <w:r>
        <w:rPr>
          <w:rFonts w:ascii="黑体" w:hAnsi="Showcard Gothic" w:eastAsia="黑体"/>
          <w:sz w:val="36"/>
        </w:rPr>
        <w:t xml:space="preserve">50</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81</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87</w:t>
      </w:r>
      <w:r/>
    </w:p>
    <w:p>
      <w:pPr>
        <w:pStyle w:val="1075"/>
        <w:jc w:val="both"/>
        <w:spacing w:beforeAutospacing="0" w:afterAutospacing="0"/>
        <w:rPr>
          <w:szCs w:val="44"/>
        </w:rPr>
      </w:pPr>
      <w:r>
        <w:rPr>
          <w:szCs w:val="44"/>
        </w:rPr>
      </w:r>
      <w:r/>
    </w:p>
    <w:p>
      <w:pPr>
        <w:pStyle w:val="1075"/>
        <w:jc w:val="both"/>
        <w:spacing w:beforeAutospacing="0" w:afterAutospacing="0"/>
        <w:rPr>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szCs w:val="44"/>
        </w:rPr>
      </w:r>
      <w:r/>
    </w:p>
    <w:p>
      <w:pPr>
        <w:pStyle w:val="1075"/>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项目概况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lang w:eastAsia="zh-CN"/>
          <w14:textFill>
            <w14:solidFill>
              <w14:schemeClr w14:val="tx1"/>
            </w14:solidFill>
          </w14:textFill>
        </w:rPr>
        <w:t xml:space="preserve">新四军纪念馆（含泰山庙）物业管理服务项目JSZC-320900-JZCG-G2026-0014</w:t>
      </w:r>
      <w:r>
        <w:rPr>
          <w:rFonts w:hint="eastAsia" w:ascii="宋体" w:hAnsi="宋体" w:cs="宋体" w:eastAsiaTheme="minorEastAsia"/>
          <w:color w:val="000000" w:themeColor="text1"/>
          <w:sz w:val="24"/>
          <w:szCs w:val="20"/>
          <w14:textFill>
            <w14:solidFill>
              <w14:schemeClr w14:val="tx1"/>
            </w14:solidFill>
          </w14:textFill>
        </w:rPr>
        <w:t xml:space="preserve">的潜在投标人应在“苏采云”系统内免费下载（投标人必须在苏采云系统中获取采购文件，方能参与政府采购项目），并</w:t>
      </w:r>
      <w:r>
        <w:rPr>
          <w:rFonts w:hint="eastAsia" w:ascii="宋体" w:hAnsi="宋体" w:cs="宋体" w:eastAsiaTheme="minorEastAsia"/>
          <w:color w:val="000000" w:themeColor="text1"/>
          <w:sz w:val="24"/>
          <w:szCs w:val="20"/>
          <w:highlight w:val="white"/>
          <w14:textFill>
            <w14:solidFill>
              <w14:schemeClr w14:val="tx1"/>
            </w14:solidFill>
          </w14:textFill>
        </w:rPr>
        <w:t xml:space="preserve">于2026年</w:t>
      </w:r>
      <w:r>
        <w:rPr>
          <w:rFonts w:hint="eastAsia" w:ascii="宋体" w:hAnsi="宋体" w:cs="宋体" w:eastAsiaTheme="minorEastAsia"/>
          <w:color w:val="000000" w:themeColor="text1"/>
          <w:sz w:val="24"/>
          <w:szCs w:val="20"/>
          <w:highlight w:val="white"/>
          <w:lang w:val="en-US" w:eastAsia="zh-CN"/>
          <w14:textFill>
            <w14:solidFill>
              <w14:schemeClr w14:val="tx1"/>
            </w14:solidFill>
          </w14:textFill>
        </w:rPr>
        <w:t xml:space="preserve">4</w:t>
      </w:r>
      <w:r>
        <w:rPr>
          <w:rFonts w:hint="eastAsia" w:ascii="宋体" w:hAnsi="宋体" w:cs="宋体" w:eastAsiaTheme="minorEastAsia"/>
          <w:color w:val="000000" w:themeColor="text1"/>
          <w:sz w:val="24"/>
          <w:szCs w:val="20"/>
          <w:highlight w:val="white"/>
          <w14:textFill>
            <w14:solidFill>
              <w14:schemeClr w14:val="tx1"/>
            </w14:solidFill>
          </w14:textFill>
        </w:rPr>
        <w:t xml:space="preserve">月14</w:t>
      </w:r>
      <w:r>
        <w:rPr>
          <w:rFonts w:hint="eastAsia" w:ascii="宋体" w:hAnsi="宋体" w:cs="宋体" w:eastAsiaTheme="minorEastAsia"/>
          <w:color w:val="000000" w:themeColor="text1"/>
          <w:sz w:val="24"/>
          <w:szCs w:val="20"/>
          <w:highlight w:val="white"/>
          <w14:textFill>
            <w14:solidFill>
              <w14:schemeClr w14:val="tx1"/>
            </w14:solidFill>
          </w14:textFill>
        </w:rPr>
        <w:t xml:space="preserve">日9点30分</w:t>
      </w:r>
      <w:r>
        <w:rPr>
          <w:rFonts w:hint="eastAsia" w:ascii="宋体" w:hAnsi="宋体" w:cs="宋体" w:eastAsiaTheme="minorEastAsia"/>
          <w:color w:val="000000" w:themeColor="text1"/>
          <w:sz w:val="24"/>
          <w:szCs w:val="20"/>
          <w14:textFill>
            <w14:solidFill>
              <w14:schemeClr w14:val="tx1"/>
            </w14:solidFill>
          </w14:textFill>
        </w:rPr>
        <w:t xml:space="preserve">（北京时间）前递交投标文件。</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一、项目基本情况</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1.项目编号：</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JSZC-320900-JZCG-G2026-0014</w:t>
      </w:r>
      <w:r>
        <w:rPr>
          <w:rFonts w:hint="eastAsia" w:ascii="宋体" w:hAnsi="宋体" w:cs="宋体" w:eastAsiaTheme="minorEastAsia"/>
          <w:color w:val="000000" w:themeColor="text1"/>
          <w:sz w:val="24"/>
          <w:szCs w:val="20"/>
          <w14:textFill>
            <w14:solidFill>
              <w14:schemeClr w14:val="tx1"/>
            </w14:solidFill>
          </w14:textFill>
        </w:rPr>
        <w:t xml:space="preserve"> </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lang w:eastAsia="zh-CN"/>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2.项目名称：</w:t>
      </w:r>
      <w:r>
        <w:rPr>
          <w:rFonts w:hint="eastAsia" w:ascii="宋体" w:hAnsi="宋体" w:cs="宋体" w:eastAsiaTheme="minorEastAsia"/>
          <w:color w:val="000000" w:themeColor="text1"/>
          <w:sz w:val="24"/>
          <w:szCs w:val="20"/>
          <w:lang w:eastAsia="zh-CN"/>
          <w14:textFill>
            <w14:solidFill>
              <w14:schemeClr w14:val="tx1"/>
            </w14:solidFill>
          </w14:textFill>
        </w:rPr>
        <w:t xml:space="preserve">新四军纪念馆（含泰山庙）物业管理服务项目</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3.采购方</w:t>
      </w:r>
      <w:r>
        <w:rPr>
          <w:rFonts w:hint="eastAsia" w:ascii="宋体" w:hAnsi="宋体" w:cs="宋体" w:eastAsiaTheme="minorEastAsia"/>
          <w:color w:val="000000" w:themeColor="text1"/>
          <w:sz w:val="24"/>
          <w:szCs w:val="20"/>
          <w:highlight w:val="none"/>
          <w14:textFill>
            <w14:solidFill>
              <w14:schemeClr w14:val="tx1"/>
            </w14:solidFill>
          </w14:textFill>
        </w:rPr>
        <w:t xml:space="preserve">式：公开招标</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highlight w:val="none"/>
          <w:lang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4.预算金额：</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770.88万元</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highlight w:val="none"/>
          <w:lang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5.最高限价：</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770.88万元</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6.采购需求：</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新四军纪念馆（含泰山庙）物业管理服务项目</w:t>
      </w:r>
      <w:r>
        <w:rPr>
          <w:rFonts w:hint="eastAsia" w:ascii="宋体" w:hAnsi="宋体" w:cs="宋体" w:eastAsiaTheme="minorEastAsia"/>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highlight w:val="yellow"/>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7.合同履行期限：</w:t>
      </w:r>
      <w:r>
        <w:rPr>
          <w:rFonts w:hint="eastAsia" w:ascii="宋体" w:hAnsi="宋体" w:eastAsia="宋体" w:cs="宋体"/>
          <w:color w:val="auto"/>
          <w:sz w:val="24"/>
          <w:szCs w:val="20"/>
          <w:highlight w:val="none"/>
          <w:lang w:val="en-US" w:eastAsia="zh-CN"/>
        </w:rPr>
        <w:t xml:space="preserve">两</w:t>
      </w:r>
      <w:r>
        <w:rPr>
          <w:rFonts w:hint="eastAsia" w:ascii="宋体" w:hAnsi="宋体" w:eastAsia="宋体" w:cs="宋体"/>
          <w:color w:val="auto"/>
          <w:sz w:val="24"/>
          <w:szCs w:val="20"/>
          <w:highlight w:val="none"/>
          <w:lang w:eastAsia="zh-CN"/>
        </w:rPr>
        <w:t xml:space="preserve">年，</w:t>
      </w:r>
      <w:r>
        <w:rPr>
          <w:rFonts w:hint="eastAsia" w:ascii="宋体" w:hAnsi="宋体" w:eastAsia="宋体" w:cs="宋体"/>
          <w:color w:val="auto"/>
          <w:sz w:val="24"/>
          <w:szCs w:val="20"/>
          <w:highlight w:val="none"/>
          <w:lang w:val="en-US" w:eastAsia="zh-CN"/>
        </w:rPr>
        <w:t xml:space="preserve">合同一年一签，一年服务期内无</w:t>
      </w:r>
      <w:r>
        <w:rPr>
          <w:rFonts w:hint="eastAsia" w:ascii="宋体" w:hAnsi="宋体" w:eastAsia="宋体" w:cs="宋体"/>
          <w:color w:val="auto"/>
          <w:sz w:val="24"/>
          <w:szCs w:val="20"/>
          <w:highlight w:val="none"/>
          <w:lang w:val="zh-CN" w:eastAsia="zh-CN"/>
        </w:rPr>
        <w:t xml:space="preserve">连续两个月考核不合格或累计三个月考核不合格</w:t>
      </w:r>
      <w:r>
        <w:rPr>
          <w:rFonts w:hint="eastAsia" w:ascii="宋体" w:hAnsi="宋体" w:eastAsia="宋体" w:cs="宋体"/>
          <w:color w:val="auto"/>
          <w:sz w:val="24"/>
          <w:szCs w:val="20"/>
          <w:highlight w:val="none"/>
          <w:lang w:val="en-US" w:eastAsia="zh-CN"/>
        </w:rPr>
        <w:t xml:space="preserve">情形的可续签第二年合同。</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8.本项目（是/否）接受联合体投标：否。</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二、申请人的资格要求</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1.满足《中华人民共和国政府采购法》第二十二条规定，并提供下列材料：</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1.1法人或者其他组织的营业执照等证明文件，自然人的身份证明。</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 2024年或2025年度的财务状况报告（成立不满一年无需提供）。</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1.3具备履行合同所必需的设备和专业技术能力的书面声明。</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1.5参加政府采购活动前3年内在经营活动中没有重大违法记录的书面声明。</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1.6法律、行政法规规定的其他条件。</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3.本项目的特定资格要求：无</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三、获取招标文件</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1.时间：自招标文件公告发布之日起5个工作日。</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2.地点：“苏采云”系统内免费下载（供应商必须在苏采云系统中获取采购文件，方能参与政府采购项目）。</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3.方式：本项目采用网上注册登记方式。</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4.售价：0元。</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四、提交投标文件截止时间、开标时间和地点</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highlight w:val="yellow"/>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w:t>
      </w:r>
      <w:r>
        <w:rPr>
          <w:rFonts w:hint="eastAsia" w:ascii="宋体" w:hAnsi="宋体" w:cs="宋体" w:eastAsiaTheme="minorEastAsia"/>
          <w:color w:val="000000" w:themeColor="text1"/>
          <w:sz w:val="24"/>
          <w:szCs w:val="20"/>
          <w:highlight w:val="white"/>
          <w14:textFill>
            <w14:solidFill>
              <w14:schemeClr w14:val="tx1"/>
            </w14:solidFill>
          </w14:textFill>
        </w:rPr>
        <w:t xml:space="preserve">：2026年</w:t>
      </w:r>
      <w:r>
        <w:rPr>
          <w:rFonts w:hint="eastAsia" w:ascii="宋体" w:hAnsi="宋体" w:cs="宋体" w:eastAsiaTheme="minorEastAsia"/>
          <w:color w:val="000000" w:themeColor="text1"/>
          <w:sz w:val="24"/>
          <w:szCs w:val="20"/>
          <w:highlight w:val="white"/>
          <w:lang w:val="en-US" w:eastAsia="zh-CN"/>
          <w14:textFill>
            <w14:solidFill>
              <w14:schemeClr w14:val="tx1"/>
            </w14:solidFill>
          </w14:textFill>
        </w:rPr>
        <w:t xml:space="preserve">4</w:t>
      </w:r>
      <w:r>
        <w:rPr>
          <w:rFonts w:hint="eastAsia" w:ascii="宋体" w:hAnsi="宋体" w:cs="宋体" w:eastAsiaTheme="minorEastAsia"/>
          <w:color w:val="000000" w:themeColor="text1"/>
          <w:sz w:val="24"/>
          <w:szCs w:val="20"/>
          <w:highlight w:val="white"/>
          <w14:textFill>
            <w14:solidFill>
              <w14:schemeClr w14:val="tx1"/>
            </w14:solidFill>
          </w14:textFill>
        </w:rPr>
        <w:t xml:space="preserve">月14</w:t>
      </w:r>
      <w:r>
        <w:rPr>
          <w:rFonts w:hint="eastAsia" w:ascii="宋体" w:hAnsi="宋体" w:cs="宋体" w:eastAsiaTheme="minorEastAsia"/>
          <w:color w:val="000000" w:themeColor="text1"/>
          <w:sz w:val="24"/>
          <w:szCs w:val="20"/>
          <w:highlight w:val="white"/>
          <w14:textFill>
            <w14:solidFill>
              <w14:schemeClr w14:val="tx1"/>
            </w14:solidFill>
          </w14:textFill>
        </w:rPr>
        <w:t xml:space="preserve">日9点30分（北京时间）</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2.地点：苏采云“不见面”开标大厅。</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五、公告期限</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自本公告发布之日起5个工作日。</w:t>
      </w:r>
      <w:r/>
    </w:p>
    <w:p>
      <w:pPr>
        <w:ind w:firstLine="482"/>
        <w:jc w:val="left"/>
        <w:keepLines w:val="0"/>
        <w:keepNext w:val="0"/>
        <w:pageBreakBefore w:val="0"/>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rPr>
        <w:t xml:space="preserve">领取CA和办理电子签章</w:t>
      </w:r>
      <w:r>
        <w:rPr>
          <w:rFonts w:hint="eastAsia" w:ascii="宋体" w:hAnsi="宋体" w:eastAsia="宋体" w:cs="宋体"/>
          <w:sz w:val="24"/>
          <w:szCs w:val="20"/>
        </w:rPr>
        <w:t xml:space="preserve">（</w:t>
      </w:r>
      <w:r>
        <w:rPr>
          <w:rFonts w:hint="eastAsia" w:ascii="宋体" w:hAnsi="宋体" w:eastAsia="宋体" w:cs="宋体"/>
          <w:b/>
          <w:bCs/>
          <w:color w:val="ff0000"/>
          <w:sz w:val="24"/>
          <w:szCs w:val="20"/>
          <w:lang w:val="en-US" w:eastAsia="zh-CN"/>
        </w:rPr>
        <w:t xml:space="preserve">盐城市府西路1号盐城市公共资源交易中心四楼大厅10号，</w:t>
      </w:r>
      <w:r>
        <w:rPr>
          <w:rFonts w:hint="eastAsia" w:ascii="宋体" w:hAnsi="宋体" w:cs="宋体"/>
          <w:b/>
          <w:bCs/>
          <w:color w:val="ff0000"/>
          <w:sz w:val="24"/>
          <w:szCs w:val="20"/>
          <w:lang w:val="en-US" w:eastAsia="zh-CN"/>
        </w:rPr>
        <w:t xml:space="preserve">11</w:t>
      </w:r>
      <w:r>
        <w:rPr>
          <w:rFonts w:hint="eastAsia" w:ascii="宋体" w:hAnsi="宋体" w:eastAsia="宋体" w:cs="宋体"/>
          <w:b/>
          <w:bCs/>
          <w:color w:val="ff0000"/>
          <w:sz w:val="24"/>
          <w:szCs w:val="20"/>
          <w:lang w:val="en-US" w:eastAsia="zh-CN"/>
        </w:rPr>
        <w:t xml:space="preserve">号窗口</w:t>
      </w:r>
      <w:r>
        <w:rPr>
          <w:rFonts w:hint="eastAsia" w:ascii="宋体" w:hAnsi="宋体" w:eastAsia="宋体" w:cs="宋体"/>
          <w:b/>
          <w:bCs/>
          <w:color w:val="ff0000"/>
          <w:sz w:val="24"/>
          <w:szCs w:val="20"/>
        </w:rPr>
        <w:t xml:space="preserve">办理</w:t>
      </w:r>
      <w:r>
        <w:rPr>
          <w:rFonts w:hint="eastAsia" w:ascii="宋体" w:hAnsi="宋体" w:eastAsia="宋体" w:cs="宋体"/>
          <w:sz w:val="24"/>
          <w:szCs w:val="20"/>
        </w:rPr>
        <w:t xml:space="preserve">，</w:t>
      </w:r>
      <w:r>
        <w:rPr>
          <w:rFonts w:hint="eastAsia" w:ascii="宋体" w:hAnsi="宋体" w:cs="宋体"/>
          <w:sz w:val="24"/>
          <w:szCs w:val="20"/>
        </w:rPr>
        <w:t xml:space="preserve">联系电话：15051556883，办理邮箱：yancheng@ideabank.net.cn，</w:t>
      </w:r>
      <w:r>
        <w:rPr>
          <w:rFonts w:hint="eastAsia" w:ascii="宋体" w:hAnsi="宋体" w:cs="宋体"/>
          <w:sz w:val="24"/>
          <w:szCs w:val="20"/>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 潜在供应商访问电子招标响应交易平台的网络地址和方法：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2.2 潜在投标人访问“苏采云”系统方法：江苏省政府采购网首页-“苏采云”链接。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如潜在投标人未按上述要求操作，将自行承担所产生的风险。</w:t>
      </w:r>
      <w:r/>
    </w:p>
    <w:p>
      <w:pPr>
        <w:ind w:firstLine="482"/>
        <w:jc w:val="left"/>
        <w:spacing w:line="560" w:lineRule="exact"/>
        <w:widowControl/>
        <w:rPr>
          <w:rFonts w:hint="eastAsia" w:ascii="宋体" w:hAnsi="宋体" w:cs="宋体"/>
          <w:sz w:val="24"/>
          <w:szCs w:val="20"/>
          <w:lang w:val="en-US" w:eastAsia="zh-CN"/>
        </w:rPr>
        <w:outlineLvl w:val="2"/>
      </w:pPr>
      <w:r>
        <w:rPr>
          <w:rFonts w:hint="eastAsia" w:ascii="宋体" w:hAnsi="宋体" w:cs="宋体"/>
          <w:sz w:val="24"/>
          <w:szCs w:val="20"/>
          <w:lang w:val="en-US" w:eastAsia="zh-CN"/>
        </w:rPr>
        <w:t xml:space="preserve">3.有关本次招标的事项若存在变动或修改，敬请及时关注盐城市政府采购中心在“中国政府采购网”“江苏政府采购网”“盐城市政府采购网”发布的更正公告。</w:t>
      </w:r>
      <w:r/>
    </w:p>
    <w:p>
      <w:pPr>
        <w:ind w:firstLine="482"/>
        <w:jc w:val="left"/>
        <w:keepLines w:val="0"/>
        <w:keepNext w:val="0"/>
        <w:pageBreakBefore w:val="0"/>
        <w:spacing w:line="556" w:lineRule="exact"/>
        <w:widowControl/>
        <w:rPr>
          <w:rFonts w:hint="eastAsia" w:ascii="宋体" w:hAnsi="宋体" w:cs="宋体"/>
          <w:sz w:val="24"/>
          <w:szCs w:val="20"/>
          <w:lang w:val="en-US" w:eastAsia="zh-CN"/>
        </w:rPr>
      </w:pPr>
      <w:r>
        <w:rPr>
          <w:rFonts w:hint="eastAsia" w:ascii="宋体" w:hAnsi="宋体" w:cs="宋体"/>
          <w:sz w:val="24"/>
          <w:szCs w:val="20"/>
          <w:lang w:val="en-US" w:eastAsia="zh-CN"/>
        </w:rPr>
        <w:t xml:space="preserve">4.本次招标不收取投标保证金，不收取质量保证金。</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七、对本次招标提出询问，请按以下方式联系。</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1.采购人信息</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lang w:eastAsia="zh-CN"/>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w:t>
      </w:r>
      <w:r>
        <w:rPr>
          <w:rFonts w:hint="eastAsia" w:ascii="宋体" w:hAnsi="宋体" w:cs="宋体" w:eastAsiaTheme="minorEastAsia"/>
          <w:color w:val="000000" w:themeColor="text1"/>
          <w:sz w:val="24"/>
          <w:szCs w:val="20"/>
          <w:lang w:eastAsia="zh-CN"/>
          <w14:textFill>
            <w14:solidFill>
              <w14:schemeClr w14:val="tx1"/>
            </w14:solidFill>
          </w14:textFill>
        </w:rPr>
        <w:t xml:space="preserve">新四军纪念馆</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址：盐城市建军东路159号</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 系 人：</w:t>
      </w:r>
      <w:r>
        <w:rPr>
          <w:rFonts w:hint="eastAsia" w:ascii="宋体" w:hAnsi="宋体" w:cs="宋体" w:eastAsiaTheme="minorEastAsia"/>
          <w:color w:val="000000" w:themeColor="text1"/>
          <w:sz w:val="24"/>
          <w:szCs w:val="20"/>
          <w:lang w:eastAsia="zh-CN"/>
          <w14:textFill>
            <w14:solidFill>
              <w14:schemeClr w14:val="tx1"/>
            </w14:solidFill>
          </w14:textFill>
        </w:rPr>
        <w:t xml:space="preserve">盛</w:t>
      </w:r>
      <w:r>
        <w:rPr>
          <w:rFonts w:hint="eastAsia" w:ascii="宋体" w:hAnsi="宋体" w:cs="宋体" w:eastAsiaTheme="minorEastAsia"/>
          <w:color w:val="000000" w:themeColor="text1"/>
          <w:sz w:val="24"/>
          <w:szCs w:val="20"/>
          <w14:textFill>
            <w14:solidFill>
              <w14:schemeClr w14:val="tx1"/>
            </w14:solidFill>
          </w14:textFill>
        </w:rPr>
        <w:t xml:space="preserve">先生</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联系方式：18795489153</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2.采购代理机构信息</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称：盐城市政府采购中心</w:t>
      </w:r>
      <w:r/>
    </w:p>
    <w:p>
      <w:pPr>
        <w:ind w:firstLine="482"/>
        <w:jc w:val="left"/>
        <w:keepLines w:val="0"/>
        <w:keepNext w:val="0"/>
        <w:pageBreakBefore w:val="0"/>
        <w:spacing w:line="556"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址：盐城市府西路1号市公共资源交易中心5楼</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highlight w:val="yellow"/>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顾女士</w:t>
      </w:r>
      <w:r/>
    </w:p>
    <w:p>
      <w:pPr>
        <w:ind w:firstLine="482"/>
        <w:jc w:val="left"/>
        <w:keepLines w:val="0"/>
        <w:keepNext w:val="0"/>
        <w:pageBreakBefore w:val="0"/>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86665092</w:t>
      </w:r>
      <w:r/>
    </w:p>
    <w:p>
      <w:pPr>
        <w:ind w:firstLine="482"/>
        <w:jc w:val="left"/>
        <w:keepLines w:val="0"/>
        <w:keepNext w:val="0"/>
        <w:pageBreakBefore w:val="0"/>
        <w:spacing w:line="556" w:lineRule="exact"/>
        <w:widowControl/>
        <w:rPr>
          <w:rFonts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highlight w:val="none"/>
          <w:lang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顾女士</w:t>
      </w:r>
      <w:r/>
    </w:p>
    <w:p>
      <w:pPr>
        <w:ind w:firstLine="482"/>
        <w:jc w:val="left"/>
        <w:keepLines w:val="0"/>
        <w:keepNext w:val="0"/>
        <w:pageBreakBefore w:val="0"/>
        <w:spacing w:line="556" w:lineRule="exact"/>
        <w:widowControl/>
        <w:rPr>
          <w:rFonts w:hint="eastAsia" w:ascii="宋体" w:hAnsi="宋体" w:cs="宋体" w:eastAsiaTheme="minorEastAsia"/>
          <w:color w:val="000000" w:themeColor="text1"/>
          <w:sz w:val="24"/>
          <w:szCs w:val="20"/>
          <w:highlight w:val="none"/>
          <w:lang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话：0515-</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86665092 </w:t>
      </w:r>
      <w:r/>
    </w:p>
    <w:p>
      <w:pPr>
        <w:rPr>
          <w:rFonts w:ascii="宋体" w:hAnsi="宋体" w:cs="宋体"/>
          <w:sz w:val="44"/>
          <w:szCs w:val="44"/>
        </w:rPr>
      </w:pPr>
      <w:r>
        <w:rPr>
          <w:rFonts w:hint="eastAsia" w:ascii="宋体" w:hAnsi="宋体" w:cs="宋体"/>
          <w:sz w:val="44"/>
          <w:szCs w:val="44"/>
        </w:rPr>
        <w:br w:type="page" w:clear="all"/>
      </w:r>
      <w:r/>
    </w:p>
    <w:p>
      <w:pPr>
        <w:pStyle w:val="1075"/>
        <w:jc w:val="center"/>
        <w:spacing w:beforeAutospacing="0" w:afterAutospacing="0"/>
        <w:rPr>
          <w:rFonts w:ascii="黑体" w:hAnsi="黑体" w:eastAsia="黑体" w:cs="黑体"/>
          <w:sz w:val="44"/>
          <w:szCs w:val="44"/>
        </w:rPr>
        <w:outlineLvl w:val="0"/>
      </w:pPr>
      <w:r/>
      <w:bookmarkStart w:id="1" w:name="_Toc23635"/>
      <w:r>
        <w:rPr>
          <w:rFonts w:hint="eastAsia" w:ascii="黑体" w:hAnsi="黑体" w:eastAsia="黑体" w:cs="黑体"/>
          <w:sz w:val="44"/>
          <w:szCs w:val="44"/>
        </w:rPr>
        <w:t xml:space="preserve">第二章 投标人须知</w:t>
      </w:r>
      <w:bookmarkEnd w:id="1"/>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color w:val="ff0000"/>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（2）所有人员的工作服装（分不同季节）由投标人购置并承担费用，保安用器械等由投标人购置并承担费用。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eastAsia="zh-CN"/>
        </w:rPr>
        <w:t xml:space="preserve">3</w:t>
      </w:r>
      <w:r>
        <w:rPr>
          <w:rFonts w:hint="eastAsia" w:ascii="宋体" w:hAnsi="宋体" w:cs="宋体"/>
          <w:sz w:val="24"/>
          <w:lang w:val="zh-CN"/>
        </w:rPr>
        <w:t xml:space="preserve">）各投标人自行根据招标人提供的服务内容、招标文件及答疑文件等资料要求，并根据市场行情、结合自身公司实力、管理水平等因素，按要求进行报价。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eastAsia="zh-CN"/>
        </w:rPr>
        <w:t xml:space="preserve">4</w:t>
      </w:r>
      <w:r>
        <w:rPr>
          <w:rFonts w:hint="eastAsia" w:ascii="宋体" w:hAnsi="宋体" w:cs="宋体"/>
          <w:sz w:val="24"/>
          <w:lang w:val="zh-CN"/>
        </w:rPr>
        <w:t xml:space="preserve">）服务人员须服从采购人管理，采购人安排的短期加班或活动不另行增加费用。</w:t>
      </w:r>
      <w:r/>
    </w:p>
    <w:p>
      <w:pPr>
        <w:ind w:firstLine="480"/>
        <w:jc w:val="left"/>
        <w:spacing w:line="560" w:lineRule="exact"/>
        <w:rPr>
          <w:rFonts w:hint="eastAsia" w:ascii="宋体" w:hAnsi="宋体" w:cs="宋体"/>
          <w:b/>
          <w:bCs/>
          <w:sz w:val="24"/>
          <w:lang w:val="zh-CN"/>
        </w:rPr>
      </w:pPr>
      <w:r>
        <w:rPr>
          <w:rFonts w:hint="eastAsia" w:ascii="宋体" w:hAnsi="宋体" w:cs="宋体"/>
          <w:b/>
          <w:bCs/>
          <w:sz w:val="24"/>
          <w:lang w:val="zh-CN"/>
        </w:rPr>
        <w:t xml:space="preserve">12.4所有人员工资不低于2430元/人</w:t>
      </w:r>
      <w:r>
        <w:rPr>
          <w:rFonts w:hint="eastAsia" w:ascii="宋体" w:hAnsi="宋体" w:cs="宋体"/>
          <w:b/>
          <w:bCs/>
          <w:sz w:val="24"/>
          <w:lang w:val="en-US" w:eastAsia="zh-CN"/>
        </w:rPr>
        <w:t xml:space="preserve">/</w:t>
      </w:r>
      <w:r>
        <w:rPr>
          <w:rFonts w:hint="eastAsia" w:ascii="宋体" w:hAnsi="宋体" w:cs="宋体"/>
          <w:b/>
          <w:bCs/>
          <w:sz w:val="24"/>
          <w:lang w:val="zh-CN"/>
        </w:rPr>
        <w:t xml:space="preserve">月，所有人员必须足额缴纳社保费用，社保（企业部分）不得低于1292.47元/人/月，住房公积金不得低于</w:t>
      </w:r>
      <w:r>
        <w:rPr>
          <w:rFonts w:hint="eastAsia" w:ascii="宋体" w:hAnsi="宋体" w:cs="宋体"/>
          <w:b/>
          <w:bCs/>
          <w:sz w:val="24"/>
          <w:lang w:val="en-US" w:eastAsia="zh-CN"/>
        </w:rPr>
        <w:t xml:space="preserve">114</w:t>
      </w:r>
      <w:r>
        <w:rPr>
          <w:rFonts w:hint="eastAsia" w:ascii="宋体" w:hAnsi="宋体" w:cs="宋体"/>
          <w:b/>
          <w:bCs/>
          <w:sz w:val="24"/>
          <w:lang w:val="zh-CN"/>
        </w:rPr>
        <w:t xml:space="preserve">元/人/月，法定节假日加班天数按13天计算，加班费不得低于4357.25元/人/年，夏季高温补助费按</w:t>
      </w:r>
      <w:r>
        <w:rPr>
          <w:rFonts w:hint="eastAsia" w:ascii="宋体" w:hAnsi="宋体" w:cs="宋体"/>
          <w:b/>
          <w:bCs/>
          <w:sz w:val="24"/>
          <w:lang w:val="en-US" w:eastAsia="zh-CN"/>
        </w:rPr>
        <w:t xml:space="preserve">12</w:t>
      </w:r>
      <w:r>
        <w:rPr>
          <w:rFonts w:hint="eastAsia" w:ascii="宋体" w:hAnsi="宋体" w:cs="宋体"/>
          <w:b/>
          <w:bCs/>
          <w:sz w:val="24"/>
          <w:lang w:val="zh-CN"/>
        </w:rPr>
        <w:t xml:space="preserve">00元/人/年，补助人数不得少于</w:t>
      </w:r>
      <w:r>
        <w:rPr>
          <w:rFonts w:hint="eastAsia" w:ascii="宋体" w:hAnsi="宋体" w:cs="宋体"/>
          <w:b/>
          <w:bCs/>
          <w:sz w:val="24"/>
          <w:lang w:val="en-US" w:eastAsia="zh-CN"/>
        </w:rPr>
        <w:t xml:space="preserve">61人</w:t>
      </w:r>
      <w:r>
        <w:rPr>
          <w:rFonts w:hint="eastAsia" w:ascii="宋体" w:hAnsi="宋体" w:cs="宋体"/>
          <w:b/>
          <w:bCs/>
          <w:sz w:val="24"/>
          <w:lang w:val="zh-CN"/>
        </w:rPr>
        <w:t xml:space="preserve">，税金费率统一按6.72%进行报价。</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hint="eastAsia"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w:t>
      </w:r>
      <w:r>
        <w:rPr>
          <w:rFonts w:hint="eastAsia" w:ascii="宋体" w:hAnsi="宋体" w:cs="宋体"/>
          <w:b/>
          <w:bCs/>
          <w:i/>
          <w:iCs/>
          <w:sz w:val="24"/>
          <w:u w:val="single"/>
          <w:lang w:eastAsia="zh-CN"/>
        </w:rPr>
        <w:t xml:space="preserve">（</w:t>
      </w:r>
      <w:r>
        <w:rPr>
          <w:rFonts w:hint="eastAsia" w:ascii="宋体" w:hAnsi="宋体" w:cs="宋体"/>
          <w:b/>
          <w:bCs/>
          <w:i/>
          <w:iCs/>
          <w:sz w:val="24"/>
          <w:u w:val="single"/>
          <w:lang w:val="en-US" w:eastAsia="zh-CN"/>
        </w:rPr>
        <w:t xml:space="preserve">不得出现加粗、下划线、斜体格式）</w:t>
      </w:r>
      <w:r>
        <w:rPr>
          <w:rFonts w:hint="eastAsia" w:ascii="宋体" w:hAnsi="宋体" w:cs="宋体"/>
          <w:b/>
          <w:bCs/>
          <w:i/>
          <w:iCs/>
          <w:sz w:val="24"/>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sz w:val="24"/>
          <w:u w:val="single"/>
          <w:lang w:val="en-US" w:eastAsia="zh-CN"/>
        </w:rPr>
        <w:t xml:space="preserve">方案总页数不得超过120页，违反上述规定方案分得0分；上传的“明标”材料中不得出现与服务方案相关的内容，</w:t>
      </w:r>
      <w:r>
        <w:rPr>
          <w:rFonts w:hint="eastAsia" w:ascii="宋体" w:hAnsi="宋体" w:cs="宋体"/>
          <w:b/>
          <w:bCs/>
          <w:i/>
          <w:iCs/>
          <w:sz w:val="24"/>
          <w:u w:val="single"/>
          <w:lang w:eastAsia="zh-CN"/>
        </w:rPr>
        <w:t xml:space="preserve">否则</w:t>
      </w:r>
      <w:r>
        <w:rPr>
          <w:rFonts w:hint="eastAsia" w:ascii="宋体" w:hAnsi="宋体" w:cs="宋体"/>
          <w:b/>
          <w:bCs/>
          <w:i/>
          <w:iCs/>
          <w:sz w:val="24"/>
          <w:u w:val="single"/>
        </w:rPr>
        <w:t xml:space="preserve">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b/>
          <w:bCs/>
          <w:color w:val="ff0000"/>
          <w:sz w:val="24"/>
          <w:szCs w:val="20"/>
          <w:u w:val="single"/>
          <w:lang w:val="en-US" w:eastAsia="zh-CN"/>
        </w:rPr>
      </w:pPr>
      <w:r>
        <w:rPr>
          <w:rFonts w:hint="eastAsia" w:ascii="宋体" w:hAnsi="宋体" w:eastAsia="Arial" w:cs="宋体"/>
          <w:b/>
          <w:bCs/>
          <w:color w:val="ff0000"/>
          <w:sz w:val="24"/>
          <w:szCs w:val="20"/>
          <w:u w:val="single"/>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b/>
          <w:bCs/>
          <w:color w:val="ff0000"/>
          <w:sz w:val="24"/>
          <w:szCs w:val="24"/>
          <w:highlight w:val="none"/>
          <w:lang w:val="en-US" w:eastAsia="zh-CN" w:bidi="ar-SA"/>
        </w:rPr>
      </w:pPr>
      <w:r>
        <w:rPr>
          <w:rFonts w:hint="eastAsia" w:ascii="宋体" w:hAnsi="宋体" w:eastAsia="Arial" w:cs="宋体"/>
          <w:b/>
          <w:bCs/>
          <w:color w:val="ff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ff0000"/>
          <w:sz w:val="24"/>
          <w:szCs w:val="20"/>
          <w:lang w:val="en-US" w:eastAsia="zh-CN"/>
        </w:rPr>
      </w:pPr>
      <w:r>
        <w:rPr>
          <w:rFonts w:hint="eastAsia" w:ascii="宋体" w:hAnsi="宋体" w:eastAsia="Arial" w:cs="宋体"/>
          <w:b/>
          <w:bCs/>
          <w:color w:val="ff0000"/>
          <w:sz w:val="24"/>
          <w:szCs w:val="20"/>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
        <w:rPr>
          <w:rFonts w:hint="eastAsia" w:ascii="宋体" w:hAnsi="宋体" w:cs="宋体"/>
          <w:sz w:val="24"/>
        </w:rPr>
        <w:br w:type="page" w:clear="all"/>
      </w:r>
      <w:r/>
      <w:r>
        <w:rPr>
          <w:rFonts w:ascii="宋体" w:hAnsi="宋体" w:cs="宋体"/>
          <w:sz w:val="24"/>
        </w:rPr>
      </w:r>
    </w:p>
    <w:p>
      <w:pPr>
        <w:ind w:firstLine="480"/>
        <w:jc w:val="center"/>
        <w:spacing w:line="560" w:lineRule="exact"/>
        <w:widowControl/>
        <w:rPr>
          <w:rFonts w:ascii="黑体" w:hAnsi="黑体" w:eastAsia="黑体" w:cs="黑体"/>
          <w:sz w:val="44"/>
          <w:szCs w:val="44"/>
        </w:rPr>
        <w:outlineLvl w:val="0"/>
      </w:pPr>
      <w:r/>
      <w:bookmarkStart w:id="2" w:name="_Toc31242"/>
      <w:r>
        <w:rPr>
          <w:rFonts w:hint="eastAsia" w:ascii="黑体" w:hAnsi="黑体" w:eastAsia="黑体" w:cs="黑体"/>
          <w:sz w:val="44"/>
          <w:szCs w:val="44"/>
        </w:rPr>
        <w:t xml:space="preserve">第三章 合同文本</w:t>
      </w:r>
      <w:bookmarkEnd w:id="2"/>
      <w:r/>
      <w:r/>
    </w:p>
    <w:p>
      <w:pPr>
        <w:pStyle w:val="1024"/>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以下为中标后签定本项目合同的通用条款，中标人不得提出实质性的修改。</w:t>
      </w:r>
      <w:r/>
    </w:p>
    <w:p>
      <w:pPr>
        <w:ind w:firstLine="480"/>
        <w:jc w:val="center"/>
        <w:keepLines w:val="0"/>
        <w:keepNext w:val="0"/>
        <w:pageBreakBefore w:val="0"/>
        <w:spacing w:line="500" w:lineRule="exact"/>
        <w:widowControl/>
        <w:rPr>
          <w:rFonts w:hint="eastAsia" w:ascii="宋体" w:hAnsi="宋体" w:eastAsia="宋体" w:cs="宋体"/>
          <w:b/>
          <w:bCs/>
          <w:color w:val="auto"/>
          <w:sz w:val="28"/>
          <w:szCs w:val="21"/>
          <w:highlight w:val="none"/>
        </w:rPr>
      </w:pPr>
      <w:r/>
      <w:bookmarkStart w:id="3" w:name="_Toc18997"/>
      <w:r>
        <w:rPr>
          <w:rFonts w:hint="eastAsia" w:ascii="宋体" w:hAnsi="宋体" w:eastAsia="宋体" w:cs="宋体"/>
          <w:b/>
          <w:bCs/>
          <w:color w:val="auto"/>
          <w:sz w:val="28"/>
          <w:szCs w:val="21"/>
          <w:highlight w:val="none"/>
        </w:rPr>
        <w:t xml:space="preserve">新四军纪念馆（含泰山庙）物业管理服务</w:t>
      </w:r>
      <w:r/>
    </w:p>
    <w:p>
      <w:pPr>
        <w:ind w:firstLine="480"/>
        <w:jc w:val="center"/>
        <w:keepLines w:val="0"/>
        <w:keepNext w:val="0"/>
        <w:pageBreakBefore w:val="0"/>
        <w:spacing w:line="500" w:lineRule="exact"/>
        <w:widowControl/>
        <w:rPr>
          <w:rFonts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t xml:space="preserve">政府采购合同</w:t>
      </w:r>
      <w:r/>
    </w:p>
    <w:p>
      <w:pPr>
        <w:keepLines w:val="0"/>
        <w:keepNext w:val="0"/>
        <w:pageBreakBefore w:val="0"/>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60" w:lineRule="exact"/>
        <w:rPr>
          <w:rFonts w:hint="default"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w:t>
      </w:r>
      <w:r>
        <w:rPr>
          <w:rFonts w:hint="eastAsia" w:ascii="宋体" w:hAnsi="宋体" w:cs="宋体"/>
          <w:sz w:val="24"/>
          <w:u w:val="single"/>
          <w:lang w:val="en-US" w:eastAsia="zh-CN"/>
        </w:rPr>
        <w:t xml:space="preserve">   </w:t>
      </w:r>
      <w:r>
        <w:rPr>
          <w:rFonts w:hint="eastAsia" w:ascii="宋体" w:hAnsi="宋体" w:cs="宋体"/>
          <w:sz w:val="24"/>
          <w:u w:val="single"/>
        </w:rPr>
        <w:t xml:space="preserve">新四军纪念馆</w:t>
      </w:r>
      <w:r>
        <w:rPr>
          <w:rFonts w:hint="eastAsia" w:ascii="宋体" w:hAnsi="宋体" w:cs="宋体"/>
          <w:sz w:val="24"/>
          <w:u w:val="single"/>
          <w:lang w:val="en-US" w:eastAsia="zh-CN"/>
        </w:rPr>
        <w:t xml:space="preserve">     </w:t>
      </w:r>
      <w:r/>
    </w:p>
    <w:p>
      <w:pPr>
        <w:ind w:firstLine="480"/>
        <w:spacing w:line="560" w:lineRule="exact"/>
        <w:rPr>
          <w:rFonts w:hint="default" w:ascii="宋体" w:hAnsi="宋体" w:cs="宋体"/>
          <w:sz w:val="24"/>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w:t>
      </w:r>
      <w:r>
        <w:rPr>
          <w:rFonts w:hint="eastAsia" w:ascii="宋体" w:hAnsi="宋体" w:cs="宋体"/>
          <w:sz w:val="24"/>
          <w:lang w:eastAsia="zh-CN"/>
        </w:rPr>
        <w:t xml:space="preserve">：</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ind w:firstLine="480"/>
        <w:spacing w:line="560" w:lineRule="exac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甲、乙双方根据新四军纪念馆（含泰山庙）物业管理服务项目公开招标的结果，签署本合同。合同金额：</w:t>
      </w:r>
      <w:r>
        <w:rPr>
          <w:rFonts w:hint="eastAsia" w:ascii="宋体" w:hAnsi="宋体" w:cs="宋体"/>
          <w:sz w:val="24"/>
          <w:lang w:eastAsia="zh-CN"/>
        </w:rPr>
        <w:t xml:space="preserve">大写</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元</w:t>
      </w:r>
      <w:r>
        <w:rPr>
          <w:rFonts w:hint="eastAsia" w:ascii="宋体" w:hAnsi="宋体" w:cs="宋体"/>
          <w:sz w:val="24"/>
        </w:rPr>
        <w:t xml:space="preserve">），</w:t>
      </w:r>
      <w:r>
        <w:rPr>
          <w:rFonts w:hint="eastAsia" w:ascii="宋体" w:hAnsi="宋体" w:cs="宋体"/>
          <w:sz w:val="24"/>
          <w:lang w:eastAsia="zh-CN"/>
        </w:rPr>
        <w:t xml:space="preserve">委托管理</w:t>
      </w:r>
      <w:r>
        <w:rPr>
          <w:rFonts w:hint="eastAsia" w:ascii="宋体" w:hAnsi="宋体" w:cs="宋体"/>
          <w:sz w:val="24"/>
        </w:rPr>
        <w:t xml:space="preserve">期间如有政策性调整，乙方按相关政策文件执行，但中标价格不变。  </w:t>
      </w:r>
      <w:r>
        <w:rPr>
          <w:rFonts w:hint="eastAsia" w:ascii="宋体" w:hAnsi="宋体"/>
          <w:color w:val="auto"/>
          <w:sz w:val="24"/>
          <w:highlight w:val="none"/>
        </w:rPr>
        <w:t xml:space="preserve">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政府采购法》、《中华人民共和国民法典》、《物业管理条例》、《江苏省物业管理条例》等有关法律、法规的规定，甲方通过公开招投标方式选聘乙方为新四军纪念馆（含泰山庙）（物业名称，以下简称“本物业”)的唯一物业管理服务单位。在自愿、平等、协商一致的基础上，就本物业实施物业区域的物业管理服务的相关事宜，订立本合同。</w:t>
      </w:r>
      <w:r/>
    </w:p>
    <w:p>
      <w:pPr>
        <w:ind w:left="485" w:hanging="67"/>
        <w:keepLines w:val="0"/>
        <w:keepNext w:val="0"/>
        <w:pageBreakBefore w:val="0"/>
        <w:spacing w:line="500" w:lineRule="exact"/>
        <w:widowControl w:val="off"/>
        <w:rPr>
          <w:rFonts w:ascii="宋体" w:hAnsi="宋体" w:eastAsia="宋体"/>
          <w:color w:val="auto"/>
          <w:sz w:val="24"/>
          <w:highlight w:val="none"/>
        </w:rPr>
      </w:pPr>
      <w:r>
        <w:rPr>
          <w:rFonts w:hint="eastAsia" w:ascii="宋体" w:hAnsi="宋体"/>
          <w:b/>
          <w:bCs/>
          <w:color w:val="auto"/>
          <w:sz w:val="24"/>
          <w:highlight w:val="none"/>
        </w:rPr>
        <w:t xml:space="preserve">第一条  物业基本情况</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物业名称：新四军纪念馆（含泰山庙）物业管理服务项目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新四军纪念馆现有广场、展馆、游客中心、办公区和军部旧址泰山庙。建筑面积约15000平方米，广场面积约60000平方米。</w:t>
      </w:r>
      <w:r/>
    </w:p>
    <w:p>
      <w:pPr>
        <w:ind w:firstLine="482"/>
        <w:keepLines w:val="0"/>
        <w:keepNext w:val="0"/>
        <w:pageBreakBefore w:val="0"/>
        <w:spacing w:line="500" w:lineRule="exact"/>
        <w:widowControl w:val="off"/>
        <w:rPr>
          <w:rFonts w:ascii="宋体" w:hAnsi="宋体"/>
          <w:b/>
          <w:bCs/>
          <w:color w:val="auto"/>
          <w:sz w:val="24"/>
          <w:highlight w:val="none"/>
        </w:rPr>
      </w:pPr>
      <w:r>
        <w:rPr>
          <w:rFonts w:hint="eastAsia" w:ascii="宋体" w:hAnsi="宋体"/>
          <w:b/>
          <w:bCs/>
          <w:color w:val="auto"/>
          <w:sz w:val="24"/>
          <w:highlight w:val="none"/>
        </w:rPr>
        <w:t xml:space="preserve">第二条  委托管理期限</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1、委托管理期限为</w:t>
      </w:r>
      <w:r>
        <w:rPr>
          <w:rFonts w:hint="eastAsia" w:ascii="宋体" w:hAnsi="宋体" w:cs="宋体"/>
          <w:sz w:val="24"/>
          <w:lang w:val="en-US" w:eastAsia="zh-CN"/>
        </w:rPr>
        <w:t xml:space="preserve">2</w:t>
      </w:r>
      <w:r>
        <w:rPr>
          <w:rFonts w:hint="eastAsia" w:ascii="宋体" w:hAnsi="宋体" w:cs="宋体"/>
          <w:sz w:val="24"/>
        </w:rPr>
        <w:t xml:space="preserve">年，</w:t>
      </w:r>
      <w:r>
        <w:rPr>
          <w:rFonts w:hint="eastAsia" w:ascii="宋体" w:hAnsi="宋体" w:cs="宋体"/>
          <w:sz w:val="24"/>
          <w:lang w:val="en-US" w:eastAsia="zh-CN"/>
        </w:rPr>
        <w:t xml:space="preserve">本合同服务期限为1年，</w:t>
      </w:r>
      <w:r>
        <w:rPr>
          <w:rFonts w:hint="eastAsia" w:ascii="宋体" w:hAnsi="宋体" w:cs="宋体"/>
          <w:sz w:val="24"/>
        </w:rPr>
        <w:t xml:space="preserve">自202</w:t>
      </w:r>
      <w:r>
        <w:rPr>
          <w:rFonts w:hint="eastAsia" w:ascii="宋体" w:hAnsi="宋体" w:cs="宋体"/>
          <w:sz w:val="24"/>
          <w:lang w:val="en-US" w:eastAsia="zh-CN"/>
        </w:rPr>
        <w:t xml:space="preserve">6</w:t>
      </w:r>
      <w:r>
        <w:rPr>
          <w:rFonts w:hint="eastAsia" w:ascii="宋体" w:hAnsi="宋体" w:cs="宋体"/>
          <w:sz w:val="24"/>
        </w:rPr>
        <w:t xml:space="preserve">年 </w:t>
      </w:r>
      <w:r>
        <w:rPr>
          <w:rFonts w:hint="eastAsia" w:ascii="宋体" w:hAnsi="宋体" w:cs="宋体"/>
          <w:sz w:val="24"/>
          <w:lang w:val="en-US" w:eastAsia="zh-CN"/>
        </w:rPr>
        <w:t xml:space="preserve"> </w:t>
      </w:r>
      <w:r>
        <w:rPr>
          <w:rFonts w:hint="eastAsia" w:ascii="宋体" w:hAnsi="宋体" w:cs="宋体"/>
          <w:sz w:val="24"/>
        </w:rPr>
        <w:t xml:space="preserve">月 </w:t>
      </w:r>
      <w:r>
        <w:rPr>
          <w:rFonts w:hint="eastAsia" w:ascii="宋体" w:hAnsi="宋体" w:cs="宋体"/>
          <w:sz w:val="24"/>
          <w:lang w:val="en-US" w:eastAsia="zh-CN"/>
        </w:rPr>
        <w:t xml:space="preserve"> </w:t>
      </w:r>
      <w:r>
        <w:rPr>
          <w:rFonts w:hint="eastAsia" w:ascii="宋体" w:hAnsi="宋体" w:cs="宋体"/>
          <w:sz w:val="24"/>
        </w:rPr>
        <w:t xml:space="preserve">日至 202</w:t>
      </w:r>
      <w:r>
        <w:rPr>
          <w:rFonts w:hint="eastAsia" w:ascii="宋体" w:hAnsi="宋体" w:cs="宋体"/>
          <w:sz w:val="24"/>
          <w:lang w:val="en-US" w:eastAsia="zh-CN"/>
        </w:rPr>
        <w:t xml:space="preserve">7</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日止。</w:t>
      </w:r>
      <w:r>
        <w:rPr>
          <w:rFonts w:hint="eastAsia" w:ascii="宋体" w:hAnsi="宋体" w:cs="宋体"/>
          <w:sz w:val="24"/>
          <w:lang w:val="en-US" w:eastAsia="zh-CN"/>
        </w:rPr>
        <w:t xml:space="preserve">一年合同服务期限内无</w:t>
      </w:r>
      <w:r>
        <w:rPr>
          <w:rFonts w:hint="eastAsia" w:ascii="宋体" w:hAnsi="宋体" w:cs="宋体"/>
          <w:sz w:val="24"/>
          <w:lang w:val="zh-CN" w:eastAsia="zh-CN"/>
        </w:rPr>
        <w:t xml:space="preserve">连续两个月考核不合格或累计三个月考核不合格</w:t>
      </w:r>
      <w:r>
        <w:rPr>
          <w:rFonts w:hint="eastAsia" w:ascii="宋体" w:hAnsi="宋体" w:cs="宋体"/>
          <w:sz w:val="24"/>
          <w:lang w:val="en-US" w:eastAsia="zh-CN"/>
        </w:rPr>
        <w:t xml:space="preserve">情形的可续签第二年合同</w:t>
      </w:r>
      <w:r>
        <w:rPr>
          <w:rFonts w:hint="eastAsia" w:ascii="宋体" w:hAnsi="宋体" w:cs="宋体"/>
          <w:sz w:val="24"/>
        </w:rPr>
        <w:t xml:space="preserve">。  </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第三条 委托物业管理范围</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本合同中委托管理范围新四军纪念馆（含泰山庙）物业管理服务项目包含消安防安全保卫、秩序维护、卫生保洁、收发报刊及邮寄、会务服务、广场环境卫生以及绿化带杂物清理、物业档案资料管理等。</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第四条  本合同委托管理事项包括以下内容：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物业服务的主要内容：消安防安全保卫、秩序维护、卫生保洁、收发报刊及邮寄、会务服务、广场环境卫生以及绿化带杂物清理、物业档案资料管理等工作。</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述事项中，凡属于业主与施工单位、安装单位前期施工合同中约定了的保修范围内的项目，均应由其合同中的责任单位负责相关保修工作，并提供维修保养工作的相关资料。乙方须在业主基建方的领导下，协助上述事项的协调、验收和维修维护过程中的监督工作。</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乙方提供的物业管理服务应达到《招标文件》和《投标文件》的标准和国家规定的标准。</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注：以上维护项目中所有材料更换购置费均由乙方出具书面申请，甲方负责购置或委托乙方代为购置。</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第五条  付款方式、合同期限、合同价的调整</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1、合同签订后付合同价</w:t>
      </w:r>
      <w:r>
        <w:rPr>
          <w:rFonts w:hint="eastAsia" w:ascii="宋体" w:hAnsi="宋体" w:cs="宋体"/>
          <w:sz w:val="24"/>
          <w:u w:val="single"/>
          <w:lang w:val="en-US" w:eastAsia="zh-CN"/>
        </w:rPr>
        <w:t xml:space="preserve">30</w:t>
      </w:r>
      <w:r>
        <w:rPr>
          <w:rFonts w:hint="eastAsia" w:ascii="宋体" w:hAnsi="宋体" w:cs="宋体"/>
          <w:sz w:val="24"/>
          <w:u w:val="single"/>
        </w:rPr>
        <w:t xml:space="preserve">%</w:t>
      </w:r>
      <w:r>
        <w:rPr>
          <w:rFonts w:hint="eastAsia" w:ascii="宋体" w:hAnsi="宋体" w:cs="宋体"/>
          <w:sz w:val="24"/>
        </w:rPr>
        <w:t xml:space="preserve">的预付款，物业管理服务费的支付采用每月考核按月支付，即甲方于每月20日前对上月的物业管理服务工作按甲方的考核标准进行考核，经考核合格的支付当月的物业管理服务费（在每次支付时扣除十二分</w:t>
      </w:r>
      <w:r>
        <w:rPr>
          <w:rFonts w:hint="eastAsia" w:ascii="宋体" w:hAnsi="宋体" w:cs="宋体"/>
          <w:sz w:val="24"/>
          <w:lang w:eastAsia="zh-CN"/>
        </w:rPr>
        <w:t xml:space="preserve">之</w:t>
      </w:r>
      <w:r>
        <w:rPr>
          <w:rFonts w:hint="eastAsia" w:ascii="宋体" w:hAnsi="宋体" w:cs="宋体"/>
          <w:sz w:val="24"/>
        </w:rPr>
        <w:t xml:space="preserve">一的预付款）。</w:t>
      </w:r>
      <w:r>
        <w:rPr>
          <w:rFonts w:hint="eastAsia" w:ascii="宋体" w:hAnsi="宋体" w:cs="宋体"/>
          <w:sz w:val="24"/>
          <w:lang w:val="en-US" w:eastAsia="zh-CN"/>
        </w:rPr>
        <w:t xml:space="preserve">甲方收到乙方发票后10个工作日内完成支付。</w:t>
      </w:r>
      <w:r>
        <w:rPr>
          <w:rFonts w:hint="eastAsia" w:ascii="宋体" w:hAnsi="宋体" w:cs="宋体"/>
          <w:sz w:val="24"/>
        </w:rPr>
        <w:t xml:space="preserve">支付账户为：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。如一年中连续有两个月考核不合格或累计三个月考核不合格，甲方有权终止合同，重新选择新的物业管理服务公司。</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2</w:t>
      </w:r>
      <w:r>
        <w:rPr>
          <w:rFonts w:hint="eastAsia" w:ascii="宋体" w:hAnsi="宋体" w:cs="宋体"/>
          <w:sz w:val="24"/>
        </w:rPr>
        <w:t xml:space="preserve">、合同期限：一年。</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3</w:t>
      </w:r>
      <w:r>
        <w:rPr>
          <w:rFonts w:hint="eastAsia" w:ascii="宋体" w:hAnsi="宋体" w:cs="宋体"/>
          <w:sz w:val="24"/>
        </w:rPr>
        <w:t xml:space="preserve">、在服务期间，甲方可根据馆方实际管理的需要调整乙方物业服务人员的数量，同时按乙方投标文件报价以实际服务人员数量调整结算价。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第六条  物业管理服务费用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本物业管理费用支付时，乙方应提供税务发票。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1、物业管理服务费不包括以下费用；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（1）水电费和能耗费用；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（2）甲方认为有必要的室内外新增垃圾桶的购置费用；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（3）本合同未列入委托管理范围和委托管理事项的其他特约服务费用；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2、委托管理物业中的房屋共用部分、共用设施、设备、公共场地的维护材料费用均由乙方出具书面申请，甲方负责购置或委托乙方代为购置。</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第七条 甲方的权利义务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一、甲方权利：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1、审定乙方拟定的年度物业管理服务计划和方案；</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2、对物业设施、设备和共用部分自然损坏的大中修及更新、改造计划、方案、费用的审批，并组织验收；</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5、甲方根据工作需要有权指挥、监督乙方进行物业管理服务工作，指导乙方人员在区域内与物业相关的行为和活动，乙方需无条件服从；</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二、甲方义务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1、甲方应向乙方移交下列资料：</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（1）竣工总平面图，单体建筑、结构、设备竣工图，配套设施等竣工资料；</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（2）设施设备的安装、使用说明书和维护保养等技术资料；</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（3）为乙方提供必要的警棍、手电筒、钢叉等消防、安防、门卫器材；</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（4）物业管理所必需的其他资料。</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2、按照合同约定支付物业服务费；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3、协助乙方做好物业管理工作和宣传教育、文化活动；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4、协助乙方规范对区域内人员违反法规、规章的行为；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5、法律、法规规定的其他义务。</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第八条 乙方的权利义务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一、乙方权利：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1、按照国家和有关物业管理的技术标准、行业规范以及本服务合同进行管理，提供专业化的服务；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2、按照本合同和有关规定向甲方收取物业服务费用和其他费用；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3、根据甲方授权，制定必要的规章制度，并以有效方式督促辖区使用人遵守；</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4、根据甲方授权，采取规劝、警告等措施制止， 使用人违反公众管理制度的行为；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5、依照法律、法规规定和本合同约定享有的其他权利。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二、乙方义务：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1、全面贯彻执行国家物业管理的法规、政策，全面遵守《招标文件》的要求执行《投标文件》的承诺，门前三包等，接受甲方的检查、考核和监督，接受物业管理行政主管部门等的监督和指导。</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2、及时向甲方通告本区域内有关物业管理服务的重大事项，及时处理投诉，接受甲方的监督管理；</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3、在承接物业时，应当对物业共用部位、共用设施设备进行查验,并做好书面记录和签认工作；</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4、结合本物业管理区域的实际情况，编制年度管理计划，维修保养计划，经甲方批准后组织实施；</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5、制止本物业管理区域内违反有关治安、环保、物业装饰装修和使用等方面规章制度的行为，对违反法律法规规定的行为及时向甲方报告；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做好本物业管理区域内的安全防范工作，发生安全事故时，在采取应急措施的同时，及时向有关行政管理部门报告，保护好现场、做好救助工作；保安人员在维护本物业管理区域的公共秩序时，要履行职责，不得侵害公民的合法权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7、非经甲方许可并办理有关手续，不得擅自改变物业管理区域内共用部分、共用设施设备的用途；对本物业的公用设施不得擅自占用和改变使用功能；</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8、因维修、养护共用部位、共用设施设备需要而暂时停水、停电或停止共用设施设备的使用的（除排危抢险情形以外），乙方应事先征得甲方同意后实施；</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9、经甲方书面同意，可选聘专业公司承担本物业的个别专项管理业务，但不得将履行本合同的责任转让给第三方；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人员不得缺岗。</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11、乙方应加强对员工的教育管理，乙方人员如出现违规、违纪行为，造成纠纷、财产损失、人员伤亡的，乙方负全部责任。本物业的全部乙方人员（含上下班途中）的人身、财产安全，由乙方自行负责。</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12、乙方聘用员工，必须遵从《中华人民共和国民法典》和政府有关部门规定，如因人员工资、相关社会保险、其他相关费用、人员工作时间、人员年龄等造成纠纷的，由乙方自行负责。</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13、接受政府有关部门的监督指导，遵守甲方的管理制度，服从甲方整体管理。协助甲方处理非乙方原因产生的各种纠纷。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14、法律法规规定的应由乙方承担的其他责任。</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15、本合同终止后，或新一轮招标乙方未中标，乙方撤场并全力配合做好交接工作。甲方不负责乙方人员的安排。</w:t>
      </w:r>
      <w:r/>
    </w:p>
    <w:p>
      <w:pPr>
        <w:ind w:firstLine="480"/>
        <w:spacing w:line="560" w:lineRule="exact"/>
        <w:rPr>
          <w:rFonts w:hint="default"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16、乙方工作不到位，对甲方和观众的财务、人身安全造成损失的，应由乙方负责赔偿。</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第九条 物业管理用房</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甲方按照有关规定，向乙方提供固定的物业管理用房。</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第十条  物业管理服务质量</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乙方承揽甲方的物业管理，须按本合同约定的委托管理事项达到下列质量要求：</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1、房屋外观：完好、整洁；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2、设备运行：正常、无事故和安全隐患；</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3、各类设施、设备的维修、养护；及时、状态良好；</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4、公共环境：清扫及时、保洁全面、无死角、垃圾日产日清；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5、交通秩序：运行有序、保持畅通、处理违章及时到位、车辆无乱停乱放现象；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消防：实行24小时消防安全管理，保持消控中心双人24小时值守，消控中心值守人员具有消防操作证书，定期进行防火巡查、泵房检查、灭火器检查，保证消防操作员、疏散员、扑救员、微型消防站消防员人员到位、技能熟练，管理范围内无消防安全责任事故发生；</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7、保安：实行24小时封闭式保安管理，管理范围内无治安责任事故发生；</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8、急修不超过10分钟到场；小修不超过2小时处理到位；</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具体的物业服务质量要求详见《投标文件》。</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第十一条 违约责任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1、甲方不履行本合同约定的义务，乙方可要求甲方履行，由此造成的损失，甲方应承担相应的责任；</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2、甲方违反本合同的约定，未能按时如数支付物业服务费的，应按每月千分之五的标准向乙方支付违约金，并应于五日内补交费用；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3、乙方违反本合同约定，乙方如发生将本物业转包、转让、违规、违法现象或在履行合约中单方中途退出的，甲方将中止本合同，没收履约保证金，追偿违约金，并追究由此造成的一切损失；</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4、双方约定，以下条件下所致的损害，可构成对乙方的免责事由：</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（1）因不可抗力而导致的中断服务或物业价值的贬损；</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（2）因物业本身固有的瑕疵造成的损害；</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（3）因维修、养护共用部位、共用设施设备需要而暂时停水、停电或停止共用设施设备的使用的（除排危抢险情形以外，乙方应事先通知甲方）；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（4）因政府有关部门原因而非乙方责任造成的供水、供电、供热、供冷、通讯、有线电视及其他共用设施设备的障碍和损失。</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5、甲乙双方均应严格履行合同的约定，若任何一方导致合同不能正常履行或无故单方解除合同，则应承担成交总额的5%违约金和由此造成的后果，给对方造成的损失，应赔偿相应损失。</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6、乙方经考核若达不到招标文件、投标文件和合同中所及的相关要求，甲方有权对乙方按照考核办法</w:t>
      </w:r>
      <w:r>
        <w:rPr>
          <w:rFonts w:hint="eastAsia" w:ascii="宋体" w:hAnsi="宋体" w:cs="宋体"/>
          <w:sz w:val="24"/>
          <w:lang w:eastAsia="zh-CN"/>
        </w:rPr>
        <w:t xml:space="preserve">、</w:t>
      </w:r>
      <w:r>
        <w:rPr>
          <w:rFonts w:hint="eastAsia" w:ascii="宋体" w:hAnsi="宋体" w:cs="宋体"/>
          <w:sz w:val="24"/>
          <w:lang w:val="en-US" w:eastAsia="zh-CN"/>
        </w:rPr>
        <w:t xml:space="preserve">细则</w:t>
      </w:r>
      <w:r>
        <w:rPr>
          <w:rFonts w:hint="eastAsia" w:ascii="宋体" w:hAnsi="宋体" w:cs="宋体"/>
          <w:sz w:val="24"/>
        </w:rPr>
        <w:t xml:space="preserve">进行处理，并进行相应的经济处罚，直至解除合同。</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第十二条 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1、乙方交纳人民币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（合同金额的5%）.合同履行结束后，甲方应及时退还交纳的履约保证金。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3、</w:t>
      </w:r>
      <w:r>
        <w:rPr>
          <w:rFonts w:hint="eastAsia" w:ascii="宋体" w:hAnsi="宋体" w:cs="宋体"/>
          <w:sz w:val="24"/>
        </w:rPr>
        <w:t xml:space="preserve">履约保证金的退还：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3.1</w:t>
      </w:r>
      <w:r>
        <w:rPr>
          <w:rFonts w:hint="eastAsia" w:ascii="宋体" w:hAnsi="宋体" w:cs="宋体"/>
          <w:sz w:val="24"/>
        </w:rPr>
        <w:t xml:space="preserve">方式：无息退还至</w:t>
      </w:r>
      <w:r>
        <w:rPr>
          <w:rFonts w:hint="eastAsia" w:ascii="宋体" w:hAnsi="宋体" w:cs="宋体"/>
          <w:sz w:val="24"/>
          <w:lang w:eastAsia="zh-CN"/>
        </w:rPr>
        <w:t xml:space="preserve">乙方</w:t>
      </w:r>
      <w:r>
        <w:rPr>
          <w:rFonts w:hint="eastAsia" w:ascii="宋体" w:hAnsi="宋体" w:cs="宋体"/>
          <w:sz w:val="24"/>
        </w:rPr>
        <w:t xml:space="preserve">缴纳履约保证金的账户。如为保函，在到期时自行失效。</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3.2时间：验收合格且</w:t>
      </w:r>
      <w:r>
        <w:rPr>
          <w:rFonts w:hint="eastAsia" w:ascii="宋体" w:hAnsi="宋体" w:cs="宋体"/>
          <w:sz w:val="24"/>
          <w:lang w:eastAsia="zh-CN"/>
        </w:rPr>
        <w:t xml:space="preserve">甲方</w:t>
      </w:r>
      <w:r>
        <w:rPr>
          <w:rFonts w:hint="eastAsia" w:ascii="宋体" w:hAnsi="宋体" w:cs="宋体"/>
          <w:sz w:val="24"/>
        </w:rPr>
        <w:t xml:space="preserve">收到发票后30日内。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3.3条件：按合同要求全部履约完成并经</w:t>
      </w:r>
      <w:r>
        <w:rPr>
          <w:rFonts w:hint="eastAsia" w:ascii="宋体" w:hAnsi="宋体" w:cs="宋体"/>
          <w:sz w:val="24"/>
          <w:lang w:eastAsia="zh-CN"/>
        </w:rPr>
        <w:t xml:space="preserve">甲方</w:t>
      </w:r>
      <w:r>
        <w:rPr>
          <w:rFonts w:hint="eastAsia" w:ascii="宋体" w:hAnsi="宋体" w:cs="宋体"/>
          <w:sz w:val="24"/>
        </w:rPr>
        <w:t xml:space="preserve">验收合格，且</w:t>
      </w:r>
      <w:r>
        <w:rPr>
          <w:rFonts w:hint="eastAsia" w:ascii="宋体" w:hAnsi="宋体" w:cs="宋体"/>
          <w:sz w:val="24"/>
          <w:lang w:eastAsia="zh-CN"/>
        </w:rPr>
        <w:t xml:space="preserve">甲方</w:t>
      </w:r>
      <w:r>
        <w:rPr>
          <w:rFonts w:hint="eastAsia" w:ascii="宋体" w:hAnsi="宋体" w:cs="宋体"/>
          <w:sz w:val="24"/>
        </w:rPr>
        <w:t xml:space="preserve">收到</w:t>
      </w:r>
      <w:r>
        <w:rPr>
          <w:rFonts w:hint="eastAsia" w:ascii="宋体" w:hAnsi="宋体" w:cs="宋体"/>
          <w:sz w:val="24"/>
          <w:lang w:eastAsia="zh-CN"/>
        </w:rPr>
        <w:t xml:space="preserve">乙方</w:t>
      </w:r>
      <w:r>
        <w:rPr>
          <w:rFonts w:hint="eastAsia" w:ascii="宋体" w:hAnsi="宋体" w:cs="宋体"/>
          <w:sz w:val="24"/>
        </w:rPr>
        <w:t xml:space="preserve">出具的发票。</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3.4不予退还情形：</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除不可抗力情况外，</w:t>
      </w:r>
      <w:r>
        <w:rPr>
          <w:rFonts w:hint="eastAsia" w:ascii="宋体" w:hAnsi="宋体" w:cs="宋体"/>
          <w:sz w:val="24"/>
          <w:lang w:eastAsia="zh-CN"/>
        </w:rPr>
        <w:t xml:space="preserve">乙方</w:t>
      </w:r>
      <w:r>
        <w:rPr>
          <w:rFonts w:hint="eastAsia" w:ascii="宋体" w:hAnsi="宋体" w:cs="宋体"/>
          <w:sz w:val="24"/>
        </w:rPr>
        <w:t xml:space="preserve">出现下列情形之一的，其履约保证金，</w:t>
      </w:r>
      <w:r>
        <w:rPr>
          <w:rFonts w:hint="eastAsia" w:ascii="宋体" w:hAnsi="宋体" w:cs="宋体"/>
          <w:sz w:val="24"/>
          <w:lang w:eastAsia="zh-CN"/>
        </w:rPr>
        <w:t xml:space="preserve">甲方</w:t>
      </w:r>
      <w:r>
        <w:rPr>
          <w:rFonts w:hint="eastAsia" w:ascii="宋体" w:hAnsi="宋体" w:cs="宋体"/>
          <w:sz w:val="24"/>
        </w:rPr>
        <w:t xml:space="preserve">将视情节决定不予退还或部分不予退还。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lang w:eastAsia="zh-CN"/>
        </w:rPr>
        <w:t xml:space="preserve">乙方</w:t>
      </w:r>
      <w:r>
        <w:rPr>
          <w:rFonts w:hint="eastAsia" w:ascii="宋体" w:hAnsi="宋体" w:cs="宋体"/>
          <w:sz w:val="24"/>
        </w:rPr>
        <w:t xml:space="preserve">无正当理由拒绝签订合同的，或者在签订合同时向</w:t>
      </w:r>
      <w:r>
        <w:rPr>
          <w:rFonts w:hint="eastAsia" w:ascii="宋体" w:hAnsi="宋体" w:cs="宋体"/>
          <w:sz w:val="24"/>
          <w:lang w:eastAsia="zh-CN"/>
        </w:rPr>
        <w:t xml:space="preserve">甲方</w:t>
      </w:r>
      <w:r>
        <w:rPr>
          <w:rFonts w:hint="eastAsia" w:ascii="宋体" w:hAnsi="宋体" w:cs="宋体"/>
          <w:sz w:val="24"/>
        </w:rPr>
        <w:t xml:space="preserve">提出附加条件或者更改合同实质性内容要求的；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lang w:eastAsia="zh-CN"/>
        </w:rPr>
        <w:t xml:space="preserve">乙方</w:t>
      </w:r>
      <w:r>
        <w:rPr>
          <w:rFonts w:hint="eastAsia" w:ascii="宋体" w:hAnsi="宋体" w:cs="宋体"/>
          <w:sz w:val="24"/>
        </w:rPr>
        <w:t xml:space="preserve">不履行与</w:t>
      </w:r>
      <w:r>
        <w:rPr>
          <w:rFonts w:hint="eastAsia" w:ascii="宋体" w:hAnsi="宋体" w:cs="宋体"/>
          <w:sz w:val="24"/>
          <w:lang w:eastAsia="zh-CN"/>
        </w:rPr>
        <w:t xml:space="preserve">甲方</w:t>
      </w:r>
      <w:r>
        <w:rPr>
          <w:rFonts w:hint="eastAsia" w:ascii="宋体" w:hAnsi="宋体" w:cs="宋体"/>
          <w:sz w:val="24"/>
        </w:rPr>
        <w:t xml:space="preserve">订立的合同的；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lang w:eastAsia="zh-CN"/>
        </w:rPr>
        <w:t xml:space="preserve">乙方</w:t>
      </w:r>
      <w:r>
        <w:rPr>
          <w:rFonts w:hint="eastAsia" w:ascii="宋体" w:hAnsi="宋体" w:cs="宋体"/>
          <w:sz w:val="24"/>
        </w:rPr>
        <w:t xml:space="preserve">所供货物或服务不符合招标文件规定要求的；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lang w:eastAsia="zh-CN"/>
        </w:rPr>
        <w:t xml:space="preserve">乙方</w:t>
      </w:r>
      <w:r>
        <w:rPr>
          <w:rFonts w:hint="eastAsia" w:ascii="宋体" w:hAnsi="宋体" w:cs="宋体"/>
          <w:sz w:val="24"/>
        </w:rPr>
        <w:t xml:space="preserve">采取欺骗、弄虚作假方式投标的或与其它</w:t>
      </w:r>
      <w:r>
        <w:rPr>
          <w:rFonts w:hint="eastAsia" w:ascii="宋体" w:hAnsi="宋体" w:cs="宋体"/>
          <w:sz w:val="24"/>
          <w:lang w:eastAsia="zh-CN"/>
        </w:rPr>
        <w:t xml:space="preserve">乙方</w:t>
      </w:r>
      <w:r>
        <w:rPr>
          <w:rFonts w:hint="eastAsia" w:ascii="宋体" w:hAnsi="宋体" w:cs="宋体"/>
          <w:sz w:val="24"/>
        </w:rPr>
        <w:t xml:space="preserve">串通投标的；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hint="eastAsia" w:ascii="宋体" w:hAnsi="宋体" w:cs="宋体"/>
          <w:sz w:val="24"/>
          <w:lang w:eastAsia="zh-CN"/>
        </w:rPr>
        <w:t xml:space="preserve">乙方</w:t>
      </w:r>
      <w:r>
        <w:rPr>
          <w:rFonts w:hint="eastAsia" w:ascii="宋体" w:hAnsi="宋体" w:cs="宋体"/>
          <w:sz w:val="24"/>
        </w:rPr>
        <w:t xml:space="preserve">将合同内容转包、违法分包的；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hint="eastAsia" w:ascii="宋体" w:hAnsi="宋体" w:cs="宋体"/>
          <w:sz w:val="24"/>
          <w:lang w:eastAsia="zh-CN"/>
        </w:rPr>
        <w:t xml:space="preserve">乙方</w:t>
      </w:r>
      <w:r>
        <w:rPr>
          <w:rFonts w:hint="eastAsia" w:ascii="宋体" w:hAnsi="宋体" w:cs="宋体"/>
          <w:sz w:val="24"/>
        </w:rPr>
        <w:t xml:space="preserve">故意捏造事实或伪造证明材料，进行虚假恶意投诉或反映的。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3.5逾期退还的违约责任：</w:t>
      </w:r>
      <w:r>
        <w:rPr>
          <w:rFonts w:hint="eastAsia" w:ascii="宋体" w:hAnsi="宋体" w:cs="宋体"/>
          <w:sz w:val="24"/>
          <w:lang w:eastAsia="zh-CN"/>
        </w:rPr>
        <w:t xml:space="preserve">甲方</w:t>
      </w:r>
      <w:r>
        <w:rPr>
          <w:rFonts w:hint="eastAsia" w:ascii="宋体" w:hAnsi="宋体" w:cs="宋体"/>
          <w:sz w:val="24"/>
        </w:rPr>
        <w:t xml:space="preserve">逾期无故未退还履约保证金的，按中国人民银行同期贷款基准利率上浮20%后的利率支付超期资金占用费，但因供应商自身原因导致无法及时退还的除外。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4</w:t>
      </w:r>
      <w:r>
        <w:rPr>
          <w:rFonts w:hint="eastAsia" w:ascii="宋体" w:hAnsi="宋体" w:cs="宋体"/>
          <w:sz w:val="24"/>
        </w:rPr>
        <w:t xml:space="preserve">、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第十三条 其它</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2、甲方的《招标文件》和乙方的《投标文件》为本合同的附件，本合同附件均为合同的有效组成部分。</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3、本合同及其附件和补充协议中的未规定事宜，均按照中华人民共和国有关法律、法规和规章执行。</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4、本合同之附件如有与本合同相抵触之处，以本合同规定为准。</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5、合同期满本合同自然终止。</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6、本合同在履行中如遇争议，双方可以通过协商和解、向盐城市亭湖区人民法院提起诉讼等方式解决。</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7、本合同正本连同附件，一式肆份，甲方贰份，乙方贰份，具同等法律效力。</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8、本合同自甲乙双方签订之日起生效。</w:t>
      </w:r>
      <w:r/>
    </w:p>
    <w:p>
      <w:pPr>
        <w:pStyle w:val="1177"/>
        <w:keepLines w:val="0"/>
        <w:keepNext w:val="0"/>
        <w:pageBreakBefore w:val="0"/>
        <w:spacing w:line="500" w:lineRule="exact"/>
        <w:rPr>
          <w:rFonts w:hint="eastAsia"/>
          <w:color w:val="auto"/>
          <w:highlight w:val="none"/>
        </w:rPr>
      </w:pPr>
      <w:r>
        <w:rPr>
          <w:rFonts w:hint="eastAsia"/>
          <w:color w:val="auto"/>
          <w:highlight w:val="none"/>
        </w:rPr>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                                乙方：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地址： </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法定代表人或授权代表：                法定代表人或授权代表：</w:t>
      </w:r>
      <w:r/>
    </w:p>
    <w:p>
      <w:pPr>
        <w:ind w:firstLine="787"/>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   月   日                          年   月   日</w:t>
      </w:r>
      <w:r/>
    </w:p>
    <w:p>
      <w:pPr>
        <w:ind w:firstLine="480"/>
        <w:spacing w:line="560" w:lineRule="exact"/>
        <w:widowControl/>
        <w:rPr>
          <w:sz w:val="24"/>
          <w:szCs w:val="20"/>
        </w:rPr>
      </w:pPr>
      <w:r>
        <w:rPr>
          <w:rFonts w:hint="eastAsia"/>
          <w:sz w:val="24"/>
          <w:szCs w:val="20"/>
        </w:rPr>
        <w:br w:type="page" w:clear="all"/>
      </w:r>
      <w:bookmarkEnd w:id="3"/>
      <w:r/>
      <w:r/>
    </w:p>
    <w:p>
      <w:pPr>
        <w:jc w:val="center"/>
        <w:rPr>
          <w:rFonts w:ascii="方正小标宋_GBK" w:hAnsi="方正仿宋_GBK" w:eastAsia="方正小标宋_GBK" w:cs="方正仿宋_GBK"/>
          <w:color w:val="auto"/>
          <w:sz w:val="36"/>
          <w:szCs w:val="36"/>
        </w:rPr>
      </w:pPr>
      <w:r/>
      <w:bookmarkStart w:id="4" w:name="_Toc20321"/>
      <w:r>
        <w:rPr>
          <w:rFonts w:hint="eastAsia" w:ascii="方正小标宋_GBK" w:hAnsi="方正仿宋_GBK" w:eastAsia="方正小标宋_GBK" w:cs="方正仿宋_GBK"/>
          <w:color w:val="auto"/>
          <w:sz w:val="36"/>
          <w:szCs w:val="36"/>
        </w:rPr>
        <w:t xml:space="preserve">新四军纪念馆物业</w:t>
      </w:r>
      <w:r>
        <w:rPr>
          <w:rFonts w:hint="eastAsia" w:ascii="方正小标宋_GBK" w:hAnsi="方正仿宋_GBK" w:eastAsia="方正小标宋_GBK" w:cs="方正仿宋_GBK"/>
          <w:color w:val="auto"/>
          <w:sz w:val="36"/>
          <w:szCs w:val="36"/>
          <w:lang w:val="en-US" w:eastAsia="zh-CN"/>
        </w:rPr>
        <w:t xml:space="preserve">管理考核</w:t>
      </w:r>
      <w:r>
        <w:rPr>
          <w:rFonts w:hint="eastAsia" w:ascii="方正小标宋_GBK" w:hAnsi="方正仿宋_GBK" w:eastAsia="方正小标宋_GBK" w:cs="方正仿宋_GBK"/>
          <w:color w:val="auto"/>
          <w:sz w:val="36"/>
          <w:szCs w:val="36"/>
        </w:rPr>
        <w:t xml:space="preserve">处罚办法</w:t>
      </w:r>
      <w:r/>
    </w:p>
    <w:p>
      <w:pPr>
        <w:ind w:firstLine="600"/>
        <w:rPr>
          <w:rFonts w:ascii="仿宋" w:hAnsi="仿宋" w:eastAsia="仿宋" w:cs="方正仿宋_GBK"/>
          <w:color w:val="auto"/>
          <w:sz w:val="24"/>
          <w:szCs w:val="24"/>
        </w:rPr>
      </w:pPr>
      <w:r>
        <w:rPr>
          <w:rFonts w:hint="eastAsia" w:ascii="方正仿宋_GBK" w:hAnsi="方正仿宋_GBK" w:eastAsia="方正仿宋_GBK" w:cs="方正仿宋_GBK"/>
          <w:color w:val="auto"/>
          <w:sz w:val="30"/>
          <w:szCs w:val="30"/>
        </w:rPr>
        <w:t xml:space="preserve">　　</w:t>
      </w:r>
      <w:r/>
    </w:p>
    <w:p>
      <w:pPr>
        <w:rPr>
          <w:rFonts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一、重大责任事故</w:t>
      </w:r>
      <w:r/>
    </w:p>
    <w:p>
      <w:pPr>
        <w:ind w:firstLine="6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如发生重大责任事故，依法追究法律责任。</w:t>
      </w:r>
      <w:r/>
    </w:p>
    <w:p>
      <w:pPr>
        <w:rPr>
          <w:rFonts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二、一般责任事故</w:t>
      </w:r>
      <w:r/>
    </w:p>
    <w:p>
      <w:pPr>
        <w:rPr>
          <w:rFonts w:hint="eastAsia" w:ascii="黑体" w:hAnsi="宋体" w:eastAsia="黑体" w:cs="黑体"/>
          <w:color w:val="auto"/>
          <w:sz w:val="44"/>
          <w:szCs w:val="44"/>
          <w:lang w:val="en-US" w:eastAsia="zh-CN" w:bidi="ar-SA"/>
        </w:rPr>
      </w:pPr>
      <w:r>
        <w:rPr>
          <w:rFonts w:hint="eastAsia" w:ascii="方正仿宋_GBK" w:hAnsi="方正仿宋_GBK" w:eastAsia="方正仿宋_GBK" w:cs="方正仿宋_GBK"/>
          <w:color w:val="auto"/>
          <w:sz w:val="28"/>
          <w:szCs w:val="28"/>
        </w:rPr>
        <w:t xml:space="preserve">　　如发生一般责任事故，视事故责任大小处以罚款、辞退当事人、终止物业管理合同等措施</w:t>
      </w:r>
      <w:r>
        <w:rPr>
          <w:rFonts w:hint="eastAsia" w:ascii="方正仿宋_GBK" w:hAnsi="方正仿宋_GBK" w:eastAsia="方正仿宋_GBK" w:cs="方正仿宋_GBK"/>
          <w:color w:val="auto"/>
          <w:sz w:val="30"/>
          <w:szCs w:val="30"/>
        </w:rPr>
        <w:t xml:space="preserve">。</w:t>
      </w:r>
      <w:r/>
    </w:p>
    <w:p>
      <w:pPr>
        <w:jc w:val="center"/>
        <w:rPr>
          <w:rFonts w:hint="eastAsia" w:ascii="方正小标宋_GBK" w:hAnsi="方正仿宋_GBK" w:eastAsia="方正小标宋_GBK" w:cs="方正仿宋_GBK"/>
          <w:color w:val="ff0000"/>
          <w:sz w:val="36"/>
          <w:szCs w:val="36"/>
        </w:rPr>
      </w:pPr>
      <w:r>
        <w:rPr>
          <w:rFonts w:hint="eastAsia" w:ascii="黑体" w:hAnsi="宋体" w:eastAsia="黑体" w:cs="黑体"/>
          <w:color w:val="auto"/>
          <w:sz w:val="44"/>
          <w:szCs w:val="44"/>
          <w:lang w:val="en-US" w:eastAsia="zh-CN" w:bidi="ar-SA"/>
        </w:rPr>
        <w:br w:type="page" w:clear="all"/>
      </w:r>
      <w:r>
        <w:rPr>
          <w:rFonts w:hint="eastAsia" w:ascii="方正小标宋_GBK" w:hAnsi="方正仿宋_GBK" w:eastAsia="方正小标宋_GBK" w:cs="方正仿宋_GBK"/>
          <w:color w:val="auto"/>
          <w:sz w:val="36"/>
          <w:szCs w:val="36"/>
        </w:rPr>
        <w:t xml:space="preserve">新四军纪念馆物业管理考核细则</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进一步强化物业综合管理工作，完善物业管理运行激励机制，全面实现物业管理精细化、制度化、规范化、科学化。现依据《江苏省物业管理条例》、《盐城市物业管理条例》等有关规定，结合新四军纪念馆工作实际，特制定新四军纪念馆物业管理考核细则（试行）（以下简称本细则）。具体考核细则如下：</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一、考核对象</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新四军纪念馆物业服务单位</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二、考核内容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组织建设、队伍管理、环境卫生（公厕、展厅、广场、办公场所等）、应急处置、秩序维护、消安防管理、建筑及展厅场景设施设备管理、会务接待、奖惩兑现等。</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三、考核标准</w:t>
      </w:r>
      <w:r/>
    </w:p>
    <w:p>
      <w:pPr>
        <w:ind w:firstLine="482"/>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（一）队伍建设。</w:t>
      </w:r>
      <w:r>
        <w:rPr>
          <w:rFonts w:hint="eastAsia" w:ascii="宋体" w:hAnsi="宋体" w:cs="宋体"/>
          <w:sz w:val="24"/>
        </w:rPr>
        <w:t xml:space="preserve">服务单位按招标文件和服务合同约定建立物业管理队伍，细化纪念馆的物业工作，责任明确，任务清晰，确保物业队伍人员合格，人数充足，形象良好。</w:t>
      </w:r>
      <w:r/>
    </w:p>
    <w:p>
      <w:pPr>
        <w:ind w:firstLine="482"/>
        <w:keepLines w:val="0"/>
        <w:keepNext w:val="0"/>
        <w:pageBreakBefore w:val="0"/>
        <w:spacing w:line="500" w:lineRule="exact"/>
        <w:widowControl w:val="off"/>
        <w:rPr>
          <w:rFonts w:hint="eastAsia" w:ascii="宋体" w:hAnsi="宋体" w:cs="宋体"/>
          <w:sz w:val="24"/>
        </w:rPr>
      </w:pPr>
      <w:r>
        <w:rPr>
          <w:rFonts w:hint="eastAsia" w:ascii="宋体" w:hAnsi="宋体" w:eastAsia="宋体" w:cs="Times New Roman"/>
          <w:b/>
          <w:bCs/>
          <w:color w:val="auto"/>
          <w:sz w:val="24"/>
          <w:highlight w:val="none"/>
        </w:rPr>
        <w:t xml:space="preserve">（二）服务内容。</w:t>
      </w:r>
      <w:r>
        <w:rPr>
          <w:rFonts w:hint="eastAsia" w:ascii="宋体" w:hAnsi="宋体" w:cs="宋体"/>
          <w:sz w:val="24"/>
        </w:rPr>
        <w:t xml:space="preserve">物业管理的维护保养工作，应保持整个馆区（含泰山庙）房屋建筑的完好和设施设备的正常运行；物业管理单位应提供全天候的公共秩序维护服务和安全服务，必须保证整个馆区（含泰山庙）的设施、人员和财产的安全；物业管理单位对整个馆区（含泰山庙）的环境保洁服务，提供整洁、卫生、美观的环境；物业管理单位对自然灾害、事故灾害、公共卫生事件和社会安全事件等突发公共事件建立应急预案，并组织培训、演练。有突发事件按规定程序及时采取相应措施。</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四、考核扣分</w:t>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t xml:space="preserve">管理考核工作由纪念馆组成考核小组，采取定期和不定期等方式，对服务单位日常管理工作和服务质量实施督查考核，考核结果与服务单位的服务质量考核费挂钩。(以下考核，服务单位不得以此扣发单位员工工资、福利等)</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（一）组织建设</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第一条：服务单位组织机构健全，各级管理人员分工明确，尽职履职，各项规章制度齐全（包含</w:t>
      </w:r>
      <w:r>
        <w:rPr>
          <w:rFonts w:hint="eastAsia" w:ascii="宋体" w:hAnsi="宋体" w:eastAsia="宋体" w:cs="Times New Roman"/>
          <w:color w:val="auto"/>
          <w:sz w:val="24"/>
          <w:highlight w:val="none"/>
        </w:rPr>
        <w:t xml:space="preserve">但</w:t>
      </w:r>
      <w:r>
        <w:rPr>
          <w:rFonts w:hint="eastAsia" w:ascii="宋体" w:hAnsi="宋体" w:eastAsia="宋体" w:cs="Times New Roman"/>
          <w:color w:val="auto"/>
          <w:sz w:val="24"/>
          <w:highlight w:val="none"/>
        </w:rPr>
        <w:t xml:space="preserve">不仅限于：物业管理员工行为规范；项目经理岗位职责；保安工作职责；保洁工作职责；报刊收发、邮寄人员工作职责；会务服务工作职责；考核奖惩制度；安全保卫制度；设备巡查制度），并根据纪念馆要求，提供详细完备准确的工作台账，重大工作活动期间，积极主动报告工作计划、进度表、工作总结。以上缺项或违反，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第二条：所有物业员工不得挑衅、顶撞、阻扰、辱骂专职考核人员。违反此规定，扣罚服务单位5分/次，情节严重或者态度恶劣的，直接予以辞退，并扣罚服务单位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第三条：服务单位定期组织业务技能学习和培训，开展安全生产、恶劣天气、突发事件等预案演习演练，各项培训演练记录真实、全面、规范。以上缺一项扣罚服务单位2分/次。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条：服务单位负责人、项目管理人员必须按要求准时参加纪念馆组织的各项活动，不得无故缺席；项目管理人员未经管理部门同意，必须在工作区域，特殊情况预先告知，未经允许不得随意离开工作区域，服务单位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第五条：服务单位不得随意指派和更换项目经理（如要更换须实地培训一个月及以上时间，并且须经纪念馆业务考核同意后），违反上述规定，扣罚服务单位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（二）队伍管理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第六条：岗位设置、人员数量及履职能力需要符合合同要求；有不符合的，限时整改，未按要求整改的，扣罚服务单位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七条：项目人员均应按规定的作业时间到岗作业，要做到不迟到、不早退、不旷工；每天需召开晨例会（进行安全教育、队列训练等），每周项目经理召开全员集中例会，违反上述规定，扣罚服务单位2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第八条：服务单位员工在班期间统一穿戴工作服、帽，清洁整洁，形象得体端庄；站姿挺拔，不得趴倚、坐卧，所有上岗人员必须具备职业（执业）资格证书。违反前款规定，扣罚服务单位1分、人/次。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第九条：服务单位员工在岗时要语言文明礼貌，举止规范得体。因作业程序不当（争吵、碰撞、谩骂等），发生投诉，情况属实的，扣罚服务单位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5分/次，情节严重、态度恶劣的责令辞退，并扣罚服务单位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20分/次。服务单位员工自身（争吵、打架斗殴等）或与公司纠纷，处理不当或造成社会不良影响的，扣罚服务单位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第十条：服务单位员工服装不洁净、不规范、不统一，作业工具老旧坏，更换维修不及时，扣罚服务单位1分、人/次。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第十一条：聘用员工必须经甲方单位同意并备案，个人简历资料齐全，真实有效，员工入职离职、岗位变动，次日前办理更换手续。</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第十二条：甲方单位认为物业员工素质、年龄层次、业务水平不符合要求，物业公司必须立即调整到位。</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第十三条：服务单位员工在固定时间、固定地点就餐、更衣，不得在岗位上摆放餐具、就餐、更衣等无关物品。</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第十四条：服务单位员工上班期间不得聚集、聊天、吃零食、玩手机、在对观众开放区域给手机充电，不得做与工作无关的事。</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反前款规定，扣罚服务单位1分、人/次。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五条：项目管理人员通信要保持畅通，对讲机呼叫应答及时；按照要求上报、送交工作相关材料、上传工作信息要及时（严禁转发、迟发）、准确规范，注重时效性；收发工作信息及时，并立即安排到位；工作要求和相关指示精神要及时上传下达到位，并依照落实；违反前款规定，扣罚服务单位1分/次。</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shd w:val="clear" w:color="auto" w:fill="ffffff"/>
          <w:lang w:bidi="ar"/>
        </w:rPr>
      </w:pPr>
      <w:r>
        <w:rPr>
          <w:rFonts w:hint="eastAsia" w:ascii="宋体" w:hAnsi="宋体" w:eastAsia="宋体" w:cs="Times New Roman"/>
          <w:color w:val="auto"/>
          <w:sz w:val="24"/>
          <w:highlight w:val="none"/>
        </w:rPr>
        <w:t xml:space="preserve">第十六条：管理范围内出现服务质量问题（含数字化案件、投诉等），经指出交办后，未及时、超时处理的，未实时上报整改的（通常时限范围为一天），违反前款规定，扣罚服务单位</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5分/次。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（三）环境卫生</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第十七条：主要道路、展厅等部位的保洁工作必须在早晨8：30前完，室外扫地车每周至少进行2次全场保洁清扫作业，</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第十八条：室外区域</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①每天清扫道路、维护绿化带至少2次，并及时巡查，发现脏物、废品应及时处理，对区域内各种设施进行抹尘和清洗，确保外围环境保持干净、整洁。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②根据各种地面清洁的程度要及时进行清洗，绿化带定期巡查，及时清扫果皮、废纸、杂物等垃圾，确保地面、绿化带的干净、整洁。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③及时收集各类垃圾，堆放在指定地点。清运时密封装置，确保无飘洒和滴漏现象。及时清洗垃圾筒筒身，更换垃圾袋，保持干净、无异味、无满溢。并协助游客做好垃圾分类的工作。</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④根据招标人要求定期清除卫生死角，水管处、屋顶、下水道口、排水沟、水池、雨水槽内阴沟、污水井等地方，要确保其内无杂物、管道畅通。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第十九条：展厅、走廊、楼梯、电梯</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①每日循环清扫地面垃圾，清除地面的污迹，每月至少彻底清洗2次，平时发现污渍及时处理。展厅的地面每日巡回保洁。确保环境保持干净、整洁。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②每日抹净展厅玻璃，擦净门框、柱子等灰尘。每周至少彻底清洗1次，保持玻璃、门框、柱子等干净、整洁。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③每日至少1次用推尘布抹净地面，保持地面无脚印、无灰尘。抹净墙面的灰尘，每日至少清倒垃圾2次并做到随满随清，及时更换垃圾袋，及时处理垃圾筒上面的痰迹，使其外表干净、光亮、无满溢垃圾现象。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④对展厅、走廊地面视其磨损程度，并根据招标人要求定期进行维护，使其干净。</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⑤每日擦抹展厅正门至少3次，确保其保持无灰尘、无污渍、无水迹。</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⑥每日擦净楼梯、电梯扶手，拖净楼梯、电梯，各眼见手及之处，经常抹尘，保持清洁。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⑦主要道路、展厅等部位的保洁工作必须在早晨8：30前完成。</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第二十条：办公区、会议室、接待室、学术报告厅</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①及时清扫地面垃圾、擦抹主席台、桌椅、橱柜、沙发、茶几等，擦净相关设施、设备、并定期消毒，痰渍、水迹等及时处理，每周至少彻底拖洗1次，保持室内整洁。</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②负责会议室茶水供应，准备好茶叶与茶杯（由招标方提供）。</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③会后及时清理，检查是否有遗留物品、未熄灭的火种，关闭设备电源等。</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④排气扇、纱窗、照明设备等擦抹灰尘，每月至少1次。天花、风口、灯罩、喇叭出口每月至少清洁2次，及时清除拆装时留下的污迹。</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⑤每天清理电源开关、插座，抹净上面污渍和灰尘。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⑥皮、布沙发每天清洁一次，皮质沙发每半年至少保养1次。地毯每月至少清洗1次，不得留有污渍、残留清洁剂等，水分要彻底吹干。</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⑦花盆里面垃圾、烟头每天清理，植物叶子经常抹尘。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⑧平时对地面痰迹、口香糖等及时进行清除，每月机器清洗地面至少1次，拖洗地面后及时抹净地角线、墙角上的污迹、水迹、清理卫生死角。</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⑨窗户玻璃随时保洁，平时发现手印、污渍及时擦净，门框每天至少擦抹1次，不锈钢门每天至少擦抹2次，每半年用不锈钢护理剂保养1次，防火门、玻璃门每天至少擦抹2次。桌椅、窗帘、书橱、讲台、电脑等其他设施每天至少擦抹1次，保持清洁、摆放整齐。</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⑩彻底清理室内墙壁、墙角、天花等蜘蛛网，每周至少1次。平时随见随时清理，局部灰尘、污渍随时处理。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⑪会务保密：会场服务时不得随意翻阅会议资料，防止闲杂人员进场，不得在任何场所透露会议的内容。</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第二十一条：卫生间</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①拖洗所有卫生间地面，抹净洁具、门框、墙身，保持无灰尘、无垃圾、无异味、无手脚印、无污渍等。</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③每周至少1次全面清洗墙面瓷砖，地面用清洁剂刷洗，天花擦净，保持干净，无污渍。卫生间的地面每天拖地至少2次以上，每天至少冲洗1次，保持地面干燥。</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第二十二条：物业服务单位需要在纪念馆配备室外扫地车、洒水车、巡逻车等机器设备，提高工作效能。按照管理部门要求，及时出动作业，确保保洁质量。</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反前款规定，扣罚服务单位2分/次。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（四）应急处置</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三条：物业服务单位要按照要求成立突发事件应急处置队伍，健全各类事件应急预案，按照统一指挥、组织有序、分工明确、条块协调、保障有力、信息及时、台账齐全的原则，开展突发事件的处置工作。如发生突发事件，物业员工熟悉事件处理流程，规范及时解决、制止、救援、汇报、报警。违反前款规定，遇有突击任务，组织处置不及时、方式不当的，视情节轻重，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-50分/次，直至解约。</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四条：重大活动和保障任务，要及时启动预案，提前做好保洁任务，项目负责人须在规定区域指挥安排工作，服从纪念馆的统一要求与安排，及时整改存在问题，确保活动和保障任务保质保量的完成。区域内工作任务未提前安排完成的（30分钟），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10分/次，负责人未在岗、未及时有效安排工作任务的，扣罚服务单位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（五）秩序维护</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第二十五条：各值班岗位做好门前“三包”等工作，广场巡逻员发现绿化、设备破损及时汇报，各值班岗位发现垃圾、烟头及时清理。</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第二十六条：门卫负责对外来车辆、来访人员进行登记、引导车辆正确行驶，禁止车辆乱停放。</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第二十七条：内场人员负责控制、引导观众的进出，不间断巡逻，做好展厅文物、设备、物品看管，维护观众参观秩序，维护展厅整洁卫生，引导观众按参观线路有序参观，禁止观众进入非开放区域。</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第二十八条：外场人员对广场及展厅周围进行不间断巡逻，巡逻期间不得进入室内，制止观众破坏绿化、建筑、设备，放风筝、无人机，攀爬大型兵器展品、假山，制止观众在池塘戏水、钓鱼。</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第二十九条：安检人员认真、规范、文明按安检制度对进馆观众进行安检、把控，谢绝本馆拒绝参观访问的人员进入馆区，不得放违禁品、宠物等进入馆区。</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（六）消安防管理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第三十条：物业单位需要在责任范围内，保证纪念馆的消防安全、文物安全、人员安全，不得发生安全事故。违反前款规定，视情节轻重，扣罚服务单位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-30分/次，直至解约。如发生一般责任事故，视事故责任大小、情节轻重，扣罚服务单位30-100分/次，直至解约。如发生重大责任事故，依法追究法律责任，扣罚服务单位100分/次，并终止物业管理合同。</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第三十一条：定期组织好每月一次的物业员工消防培训、演练并做好台账记录。</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第三十二条：每天两次巡检泵房、配电间、消火栓、灭火器并做好台账记录，发现问题，及时汇报，实时掌握问题处置情况。</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第三十三条：监控员熟练操作安防系统、消防控制系统，按时设防，随时发现安全隐患、可疑人员及其他可疑情况，及时稳妥处置，每班做好值班记录、交接班记录。</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第三十四条：熟悉了解纪念馆消防应急预案，懂得消防疏散知识，能熟练使用消防器材设施，保持消防疏散通道畅通。</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第三十五条：闭馆后对全馆各个部位仔细清场检查，清查人员，清除各类可疑物品、易燃易爆品和其他无关物品，关闭空调、灯光、电器，关门上锁。</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第三十六条：纪念馆严禁明火和化学品、易燃易爆品等危险品进入，禁止在馆区展厅、广场内吸烟，如发现应立即劝阻，并及时清理烟灰、烟蒂。</w:t>
      </w:r>
      <w:r>
        <w:rPr>
          <w:rFonts w:hint="eastAsia" w:ascii="宋体" w:hAnsi="宋体" w:cs="Times New Roman"/>
          <w:color w:val="auto"/>
          <w:sz w:val="24"/>
          <w:highlight w:val="none"/>
          <w:lang w:eastAsia="zh-CN"/>
        </w:rPr>
        <w:t xml:space="preserve">违</w:t>
      </w:r>
      <w:r>
        <w:rPr>
          <w:rFonts w:hint="eastAsia" w:ascii="宋体" w:hAnsi="宋体" w:eastAsia="宋体" w:cs="Times New Roman"/>
          <w:color w:val="auto"/>
          <w:sz w:val="24"/>
          <w:highlight w:val="none"/>
        </w:rPr>
        <w:t xml:space="preserve">反前款规定，扣罚服务单位1分/次。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（七）建筑及展厅场景设施设备管理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第三十七条：维护人员做到持证上岗，技术熟练，坚持每日巡查并做好检查记录；一旦发生设备设施损坏或技术故障，要及时处置并汇报，并按照要求进行修复。违反前款规定，扣罚服务单位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10分/次。如因未及时处置汇报，造成责任事故，视事故责任大小、情节轻重扣除服务单位30</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100分/次，直至解约。</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第三十八条：做好纪念馆建筑每月一次的防水、管道疏通，以及特殊天气的雨季防涝、防台风、防雷电等检查预防工作。如因未执行到位，造成损失的，扣罚服务单位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20分/次，并由服务单位负责维修维护到位。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第三十九条：经设备管理部门同意，按照规定正确使用维护设施设备，不得因违规操作发生设施设备损坏。违反前款规定，扣罚服务单位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20分/次，并由服务单位负责维修维护到位。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第四十条：按规定时间打开关闭空调、灯光、多媒体、设施设备，节约用电用水，不得浪费。如有临时接待，需经设备管理部门同意，方可打开设备。违反前款规定，扣罚服务单位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10分/次，造成设备损坏的，由服务单位负责维修维护到位。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一条：当班期间不间断巡逻，保持高度警惕，保护展览文物、场景、艺术品、多媒体、展板的安全。如未及时发现并制止观众，导致展厅内物品损坏的，由物业单位进行修缮或者原价赔偿，并视情节轻重，扣罚服务单位1-10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第四十二条：做好高低压配电房的值班工作，水电维修技术人员做到每天24小时有人在岗。违反前款规定，扣罚服务单位10分/次。如因违反规定造成事故的，视事故责任大小、情节轻重扣除服务单位30</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100分/次，直至解约。</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三条：工程保修期间的设施、设备维修工作由原施工单位或供货单位负责，物业企业负责巡查、监督、跟踪、记录，发现问题及时与原施工单位、供货单位联系，督促其及时保修，并向我馆报告，同时做好保修记录。违反前款规定，扣罚服务单位10分/次。如因未及时报告，造成设施、设备损坏、丢失的，由服务单位自行维修维护到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四条：每年雨季来临之前，对房屋、设施设备、道路、下水道等公共部位进行一次全面检查，掌握房屋设施设备完损状况，对完损程度做出评价；每季度巡视一次房屋主体结构，发现质量问题及时向本馆报告，提出相关管理、排除隐患及修缮维护建议。违反前款规定，扣罚服务单位10分/次。如因未检查到位，造成相关损失的，视情节轻重扣罚服务单位30</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100分/次，并由服务单位负责维修维护到位。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五条：代表本馆做好对各相关专业设备维保单位的管理，同时做好与之相关的协调、配合与服务工作，及时主动联系、沟通，便于维保单位正常开展维保服务工作，既做好管理，又服务到位。违反前款规定，扣罚服务单位1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（八）会务接待</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第四十六条：做好会前准备工作，检查会议所需物品，并按要求摆放整齐。舞台灯光、音响、空调等设备设施由专人负责运维保障。</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①会议桌摆放位置要正，椅子摆放在会议桌前并与会议桌保持约为一人的距离，椅子左右之</w:t>
      </w:r>
      <w:r>
        <w:rPr>
          <w:rFonts w:hint="eastAsia" w:ascii="宋体" w:hAnsi="宋体" w:eastAsia="宋体" w:cs="Times New Roman"/>
          <w:color w:val="auto"/>
          <w:sz w:val="24"/>
          <w:highlight w:val="none"/>
        </w:rPr>
        <w:t xml:space="preserve">间</w:t>
      </w:r>
      <w:r>
        <w:rPr>
          <w:rFonts w:hint="eastAsia" w:ascii="宋体" w:hAnsi="宋体" w:eastAsia="宋体" w:cs="Times New Roman"/>
          <w:color w:val="auto"/>
          <w:sz w:val="24"/>
          <w:highlight w:val="none"/>
        </w:rPr>
        <w:t xml:space="preserve">的摆放距离要均匀约为一人距离，椅子摆放完毕后竖看要成一条直线。</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②根据椅子的位置在会议桌上摆放稿纸，稿纸摆放在每个椅子的正中间位置，稿纸底边与桌子的底边成一条水平线，铅笔成45度斜角放在稿纸右侧，笔尖朝上，标签外漏。</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③稿纸定位后，茶杯摆放在稿纸的右上方，与稿纸边保持约为一指的距离，杯把朝右，茶杯左侧摆放香巾碟，香巾碟与杯子的距离约为一指，杯子与香巾碟的中心在一条水平线上。</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④话筒固定在桌面上，话筒麦克方向角度一致摆在同一侧方向。每份物品摆放标准一致侧看成一条直线。</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⑤检查照明是否正常，灯具是否全部完好，有损坏的及时上报维修。</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⑥会议前提前检查音响设备是否完好，话筒音量调节适中，并检查无线网络是否正常使用。</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⑦检查室内空调是否正常，会场温度设定在规定温度内，冬季不高于23度，夏季不低于26度。</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第四十七条：做好作会场及周围环境卫生工作</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①彻底清扫会议室卫生，会议桌干净无手印和水渍，椅子无灰尘和毛发，桌子抽屉无杂物无灰尘。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②会议室死角卫生清洁到位，窗台无灰尘，墙角处无蜘蛛网，墙面干净无灰尘。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③地板打蜡，地上无杂物无脚印，地板干燥无水渍。</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④会议室内网线及投影电源线摆放整齐，不杂乱避免绊倒客人。</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⑤会议室外环境卫生有专人清洁保持，地面明亮无脚印，痰桶干净，加强巡视随时清理。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第四十八条：做好会议过程中的服务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①接到办公室通知后，根据会场人数、会议标准及会议性质来摆放所需物品，并按具体准备规定进行。</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②由纪念馆安排挂会议所需会标及摆放座签，并确认会标内容是否准确无误，座签是否摆放正确。</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③安排部署好会议服务人员和具体分工，会议开始前半小时提水并打开空调。</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④在会议前半小时，所有工作准备到位、人员到位，迎接与会人员的到来。</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⑤客人到达后，迎宾人员应面带微笑，对所有来开会的客人都使用礼貌用语。</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⑥根据客人大部分喝水情况，约为20分钟添一次茶水。</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⑦会议期间可根据会场情况适当的调节空调温度，会场温度不能过低或过高，可将窗户打开1-2扇通风，使会议室内空气保持流通。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⑧会议结束后，立即将所有会议室的门打开，迎宾人员热情送客，客人离开会议室后，要立即查看会议室有无客人遗留物品，若发现遗留物品及时通知客人，若不清楚是哪位客人的物品，可与纪念馆联系帮忙转交。</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⑨会议结束后，立即清理会场物品，打扫会场卫生，检查设备设施是否全部关闭，根据要求锁好会议室门。</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违反前款规定，扣罚服务单位1分/次。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（九）消控室管理</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四十九条：值班人员应具有消防管理部门发放的专业证书，实行24小时双人值班，值班电话保持畅通，值班期间禁止睡觉，值班员上班后立即进入工作状态，精神饱满，工作服穿戴整齐，随时保持警惕。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第五十条：值班人员必须熟练掌握《新四军纪念馆消防应急预案》《新四军纪念馆反恐应急预案》《盐城市文化广电和旅游系统消防设施检查规范》</w:t>
      </w:r>
      <w:r>
        <w:rPr>
          <w:rFonts w:hint="eastAsia" w:ascii="宋体" w:hAnsi="宋体" w:eastAsia="宋体" w:cs="Times New Roman"/>
          <w:color w:val="auto"/>
          <w:sz w:val="24"/>
          <w:highlight w:val="none"/>
          <w:lang w:val="en-US" w:eastAsia="zh-CN"/>
        </w:rPr>
        <w:t xml:space="preserve">等相关规定</w:t>
      </w:r>
      <w:r>
        <w:rPr>
          <w:rFonts w:hint="eastAsia" w:ascii="宋体" w:hAnsi="宋体" w:eastAsia="宋体" w:cs="Times New Roman"/>
          <w:color w:val="auto"/>
          <w:sz w:val="24"/>
          <w:highlight w:val="none"/>
        </w:rPr>
        <w:t xml:space="preserve">，熟练使用各种消安防技术设备，保持设备正常运行，并做好值班记录。按时对消防设备进行防火巡查、消防周检、配合维保公司进行消防月检、季检、突击检查，并做好检查记录。发现消安防设备故障，及时上报，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一条：值班人员密切注意火灾自动报警设备运行情况，如有报警，首先确认火情：如确认为火情，沉着冷静按照《新四军纪念馆消防应急预案》合理应对；如确认为误报，方可取消报警，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二条：值班人员做好各项安防自动报警设备的设防，密切注意视频监控大屏幕，不得无故中断监控摄像和删除监控录像，监控室计算机不得他用。值班人员遵守保密规定，未经领导同意，严禁任何人调取视频监控录像，不得向任何人泄露视频监控录像和馆内的安全秘密，无关人员</w:t>
      </w:r>
      <w:r>
        <w:rPr>
          <w:rFonts w:hint="eastAsia" w:ascii="宋体" w:hAnsi="宋体" w:eastAsia="宋体" w:cs="Times New Roman"/>
          <w:color w:val="auto"/>
          <w:sz w:val="24"/>
          <w:highlight w:val="none"/>
        </w:rPr>
        <w:t xml:space="preserve">未</w:t>
      </w:r>
      <w:r>
        <w:rPr>
          <w:rFonts w:hint="eastAsia" w:ascii="宋体" w:hAnsi="宋体" w:eastAsia="宋体" w:cs="Times New Roman"/>
          <w:color w:val="auto"/>
          <w:sz w:val="24"/>
          <w:highlight w:val="none"/>
        </w:rPr>
        <w:t xml:space="preserve">经批准不得进入监控室，违反前款规定，扣罚服务单位2分/次，如造成资料泄密，情节严重的，扣罚服务单位3-20分/次。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三条：监控室内严禁烟火，严禁存放易燃、易爆和其他危险物品，严禁使用大功率电器；保持室内清洁卫生，禁止做与工作无关的事，禁止在监控室吃饭、吃零食，水杯应放置在远离电器设备的地方，接值班电话时必须规范用语、语言清楚、态度和蔼。务必保障通信联络通畅，不得用值班电话接、打私人电话；对讲机应随时保证电量充足与信号畅通。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四：不得擅自脱岗，未经允许不得擅自代班、调班；按规定时间交接班，交接班时需将当班情况和未尽事项向接岗人员交代清楚；特殊情况不能按时接班的要提前通知在岗人员，交班人在接班人未到岗时不能下班。违反前款规定，扣罚服务单位1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五条：监控人员必须具有高度的工作责任心，认真履行职责，及时掌握各种监控信息；按照每日检查制度，及时检查，及时记录，发现事故、异常情况能快速做出反应，立即通知巡逻岗赶往现场查看处理，并及时通知上级领导。违反前款规定，扣罚服务单位1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（十）奖惩兑现</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第五十六条：加分项</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①服务单位员工有见义勇为、拾金不昧、好人好事等优秀事迹的，经查证属实或被新闻媒体报道宣传的，所属服务单位获市级报道的分别加</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分/次，获省级报道的每次加</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分/次，获国家主流媒体（中央一套、人民日报、新华日报）报道的每次加</w:t>
      </w:r>
      <w:r>
        <w:rPr>
          <w:rFonts w:hint="eastAsia" w:ascii="宋体" w:hAnsi="宋体" w:eastAsia="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分/次；拾金不昧、见义勇为等好人好事有弄虚作假行为的，一经查实每起扣罚服务单位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50分/次。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②服务单位完成交办任务受到表扬的加</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10分/次；</w:t>
      </w:r>
      <w:r/>
    </w:p>
    <w:p>
      <w:pPr>
        <w:keepLines w:val="0"/>
        <w:keepNext w:val="0"/>
        <w:pageBreakBefore w:val="0"/>
        <w:spacing w:line="50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（十一）其他</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第五十七条：主管部门有权随时对合同范围内的工作情况进行考核，不服从考核的第一次扣罚服务单位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50分/次，经约谈后仍不服从的解除合同，所交履约保证金作为违约金不予退还。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第五十八条：严禁转包，如发现转包承包业务，主管部门有权终止本合同。所交履约保证金作为违约金不予退还。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第五十九条：主管部门有权安排临时突击的任务，不配合的或完成任务不彻底的，扣罚服务单位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10分/次，拒不执行工作任务的，扣罚服务单位</w:t>
      </w:r>
      <w:r>
        <w:rPr>
          <w:rFonts w:hint="eastAsia" w:ascii="宋体" w:hAnsi="宋体" w:eastAsia="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50分/次，并直接解除服务合同，所交履约保证金作为违约金不予退还。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第六十条：服务单位必须遵守《劳动法》及相关法律法规的规定，若有违反，责任自行承担，并扣罚服务单位</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20分/次。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一条：服务单位必须保证按照主管部门确定的服务人员上班作业，原则上招录年龄在45周岁以下人员，按照本地区政府劳动主管部门的相关规定及时发放工资、福利并为在职人员按照规定办理相关劳动保险（五险一金）；发现不按照规定发放工资、福利、缴纳保险（五险一金）等不良现象的，在当月经费中扣除相关费用，并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40分/次。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第六十二条：服务单位招录人员必须在进场当月内招录完成，在督查中发现未按照履约的人数、设备、器具实施到位的，在次月费用中扣除并限时整改到位，同时扣罚服务单位</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50分/次。离退休人员的增补要在当月内招录培训到位，未能执行的，扣罚服务单位5分/天。</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第六十三条：服务单位被馆、局、市及以上单位检查发现问题或受到点名批评的，分别扣罚服务单位20分/次、30分/次、40分/次。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第六十四条：前期督查发现问题，经交办，服务单位未能及时清理、处置的，再次发现的，第二次双扣分，第三次再双倍，以此类推。</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第六十五条：物业管理服务单位不得以纪念馆考核结果，扣罚员工工资、福利等，如违反前款规定，物业管理单位按要求退还罚款，并扣罚服务单位10分/次。</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第六十六条：以上内容每月进行考核，总分为100分，60分及以上为合格，考核每一分折合为人民币伍佰元整。</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第六十七条：本细则由纪念馆（新四军纪念馆）负责解释，自202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月1日起施行。</w:t>
      </w:r>
      <w:r/>
    </w:p>
    <w:p>
      <w:pPr>
        <w:ind w:firstLine="480"/>
        <w:keepLines w:val="0"/>
        <w:keepNext w:val="0"/>
        <w:pageBreakBefore w:val="0"/>
        <w:spacing w:line="500" w:lineRule="exact"/>
        <w:widowControl w:val="off"/>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br w:type="page" w:clear="all"/>
      </w:r>
      <w:r/>
    </w:p>
    <w:p>
      <w:pPr>
        <w:pStyle w:val="783"/>
        <w:numPr>
          <w:ilvl w:val="0"/>
          <w:numId w:val="0"/>
        </w:numPr>
        <w:ind w:left="0" w:firstLine="0"/>
        <w:jc w:val="center"/>
        <w:keepLines/>
        <w:keepNext/>
        <w:pageBreakBefore w:val="0"/>
        <w:spacing w:before="0" w:after="0" w:line="260" w:lineRule="auto"/>
        <w:widowControl/>
        <w:rPr>
          <w:rFonts w:hint="default" w:ascii="黑体" w:hAnsi="宋体" w:eastAsia="黑体" w:cs="黑体"/>
          <w:b w:val="0"/>
          <w:bCs w:val="0"/>
          <w:color w:val="auto"/>
          <w:sz w:val="44"/>
          <w:szCs w:val="44"/>
          <w:lang w:val="en-US" w:eastAsia="zh-CN" w:bidi="ar-SA"/>
        </w:rPr>
      </w:pPr>
      <w:r>
        <w:rPr>
          <w:rFonts w:hint="eastAsia" w:ascii="黑体" w:hAnsi="宋体" w:eastAsia="黑体" w:cs="黑体"/>
          <w:b w:val="0"/>
          <w:bCs w:val="0"/>
          <w:color w:val="auto"/>
          <w:sz w:val="44"/>
          <w:szCs w:val="44"/>
          <w:lang w:val="en-US" w:eastAsia="zh-CN" w:bidi="ar-SA"/>
        </w:rPr>
        <w:t xml:space="preserve">第四章 采购</w:t>
      </w:r>
      <w:r>
        <w:rPr>
          <w:rFonts w:hint="default" w:ascii="黑体" w:hAnsi="宋体" w:eastAsia="黑体" w:cs="黑体"/>
          <w:b w:val="0"/>
          <w:bCs w:val="0"/>
          <w:color w:val="auto"/>
          <w:sz w:val="44"/>
          <w:szCs w:val="44"/>
          <w:lang w:val="en-US" w:eastAsia="zh-CN" w:bidi="ar-SA"/>
        </w:rPr>
        <w:t xml:space="preserve">需求</w:t>
      </w:r>
      <w:r/>
    </w:p>
    <w:p>
      <w:pPr>
        <w:ind w:firstLine="480"/>
        <w:jc w:val="both"/>
        <w:spacing w:line="520" w:lineRule="exact"/>
        <w:widowControl/>
        <w:rPr>
          <w:rFonts w:hint="eastAsia" w:ascii="宋体" w:hAnsi="宋体" w:eastAsia="宋体" w:cs="宋体"/>
          <w:b/>
          <w:bCs/>
          <w:color w:val="auto"/>
          <w:sz w:val="24"/>
          <w:szCs w:val="21"/>
          <w:lang w:val="zh-CN"/>
        </w:rPr>
      </w:pPr>
      <w:r/>
      <w:bookmarkStart w:id="5" w:name="_Toc26554093"/>
      <w:r/>
      <w:bookmarkStart w:id="6" w:name="_Toc49090575"/>
      <w:r>
        <w:rPr>
          <w:rFonts w:hint="eastAsia" w:ascii="宋体" w:hAnsi="宋体" w:eastAsia="宋体" w:cs="宋体"/>
          <w:b/>
          <w:bCs/>
          <w:color w:val="auto"/>
          <w:sz w:val="24"/>
          <w:szCs w:val="21"/>
          <w:lang w:val="zh-CN"/>
        </w:rPr>
        <w:t xml:space="preserve">项目属性:服务类项目。</w:t>
      </w:r>
      <w:bookmarkEnd w:id="5"/>
      <w:r/>
      <w:bookmarkEnd w:id="6"/>
      <w:r/>
      <w:r/>
    </w:p>
    <w:p>
      <w:pPr>
        <w:pStyle w:val="1034"/>
        <w:rPr>
          <w:rFonts w:hint="eastAsia" w:ascii="宋体" w:hAnsi="宋体" w:eastAsia="宋体" w:cs="宋体"/>
          <w:color w:val="auto"/>
        </w:rPr>
      </w:pPr>
      <w:r>
        <w:rPr>
          <w:rFonts w:hint="eastAsia" w:ascii="宋体" w:hAnsi="宋体" w:eastAsia="宋体" w:cs="宋体"/>
          <w:color w:val="auto"/>
        </w:rPr>
      </w:r>
      <w:r/>
    </w:p>
    <w:p>
      <w:pPr>
        <w:jc w:val="left"/>
        <w:spacing w:after="0" w:line="440" w:lineRule="exact"/>
        <w:widowControl/>
        <w:rPr>
          <w:rFonts w:hint="eastAsia" w:ascii="宋体" w:hAnsi="宋体" w:eastAsia="宋体" w:cs="宋体"/>
          <w:b/>
          <w:bCs/>
          <w:color w:val="auto"/>
          <w:sz w:val="24"/>
        </w:rPr>
      </w:pPr>
      <w:r>
        <w:rPr>
          <w:rFonts w:hint="eastAsia" w:ascii="宋体" w:hAnsi="宋体" w:eastAsia="宋体" w:cs="宋体"/>
          <w:b/>
          <w:bCs/>
          <w:color w:val="auto"/>
          <w:sz w:val="24"/>
          <w:lang w:bidi="ar"/>
        </w:rPr>
        <w:t xml:space="preserve">一、项目基本概况</w:t>
      </w:r>
      <w:r/>
    </w:p>
    <w:tbl>
      <w:tblPr>
        <w:tblStyle w:val="8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3"/>
        <w:gridCol w:w="4161"/>
      </w:tblGrid>
      <w:tr>
        <w:trPr>
          <w:jc w:val="center"/>
          <w:trHeight w:val="567"/>
        </w:trPr>
        <w:tc>
          <w:tcPr>
            <w:tcW w:w="2650"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物业名称</w:t>
            </w:r>
            <w:r/>
          </w:p>
        </w:tc>
        <w:tc>
          <w:tcPr>
            <w:tcW w:w="2349"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物业地址</w:t>
            </w:r>
            <w:r/>
          </w:p>
        </w:tc>
      </w:tr>
      <w:tr>
        <w:trPr>
          <w:jc w:val="center"/>
          <w:trHeight w:val="567"/>
        </w:trPr>
        <w:tc>
          <w:tcPr>
            <w:tcW w:w="2650"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新四军纪念馆</w:t>
            </w:r>
            <w:r/>
          </w:p>
        </w:tc>
        <w:tc>
          <w:tcPr>
            <w:tcW w:w="2349"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建军东路159号</w:t>
            </w:r>
            <w:r/>
          </w:p>
        </w:tc>
      </w:tr>
      <w:tr>
        <w:trPr>
          <w:jc w:val="center"/>
          <w:trHeight w:val="567"/>
        </w:trPr>
        <w:tc>
          <w:tcPr>
            <w:tcW w:w="2650"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泰山庙</w:t>
            </w:r>
            <w:r/>
          </w:p>
        </w:tc>
        <w:tc>
          <w:tcPr>
            <w:tcW w:w="2349" w:type="pct"/>
            <w:vAlign w:val="center"/>
            <w:textDirection w:val="lrTb"/>
            <w:noWrap w:val="false"/>
          </w:tcPr>
          <w:p>
            <w:pPr>
              <w:jc w:val="center"/>
              <w:spacing w:after="0" w:line="300" w:lineRule="auto"/>
              <w:rPr>
                <w:rFonts w:hint="eastAsia" w:ascii="宋体" w:hAnsi="宋体" w:eastAsia="宋体" w:cs="宋体"/>
                <w:color w:val="auto"/>
                <w:sz w:val="24"/>
              </w:rPr>
            </w:pPr>
            <w:r>
              <w:rPr>
                <w:rFonts w:hint="eastAsia" w:ascii="宋体" w:hAnsi="宋体" w:eastAsia="宋体" w:cs="宋体"/>
                <w:color w:val="auto"/>
                <w:sz w:val="24"/>
              </w:rPr>
              <w:t xml:space="preserve">建军西路118号</w:t>
            </w:r>
            <w:r/>
          </w:p>
        </w:tc>
      </w:tr>
    </w:tbl>
    <w:p>
      <w:pPr>
        <w:pStyle w:val="798"/>
        <w:spacing w:line="5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 新四军纪念馆现有广场、展馆、游客中心、办公区和军部旧址泰山庙。建筑面积约15000平方米，广场面积约60000平方米。</w:t>
      </w:r>
      <w:r/>
    </w:p>
    <w:p>
      <w:pPr>
        <w:pStyle w:val="798"/>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二、</w:t>
      </w:r>
      <w:r>
        <w:rPr>
          <w:rFonts w:hint="eastAsia" w:ascii="宋体" w:hAnsi="宋体" w:eastAsia="宋体" w:cs="宋体"/>
          <w:b/>
          <w:bCs/>
          <w:color w:val="auto"/>
          <w:sz w:val="24"/>
          <w:szCs w:val="24"/>
        </w:rPr>
        <w:t xml:space="preserve">物业服务范围</w:t>
      </w:r>
      <w:r/>
    </w:p>
    <w:p>
      <w:pPr>
        <w:pStyle w:val="798"/>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（1）物业管理（建筑物）</w:t>
      </w:r>
      <w:r/>
    </w:p>
    <w:tbl>
      <w:tblPr>
        <w:tblStyle w:val="827"/>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07"/>
        <w:gridCol w:w="1870"/>
        <w:gridCol w:w="3327"/>
        <w:gridCol w:w="2548"/>
      </w:tblGrid>
      <w:tr>
        <w:trPr>
          <w:jc w:val="center"/>
          <w:trHeight w:val="403"/>
        </w:trPr>
        <w:tc>
          <w:tcPr>
            <w:gridSpan w:val="2"/>
            <w:shd w:val="clear" w:color="auto" w:fill="auto"/>
            <w:tcBorders>
              <w:top w:val="single" w:color="000000" w:sz="8" w:space="0"/>
              <w:left w:val="single" w:color="000000" w:sz="8" w:space="0"/>
              <w:bottom w:val="single" w:color="000000" w:sz="8" w:space="0"/>
              <w:right w:val="single" w:color="000000" w:sz="8" w:space="0"/>
            </w:tcBorders>
            <w:tcW w:w="168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服务内容及标准</w:t>
            </w:r>
            <w:r/>
          </w:p>
        </w:tc>
      </w:tr>
      <w:tr>
        <w:trPr>
          <w:jc w:val="center"/>
          <w:trHeight w:val="403"/>
        </w:trPr>
        <w:tc>
          <w:tcPr>
            <w:gridSpan w:val="2"/>
            <w:shd w:val="clear" w:color="auto" w:fill="auto"/>
            <w:tcBorders>
              <w:top w:val="single" w:color="000000" w:sz="8" w:space="0"/>
              <w:left w:val="single" w:color="000000" w:sz="8" w:space="0"/>
              <w:bottom w:val="single" w:color="000000" w:sz="8" w:space="0"/>
              <w:right w:val="single" w:color="000000" w:sz="8" w:space="0"/>
            </w:tcBorders>
            <w:tcW w:w="168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新四军纪念馆（含泰山庙）</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tc>
      </w:tr>
      <w:tr>
        <w:trPr>
          <w:jc w:val="center"/>
          <w:trHeight w:val="517"/>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总面积</w:t>
            </w:r>
            <w:r/>
          </w:p>
        </w:tc>
        <w:tc>
          <w:tcPr>
            <w:shd w:val="clear" w:color="auto" w:fill="auto"/>
            <w:tcBorders>
              <w:top w:val="single" w:color="000000" w:sz="8" w:space="0"/>
              <w:left w:val="none" w:color="000000" w:sz="4"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建筑面积（㎡）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约15000m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需保洁面积（㎡）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约10000</w:t>
            </w:r>
            <w:bookmarkStart w:id="7" w:name="OLE_LINK1"/>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bookmarkEnd w:id="7"/>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门窗总数量（个）及总面积（㎡）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60个，约4000</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见“3.2房屋维护服务”“3.4保洁服务”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石材地面，约25000平方米。</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见“3.2房屋维护服务”“3.4保洁服务”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顶面各材质及总面积（㎡）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混凝土，约1200平方米。</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见“3.2房屋维护服务”“3.4保洁服务”</w:t>
            </w:r>
            <w:r/>
          </w:p>
        </w:tc>
      </w:tr>
      <w:tr>
        <w:trPr>
          <w:jc w:val="center"/>
          <w:trHeight w:val="588"/>
        </w:trPr>
        <w:tc>
          <w:tcPr>
            <w:shd w:val="clear" w:color="auto" w:fill="auto"/>
            <w:tcBorders>
              <w:top w:val="single" w:color="000000" w:sz="8" w:space="0"/>
              <w:left w:val="single" w:color="000000" w:sz="8" w:space="0"/>
              <w:right w:val="single" w:color="000000" w:sz="8" w:space="0"/>
            </w:tcBorders>
            <w:tcW w:w="6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外墙</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外 墙 各 材 质 及 总 面 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石材和砖块墙面，约10000</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见“3.2 房屋维护服务”“3.4 保洁服务”</w:t>
            </w:r>
            <w:r/>
          </w:p>
        </w:tc>
      </w:tr>
      <w:tr>
        <w:trPr>
          <w:jc w:val="center"/>
          <w:trHeight w:val="588"/>
        </w:trPr>
        <w:tc>
          <w:tcPr>
            <w:shd w:val="clear" w:color="auto" w:fill="auto"/>
            <w:tcBorders>
              <w:left w:val="single" w:color="000000" w:sz="8" w:space="0"/>
              <w:bottom w:val="single" w:color="000000" w:sz="8" w:space="0"/>
              <w:right w:val="single" w:color="000000" w:sz="8" w:space="0"/>
            </w:tcBorders>
            <w:tcW w:w="6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外墙需清洗面积（㎡）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约3000</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见“3.4 保洁服务”</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会议室</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会议桌3张，会议椅75张</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见“3.2房屋维护服务”“3.4保洁服务”“3.5 会议服务”</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会议室数量（个）及总面积（㎡）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3个，总面积额200</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见“3.4保洁服务”见“3.5 会议服务”</w:t>
            </w:r>
            <w:r/>
          </w:p>
        </w:tc>
      </w:tr>
      <w:tr>
        <w:trPr>
          <w:jc w:val="center"/>
          <w:trHeight w:val="588"/>
        </w:trPr>
        <w:tc>
          <w:tcPr>
            <w:shd w:val="clear" w:color="auto" w:fill="auto"/>
            <w:tcBorders>
              <w:top w:val="none" w:color="000000" w:sz="4" w:space="0"/>
              <w:left w:val="single" w:color="000000" w:sz="8" w:space="0"/>
              <w:right w:val="single" w:color="000000" w:sz="8" w:space="0"/>
            </w:tcBorders>
            <w:tcW w:w="6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报告厅</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室内设施说明</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会议椅110张</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见“3.4 保洁服务”“3.5 会议服务”</w:t>
            </w:r>
            <w:r/>
          </w:p>
        </w:tc>
      </w:tr>
      <w:tr>
        <w:trPr>
          <w:jc w:val="center"/>
          <w:trHeight w:val="588"/>
        </w:trPr>
        <w:tc>
          <w:tcPr>
            <w:shd w:val="clear" w:color="auto" w:fill="auto"/>
            <w:tcBorders>
              <w:left w:val="single" w:color="000000" w:sz="8" w:space="0"/>
              <w:bottom w:val="single" w:color="000000" w:sz="8" w:space="0"/>
              <w:right w:val="single" w:color="000000" w:sz="8" w:space="0"/>
            </w:tcBorders>
            <w:tcW w:w="6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报告厅数量（个）及总面积（㎡）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1个，总面积约400</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见“3.4 保洁服务”“3.5 会议服务”</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卫生间数量（个）及总面积（㎡）</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卫生间数量12个，总面积约300m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jc w:val="center"/>
          <w:trHeight w:val="874"/>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各垃圾存放点位置、面积（㎡）及数量（个）</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馆内配备有不锈钢三分类垃圾桶15个，广场四边分类公共垃圾箱40个，合计55个垃圾桶。</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jc w:val="center"/>
          <w:trHeight w:val="445"/>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restart"/>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车行/人行口</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车行口</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人行口</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403"/>
        </w:trPr>
        <w:tc>
          <w:tcPr>
            <w:shd w:val="clear" w:color="auto" w:fill="auto"/>
            <w:tcBorders>
              <w:top w:val="single" w:color="000000" w:sz="8" w:space="0"/>
              <w:left w:val="single" w:color="000000" w:sz="8" w:space="0"/>
              <w:bottom w:val="single" w:color="000000" w:sz="8" w:space="0"/>
              <w:right w:val="single" w:color="000000" w:sz="8" w:space="0"/>
            </w:tcBorders>
            <w:tcW w:w="625"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车位数</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地面车位数</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32个。</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restart"/>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设施设备（可另行附表）</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电梯系统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轿厢式电梯数量3个，额定载重1000KG,检验合格；自动扶梯数量3个,检验合格。 合计6台电梯，由电梯维保机构维护保养。</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 “3.3公用设施设备维护服务”“3.4保洁服务”</w:t>
            </w:r>
            <w:r/>
          </w:p>
        </w:tc>
      </w:tr>
      <w:tr>
        <w:trPr>
          <w:jc w:val="center"/>
          <w:trHeight w:val="817"/>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空调系统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274W风管机111台，548w新风机14台，228w风管机15台，151w风管机2台，柜机11台，挂机6台，办公区风管机30台，吸顶机18台</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 “3.3公用设施设备维护服务”“3.4保洁服务”</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给排水系统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馆区内供水系统，雨污水排水系统以及地下应急排水泵4台</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见“3.3公用设施设备维护服务”</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自动消防设备和消防电源、消防泵房、室内外消火栓、紧急疏散出口、防火门、灭火喷头、机械排烟口和送风口、排烟窗、火灾探测器、手动火灾报警按钮、声光报警装置、手提式灭火器等消防设施设备</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安防系统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电子门禁系统、安检口X光验包机、安检门、视频监控设备、周界报警、防入侵、 “110”红外报警等技防设施</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jc w:val="center"/>
          <w:trHeight w:val="588"/>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照明系统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室外路灯；室内LED节能灯，展陈专业灯光。</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见“3.3公用设施设备维护服务”</w:t>
            </w:r>
            <w:r/>
          </w:p>
        </w:tc>
      </w:tr>
      <w:tr>
        <w:trPr>
          <w:jc w:val="center"/>
          <w:trHeight w:val="605"/>
        </w:trPr>
        <w:tc>
          <w:tcPr>
            <w:shd w:val="clear" w:color="auto" w:fill="auto"/>
            <w:tcBorders>
              <w:top w:val="none" w:color="000000" w:sz="4" w:space="0"/>
              <w:left w:val="single" w:color="000000" w:sz="8" w:space="0"/>
              <w:bottom w:val="single" w:color="000000" w:sz="8" w:space="0"/>
              <w:right w:val="single" w:color="000000" w:sz="8" w:space="0"/>
            </w:tcBorders>
            <w:tcW w:w="6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05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供配电系统</w:t>
            </w:r>
            <w:r/>
          </w:p>
        </w:tc>
        <w:tc>
          <w:tcPr>
            <w:shd w:val="clear" w:color="auto" w:fill="auto"/>
            <w:tcBorders>
              <w:top w:val="single" w:color="000000" w:sz="8" w:space="0"/>
              <w:left w:val="single" w:color="000000" w:sz="8" w:space="0"/>
              <w:bottom w:val="single" w:color="000000" w:sz="8" w:space="0"/>
              <w:right w:val="single" w:color="000000" w:sz="8" w:space="0"/>
            </w:tcBorders>
            <w:tcW w:w="18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配有高低压房（1000V变压器2台，双电源）。</w:t>
            </w:r>
            <w:r/>
          </w:p>
        </w:tc>
        <w:tc>
          <w:tcPr>
            <w:shd w:val="clear" w:color="auto" w:fill="auto"/>
            <w:tcBorders>
              <w:top w:val="single" w:color="000000" w:sz="8" w:space="0"/>
              <w:left w:val="single" w:color="000000" w:sz="8" w:space="0"/>
              <w:bottom w:val="single" w:color="000000" w:sz="8" w:space="0"/>
              <w:right w:val="single" w:color="000000" w:sz="8" w:space="0"/>
            </w:tcBorders>
            <w:tcW w:w="1439"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见“3.3公用设施设备维护服务”</w:t>
            </w:r>
            <w:r/>
          </w:p>
        </w:tc>
      </w:tr>
    </w:tbl>
    <w:p>
      <w:pPr>
        <w:pStyle w:val="798"/>
        <w:spacing w:before="63"/>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98"/>
        <w:spacing w:before="63"/>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lang w:bidi="ar"/>
        </w:rPr>
        <w:t xml:space="preserve">（2）物业管理（室外）</w:t>
      </w:r>
      <w:r/>
    </w:p>
    <w:tbl>
      <w:tblPr>
        <w:tblStyle w:val="827"/>
        <w:tblW w:w="4921"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2919"/>
        <w:gridCol w:w="3422"/>
      </w:tblGrid>
      <w:tr>
        <w:trPr>
          <w:trHeight w:val="454"/>
        </w:trPr>
        <w:tc>
          <w:tcPr>
            <w:shd w:val="clear" w:color="auto" w:fill="auto"/>
            <w:tcBorders>
              <w:top w:val="single" w:color="000000" w:sz="8" w:space="0"/>
              <w:left w:val="single" w:color="000000" w:sz="8" w:space="0"/>
              <w:bottom w:val="single" w:color="auto" w:sz="4" w:space="0"/>
              <w:right w:val="single" w:color="000000" w:sz="8"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名称</w:t>
            </w:r>
            <w:r/>
          </w:p>
        </w:tc>
        <w:tc>
          <w:tcPr>
            <w:shd w:val="clear" w:color="auto" w:fill="auto"/>
            <w:tcBorders>
              <w:top w:val="single" w:color="000000" w:sz="8" w:space="0"/>
              <w:left w:val="none" w:color="000000" w:sz="4" w:space="0"/>
              <w:bottom w:val="single" w:color="auto" w:sz="4" w:space="0"/>
              <w:right w:val="single" w:color="000000" w:sz="8" w:space="0"/>
            </w:tcBorders>
            <w:tcW w:w="1674"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明细</w:t>
            </w:r>
            <w:r/>
          </w:p>
        </w:tc>
        <w:tc>
          <w:tcPr>
            <w:shd w:val="clear" w:color="auto" w:fill="auto"/>
            <w:tcBorders>
              <w:top w:val="single" w:color="000000" w:sz="8" w:space="0"/>
              <w:left w:val="none" w:color="000000" w:sz="4" w:space="0"/>
              <w:bottom w:val="single" w:color="auto" w:sz="4" w:space="0"/>
              <w:right w:val="single" w:color="000000" w:sz="8" w:space="0"/>
            </w:tcBorders>
            <w:tcW w:w="19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服务内容及标准</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新四军纪念馆</w:t>
            </w:r>
            <w:r>
              <w:rPr>
                <w:rFonts w:hint="eastAsia" w:ascii="宋体" w:hAnsi="宋体" w:eastAsia="宋体" w:cs="宋体"/>
                <w:color w:val="auto"/>
                <w:sz w:val="24"/>
                <w:szCs w:val="24"/>
                <w:highlight w:val="none"/>
                <w:lang w:bidi="ar"/>
              </w:rPr>
              <w:t xml:space="preserve">（含泰山庙）室外面积</w:t>
            </w:r>
            <w:r/>
          </w:p>
        </w:tc>
        <w:tc>
          <w:tcPr>
            <w:shd w:val="clear" w:color="auto" w:fill="auto"/>
            <w:tcBorders>
              <w:top w:val="single" w:color="auto" w:sz="4" w:space="0"/>
              <w:left w:val="none" w:color="000000" w:sz="4" w:space="0"/>
              <w:bottom w:val="single" w:color="auto" w:sz="4" w:space="0"/>
              <w:right w:val="single" w:color="auto" w:sz="4" w:space="0"/>
            </w:tcBorders>
            <w:tcW w:w="1674"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约54000m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见“3.4保洁服务”“3.6</w:t>
            </w:r>
            <w:r>
              <w:rPr>
                <w:rFonts w:hint="eastAsia" w:ascii="宋体" w:hAnsi="宋体" w:eastAsia="宋体" w:cs="宋体"/>
                <w:color w:val="auto"/>
                <w:sz w:val="24"/>
                <w:szCs w:val="24"/>
                <w:highlight w:val="none"/>
                <w:lang w:eastAsia="zh-CN" w:bidi="ar"/>
              </w:rPr>
              <w:t xml:space="preserve">消防、安全保卫服务</w:t>
            </w:r>
            <w:r>
              <w:rPr>
                <w:rFonts w:hint="eastAsia" w:ascii="宋体" w:hAnsi="宋体" w:eastAsia="宋体" w:cs="宋体"/>
                <w:color w:val="auto"/>
                <w:sz w:val="24"/>
                <w:szCs w:val="24"/>
                <w:highlight w:val="none"/>
                <w:lang w:bidi="ar"/>
              </w:rPr>
              <w:t xml:space="preserve">”</w:t>
            </w:r>
            <w:r/>
          </w:p>
        </w:tc>
      </w:tr>
      <w:tr>
        <w:trPr>
          <w:trHeight w:val="580"/>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w:t>
            </w:r>
            <w:r/>
          </w:p>
        </w:tc>
        <w:tc>
          <w:tcPr>
            <w:shd w:val="clear" w:color="auto" w:fill="auto"/>
            <w:tcBorders>
              <w:top w:val="single" w:color="auto" w:sz="4" w:space="0"/>
              <w:left w:val="none" w:color="000000" w:sz="4" w:space="0"/>
              <w:bottom w:val="single" w:color="auto" w:sz="4" w:space="0"/>
              <w:right w:val="single" w:color="auto" w:sz="4" w:space="0"/>
            </w:tcBorders>
            <w:tcW w:w="1674"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约40000m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见“3.4保洁服务”</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广场</w:t>
            </w:r>
            <w:r/>
          </w:p>
        </w:tc>
        <w:tc>
          <w:tcPr>
            <w:shd w:val="clear" w:color="auto" w:fill="auto"/>
            <w:tcBorders>
              <w:top w:val="single" w:color="auto" w:sz="4" w:space="0"/>
              <w:left w:val="none" w:color="000000" w:sz="4" w:space="0"/>
              <w:bottom w:val="single" w:color="auto" w:sz="4" w:space="0"/>
              <w:right w:val="single" w:color="auto" w:sz="4" w:space="0"/>
            </w:tcBorders>
            <w:tcW w:w="1674"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约25000m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trHeight w:val="868"/>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消防栓</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keepLines w:val="0"/>
              <w:keepNext w:val="0"/>
              <w:pageBreakBefore w:val="0"/>
              <w:spacing w:before="91"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室外消防栓7个，水泵接合器5个</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trHeight w:val="661"/>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垃圾箱</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jc w:val="center"/>
              <w:keepLines w:val="0"/>
              <w:keepNext w:val="0"/>
              <w:pageBreakBefore w:val="0"/>
              <w:spacing w:before="94"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45个</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室外配电箱</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jc w:val="center"/>
              <w:keepLines w:val="0"/>
              <w:keepNext w:val="0"/>
              <w:pageBreakBefore w:val="0"/>
              <w:spacing w:before="94"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90个</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见“3.3公用设施设备维护服务”</w:t>
            </w:r>
            <w:r/>
          </w:p>
        </w:tc>
      </w:tr>
      <w:tr>
        <w:trPr>
          <w:trHeight w:val="603"/>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门前三包</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jc w:val="center"/>
              <w:keepLines w:val="0"/>
              <w:keepNext w:val="0"/>
              <w:pageBreakBefore w:val="0"/>
              <w:spacing w:before="9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见“3.4保洁服务”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监控</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jc w:val="center"/>
              <w:keepLines w:val="0"/>
              <w:keepNext w:val="0"/>
              <w:pageBreakBefore w:val="0"/>
              <w:spacing w:before="92"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450</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见“3.3公用设施设备维护服务”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36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指示牌、显示屏</w:t>
            </w:r>
            <w:r/>
          </w:p>
        </w:tc>
        <w:tc>
          <w:tcPr>
            <w:shd w:val="clear" w:color="auto" w:fill="auto"/>
            <w:tcBorders>
              <w:top w:val="single" w:color="auto" w:sz="4" w:space="0"/>
              <w:left w:val="none" w:color="000000" w:sz="4" w:space="0"/>
              <w:bottom w:val="single" w:color="auto" w:sz="4" w:space="0"/>
              <w:right w:val="single" w:color="auto" w:sz="4" w:space="0"/>
            </w:tcBorders>
            <w:tcW w:w="1674" w:type="pct"/>
            <w:textDirection w:val="lrTb"/>
            <w:noWrap w:val="false"/>
          </w:tcPr>
          <w:p>
            <w:pPr>
              <w:ind w:left="113"/>
              <w:jc w:val="center"/>
              <w:keepLines w:val="0"/>
              <w:keepNext w:val="0"/>
              <w:pageBreakBefore w:val="0"/>
              <w:spacing w:before="92"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显示屏2块，指示牌45个</w:t>
            </w:r>
            <w:r/>
          </w:p>
        </w:tc>
        <w:tc>
          <w:tcPr>
            <w:shd w:val="clear" w:color="auto" w:fill="auto"/>
            <w:tcBorders>
              <w:top w:val="single" w:color="auto" w:sz="4" w:space="0"/>
              <w:left w:val="none" w:color="000000" w:sz="4" w:space="0"/>
              <w:bottom w:val="single" w:color="auto" w:sz="4" w:space="0"/>
              <w:right w:val="single" w:color="auto" w:sz="4" w:space="0"/>
            </w:tcBorders>
            <w:tcW w:w="196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见“3.2房屋维护服务”</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“3.3公用设施设备维护服务”</w:t>
            </w:r>
            <w:r/>
          </w:p>
        </w:tc>
      </w:tr>
    </w:tbl>
    <w:p>
      <w:pPr>
        <w:jc w:val="left"/>
        <w:spacing w:after="0" w:line="500" w:lineRule="exact"/>
        <w:widowControl/>
        <w:rPr>
          <w:rFonts w:hint="eastAsia" w:ascii="宋体" w:hAnsi="宋体" w:eastAsia="宋体" w:cs="宋体"/>
          <w:b/>
          <w:bCs/>
          <w:color w:val="auto"/>
          <w:sz w:val="24"/>
        </w:rPr>
      </w:pPr>
      <w:r>
        <w:rPr>
          <w:rFonts w:hint="eastAsia" w:ascii="宋体" w:hAnsi="宋体" w:eastAsia="宋体" w:cs="宋体"/>
          <w:b/>
          <w:bCs/>
          <w:color w:val="auto"/>
          <w:sz w:val="24"/>
          <w:lang w:bidi="ar"/>
        </w:rPr>
        <w:t xml:space="preserve">三、物业管理服务内容及标准</w:t>
      </w:r>
      <w:r/>
    </w:p>
    <w:p>
      <w:pPr>
        <w:ind w:firstLine="482"/>
        <w:spacing w:after="0" w:line="50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新四军纪念馆（含泰山庙）（以下简称“本馆”）物业服务，包括但不限于消防安全保卫、秩序维护、卫生保洁、相关设施设备维护、会务服务、各项活动服务、广场环境卫生以及绿化带杂物清理、收发报刊及邮寄、物业档案资料管理等工作。</w:t>
      </w:r>
      <w:r/>
    </w:p>
    <w:p>
      <w:pPr>
        <w:ind w:firstLine="482"/>
        <w:spacing w:after="0" w:line="500" w:lineRule="exact"/>
        <w:widowControl/>
        <w:rPr>
          <w:rFonts w:hint="eastAsia" w:ascii="宋体" w:hAnsi="宋体" w:eastAsia="宋体" w:cs="宋体"/>
          <w:color w:val="auto"/>
          <w:sz w:val="24"/>
        </w:rPr>
      </w:pPr>
      <w:r>
        <w:rPr>
          <w:rFonts w:hint="eastAsia" w:ascii="宋体" w:hAnsi="宋体" w:eastAsia="宋体" w:cs="宋体"/>
          <w:b/>
          <w:color w:val="auto"/>
          <w:sz w:val="24"/>
        </w:rPr>
        <w:t xml:space="preserve">总体要求：</w:t>
      </w:r>
      <w:r>
        <w:rPr>
          <w:rFonts w:hint="eastAsia" w:ascii="宋体" w:hAnsi="宋体" w:eastAsia="宋体" w:cs="宋体"/>
          <w:color w:val="auto"/>
          <w:sz w:val="24"/>
        </w:rPr>
        <w:t xml:space="preserve">中标通知书发出后15日内，完成进场服务的所有准备工作，具体进场服务时间以业主通知为准。</w:t>
      </w:r>
      <w:r/>
    </w:p>
    <w:p>
      <w:pPr>
        <w:ind w:firstLine="482"/>
        <w:spacing w:after="0" w:line="500" w:lineRule="exact"/>
        <w:shd w:val="clear" w:color="auto"/>
        <w:rPr>
          <w:rFonts w:hint="eastAsia" w:ascii="宋体" w:hAnsi="宋体" w:eastAsia="宋体" w:cs="宋体"/>
          <w:color w:val="auto"/>
          <w:szCs w:val="21"/>
          <w:highlight w:val="white"/>
        </w:rPr>
      </w:pPr>
      <w:r>
        <w:rPr>
          <w:rFonts w:hint="eastAsia" w:ascii="宋体" w:hAnsi="宋体" w:eastAsia="宋体" w:cs="宋体"/>
          <w:b/>
          <w:color w:val="auto"/>
          <w:sz w:val="24"/>
          <w:highlight w:val="white"/>
          <w:lang w:bidi="ar"/>
        </w:rPr>
        <w:t xml:space="preserve">3.1基本服务</w:t>
      </w:r>
      <w:r/>
    </w:p>
    <w:tbl>
      <w:tblPr>
        <w:tblStyle w:val="827"/>
        <w:tblW w:w="4921"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608"/>
        <w:gridCol w:w="6273"/>
      </w:tblGrid>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479"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22"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服务标准</w:t>
            </w:r>
            <w:r/>
          </w:p>
        </w:tc>
      </w:tr>
      <w:tr>
        <w:trPr>
          <w:trHeight w:val="94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目标与责任</w:t>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物业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p>
        </w:tc>
      </w:tr>
      <w:tr>
        <w:trPr>
          <w:trHeight w:val="944"/>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物业管理的维护保养工作，应保持整个馆区（含泰山庙）房屋建筑的完好和设施设备的正常运行；物业单位应提供全天候的公共秩序维护服务和安全服务，必须保证整个馆区（含泰山庙）的设施、人员和财产的安全；物业单位对整个馆区（含泰山庙）的环境保洁服务，提供整洁、卫生、美观的环境；物业单位对自然灾害、事故灾害、公共卫生事件和社会安全事件等突发公共事件建立应急预案，并组织培训、演练。有突发事件按规定程序及时采取相应措施。</w:t>
            </w:r>
            <w:r/>
          </w:p>
        </w:tc>
      </w:tr>
      <w:tr>
        <w:trPr>
          <w:trHeight w:val="391"/>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（3）项目经理应具备良好的群众工作能力，能够妥善处理观众咨询、投诉及各类矛盾纠纷，具备配合采购人组织志愿服务、协助关爱特殊群体</w:t>
            </w:r>
            <w:r>
              <w:rPr>
                <w:rFonts w:hint="eastAsia" w:ascii="宋体" w:hAnsi="宋体" w:cs="宋体"/>
                <w:color w:val="auto"/>
                <w:sz w:val="24"/>
                <w:szCs w:val="24"/>
                <w:highlight w:val="none"/>
                <w:lang w:eastAsia="zh-CN"/>
              </w:rPr>
              <w:t xml:space="preserve">（如老年人、残疾人）</w:t>
            </w:r>
            <w:r>
              <w:rPr>
                <w:rFonts w:hint="eastAsia" w:ascii="宋体" w:hAnsi="宋体" w:eastAsia="宋体" w:cs="宋体"/>
                <w:color w:val="auto"/>
                <w:sz w:val="24"/>
                <w:szCs w:val="24"/>
                <w:highlight w:val="none"/>
              </w:rPr>
              <w:t xml:space="preserve">等方面的经验，以提升场馆服务温度和社会效益。</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3598" w:type="pct"/>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（4）项目经理应具备消防应急事务的统筹管理能力，熟悉消防设施监控与应急响应流程，定期组织消防检查、隐患整改及应急演练，确保馆区消防安全工作系统化、规范化运行。</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服务人员要求</w:t>
            </w:r>
            <w:r/>
          </w:p>
        </w:tc>
        <w:tc>
          <w:tcPr>
            <w:shd w:val="clear" w:color="auto" w:fill="auto"/>
            <w:tcBorders>
              <w:top w:val="single" w:color="000000" w:sz="8" w:space="0"/>
              <w:left w:val="none" w:color="000000" w:sz="4"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（1）每季度至少开展1次岗位技能、职业素质、安全意识、服务知识、客户文化、绿色节能环保等教育培训，并进行适当形式的考核。</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（2）根据要求对服务人员进行从业资格审查，审查结果向采购人报备。</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shd w:val="clear" w:color="auto" w:fill="auto"/>
            <w:tcBorders>
              <w:top w:val="none" w:color="000000" w:sz="4" w:space="0"/>
              <w:left w:val="single" w:color="000000" w:sz="8" w:space="0"/>
              <w:bottom w:val="single" w:color="auto" w:sz="4"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none" w:color="000000" w:sz="4" w:space="0"/>
              <w:bottom w:val="single" w:color="auto" w:sz="4"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（5）着装分类统一，佩戴标识。仪容整洁、姿态端正、举止文明。用语文明礼貌，态度温和耐心。</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保密和思想政治教育</w:t>
            </w:r>
            <w:r/>
          </w:p>
        </w:tc>
        <w:tc>
          <w:tcPr>
            <w:shd w:val="clear" w:color="auto" w:fill="auto"/>
            <w:tcBorders>
              <w:top w:val="single" w:color="auto" w:sz="4" w:space="0"/>
              <w:left w:val="single" w:color="auto" w:sz="4" w:space="0"/>
              <w:bottom w:val="single" w:color="auto" w:sz="4" w:space="0"/>
              <w:right w:val="single" w:color="auto" w:sz="4" w:space="0"/>
            </w:tcBorders>
            <w:tcW w:w="3598" w:type="pct"/>
            <w:textDirection w:val="lrTb"/>
            <w:noWrap w:val="false"/>
          </w:tcPr>
          <w:p>
            <w:pPr>
              <w:pStyle w:val="1203"/>
              <w:ind w:right="128"/>
              <w:keepLines w:val="0"/>
              <w:keepNext w:val="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（1）建立保密管理制度。制度内容应当包括但不限于：①明确重点要害岗</w:t>
            </w:r>
            <w:r>
              <w:rPr>
                <w:rFonts w:hint="eastAsia" w:ascii="宋体" w:hAnsi="宋体" w:eastAsia="宋体" w:cs="宋体"/>
                <w:color w:val="auto"/>
                <w:sz w:val="24"/>
                <w:szCs w:val="24"/>
                <w:highlight w:val="none"/>
              </w:rPr>
              <w:t xml:space="preserve">位保密职责。②对涉密工作岗位的保密要求。③对服务过程中形成的各类信息（包括纸质文件、电子数据、影像资料等）的收集、存储、使用、传递和销毁等环节进行规范管理，确保信息安全。</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shd w:val="clear" w:color="auto" w:fill="auto"/>
            <w:tcBorders>
              <w:top w:val="single" w:color="auto" w:sz="4" w:space="0"/>
              <w:left w:val="single" w:color="auto" w:sz="4" w:space="0"/>
              <w:bottom w:val="single" w:color="auto" w:sz="4" w:space="0"/>
              <w:right w:val="single" w:color="auto" w:sz="4"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（3）发现服务人员违法违规或重大过失，应及时报告采购人，并采取必要补救措施。</w:t>
            </w:r>
            <w:r/>
          </w:p>
        </w:tc>
      </w:tr>
      <w:tr>
        <w:trPr>
          <w:trHeight w:val="770"/>
        </w:trPr>
        <w:tc>
          <w:tcPr>
            <w:shd w:val="clear" w:color="auto" w:fill="auto"/>
            <w:tcBorders>
              <w:top w:val="single" w:color="auto" w:sz="4" w:space="0"/>
              <w:left w:val="single" w:color="auto" w:sz="4" w:space="0"/>
              <w:bottom w:val="single" w:color="auto" w:sz="4" w:space="0"/>
              <w:right w:val="single" w:color="auto" w:sz="4"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投标人应对提供物业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shd w:val="clear" w:color="auto" w:fill="auto"/>
            <w:tcBorders>
              <w:top w:val="single" w:color="auto" w:sz="4" w:space="0"/>
              <w:left w:val="single" w:color="000000" w:sz="8" w:space="0"/>
              <w:bottom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auto" w:sz="4" w:space="0"/>
              <w:left w:val="single" w:color="000000" w:sz="8" w:space="0"/>
              <w:bottom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档案管理</w:t>
            </w:r>
            <w:r/>
          </w:p>
        </w:tc>
        <w:tc>
          <w:tcPr>
            <w:shd w:val="clear" w:color="auto" w:fill="auto"/>
            <w:tcBorders>
              <w:top w:val="single" w:color="auto" w:sz="4"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bidi="ar"/>
              </w:rPr>
              <w:t xml:space="preserve">（1）建立物业信息，准确、及时地对文件资料和服务记录进行归档保存，并确保其物</w:t>
            </w:r>
            <w:r>
              <w:rPr>
                <w:rFonts w:hint="eastAsia" w:ascii="宋体" w:hAnsi="宋体" w:eastAsia="宋体" w:cs="宋体"/>
                <w:color w:val="auto"/>
                <w:sz w:val="24"/>
                <w:szCs w:val="24"/>
                <w:highlight w:val="none"/>
                <w:lang w:bidi="ar"/>
              </w:rPr>
              <w:t xml:space="preserve">理安全。</w:t>
            </w:r>
            <w:r/>
          </w:p>
        </w:tc>
      </w:tr>
      <w:tr>
        <w:trPr>
          <w:trHeight w:val="86"/>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pacing w:val="1"/>
                <w:sz w:val="24"/>
                <w:szCs w:val="24"/>
                <w:highlight w:val="none"/>
                <w:lang w:bidi="ar"/>
              </w:rPr>
              <w:t xml:space="preserve">档案、资料管理</w:t>
            </w:r>
            <w:r/>
          </w:p>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加强有关物业的档案和资料管理。档案和资料的管理包括（不仅限于）：业主投诉和意见档案、安全管理记录档案、清洁卫生管理档案、环境绿化管理档案、物业人事管理及人员培训档案等，以及具体的管理方案。物业管理企业所有档案要求做到保存完整，管理完善，交接手续完备，检索方便准确。对纸质档案和电子档案均应采取必要的安全措施，如专人保管、查阅审批、加密备份等，防止档案信息丢失、泄露或篡改。</w:t>
            </w:r>
            <w:r/>
          </w:p>
        </w:tc>
      </w:tr>
      <w:tr>
        <w:trPr>
          <w:trHeight w:val="86"/>
        </w:trPr>
        <w:tc>
          <w:tcPr>
            <w:shd w:val="clear" w:color="auto" w:fill="auto"/>
            <w:tcBorders>
              <w:top w:val="none" w:color="000000" w:sz="4" w:space="0"/>
              <w:left w:val="single" w:color="000000" w:sz="8" w:space="0"/>
              <w:bottom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（3）遵守采购人的信息、档案资料保密要求，未经许可，不得将建筑物平面图等资料转作其他用途或向其他单位、个人提供。</w:t>
            </w:r>
            <w:r/>
          </w:p>
        </w:tc>
      </w:tr>
      <w:tr>
        <w:trPr>
          <w:trHeight w:val="86"/>
        </w:trPr>
        <w:tc>
          <w:tcPr>
            <w:shd w:val="clear" w:color="auto" w:fill="auto"/>
            <w:tcBorders>
              <w:top w:val="none" w:color="000000" w:sz="4" w:space="0"/>
              <w:left w:val="single" w:color="000000" w:sz="8" w:space="0"/>
              <w:bottom w:val="single" w:color="auto" w:sz="4"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8" w:space="0"/>
              <w:bottom w:val="single" w:color="auto" w:sz="4"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auto" w:sz="4" w:space="0"/>
              <w:right w:val="single" w:color="000000" w:sz="8" w:space="0"/>
            </w:tcBorders>
            <w:tcW w:w="3598" w:type="pct"/>
            <w:vAlign w:val="center"/>
            <w:textDirection w:val="lrTb"/>
            <w:noWrap w:val="false"/>
          </w:tcPr>
          <w:p>
            <w:pPr>
              <w:jc w:val="left"/>
              <w:keepLines w:val="0"/>
              <w:keepNext w:val="0"/>
              <w:pageBreakBefore w:val="0"/>
              <w:spacing w:after="0"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（4）履约结束后，相关资料交还采购人，采购人按政府采购相关规定存档。</w:t>
            </w:r>
            <w:r/>
          </w:p>
        </w:tc>
      </w:tr>
      <w:tr>
        <w:trPr>
          <w:trHeight w:val="86"/>
        </w:trPr>
        <w:tc>
          <w:tcPr>
            <w:shd w:val="clear" w:color="auto" w:fill="auto"/>
            <w:tcBorders>
              <w:top w:val="single" w:color="auto" w:sz="4" w:space="0"/>
              <w:left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auto" w:sz="4" w:space="0"/>
              <w:left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服务改进</w:t>
            </w:r>
            <w:r/>
          </w:p>
        </w:tc>
        <w:tc>
          <w:tcPr>
            <w:shd w:val="clear" w:color="auto" w:fill="auto"/>
            <w:tcBorders>
              <w:top w:val="single" w:color="auto" w:sz="4"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（1）明确责任人，定期对物业服务过程进行自查，结合反馈意见与评价结果采取改进措施，持续提升管理与服务水平。</w:t>
            </w:r>
            <w:r/>
          </w:p>
        </w:tc>
      </w:tr>
      <w:tr>
        <w:trPr>
          <w:trHeight w:val="698"/>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（2）对不合格服务进行控制，对不合格服务的原因进行识别和分析，及时采取纠正措施，消除不合格的原因，防止不合格再发生。</w:t>
            </w:r>
            <w:r/>
          </w:p>
        </w:tc>
      </w:tr>
      <w:tr>
        <w:trPr>
          <w:trHeight w:val="454"/>
        </w:trPr>
        <w:tc>
          <w:tcPr>
            <w:shd w:val="clear" w:color="auto" w:fill="auto"/>
            <w:tcBorders>
              <w:left w:val="single" w:color="000000" w:sz="8" w:space="0"/>
              <w:bottom w:val="single" w:color="auto" w:sz="4"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auto" w:sz="4"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（3）需整改问题及时整改完成。</w:t>
            </w:r>
            <w:r/>
          </w:p>
        </w:tc>
      </w:tr>
      <w:tr>
        <w:trPr>
          <w:trHeight w:val="454"/>
        </w:trPr>
        <w:tc>
          <w:tcPr>
            <w:shd w:val="clear" w:color="auto" w:fill="auto"/>
            <w:tcBorders>
              <w:top w:val="single" w:color="auto" w:sz="4" w:space="0"/>
              <w:left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auto" w:sz="4" w:space="0"/>
              <w:left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重大活动后勤保障</w:t>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（1）制订流程。配合采购人制订重大活动后勤保障工作流程，需对任务进行详细了解，并根据工作安排制定详细的后勤保障计划。</w:t>
            </w:r>
            <w:r/>
          </w:p>
        </w:tc>
      </w:tr>
      <w:tr>
        <w:trPr>
          <w:trHeight w:val="363"/>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49"/>
        </w:trPr>
        <w:tc>
          <w:tcPr>
            <w:shd w:val="clear" w:color="auto" w:fill="auto"/>
            <w:tcBorders>
              <w:left w:val="single" w:color="000000" w:sz="8" w:space="0"/>
              <w:bottom w:val="single" w:color="auto" w:sz="4"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auto" w:sz="4"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（3）收尾工作。对现场进行检查，及时做好收拾清理工作。</w:t>
            </w:r>
            <w:r/>
          </w:p>
        </w:tc>
      </w:tr>
      <w:tr>
        <w:trPr>
          <w:trHeight w:val="1349"/>
        </w:trPr>
        <w:tc>
          <w:tcPr>
            <w:shd w:val="clear" w:color="auto" w:fill="auto"/>
            <w:tcBorders>
              <w:top w:val="single" w:color="auto" w:sz="4" w:space="0"/>
              <w:left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auto" w:sz="4" w:space="0"/>
              <w:left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应急保障预案</w:t>
            </w:r>
            <w:r/>
          </w:p>
        </w:tc>
        <w:tc>
          <w:tcPr>
            <w:shd w:val="clear" w:color="auto" w:fill="auto"/>
            <w:tcBorders>
              <w:top w:val="single" w:color="000000" w:sz="8" w:space="0"/>
              <w:left w:val="single" w:color="000000" w:sz="8" w:space="0"/>
              <w:bottom w:val="single" w:color="auto" w:sz="4" w:space="0"/>
              <w:right w:val="single" w:color="000000" w:sz="8" w:space="0"/>
            </w:tcBorders>
            <w:tcW w:w="3598" w:type="pct"/>
            <w:vAlign w:val="center"/>
            <w:textDirection w:val="lrTb"/>
            <w:noWrap w:val="false"/>
          </w:tcPr>
          <w:p>
            <w:pPr>
              <w:jc w:val="left"/>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331"/>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auto" w:sz="4" w:space="0"/>
              <w:left w:val="single" w:color="000000" w:sz="8" w:space="0"/>
              <w:bottom w:val="single" w:color="auto" w:sz="4" w:space="0"/>
              <w:right w:val="single" w:color="000000" w:sz="8" w:space="0"/>
            </w:tcBorders>
            <w:tcW w:w="3598" w:type="pct"/>
            <w:vAlign w:val="center"/>
            <w:textDirection w:val="lrTb"/>
            <w:noWrap w:val="false"/>
          </w:tcPr>
          <w:p>
            <w:pPr>
              <w:jc w:val="left"/>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p>
        </w:tc>
      </w:tr>
      <w:tr>
        <w:trPr>
          <w:trHeight w:val="692"/>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auto" w:sz="4" w:space="0"/>
              <w:left w:val="single" w:color="000000" w:sz="8" w:space="0"/>
              <w:bottom w:val="single" w:color="auto" w:sz="4" w:space="0"/>
              <w:right w:val="single" w:color="000000" w:sz="8" w:space="0"/>
            </w:tcBorders>
            <w:tcW w:w="3598" w:type="pct"/>
            <w:vAlign w:val="center"/>
            <w:textDirection w:val="lrTb"/>
            <w:noWrap w:val="false"/>
          </w:tcPr>
          <w:p>
            <w:pPr>
              <w:jc w:val="left"/>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（3）应急预案的培训和演练。应急预案定期培训和演练，组织相关岗位每季度至少开展一次专项应急预案演练。</w:t>
            </w:r>
            <w:r/>
          </w:p>
        </w:tc>
      </w:tr>
      <w:tr>
        <w:trPr>
          <w:trHeight w:val="1019"/>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auto" w:sz="4"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659"/>
        </w:trPr>
        <w:tc>
          <w:tcPr>
            <w:shd w:val="clear" w:color="auto" w:fill="auto"/>
            <w:tcBorders>
              <w:left w:val="single" w:color="000000" w:sz="8" w:space="0"/>
              <w:bottom w:val="single" w:color="auto" w:sz="4"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bottom w:val="single" w:color="auto" w:sz="4"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auto" w:sz="4"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（5）应配备具备现场应急</w:t>
            </w:r>
            <w:r>
              <w:rPr>
                <w:rFonts w:hint="eastAsia" w:ascii="宋体" w:hAnsi="宋体" w:cs="宋体"/>
                <w:color w:val="auto"/>
                <w:sz w:val="24"/>
                <w:szCs w:val="24"/>
                <w:highlight w:val="none"/>
                <w:lang w:eastAsia="zh-CN" w:bidi="ar"/>
              </w:rPr>
              <w:t xml:space="preserve">救援</w:t>
            </w:r>
            <w:r>
              <w:rPr>
                <w:rFonts w:hint="eastAsia" w:ascii="宋体" w:hAnsi="宋体" w:eastAsia="宋体" w:cs="宋体"/>
                <w:color w:val="auto"/>
                <w:sz w:val="24"/>
                <w:szCs w:val="24"/>
                <w:highlight w:val="none"/>
                <w:lang w:bidi="ar"/>
              </w:rPr>
              <w:t xml:space="preserve">能力的人员，确保在突发事件中能够迅速开展先期救助，最大限度保障人员生命安全。</w:t>
            </w:r>
            <w:r/>
          </w:p>
        </w:tc>
      </w:tr>
      <w:tr>
        <w:trPr>
          <w:trHeight w:val="454"/>
        </w:trPr>
        <w:tc>
          <w:tcPr>
            <w:shd w:val="clear" w:color="auto" w:fill="auto"/>
            <w:tcBorders>
              <w:top w:val="single" w:color="auto" w:sz="4" w:space="0"/>
              <w:left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auto" w:sz="4" w:space="0"/>
              <w:left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lang w:bidi="ar"/>
              </w:rPr>
              <w:t xml:space="preserve">服务方案及工作制度</w:t>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jc w:val="left"/>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制定工作制度，主要包括：人员录用制度、档案管理制度、物业服务管理制度、物业管理员工行为规范、项目经理岗位职责、保安工作职责、保洁工作职责、报刊收发、邮寄人员工作职责、会务服务工作职责、考核奖惩制度、安全保卫制度、设备巡查制度等相关管理制度。</w:t>
            </w:r>
            <w:r/>
          </w:p>
        </w:tc>
      </w:tr>
      <w:tr>
        <w:trPr>
          <w:trHeight w:val="454"/>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（2）制定项目实施方案，主要包括：交接方案、人员培训方案、人员稳定性方案等。</w:t>
            </w:r>
            <w:r/>
          </w:p>
        </w:tc>
      </w:tr>
      <w:tr>
        <w:trPr>
          <w:trHeight w:val="454"/>
        </w:trPr>
        <w:tc>
          <w:tcPr>
            <w:shd w:val="clear" w:color="auto" w:fill="auto"/>
            <w:tcBorders>
              <w:left w:val="single" w:color="000000" w:sz="8" w:space="0"/>
              <w:right w:val="single" w:color="000000" w:sz="8" w:space="0"/>
            </w:tcBorders>
            <w:tcW w:w="479"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（3）制定物业服务方案，主要包括：保洁服务方案、保安服务方案、配电房值班服务方案等。</w:t>
            </w:r>
            <w:r/>
          </w:p>
        </w:tc>
      </w:tr>
      <w:tr>
        <w:trPr>
          <w:trHeight w:val="454"/>
        </w:trPr>
        <w:tc>
          <w:tcPr>
            <w:shd w:val="clear" w:color="auto" w:fill="auto"/>
            <w:tcBorders>
              <w:top w:val="single" w:color="auto" w:sz="4" w:space="0"/>
              <w:left w:val="single" w:color="000000" w:sz="8" w:space="0"/>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auto" w:sz="4" w:space="0"/>
              <w:left w:val="single" w:color="000000" w:sz="8" w:space="0"/>
              <w:right w:val="single" w:color="000000" w:sz="8" w:space="0"/>
            </w:tcBorders>
            <w:tcW w:w="922"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服务热线</w:t>
            </w:r>
            <w:r/>
          </w:p>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及紧急维修</w:t>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（1）设置24小时报修服务热线。</w:t>
            </w:r>
            <w:r/>
          </w:p>
        </w:tc>
      </w:tr>
      <w:tr>
        <w:trPr>
          <w:trHeight w:val="454"/>
        </w:trPr>
        <w:tc>
          <w:tcPr>
            <w:shd w:val="clear" w:color="auto" w:fill="auto"/>
            <w:tcBorders>
              <w:left w:val="single" w:color="000000" w:sz="8" w:space="0"/>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right w:val="single" w:color="000000" w:sz="8" w:space="0"/>
            </w:tcBorders>
            <w:tcW w:w="922"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598"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（2）紧急维修应当15分钟内到达现场，不间断维修直至修复。</w:t>
            </w:r>
            <w:r/>
          </w:p>
        </w:tc>
      </w:tr>
    </w:tbl>
    <w:p>
      <w:pPr>
        <w:spacing w:after="0"/>
        <w:shd w:val="clear" w:color="auto"/>
        <w:rPr>
          <w:rFonts w:hint="eastAsia" w:ascii="宋体" w:hAnsi="宋体" w:eastAsia="宋体" w:cs="宋体"/>
          <w:b/>
          <w:color w:val="auto"/>
          <w:sz w:val="24"/>
          <w:highlight w:val="white"/>
          <w:lang w:bidi="ar"/>
        </w:rPr>
      </w:pPr>
      <w:r>
        <w:rPr>
          <w:rFonts w:hint="eastAsia" w:ascii="宋体" w:hAnsi="宋体" w:eastAsia="宋体" w:cs="宋体"/>
          <w:b/>
          <w:color w:val="auto"/>
          <w:sz w:val="24"/>
          <w:highlight w:val="white"/>
          <w:lang w:bidi="ar"/>
        </w:rPr>
      </w:r>
      <w:r/>
    </w:p>
    <w:p>
      <w:pPr>
        <w:ind w:firstLine="482"/>
        <w:spacing w:after="0"/>
        <w:shd w:val="clear" w:color="auto"/>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ar"/>
        </w:rPr>
        <w:t xml:space="preserve">3.2房屋维护服务</w:t>
      </w:r>
      <w:r/>
    </w:p>
    <w:tbl>
      <w:tblPr>
        <w:tblStyle w:val="82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7"/>
        <w:gridCol w:w="6403"/>
      </w:tblGrid>
      <w:tr>
        <w:trPr>
          <w:trHeight w:val="585"/>
        </w:trPr>
        <w:tc>
          <w:tcPr>
            <w:shd w:val="clear" w:color="auto" w:fill="auto"/>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617"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服务标准</w:t>
            </w:r>
            <w:r/>
          </w:p>
        </w:tc>
      </w:tr>
      <w:tr>
        <w:trPr>
          <w:trHeight w:val="665"/>
        </w:trPr>
        <w:tc>
          <w:tcPr>
            <w:shd w:val="clear" w:color="auto" w:fill="auto"/>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w:t>
            </w:r>
            <w:r/>
          </w:p>
        </w:tc>
        <w:tc>
          <w:tcPr>
            <w:shd w:val="clear" w:color="auto" w:fill="auto"/>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lang w:bidi="ar"/>
              </w:rPr>
              <w:t xml:space="preserve">主体结构、围护结构、部品部件</w:t>
            </w:r>
            <w:r/>
          </w:p>
        </w:tc>
        <w:tc>
          <w:tcPr>
            <w:shd w:val="clear" w:color="auto" w:fill="auto"/>
            <w:tcBorders>
              <w:top w:val="single" w:color="000000" w:sz="8" w:space="0"/>
              <w:left w:val="single" w:color="000000" w:sz="8" w:space="0"/>
              <w:bottom w:val="single" w:color="auto" w:sz="4" w:space="0"/>
              <w:right w:val="single" w:color="000000" w:sz="8" w:space="0"/>
            </w:tcBorders>
            <w:tcW w:w="3617"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bidi="ar"/>
              </w:rPr>
              <w:t xml:space="preserve">每季度至少开展1次房屋结构安全巡视，发现外观有变形、开裂等现象，及时向采购人报告，并按照采购人采取必要的避险和防护措施。</w:t>
            </w:r>
            <w:r/>
          </w:p>
        </w:tc>
      </w:tr>
      <w:tr>
        <w:trPr>
          <w:trHeight w:val="1080"/>
        </w:trPr>
        <w:tc>
          <w:tcPr>
            <w:shd w:val="clear" w:color="auto" w:fill="auto"/>
            <w:tcBorders>
              <w:top w:val="single" w:color="000000" w:sz="8" w:space="0"/>
              <w:left w:val="single" w:color="000000" w:sz="8" w:space="0"/>
              <w:right w:val="single" w:color="000000" w:sz="8" w:space="0"/>
            </w:tcBorders>
            <w:tcW w:w="458"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top w:val="single" w:color="000000" w:sz="8" w:space="0"/>
              <w:left w:val="single" w:color="000000" w:sz="8" w:space="0"/>
              <w:right w:val="single" w:color="000000" w:sz="8" w:space="0"/>
            </w:tcBorders>
            <w:tcW w:w="925" w:type="pct"/>
            <w:vAlign w:val="center"/>
            <w:vMerge w:val="continue"/>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auto" w:sz="4" w:space="0"/>
              <w:left w:val="single" w:color="000000" w:sz="8" w:space="0"/>
              <w:right w:val="single" w:color="000000" w:sz="8" w:space="0"/>
            </w:tcBorders>
            <w:tcW w:w="3617"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bidi="ar"/>
              </w:rPr>
              <w:t xml:space="preserve">每季度至少开展1次外墙贴饰面、雨篷、散水、空调室外机支撑构件等检查，发现破损，及时向采购人报告，并按照采购人要求采取必</w:t>
            </w:r>
            <w:r/>
          </w:p>
          <w:p>
            <w:p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要的避险和防护措施。</w:t>
            </w:r>
            <w:r/>
          </w:p>
        </w:tc>
      </w:tr>
      <w:tr>
        <w:trPr>
          <w:trHeight w:val="600"/>
        </w:trPr>
        <w:tc>
          <w:tcPr>
            <w:shd w:val="clear" w:color="auto" w:fill="auto"/>
            <w:tcBorders>
              <w:left w:val="single" w:color="000000" w:sz="8" w:space="0"/>
              <w:right w:val="single" w:color="000000" w:sz="8" w:space="0"/>
            </w:tcBorders>
            <w:tcW w:w="458"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25" w:type="pct"/>
            <w:vAlign w:val="center"/>
            <w:vMerge w:val="continue"/>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auto" w:sz="4" w:space="0"/>
              <w:left w:val="single" w:color="000000" w:sz="8" w:space="0"/>
              <w:bottom w:val="single" w:color="auto" w:sz="4" w:space="0"/>
              <w:right w:val="single" w:color="000000" w:sz="8" w:space="0"/>
            </w:tcBorders>
            <w:tcW w:w="3617" w:type="pct"/>
            <w:vAlign w:val="center"/>
            <w:textDirection w:val="lrTb"/>
            <w:noWrap w:val="false"/>
          </w:tcPr>
          <w:p>
            <w:pPr>
              <w:jc w:val="left"/>
              <w:keepLines w:val="0"/>
              <w:keepNext w:val="0"/>
              <w:pageBreakBefore w:val="0"/>
              <w:spacing w:after="0" w:line="400" w:lineRule="exact"/>
              <w:shd w:val="clear" w:color="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bidi="ar"/>
              </w:rPr>
              <w:t xml:space="preserve">每半月至少开展1次公用部位的门、窗、楼梯、通风道、室内地面、墙面、吊顶和室外屋面等巡查，发现破损，及时向采购人报告。   </w:t>
            </w:r>
            <w:r/>
          </w:p>
        </w:tc>
      </w:tr>
      <w:tr>
        <w:trPr>
          <w:trHeight w:val="568"/>
        </w:trPr>
        <w:tc>
          <w:tcPr>
            <w:shd w:val="clear" w:color="auto" w:fill="auto"/>
            <w:tcBorders>
              <w:left w:val="single" w:color="000000" w:sz="8" w:space="0"/>
              <w:right w:val="single" w:color="000000" w:sz="8" w:space="0"/>
            </w:tcBorders>
            <w:tcW w:w="458"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25" w:type="pct"/>
            <w:vAlign w:val="center"/>
            <w:vMerge w:val="continue"/>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auto" w:sz="4" w:space="0"/>
              <w:left w:val="single" w:color="000000" w:sz="8" w:space="0"/>
              <w:bottom w:val="single" w:color="auto" w:sz="4" w:space="0"/>
              <w:right w:val="single" w:color="000000" w:sz="8" w:space="0"/>
            </w:tcBorders>
            <w:tcW w:w="3617"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（4）每年强降雨天气前后、雨雪季节检查屋面防水和雨落管等，发现破损，及时向采购人报告，</w:t>
            </w:r>
            <w:r/>
          </w:p>
        </w:tc>
      </w:tr>
      <w:tr>
        <w:trPr>
          <w:trHeight w:val="1032"/>
        </w:trPr>
        <w:tc>
          <w:tcPr>
            <w:shd w:val="clear" w:color="auto" w:fill="auto"/>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w:t>
            </w:r>
            <w:r/>
          </w:p>
        </w:tc>
        <w:tc>
          <w:tcPr>
            <w:shd w:val="clear" w:color="auto" w:fill="auto"/>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其他设施</w:t>
            </w:r>
            <w:r/>
          </w:p>
        </w:tc>
        <w:tc>
          <w:tcPr>
            <w:shd w:val="clear" w:color="auto" w:fill="auto"/>
            <w:tcBorders>
              <w:top w:val="single" w:color="000000" w:sz="8" w:space="0"/>
              <w:left w:val="single" w:color="000000" w:sz="8" w:space="0"/>
              <w:right w:val="single" w:color="000000" w:sz="8" w:space="0"/>
            </w:tcBorders>
            <w:tcW w:w="3617" w:type="pct"/>
            <w:vAlign w:val="center"/>
            <w:textDirection w:val="lrTb"/>
            <w:noWrap w:val="false"/>
          </w:tcPr>
          <w:p>
            <w:pPr>
              <w:jc w:val="left"/>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（1）每半月至少开展 1 次大门、围墙、道路、场地、管井、沟渠等巡查，每半月至少检查 1 次雨污水管井、化粪池等巡查，发现破损，及时向采购人报告。</w:t>
            </w:r>
            <w:r/>
          </w:p>
        </w:tc>
      </w:tr>
      <w:tr>
        <w:trPr>
          <w:trHeight w:val="391"/>
        </w:trPr>
        <w:tc>
          <w:tcPr>
            <w:shd w:val="clear" w:color="auto" w:fill="auto"/>
            <w:tcBorders>
              <w:left w:val="single" w:color="000000" w:sz="8" w:space="0"/>
              <w:right w:val="single" w:color="000000" w:sz="8" w:space="0"/>
            </w:tcBorders>
            <w:tcW w:w="458" w:type="pct"/>
            <w:vAlign w:val="center"/>
            <w:vMerge w:val="continue"/>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left w:val="single" w:color="000000" w:sz="8" w:space="0"/>
              <w:right w:val="single" w:color="000000" w:sz="8" w:space="0"/>
            </w:tcBorders>
            <w:tcW w:w="925" w:type="pct"/>
            <w:vAlign w:val="center"/>
            <w:vMerge w:val="continue"/>
            <w:textDirection w:val="lrTb"/>
            <w:noWrap w:val="false"/>
          </w:tcPr>
          <w:p>
            <w:pPr>
              <w:jc w:val="center"/>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top w:val="single" w:color="000000" w:sz="8" w:space="0"/>
              <w:left w:val="single" w:color="000000" w:sz="8" w:space="0"/>
              <w:bottom w:val="single" w:color="000000" w:sz="8" w:space="0"/>
              <w:right w:val="single" w:color="000000" w:sz="8" w:space="0"/>
            </w:tcBorders>
            <w:tcW w:w="3617" w:type="pct"/>
            <w:vAlign w:val="center"/>
            <w:textDirection w:val="lrTb"/>
            <w:noWrap w:val="false"/>
          </w:tcPr>
          <w:p>
            <w:pPr>
              <w:jc w:val="left"/>
              <w:keepLines w:val="0"/>
              <w:keepNext w:val="0"/>
              <w:pageBreakBefore w:val="0"/>
              <w:spacing w:after="0" w:line="400" w:lineRule="exact"/>
              <w:shd w:val="clear" w:color="auto"/>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（2）路面状态良好，地漏通畅不堵塞。</w:t>
            </w:r>
            <w:r/>
          </w:p>
        </w:tc>
      </w:tr>
      <w:tr>
        <w:trPr>
          <w:trHeight w:val="1372"/>
        </w:trPr>
        <w:tc>
          <w:tcPr>
            <w:shd w:val="clear" w:color="auto" w:fill="auto"/>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3</w:t>
            </w:r>
            <w:r/>
          </w:p>
        </w:tc>
        <w:tc>
          <w:tcPr>
            <w:shd w:val="clear" w:color="auto" w:fill="auto"/>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标识标牌</w:t>
            </w:r>
            <w:r/>
          </w:p>
        </w:tc>
        <w:tc>
          <w:tcPr>
            <w:shd w:val="clear" w:color="auto" w:fill="auto"/>
            <w:tcBorders>
              <w:top w:val="single" w:color="000000" w:sz="8" w:space="0"/>
              <w:left w:val="single" w:color="000000" w:sz="8" w:space="0"/>
              <w:bottom w:val="single" w:color="auto" w:sz="4" w:space="0"/>
              <w:right w:val="single" w:color="000000" w:sz="8" w:space="0"/>
            </w:tcBorders>
            <w:tcW w:w="3617" w:type="pct"/>
            <w:vAlign w:val="center"/>
            <w:textDirection w:val="lrTb"/>
            <w:noWrap w:val="false"/>
          </w:tcPr>
          <w:p>
            <w:pPr>
              <w:numPr>
                <w:ilvl w:val="0"/>
                <w:numId w:val="1"/>
              </w:num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标识标牌符合《公共信息图形符号 第 1 部分：通用符号》（GB/T 10001.1）的相关要求，消防与安全标识符合《安全标志及其使用导则》（GB2894）、《消防安全标志 第 1 部分：标志》（GB13495.1）的相关要求。</w:t>
            </w:r>
            <w:r/>
          </w:p>
        </w:tc>
      </w:tr>
      <w:tr>
        <w:trPr>
          <w:trHeight w:val="666"/>
        </w:trPr>
        <w:tc>
          <w:tcPr>
            <w:shd w:val="clear" w:color="auto" w:fill="auto"/>
            <w:tcBorders>
              <w:left w:val="single" w:color="000000" w:sz="8" w:space="0"/>
              <w:right w:val="single" w:color="000000" w:sz="8" w:space="0"/>
            </w:tcBorders>
            <w:tcW w:w="458"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25" w:type="pct"/>
            <w:vAlign w:val="center"/>
            <w:vMerge w:val="continue"/>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top w:val="single" w:color="auto" w:sz="4" w:space="0"/>
              <w:left w:val="single" w:color="000000" w:sz="8" w:space="0"/>
              <w:bottom w:val="single" w:color="auto" w:sz="4" w:space="0"/>
              <w:right w:val="single" w:color="000000" w:sz="8" w:space="0"/>
            </w:tcBorders>
            <w:tcW w:w="3617"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（2）每月至少检查 1 次标识标牌和消防与安全标识。应当规范清晰、路线指引正确、安装稳固。</w:t>
            </w:r>
            <w:r/>
          </w:p>
        </w:tc>
      </w:tr>
      <w:tr>
        <w:trPr>
          <w:trHeight w:val="666"/>
        </w:trPr>
        <w:tc>
          <w:tcPr>
            <w:shd w:val="clear" w:color="auto" w:fill="auto"/>
            <w:tcBorders>
              <w:left w:val="single" w:color="000000" w:sz="8" w:space="0"/>
              <w:bottom w:val="single" w:color="000000" w:sz="8" w:space="0"/>
              <w:right w:val="single" w:color="000000" w:sz="8" w:space="0"/>
            </w:tcBorders>
            <w:tcW w:w="458"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4</w:t>
            </w:r>
            <w:r/>
          </w:p>
        </w:tc>
        <w:tc>
          <w:tcPr>
            <w:shd w:val="clear" w:color="auto" w:fill="auto"/>
            <w:tcBorders>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工程项目监督管理</w:t>
            </w:r>
            <w:r/>
          </w:p>
        </w:tc>
        <w:tc>
          <w:tcPr>
            <w:shd w:val="clear" w:color="auto" w:fill="auto"/>
            <w:tcBorders>
              <w:top w:val="single" w:color="auto" w:sz="4" w:space="0"/>
              <w:left w:val="single" w:color="000000" w:sz="8" w:space="0"/>
              <w:bottom w:val="single" w:color="000000" w:sz="8" w:space="0"/>
              <w:right w:val="single" w:color="000000" w:sz="8" w:space="0"/>
            </w:tcBorders>
            <w:tcW w:w="3617" w:type="pct"/>
            <w:vAlign w:val="center"/>
            <w:textDirection w:val="lrTb"/>
            <w:noWrap w:val="false"/>
          </w:tcPr>
          <w:p>
            <w:pPr>
              <w:keepLines w:val="0"/>
              <w:keepNext w:val="0"/>
              <w:pageBreakBefore w:val="0"/>
              <w:spacing w:after="0" w:line="400" w:lineRule="exact"/>
              <w:shd w:val="clear" w:color="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（1）工程项目施工前，供应商应当与采购人或采购人委托的施工企业签订施工管理服务协议，告知施工须知，并对施工过程进行管理服务。 </w:t>
            </w:r>
            <w:r/>
          </w:p>
          <w:p>
            <w:pPr>
              <w:numPr>
                <w:ilvl w:val="0"/>
                <w:numId w:val="1"/>
              </w:numPr>
              <w:keepLines w:val="0"/>
              <w:keepNext w:val="0"/>
              <w:pageBreakBefore w:val="0"/>
              <w:spacing w:after="0" w:line="400" w:lineRule="exact"/>
              <w:shd w:val="clear" w:color="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根据协议内容，督促施工单位做好装修垃圾临时堆放、清运等。</w:t>
            </w:r>
            <w:r/>
          </w:p>
          <w:p>
            <w:pPr>
              <w:numPr>
                <w:ilvl w:val="0"/>
                <w:numId w:val="1"/>
              </w:numPr>
              <w:keepLines w:val="0"/>
              <w:keepNext w:val="0"/>
              <w:pageBreakBefore w:val="0"/>
              <w:spacing w:after="0" w:line="400" w:lineRule="exact"/>
              <w:shd w:val="clear" w:color="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受采购人委托对工程施工进行严格的监督管理，发现问题及时上报，确保不因装修而危及建筑结构安全、人身安全和影响正常办公秩序。</w:t>
            </w:r>
            <w:r/>
          </w:p>
          <w:p>
            <w:pPr>
              <w:keepLines w:val="0"/>
              <w:keepNext w:val="0"/>
              <w:pageBreakBefore w:val="0"/>
              <w:spacing w:after="0" w:line="400" w:lineRule="exact"/>
              <w:shd w:val="clear" w:color="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（4）工程施工结束后，督查施工单位对施工现场进行恢复、保洁等工作，发现问题及时上报。</w:t>
            </w:r>
            <w:r/>
          </w:p>
        </w:tc>
      </w:tr>
    </w:tbl>
    <w:p>
      <w:pPr>
        <w:spacing w:after="0"/>
        <w:shd w:val="clear" w:color="auto"/>
        <w:rPr>
          <w:rFonts w:hint="eastAsia" w:ascii="宋体" w:hAnsi="宋体" w:eastAsia="宋体" w:cs="宋体"/>
          <w:b/>
          <w:color w:val="auto"/>
          <w:sz w:val="24"/>
          <w:highlight w:val="white"/>
        </w:rPr>
      </w:pPr>
      <w:r>
        <w:rPr>
          <w:rFonts w:hint="eastAsia" w:ascii="宋体" w:hAnsi="宋体" w:eastAsia="宋体" w:cs="宋体"/>
          <w:b/>
          <w:color w:val="auto"/>
          <w:sz w:val="24"/>
          <w:highlight w:val="white"/>
          <w:lang w:bidi="ar"/>
        </w:rPr>
        <w:t xml:space="preserve"> </w:t>
      </w:r>
      <w:r/>
    </w:p>
    <w:p>
      <w:pPr>
        <w:ind w:firstLine="482"/>
        <w:spacing w:after="0"/>
        <w:shd w:val="clear" w:color="auto"/>
        <w:rPr>
          <w:rFonts w:hint="eastAsia" w:ascii="宋体" w:hAnsi="宋体" w:eastAsia="宋体" w:cs="宋体"/>
          <w:color w:val="auto"/>
          <w:szCs w:val="21"/>
          <w:highlight w:val="white"/>
        </w:rPr>
      </w:pPr>
      <w:r>
        <w:rPr>
          <w:rFonts w:hint="eastAsia" w:ascii="宋体" w:hAnsi="宋体" w:eastAsia="宋体" w:cs="宋体"/>
          <w:b/>
          <w:color w:val="auto"/>
          <w:sz w:val="24"/>
          <w:highlight w:val="white"/>
          <w:lang w:bidi="ar"/>
        </w:rPr>
        <w:t xml:space="preserve">3.3公用设施设备维护服务</w:t>
      </w:r>
      <w:r/>
    </w:p>
    <w:tbl>
      <w:tblPr>
        <w:tblStyle w:val="82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638"/>
        <w:gridCol w:w="6404"/>
      </w:tblGrid>
      <w:tr>
        <w:trPr>
          <w:trHeight w:val="640"/>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b/>
                <w:bCs/>
                <w:color w:val="auto"/>
                <w:sz w:val="24"/>
                <w:szCs w:val="24"/>
                <w:highlight w:val="white"/>
                <w:lang w:bidi="ar"/>
              </w:rPr>
            </w:pPr>
            <w:r>
              <w:rPr>
                <w:rFonts w:hint="eastAsia" w:ascii="宋体" w:hAnsi="宋体" w:eastAsia="宋体" w:cs="宋体"/>
                <w:b/>
                <w:bCs/>
                <w:color w:val="auto"/>
                <w:sz w:val="24"/>
                <w:szCs w:val="24"/>
                <w:highlight w:val="white"/>
                <w:lang w:bidi="ar"/>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b/>
                <w:bCs/>
                <w:color w:val="auto"/>
                <w:sz w:val="24"/>
                <w:szCs w:val="24"/>
                <w:highlight w:val="white"/>
                <w:lang w:bidi="ar"/>
              </w:rPr>
            </w:pPr>
            <w:r>
              <w:rPr>
                <w:rFonts w:hint="eastAsia" w:ascii="宋体" w:hAnsi="宋体" w:eastAsia="宋体" w:cs="宋体"/>
                <w:b/>
                <w:bCs/>
                <w:color w:val="auto"/>
                <w:sz w:val="24"/>
                <w:szCs w:val="24"/>
                <w:highlight w:val="white"/>
                <w:lang w:bidi="ar"/>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ar"/>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基本要求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（1）确保设备设施正常使用、运行，做到维护到位、响应及时、保障得力。</w:t>
            </w:r>
            <w:r/>
          </w:p>
          <w:p>
            <w:pPr>
              <w:ind w:firstLine="210"/>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①负责水、电、电梯、分体空调、中央空调、电梯等设备设施的运行管理与巡查工作。</w:t>
            </w:r>
            <w:r/>
          </w:p>
          <w:p>
            <w:pPr>
              <w:ind w:firstLine="210"/>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②负责水、电、门窗等日常小型维修工作。</w:t>
            </w:r>
            <w:r/>
          </w:p>
          <w:p>
            <w:pPr>
              <w:ind w:firstLine="210"/>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③负责督促专业设备设施维保单位定期开展维保工作、及时修复隐患故障。</w:t>
            </w:r>
            <w:r/>
          </w:p>
          <w:p>
            <w:pPr>
              <w:ind w:firstLine="210"/>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④负责督促馆内施工单位安全、文明施工，不得影响采购人工作秩序。</w:t>
            </w:r>
            <w:r/>
          </w:p>
        </w:tc>
      </w:tr>
      <w:tr>
        <w:trPr>
          <w:trHeight w:val="86"/>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管理范围</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纪念馆（含泰山庙）的高低压配电房、空调系统、强弱电系统、给排水系统、</w:t>
            </w:r>
            <w:r>
              <w:rPr>
                <w:rFonts w:hint="eastAsia" w:ascii="宋体" w:hAnsi="宋体" w:eastAsia="宋体" w:cs="宋体"/>
                <w:b/>
                <w:bCs/>
                <w:color w:val="auto"/>
                <w:sz w:val="24"/>
                <w:szCs w:val="24"/>
                <w:highlight w:val="white"/>
                <w:lang w:bidi="ar"/>
              </w:rPr>
              <w:t xml:space="preserve">电梯等设备设施</w:t>
            </w:r>
            <w:r>
              <w:rPr>
                <w:rFonts w:hint="eastAsia" w:ascii="宋体" w:hAnsi="宋体" w:eastAsia="宋体" w:cs="宋体"/>
                <w:color w:val="auto"/>
                <w:sz w:val="24"/>
                <w:szCs w:val="24"/>
                <w:highlight w:val="white"/>
                <w:lang w:bidi="ar"/>
              </w:rPr>
              <w:t xml:space="preserve">的日常管理维护工作。</w:t>
            </w:r>
            <w:r/>
          </w:p>
        </w:tc>
      </w:tr>
      <w:tr>
        <w:trPr>
          <w:trHeight w:val="90"/>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工作要求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本馆配电设有双电源供电的10KV高压配电房和380V以下的低压配电房两个组成部分，设备维护人员必须持有对应的高压、低压电工作业证，符合应急管理部门和供电部门的相关要求，才能从事配电室值守、负责高压、低压电力系统的日常运行、维护、调试等工作，从而确保我馆电力设备的正常运行以及用电安全。</w:t>
            </w:r>
            <w:r>
              <w:rPr>
                <w:rFonts w:hint="eastAsia" w:ascii="宋体" w:hAnsi="宋体" w:eastAsia="宋体" w:cs="宋体"/>
                <w:color w:val="auto"/>
                <w:sz w:val="24"/>
                <w:szCs w:val="24"/>
              </w:rPr>
              <w:t xml:space="preserve">坚持每日巡查、做好记录台账，一旦发生设备设施损坏或技术故障，要及时报告，并按要求进行更换或修复。</w:t>
            </w:r>
            <w:r/>
          </w:p>
          <w:p>
            <w:pPr>
              <w:keepLines w:val="0"/>
              <w:keepNext w:val="0"/>
              <w:pageBreakBefore w:val="0"/>
              <w:spacing w:after="0" w:line="400" w:lineRule="exact"/>
              <w:shd w:val="clear" w:color="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做好高低压配电房的值班工作，水电维修技术人员做到每天24小时有人在岗。</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（3）日常维修由受托物管企业负责，耗材不计入物业费，所必须的耗材向本馆领取或经本馆同意采购、认可造价。</w:t>
            </w:r>
            <w:r/>
          </w:p>
          <w:p>
            <w:pPr>
              <w:ind w:firstLine="420"/>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大、中型维修由本馆另行组织实施，物管企业负责协助与施工单位的监管，积极配合施工单位做好维修工作。</w:t>
            </w:r>
            <w:r/>
          </w:p>
          <w:p>
            <w:pPr>
              <w:ind w:firstLine="420"/>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工程保修期间的设施、设备维修工作由原施工单位或供货单位负责，物业企业负责巡查、监督、跟踪、记录，发现问题及时与原施工单位、供货单位联系，督促其及时保修，并向我馆</w:t>
            </w:r>
            <w:r>
              <w:rPr>
                <w:rFonts w:hint="eastAsia" w:ascii="宋体" w:hAnsi="宋体" w:eastAsia="宋体" w:cs="宋体"/>
                <w:b/>
                <w:bCs/>
                <w:color w:val="auto"/>
                <w:sz w:val="24"/>
                <w:szCs w:val="24"/>
              </w:rPr>
              <w:t xml:space="preserve">相关负责部门</w:t>
            </w:r>
            <w:r>
              <w:rPr>
                <w:rFonts w:hint="eastAsia" w:ascii="宋体" w:hAnsi="宋体" w:eastAsia="宋体" w:cs="宋体"/>
                <w:color w:val="auto"/>
                <w:sz w:val="24"/>
                <w:szCs w:val="24"/>
              </w:rPr>
              <w:t xml:space="preserve">报告，同时做好保修记录。</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bCs/>
                <w:color w:val="auto"/>
                <w:sz w:val="24"/>
                <w:szCs w:val="24"/>
              </w:rPr>
              <w:t xml:space="preserve">定期</w:t>
            </w:r>
            <w:r>
              <w:rPr>
                <w:rFonts w:hint="eastAsia" w:ascii="宋体" w:hAnsi="宋体" w:eastAsia="宋体" w:cs="宋体"/>
                <w:color w:val="auto"/>
                <w:sz w:val="24"/>
                <w:szCs w:val="24"/>
              </w:rPr>
              <w:t xml:space="preserve">对房屋、设施设备、道路、下水道等公共部位进行一次全面检查，掌握房屋设施设备完损状况，对完损程度做出评价；每季度巡视一次房屋主体结构，发现质量问题及时向本馆报告，提出相关管理、排除隐患及修缮维护建议。</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bCs/>
                <w:color w:val="auto"/>
                <w:sz w:val="24"/>
                <w:szCs w:val="24"/>
              </w:rPr>
              <w:t xml:space="preserve">配合</w:t>
            </w:r>
            <w:r>
              <w:rPr>
                <w:rFonts w:hint="eastAsia" w:ascii="宋体" w:hAnsi="宋体" w:eastAsia="宋体" w:cs="宋体"/>
                <w:color w:val="auto"/>
                <w:sz w:val="24"/>
                <w:szCs w:val="24"/>
              </w:rPr>
              <w:t xml:space="preserve">本馆做好对各相关专业设备维保单位协调的管理，同时做好与之相关的协调、配合与服务工作，及时主动联系、沟通，便于维保单位正常开展维保服务工作，既做好管理，又服务到位。确保安全运行，万无一失。</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（6）设备维护人员应妥善保管各类设备技术资料、维修记录和巡查台账，确保记录完整、准确、可追溯。设备维护队长应定期检查技术文档的规范性，并负责与采购人、维保单位的技术沟通与协调。</w:t>
            </w:r>
            <w:r/>
          </w:p>
        </w:tc>
      </w:tr>
      <w:tr>
        <w:trPr>
          <w:trHeight w:val="606"/>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4</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设备机房</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shd w:val="clear" w:color="auto"/>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color w:val="auto"/>
                <w:sz w:val="24"/>
                <w:szCs w:val="24"/>
                <w:highlight w:val="white"/>
                <w:lang w:eastAsia="zh-CN" w:bidi="ar"/>
              </w:rPr>
              <w:t xml:space="preserve">（</w:t>
            </w:r>
            <w:r>
              <w:rPr>
                <w:rFonts w:hint="eastAsia" w:ascii="宋体" w:hAnsi="宋体" w:eastAsia="宋体" w:cs="宋体"/>
                <w:color w:val="auto"/>
                <w:sz w:val="24"/>
                <w:szCs w:val="24"/>
                <w:highlight w:val="white"/>
                <w:lang w:val="en-US" w:eastAsia="zh-CN" w:bidi="ar"/>
              </w:rPr>
              <w:t xml:space="preserve">1</w:t>
            </w:r>
            <w:r>
              <w:rPr>
                <w:rFonts w:hint="eastAsia" w:ascii="宋体" w:hAnsi="宋体" w:eastAsia="宋体" w:cs="宋体"/>
                <w:color w:val="auto"/>
                <w:sz w:val="24"/>
                <w:szCs w:val="24"/>
                <w:highlight w:val="white"/>
                <w:lang w:eastAsia="zh-CN" w:bidi="ar"/>
              </w:rPr>
              <w:t xml:space="preserve">）</w:t>
            </w:r>
            <w:r>
              <w:rPr>
                <w:rFonts w:hint="eastAsia" w:ascii="宋体" w:hAnsi="宋体" w:eastAsia="宋体" w:cs="宋体"/>
                <w:b w:val="0"/>
                <w:bCs w:val="0"/>
                <w:i w:val="0"/>
                <w:iCs w:val="0"/>
                <w:color w:val="auto"/>
                <w:sz w:val="24"/>
                <w:szCs w:val="24"/>
                <w:highlight w:val="none"/>
                <w:u w:val="none"/>
                <w:lang w:val="en-US" w:eastAsia="zh-CN"/>
              </w:rPr>
              <w:t xml:space="preserve">本馆同时配备了高低压配电房，高压配电房定期巡检高压柜、变压器、断路器、继电保护装置等设备；低压配电房检查低压配电柜、母线、开关、接触器等设备。</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w:t>
            </w:r>
            <w:r>
              <w:rPr>
                <w:rFonts w:hint="eastAsia" w:ascii="宋体" w:hAnsi="宋体" w:eastAsia="宋体" w:cs="宋体"/>
                <w:color w:val="auto"/>
                <w:sz w:val="24"/>
                <w:szCs w:val="24"/>
                <w:highlight w:val="white"/>
                <w:lang w:val="en-US" w:eastAsia="zh-CN" w:bidi="ar"/>
              </w:rPr>
              <w:t xml:space="preserve">2</w:t>
            </w:r>
            <w:r>
              <w:rPr>
                <w:rFonts w:hint="eastAsia" w:ascii="宋体" w:hAnsi="宋体" w:eastAsia="宋体" w:cs="宋体"/>
                <w:color w:val="auto"/>
                <w:sz w:val="24"/>
                <w:szCs w:val="24"/>
                <w:highlight w:val="white"/>
                <w:lang w:bidi="ar"/>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keepLines w:val="0"/>
              <w:keepNext w:val="0"/>
              <w:pageBreakBefore w:val="0"/>
              <w:spacing w:after="0" w:line="400" w:lineRule="exact"/>
              <w:shd w:val="clear" w:color="auto"/>
              <w:widowControl w:val="off"/>
              <w:rPr>
                <w:rFonts w:hint="eastAsia" w:ascii="宋体" w:hAnsi="宋体" w:eastAsia="宋体" w:cs="宋体"/>
                <w:strike/>
                <w:color w:val="auto"/>
                <w:sz w:val="24"/>
                <w:szCs w:val="24"/>
                <w:highlight w:val="white"/>
                <w:lang w:bidi="ar"/>
              </w:rPr>
            </w:pPr>
            <w:r>
              <w:rPr>
                <w:rFonts w:hint="eastAsia" w:ascii="宋体" w:hAnsi="宋体" w:eastAsia="宋体" w:cs="宋体"/>
                <w:color w:val="auto"/>
                <w:sz w:val="24"/>
                <w:szCs w:val="24"/>
                <w:highlight w:val="white"/>
                <w:lang w:bidi="ar"/>
              </w:rPr>
              <w:t xml:space="preserve">（</w:t>
            </w:r>
            <w:r>
              <w:rPr>
                <w:rFonts w:hint="eastAsia" w:ascii="宋体" w:hAnsi="宋体" w:eastAsia="宋体" w:cs="宋体"/>
                <w:color w:val="auto"/>
                <w:sz w:val="24"/>
                <w:szCs w:val="24"/>
                <w:highlight w:val="white"/>
                <w:lang w:val="en-US" w:eastAsia="zh-CN" w:bidi="ar"/>
              </w:rPr>
              <w:t xml:space="preserve">3</w:t>
            </w:r>
            <w:r>
              <w:rPr>
                <w:rFonts w:hint="eastAsia" w:ascii="宋体" w:hAnsi="宋体" w:eastAsia="宋体" w:cs="宋体"/>
                <w:color w:val="auto"/>
                <w:sz w:val="24"/>
                <w:szCs w:val="24"/>
                <w:highlight w:val="white"/>
                <w:lang w:bidi="ar"/>
              </w:rPr>
              <w:t xml:space="preserve">）各设备机房按国家标准规范规定维护</w:t>
            </w:r>
            <w:r>
              <w:rPr>
                <w:rFonts w:hint="eastAsia" w:ascii="宋体" w:hAnsi="宋体" w:eastAsia="宋体" w:cs="宋体"/>
                <w:b/>
                <w:bCs/>
                <w:color w:val="auto"/>
                <w:sz w:val="24"/>
                <w:szCs w:val="24"/>
                <w:highlight w:val="white"/>
                <w:lang w:bidi="ar"/>
              </w:rPr>
              <w:t xml:space="preserve">管理，确保整洁有序，运行正常。</w:t>
            </w:r>
            <w:r/>
          </w:p>
        </w:tc>
      </w:tr>
      <w:tr>
        <w:trPr>
          <w:trHeight w:val="497"/>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5</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给排水系统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（1）对物业服务区域内给排水系统的设备、设施，如水泵、水箱、管道、管件、阀门、水嘴、卫生洁具、排水管、透气管、水封设备、室外排水管及附属构筑物等进行日常养护维修，保持正常运行。</w:t>
            </w:r>
            <w:r/>
          </w:p>
          <w:p>
            <w:pP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（2）遇供水单位限水、停水，按规定时间通知采购人。</w:t>
            </w:r>
            <w:r/>
          </w:p>
        </w:tc>
      </w:tr>
      <w:tr>
        <w:trPr>
          <w:trHeight w:val="1000"/>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6</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电梯系统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w:t>
            </w:r>
            <w:r>
              <w:rPr>
                <w:rFonts w:hint="eastAsia" w:ascii="宋体" w:hAnsi="宋体" w:eastAsia="宋体" w:cs="宋体"/>
                <w:b/>
                <w:bCs/>
                <w:color w:val="auto"/>
                <w:sz w:val="24"/>
                <w:szCs w:val="24"/>
                <w:highlight w:val="white"/>
                <w:lang w:bidi="ar"/>
              </w:rPr>
              <w:t xml:space="preserve">加强电梯安全状况巡查，确保</w:t>
            </w:r>
            <w:r>
              <w:rPr>
                <w:rFonts w:hint="eastAsia" w:ascii="宋体" w:hAnsi="宋体" w:eastAsia="宋体" w:cs="宋体"/>
                <w:color w:val="auto"/>
                <w:sz w:val="24"/>
                <w:szCs w:val="24"/>
                <w:highlight w:val="white"/>
                <w:lang w:bidi="ar"/>
              </w:rPr>
              <w:t xml:space="preserve">电梯运行平稳、无异响、开关正常。每周至少开展 2 次电梯的安全状况检查。</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（2）电梯准用证、年检合格证等证件齐全。相关证件、紧急救援电话和乘客注意事项置于</w:t>
            </w:r>
            <w:r>
              <w:rPr>
                <w:rFonts w:hint="eastAsia" w:ascii="宋体" w:hAnsi="宋体" w:eastAsia="宋体" w:cs="宋体"/>
                <w:b/>
                <w:bCs/>
                <w:color w:val="auto"/>
                <w:sz w:val="24"/>
                <w:szCs w:val="24"/>
                <w:highlight w:val="white"/>
                <w:lang w:bidi="ar"/>
              </w:rPr>
              <w:t xml:space="preserve">电梯</w:t>
            </w:r>
            <w:r>
              <w:rPr>
                <w:rFonts w:hint="eastAsia" w:ascii="宋体" w:hAnsi="宋体" w:eastAsia="宋体" w:cs="宋体"/>
                <w:color w:val="auto"/>
                <w:sz w:val="24"/>
                <w:szCs w:val="24"/>
                <w:highlight w:val="white"/>
                <w:lang w:bidi="ar"/>
              </w:rPr>
              <w:t xml:space="preserve">醒目位置。</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（3）有电梯突发事件或事故的应急措施与救援预案，每年至少开展演练 1 次。电梯出现故障，物业服务人员 10 分钟内到场应急处理，</w:t>
            </w:r>
            <w:r>
              <w:rPr>
                <w:rFonts w:hint="eastAsia" w:ascii="宋体" w:hAnsi="宋体" w:eastAsia="宋体" w:cs="宋体"/>
                <w:b/>
                <w:bCs/>
                <w:color w:val="auto"/>
                <w:sz w:val="24"/>
                <w:szCs w:val="24"/>
                <w:highlight w:val="white"/>
                <w:lang w:bidi="ar"/>
              </w:rPr>
              <w:t xml:space="preserve">并同时通知</w:t>
            </w:r>
            <w:r>
              <w:rPr>
                <w:rFonts w:hint="eastAsia" w:ascii="宋体" w:hAnsi="宋体" w:eastAsia="宋体" w:cs="宋体"/>
                <w:color w:val="auto"/>
                <w:sz w:val="24"/>
                <w:szCs w:val="24"/>
                <w:highlight w:val="white"/>
                <w:lang w:bidi="ar"/>
              </w:rPr>
              <w:t xml:space="preserve">维保专业人员</w:t>
            </w:r>
            <w:r>
              <w:rPr>
                <w:rFonts w:hint="eastAsia" w:ascii="宋体" w:hAnsi="宋体" w:eastAsia="宋体" w:cs="宋体"/>
                <w:b/>
                <w:bCs/>
                <w:color w:val="auto"/>
                <w:sz w:val="24"/>
                <w:szCs w:val="24"/>
                <w:highlight w:val="white"/>
                <w:lang w:bidi="ar"/>
              </w:rPr>
              <w:t xml:space="preserve">即刻</w:t>
            </w:r>
            <w:r>
              <w:rPr>
                <w:rFonts w:hint="eastAsia" w:ascii="宋体" w:hAnsi="宋体" w:eastAsia="宋体" w:cs="宋体"/>
                <w:color w:val="auto"/>
                <w:sz w:val="24"/>
                <w:szCs w:val="24"/>
                <w:highlight w:val="white"/>
                <w:lang w:bidi="ar"/>
              </w:rPr>
              <w:t xml:space="preserve">到场处理。</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（4）根据采购人需求，合理设置电梯开启的数量、时间。</w:t>
            </w:r>
            <w:r/>
          </w:p>
        </w:tc>
      </w:tr>
      <w:tr>
        <w:trPr>
          <w:trHeight w:val="86"/>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7</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空调系统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w:t>
            </w:r>
            <w:r>
              <w:rPr>
                <w:rFonts w:hint="eastAsia" w:ascii="宋体" w:hAnsi="宋体" w:eastAsia="宋体" w:cs="宋体"/>
                <w:b/>
                <w:bCs/>
                <w:color w:val="auto"/>
                <w:sz w:val="24"/>
                <w:szCs w:val="24"/>
                <w:highlight w:val="white"/>
                <w:lang w:bidi="ar"/>
              </w:rPr>
              <w:t xml:space="preserve">做好空调运行记录</w:t>
            </w:r>
            <w:r>
              <w:rPr>
                <w:rFonts w:hint="eastAsia" w:ascii="宋体" w:hAnsi="宋体" w:eastAsia="宋体" w:cs="宋体"/>
                <w:color w:val="auto"/>
                <w:sz w:val="24"/>
                <w:szCs w:val="24"/>
                <w:highlight w:val="white"/>
                <w:lang w:bidi="ar"/>
              </w:rPr>
              <w:t xml:space="preserve">，保证空调设施设备处于良好状态。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w:t>
            </w:r>
            <w:r>
              <w:rPr>
                <w:rFonts w:hint="eastAsia" w:ascii="宋体" w:hAnsi="宋体" w:eastAsia="宋体" w:cs="宋体"/>
                <w:b/>
                <w:bCs/>
                <w:color w:val="auto"/>
                <w:sz w:val="24"/>
                <w:szCs w:val="24"/>
                <w:highlight w:val="white"/>
                <w:lang w:bidi="ar"/>
              </w:rPr>
              <w:t xml:space="preserve">空调运行前需对相关设施设备进行系统检查，</w:t>
            </w:r>
            <w:r>
              <w:rPr>
                <w:rFonts w:hint="eastAsia" w:ascii="宋体" w:hAnsi="宋体" w:eastAsia="宋体" w:cs="宋体"/>
                <w:strike/>
                <w:color w:val="auto"/>
                <w:sz w:val="24"/>
                <w:szCs w:val="24"/>
                <w:highlight w:val="white"/>
                <w:lang w:bidi="ar"/>
              </w:rPr>
              <w:t xml:space="preserve">中央空</w:t>
            </w:r>
            <w:r>
              <w:rPr>
                <w:rFonts w:hint="eastAsia" w:ascii="宋体" w:hAnsi="宋体" w:eastAsia="宋体" w:cs="宋体"/>
                <w:color w:val="auto"/>
                <w:sz w:val="24"/>
                <w:szCs w:val="24"/>
                <w:highlight w:val="white"/>
                <w:lang w:bidi="ar"/>
              </w:rPr>
              <w:t xml:space="preserve">运行期间每日至少开展 1 次运行情况巡查。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（3）制冷、供暖系统温度设定及启用时间</w:t>
            </w:r>
            <w:r>
              <w:rPr>
                <w:rFonts w:hint="eastAsia" w:ascii="宋体" w:hAnsi="宋体" w:eastAsia="宋体" w:cs="宋体"/>
                <w:b/>
                <w:bCs/>
                <w:color w:val="auto"/>
                <w:sz w:val="24"/>
                <w:szCs w:val="24"/>
              </w:rPr>
              <w:t xml:space="preserve">根据采购人需求运行并符合</w:t>
            </w:r>
            <w:r>
              <w:rPr>
                <w:rFonts w:hint="eastAsia" w:ascii="宋体" w:hAnsi="宋体" w:eastAsia="宋体" w:cs="宋体"/>
                <w:color w:val="auto"/>
                <w:sz w:val="24"/>
                <w:szCs w:val="24"/>
                <w:highlight w:val="white"/>
                <w:lang w:bidi="ar"/>
              </w:rPr>
              <w:t xml:space="preserve">节能要求。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（4）发现故障或损坏物业服务人员 10 分钟内到场应急处理，</w:t>
            </w:r>
            <w:r>
              <w:rPr>
                <w:rFonts w:hint="eastAsia" w:ascii="宋体" w:hAnsi="宋体" w:eastAsia="宋体" w:cs="宋体"/>
                <w:b/>
                <w:bCs/>
                <w:color w:val="auto"/>
                <w:sz w:val="24"/>
                <w:szCs w:val="24"/>
                <w:highlight w:val="white"/>
                <w:lang w:bidi="ar"/>
              </w:rPr>
              <w:t xml:space="preserve">并同时通知维</w:t>
            </w:r>
            <w:r>
              <w:rPr>
                <w:rFonts w:hint="eastAsia" w:ascii="宋体" w:hAnsi="宋体" w:eastAsia="宋体" w:cs="宋体"/>
                <w:color w:val="auto"/>
                <w:sz w:val="24"/>
                <w:szCs w:val="24"/>
                <w:highlight w:val="white"/>
                <w:lang w:bidi="ar"/>
              </w:rPr>
              <w:t xml:space="preserve">保专业人员</w:t>
            </w:r>
            <w:r>
              <w:rPr>
                <w:rFonts w:hint="eastAsia" w:ascii="宋体" w:hAnsi="宋体" w:eastAsia="宋体" w:cs="宋体"/>
                <w:b/>
                <w:bCs/>
                <w:color w:val="auto"/>
                <w:sz w:val="24"/>
                <w:szCs w:val="24"/>
                <w:highlight w:val="white"/>
                <w:lang w:bidi="ar"/>
              </w:rPr>
              <w:t xml:space="preserve">即刻</w:t>
            </w:r>
            <w:r>
              <w:rPr>
                <w:rFonts w:hint="eastAsia" w:ascii="宋体" w:hAnsi="宋体" w:eastAsia="宋体" w:cs="宋体"/>
                <w:color w:val="auto"/>
                <w:sz w:val="24"/>
                <w:szCs w:val="24"/>
                <w:highlight w:val="white"/>
                <w:lang w:bidi="ar"/>
              </w:rPr>
              <w:t xml:space="preserve">到场处理。</w:t>
            </w:r>
            <w:r/>
          </w:p>
        </w:tc>
      </w:tr>
      <w:tr>
        <w:trPr>
          <w:trHeight w:val="444"/>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8</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供电系统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（1）执行高低压配电房运行值班制度，符合供电主管部门的要求。</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（2）对区域内电气管线、电线电缆、电源开关、动力插座、电开水炉等低压用电设施进行日常管理和维护、维修，保持正常运行。</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（3）负责各类照明灯具、泛光照明系统、供用电设备设施的日常管理和维护修理。</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（4）保证</w:t>
            </w:r>
            <w:r>
              <w:rPr>
                <w:rFonts w:hint="eastAsia" w:ascii="宋体" w:hAnsi="宋体" w:eastAsia="宋体" w:cs="宋体"/>
                <w:b/>
                <w:bCs/>
                <w:color w:val="auto"/>
                <w:sz w:val="24"/>
                <w:szCs w:val="24"/>
                <w:highlight w:val="white"/>
                <w:lang w:bidi="ar"/>
              </w:rPr>
              <w:t xml:space="preserve">整个馆区</w:t>
            </w:r>
            <w:r>
              <w:rPr>
                <w:rFonts w:hint="eastAsia" w:ascii="宋体" w:hAnsi="宋体" w:eastAsia="宋体" w:cs="宋体"/>
                <w:color w:val="auto"/>
                <w:sz w:val="24"/>
                <w:szCs w:val="24"/>
                <w:highlight w:val="white"/>
                <w:lang w:bidi="ar"/>
              </w:rPr>
              <w:t xml:space="preserve">的供电安全。</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（5）应急供电系统运行正常。</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（6）通过有效的管理措施及技术措施，积极开展节能服务工作。</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（7）督促配电房维保单位进行定期保养与维护、检测与年检等工作，设备设施出现故障，第一时间联系对应维保单位，跟踪维修进度，检查维修结果，确保及时修复。</w:t>
            </w:r>
            <w:r/>
          </w:p>
        </w:tc>
      </w:tr>
      <w:tr>
        <w:trPr>
          <w:trHeight w:val="931"/>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9</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弱电系统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（1）安全防范系统维护保养符合《安全防范系统维护保养规范》（GA/T 1081）的相关要求。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（2）保持监控系统、门禁系统、安全防范系统等运行正常，有故障及时排除。</w:t>
            </w:r>
            <w:r/>
          </w:p>
        </w:tc>
      </w:tr>
      <w:tr>
        <w:trPr>
          <w:trHeight w:val="90"/>
        </w:trPr>
        <w:tc>
          <w:tcPr>
            <w:tcBorders>
              <w:top w:val="single" w:color="000000" w:sz="8" w:space="0"/>
              <w:left w:val="single" w:color="000000" w:sz="8" w:space="0"/>
              <w:bottom w:val="single" w:color="000000" w:sz="8" w:space="0"/>
              <w:right w:val="single" w:color="000000" w:sz="8" w:space="0"/>
            </w:tcBorders>
            <w:tcW w:w="45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10</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亮化、照明系统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（1）外观整洁无缺损、无松落。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（2）更换的照明灯具应当选用节能环保产品，亮度与更换前保持一致。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（3）每周至少开展 1次公共区域亮化、照明设备巡视。</w:t>
            </w:r>
            <w:r/>
          </w:p>
        </w:tc>
      </w:tr>
    </w:tbl>
    <w:p>
      <w:pPr>
        <w:ind w:firstLine="482"/>
        <w:spacing w:after="0"/>
        <w:rPr>
          <w:rFonts w:hint="eastAsia" w:ascii="宋体" w:hAnsi="宋体" w:eastAsia="宋体" w:cs="宋体"/>
          <w:color w:val="auto"/>
          <w:szCs w:val="21"/>
          <w:highlight w:val="white"/>
        </w:rPr>
      </w:pPr>
      <w:r>
        <w:rPr>
          <w:rFonts w:hint="eastAsia" w:ascii="宋体" w:hAnsi="宋体" w:eastAsia="宋体" w:cs="宋体"/>
          <w:b/>
          <w:color w:val="auto"/>
          <w:sz w:val="24"/>
          <w:highlight w:val="white"/>
          <w:lang w:bidi="ar"/>
        </w:rPr>
        <w:t xml:space="preserve">3.4保洁服务</w:t>
      </w:r>
      <w:r/>
    </w:p>
    <w:tbl>
      <w:tblPr>
        <w:tblStyle w:val="827"/>
        <w:tblW w:w="493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718"/>
        <w:gridCol w:w="6283"/>
      </w:tblGrid>
      <w:tr>
        <w:trPr>
          <w:trHeight w:val="527"/>
        </w:trPr>
        <w:tc>
          <w:tcPr>
            <w:shd w:val="clear" w:color="auto" w:fill="auto"/>
            <w:tcBorders>
              <w:top w:val="single" w:color="000000" w:sz="8" w:space="0"/>
              <w:left w:val="single" w:color="000000" w:sz="8" w:space="0"/>
              <w:bottom w:val="single" w:color="000000" w:sz="8" w:space="0"/>
              <w:right w:val="single" w:color="000000" w:sz="8" w:space="0"/>
            </w:tcBorders>
            <w:tcW w:w="42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8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59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服务标准</w:t>
            </w:r>
            <w:r/>
          </w:p>
        </w:tc>
      </w:tr>
      <w:tr>
        <w:trPr>
          <w:trHeight w:val="454"/>
        </w:trPr>
        <w:tc>
          <w:tcPr>
            <w:shd w:val="clear" w:color="auto" w:fill="auto"/>
            <w:tcBorders>
              <w:top w:val="none" w:color="000000" w:sz="4" w:space="0"/>
              <w:left w:val="single" w:color="000000" w:sz="8" w:space="0"/>
              <w:right w:val="single" w:color="000000" w:sz="8" w:space="0"/>
            </w:tcBorders>
            <w:tcW w:w="4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w:t>
            </w:r>
            <w:r/>
          </w:p>
        </w:tc>
        <w:tc>
          <w:tcPr>
            <w:shd w:val="clear" w:color="auto" w:fill="auto"/>
            <w:tcBorders>
              <w:top w:val="none" w:color="000000" w:sz="4" w:space="0"/>
              <w:left w:val="none" w:color="000000" w:sz="4" w:space="0"/>
              <w:right w:val="single" w:color="000000" w:sz="8" w:space="0"/>
            </w:tcBorders>
            <w:tcW w:w="982"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基本要求</w:t>
            </w:r>
            <w:r/>
          </w:p>
        </w:tc>
        <w:tc>
          <w:tcPr>
            <w:shd w:val="clear" w:color="auto" w:fill="auto"/>
            <w:tcBorders>
              <w:top w:val="single" w:color="000000" w:sz="8" w:space="0"/>
              <w:left w:val="none" w:color="000000" w:sz="4"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（1）建立保洁服务的工作制度及工作计划，并按照执行。做好保洁服务工作记录，记录填写规范、保存完好。</w:t>
            </w:r>
            <w:r/>
          </w:p>
        </w:tc>
      </w:tr>
      <w:tr>
        <w:trPr>
          <w:trHeight w:val="454"/>
        </w:trPr>
        <w:tc>
          <w:tcPr>
            <w:shd w:val="clear" w:color="auto" w:fill="auto"/>
            <w:tcBorders>
              <w:left w:val="single" w:color="000000" w:sz="8" w:space="0"/>
              <w:right w:val="single" w:color="000000" w:sz="8" w:space="0"/>
            </w:tcBorders>
            <w:tcW w:w="4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left w:val="none" w:color="000000" w:sz="4" w:space="0"/>
              <w:right w:val="single" w:color="000000" w:sz="8" w:space="0"/>
            </w:tcBorders>
            <w:tcW w:w="98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8" w:space="0"/>
              <w:left w:val="none" w:color="000000" w:sz="4"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（2）作业时采取安全防护措施，防止对作业人员或他人造成伤害。相关耗材的环保、安全性等应当符合国家相关规定要求。</w:t>
            </w:r>
            <w:r/>
          </w:p>
        </w:tc>
      </w:tr>
      <w:tr>
        <w:trPr>
          <w:trHeight w:val="454"/>
        </w:trPr>
        <w:tc>
          <w:tcPr>
            <w:shd w:val="clear" w:color="auto" w:fill="auto"/>
            <w:tcBorders>
              <w:left w:val="single" w:color="000000" w:sz="8" w:space="0"/>
              <w:right w:val="single" w:color="000000" w:sz="8" w:space="0"/>
            </w:tcBorders>
            <w:tcW w:w="4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left w:val="none" w:color="000000" w:sz="4" w:space="0"/>
              <w:right w:val="single" w:color="000000" w:sz="8" w:space="0"/>
            </w:tcBorders>
            <w:tcW w:w="98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8" w:space="0"/>
              <w:left w:val="none" w:color="000000" w:sz="4"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lang w:bidi="ar"/>
              </w:rPr>
              <w:t xml:space="preserve">（3）新四军纪念馆广场面积大，物业单位应在纪念馆使用洒水车、扫地车等机器设备，提高工作效能。每周至少安排四轮保洁车（车辆净重≥1.2吨）对广场及内部道路进行2次保洁。每月至少组织1次室内、室外彻底大扫除。</w:t>
            </w:r>
            <w:r/>
          </w:p>
        </w:tc>
      </w:tr>
      <w:tr>
        <w:trPr>
          <w:trHeight w:val="210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left w:val="none" w:color="000000" w:sz="4" w:space="0"/>
              <w:right w:val="single" w:color="000000" w:sz="8" w:space="0"/>
            </w:tcBorders>
            <w:tcW w:w="982"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t xml:space="preserve">（4）保洁服务范围</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①室内部分：包括但不限于卫生间、楼梯、走道、展厅等公共部位、办公室、会议室、接待室、游客服务中心等，具体范围各投标人自行现场踏勘充分了解招标人的要求。 </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rPr>
              <w:t xml:space="preserve">②室外部分：包括但不限于广场、兵器园、道路、室外停车场、绿化带保洁等，具体范围各投标人自行现场踏勘充分了解招标人的要求。</w:t>
            </w:r>
            <w:r/>
          </w:p>
        </w:tc>
      </w:tr>
      <w:tr>
        <w:trPr>
          <w:trHeight w:val="1005"/>
        </w:trPr>
        <w:tc>
          <w:tcPr>
            <w:shd w:val="clear" w:color="auto" w:fill="auto"/>
            <w:tcBorders>
              <w:top w:val="single" w:color="000000" w:sz="8" w:space="0"/>
              <w:left w:val="single" w:color="000000" w:sz="8" w:space="0"/>
              <w:right w:val="single" w:color="000000" w:sz="8" w:space="0"/>
            </w:tcBorders>
            <w:tcW w:w="4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2</w:t>
            </w:r>
            <w:r/>
          </w:p>
        </w:tc>
        <w:tc>
          <w:tcPr>
            <w:shd w:val="clear" w:color="auto" w:fill="auto"/>
            <w:tcBorders>
              <w:top w:val="single" w:color="000000" w:sz="8" w:space="0"/>
              <w:left w:val="single" w:color="000000" w:sz="8" w:space="0"/>
              <w:right w:val="single" w:color="000000" w:sz="8" w:space="0"/>
            </w:tcBorders>
            <w:tcW w:w="982"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室外区域</w:t>
            </w:r>
            <w:r/>
          </w:p>
        </w:tc>
        <w:tc>
          <w:tcPr>
            <w:shd w:val="clear" w:color="auto" w:fill="auto"/>
            <w:tcBorders>
              <w:top w:val="single" w:color="000000" w:sz="8"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（1）每天清扫道路、维护绿化带至少2次，并及时巡查，发现脏物、废品应及时处理，对区域内各种设施进行抹尘和清洗，确保外围环境保持干净、整洁。</w:t>
            </w:r>
            <w:r/>
          </w:p>
        </w:tc>
      </w:tr>
      <w:tr>
        <w:trPr>
          <w:trHeight w:val="679"/>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（2）根据各种地面清洁的程度要及时进行清洗，绿化带定期巡查，及时清扫果皮、废纸、杂物等垃圾，确保地面、绿化带的干净、整洁。</w:t>
            </w:r>
            <w:r/>
          </w:p>
        </w:tc>
      </w:tr>
      <w:tr>
        <w:trPr>
          <w:trHeight w:val="104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（3）及时收集各类垃圾，堆放在指定地点。清运时密封装置，确保无飘洒和滴漏现象。及时清洗垃圾筒筒身，更换垃圾袋，保持干净、无异味、无满溢。并协助游客做好垃圾分类的工作。</w:t>
            </w:r>
            <w:r/>
          </w:p>
        </w:tc>
      </w:tr>
      <w:tr>
        <w:trPr>
          <w:trHeight w:val="992"/>
        </w:trPr>
        <w:tc>
          <w:tcPr>
            <w:shd w:val="clear" w:color="auto" w:fill="auto"/>
            <w:tcBorders>
              <w:left w:val="single" w:color="000000" w:sz="8" w:space="0"/>
              <w:bottom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bottom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（4）根据招标人要求定期清除卫生死角，水管处、屋顶、下水道口、排水沟、水池、雨水槽内阴沟、污水井等地方，要确保其内无杂物、管道畅通。</w:t>
            </w:r>
            <w:r/>
          </w:p>
        </w:tc>
      </w:tr>
      <w:tr>
        <w:trPr>
          <w:trHeight w:val="956"/>
        </w:trPr>
        <w:tc>
          <w:tcPr>
            <w:shd w:val="clear" w:color="auto" w:fill="auto"/>
            <w:tcBorders>
              <w:top w:val="single" w:color="000000" w:sz="8" w:space="0"/>
              <w:left w:val="single" w:color="000000" w:sz="8" w:space="0"/>
              <w:right w:val="single" w:color="000000" w:sz="8" w:space="0"/>
            </w:tcBorders>
            <w:tcW w:w="4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3</w:t>
            </w:r>
            <w:r/>
          </w:p>
        </w:tc>
        <w:tc>
          <w:tcPr>
            <w:shd w:val="clear" w:color="auto" w:fill="auto"/>
            <w:tcBorders>
              <w:top w:val="single" w:color="000000" w:sz="8" w:space="0"/>
              <w:left w:val="single" w:color="000000" w:sz="8" w:space="0"/>
              <w:right w:val="single" w:color="000000" w:sz="8" w:space="0"/>
            </w:tcBorders>
            <w:tcW w:w="982"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展厅、走廊、楼梯、电梯</w:t>
            </w:r>
            <w:r/>
          </w:p>
        </w:tc>
        <w:tc>
          <w:tcPr>
            <w:shd w:val="clear" w:color="auto" w:fill="auto"/>
            <w:tcBorders>
              <w:top w:val="single" w:color="000000" w:sz="8"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（1）每日循环清扫地面垃圾，清除地面的污迹，每月至少彻底清洗2次，平时发现污渍及时处理。展厅的地面每日巡回保洁。确保环境保持干净、整洁。</w:t>
            </w:r>
            <w:r/>
          </w:p>
        </w:tc>
      </w:tr>
      <w:tr>
        <w:trPr>
          <w:trHeight w:val="642"/>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（2）每日抹净展厅玻璃，擦净门框、柱子等灰尘。每周至少彻底清洗1次，保持玻璃、门框、柱子等干净、整洁。</w:t>
            </w:r>
            <w:r/>
          </w:p>
        </w:tc>
      </w:tr>
      <w:tr>
        <w:trPr>
          <w:trHeight w:val="924"/>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（3）每日至少1次用推尘布抹净地面，保持地面无脚印、无灰尘。抹净墙面的灰尘，每日至少清倒垃圾2次并做到随满随清，及时更换垃圾袋，及时处理垃圾筒上面的痰迹，使其外表干净、光亮、无满溢垃圾现象。</w:t>
            </w:r>
            <w:r/>
          </w:p>
        </w:tc>
      </w:tr>
      <w:tr>
        <w:trPr>
          <w:trHeight w:val="625"/>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（4）对展厅、走廊地面视其磨损程度，并根据招标人要求定期进行维护，使其干净。</w:t>
            </w:r>
            <w:r/>
          </w:p>
        </w:tc>
      </w:tr>
      <w:tr>
        <w:trPr>
          <w:trHeight w:val="339"/>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（5）每日擦抹展厅正门至少3次，确保其保持无灰尘、无污渍、无水迹。</w:t>
            </w:r>
            <w:r/>
          </w:p>
        </w:tc>
      </w:tr>
      <w:tr>
        <w:trPr>
          <w:trHeight w:val="601"/>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（6）每日擦净楼梯、电梯扶手，拖净楼梯、电梯，各眼见手及之处，经常抹尘，保持清洁。</w:t>
            </w:r>
            <w:r/>
          </w:p>
        </w:tc>
      </w:tr>
      <w:tr>
        <w:trPr>
          <w:trHeight w:val="341"/>
        </w:trPr>
        <w:tc>
          <w:tcPr>
            <w:shd w:val="clear" w:color="auto" w:fill="auto"/>
            <w:tcBorders>
              <w:left w:val="single" w:color="000000" w:sz="8" w:space="0"/>
              <w:bottom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bottom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（7）主要道路、展厅等部位的保洁工作必须在早晨8：30前完成。</w:t>
            </w:r>
            <w:r/>
          </w:p>
        </w:tc>
      </w:tr>
      <w:tr>
        <w:trPr>
          <w:trHeight w:val="964"/>
        </w:trPr>
        <w:tc>
          <w:tcPr>
            <w:shd w:val="clear" w:color="auto" w:fill="auto"/>
            <w:tcBorders>
              <w:top w:val="single" w:color="000000" w:sz="8" w:space="0"/>
              <w:left w:val="single" w:color="000000" w:sz="8" w:space="0"/>
              <w:right w:val="single" w:color="000000" w:sz="8" w:space="0"/>
            </w:tcBorders>
            <w:tcW w:w="4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4</w:t>
            </w:r>
            <w:r/>
          </w:p>
        </w:tc>
        <w:tc>
          <w:tcPr>
            <w:shd w:val="clear" w:color="auto" w:fill="auto"/>
            <w:tcBorders>
              <w:top w:val="single" w:color="000000" w:sz="8" w:space="0"/>
              <w:left w:val="single" w:color="000000" w:sz="8" w:space="0"/>
              <w:right w:val="single" w:color="000000" w:sz="8" w:space="0"/>
            </w:tcBorders>
            <w:tcW w:w="982"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办公区、会议室、接待室、铁军剧场</w:t>
            </w:r>
            <w:r/>
          </w:p>
        </w:tc>
        <w:tc>
          <w:tcPr>
            <w:shd w:val="clear" w:color="auto" w:fill="auto"/>
            <w:tcBorders>
              <w:top w:val="single" w:color="000000" w:sz="8"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（1）及时清扫地面垃圾、擦抹舞台、桌椅、橱柜、沙发、茶几等，擦净相关设施、设备、并定期消毒，痰渍、水迹等及时处理，每周至少彻底拖洗1次，保持室内整洁。</w:t>
            </w:r>
            <w:r/>
          </w:p>
        </w:tc>
      </w:tr>
      <w:tr>
        <w:trPr>
          <w:trHeight w:val="394"/>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（2）负责会议室茶水供应，准备好茶叶与茶杯（由招标方提供）。</w:t>
            </w:r>
            <w:r/>
          </w:p>
        </w:tc>
      </w:tr>
      <w:tr>
        <w:trPr>
          <w:trHeight w:val="679"/>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（3）会后及时清理，检查是否有遗留物品、未熄灭的火种，关闭设备电源等。</w:t>
            </w:r>
            <w:r/>
          </w:p>
        </w:tc>
      </w:tr>
      <w:tr>
        <w:trPr>
          <w:trHeight w:val="679"/>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（4）排气扇、纱窗、照明设备等擦抹灰尘，每月至少1次。天花、风口、灯罩、喇叭出口每月至少清洁2次，及时清除拆装时留下的污迹。</w:t>
            </w:r>
            <w:r/>
          </w:p>
        </w:tc>
      </w:tr>
      <w:tr>
        <w:trPr>
          <w:trHeight w:val="32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（5）每天清理电源开关、插座，抹净上面污渍和灰尘。</w:t>
            </w:r>
            <w:r/>
          </w:p>
        </w:tc>
      </w:tr>
      <w:tr>
        <w:trPr>
          <w:trHeight w:val="638"/>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（6）皮、布沙发每天清洁一次，皮质沙发每半年至少保养1次。地毯每月至少清洗1次，不得留有污渍、残留清洁剂等，水分要彻底吹干。</w:t>
            </w:r>
            <w:r/>
          </w:p>
        </w:tc>
      </w:tr>
      <w:tr>
        <w:trPr>
          <w:trHeight w:val="36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（7）花盆里面垃圾、烟头每天清理，植物叶子经常抹尘。</w:t>
            </w:r>
            <w:r/>
          </w:p>
        </w:tc>
      </w:tr>
      <w:tr>
        <w:trPr>
          <w:trHeight w:val="665"/>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（8）平时对地面痰迹、口香糖等及时进行清除，每月机器清洗地面至少1次，拖洗地面后及时抹净地角线、墙角上的污迹、水迹、清理卫生死角。</w:t>
            </w:r>
            <w:r/>
          </w:p>
        </w:tc>
      </w:tr>
      <w:tr>
        <w:trPr>
          <w:trHeight w:val="491"/>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（9）窗户玻璃随时保洁，平时发现手印、污渍及时擦净，门框每天至少擦抹1次，不锈钢门每天至少擦抹2次，每半年用不锈钢护理剂保养1</w:t>
            </w:r>
            <w:r/>
          </w:p>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次，防火门、玻璃门每天至少擦抹2次。桌椅、窗帘、书橱、讲台、电脑等其他设施每天至少擦抹1次，保持清洁、摆放整齐。</w:t>
            </w:r>
            <w:r/>
          </w:p>
        </w:tc>
      </w:tr>
      <w:tr>
        <w:trPr>
          <w:trHeight w:val="70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（10）彻底清理室内墙壁、墙角、天花等蜘蛛网，每周至少1次。平时随见随时清理，局部灰尘、污渍随时处理。</w:t>
            </w:r>
            <w:r/>
          </w:p>
        </w:tc>
      </w:tr>
      <w:tr>
        <w:trPr>
          <w:trHeight w:val="666"/>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lang w:bidi="ar"/>
              </w:rPr>
            </w:pPr>
            <w:r>
              <w:rPr>
                <w:rFonts w:hint="eastAsia" w:ascii="宋体" w:hAnsi="宋体" w:eastAsia="宋体" w:cs="宋体"/>
                <w:color w:val="auto"/>
                <w:sz w:val="24"/>
                <w:szCs w:val="24"/>
                <w:highlight w:val="white"/>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（11）会务保密：会场服务时不得随意翻阅会议资料，防止闲杂人员进场，不得在任何场所透露会议的内容。</w:t>
            </w:r>
            <w:r/>
          </w:p>
        </w:tc>
      </w:tr>
      <w:tr>
        <w:trPr>
          <w:trHeight w:val="710"/>
        </w:trPr>
        <w:tc>
          <w:tcPr>
            <w:shd w:val="clear" w:color="auto" w:fill="auto"/>
            <w:tcBorders>
              <w:top w:val="single" w:color="000000" w:sz="8" w:space="0"/>
              <w:left w:val="single" w:color="000000" w:sz="8" w:space="0"/>
              <w:right w:val="single" w:color="000000" w:sz="8" w:space="0"/>
            </w:tcBorders>
            <w:tcW w:w="425"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8" w:space="0"/>
              <w:left w:val="single" w:color="000000" w:sz="8" w:space="0"/>
              <w:right w:val="single" w:color="000000" w:sz="8" w:space="0"/>
            </w:tcBorders>
            <w:tcW w:w="982"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卫生间</w:t>
            </w:r>
            <w:r/>
          </w:p>
        </w:tc>
        <w:tc>
          <w:tcPr>
            <w:shd w:val="clear" w:color="auto" w:fill="auto"/>
            <w:tcBorders>
              <w:top w:val="single" w:color="000000" w:sz="8"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（1）拖洗所有卫生间地面，抹净洁具、门框、墙身，保持无灰尘、无垃圾、无异味、无手脚印、无污渍等。</w:t>
            </w:r>
            <w:r/>
          </w:p>
        </w:tc>
      </w:tr>
      <w:tr>
        <w:trPr>
          <w:trHeight w:val="1698"/>
        </w:trPr>
        <w:tc>
          <w:tcPr>
            <w:shd w:val="clear" w:color="auto" w:fill="auto"/>
            <w:tcBorders>
              <w:left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left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000000" w:sz="8" w:space="0"/>
              <w:bottom w:val="single" w:color="auto" w:sz="4"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p>
        </w:tc>
      </w:tr>
      <w:tr>
        <w:trPr>
          <w:trHeight w:val="1019"/>
        </w:trPr>
        <w:tc>
          <w:tcPr>
            <w:shd w:val="clear" w:color="auto" w:fill="auto"/>
            <w:tcBorders>
              <w:left w:val="single" w:color="000000" w:sz="8" w:space="0"/>
              <w:bottom w:val="single" w:color="000000" w:sz="8" w:space="0"/>
              <w:right w:val="single" w:color="000000" w:sz="8" w:space="0"/>
            </w:tcBorders>
            <w:tcW w:w="425"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r>
            <w:r/>
          </w:p>
        </w:tc>
        <w:tc>
          <w:tcPr>
            <w:shd w:val="clear" w:color="auto" w:fill="auto"/>
            <w:tcBorders>
              <w:left w:val="single" w:color="000000" w:sz="8" w:space="0"/>
              <w:bottom w:val="single" w:color="000000" w:sz="8" w:space="0"/>
              <w:right w:val="single" w:color="000000" w:sz="8" w:space="0"/>
            </w:tcBorders>
            <w:tcW w:w="982"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000000" w:sz="8" w:space="0"/>
              <w:bottom w:val="single" w:color="000000" w:sz="8" w:space="0"/>
              <w:right w:val="single" w:color="000000" w:sz="8" w:space="0"/>
            </w:tcBorders>
            <w:tcW w:w="3591"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（3）每周至少1次全面清洗墙面瓷砖，地面用清洁剂刷洗，天花擦净，保持干净，无污渍。卫生间的地面每天拖地至少2次以上，每天至少冲洗1次，保持地面干燥。</w:t>
            </w:r>
            <w:r/>
          </w:p>
        </w:tc>
      </w:tr>
    </w:tbl>
    <w:p>
      <w:pPr>
        <w:spacing w:after="0"/>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p>
    <w:p>
      <w:pPr>
        <w:ind w:firstLine="482"/>
        <w:spacing w:after="0"/>
        <w:rPr>
          <w:rFonts w:hint="eastAsia" w:ascii="宋体" w:hAnsi="宋体" w:eastAsia="宋体" w:cs="宋体"/>
          <w:color w:val="auto"/>
          <w:sz w:val="24"/>
          <w:highlight w:val="white"/>
        </w:rPr>
      </w:pPr>
      <w:r>
        <w:rPr>
          <w:rFonts w:hint="eastAsia" w:ascii="宋体" w:hAnsi="宋体" w:eastAsia="宋体" w:cs="宋体"/>
          <w:b/>
          <w:bCs/>
          <w:color w:val="auto"/>
          <w:sz w:val="24"/>
          <w:highlight w:val="white"/>
          <w:lang w:bidi="ar"/>
        </w:rPr>
        <w:t xml:space="preserve">3.5会议服务</w:t>
      </w:r>
      <w:r/>
    </w:p>
    <w:tbl>
      <w:tblPr>
        <w:tblStyle w:val="827"/>
        <w:tblW w:w="493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6"/>
        <w:gridCol w:w="6709"/>
      </w:tblGrid>
      <w:tr>
        <w:trPr>
          <w:trHeight w:val="502"/>
        </w:trPr>
        <w:tc>
          <w:tcPr>
            <w:shd w:val="clear" w:color="auto" w:fill="auto"/>
            <w:tcW w:w="45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序号</w:t>
            </w:r>
            <w:r/>
          </w:p>
        </w:tc>
        <w:tc>
          <w:tcPr>
            <w:shd w:val="clear" w:color="auto" w:fill="auto"/>
            <w:tcW w:w="71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服务内容</w:t>
            </w:r>
            <w:r/>
          </w:p>
        </w:tc>
        <w:tc>
          <w:tcPr>
            <w:shd w:val="clear" w:color="auto" w:fill="auto"/>
            <w:tcW w:w="383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lang w:bidi="ar"/>
              </w:rPr>
              <w:t xml:space="preserve">服务标准</w:t>
            </w:r>
            <w:r/>
          </w:p>
        </w:tc>
      </w:tr>
      <w:tr>
        <w:trPr>
          <w:trHeight w:val="454"/>
        </w:trPr>
        <w:tc>
          <w:tcPr>
            <w:shd w:val="clear" w:color="auto" w:fill="auto"/>
            <w:tcW w:w="45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1</w:t>
            </w:r>
            <w:r/>
          </w:p>
        </w:tc>
        <w:tc>
          <w:tcPr>
            <w:shd w:val="clear" w:color="auto" w:fill="auto"/>
            <w:tcW w:w="71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基本要求</w:t>
            </w:r>
            <w:r/>
          </w:p>
        </w:tc>
        <w:tc>
          <w:tcPr>
            <w:shd w:val="clear" w:color="auto" w:fill="auto"/>
            <w:tcW w:w="3835"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shd w:val="clear" w:color="auto" w:fill="auto"/>
            <w:tcBorders>
              <w:bottom w:val="single" w:color="000000" w:sz="8" w:space="0"/>
            </w:tcBorders>
            <w:tcW w:w="45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2</w:t>
            </w:r>
            <w:r/>
          </w:p>
        </w:tc>
        <w:tc>
          <w:tcPr>
            <w:shd w:val="clear" w:color="auto" w:fill="auto"/>
            <w:tcW w:w="71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bidi="ar"/>
              </w:rPr>
              <w:t xml:space="preserve">会议服务</w:t>
            </w:r>
            <w:r/>
          </w:p>
        </w:tc>
        <w:tc>
          <w:tcPr>
            <w:shd w:val="clear" w:color="auto" w:fill="auto"/>
            <w:tcW w:w="3835"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darkCyan"/>
              </w:rPr>
            </w:pPr>
            <w:r>
              <w:rPr>
                <w:rFonts w:hint="eastAsia" w:ascii="宋体" w:hAnsi="宋体" w:eastAsia="宋体" w:cs="宋体"/>
                <w:color w:val="auto"/>
                <w:sz w:val="24"/>
                <w:szCs w:val="24"/>
              </w:rPr>
              <w:t xml:space="preserve">（1）做好会前准备工作，检查会议所需物品，并按要求摆放整齐。舞台灯光、音响、空调等设备设施由专人负责运维保障。</w:t>
            </w:r>
            <w:r/>
          </w:p>
          <w:p>
            <w:pPr>
              <w:keepLines w:val="0"/>
              <w:keepNext w:val="0"/>
              <w:pageBreakBefore w:val="0"/>
              <w:spacing w:after="0"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（2）做好作会场及周围环境卫生工作</w:t>
            </w:r>
            <w:r>
              <w:rPr>
                <w:rFonts w:hint="eastAsia" w:ascii="宋体" w:hAnsi="宋体" w:cs="宋体"/>
                <w:color w:val="auto"/>
                <w:sz w:val="24"/>
                <w:szCs w:val="24"/>
                <w:lang w:eastAsia="zh-CN"/>
              </w:rPr>
              <w:t xml:space="preserve">。</w:t>
            </w:r>
            <w:r/>
          </w:p>
          <w:p>
            <w:pPr>
              <w:keepLines w:val="0"/>
              <w:keepNext w:val="0"/>
              <w:pageBreakBefore w:val="0"/>
              <w:spacing w:after="0"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（3）做好会议过程中的服务</w:t>
            </w:r>
            <w:r>
              <w:rPr>
                <w:rFonts w:hint="eastAsia" w:ascii="宋体" w:hAnsi="宋体" w:cs="宋体"/>
                <w:color w:val="auto"/>
                <w:sz w:val="24"/>
                <w:szCs w:val="24"/>
                <w:lang w:eastAsia="zh-CN"/>
              </w:rPr>
              <w:t xml:space="preserve">。</w:t>
            </w:r>
            <w:r/>
          </w:p>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（4）会议结束后，立即清理会场物品，打扫会场卫生，检查设备设施是否全部关闭，锁好会议室门。</w:t>
            </w:r>
            <w:r/>
          </w:p>
        </w:tc>
      </w:tr>
      <w:tr>
        <w:trPr>
          <w:trHeight w:val="454"/>
        </w:trPr>
        <w:tc>
          <w:tcPr>
            <w:shd w:val="clear" w:color="auto" w:fill="auto"/>
            <w:tcBorders>
              <w:top w:val="single" w:color="000000" w:sz="8" w:space="0"/>
              <w:left w:val="single" w:color="000000" w:sz="8" w:space="0"/>
              <w:bottom w:val="single" w:color="000000" w:sz="8" w:space="0"/>
              <w:right w:val="single" w:color="000000" w:sz="8" w:space="0"/>
            </w:tcBorders>
            <w:tcW w:w="45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shd w:val="clear" w:color="auto" w:fill="auto"/>
            <w:tcBorders>
              <w:left w:val="single" w:color="000000" w:sz="8" w:space="0"/>
            </w:tcBorders>
            <w:tcW w:w="71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报刊收发及邮寄</w:t>
            </w:r>
            <w:r/>
          </w:p>
        </w:tc>
        <w:tc>
          <w:tcPr>
            <w:shd w:val="clear" w:color="auto" w:fill="auto"/>
            <w:tcW w:w="3835"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（1）对邮件、包裹和挂号信等进行正确分理、安全检查和防疫卫生检查。</w:t>
            </w:r>
            <w:r/>
          </w:p>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（2）及时将报刊、信件分发至各处室，不丢缺、不错发。</w:t>
            </w:r>
            <w:r/>
          </w:p>
          <w:p>
            <w:pPr>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（3）做好邮件发送登记，及时投送或通知收件人领取。</w:t>
            </w:r>
            <w:r/>
          </w:p>
          <w:p>
            <w:pPr>
              <w:keepLines w:val="0"/>
              <w:keepNext w:val="0"/>
              <w:pageBreakBefore w:val="0"/>
              <w:spacing w:after="0" w:line="40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（4）大件物品出入向采购人报告，待采购人确认无误后放行。</w:t>
            </w:r>
            <w:r/>
          </w:p>
        </w:tc>
      </w:tr>
    </w:tbl>
    <w:p>
      <w:pPr>
        <w:spacing w:after="0"/>
        <w:rPr>
          <w:rFonts w:hint="eastAsia" w:ascii="宋体" w:hAnsi="宋体" w:eastAsia="宋体" w:cs="宋体"/>
          <w:color w:val="auto"/>
          <w:sz w:val="24"/>
          <w:highlight w:val="white"/>
        </w:rPr>
      </w:pPr>
      <w:r>
        <w:rPr>
          <w:rFonts w:hint="eastAsia" w:ascii="宋体" w:hAnsi="宋体" w:eastAsia="宋体" w:cs="宋体"/>
          <w:color w:val="auto"/>
          <w:sz w:val="24"/>
          <w:highlight w:val="white"/>
          <w:lang w:bidi="ar"/>
        </w:rPr>
        <w:t xml:space="preserve"> </w:t>
      </w:r>
      <w:r/>
    </w:p>
    <w:p>
      <w:pPr>
        <w:ind w:firstLine="482"/>
        <w:spacing w:after="0"/>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bidi="ar"/>
        </w:rPr>
        <w:t xml:space="preserve">3.6消防、安全保卫服务</w:t>
      </w:r>
      <w:r/>
    </w:p>
    <w:tbl>
      <w:tblPr>
        <w:tblStyle w:val="827"/>
        <w:tblW w:w="494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239"/>
        <w:gridCol w:w="6679"/>
      </w:tblGrid>
      <w:tr>
        <w:trPr>
          <w:trHeight w:val="464"/>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服务内容</w:t>
            </w:r>
            <w:r/>
          </w:p>
        </w:tc>
        <w:tc>
          <w:tcPr>
            <w:shd w:val="clear" w:color="auto" w:fill="auto"/>
            <w:tcW w:w="3812"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服务标准</w:t>
            </w:r>
            <w:r/>
          </w:p>
        </w:tc>
      </w:tr>
      <w:tr>
        <w:trPr>
          <w:trHeight w:val="454"/>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基本要求</w:t>
            </w:r>
            <w:r/>
          </w:p>
        </w:tc>
        <w:tc>
          <w:tcPr>
            <w:shd w:val="clear" w:color="auto" w:fill="auto"/>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（1）建立保安服务相关制度，并按照执行。 </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（2）对巡查、值守及异常情况等做好相关记录，填写规范，建立台账，保存完好。 </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新四军纪念馆广场面积大，物业单位须配备巡逻车，提高工作效能。物业单位须为服务人员配备对讲机（不少于35台），保证在服务区域内通讯畅通。</w:t>
            </w:r>
            <w:r/>
          </w:p>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（4）配备保安服务必要的器材。</w:t>
            </w:r>
            <w:r/>
          </w:p>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）保安人员应掌握基本的</w:t>
            </w:r>
            <w:r>
              <w:rPr>
                <w:rFonts w:hint="eastAsia" w:ascii="宋体" w:hAnsi="宋体" w:cs="宋体"/>
                <w:color w:val="auto"/>
                <w:sz w:val="24"/>
                <w:szCs w:val="24"/>
                <w:highlight w:val="none"/>
                <w:lang w:eastAsia="zh-CN" w:bidi="ar"/>
              </w:rPr>
              <w:t xml:space="preserve">应急救援</w:t>
            </w:r>
            <w:r>
              <w:rPr>
                <w:rFonts w:hint="eastAsia" w:ascii="宋体" w:hAnsi="宋体" w:eastAsia="宋体" w:cs="宋体"/>
                <w:color w:val="auto"/>
                <w:sz w:val="24"/>
                <w:szCs w:val="24"/>
                <w:highlight w:val="none"/>
                <w:lang w:bidi="ar"/>
              </w:rPr>
              <w:t xml:space="preserve">知识和技能，能够在游客突发疾病、意外受伤等紧急情况下，第一时间采取科学、有效的初步救助措施，并配合医疗人员做好后续处置。</w:t>
            </w:r>
            <w:r/>
          </w:p>
        </w:tc>
      </w:tr>
      <w:tr>
        <w:trPr>
          <w:trHeight w:val="156"/>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w:t>
            </w:r>
            <w:r/>
          </w:p>
        </w:tc>
        <w:tc>
          <w:tcPr>
            <w:shd w:val="clear" w:color="auto" w:fill="auto"/>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认识到新四军纪念馆（含泰山庙）作为国家一级博物馆、全国重点文物保护单位、国家4A级旅游景区、全国文明单位的的重要性和防火、防盗、公共安全、文物安全等方面的特殊性。如发生责任事故，依法承担相应的法律责任，并接受新四军纪念馆《物业保安工作考核处理办法》的处理。保安人员应具有公安部门发放的保安员证书，具备消防</w:t>
            </w:r>
            <w:r>
              <w:rPr>
                <w:rFonts w:hint="eastAsia" w:ascii="宋体" w:hAnsi="宋体" w:eastAsia="宋体" w:cs="宋体"/>
                <w:color w:val="auto"/>
                <w:sz w:val="24"/>
                <w:szCs w:val="24"/>
                <w:highlight w:val="none"/>
              </w:rPr>
              <w:t xml:space="preserve">“四个能力”；严格遵守各项规章制度，坚守岗位，按章按规填写各项交接班、值班登记表；熟悉掌握新四军纪念馆消防、安全保卫工作的重点部位和防范应急措施，防止火灾、盗窃、破坏、暴恐袭击、非法信访、寻衅滋事、影响维稳等突发事件的发生；遇到突发事件和异常情况，保安人员及时汇报，并按预案处置要求，采取相应措施，确保安全。保安人员工作期间统一着装，姿态端庄，保持窗口单位文明形象，做好“门前三包”工作；按我馆《参观须知》进行参观秩序维护，与游客观众交流时，用语文明温和，行为礼貌规范；夜间值班保安员值班期间按时巡更，禁止睡觉。</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注：①白班即6:00-18:00，纪念馆每天至少有4名男性安保人员负责外场值班巡逻及交接班工作，同时这些人员必须要具备担任微型消防站岗位、游客服中心岗位及安检口岗位的能力。</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②另外安检口必须保证2名男性安检人员，并且需要具备担任微型消防站岗位能力。</w:t>
            </w:r>
            <w:r/>
          </w:p>
          <w:p>
            <w:pPr>
              <w:ind w:firstLine="42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③夜间即18:00-6:00，纪念馆泰山庙外场值班巡逻员为男性安保人员，并且需要具备担任微型消防站岗位能力。</w:t>
            </w:r>
            <w:r/>
          </w:p>
          <w:p>
            <w:pPr>
              <w:ind w:firstLine="42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④服务人员性别比例应符合纪念馆消防安全工作要求。</w:t>
            </w:r>
            <w:r/>
          </w:p>
          <w:p>
            <w:pPr>
              <w:ind w:firstLine="420"/>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服务人员当班期间须不间断巡逻，保持高度警惕，保护资产及展馆、文物、场景、艺术品、多媒体、展板、广场大型兵器、雕塑和各种设施、设备及绿化的安全。如因物业管理不到位，人员履职不当，造成损坏的，均由物业单位按照要求修缮或者原价赔偿。</w:t>
            </w:r>
            <w:r/>
          </w:p>
        </w:tc>
      </w:tr>
      <w:tr>
        <w:trPr>
          <w:trHeight w:val="461"/>
        </w:trPr>
        <w:tc>
          <w:tcPr>
            <w:shd w:val="clear" w:color="auto" w:fill="auto"/>
            <w:tcW w:w="47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707"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消防系统</w:t>
            </w:r>
            <w:r/>
          </w:p>
        </w:tc>
        <w:tc>
          <w:tcPr>
            <w:shd w:val="clear" w:color="auto" w:fill="auto"/>
            <w:tcBorders>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（1）负责督促消防维保单位定期开展维保工作、及时修复隐患故障。</w:t>
            </w:r>
            <w:r/>
          </w:p>
        </w:tc>
      </w:tr>
      <w:tr>
        <w:trPr>
          <w:trHeight w:val="472"/>
        </w:trPr>
        <w:tc>
          <w:tcPr>
            <w:shd w:val="clear" w:color="auto" w:fill="auto"/>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自动消防设备和消防电源、消防泵房、室内外消火栓、紧急疏散出口、防火门、灭火喷头、机械排烟口和送风口、排烟窗、火灾探测器、手动火灾报警按钮、声光报警装置、手提式灭火器等消防设施设备正常运行。</w:t>
            </w:r>
            <w:r/>
          </w:p>
        </w:tc>
      </w:tr>
      <w:tr>
        <w:trPr>
          <w:trHeight w:val="367"/>
        </w:trPr>
        <w:tc>
          <w:tcPr>
            <w:shd w:val="clear" w:color="auto" w:fill="auto"/>
            <w:tcBorders>
              <w:bottom w:val="single" w:color="auto" w:sz="4"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bottom w:val="single" w:color="auto" w:sz="4"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（3）物业项目部及时巡检，发现消防设备问题故障及时上报。</w:t>
            </w:r>
            <w:r/>
          </w:p>
        </w:tc>
      </w:tr>
      <w:tr>
        <w:trPr>
          <w:trHeight w:val="672"/>
        </w:trPr>
        <w:tc>
          <w:tcPr>
            <w:shd w:val="clear" w:color="auto" w:fill="auto"/>
            <w:tcBorders>
              <w:top w:val="single" w:color="auto" w:sz="4" w:space="0"/>
            </w:tcBorders>
            <w:tcW w:w="47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auto" w:sz="4" w:space="0"/>
            </w:tcBorders>
            <w:tcW w:w="707"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安防系统</w:t>
            </w:r>
            <w:r/>
          </w:p>
        </w:tc>
        <w:tc>
          <w:tcPr>
            <w:shd w:val="clear" w:color="auto" w:fill="auto"/>
            <w:tcBorders>
              <w:top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（1）门窗保持完好，电子门禁系统、安检口X光验包机、安检门、视频监控设备、周界报警、防入侵、 “110”红外报警等技防设施正常运行。</w:t>
            </w:r>
            <w:r/>
          </w:p>
        </w:tc>
      </w:tr>
      <w:tr>
        <w:trPr>
          <w:trHeight w:val="448"/>
        </w:trPr>
        <w:tc>
          <w:tcPr>
            <w:shd w:val="clear" w:color="auto" w:fill="auto"/>
            <w:tcBorders>
              <w:bottom w:val="single" w:color="auto" w:sz="4"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bottom w:val="single" w:color="auto" w:sz="4"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（2）物业项目部及时巡检，</w:t>
            </w:r>
            <w:r>
              <w:rPr>
                <w:rFonts w:hint="eastAsia" w:ascii="宋体" w:hAnsi="宋体" w:eastAsia="宋体" w:cs="宋体"/>
                <w:color w:val="auto"/>
                <w:sz w:val="24"/>
                <w:szCs w:val="24"/>
                <w:highlight w:val="none"/>
                <w:lang w:bidi="ar"/>
              </w:rPr>
              <w:t xml:space="preserve">发现</w:t>
            </w:r>
            <w:r>
              <w:rPr>
                <w:rFonts w:hint="eastAsia" w:ascii="宋体" w:hAnsi="宋体" w:eastAsia="宋体" w:cs="宋体"/>
                <w:color w:val="auto"/>
                <w:sz w:val="24"/>
                <w:szCs w:val="24"/>
                <w:highlight w:val="none"/>
              </w:rPr>
              <w:t xml:space="preserve">安防设备问题故障</w:t>
            </w:r>
            <w:r>
              <w:rPr>
                <w:rFonts w:hint="eastAsia" w:ascii="宋体" w:hAnsi="宋体" w:eastAsia="宋体" w:cs="宋体"/>
                <w:color w:val="auto"/>
                <w:sz w:val="24"/>
                <w:szCs w:val="24"/>
                <w:highlight w:val="none"/>
                <w:lang w:bidi="ar"/>
              </w:rPr>
              <w:t xml:space="preserve">及时上报。</w:t>
            </w:r>
            <w:r/>
          </w:p>
        </w:tc>
      </w:tr>
      <w:tr>
        <w:trPr>
          <w:trHeight w:val="341"/>
        </w:trPr>
        <w:tc>
          <w:tcPr>
            <w:shd w:val="clear" w:color="auto" w:fill="auto"/>
            <w:tcBorders>
              <w:top w:val="single" w:color="auto" w:sz="4" w:space="0"/>
            </w:tcBorders>
            <w:tcW w:w="47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auto" w:sz="4" w:space="0"/>
            </w:tcBorders>
            <w:tcW w:w="707"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控制中心</w:t>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（1）纪念馆设有馆区和泰山庙2处控制中心，都实行24小时双人值班。</w:t>
            </w:r>
            <w:r/>
          </w:p>
        </w:tc>
      </w:tr>
      <w:tr>
        <w:trPr>
          <w:trHeight w:val="1018"/>
        </w:trPr>
        <w:tc>
          <w:tcPr>
            <w:shd w:val="clear" w:color="auto" w:fill="auto"/>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控制中心监控人员必须具有消防部门颁发的从业资格证书</w:t>
            </w:r>
            <w:r>
              <w:rPr>
                <w:rFonts w:hint="eastAsia" w:ascii="宋体" w:hAnsi="宋体" w:eastAsia="宋体" w:cs="宋体"/>
                <w:color w:val="auto"/>
                <w:sz w:val="24"/>
                <w:szCs w:val="24"/>
                <w:highlight w:val="none"/>
              </w:rPr>
              <w:t xml:space="preserve">，有一定的组织管理、指挥与协调能力。能够熟练掌握各种消防、安防技术设备的使用并做好设备的管理和记录工作。</w:t>
            </w:r>
            <w:r/>
          </w:p>
        </w:tc>
      </w:tr>
      <w:tr>
        <w:trPr>
          <w:trHeight w:val="90"/>
        </w:trPr>
        <w:tc>
          <w:tcPr>
            <w:shd w:val="clear" w:color="auto" w:fill="auto"/>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（3）做好纪念馆每日防火巡查和记录工作，发生紧急情况按我馆《消防应急预案》及时处理并上报。</w:t>
            </w:r>
            <w:r/>
          </w:p>
        </w:tc>
      </w:tr>
      <w:tr>
        <w:trPr>
          <w:trHeight w:val="667"/>
        </w:trPr>
        <w:tc>
          <w:tcPr>
            <w:shd w:val="clear" w:color="auto" w:fill="auto"/>
            <w:tcW w:w="47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W w:w="707"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门卫值班</w:t>
            </w:r>
            <w:r/>
          </w:p>
        </w:tc>
        <w:tc>
          <w:tcPr>
            <w:shd w:val="clear" w:color="auto" w:fill="auto"/>
            <w:tcBorders>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（1）做好进出人员、车辆的管理登记工作；闭馆期间，禁止其他非工作人员进入。 </w:t>
            </w:r>
            <w:r/>
          </w:p>
        </w:tc>
      </w:tr>
      <w:tr>
        <w:trPr>
          <w:trHeight w:val="667"/>
        </w:trPr>
        <w:tc>
          <w:tcPr>
            <w:shd w:val="clear" w:color="auto" w:fill="auto"/>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（2）保持职业敏感度，发现形迹可疑、聚众滋事、非法信访、非法传销、流动商贩、流浪乞讨、醉酒、携带宠物等不准进馆的人员，禁止入馆。</w:t>
            </w:r>
            <w:r/>
          </w:p>
        </w:tc>
      </w:tr>
      <w:tr>
        <w:trPr>
          <w:trHeight w:val="679"/>
        </w:trPr>
        <w:tc>
          <w:tcPr>
            <w:shd w:val="clear" w:color="auto" w:fill="auto"/>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bottom w:val="single" w:color="000000" w:sz="8"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（3）门卫值班人员应妥善保管各类进出登记表、值班记录等纸质文件，每日汇总整理，不得随意堆放或外泄。</w:t>
            </w:r>
            <w:r/>
          </w:p>
        </w:tc>
      </w:tr>
      <w:tr>
        <w:trPr>
          <w:trHeight w:val="1032"/>
        </w:trPr>
        <w:tc>
          <w:tcPr>
            <w:shd w:val="clear" w:color="auto" w:fill="auto"/>
            <w:tcBorders>
              <w:right w:val="single" w:color="000000" w:sz="8" w:space="0"/>
            </w:tcBorders>
            <w:tcW w:w="47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8" w:space="0"/>
              <w:left w:val="single" w:color="000000" w:sz="8" w:space="0"/>
              <w:right w:val="single" w:color="000000" w:sz="8" w:space="0"/>
            </w:tcBorders>
            <w:tcW w:w="707"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进口安检</w:t>
            </w:r>
            <w:r/>
          </w:p>
        </w:tc>
        <w:tc>
          <w:tcPr>
            <w:shd w:val="clear" w:color="auto" w:fill="auto"/>
            <w:tcBorders>
              <w:left w:val="single" w:color="000000" w:sz="8"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（1）发现形迹可疑、聚众滋事、非法信访、非法传销、流动商贩、流浪乞讨、携带宠物等不准进馆的人员以及抽烟、醉酒、衣履不整等违反我馆管理规定的游客观众，禁止入馆。</w:t>
            </w:r>
            <w:r/>
          </w:p>
        </w:tc>
      </w:tr>
      <w:tr>
        <w:trPr>
          <w:trHeight w:val="271"/>
        </w:trPr>
        <w:tc>
          <w:tcPr>
            <w:shd w:val="clear" w:color="auto" w:fill="auto"/>
            <w:tcBorders>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8"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（2）熟练掌握安检门、X光检包机等安防设备的使用。</w:t>
            </w:r>
            <w:r/>
          </w:p>
        </w:tc>
      </w:tr>
      <w:tr>
        <w:trPr>
          <w:trHeight w:val="380"/>
        </w:trPr>
        <w:tc>
          <w:tcPr>
            <w:shd w:val="clear" w:color="auto" w:fill="auto"/>
            <w:tcBorders>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8"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（3）禁止携带易燃易爆、管制刀具等违禁物品的游客观众进入展厅。</w:t>
            </w:r>
            <w:r/>
          </w:p>
        </w:tc>
      </w:tr>
      <w:tr>
        <w:trPr>
          <w:trHeight w:val="271"/>
        </w:trPr>
        <w:tc>
          <w:tcPr>
            <w:shd w:val="clear" w:color="auto" w:fill="auto"/>
            <w:tcBorders>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right w:val="single" w:color="000000" w:sz="8"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8" w:space="0"/>
              <w:bottom w:val="single" w:color="auto" w:sz="4"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（4）引导携带大型包裹的游客观众将包裹存入自动存包柜。</w:t>
            </w:r>
            <w:r/>
          </w:p>
        </w:tc>
      </w:tr>
      <w:tr>
        <w:trPr>
          <w:trHeight w:val="526"/>
        </w:trPr>
        <w:tc>
          <w:tcPr>
            <w:shd w:val="clear" w:color="auto" w:fill="auto"/>
            <w:tcBorders>
              <w:right w:val="single" w:color="000000" w:sz="8" w:space="0"/>
            </w:tcBorders>
            <w:tcW w:w="47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left w:val="single" w:color="000000" w:sz="8" w:space="0"/>
              <w:bottom w:val="single" w:color="000000" w:sz="8" w:space="0"/>
              <w:right w:val="single" w:color="000000" w:sz="8" w:space="0"/>
            </w:tcBorders>
            <w:tcW w:w="707"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8" w:space="0"/>
            </w:tcBorders>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（5）熟练掌握我馆各项应急预案，遇突发事件，按预案要求做好游客疏散、救援、消防扑救等各项工作。</w:t>
            </w:r>
            <w:r/>
          </w:p>
        </w:tc>
      </w:tr>
      <w:tr>
        <w:trPr>
          <w:trHeight w:val="779"/>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8" w:space="0"/>
            </w:tcBorders>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展厅巡逻</w:t>
            </w:r>
            <w:r/>
          </w:p>
        </w:tc>
        <w:tc>
          <w:tcPr>
            <w:shd w:val="clear" w:color="auto" w:fill="auto"/>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（1）当班期间不间断巡逻，保持高度警惕，保护展览文物、场景、艺术品、多媒体、展板的安全。如因在班人员履职不当，造成损坏的，均由物业单位按照要求修缮或者原价赔偿。</w:t>
            </w:r>
            <w:r/>
          </w:p>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（2）展厅开放时，要维护好正常的参观秩序，发现抽烟、大声喧哗、追逐打闹、躺卧等违背我馆参观须知要求的不文明现象，要及时文明制止、礼貌劝导。 </w:t>
            </w:r>
            <w:r/>
          </w:p>
          <w:p>
            <w:pP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（3）闭馆期间，要检查门窗，水电，协助清查展厅。</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（4）熟练掌握我馆各项应急预案，遇突发事件，按预案要求做好游客疏散、救援、消防扑救等各项工作。 </w:t>
            </w:r>
            <w:r/>
          </w:p>
        </w:tc>
      </w:tr>
      <w:tr>
        <w:trPr>
          <w:trHeight w:val="1716"/>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“铁军书屋”值班</w:t>
            </w:r>
            <w:r/>
          </w:p>
        </w:tc>
        <w:tc>
          <w:tcPr>
            <w:shd w:val="clear" w:color="auto" w:fill="auto"/>
            <w:tcW w:w="3812" w:type="pct"/>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（1）当班期间做好书籍的管理工作，维护好“铁军书屋”的参观阅读环境秩序，发现抽烟、大声喧哗、追逐打闹等违背我馆参观须知要求的不文明现象，要及时文明制止、礼貌劝导。</w:t>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（2）闭馆期间，要检查门窗，水电，协助清查展厅。</w:t>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（3）熟练掌握我馆各项应急预案，遇突发事件，按预案要求做好游客疏散、救援、消防扑救等各项工作。</w:t>
            </w:r>
            <w:r/>
          </w:p>
        </w:tc>
      </w:tr>
      <w:tr>
        <w:trPr>
          <w:trHeight w:val="454"/>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展馆外巡逻</w:t>
            </w:r>
            <w:r/>
          </w:p>
        </w:tc>
        <w:tc>
          <w:tcPr>
            <w:shd w:val="clear" w:color="auto" w:fill="auto"/>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（1）广场值班巡逻人员实行24小时巡逻，夜间巡逻期间做好点更记录。</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班期间不间断巡逻，保持高度警惕，保护展馆、库房、广场大型兵器、雕塑和各种设施、设备及绿化的安全。维护好广场的正常参观秩序，发现抽烟、吵闹、追逐打闹、戏水、攀爬假山、放风筝、遛狗等现象，要及时文明制止、礼貌劝导。 </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（3）熟练掌握我馆各项应急预案，遇突发事件，按预案要求做好游客疏散、救援、消防扑救等各项工作。</w:t>
            </w:r>
            <w:r/>
          </w:p>
        </w:tc>
      </w:tr>
      <w:tr>
        <w:trPr>
          <w:trHeight w:val="454"/>
        </w:trPr>
        <w:tc>
          <w:tcPr>
            <w:shd w:val="clear" w:color="auto" w:fill="auto"/>
            <w:tcW w:w="47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W w:w="70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其它消防、安全保卫工作</w:t>
            </w:r>
            <w:r/>
          </w:p>
        </w:tc>
        <w:tc>
          <w:tcPr>
            <w:shd w:val="clear" w:color="auto" w:fill="auto"/>
            <w:tcW w:w="3812" w:type="pct"/>
            <w:vAlign w:val="center"/>
            <w:textDirection w:val="lrTb"/>
            <w:noWrap w:val="false"/>
          </w:tcPr>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（1）本馆内严禁明火和化学品、易燃易爆品等危险品进入。禁止在馆区内吸烟，如发现应立即劝阻、制止，并及时清理烟灰、烟蒂。</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（2）根据实际情况，承担举办临时性展览、大型活动、接待重要人物的参观活动、重大节日的庆典活动、会议等安全保安工作。</w:t>
            </w:r>
            <w:r/>
          </w:p>
          <w:p>
            <w:pP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（3）每年至少组织举行2次消防演练、2次突发事故应急处理演练；每月进行一次安全检查，做好检查记录；每周对物业人员进行岗位培训教育，定期组织保安人员训练。</w:t>
            </w:r>
            <w:r/>
          </w:p>
        </w:tc>
      </w:tr>
    </w:tbl>
    <w:p>
      <w:pPr>
        <w:spacing w:after="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left"/>
        <w:spacing w:after="0"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四、供应商履行合同所需的设备 </w:t>
      </w:r>
      <w:r/>
    </w:p>
    <w:p>
      <w:pPr>
        <w:ind w:firstLine="420"/>
        <w:jc w:val="left"/>
        <w:spacing w:after="0" w:line="5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本项目需要供应商提供以下作业设备（自有或租赁）用于物业管理服务。</w:t>
      </w:r>
      <w:r/>
    </w:p>
    <w:tbl>
      <w:tblPr>
        <w:tblStyle w:val="827"/>
        <w:tblW w:w="488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557"/>
        <w:gridCol w:w="2575"/>
        <w:gridCol w:w="1117"/>
        <w:gridCol w:w="1266"/>
        <w:gridCol w:w="1499"/>
      </w:tblGrid>
      <w:tr>
        <w:trPr>
          <w:trHeight w:val="807"/>
        </w:trPr>
        <w:tc>
          <w:tcPr>
            <w:shd w:val="clear" w:color="auto" w:fill="auto"/>
            <w:tcW w:w="37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W w:w="89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用途</w:t>
            </w:r>
            <w:r/>
          </w:p>
        </w:tc>
        <w:tc>
          <w:tcPr>
            <w:shd w:val="clear" w:color="auto" w:fill="auto"/>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作业设备名称</w:t>
            </w:r>
            <w:r/>
          </w:p>
        </w:tc>
        <w:tc>
          <w:tcPr>
            <w:shd w:val="clear" w:color="auto" w:fill="auto"/>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数量</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单位</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tc>
      </w:tr>
      <w:tr>
        <w:trPr>
          <w:trHeight w:val="807"/>
        </w:trPr>
        <w:tc>
          <w:tcPr>
            <w:shd w:val="clear" w:color="auto" w:fill="auto"/>
            <w:tcW w:w="371"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89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保洁服务</w:t>
            </w:r>
            <w:r/>
          </w:p>
        </w:tc>
        <w:tc>
          <w:tcPr>
            <w:shd w:val="clear" w:color="auto" w:fill="auto"/>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四轮扫地车</w:t>
            </w:r>
            <w:r/>
          </w:p>
        </w:tc>
        <w:tc>
          <w:tcPr>
            <w:shd w:val="clear" w:color="auto" w:fill="auto"/>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净重≥1.2吨</w:t>
            </w:r>
            <w:r/>
          </w:p>
        </w:tc>
      </w:tr>
      <w:tr>
        <w:trPr>
          <w:trHeight w:val="414"/>
        </w:trPr>
        <w:tc>
          <w:tcPr>
            <w:shd w:val="clear" w:color="auto" w:fill="auto"/>
            <w:tcW w:w="371"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99"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高压冲水车</w:t>
            </w:r>
            <w:r/>
          </w:p>
        </w:tc>
        <w:tc>
          <w:tcPr>
            <w:shd w:val="clear" w:color="auto" w:fill="auto"/>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辆</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冲洗地面</w:t>
            </w:r>
            <w:r/>
          </w:p>
        </w:tc>
      </w:tr>
      <w:tr>
        <w:trPr>
          <w:trHeight w:val="414"/>
        </w:trPr>
        <w:tc>
          <w:tcPr>
            <w:shd w:val="clear" w:color="auto" w:fill="auto"/>
            <w:tcW w:w="371"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99"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手持式鼓风机</w:t>
            </w:r>
            <w:r/>
          </w:p>
        </w:tc>
        <w:tc>
          <w:tcPr>
            <w:shd w:val="clear" w:color="auto" w:fill="auto"/>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清理落叶</w:t>
            </w:r>
            <w:r/>
          </w:p>
        </w:tc>
      </w:tr>
      <w:tr>
        <w:trPr>
          <w:trHeight w:val="414"/>
        </w:trPr>
        <w:tc>
          <w:tcPr>
            <w:shd w:val="clear" w:color="auto" w:fill="auto"/>
            <w:tcW w:w="371"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right w:val="single" w:color="000000" w:sz="8" w:space="0"/>
            </w:tcBorders>
            <w:tcW w:w="899"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常规保洁工具等</w:t>
            </w:r>
            <w:r/>
          </w:p>
        </w:tc>
        <w:tc>
          <w:tcPr>
            <w:shd w:val="clear" w:color="auto" w:fill="auto"/>
            <w:tcBorders>
              <w:left w:val="single" w:color="000000" w:sz="8" w:space="0"/>
            </w:tcBorders>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批</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按需</w:t>
            </w:r>
            <w:r/>
          </w:p>
        </w:tc>
      </w:tr>
      <w:tr>
        <w:trPr>
          <w:trHeight w:val="414"/>
        </w:trPr>
        <w:tc>
          <w:tcPr>
            <w:shd w:val="clear" w:color="auto" w:fill="auto"/>
            <w:tcW w:w="371"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899" w:type="pct"/>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保安服务</w:t>
            </w:r>
            <w:r/>
          </w:p>
        </w:tc>
        <w:tc>
          <w:tcPr>
            <w:shd w:val="clear" w:color="auto" w:fill="auto"/>
            <w:tcBorders>
              <w:top w:val="single" w:color="000000" w:sz="8" w:space="0"/>
              <w:bottom w:val="single" w:color="auto" w:sz="4" w:space="0"/>
            </w:tcBorders>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两轮巡逻电动车</w:t>
            </w:r>
            <w:r/>
          </w:p>
        </w:tc>
        <w:tc>
          <w:tcPr>
            <w:shd w:val="clear" w:color="auto" w:fill="auto"/>
            <w:tcBorders>
              <w:bottom w:val="single" w:color="auto" w:sz="4" w:space="0"/>
            </w:tcBorders>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bottom w:val="single" w:color="auto" w:sz="4" w:space="0"/>
            </w:tcBorders>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Borders>
              <w:bottom w:val="single" w:color="auto" w:sz="4" w:space="0"/>
            </w:tcBorders>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7"/>
        </w:trPr>
        <w:tc>
          <w:tcPr>
            <w:shd w:val="clear" w:color="auto" w:fill="auto"/>
            <w:tcW w:w="371"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W w:w="899" w:type="pct"/>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auto" w:sz="4" w:space="0"/>
            </w:tcBorders>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无线对讲机等保安设备</w:t>
            </w:r>
            <w:r/>
          </w:p>
        </w:tc>
        <w:tc>
          <w:tcPr>
            <w:shd w:val="clear" w:color="auto" w:fill="auto"/>
            <w:tcBorders>
              <w:top w:val="single" w:color="auto" w:sz="4" w:space="0"/>
            </w:tcBorders>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auto" w:sz="4" w:space="0"/>
            </w:tcBorders>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批</w:t>
            </w:r>
            <w:r/>
          </w:p>
        </w:tc>
        <w:tc>
          <w:tcPr>
            <w:shd w:val="clear" w:color="auto" w:fill="auto"/>
            <w:tcBorders>
              <w:top w:val="single" w:color="auto" w:sz="4" w:space="0"/>
            </w:tcBorders>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不少于35台</w:t>
            </w:r>
            <w:r/>
          </w:p>
        </w:tc>
      </w:tr>
      <w:tr>
        <w:trPr>
          <w:trHeight w:val="827"/>
        </w:trPr>
        <w:tc>
          <w:tcPr>
            <w:shd w:val="clear" w:color="auto" w:fill="auto"/>
            <w:tcW w:w="37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899"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工程维修服务</w:t>
            </w:r>
            <w:r/>
          </w:p>
        </w:tc>
        <w:tc>
          <w:tcPr>
            <w:shd w:val="clear" w:color="auto" w:fill="auto"/>
            <w:tcW w:w="1487"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维修工具等</w:t>
            </w:r>
            <w:r/>
          </w:p>
        </w:tc>
        <w:tc>
          <w:tcPr>
            <w:shd w:val="clear" w:color="auto" w:fill="auto"/>
            <w:tcW w:w="64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731"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批</w:t>
            </w:r>
            <w:r/>
          </w:p>
        </w:tc>
        <w:tc>
          <w:tcPr>
            <w:shd w:val="clear" w:color="auto" w:fill="auto"/>
            <w:tcW w:w="865" w:type="pct"/>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按需</w:t>
            </w:r>
            <w:r/>
          </w:p>
        </w:tc>
      </w:tr>
    </w:tbl>
    <w:p>
      <w:pPr>
        <w:jc w:val="left"/>
        <w:spacing w:after="0" w:line="500" w:lineRule="exact"/>
        <w:widowControl/>
        <w:rPr>
          <w:rFonts w:hint="eastAsia" w:ascii="宋体" w:hAnsi="宋体" w:eastAsia="宋体" w:cs="宋体"/>
          <w:color w:val="auto"/>
          <w:sz w:val="24"/>
          <w:szCs w:val="32"/>
          <w:highlight w:val="none"/>
        </w:rPr>
      </w:pPr>
      <w:r>
        <w:rPr>
          <w:rFonts w:hint="eastAsia" w:ascii="宋体" w:hAnsi="宋体" w:eastAsia="宋体" w:cs="宋体"/>
          <w:b/>
          <w:bCs/>
          <w:color w:val="auto"/>
          <w:sz w:val="24"/>
          <w:highlight w:val="none"/>
          <w:lang w:bidi="ar"/>
        </w:rPr>
        <w:t xml:space="preserve">五、物业管理服务人员配备及相关要求</w:t>
      </w:r>
      <w:r/>
    </w:p>
    <w:p>
      <w:pPr>
        <w:pStyle w:val="825"/>
        <w:spacing w:line="50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4"/>
          <w:szCs w:val="32"/>
          <w:highlight w:val="none"/>
        </w:rPr>
        <w:t xml:space="preserve">5.1 </w:t>
      </w:r>
      <w:r>
        <w:rPr>
          <w:rFonts w:hint="eastAsia" w:ascii="宋体" w:hAnsi="宋体" w:eastAsia="宋体" w:cs="宋体"/>
          <w:color w:val="auto"/>
          <w:sz w:val="21"/>
          <w:szCs w:val="21"/>
          <w:highlight w:val="none"/>
          <w:lang w:val="en-US" w:eastAsia="zh-CN" w:bidi="ar"/>
        </w:rPr>
        <w:t xml:space="preserve">人员数量要求（投入本项目的各类人员数量不得小于下表标准，否则作无效标书处理。）</w:t>
      </w:r>
      <w:r/>
    </w:p>
    <w:tbl>
      <w:tblPr>
        <w:tblStyle w:val="793"/>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6"/>
        <w:gridCol w:w="4431"/>
        <w:gridCol w:w="1033"/>
      </w:tblGrid>
      <w:tr>
        <w:trPr>
          <w:jc w:val="center"/>
          <w:trHeight w:val="476"/>
        </w:trPr>
        <w:tc>
          <w:tcPr>
            <w:gridSpan w:val="3"/>
            <w:shd w:val="clear" w:color="auto" w:fill="auto"/>
            <w:tcW w:w="500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馆区物业人员配置表</w:t>
            </w:r>
            <w:r/>
          </w:p>
        </w:tc>
      </w:tr>
      <w:tr>
        <w:trPr>
          <w:jc w:val="center"/>
          <w:trHeight w:val="508"/>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  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   位</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人数</w:t>
            </w:r>
            <w:r/>
          </w:p>
        </w:tc>
      </w:tr>
      <w:tr>
        <w:trPr>
          <w:jc w:val="center"/>
          <w:trHeight w:val="476"/>
        </w:trPr>
        <w:tc>
          <w:tcPr>
            <w:shd w:val="clear" w:color="auto" w:fill="auto"/>
            <w:tcW w:w="1820"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监控室</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传达室</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东门</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r>
      <w:tr>
        <w:trPr>
          <w:jc w:val="center"/>
          <w:trHeight w:val="476"/>
        </w:trPr>
        <w:tc>
          <w:tcPr>
            <w:shd w:val="clear" w:color="auto" w:fill="auto"/>
            <w:tcW w:w="1820"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安检口</w:t>
            </w:r>
            <w:r/>
          </w:p>
        </w:tc>
        <w:tc>
          <w:tcPr>
            <w:shd w:val="clear" w:color="auto" w:fill="auto"/>
            <w:tcW w:w="599"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w:t>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游客中心</w:t>
            </w:r>
            <w:r/>
          </w:p>
        </w:tc>
        <w:tc>
          <w:tcPr>
            <w:tcW w:w="599"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展厅（含2名副队长）</w:t>
            </w:r>
            <w:r/>
          </w:p>
        </w:tc>
        <w:tc>
          <w:tcPr>
            <w:tcW w:w="599"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76"/>
        </w:trPr>
        <w:tc>
          <w:tcPr>
            <w:shd w:val="clear" w:color="auto" w:fill="auto"/>
            <w:tcW w:w="1820"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外场巡逻</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白天巡逻</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夜间巡逻</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设备维护人员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含1名副队长</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4</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会务接待</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含1名副队长</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6</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馆区合计人数</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w:t>
            </w:r>
            <w:r/>
          </w:p>
        </w:tc>
      </w:tr>
      <w:tr>
        <w:trPr>
          <w:jc w:val="center"/>
          <w:trHeight w:val="476"/>
        </w:trPr>
        <w:tc>
          <w:tcPr>
            <w:gridSpan w:val="3"/>
            <w:shd w:val="clear" w:color="auto" w:fill="auto"/>
            <w:tcW w:w="500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泰山庙物业人员配置表</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   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   位</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人数</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监控室</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r>
      <w:tr>
        <w:trPr>
          <w:jc w:val="center"/>
          <w:trHeight w:val="476"/>
        </w:trPr>
        <w:tc>
          <w:tcPr>
            <w:shd w:val="clear" w:color="auto" w:fill="auto"/>
            <w:tcW w:w="1820"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保安员</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安检口</w:t>
            </w:r>
            <w:r/>
          </w:p>
        </w:tc>
        <w:tc>
          <w:tcPr>
            <w:shd w:val="clear" w:color="auto" w:fill="auto"/>
            <w:tcW w:w="599" w:type="pct"/>
            <w:vAlign w:val="center"/>
            <w:vMerge w:val="restart"/>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一进</w:t>
            </w:r>
            <w:r/>
          </w:p>
        </w:tc>
        <w:tc>
          <w:tcPr>
            <w:tcW w:w="599"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二进</w:t>
            </w:r>
            <w:r/>
          </w:p>
        </w:tc>
        <w:tc>
          <w:tcPr>
            <w:tcW w:w="599"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76"/>
        </w:trPr>
        <w:tc>
          <w:tcPr>
            <w:tcW w:w="1820"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三进</w:t>
            </w:r>
            <w:r/>
          </w:p>
        </w:tc>
        <w:tc>
          <w:tcPr>
            <w:tcW w:w="599" w:type="pct"/>
            <w:vAlign w:val="center"/>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外场巡逻</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夜巡</w:t>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泰山庙合计人数</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p>
        </w:tc>
      </w:tr>
      <w:tr>
        <w:trPr>
          <w:jc w:val="center"/>
          <w:trHeight w:val="476"/>
        </w:trPr>
        <w:tc>
          <w:tcPr>
            <w:shd w:val="clear" w:color="auto" w:fill="auto"/>
            <w:tcW w:w="1820"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总计人数</w:t>
            </w:r>
            <w:r/>
          </w:p>
        </w:tc>
        <w:tc>
          <w:tcPr>
            <w:shd w:val="clear" w:color="auto" w:fill="auto"/>
            <w:tcW w:w="257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599" w:type="pct"/>
            <w:vAlign w:val="center"/>
            <w:textDirection w:val="lrTb"/>
            <w:noWrap/>
          </w:tcPr>
          <w:p>
            <w:pPr>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70</w:t>
            </w:r>
            <w:r/>
          </w:p>
        </w:tc>
      </w:tr>
    </w:tbl>
    <w:p>
      <w:pPr>
        <w:ind w:firstLine="480"/>
        <w:jc w:val="left"/>
        <w:spacing w:after="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注：上述岗位分配为主要性表述，如有遗漏不作为招标缺项，亦不作为中标人减少或降低服务的理由，由中标方按招标文件要求合理安排、完善，不留任何服务与管理死角。</w:t>
      </w:r>
      <w:r/>
    </w:p>
    <w:p>
      <w:pPr>
        <w:pStyle w:val="825"/>
        <w:spacing w:after="0" w:line="500" w:lineRule="exact"/>
        <w:rPr>
          <w:rFonts w:hint="eastAsia" w:ascii="宋体" w:hAnsi="宋体" w:eastAsia="宋体" w:cs="宋体"/>
          <w:b/>
          <w:color w:val="auto"/>
          <w:spacing w:val="15"/>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bidi="ar"/>
        </w:rPr>
        <w:t xml:space="preserve">人员综合素质要求</w:t>
      </w:r>
      <w:r/>
    </w:p>
    <w:tbl>
      <w:tblPr>
        <w:tblStyle w:val="79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725"/>
        <w:gridCol w:w="6409"/>
      </w:tblGrid>
      <w:tr>
        <w:trPr>
          <w:jc w:val="center"/>
          <w:trHeight w:val="1039"/>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序号</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项目职务</w:t>
            </w:r>
            <w:r/>
          </w:p>
        </w:tc>
        <w:tc>
          <w:tcPr>
            <w:tcW w:w="3619"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人员综合素质要求</w:t>
            </w:r>
            <w:r/>
          </w:p>
        </w:tc>
      </w:tr>
      <w:tr>
        <w:trPr>
          <w:jc w:val="center"/>
          <w:trHeight w:val="500"/>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项目负责人</w:t>
            </w:r>
            <w:r/>
          </w:p>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（项目经理）</w:t>
            </w:r>
            <w:r/>
          </w:p>
        </w:tc>
        <w:tc>
          <w:tcPr>
            <w:tcW w:w="3619" w:type="pct"/>
            <w:vAlign w:val="center"/>
            <w:textDirection w:val="lrTb"/>
            <w:noWrap w:val="false"/>
          </w:tcPr>
          <w:p>
            <w:pPr>
              <w:ind w:firstLine="480"/>
              <w:jc w:val="left"/>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rPr>
              <w:t xml:space="preserve">物业管理知识面广，专业技能熟练，</w:t>
            </w:r>
            <w:r>
              <w:rPr>
                <w:rFonts w:hint="eastAsia" w:ascii="宋体" w:hAnsi="宋体" w:eastAsia="宋体" w:cs="宋体"/>
                <w:bCs/>
                <w:color w:val="auto"/>
                <w:sz w:val="24"/>
                <w:szCs w:val="24"/>
                <w:highlight w:val="none"/>
                <w:lang w:bidi="ar"/>
              </w:rPr>
              <w:t xml:space="preserve">有较强的组织管理能力和协调沟通能力；有担任过类近项目物业服务项目经理2年以上管理经历。鉴于本项目消防安全等级高、责任重，项目经理需具备统筹管理消防应急事务的专业能力，熟悉消防设施监控与应急响应流程，以保障馆区消防安全万无一失。</w:t>
            </w:r>
            <w:r>
              <w:rPr>
                <w:rFonts w:hint="eastAsia" w:ascii="宋体" w:hAnsi="宋体" w:cs="宋体"/>
                <w:bCs/>
                <w:color w:val="auto"/>
                <w:sz w:val="24"/>
                <w:szCs w:val="24"/>
                <w:highlight w:val="none"/>
                <w:lang w:eastAsia="zh-CN" w:bidi="ar"/>
              </w:rPr>
              <w:t xml:space="preserve">同时</w:t>
            </w:r>
            <w:r>
              <w:rPr>
                <w:rFonts w:hint="eastAsia" w:ascii="宋体" w:hAnsi="宋体" w:eastAsia="宋体" w:cs="宋体"/>
                <w:bCs/>
                <w:color w:val="auto"/>
                <w:sz w:val="24"/>
                <w:szCs w:val="24"/>
                <w:highlight w:val="none"/>
                <w:lang w:bidi="ar"/>
              </w:rPr>
              <w:t xml:space="preserve">考虑到纪念馆作为红色教育基地和公共服务场所，项目经理需具备良好的</w:t>
            </w:r>
            <w:r>
              <w:rPr>
                <w:rFonts w:hint="eastAsia" w:ascii="宋体" w:hAnsi="宋体" w:eastAsia="宋体" w:cs="宋体"/>
                <w:b/>
                <w:bCs w:val="0"/>
                <w:color w:val="auto"/>
                <w:sz w:val="24"/>
                <w:szCs w:val="24"/>
                <w:highlight w:val="none"/>
                <w:lang w:bidi="ar"/>
              </w:rPr>
              <w:t xml:space="preserve">群众工作能力</w:t>
            </w:r>
            <w:r>
              <w:rPr>
                <w:rFonts w:hint="eastAsia" w:ascii="宋体" w:hAnsi="宋体" w:eastAsia="宋体" w:cs="宋体"/>
                <w:bCs/>
                <w:color w:val="auto"/>
                <w:sz w:val="24"/>
                <w:szCs w:val="24"/>
                <w:highlight w:val="none"/>
                <w:lang w:bidi="ar"/>
              </w:rPr>
              <w:t xml:space="preserve">，能够妥善处理观众咨询、投诉及各类矛盾纠纷，具备组织协调物业人员配合采购人开展公益活动、为特殊群体提供人性化服务的经验，以提升场馆</w:t>
            </w:r>
            <w:r>
              <w:rPr>
                <w:rFonts w:hint="eastAsia" w:ascii="宋体" w:hAnsi="宋体" w:eastAsia="宋体" w:cs="宋体"/>
                <w:b/>
                <w:bCs w:val="0"/>
                <w:color w:val="auto"/>
                <w:sz w:val="24"/>
                <w:szCs w:val="24"/>
                <w:highlight w:val="none"/>
                <w:lang w:bidi="ar"/>
              </w:rPr>
              <w:t xml:space="preserve">服务温度和社会效益</w:t>
            </w:r>
            <w:r>
              <w:rPr>
                <w:rFonts w:hint="eastAsia" w:ascii="宋体" w:hAnsi="宋体" w:eastAsia="宋体" w:cs="宋体"/>
                <w:bCs/>
                <w:color w:val="auto"/>
                <w:sz w:val="24"/>
                <w:szCs w:val="24"/>
                <w:highlight w:val="none"/>
                <w:lang w:bidi="ar"/>
              </w:rPr>
              <w:t xml:space="preserve">。</w:t>
            </w:r>
            <w:r/>
          </w:p>
        </w:tc>
      </w:tr>
      <w:tr>
        <w:trPr>
          <w:jc w:val="center"/>
          <w:trHeight w:val="1240"/>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保安队长</w:t>
            </w:r>
            <w:r/>
          </w:p>
        </w:tc>
        <w:tc>
          <w:tcPr>
            <w:tcW w:w="3619" w:type="pct"/>
            <w:vAlign w:val="center"/>
            <w:textDirection w:val="lrTb"/>
            <w:noWrap w:val="false"/>
          </w:tcPr>
          <w:p>
            <w:pPr>
              <w:ind w:firstLine="480"/>
              <w:jc w:val="left"/>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rPr>
              <w:t xml:space="preserve">高中（中技）及以上学历，持有公安部门颁发的保安资格证，身体健康，沉着稳重，原则性、纪律性强，掌握消防安全保卫技能，有一定的组织管理和协调能力，有2年以上安保管理经历。</w:t>
            </w:r>
            <w:r/>
          </w:p>
        </w:tc>
      </w:tr>
      <w:tr>
        <w:trPr>
          <w:jc w:val="center"/>
          <w:trHeight w:val="935"/>
        </w:trPr>
        <w:tc>
          <w:tcPr>
            <w:tcW w:w="405" w:type="pct"/>
            <w:vAlign w:val="center"/>
            <w:textDirection w:val="lrTb"/>
            <w:noWrap w:val="false"/>
          </w:tcPr>
          <w:p>
            <w:pPr>
              <w:jc w:val="center"/>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p>
        </w:tc>
        <w:tc>
          <w:tcPr>
            <w:tcW w:w="974" w:type="pct"/>
            <w:vAlign w:val="center"/>
            <w:textDirection w:val="lrTb"/>
            <w:noWrap w:val="false"/>
          </w:tcPr>
          <w:p>
            <w:pPr>
              <w:jc w:val="center"/>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保安人员</w:t>
            </w:r>
            <w:r/>
          </w:p>
        </w:tc>
        <w:tc>
          <w:tcPr>
            <w:tcW w:w="3619" w:type="pct"/>
            <w:vAlign w:val="center"/>
            <w:textDirection w:val="lrTb"/>
            <w:noWrap w:val="false"/>
          </w:tcPr>
          <w:p>
            <w:pPr>
              <w:ind w:firstLine="480"/>
              <w:keepLines w:val="0"/>
              <w:keepNext w:val="0"/>
              <w:pageBreakBefore w:val="0"/>
              <w:spacing w:after="0"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履约期内人员年龄须符合国家法定劳动年龄（其中男性55周岁、女性50周岁以上的人数不得超过总人数的20%，45周岁以下人员不得少于15人，夜间巡更人员须为男性）；</w:t>
            </w:r>
            <w:r>
              <w:rPr>
                <w:rFonts w:hint="eastAsia" w:ascii="宋体" w:hAnsi="宋体" w:eastAsia="宋体" w:cs="宋体"/>
                <w:bCs/>
                <w:color w:val="auto"/>
                <w:sz w:val="24"/>
                <w:szCs w:val="24"/>
                <w:highlight w:val="none"/>
                <w:lang w:eastAsia="zh-CN" w:bidi="ar"/>
              </w:rPr>
              <w:t xml:space="preserve">所有保安人员须</w:t>
            </w:r>
            <w:r>
              <w:rPr>
                <w:rFonts w:hint="eastAsia" w:ascii="宋体" w:hAnsi="宋体" w:eastAsia="宋体" w:cs="宋体"/>
                <w:bCs/>
                <w:color w:val="auto"/>
                <w:sz w:val="24"/>
                <w:szCs w:val="24"/>
                <w:highlight w:val="none"/>
                <w:lang w:bidi="ar"/>
              </w:rPr>
              <w:t xml:space="preserve">身体健康，五官端正，体态良好；责任心强，思想品质好，作风正派；接受过消防安全保卫相关训练，熟悉相关法律法规，掌握基本安全保卫技能，持有公安部门颁发的保安资格证。白班巡逻人员须具备担任微型消防站岗位、游客服中心岗位及安检口岗位的能力，安检人员具备担任微型消防站岗位能力，消防监控值班人员须具有相关能力及消防部门颁发的资格证书。</w:t>
            </w:r>
            <w:r>
              <w:rPr>
                <w:rFonts w:hint="eastAsia" w:ascii="宋体" w:hAnsi="宋体" w:eastAsia="宋体" w:cs="宋体"/>
                <w:color w:val="auto"/>
                <w:sz w:val="24"/>
                <w:szCs w:val="24"/>
                <w:highlight w:val="none"/>
              </w:rPr>
              <w:t xml:space="preserve">白天确保馆区有6名男性作为微型消防站应急队员、展厅有2名男性作为扑救员，夜班确保馆区5名男性作为微型消防站应急队员；白天确保泰山庙有4名男性作为微型消防站应急队员，夜班确保泰山庙有3名男性作为微型消防站应急队员。同时，作为人流密集的公共场所，为有效应对游客突发疾病、意外受伤等紧急情况，确保第一时间进行科学、有效的现场救助，保安队伍中应配备具备现场应急</w:t>
            </w:r>
            <w:r>
              <w:rPr>
                <w:rFonts w:hint="eastAsia" w:ascii="宋体" w:hAnsi="宋体" w:cs="宋体"/>
                <w:color w:val="auto"/>
                <w:sz w:val="24"/>
                <w:szCs w:val="24"/>
                <w:highlight w:val="none"/>
                <w:lang w:eastAsia="zh-CN"/>
              </w:rPr>
              <w:t xml:space="preserve">救援</w:t>
            </w:r>
            <w:r>
              <w:rPr>
                <w:rFonts w:hint="eastAsia" w:ascii="宋体" w:hAnsi="宋体" w:eastAsia="宋体" w:cs="宋体"/>
                <w:color w:val="auto"/>
                <w:sz w:val="24"/>
                <w:szCs w:val="24"/>
                <w:highlight w:val="none"/>
              </w:rPr>
              <w:t xml:space="preserve">专业知识和技能的人员。</w:t>
            </w:r>
            <w:r/>
          </w:p>
          <w:p>
            <w:pPr>
              <w:ind w:firstLine="480"/>
              <w:jc w:val="left"/>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上述人员上岗前须经过采购人与中标人共同考核合格后方可上岗。</w:t>
            </w:r>
            <w:r/>
          </w:p>
        </w:tc>
      </w:tr>
      <w:tr>
        <w:trPr>
          <w:jc w:val="center"/>
          <w:trHeight w:val="887"/>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卫生保洁员</w:t>
            </w:r>
            <w:r/>
          </w:p>
        </w:tc>
        <w:tc>
          <w:tcPr>
            <w:tcW w:w="3619" w:type="pct"/>
            <w:vAlign w:val="center"/>
            <w:textDirection w:val="lrTb"/>
            <w:noWrap w:val="false"/>
          </w:tcPr>
          <w:p>
            <w:pPr>
              <w:ind w:firstLine="420"/>
              <w:jc w:val="left"/>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适宜女性，履约期内人员年龄须符合国家法定劳动年龄，身体健康，责任心强，有吃苦耐劳精神，有一定的物业保洁服务工作经历。上述人员上岗前须经过采购人与中标人共同考核合格后方可上岗。</w:t>
            </w:r>
            <w:r/>
          </w:p>
        </w:tc>
      </w:tr>
      <w:tr>
        <w:trPr>
          <w:jc w:val="center"/>
          <w:trHeight w:val="527"/>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会务服务（兼报刊收发，会议室、报告厅和贵宾厅接待室卫生等）</w:t>
            </w:r>
            <w:r/>
          </w:p>
        </w:tc>
        <w:tc>
          <w:tcPr>
            <w:tcW w:w="3619" w:type="pct"/>
            <w:vAlign w:val="center"/>
            <w:textDirection w:val="lrTb"/>
            <w:noWrap w:val="false"/>
          </w:tcPr>
          <w:p>
            <w:pPr>
              <w:ind w:firstLine="420"/>
              <w:jc w:val="left"/>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eastAsia="zh-CN" w:bidi="ar"/>
              </w:rPr>
              <w:t xml:space="preserve">女性，</w:t>
            </w:r>
            <w:r>
              <w:rPr>
                <w:rFonts w:hint="eastAsia" w:ascii="宋体" w:hAnsi="宋体" w:eastAsia="宋体" w:cs="宋体"/>
                <w:bCs/>
                <w:color w:val="auto"/>
                <w:sz w:val="24"/>
                <w:szCs w:val="24"/>
                <w:highlight w:val="none"/>
                <w:lang w:bidi="ar"/>
              </w:rPr>
              <w:t xml:space="preserve">高中（中技）及以上文化；身高1.60米以上，身体健康，五官端正，体态良好；责任心强,掌握基本电脑操作，有一定沟通协调能力。会务服务人员上岗前需报纪念馆办公室，经审核同意后，交办公室统一管理、统一调度、统一考核。</w:t>
            </w:r>
            <w:r/>
          </w:p>
        </w:tc>
      </w:tr>
      <w:tr>
        <w:trPr>
          <w:jc w:val="center"/>
          <w:trHeight w:val="191"/>
        </w:trPr>
        <w:tc>
          <w:tcPr>
            <w:tcW w:w="405"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val="en-US" w:eastAsia="zh-CN" w:bidi="ar"/>
              </w:rPr>
              <w:t xml:space="preserve">6</w:t>
            </w:r>
            <w:r/>
          </w:p>
        </w:tc>
        <w:tc>
          <w:tcPr>
            <w:tcW w:w="974" w:type="pct"/>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设备维护人员</w:t>
            </w:r>
            <w:r/>
          </w:p>
        </w:tc>
        <w:tc>
          <w:tcPr>
            <w:tcW w:w="3619" w:type="pct"/>
            <w:vAlign w:val="center"/>
            <w:textDirection w:val="lrTb"/>
            <w:noWrap w:val="false"/>
          </w:tcPr>
          <w:p>
            <w:pPr>
              <w:ind w:firstLine="420"/>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适宜男性，履约期内人员年龄须符合国家法定劳动年龄，身体健康，责任心强；掌握电器设备管理维护技能，有实践工作经验，设备维护人员队长应具有较高的组织协调能力，能够统筹日常维修工作，审核技术文档，并对班组成员进行技术指导</w:t>
            </w:r>
            <w:r>
              <w:rPr>
                <w:rFonts w:hint="eastAsia" w:ascii="宋体" w:hAnsi="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设备维护人员</w:t>
            </w:r>
            <w:r>
              <w:rPr>
                <w:rFonts w:hint="eastAsia" w:ascii="宋体" w:hAnsi="宋体" w:eastAsia="宋体" w:cs="宋体"/>
                <w:bCs/>
                <w:color w:val="auto"/>
                <w:sz w:val="24"/>
                <w:szCs w:val="24"/>
                <w:highlight w:val="none"/>
                <w:lang w:eastAsia="zh-CN" w:bidi="ar"/>
              </w:rPr>
              <w:t xml:space="preserve">须持证上岗</w:t>
            </w:r>
            <w:r>
              <w:rPr>
                <w:rFonts w:hint="eastAsia" w:ascii="宋体" w:hAnsi="宋体" w:eastAsia="宋体" w:cs="宋体"/>
                <w:b/>
                <w:bCs/>
                <w:i/>
                <w:iCs/>
                <w:color w:val="auto"/>
                <w:sz w:val="24"/>
                <w:szCs w:val="24"/>
                <w:highlight w:val="none"/>
                <w:u w:val="none"/>
                <w:lang w:eastAsia="zh-CN"/>
              </w:rPr>
              <w:t xml:space="preserve">，</w:t>
            </w:r>
            <w:r>
              <w:rPr>
                <w:rFonts w:hint="eastAsia" w:ascii="宋体" w:hAnsi="宋体" w:eastAsia="宋体" w:cs="宋体"/>
                <w:bCs/>
                <w:color w:val="auto"/>
                <w:sz w:val="24"/>
                <w:szCs w:val="24"/>
                <w:highlight w:val="none"/>
                <w:lang w:bidi="ar"/>
              </w:rPr>
              <w:t xml:space="preserve">全部物业服务人员中其中至少1-2人须持有电梯操作证书。</w:t>
            </w:r>
            <w:r/>
          </w:p>
          <w:p>
            <w:pPr>
              <w:ind w:firstLine="420"/>
              <w:keepLines w:val="0"/>
              <w:keepNext w:val="0"/>
              <w:pageBreakBefore w:val="0"/>
              <w:spacing w:after="0"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上述人员上岗前须经过采购人与中标人共同考核合格后方可上岗。</w:t>
            </w:r>
            <w:r/>
          </w:p>
        </w:tc>
      </w:tr>
    </w:tbl>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以上所有人员无重大疾病和传染病，诚实守信，责任心强持有健康体检证明。上岗前须将人员情况报招标人审核，审核通过后方可上岗。</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物业服务人员应遵守国家法律法规和文物保护法及本馆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物业服务人员应接受本馆文物、博物馆专业指导和管理，特别是有明确保护规定的文物、建筑物，保洁工作应在本馆管理人员指导下进行。</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物管企业在本馆的项目组应服从本馆的管理和指导，若不服从，本馆有权责令物管企业在三个工作日内调换人员。</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物业公司须与所有为本项目服务的物业服务人员签</w:t>
      </w:r>
      <w:r>
        <w:rPr>
          <w:rFonts w:hint="eastAsia" w:ascii="宋体" w:hAnsi="宋体" w:eastAsia="宋体" w:cs="宋体"/>
          <w:color w:val="auto"/>
          <w:sz w:val="24"/>
        </w:rPr>
        <w:t xml:space="preserve">订</w:t>
      </w:r>
      <w:r>
        <w:rPr>
          <w:rFonts w:hint="eastAsia" w:ascii="宋体" w:hAnsi="宋体" w:eastAsia="宋体" w:cs="宋体"/>
          <w:color w:val="auto"/>
          <w:sz w:val="24"/>
        </w:rPr>
        <w:t xml:space="preserve">正式的劳动合同并缴纳相关社会保险，加强对物业服务人员的安全教育、为之配备工作所须安全装备，确保物业服务人员的安全。</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本馆与物业服务人员不发生任何劳动和雇佣关系，派驻人员由物管企业自行管理，物管企业和派驻人员应遵守安全操作规章制度，若发生人身伤害、工伤等事故，均由物管企业自行负责，与本馆无涉。如物业服务人员在上班期间（包括上下班途中）发生任何安全责任事故，均由物业公司负责。</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由于物管企业方面的原因，给国家、业主或第三方造成的损失与伤害，所涉及的行政的、法律的、民事的责任由物业企业全部承担。</w:t>
      </w:r>
      <w:r/>
    </w:p>
    <w:p>
      <w:pPr>
        <w:ind w:firstLine="482"/>
        <w:keepLines w:val="0"/>
        <w:keepNext w:val="0"/>
        <w:pageBreakBefore w:val="0"/>
        <w:spacing w:after="0" w:line="500" w:lineRule="exact"/>
        <w:rPr>
          <w:rFonts w:hint="eastAsia" w:ascii="宋体" w:hAnsi="宋体" w:eastAsia="宋体" w:cs="宋体"/>
          <w:b/>
          <w:bCs/>
          <w:color w:val="auto"/>
          <w:sz w:val="24"/>
          <w:szCs w:val="20"/>
          <w:highlight w:val="yellow"/>
        </w:rPr>
      </w:pPr>
      <w:r>
        <w:rPr>
          <w:rFonts w:hint="eastAsia" w:ascii="宋体" w:hAnsi="宋体" w:eastAsia="宋体" w:cs="宋体"/>
          <w:b/>
          <w:bCs/>
          <w:color w:val="auto"/>
          <w:sz w:val="24"/>
          <w:szCs w:val="20"/>
          <w:highlight w:val="none"/>
        </w:rPr>
        <w:t xml:space="preserve">投标时无须提供以上人员相关证书及证明，中标人必须按岗位定员数量和素质要求配备人员，否则视为违约。</w:t>
      </w:r>
      <w:r/>
    </w:p>
    <w:p>
      <w:pPr>
        <w:jc w:val="left"/>
        <w:keepLines w:val="0"/>
        <w:keepNext w:val="0"/>
        <w:pageBreakBefore w:val="0"/>
        <w:spacing w:after="0" w:line="500" w:lineRule="exact"/>
        <w:widowControl/>
        <w:rPr>
          <w:rFonts w:hint="eastAsia" w:ascii="宋体" w:hAnsi="宋体" w:eastAsia="宋体" w:cs="宋体"/>
          <w:b/>
          <w:bCs/>
          <w:color w:val="auto"/>
          <w:sz w:val="24"/>
          <w:lang w:bidi="ar"/>
        </w:rPr>
        <w:outlineLvl w:val="1"/>
      </w:pPr>
      <w:r>
        <w:rPr>
          <w:rFonts w:hint="eastAsia" w:ascii="宋体" w:hAnsi="宋体" w:eastAsia="宋体" w:cs="宋体"/>
          <w:b/>
          <w:bCs/>
          <w:color w:val="auto"/>
          <w:sz w:val="24"/>
          <w:lang w:bidi="ar"/>
        </w:rPr>
        <w:t xml:space="preserve">六、现场踏勘</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keepLines w:val="0"/>
        <w:keepNext w:val="0"/>
        <w:pageBreakBefore w:val="0"/>
        <w:spacing w:after="0" w:line="500" w:lineRule="exact"/>
        <w:widowControl/>
        <w:rPr>
          <w:rFonts w:hint="eastAsia" w:ascii="宋体" w:hAnsi="宋体" w:eastAsia="宋体" w:cs="宋体"/>
          <w:b/>
          <w:bCs/>
          <w:color w:val="auto"/>
          <w:sz w:val="24"/>
          <w:lang w:bidi="ar"/>
        </w:rPr>
        <w:outlineLvl w:val="1"/>
      </w:pPr>
      <w:r>
        <w:rPr>
          <w:rFonts w:hint="eastAsia" w:ascii="宋体" w:hAnsi="宋体" w:eastAsia="宋体" w:cs="宋体"/>
          <w:b/>
          <w:bCs/>
          <w:color w:val="auto"/>
          <w:sz w:val="24"/>
          <w:lang w:bidi="ar"/>
        </w:rPr>
        <w:t xml:space="preserve">七、采购人提供的条件</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1、采购人应当向物业管理企业移交下列资料：</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①设施设备的安装、使用和维护保养等技术资料；</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②物业质量保修文件和物业使用说明文件；　　</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③物业管理所必需的其他资料。</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物业管理企业应当在物业服务合同终止时将上述资料移交给业主。</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2、采购人按照规定在物业管理区域内配置必要的物业管理用房。</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3、物业管理用房的所有权依法属于业主。未经业主同意，物业管理企业不得改变物业管理用房的用途。</w:t>
      </w:r>
      <w:r/>
    </w:p>
    <w:p>
      <w:pPr>
        <w:keepLines w:val="0"/>
        <w:keepNext w:val="0"/>
        <w:pageBreakBefore w:val="0"/>
        <w:spacing w:after="0"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八、其他</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1、物业服务合同终止时，物业管理企业应当将物业管理用房和所有物管资料、档案完整的移交给业主。</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2、物业服务合同终止时，采购单位选聘了新的物业管理企业的，物业管理企业之间应当做好交接工作。</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3、本招标文件中未尽事宜，按国家和地方最新《物业管理条例》执行，有冲突处，按高标准执行。</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4、本招标文件的相关事宜由采购人负责最终解释。</w:t>
      </w:r>
      <w:r/>
    </w:p>
    <w:p>
      <w:pPr>
        <w:ind w:firstLine="480"/>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color w:val="auto"/>
          <w:sz w:val="24"/>
        </w:rPr>
        <w:t xml:space="preserve">5、补充承诺协议与所签合同具有同等法律效应。</w:t>
      </w:r>
      <w:r/>
    </w:p>
    <w:p>
      <w:pPr>
        <w:ind w:firstLine="480"/>
        <w:keepLines w:val="0"/>
        <w:keepNext w:val="0"/>
        <w:pageBreakBefore w:val="0"/>
        <w:spacing w:after="0"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6、物业</w:t>
      </w:r>
      <w:r>
        <w:rPr>
          <w:rFonts w:hint="eastAsia" w:ascii="宋体" w:hAnsi="宋体" w:cs="宋体"/>
          <w:b/>
          <w:bCs/>
          <w:color w:val="auto"/>
          <w:sz w:val="24"/>
          <w:highlight w:val="none"/>
          <w:lang w:eastAsia="zh-CN"/>
        </w:rPr>
        <w:t xml:space="preserve">委托管理期限</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两</w:t>
      </w:r>
      <w:r>
        <w:rPr>
          <w:rFonts w:hint="eastAsia" w:ascii="宋体" w:hAnsi="宋体" w:eastAsia="宋体" w:cs="宋体"/>
          <w:b/>
          <w:bCs/>
          <w:color w:val="auto"/>
          <w:sz w:val="24"/>
          <w:highlight w:val="none"/>
          <w:lang w:eastAsia="zh-CN"/>
        </w:rPr>
        <w:t xml:space="preserve">年，</w:t>
      </w:r>
      <w:r>
        <w:rPr>
          <w:rFonts w:hint="eastAsia" w:ascii="宋体" w:hAnsi="宋体" w:eastAsia="宋体" w:cs="宋体"/>
          <w:b/>
          <w:bCs/>
          <w:color w:val="auto"/>
          <w:sz w:val="24"/>
          <w:highlight w:val="none"/>
          <w:lang w:val="en-US" w:eastAsia="zh-CN"/>
        </w:rPr>
        <w:t xml:space="preserve">合同一年一签，一年服务期内无</w:t>
      </w:r>
      <w:r>
        <w:rPr>
          <w:rFonts w:hint="eastAsia" w:ascii="宋体" w:hAnsi="宋体" w:eastAsia="宋体" w:cs="宋体"/>
          <w:b/>
          <w:bCs/>
          <w:color w:val="auto"/>
          <w:sz w:val="24"/>
          <w:highlight w:val="none"/>
          <w:lang w:val="zh-CN" w:eastAsia="zh-CN"/>
        </w:rPr>
        <w:t xml:space="preserve">连续两个月考核不合格或累计三个月考核不合格</w:t>
      </w:r>
      <w:r>
        <w:rPr>
          <w:rFonts w:hint="eastAsia" w:ascii="宋体" w:hAnsi="宋体" w:eastAsia="宋体" w:cs="宋体"/>
          <w:b/>
          <w:bCs/>
          <w:color w:val="auto"/>
          <w:sz w:val="24"/>
          <w:highlight w:val="none"/>
          <w:lang w:val="en-US" w:eastAsia="zh-CN"/>
        </w:rPr>
        <w:t xml:space="preserve">情形的可续签第二年合同。</w:t>
      </w:r>
      <w:r/>
    </w:p>
    <w:p>
      <w:pPr>
        <w:ind w:firstLine="482"/>
        <w:keepLines w:val="0"/>
        <w:keepNext w:val="0"/>
        <w:pageBreakBefore w:val="0"/>
        <w:spacing w:after="0" w:line="500" w:lineRule="exact"/>
        <w:rPr>
          <w:rFonts w:hint="eastAsia" w:ascii="宋体" w:hAnsi="宋体" w:eastAsia="宋体" w:cs="宋体"/>
          <w:color w:val="auto"/>
          <w:sz w:val="24"/>
        </w:rPr>
      </w:pPr>
      <w:r>
        <w:rPr>
          <w:rFonts w:hint="eastAsia" w:ascii="宋体" w:hAnsi="宋体" w:eastAsia="宋体" w:cs="宋体"/>
          <w:b/>
          <w:bCs/>
          <w:color w:val="auto"/>
          <w:sz w:val="24"/>
        </w:rPr>
        <w:t xml:space="preserve">7、付款方式：</w:t>
      </w:r>
      <w:r>
        <w:rPr>
          <w:rFonts w:hint="eastAsia" w:ascii="宋体" w:hAnsi="宋体" w:eastAsia="宋体" w:cs="宋体"/>
          <w:b/>
          <w:bCs/>
          <w:color w:val="auto"/>
          <w:sz w:val="24"/>
          <w:highlight w:val="none"/>
        </w:rPr>
        <w:t xml:space="preserve">合同签订后付合同价</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%的预付款，</w:t>
      </w:r>
      <w:r>
        <w:rPr>
          <w:rFonts w:hint="eastAsia" w:ascii="宋体" w:hAnsi="宋体"/>
          <w:b/>
          <w:bCs w:val="0"/>
          <w:color w:val="auto"/>
          <w:sz w:val="24"/>
          <w:highlight w:val="none"/>
          <w:lang w:val="en-US" w:eastAsia="zh-CN"/>
        </w:rPr>
        <w:t xml:space="preserve">物业管理服务费的支付采用每月考核按月支付，即甲方于每月20日前对上月的物业管理服务工作按甲方的考核标准进行考核，经考核合格的支付当月的物业管理服务费（在每次支付时扣除十二分之一的预付款），甲方收到乙方发票后10个工作日内完成支付</w:t>
      </w:r>
      <w:r>
        <w:rPr>
          <w:rFonts w:hint="eastAsia" w:ascii="宋体" w:hAnsi="宋体" w:eastAsia="宋体" w:cs="宋体"/>
          <w:b/>
          <w:bCs w:val="0"/>
          <w:color w:val="auto"/>
          <w:sz w:val="24"/>
        </w:rPr>
        <w:t xml:space="preserve">；每月新四军</w:t>
      </w:r>
      <w:r>
        <w:rPr>
          <w:rFonts w:hint="eastAsia" w:ascii="宋体" w:hAnsi="宋体" w:eastAsia="宋体" w:cs="宋体"/>
          <w:b/>
          <w:bCs/>
          <w:color w:val="auto"/>
          <w:sz w:val="24"/>
        </w:rPr>
        <w:t xml:space="preserve">纪念馆按照《新四军纪念馆物业管理考核细则》对物业单位服务质量进行考核，总分为100分，60分及以上为合格，考核每一分折合为人民币伍佰元整扣减。该项费用，请投标单位综合考虑。</w:t>
      </w:r>
      <w:r/>
    </w:p>
    <w:p>
      <w:pPr>
        <w:pStyle w:val="1001"/>
        <w:ind w:left="0"/>
        <w:keepLines w:val="0"/>
        <w:keepNext w:val="0"/>
        <w:pageBreakBefore w:val="0"/>
        <w:spacing w:after="0"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九、特别约定</w:t>
      </w:r>
      <w:r/>
    </w:p>
    <w:p>
      <w:pPr>
        <w:ind w:firstLine="482"/>
        <w:keepLines w:val="0"/>
        <w:keepNext w:val="0"/>
        <w:pageBreakBefore w:val="0"/>
        <w:spacing w:after="0" w:line="5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1、所有物管工作不受节假日、昼夜、天气、季节的影响，无条件服从业主的作息时间和开放要求，包括但不限于重要节点、节假日延时开放等。</w:t>
      </w:r>
      <w:r/>
    </w:p>
    <w:p>
      <w:pPr>
        <w:ind w:firstLine="482"/>
        <w:keepLines w:val="0"/>
        <w:keepNext w:val="0"/>
        <w:pageBreakBefore w:val="0"/>
        <w:spacing w:after="0" w:line="5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2、在法定假日、特殊时间节点等情况下，场馆需要延长开放时间，中标单位需要根据业主要求，及时地安排物业人员配合，确保场馆平稳运行。该项费用不另计，包含在投标价中，请投标单位综合考虑。</w:t>
      </w:r>
      <w:r/>
    </w:p>
    <w:p>
      <w:pPr>
        <w:ind w:firstLine="482"/>
        <w:keepLines w:val="0"/>
        <w:keepNext w:val="0"/>
        <w:pageBreakBefore w:val="0"/>
        <w:spacing w:after="0" w:line="50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3、保洁车、洒水车、巡逻车、对讲机等设备费用不另计，包含在投标价中，请投标单位综合考虑。</w:t>
      </w:r>
      <w:r/>
    </w:p>
    <w:p>
      <w:pPr>
        <w:ind w:firstLine="482"/>
        <w:keepLines w:val="0"/>
        <w:keepNext w:val="0"/>
        <w:pageBreakBefore w:val="0"/>
        <w:spacing w:after="0" w:line="500" w:lineRule="exact"/>
        <w:widowControl/>
        <w:rPr>
          <w:rFonts w:hint="eastAsia" w:ascii="宋体" w:hAnsi="宋体" w:eastAsia="宋体" w:cs="宋体"/>
          <w:color w:val="auto"/>
        </w:rPr>
      </w:pPr>
      <w:r>
        <w:rPr>
          <w:rFonts w:hint="eastAsia" w:ascii="宋体" w:hAnsi="宋体" w:eastAsia="宋体" w:cs="宋体"/>
          <w:color w:val="auto"/>
          <w:sz w:val="24"/>
        </w:rPr>
        <w:t xml:space="preserve">4、投标单位中标后，如遇最低基本工资及社保缴纳基数政策性调整，中标单位须按相关政策文件执行，但中标价格不变。</w:t>
      </w:r>
      <w:r/>
    </w:p>
    <w:p>
      <w:pPr>
        <w:ind w:firstLine="480"/>
        <w:keepLines w:val="0"/>
        <w:keepNext w:val="0"/>
        <w:pageBreakBefore w:val="0"/>
        <w:spacing w:after="0" w:line="5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5、投标单位中标后，服务期间需每月向采购人提供月度工作总结和绩效报告以供考核。</w:t>
      </w:r>
      <w:r/>
    </w:p>
    <w:p>
      <w:pPr>
        <w:pStyle w:val="1001"/>
        <w:ind w:left="0"/>
        <w:keepLines w:val="0"/>
        <w:keepNext w:val="0"/>
        <w:pageBreakBefore w:val="0"/>
        <w:spacing w:after="0"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十、配合业主活动等</w:t>
      </w:r>
      <w:r/>
    </w:p>
    <w:p>
      <w:pPr>
        <w:ind w:firstLine="482"/>
        <w:keepLines w:val="0"/>
        <w:keepNext w:val="0"/>
        <w:pageBreakBefore w:val="0"/>
        <w:spacing w:after="0" w:line="50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积极配合业主做好各种创建、迎查以及接待工作，积极参加文广旅、公安、消防和辖区街道、属地社区的有关活动。</w:t>
      </w:r>
      <w:r/>
    </w:p>
    <w:p>
      <w:pPr>
        <w:pStyle w:val="1001"/>
        <w:ind w:left="0"/>
        <w:keepLines w:val="0"/>
        <w:keepNext w:val="0"/>
        <w:pageBreakBefore w:val="0"/>
        <w:spacing w:after="0" w:line="50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十一、项目管理服务方案</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投标人应根据采购需求和本项目实际，制订相应的服务方案至少包括以下内容：</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1.项目总体实施方案与策划，内容应至少包括：</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1.1 管理理念与目标：阐述针对本项目的服务理念。设定清晰的管理目标，</w:t>
      </w:r>
      <w:r>
        <w:rPr>
          <w:rFonts w:hint="eastAsia" w:ascii="宋体" w:hAnsi="宋体" w:cs="宋体"/>
          <w:color w:val="auto"/>
          <w:sz w:val="24"/>
          <w:highlight w:val="none"/>
          <w:lang w:val="en-US" w:eastAsia="zh-CN"/>
        </w:rPr>
        <w:t xml:space="preserve">至少包含以下内容</w:t>
      </w:r>
      <w:r>
        <w:rPr>
          <w:rFonts w:hint="eastAsia" w:ascii="宋体" w:hAnsi="宋体" w:cs="宋体"/>
          <w:color w:val="auto"/>
          <w:sz w:val="24"/>
          <w:highlight w:val="none"/>
        </w:rPr>
        <w:t xml:space="preserve">：</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安全目标：责任安全事故发生率为0；消防、安防设施完好率100%；全年安保巡查有效记录率100%。</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环境目标：卫生保洁综合考核得分不低于95分（以采购人考核细则为准）；垃圾分类准确率不低于95%。</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）设备目标：所管理的公用设施设备日常运行故障修复及时率100%；配合专业维保单位确保电梯、消防、配电等系统年检合格率100%</w:t>
      </w:r>
      <w:r>
        <w:rPr>
          <w:rFonts w:hint="eastAsia" w:ascii="宋体" w:hAnsi="宋体" w:cs="宋体"/>
          <w:color w:val="auto"/>
          <w:sz w:val="24"/>
          <w:highlight w:val="none"/>
        </w:rPr>
        <w:t xml:space="preserve">。</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服务目标：重大活动后勤保障满意度不低于98%；有效投诉处理及时率100%。</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1.2 服务定位与重点难点把控：</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）服务定位：明确物业服务作为纪念馆安全平稳运行基础保障、公众参观环境重要维护者、红色文化形象展示窗口的定位，提供专业化、标准化、人性化的全方位支持。</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）重点把控分析及应对：针对本项目特点，识别并制定重点、难点管理服务的具体把控措施，至少包含：</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文物与建筑安全：制定展厅、文物库房及泰山庙旧址专项安保方案，明确不同等级区域的出入管控、巡逻频次（每小时至少1次）、技防与人防联动机制。</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超大区域保洁：针对本项目的作业范围，制定详细的机械化保洁与人工保洁相结合的方案，明确扫地车、洒水车等设备的作业路线、频次（如扫地车每周至少2次全场作业）及效果标准</w:t>
      </w:r>
      <w:r>
        <w:rPr>
          <w:rFonts w:hint="default" w:ascii="宋体" w:hAnsi="宋体" w:cs="宋体"/>
          <w:color w:val="auto"/>
          <w:sz w:val="24"/>
          <w:highlight w:val="none"/>
        </w:rPr>
        <w:t xml:space="preserve">。</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消防安全管理：针对木结构建筑泰山庙等重点防火区域，制定专项防火巡查、用电管理和应急预案，明确微型消防站人员配置、训练与响应要求。</w:t>
      </w:r>
      <w:r/>
    </w:p>
    <w:p>
      <w:pPr>
        <w:ind w:firstLine="482"/>
        <w:keepLines w:val="0"/>
        <w:keepNext w:val="0"/>
        <w:pageBreakBefore w:val="0"/>
        <w:spacing w:after="0" w:line="500" w:lineRule="exact"/>
        <w:widowControl/>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重大活动保障：制定分级活动保障预案，明确不同规模活动下的人员增配、岗位设置、流线管理、应急备勤等具体措施。</w:t>
      </w:r>
      <w:r/>
    </w:p>
    <w:p>
      <w:pPr>
        <w:ind w:firstLine="482"/>
        <w:keepLines w:val="0"/>
        <w:keepNext w:val="0"/>
        <w:pageBreakBefore w:val="0"/>
        <w:spacing w:after="0" w:line="500" w:lineRule="exact"/>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rPr>
        <w:t xml:space="preserve">老旧设施维护：针对泰山庙等老旧建筑，制定专项的日常巡查、检查计划，重点关注结构安全、屋面防水、水电线路等，发现问题即时报告并按采购人要求采取防护措施。</w:t>
      </w:r>
      <w:r/>
    </w:p>
    <w:p>
      <w:pPr>
        <w:ind w:firstLine="482"/>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1.3档案管理：</w:t>
      </w:r>
      <w:r/>
    </w:p>
    <w:p>
      <w:pPr>
        <w:ind w:firstLine="480"/>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2.组织机构设置、人员配置及人员培训，</w:t>
      </w:r>
      <w:r>
        <w:rPr>
          <w:rFonts w:hint="eastAsia" w:ascii="宋体" w:hAnsi="宋体" w:cs="宋体"/>
          <w:color w:val="auto"/>
          <w:sz w:val="24"/>
          <w:highlight w:val="none"/>
        </w:rPr>
        <w:t xml:space="preserve">内容应至少包括：</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（1）项目组织架构图：提供清晰的驻场服务组织架构图，明确项目经理、保安队长、各班组负责人（安保、保洁、工程、会务）的职责，确保职责无遗漏、衔接无死角。</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人员配置与排班：严格按照采购需求，拟定配备员工人数。提供详细的《岗位人员配备清单》与《24小时排班表》，确保无服务空档。未经采购人书面同意，项目经理及关键岗位人员（保安队长、消防监控员、高低压电工）不得更换。</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（3）培训体系与考核：</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岗前培训：所有人员（含管理人员）100%经过岗前培训，培训时长</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24学时，内容涵盖场馆文化、保密制度、安全规程、服务礼仪、应急演练等，经采购人与中标人共同考核合格后方可上岗。</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在岗培训：每季度至少开展1次全员岗位技能与安全复训，每年至少组织2次大型消防演练、2次突发事件综合演练，留存完整的培训记录、签到表、考核成绩与演练影像资料。</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lang w:eastAsia="zh-CN"/>
        </w:rPr>
        <w:t xml:space="preserve">例会制度：项目经理至少每周召开1次全员班会；各班组每日进行岗前10分钟晨会，布置当日重点，通报前日问题。</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3.制度的建立方案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内容应至少包括：</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（2）制度更新机制：建立制度定期评审与更新机制，每年至少组织1次制度全面评审，根据实际运行情况和采购人要求及时修订完善，确保制度的适用性和有效性。</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4.拟采取的管理服务模式，内容应至少包括：</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管理模式创新：针对新四军纪念馆作为国家一级博物馆、红色教育基地的特点，提出科学合理、具有创新性的管理服务模式。明确“统一指挥、分区负责、网格管理、动态响应”的管理思路，实现全区域、全时段、全要素的精细化覆盖。</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区域职能划分：根据物业功能分区（展厅区、广场区、办公区、泰山庙旧址区等），明确各区域的管理职责、服务标准、人员配置和作业流程。建立区域责任人制度，每个区域指定一名责任人，负责区域内所有物业服务事项的统筹协调和质量监督。</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ind w:firstLine="480"/>
        <w:keepLines w:val="0"/>
        <w:keepNext w:val="0"/>
        <w:pageBreakBefore w:val="0"/>
        <w:spacing w:after="0" w:line="5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5.安保管理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内容应至少包括：</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（1）巡逻与值守：实行24小时巡逻制，馆区日间巡逻</w:t>
      </w:r>
      <w:r>
        <w:rPr>
          <w:rFonts w:hint="eastAsia" w:ascii="宋体" w:hAnsi="宋体" w:cs="宋体"/>
          <w:color w:val="auto"/>
          <w:sz w:val="24"/>
          <w:highlight w:val="none"/>
          <w:lang w:val="en-US" w:eastAsia="zh-CN"/>
        </w:rPr>
        <w:t xml:space="preserve">至少</w:t>
      </w:r>
      <w:r>
        <w:rPr>
          <w:rFonts w:hint="default" w:ascii="宋体" w:hAnsi="宋体" w:cs="宋体"/>
          <w:color w:val="auto"/>
          <w:sz w:val="24"/>
          <w:highlight w:val="none"/>
          <w:lang w:val="en-US" w:eastAsia="zh-CN"/>
        </w:rPr>
        <w:t xml:space="preserve">12次，夜间</w:t>
      </w:r>
      <w:r>
        <w:rPr>
          <w:rFonts w:hint="eastAsia" w:ascii="宋体" w:hAnsi="宋体" w:cs="宋体"/>
          <w:color w:val="auto"/>
          <w:sz w:val="24"/>
          <w:highlight w:val="none"/>
          <w:lang w:val="en-US" w:eastAsia="zh-CN"/>
        </w:rPr>
        <w:t xml:space="preserve">至少</w:t>
      </w:r>
      <w:r>
        <w:rPr>
          <w:rFonts w:hint="default" w:ascii="宋体" w:hAnsi="宋体" w:cs="宋体"/>
          <w:color w:val="auto"/>
          <w:sz w:val="24"/>
          <w:highlight w:val="none"/>
          <w:lang w:val="en-US" w:eastAsia="zh-CN"/>
        </w:rPr>
        <w:t xml:space="preserve">6次；泰山庙区域巡逻频次每日</w:t>
      </w:r>
      <w:r>
        <w:rPr>
          <w:rFonts w:hint="eastAsia" w:ascii="宋体" w:hAnsi="宋体" w:cs="宋体"/>
          <w:color w:val="auto"/>
          <w:sz w:val="24"/>
          <w:highlight w:val="none"/>
          <w:lang w:val="en-US" w:eastAsia="zh-CN"/>
        </w:rPr>
        <w:t xml:space="preserve">至少</w:t>
      </w:r>
      <w:r>
        <w:rPr>
          <w:rFonts w:hint="default" w:ascii="宋体" w:hAnsi="宋体" w:cs="宋体"/>
          <w:color w:val="auto"/>
          <w:sz w:val="24"/>
          <w:highlight w:val="none"/>
          <w:lang w:val="en-US" w:eastAsia="zh-CN"/>
        </w:rPr>
        <w:t xml:space="preserve">8次。各出入口实行24小时值守，严格落实人员、车辆出入登记查验制度。</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（2）安检管理：安检口设备每日启用前进行1次全面检查，确保正常运行；安检执行率100%，对进馆人员及物品按规定进行安全检查，严禁违禁品带入。</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3）消防管理：消防控制室实行24小时双人持证值班，值班记录规范完整，火灾自动报警系统报警信息处置率100%。微型消防站实行24小时备勤，建立常态化训练机制，每周开展技能训练，每月组织实战拉动，确保“1分钟响应、3分钟到场、5分钟协同处置”。按照《新四军纪念馆物业管理考核办法》关于“每月一次消安防培训、演练”的要求，结合馆区实际，制定覆盖全年、循序渐进的消防及安防演练计划，定期组织开展不同科目、不同规模的专项演练，并每半年配合采购人完成一次全馆应急疏散演练。所有训练与演练均需留存完整记录备查。</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（4）秩序维护：做好门前“三包”区域管理，引导车辆有序停放，维护参观秩序，制止观众不文明行为（如攀爬、戏水、吸烟等）。闭馆后对全馆进行清场检查，确保无滞留人员、无安全隐患。</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（5）技防管理：熟练掌握监控、门禁、报警等安防系统操作，密切监视重点区域，发现异常及时处置并上报。监控记录按规定保存，未经批准不得调取、泄露。</w:t>
      </w:r>
      <w:r/>
    </w:p>
    <w:p>
      <w:pPr>
        <w:ind w:firstLine="480"/>
        <w:keepLines w:val="0"/>
        <w:keepNext w:val="0"/>
        <w:pageBreakBefore w:val="0"/>
        <w:spacing w:after="0" w:line="5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应急救援：保安队伍应具备现场应急救援能力，定期开展急救知识与技能培训，确保在遇到游客突发疾病或意外受伤时，能迅速、科学地进行先期救助，并同步联动医疗救援。所有保安人员应熟悉基本的急救流程，并配备必要的急救器材。</w:t>
      </w:r>
      <w:r/>
    </w:p>
    <w:p>
      <w:pPr>
        <w:ind w:firstLine="480"/>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6、客服会务及保洁服务管理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内容应至少包括：</w:t>
      </w:r>
      <w:r/>
    </w:p>
    <w:p>
      <w:pPr>
        <w:ind w:firstLine="480"/>
        <w:keepLines w:val="0"/>
        <w:keepNext w:val="0"/>
        <w:pageBreakBefore w:val="0"/>
        <w:spacing w:after="0" w:line="500" w:lineRule="exact"/>
        <w:widowControl/>
        <w:rPr>
          <w:rFonts w:hint="eastAsia" w:ascii="宋体" w:hAnsi="宋体" w:cs="宋体"/>
          <w:color w:val="auto"/>
          <w:sz w:val="24"/>
          <w:highlight w:val="none"/>
          <w:lang w:eastAsia="zh-CN"/>
        </w:rPr>
      </w:pPr>
      <w:r>
        <w:rPr>
          <w:rFonts w:hint="default" w:ascii="宋体" w:hAnsi="宋体" w:cs="宋体"/>
          <w:color w:val="auto"/>
          <w:sz w:val="24"/>
          <w:highlight w:val="none"/>
          <w:lang w:val="en-US" w:eastAsia="zh-CN"/>
        </w:rPr>
        <w:t xml:space="preserve">（1）会务服务：</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会前准备：普通会议准备工作不超过30分钟，重要会议提前60分钟完成会场布置。会议桌、椅、文具、茶水等按标准摆放整齐；</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会中服务：会议期间每30分钟巡检1次，提供茶水服务不少于3次/小时；随时关注设备运行状态，保障音响、灯光、投影等正常使用；</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lang w:eastAsia="zh-CN"/>
        </w:rPr>
        <w:t xml:space="preserve">会后清理：会后20分钟内完成清理复位，检查是否有遗留物品、未熄灭火种，关闭设备电源，锁好门窗，清理完成率100%。</w:t>
      </w:r>
      <w:r/>
    </w:p>
    <w:p>
      <w:pPr>
        <w:ind w:firstLine="482"/>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④用品管理：会务用品实行标准化配置、规范化消毒，确保卫生安全达标率100%。</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（2）报刊收发及邮寄：</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对邮件、包裹、挂号信等进行正确分理、安全检查和防疫卫生检查，及时分发至各处室，不丢缺、不错发，准确率100%。</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做好邮件发送登记，及时通知收件人领取；大件物品出入需向采购人报告并确认后放行，登记率100%。</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）保洁服务：</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lang w:eastAsia="zh-CN"/>
        </w:rPr>
        <w:t xml:space="preserve">日常保洁：展厅、走廊等公共区域每日循环保洁</w:t>
      </w:r>
      <w:r>
        <w:rPr>
          <w:rFonts w:hint="eastAsia" w:ascii="宋体" w:hAnsi="宋体" w:cs="宋体"/>
          <w:color w:val="auto"/>
          <w:sz w:val="24"/>
          <w:highlight w:val="none"/>
          <w:lang w:val="en-US" w:eastAsia="zh-CN"/>
        </w:rPr>
        <w:t xml:space="preserve">至少</w:t>
      </w:r>
      <w:r>
        <w:rPr>
          <w:rFonts w:hint="eastAsia" w:ascii="宋体" w:hAnsi="宋体" w:cs="宋体"/>
          <w:color w:val="auto"/>
          <w:sz w:val="24"/>
          <w:highlight w:val="none"/>
          <w:lang w:eastAsia="zh-CN"/>
        </w:rPr>
        <w:t xml:space="preserve">4次，卫生间每2小时清洁1次，高峰时段加密至每小时1次；办公区、会议室每日全面清洁1次；</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lang w:eastAsia="zh-CN"/>
        </w:rPr>
        <w:t xml:space="preserve">周期性保洁：每月</w:t>
      </w:r>
      <w:r>
        <w:rPr>
          <w:rFonts w:hint="eastAsia" w:ascii="宋体" w:hAnsi="宋体" w:cs="宋体"/>
          <w:color w:val="auto"/>
          <w:sz w:val="24"/>
          <w:highlight w:val="none"/>
          <w:lang w:val="en-US" w:eastAsia="zh-CN"/>
        </w:rPr>
        <w:t xml:space="preserve">至少</w:t>
      </w:r>
      <w:r>
        <w:rPr>
          <w:rFonts w:hint="eastAsia" w:ascii="宋体" w:hAnsi="宋体" w:cs="宋体"/>
          <w:color w:val="auto"/>
          <w:sz w:val="24"/>
          <w:highlight w:val="none"/>
          <w:lang w:eastAsia="zh-CN"/>
        </w:rPr>
        <w:t xml:space="preserve">开展1次室内外全面清洁，包括外墙、屋顶、雨棚、排水沟、窨井等，彻底清除卫生死角；</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lang w:eastAsia="zh-CN"/>
        </w:rPr>
        <w:t xml:space="preserve">垃圾清运：垃圾日产日清，分类准确率</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95%，收集点无异味、无满溢、无蚊蝇滋生。</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lang w:eastAsia="zh-CN"/>
        </w:rPr>
        <w:t xml:space="preserve">机械化作业：配备四轮扫地车（净重≥1.2吨）和高压冲水车，每周至少安排2次全场机械化保洁作业，特殊天气（如雨后、大风后）及时增补作业。 </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lang w:eastAsia="zh-CN"/>
        </w:rPr>
        <w:t xml:space="preserve">质量巡查：建立保洁质量巡查机制，每日由保洁队长带队巡查</w:t>
      </w:r>
      <w:r>
        <w:rPr>
          <w:rFonts w:hint="eastAsia" w:ascii="宋体" w:hAnsi="宋体" w:cs="宋体"/>
          <w:color w:val="auto"/>
          <w:sz w:val="24"/>
          <w:highlight w:val="none"/>
          <w:lang w:val="en-US" w:eastAsia="zh-CN"/>
        </w:rPr>
        <w:t xml:space="preserve">至少</w:t>
      </w:r>
      <w:r>
        <w:rPr>
          <w:rFonts w:hint="eastAsia" w:ascii="宋体" w:hAnsi="宋体" w:cs="宋体"/>
          <w:color w:val="auto"/>
          <w:sz w:val="24"/>
          <w:highlight w:val="none"/>
          <w:lang w:eastAsia="zh-CN"/>
        </w:rPr>
        <w:t xml:space="preserve">2次，对发现问题即时整改，巡查记录完整。</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适合本项目的各种突发事件的处理预案，</w:t>
      </w:r>
      <w:r>
        <w:rPr>
          <w:rFonts w:hint="eastAsia" w:ascii="宋体" w:hAnsi="宋体" w:cs="宋体"/>
          <w:color w:val="auto"/>
          <w:sz w:val="24"/>
          <w:highlight w:val="none"/>
        </w:rPr>
        <w:t xml:space="preserve">内容应至少包括：</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（1）预案体系</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（2）应急组织与响应</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（3）演练与改进</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每季度至少组织1次专项应急演练，全年覆盖所有预案类型。演练后进行评估总结，持续完善预案内容与处置流程。</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（4）应急物资管理</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配备必要的应急器材与物资，建立清单或台账，并承诺每月检查维护，确保随时可用。</w:t>
      </w:r>
      <w:r/>
    </w:p>
    <w:p>
      <w:pPr>
        <w:ind w:firstLine="482"/>
        <w:keepLines w:val="0"/>
        <w:keepNext w:val="0"/>
        <w:pageBreakBefore w:val="0"/>
        <w:spacing w:after="0"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）应急响应时效</w:t>
      </w:r>
      <w:r/>
    </w:p>
    <w:p>
      <w:pPr>
        <w:ind w:firstLine="482"/>
        <w:keepLines w:val="0"/>
        <w:keepNext w:val="0"/>
        <w:pageBreakBefore w:val="0"/>
        <w:spacing w:after="0" w:line="50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确保紧急维修15分钟内到达现场，不间断维修直至修复。对其它突发事件，按预案要求迅速启动应急响应。</w:t>
      </w:r>
      <w:r/>
    </w:p>
    <w:p>
      <w:pPr>
        <w:ind w:firstLine="482"/>
        <w:keepLines w:val="0"/>
        <w:keepNext w:val="0"/>
        <w:pageBreakBefore w:val="0"/>
        <w:spacing w:after="0" w:line="500" w:lineRule="exact"/>
        <w:widowControl/>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体系</w:t>
      </w:r>
      <w:r>
        <w:rPr>
          <w:rFonts w:hint="eastAsia" w:ascii="宋体" w:hAnsi="宋体" w:eastAsia="宋体" w:cs="宋体"/>
          <w:b/>
          <w:bCs/>
          <w:color w:val="auto"/>
          <w:sz w:val="24"/>
          <w:highlight w:val="none"/>
        </w:rPr>
        <w:t xml:space="preserve">认证</w:t>
      </w:r>
      <w:r/>
    </w:p>
    <w:p>
      <w:pPr>
        <w:ind w:firstLine="482"/>
        <w:keepLines w:val="0"/>
        <w:keepNext w:val="0"/>
        <w:pageBreakBefore w:val="0"/>
        <w:spacing w:after="0"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投标人需具备</w:t>
      </w:r>
      <w:r>
        <w:rPr>
          <w:rFonts w:hint="eastAsia" w:ascii="宋体" w:hAnsi="宋体" w:eastAsia="宋体" w:cs="宋体"/>
          <w:color w:val="auto"/>
          <w:sz w:val="24"/>
          <w:highlight w:val="none"/>
          <w:lang w:eastAsia="zh-CN"/>
        </w:rPr>
        <w:t xml:space="preserve">各种</w:t>
      </w:r>
      <w:r>
        <w:rPr>
          <w:rFonts w:hint="eastAsia" w:ascii="宋体" w:hAnsi="宋体" w:eastAsia="宋体" w:cs="宋体"/>
          <w:color w:val="auto"/>
          <w:sz w:val="24"/>
          <w:highlight w:val="none"/>
        </w:rPr>
        <w:t xml:space="preserve">良好的管理体系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规范日常管理与服务</w:t>
      </w:r>
      <w:r>
        <w:rPr>
          <w:rFonts w:hint="eastAsia" w:ascii="宋体" w:hAnsi="宋体" w:eastAsia="宋体" w:cs="宋体"/>
          <w:color w:val="auto"/>
          <w:sz w:val="24"/>
          <w:highlight w:val="none"/>
          <w:lang w:eastAsia="zh-CN"/>
        </w:rPr>
        <w:t xml:space="preserve">流程</w:t>
      </w:r>
      <w:r>
        <w:rPr>
          <w:rFonts w:hint="eastAsia" w:ascii="宋体" w:hAnsi="宋体" w:eastAsia="宋体" w:cs="宋体"/>
          <w:color w:val="auto"/>
          <w:sz w:val="24"/>
          <w:highlight w:val="none"/>
        </w:rPr>
        <w:t xml:space="preserve">，确保物业服务质量稳定</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积极保障员工健康</w:t>
      </w:r>
      <w:r>
        <w:rPr>
          <w:rFonts w:hint="eastAsia" w:ascii="宋体" w:hAnsi="宋体" w:eastAsia="宋体" w:cs="宋体"/>
          <w:color w:val="auto"/>
          <w:sz w:val="24"/>
          <w:highlight w:val="none"/>
          <w:lang w:eastAsia="zh-CN"/>
        </w:rPr>
        <w:t xml:space="preserve">，提升工作环境</w:t>
      </w:r>
      <w:r>
        <w:rPr>
          <w:rFonts w:hint="eastAsia" w:ascii="宋体" w:hAnsi="宋体" w:eastAsia="宋体" w:cs="宋体"/>
          <w:color w:val="auto"/>
          <w:sz w:val="24"/>
          <w:highlight w:val="none"/>
        </w:rPr>
        <w:t xml:space="preserve">，整合管理流程，减少重复工作，提高资源利用效率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以保障本项目的顺利实施，具有全国认证认可信息公共服务平台的有效期内的质量管理体系认证证书、环境管理体系认证证书、职业健康安全管理体系认证证书的</w:t>
      </w:r>
      <w:r>
        <w:rPr>
          <w:rFonts w:hint="eastAsia" w:ascii="宋体" w:hAnsi="宋体" w:eastAsia="宋体" w:cs="宋体"/>
          <w:b/>
          <w:bCs/>
          <w:color w:val="auto"/>
          <w:sz w:val="24"/>
          <w:highlight w:val="none"/>
        </w:rPr>
        <w:t xml:space="preserve">优先</w:t>
      </w:r>
      <w:r>
        <w:rPr>
          <w:rFonts w:hint="eastAsia" w:ascii="宋体" w:hAnsi="宋体" w:eastAsia="宋体" w:cs="宋体"/>
          <w:color w:val="auto"/>
          <w:sz w:val="24"/>
          <w:highlight w:val="none"/>
        </w:rPr>
        <w:t xml:space="preserve">。</w:t>
      </w:r>
      <w:r/>
    </w:p>
    <w:p>
      <w:pPr>
        <w:ind w:firstLine="482"/>
        <w:keepLines w:val="0"/>
        <w:keepNext w:val="0"/>
        <w:pageBreakBefore w:val="0"/>
        <w:spacing w:after="0" w:line="500" w:lineRule="exact"/>
        <w:widowControl/>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、业绩</w:t>
      </w:r>
      <w:r/>
    </w:p>
    <w:p>
      <w:pPr>
        <w:ind w:firstLine="482"/>
        <w:keepLines w:val="0"/>
        <w:keepNext w:val="0"/>
        <w:pageBreakBefore w:val="0"/>
        <w:spacing w:after="0" w:line="500" w:lineRule="exact"/>
        <w:rPr>
          <w:rFonts w:hint="eastAsia" w:ascii="宋体" w:hAnsi="宋体" w:eastAsia="宋体" w:cs="宋体"/>
          <w:b/>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投标人需要具备丰富的物业服务相关承接经验，确保本项目的顺利实施，投标人自20</w:t>
      </w:r>
      <w:r>
        <w:rPr>
          <w:rFonts w:hint="eastAsia" w:ascii="宋体" w:hAnsi="宋体" w:cs="宋体"/>
          <w:b w:val="0"/>
          <w:bCs/>
          <w:color w:val="auto"/>
          <w:sz w:val="24"/>
          <w:highlight w:val="none"/>
          <w:lang w:val="en-US" w:eastAsia="zh-CN"/>
        </w:rPr>
        <w:t xml:space="preserve">21</w:t>
      </w:r>
      <w:r>
        <w:rPr>
          <w:rFonts w:hint="eastAsia" w:ascii="宋体" w:hAnsi="宋体" w:eastAsia="宋体" w:cs="宋体"/>
          <w:b w:val="0"/>
          <w:bCs/>
          <w:color w:val="auto"/>
          <w:sz w:val="24"/>
          <w:highlight w:val="none"/>
          <w:lang w:val="en-US" w:eastAsia="zh-CN"/>
        </w:rPr>
        <w:t xml:space="preserve">年1月1日以来承接过类似党政机关、事业单位、企业单位物业管理服务项目(不含住宅工厂等)业绩的</w:t>
      </w:r>
      <w:r>
        <w:rPr>
          <w:rFonts w:hint="eastAsia" w:ascii="宋体" w:hAnsi="宋体" w:eastAsia="宋体" w:cs="宋体"/>
          <w:b/>
          <w:bCs w:val="0"/>
          <w:color w:val="auto"/>
          <w:sz w:val="24"/>
          <w:highlight w:val="none"/>
          <w:lang w:val="en-US" w:eastAsia="zh-CN"/>
        </w:rPr>
        <w:t xml:space="preserve">优先</w:t>
      </w:r>
      <w:r>
        <w:rPr>
          <w:rFonts w:hint="eastAsia" w:ascii="宋体" w:hAnsi="宋体" w:eastAsia="宋体" w:cs="宋体"/>
          <w:b w:val="0"/>
          <w:bCs/>
          <w:color w:val="auto"/>
          <w:sz w:val="24"/>
          <w:highlight w:val="none"/>
          <w:lang w:val="en-US" w:eastAsia="zh-CN"/>
        </w:rPr>
        <w:t xml:space="preserve">。</w:t>
      </w:r>
      <w:r/>
    </w:p>
    <w:p>
      <w:pPr>
        <w:ind w:firstLine="482"/>
        <w:keepLines w:val="0"/>
        <w:keepNext w:val="0"/>
        <w:pageBreakBefore w:val="0"/>
        <w:spacing w:after="0" w:line="500" w:lineRule="exact"/>
        <w:widowControl/>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综合实力</w:t>
      </w:r>
      <w:r/>
    </w:p>
    <w:p>
      <w:pPr>
        <w:ind w:firstLine="482"/>
        <w:keepLines w:val="0"/>
        <w:keepNext w:val="0"/>
        <w:pageBreakBefore w:val="0"/>
        <w:spacing w:after="0" w:line="500" w:lineRule="exact"/>
        <w:widowControl/>
        <w:rPr>
          <w:rFonts w:hint="eastAsia" w:ascii="宋体" w:hAnsi="宋体" w:eastAsia="宋体" w:cs="宋体"/>
          <w:b/>
          <w:color w:val="auto"/>
          <w:sz w:val="24"/>
          <w:highlight w:val="none"/>
          <w:lang w:val="en-US" w:eastAsia="zh-CN"/>
        </w:rPr>
      </w:pPr>
      <w:r>
        <w:rPr>
          <w:rFonts w:hint="eastAsia" w:ascii="宋体" w:hAnsi="宋体" w:eastAsia="宋体" w:cs="宋体"/>
          <w:color w:val="auto"/>
          <w:sz w:val="24"/>
          <w:highlight w:val="none"/>
        </w:rPr>
        <w:t xml:space="preserve">为更好地体现企业的综合实力，投标人</w:t>
      </w:r>
      <w:r>
        <w:rPr>
          <w:rFonts w:hint="eastAsia" w:ascii="宋体" w:hAnsi="宋体" w:cs="宋体"/>
          <w:color w:val="auto"/>
          <w:sz w:val="24"/>
          <w:highlight w:val="none"/>
          <w:lang w:eastAsia="zh-CN"/>
        </w:rPr>
        <w:t xml:space="preserve">在物业管理方面</w:t>
      </w:r>
      <w:r>
        <w:rPr>
          <w:rFonts w:hint="eastAsia" w:ascii="宋体" w:hAnsi="宋体" w:eastAsia="宋体" w:cs="宋体"/>
          <w:color w:val="auto"/>
          <w:sz w:val="24"/>
          <w:highlight w:val="none"/>
        </w:rPr>
        <w:t xml:space="preserve">自202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年1月1日以来（以相关证书或文件上注明的日期为准）获得过县、区及以上行政部门颁发的</w:t>
      </w:r>
      <w:r>
        <w:rPr>
          <w:rFonts w:hint="eastAsia" w:ascii="宋体" w:hAnsi="宋体" w:cs="宋体"/>
          <w:color w:val="auto"/>
          <w:sz w:val="24"/>
          <w:highlight w:val="none"/>
          <w:lang w:eastAsia="zh-CN"/>
        </w:rPr>
        <w:t xml:space="preserve">表彰或奖项</w:t>
      </w:r>
      <w:r>
        <w:rPr>
          <w:rFonts w:hint="eastAsia" w:ascii="宋体" w:hAnsi="宋体" w:eastAsia="宋体" w:cs="宋体"/>
          <w:color w:val="auto"/>
          <w:sz w:val="24"/>
          <w:highlight w:val="none"/>
        </w:rPr>
        <w:t xml:space="preserve">的</w:t>
      </w:r>
      <w:r>
        <w:rPr>
          <w:rFonts w:hint="eastAsia" w:ascii="宋体" w:hAnsi="宋体" w:eastAsia="宋体" w:cs="宋体"/>
          <w:b/>
          <w:bCs/>
          <w:color w:val="auto"/>
          <w:sz w:val="24"/>
          <w:highlight w:val="none"/>
        </w:rPr>
        <w:t xml:space="preserve">优先</w:t>
      </w:r>
      <w:r>
        <w:rPr>
          <w:rFonts w:hint="eastAsia" w:ascii="宋体" w:hAnsi="宋体" w:eastAsia="宋体" w:cs="宋体"/>
          <w:color w:val="auto"/>
          <w:sz w:val="24"/>
          <w:highlight w:val="none"/>
        </w:rPr>
        <w:t xml:space="preserve">。</w:t>
      </w:r>
      <w:r/>
    </w:p>
    <w:p>
      <w:pPr>
        <w:numPr>
          <w:ilvl w:val="0"/>
          <w:numId w:val="0"/>
        </w:numPr>
        <w:ind w:firstLine="482"/>
        <w:keepLines w:val="0"/>
        <w:keepNext w:val="0"/>
        <w:pageBreakBefore w:val="0"/>
        <w:spacing w:after="0" w:line="500" w:lineRule="exact"/>
        <w:rPr>
          <w:rFonts w:hint="eastAsia" w:ascii="宋体" w:hAnsi="宋体" w:eastAsia="宋体" w:cs="宋体"/>
          <w:b/>
          <w:bCs w:val="0"/>
          <w:color w:val="auto"/>
          <w:sz w:val="24"/>
          <w:highlight w:val="none"/>
          <w:lang w:eastAsia="zh-CN"/>
        </w:rPr>
      </w:pPr>
      <w:r>
        <w:rPr>
          <w:rFonts w:hint="eastAsia" w:ascii="宋体" w:hAnsi="宋体" w:cs="宋体"/>
          <w:b/>
          <w:bCs w:val="0"/>
          <w:color w:val="auto"/>
          <w:sz w:val="24"/>
          <w:szCs w:val="24"/>
          <w:highlight w:val="none"/>
          <w:lang w:val="en-US" w:eastAsia="zh-CN" w:bidi="ar-SA"/>
        </w:rPr>
        <w:t xml:space="preserve">11</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val="0"/>
          <w:color w:val="auto"/>
          <w:sz w:val="24"/>
          <w:highlight w:val="none"/>
          <w:lang w:eastAsia="zh-CN"/>
        </w:rPr>
        <w:t xml:space="preserve">人员</w:t>
      </w:r>
      <w:r/>
    </w:p>
    <w:p>
      <w:pPr>
        <w:numPr>
          <w:ilvl w:val="0"/>
          <w:numId w:val="0"/>
        </w:numPr>
        <w:ind w:firstLine="480"/>
        <w:keepLines w:val="0"/>
        <w:keepNext w:val="0"/>
        <w:pageBreakBefore w:val="0"/>
        <w:spacing w:after="0"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本项目为新四军纪念馆（含泰山庙）物业管理服务，新四军纪念馆为国家一级博物馆、红色教育基地，具有重要历史意义且人流密集，接待各类游客，需高标准的安保服务，馆内电力设施复杂，因此投标人应为本项目配备具有丰富经验的物业服务团队。其中，拟派项目经理需具备全面的管理能力和良好的群众工作能力，能够妥善处理观众咨询、投诉及矛盾纠纷，具备组织协调物业人员配合采购人开展志愿服务、关爱特殊群体等工作的经验，同时具备消防应急统筹能力</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因此</w:t>
      </w:r>
      <w:r>
        <w:rPr>
          <w:rFonts w:hint="eastAsia" w:ascii="宋体" w:hAnsi="宋体" w:cs="宋体"/>
          <w:bCs/>
          <w:color w:val="auto"/>
          <w:sz w:val="24"/>
          <w:highlight w:val="none"/>
          <w:lang w:eastAsia="zh-CN"/>
        </w:rPr>
        <w:t xml:space="preserve">拟派项目经理</w:t>
      </w:r>
      <w:r>
        <w:rPr>
          <w:rFonts w:hint="eastAsia" w:ascii="宋体" w:hAnsi="宋体" w:eastAsia="宋体" w:cs="宋体"/>
          <w:bCs/>
          <w:color w:val="auto"/>
          <w:sz w:val="24"/>
          <w:highlight w:val="none"/>
          <w:lang w:eastAsia="zh-CN"/>
        </w:rPr>
        <w:t xml:space="preserve">具有本科及以上学历</w:t>
      </w:r>
      <w:r>
        <w:rPr>
          <w:rFonts w:hint="eastAsia" w:ascii="宋体" w:hAnsi="宋体" w:cs="宋体"/>
          <w:bCs/>
          <w:color w:val="auto"/>
          <w:sz w:val="24"/>
          <w:highlight w:val="none"/>
          <w:lang w:eastAsia="zh-CN"/>
        </w:rPr>
        <w:t xml:space="preserve">和中级消防设施操作员(四级)及以上证书</w:t>
      </w:r>
      <w:r>
        <w:rPr>
          <w:rFonts w:hint="eastAsia" w:ascii="宋体" w:hAnsi="宋体" w:eastAsia="宋体" w:cs="宋体"/>
          <w:bCs/>
          <w:color w:val="auto"/>
          <w:sz w:val="24"/>
          <w:highlight w:val="none"/>
          <w:lang w:eastAsia="zh-CN"/>
        </w:rPr>
        <w:t xml:space="preserve">的</w:t>
      </w:r>
      <w:r>
        <w:rPr>
          <w:rFonts w:hint="eastAsia" w:ascii="宋体" w:hAnsi="宋体" w:eastAsia="宋体" w:cs="宋体"/>
          <w:b/>
          <w:bCs w:val="0"/>
          <w:color w:val="auto"/>
          <w:sz w:val="24"/>
          <w:highlight w:val="none"/>
          <w:lang w:eastAsia="zh-CN"/>
        </w:rPr>
        <w:t xml:space="preserve">优先</w:t>
      </w:r>
      <w:r>
        <w:rPr>
          <w:rFonts w:hint="eastAsia" w:ascii="宋体" w:hAnsi="宋体" w:eastAsia="宋体" w:cs="宋体"/>
          <w:bCs/>
          <w:color w:val="auto"/>
          <w:sz w:val="24"/>
          <w:highlight w:val="none"/>
          <w:lang w:eastAsia="zh-CN"/>
        </w:rPr>
        <w:t xml:space="preserve">；拟派保安人员不仅需要具备高级安保技能，还需具备应对突发事件的急救能力，因此具有保安职业技能等级高级（三级）及以上证书和应急救援员五级（初级）及以上证书的</w:t>
      </w:r>
      <w:r>
        <w:rPr>
          <w:rFonts w:hint="eastAsia" w:ascii="宋体" w:hAnsi="宋体" w:eastAsia="宋体" w:cs="宋体"/>
          <w:b/>
          <w:bCs w:val="0"/>
          <w:color w:val="auto"/>
          <w:sz w:val="24"/>
          <w:highlight w:val="none"/>
          <w:lang w:eastAsia="zh-CN"/>
        </w:rPr>
        <w:t xml:space="preserve">优先</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拟派设备维护人员需能熟练处理高低压电力设施，因此同时</w:t>
      </w:r>
      <w:r>
        <w:rPr>
          <w:rFonts w:hint="eastAsia" w:ascii="宋体" w:hAnsi="宋体" w:eastAsia="宋体" w:cs="宋体"/>
          <w:bCs/>
          <w:color w:val="auto"/>
          <w:sz w:val="24"/>
          <w:highlight w:val="none"/>
          <w:lang w:val="en-US" w:eastAsia="zh-CN"/>
        </w:rPr>
        <w:t xml:space="preserve">持有高压电工作业证及低压电工作业证的</w:t>
      </w:r>
      <w:r>
        <w:rPr>
          <w:rFonts w:hint="eastAsia" w:ascii="宋体" w:hAnsi="宋体" w:eastAsia="宋体" w:cs="宋体"/>
          <w:b/>
          <w:bCs w:val="0"/>
          <w:color w:val="auto"/>
          <w:sz w:val="24"/>
          <w:highlight w:val="none"/>
          <w:lang w:val="en-US" w:eastAsia="zh-CN"/>
        </w:rPr>
        <w:t xml:space="preserve">优先</w:t>
      </w:r>
      <w:r>
        <w:rPr>
          <w:rFonts w:hint="eastAsia" w:ascii="宋体" w:hAnsi="宋体" w:eastAsia="宋体" w:cs="宋体"/>
          <w:bCs/>
          <w:color w:val="auto"/>
          <w:sz w:val="24"/>
          <w:highlight w:val="none"/>
          <w:lang w:eastAsia="zh-CN"/>
        </w:rPr>
        <w:t xml:space="preserve">；设备维护人员队长应具备较高的电工专业技能和综合管理能力，能够熟练处理技术文档并指导班组工作，因此具有</w:t>
      </w:r>
      <w:r>
        <w:rPr>
          <w:rFonts w:hint="eastAsia" w:ascii="宋体" w:hAnsi="宋体" w:cs="宋体"/>
          <w:bCs/>
          <w:color w:val="auto"/>
          <w:sz w:val="24"/>
          <w:highlight w:val="none"/>
          <w:lang w:eastAsia="zh-CN"/>
        </w:rPr>
        <w:t xml:space="preserve">大专及以上学历和</w:t>
      </w:r>
      <w:r>
        <w:rPr>
          <w:rFonts w:hint="eastAsia" w:ascii="宋体" w:hAnsi="宋体" w:eastAsia="宋体" w:cs="宋体"/>
          <w:bCs/>
          <w:color w:val="auto"/>
          <w:sz w:val="24"/>
          <w:highlight w:val="none"/>
          <w:lang w:eastAsia="zh-CN"/>
        </w:rPr>
        <w:t xml:space="preserve">电工职业技能中级（四级）及以上证书的</w:t>
      </w:r>
      <w:r>
        <w:rPr>
          <w:rFonts w:hint="eastAsia" w:ascii="宋体" w:hAnsi="宋体" w:eastAsia="宋体" w:cs="宋体"/>
          <w:b/>
          <w:bCs w:val="0"/>
          <w:color w:val="auto"/>
          <w:sz w:val="24"/>
          <w:highlight w:val="none"/>
          <w:lang w:eastAsia="zh-CN"/>
        </w:rPr>
        <w:t xml:space="preserve">优先</w:t>
      </w:r>
      <w:r>
        <w:rPr>
          <w:rFonts w:hint="eastAsia" w:ascii="宋体" w:hAnsi="宋体" w:eastAsia="宋体" w:cs="宋体"/>
          <w:bCs/>
          <w:color w:val="auto"/>
          <w:sz w:val="24"/>
          <w:highlight w:val="none"/>
          <w:lang w:eastAsia="zh-CN"/>
        </w:rPr>
        <w:t xml:space="preserve">。</w:t>
      </w:r>
      <w:r/>
    </w:p>
    <w:p>
      <w:pPr>
        <w:ind w:firstLine="482"/>
        <w:keepLines w:val="0"/>
        <w:keepNext w:val="0"/>
        <w:pageBreakBefore w:val="0"/>
        <w:spacing w:line="500" w:lineRule="exact"/>
        <w:rPr>
          <w:rFonts w:hint="eastAsia" w:ascii="宋体" w:hAnsi="宋体" w:cs="宋体"/>
          <w:b/>
          <w:bCs/>
          <w:color w:val="auto"/>
          <w:sz w:val="24"/>
          <w:szCs w:val="20"/>
          <w:highlight w:val="none"/>
          <w:lang w:eastAsia="zh-CN"/>
        </w:rPr>
      </w:pPr>
      <w:r>
        <w:rPr>
          <w:rFonts w:hint="eastAsia" w:ascii="宋体" w:hAnsi="宋体" w:eastAsia="宋体" w:cs="宋体"/>
          <w:color w:val="auto"/>
          <w:sz w:val="24"/>
          <w:highlight w:val="none"/>
        </w:rPr>
        <w:t xml:space="preserve">以上须提供相关证明材</w:t>
      </w:r>
      <w:r>
        <w:rPr>
          <w:rFonts w:hint="eastAsia" w:ascii="宋体" w:hAnsi="宋体" w:eastAsia="宋体" w:cs="宋体"/>
          <w:bCs/>
          <w:color w:val="auto"/>
          <w:sz w:val="24"/>
          <w:highlight w:val="none"/>
        </w:rPr>
        <w:t xml:space="preserve">料及开标</w:t>
      </w:r>
      <w:r>
        <w:rPr>
          <w:rFonts w:hint="eastAsia" w:ascii="宋体" w:hAnsi="宋体" w:eastAsia="宋体" w:cs="宋体"/>
          <w:bCs/>
          <w:color w:val="auto"/>
          <w:sz w:val="24"/>
          <w:highlight w:val="none"/>
          <w:lang w:eastAsia="zh-CN"/>
        </w:rPr>
        <w:t xml:space="preserve">之日</w:t>
      </w:r>
      <w:r>
        <w:rPr>
          <w:rFonts w:hint="eastAsia" w:ascii="宋体" w:hAnsi="宋体" w:eastAsia="宋体" w:cs="宋体"/>
          <w:bCs/>
          <w:color w:val="auto"/>
          <w:sz w:val="24"/>
          <w:highlight w:val="none"/>
        </w:rPr>
        <w:t xml:space="preserve">前1个月在投标人单位缴纳社保的相关证明材料。</w:t>
      </w:r>
      <w:r/>
    </w:p>
    <w:p>
      <w:pPr>
        <w:ind w:firstLine="482"/>
        <w:keepLines w:val="0"/>
        <w:keepNext w:val="0"/>
        <w:pageBreakBefore w:val="0"/>
        <w:spacing w:line="500" w:lineRule="exact"/>
        <w:widowControl w:val="off"/>
        <w:rPr>
          <w:rFonts w:hint="eastAsia" w:ascii="宋体" w:hAnsi="宋体" w:cs="宋体"/>
          <w:b/>
          <w:bCs/>
          <w:color w:val="auto"/>
          <w:sz w:val="24"/>
        </w:rPr>
      </w:pPr>
      <w:r>
        <w:rPr>
          <w:rFonts w:hint="eastAsia" w:ascii="宋体" w:hAnsi="宋体" w:cs="宋体"/>
          <w:b/>
          <w:bCs/>
          <w:color w:val="000000" w:themeColor="text1"/>
          <w:sz w:val="24"/>
          <w:szCs w:val="20"/>
          <w:lang w:eastAsia="zh-CN"/>
          <w14:textFill>
            <w14:solidFill>
              <w14:schemeClr w14:val="tx1"/>
            </w14:solidFill>
          </w14:textFill>
        </w:rPr>
        <w:t xml:space="preserve">十二</w:t>
      </w:r>
      <w:r>
        <w:rPr>
          <w:rFonts w:hint="eastAsia" w:ascii="宋体" w:hAnsi="宋体" w:cs="宋体"/>
          <w:b/>
          <w:bCs/>
          <w:color w:val="000000" w:themeColor="text1"/>
          <w:sz w:val="24"/>
          <w:szCs w:val="20"/>
          <w14:textFill>
            <w14:solidFill>
              <w14:schemeClr w14:val="tx1"/>
            </w14:solidFill>
          </w14:textFill>
        </w:rPr>
        <w:t xml:space="preserve">、采购标的对应的中小企业划分标准所属行业一览表</w:t>
      </w:r>
      <w:r/>
    </w:p>
    <w:tbl>
      <w:tblPr>
        <w:tblStyle w:val="827"/>
        <w:tblW w:w="4834" w:type="pct"/>
        <w:tblInd w:w="11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4106"/>
        <w:gridCol w:w="3668"/>
      </w:tblGrid>
      <w:tr>
        <w:trPr>
          <w:trHeight w:val="8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ind w:firstLine="0"/>
              <w:jc w:val="center"/>
              <w:spacing w:line="499" w:lineRule="atLeast"/>
              <w:rPr>
                <w:b/>
                <w:bCs/>
                <w:color w:val="auto"/>
              </w:rPr>
              <w:pBdr>
                <w:top w:val="none" w:color="000000" w:sz="0" w:space="0"/>
                <w:left w:val="none" w:color="000000" w:sz="0" w:space="0"/>
                <w:bottom w:val="none" w:color="000000" w:sz="0" w:space="0"/>
                <w:right w:val="none" w:color="000000" w:sz="0" w:space="0"/>
              </w:pBdr>
            </w:pPr>
            <w:r>
              <w:rPr>
                <w:b/>
                <w:bCs/>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7" w:type="pct"/>
            <w:vAlign w:val="center"/>
            <w:textDirection w:val="lrTb"/>
            <w:noWrap w:val="false"/>
          </w:tcPr>
          <w:p>
            <w:pPr>
              <w:ind w:firstLine="0"/>
              <w:jc w:val="center"/>
              <w:spacing w:line="499" w:lineRule="atLeast"/>
              <w:rPr>
                <w:b/>
                <w:bCs/>
                <w:color w:val="auto"/>
              </w:rPr>
              <w:pBdr>
                <w:top w:val="none" w:color="000000" w:sz="0" w:space="0"/>
                <w:left w:val="none" w:color="000000" w:sz="0" w:space="0"/>
                <w:bottom w:val="none" w:color="000000" w:sz="0" w:space="0"/>
                <w:right w:val="none" w:color="000000" w:sz="0" w:space="0"/>
              </w:pBdr>
            </w:pPr>
            <w:r>
              <w:rPr>
                <w:b/>
                <w:bCs/>
                <w:color w:val="auto"/>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1" w:type="pct"/>
            <w:vAlign w:val="center"/>
            <w:textDirection w:val="lrTb"/>
            <w:noWrap w:val="false"/>
          </w:tcPr>
          <w:p>
            <w:pPr>
              <w:ind w:firstLine="0"/>
              <w:jc w:val="center"/>
              <w:spacing w:line="499" w:lineRule="atLeast"/>
              <w:rPr>
                <w:b/>
                <w:bCs/>
                <w:color w:val="auto"/>
              </w:rPr>
              <w:pBdr>
                <w:top w:val="none" w:color="000000" w:sz="0" w:space="0"/>
                <w:left w:val="none" w:color="000000" w:sz="0" w:space="0"/>
                <w:bottom w:val="none" w:color="000000" w:sz="0" w:space="0"/>
                <w:right w:val="none" w:color="000000" w:sz="0" w:space="0"/>
              </w:pBdr>
            </w:pPr>
            <w:r>
              <w:rPr>
                <w:b/>
                <w:bCs/>
                <w:color w:val="auto"/>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ind w:firstLine="0"/>
              <w:jc w:val="center"/>
              <w:spacing w:line="499" w:lineRule="atLeast"/>
              <w:rPr>
                <w:color w:val="auto"/>
              </w:rPr>
              <w:pBdr>
                <w:top w:val="none" w:color="000000" w:sz="0" w:space="0"/>
                <w:left w:val="none" w:color="000000" w:sz="0" w:space="0"/>
                <w:bottom w:val="none" w:color="000000" w:sz="0" w:space="0"/>
                <w:right w:val="none" w:color="000000" w:sz="0" w:space="0"/>
              </w:pBdr>
            </w:pPr>
            <w:r>
              <w:rPr>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pct"/>
            <w:vAlign w:val="center"/>
            <w:textDirection w:val="lrTb"/>
            <w:noWrap w:val="false"/>
          </w:tcPr>
          <w:p>
            <w:pPr>
              <w:ind w:firstLine="0"/>
              <w:jc w:val="center"/>
              <w:spacing w:line="499"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4"/>
                <w:lang w:eastAsia="zh-CN"/>
              </w:rPr>
              <w:t xml:space="preserve">新四军纪念馆（含泰山庙）物业管理服务项目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pct"/>
            <w:vAlign w:val="center"/>
            <w:textDirection w:val="lrTb"/>
            <w:noWrap w:val="false"/>
          </w:tcPr>
          <w:p>
            <w:pPr>
              <w:ind w:firstLine="0"/>
              <w:jc w:val="center"/>
              <w:spacing w:line="499" w:lineRule="atLeast"/>
              <w:rPr>
                <w:color w:val="auto"/>
              </w:rPr>
              <w:pBdr>
                <w:top w:val="none" w:color="000000" w:sz="0" w:space="0"/>
                <w:left w:val="none" w:color="000000" w:sz="0" w:space="0"/>
                <w:bottom w:val="none" w:color="000000" w:sz="0" w:space="0"/>
                <w:right w:val="none" w:color="000000" w:sz="0" w:space="0"/>
              </w:pBdr>
            </w:pPr>
            <w:r>
              <w:rPr>
                <w:color w:val="auto"/>
                <w:sz w:val="24"/>
              </w:rPr>
              <w:t xml:space="preserve">物业管理</w:t>
            </w:r>
            <w:r/>
          </w:p>
        </w:tc>
      </w:tr>
    </w:tbl>
    <w:p>
      <w:r/>
      <w:r/>
    </w:p>
    <w:p>
      <w:pPr>
        <w:rPr>
          <w:rFonts w:asciiTheme="majorEastAsia" w:hAnsiTheme="majorEastAsia" w:eastAsiaTheme="majorEastAsia" w:cstheme="majorEastAsia"/>
          <w:bCs/>
          <w:sz w:val="44"/>
          <w:szCs w:val="44"/>
        </w:rPr>
      </w:pPr>
      <w:r>
        <w:rPr>
          <w:rFonts w:hint="eastAsia" w:asciiTheme="majorEastAsia" w:hAnsiTheme="majorEastAsia" w:eastAsiaTheme="majorEastAsia" w:cstheme="majorEastAsia"/>
          <w:bCs/>
          <w:sz w:val="44"/>
          <w:szCs w:val="44"/>
        </w:rPr>
        <w:br w:type="page" w:clear="all"/>
      </w:r>
      <w:r/>
    </w:p>
    <w:p>
      <w:pPr>
        <w:pStyle w:val="822"/>
        <w:ind w:firstLine="480"/>
        <w:jc w:val="center"/>
        <w:spacing w:beforeAutospacing="0" w:afterAutospacing="0" w:line="0" w:lineRule="atLeast"/>
        <w:rPr>
          <w:rFonts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outlineLvl w:val="1"/>
      </w:pPr>
      <w:r>
        <w:rPr>
          <w:rFonts w:hint="eastAsia" w:ascii="宋体" w:hAnsi="宋体" w:eastAsia="Arial" w:cs="宋体"/>
          <w:b/>
          <w:bCs/>
          <w:color w:val="000000" w:themeColor="text1"/>
          <w:sz w:val="24"/>
          <w:szCs w:val="20"/>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本项目评分总分值为100分。</w:t>
      </w:r>
      <w:r/>
    </w:p>
    <w:tbl>
      <w:tblPr>
        <w:tblStyle w:val="793"/>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序号</w:t>
            </w:r>
            <w:r/>
          </w:p>
        </w:tc>
        <w:tc>
          <w:tcPr>
            <w:tcW w:w="964" w:type="dxa"/>
            <w:vAlign w:val="center"/>
            <w:textDirection w:val="lrTb"/>
            <w:noWrap w:val="false"/>
          </w:tcPr>
          <w:p>
            <w:pPr>
              <w:jc w:val="center"/>
              <w:spacing w:line="440" w:lineRule="exact"/>
              <w:rPr>
                <w:rFonts w:hint="eastAsia" w:ascii="宋体" w:hAnsi="宋体" w:eastAsia="宋体"/>
                <w:b/>
                <w:color w:val="auto"/>
                <w:sz w:val="24"/>
                <w:highlight w:val="none"/>
              </w:rPr>
            </w:pPr>
            <w:r>
              <w:rPr>
                <w:rFonts w:ascii="宋体" w:hAnsi="宋体" w:eastAsia="宋体"/>
                <w:b/>
                <w:color w:val="auto"/>
                <w:sz w:val="24"/>
                <w:highlight w:val="none"/>
              </w:rPr>
              <w:t xml:space="preserve">评</w:t>
            </w:r>
            <w:r>
              <w:rPr>
                <w:rFonts w:hint="eastAsia" w:ascii="宋体" w:hAnsi="宋体" w:eastAsia="宋体"/>
                <w:b/>
                <w:color w:val="auto"/>
                <w:sz w:val="24"/>
                <w:highlight w:val="none"/>
              </w:rPr>
              <w:t xml:space="preserve">审</w:t>
            </w:r>
            <w:r/>
          </w:p>
          <w:p>
            <w:pPr>
              <w:jc w:val="center"/>
              <w:spacing w:line="440" w:lineRule="exact"/>
              <w:rPr>
                <w:rFonts w:hint="eastAsia" w:ascii="宋体" w:hAnsi="宋体" w:eastAsia="宋体"/>
                <w:b/>
                <w:color w:val="auto"/>
                <w:sz w:val="24"/>
                <w:highlight w:val="none"/>
              </w:rPr>
            </w:pPr>
            <w:r>
              <w:rPr>
                <w:rFonts w:ascii="宋体" w:hAnsi="宋体" w:eastAsia="宋体"/>
                <w:b/>
                <w:color w:val="auto"/>
                <w:sz w:val="24"/>
                <w:highlight w:val="none"/>
              </w:rPr>
              <w:t xml:space="preserve">因素</w:t>
            </w:r>
            <w:r/>
          </w:p>
        </w:tc>
        <w:tc>
          <w:tcPr>
            <w:tcW w:w="794"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满分</w:t>
            </w:r>
            <w:r>
              <w:rPr>
                <w:rFonts w:ascii="宋体" w:hAnsi="宋体" w:eastAsia="宋体"/>
                <w:b/>
                <w:color w:val="auto"/>
                <w:sz w:val="24"/>
                <w:highlight w:val="none"/>
              </w:rPr>
              <w:t xml:space="preserve">分值</w:t>
            </w:r>
            <w:r/>
          </w:p>
        </w:tc>
        <w:tc>
          <w:tcPr>
            <w:tcW w:w="7060"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1</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报价</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50分</w:t>
            </w:r>
            <w:r/>
          </w:p>
        </w:tc>
        <w:tc>
          <w:tcPr>
            <w:tcW w:w="7060" w:type="dxa"/>
            <w:vAlign w:val="center"/>
            <w:textDirection w:val="lrTb"/>
            <w:noWrap w:val="false"/>
          </w:tcPr>
          <w:p>
            <w:pPr>
              <w:ind w:firstLine="480"/>
              <w:spacing w:line="44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投标报价分采用低价优先法计算，即满足招标文件要求且报价最低的投标人报价为评标基准价，</w:t>
            </w:r>
            <w:r>
              <w:rPr>
                <w:rFonts w:hint="eastAsia" w:ascii="宋体" w:hAnsi="宋体" w:eastAsia="宋体"/>
                <w:b/>
                <w:color w:val="auto"/>
                <w:sz w:val="24"/>
                <w:highlight w:val="none"/>
              </w:rPr>
              <w:t xml:space="preserve">其报价分为满分50分</w:t>
            </w:r>
            <w:r>
              <w:rPr>
                <w:rFonts w:hint="eastAsia" w:ascii="宋体" w:hAnsi="宋体" w:eastAsia="宋体"/>
                <w:color w:val="auto"/>
                <w:sz w:val="24"/>
                <w:highlight w:val="none"/>
              </w:rPr>
              <w:t xml:space="preserve">。</w:t>
            </w:r>
            <w:r/>
          </w:p>
          <w:p>
            <w:pPr>
              <w:ind w:firstLine="480"/>
              <w:spacing w:line="440" w:lineRule="exact"/>
              <w:rPr>
                <w:rFonts w:hint="eastAsia" w:ascii="宋体" w:hAnsi="宋体" w:eastAsia="宋体"/>
                <w:bCs/>
                <w:color w:val="auto"/>
                <w:sz w:val="24"/>
                <w:highlight w:val="none"/>
              </w:rPr>
            </w:pPr>
            <w:r>
              <w:rPr>
                <w:rFonts w:hint="eastAsia" w:ascii="宋体" w:hAnsi="宋体" w:eastAsia="宋体"/>
                <w:color w:val="auto"/>
                <w:sz w:val="24"/>
                <w:highlight w:val="none"/>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服务</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方案</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27</w:t>
            </w:r>
            <w:r>
              <w:rPr>
                <w:rFonts w:hint="eastAsia" w:ascii="宋体" w:hAnsi="宋体" w:eastAsia="宋体"/>
                <w:bCs/>
                <w:color w:val="auto"/>
                <w:sz w:val="24"/>
                <w:highlight w:val="none"/>
              </w:rPr>
              <w:t xml:space="preserve">分</w:t>
            </w:r>
            <w:r/>
          </w:p>
        </w:tc>
        <w:tc>
          <w:tcPr>
            <w:tcW w:w="7060" w:type="dxa"/>
            <w:vAlign w:val="center"/>
            <w:textDirection w:val="lrTb"/>
            <w:noWrap w:val="false"/>
          </w:tcPr>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1、项目总体实施方案与策划（本项最高得</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投标人根据第四章第十一项第一条中“项目总体实施方案与策划”要求，方案至少包含：①管理理念与目标；②服务定位与重点难点把控；③档案管理等内容；优于项目需求得</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2、组织机构设置、人员配置及人员培训（本项最高得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投标人根据第四章第十一项第二条中“组织机构设置、人员配置及人员培训”要求，方案至少包含：①项目组织架构图；②人员配置与排班；③培训体系与考核等内容；优于项目需求得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3、制度的建立方案（本项最高得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投标人根据第四章第十一项第三条中“制度的建立方案”要求，方案至少包含：①建立健全管理制度；②制度更新机制；③制度宣贯与执行等内容；优于项目需求得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4、拟采取的管理服务模式（本项最高得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投标人根据第四章第十一项第四条中“拟采取的管理服务模式”要求，方案至少包含：①管理模式创新；②区域职能划分；③关键岗位管理；④服务质量监控等内容；优于项目需求得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5、安保管理（本项最高得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投标人根据第四章第十一项第五条中“安保管理”要求，方案至少包含：①巡逻与值守；②安检管理；③消防管理；④秩序维护；⑤技防管理</w:t>
            </w:r>
            <w:r>
              <w:rPr>
                <w:rFonts w:hint="eastAsia" w:ascii="宋体" w:hAnsi="宋体" w:cs="宋体"/>
                <w:color w:val="auto"/>
                <w:sz w:val="24"/>
                <w:szCs w:val="20"/>
                <w:highlight w:val="none"/>
                <w:lang w:eastAsia="zh-CN"/>
              </w:rPr>
              <w:t xml:space="preserve">；⑥应急救援</w:t>
            </w:r>
            <w:r>
              <w:rPr>
                <w:rFonts w:hint="eastAsia" w:ascii="宋体" w:hAnsi="宋体" w:eastAsia="宋体" w:cs="宋体"/>
                <w:color w:val="auto"/>
                <w:sz w:val="24"/>
                <w:szCs w:val="20"/>
                <w:highlight w:val="none"/>
              </w:rPr>
              <w:t xml:space="preserve">等内容；优于项目需求得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6、客服会务及保洁服务管理（本项最高得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投标人根据第四章第十一项第六条中“客服会务及保洁服务管理”要求，方案至少包含：①会务服务；②报刊收发及邮寄；③保洁服务等内容；优于项目需求得</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7、适合本项目的各种突发事件的处理预案（本项最高得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投标人根据第四章第十一项第七条中“适合本项目的各种突发事件的处理预案”要求，方案至少包含：①预案体系；②应急组织与响应；③演练与改进；④应急物资管理；⑤应急响应时效等内容；优于项目需求得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分，满足项目需求得</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分，不满足或不提供得0分。  </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3</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企业  认证</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分</w:t>
            </w:r>
            <w:r/>
          </w:p>
        </w:tc>
        <w:tc>
          <w:tcPr>
            <w:tcW w:w="7060" w:type="dxa"/>
            <w:vAlign w:val="center"/>
            <w:textDirection w:val="lrTb"/>
            <w:noWrap w:val="false"/>
          </w:tcPr>
          <w:p>
            <w:pPr>
              <w:ind w:firstLine="480"/>
              <w:spacing w:line="46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投标人具有有效期内的质量管理体系认证证书、环境管理体系认证证书、职业健康安全管理体系认证证书的有一项得1分，最高得</w:t>
            </w: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分。</w:t>
            </w:r>
            <w:r/>
          </w:p>
          <w:p>
            <w:pPr>
              <w:ind w:firstLine="480"/>
              <w:spacing w:line="460" w:lineRule="exact"/>
              <w:rPr>
                <w:rFonts w:hint="eastAsia" w:ascii="宋体" w:hAnsi="宋体" w:eastAsia="宋体"/>
                <w:color w:val="auto"/>
                <w:sz w:val="24"/>
                <w:highlight w:val="none"/>
              </w:rPr>
            </w:pPr>
            <w:r>
              <w:rPr>
                <w:rFonts w:hint="eastAsia" w:ascii="宋体" w:hAnsi="宋体" w:eastAsia="宋体" w:cs="Times New Roman"/>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4</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企业  业绩</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3分</w:t>
            </w:r>
            <w:r/>
          </w:p>
        </w:tc>
        <w:tc>
          <w:tcPr>
            <w:tcW w:w="7060" w:type="dxa"/>
            <w:vAlign w:val="center"/>
            <w:textDirection w:val="lrTb"/>
            <w:noWrap w:val="false"/>
          </w:tcPr>
          <w:p>
            <w:pPr>
              <w:ind w:firstLine="480"/>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投标人自2021年1月1日以来(以合同签订时间为准)承接过类似物业服务项目业绩的，每提供1个类似业绩得1分，本项最高得3分。</w:t>
            </w:r>
            <w:r/>
          </w:p>
          <w:p>
            <w:pPr>
              <w:ind w:firstLine="480"/>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注：类似业绩指:类似党政机关、事业单位、企业单位物业管理项目(不含住宅工厂等)。投标人须提供合同原件扫描件并加盖投标人公章，合同中必须包含服务内容、合同签订时间等信息，否则不计分。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5</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企业</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表彰</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分</w:t>
            </w:r>
            <w:r/>
          </w:p>
        </w:tc>
        <w:tc>
          <w:tcPr>
            <w:tcW w:w="7060" w:type="dxa"/>
            <w:vAlign w:val="center"/>
            <w:textDirection w:val="lrTb"/>
            <w:noWrap w:val="false"/>
          </w:tcPr>
          <w:p>
            <w:pPr>
              <w:ind w:firstLine="480"/>
              <w:spacing w:line="46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投标人2021年1月1日以来（以文件或证书获得时间为准）获得县、区级行政部门</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的每提供一个得0.5分，市级行政部门</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的每提供一个得1分，省级及以上行政部门</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的每提供一个得2分，本项最高得</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分（同一年份的同一项目</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按最高级别奖项计算，不重复得分，不包括各类协会</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w:t>
            </w:r>
            <w:r/>
          </w:p>
          <w:p>
            <w:pPr>
              <w:ind w:firstLine="480"/>
              <w:spacing w:line="46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注：须提供由行政部门颁发的与物业管理相关的</w:t>
            </w:r>
            <w:r>
              <w:rPr>
                <w:rFonts w:hint="eastAsia" w:ascii="宋体" w:hAnsi="宋体"/>
                <w:bCs/>
                <w:color w:val="auto"/>
                <w:sz w:val="24"/>
                <w:highlight w:val="none"/>
                <w:lang w:eastAsia="zh-CN"/>
              </w:rPr>
              <w:t xml:space="preserve">表彰或奖项</w:t>
            </w:r>
            <w:r>
              <w:rPr>
                <w:rFonts w:hint="eastAsia" w:ascii="宋体" w:hAnsi="宋体" w:eastAsia="宋体"/>
                <w:bCs/>
                <w:color w:val="auto"/>
                <w:sz w:val="24"/>
                <w:highlight w:val="none"/>
              </w:rPr>
              <w:t xml:space="preserve">证明材料扫描件并</w:t>
            </w:r>
            <w:r>
              <w:rPr>
                <w:rFonts w:hint="eastAsia" w:ascii="宋体" w:hAnsi="宋体" w:eastAsia="宋体" w:cs="Times New Roman"/>
                <w:bCs/>
                <w:color w:val="auto"/>
                <w:sz w:val="24"/>
                <w:highlight w:val="none"/>
              </w:rPr>
              <w:t xml:space="preserve">加盖投标人公章</w:t>
            </w:r>
            <w:r>
              <w:rPr>
                <w:rFonts w:hint="eastAsia" w:ascii="宋体" w:hAnsi="宋体" w:eastAsia="宋体"/>
                <w:bCs/>
                <w:color w:val="auto"/>
                <w:sz w:val="24"/>
                <w:highlight w:val="none"/>
              </w:rPr>
              <w:t xml:space="preserve">，不提供不得分。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6</w:t>
            </w:r>
            <w:r/>
          </w:p>
        </w:tc>
        <w:tc>
          <w:tcPr>
            <w:tcW w:w="96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拟派</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人员</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证书</w:t>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情况</w:t>
            </w:r>
            <w:r/>
          </w:p>
        </w:tc>
        <w:tc>
          <w:tcPr>
            <w:tcW w:w="794"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both"/>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分</w:t>
            </w:r>
            <w:r/>
          </w:p>
        </w:tc>
        <w:tc>
          <w:tcPr>
            <w:tcW w:w="7060" w:type="dxa"/>
            <w:vAlign w:val="center"/>
            <w:textDirection w:val="lrTb"/>
            <w:noWrap w:val="false"/>
          </w:tcPr>
          <w:p>
            <w:pPr>
              <w:ind w:firstLine="480"/>
              <w:spacing w:line="46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1、投标人拟派项目经理具有本科</w:t>
            </w:r>
            <w:r>
              <w:rPr>
                <w:rFonts w:hint="eastAsia" w:ascii="宋体" w:hAnsi="宋体" w:eastAsia="宋体"/>
                <w:bCs/>
                <w:color w:val="auto"/>
                <w:sz w:val="24"/>
                <w:highlight w:val="none"/>
                <w:lang w:val="en-US" w:eastAsia="zh-CN"/>
              </w:rPr>
              <w:t xml:space="preserve">及以上</w:t>
            </w:r>
            <w:r>
              <w:rPr>
                <w:rFonts w:hint="eastAsia" w:ascii="宋体" w:hAnsi="宋体" w:eastAsia="宋体"/>
                <w:bCs/>
                <w:color w:val="auto"/>
                <w:sz w:val="24"/>
                <w:highlight w:val="none"/>
              </w:rPr>
              <w:t xml:space="preserve">学历的得</w:t>
            </w:r>
            <w:r>
              <w:rPr>
                <w:rFonts w:hint="eastAsia" w:ascii="宋体" w:hAnsi="宋体"/>
                <w:bCs/>
                <w:color w:val="auto"/>
                <w:sz w:val="24"/>
                <w:highlight w:val="none"/>
                <w:lang w:val="en-US" w:eastAsia="zh-CN"/>
              </w:rPr>
              <w:t xml:space="preserve">0.5</w:t>
            </w:r>
            <w:r>
              <w:rPr>
                <w:rFonts w:hint="eastAsia" w:ascii="宋体" w:hAnsi="宋体" w:eastAsia="宋体"/>
                <w:bCs/>
                <w:color w:val="auto"/>
                <w:sz w:val="24"/>
                <w:highlight w:val="none"/>
              </w:rPr>
              <w:t xml:space="preserve">分，</w:t>
            </w:r>
            <w:r>
              <w:rPr>
                <w:rFonts w:hint="eastAsia" w:ascii="宋体" w:hAnsi="宋体"/>
                <w:bCs/>
                <w:color w:val="auto"/>
                <w:sz w:val="24"/>
                <w:highlight w:val="none"/>
                <w:lang w:eastAsia="zh-CN"/>
              </w:rPr>
              <w:t xml:space="preserve">具有</w:t>
            </w:r>
            <w:r>
              <w:rPr>
                <w:rFonts w:ascii="宋体" w:hAnsi="宋体" w:eastAsia="宋体" w:cs="宋体"/>
                <w:color w:val="auto"/>
                <w:sz w:val="24"/>
              </w:rPr>
              <w:t xml:space="preserve">中级消防设施操作员(四级)及以上证书</w:t>
            </w:r>
            <w:r>
              <w:rPr>
                <w:rFonts w:hint="eastAsia" w:ascii="宋体" w:hAnsi="宋体" w:eastAsia="宋体" w:cs="宋体"/>
                <w:color w:val="auto"/>
                <w:sz w:val="24"/>
                <w:lang w:eastAsia="zh-CN"/>
              </w:rPr>
              <w:t xml:space="preserve">的</w:t>
            </w:r>
            <w:r>
              <w:rPr>
                <w:rFonts w:ascii="宋体" w:hAnsi="宋体" w:eastAsia="宋体" w:cs="宋体"/>
                <w:color w:val="auto"/>
                <w:sz w:val="24"/>
              </w:rPr>
              <w:t xml:space="preserve">（包括原依法取得仍在有效期内的相应等级证书）得1分</w:t>
            </w:r>
            <w:r>
              <w:rPr>
                <w:rFonts w:hint="eastAsia" w:ascii="宋体" w:hAnsi="宋体" w:eastAsia="宋体" w:cs="宋体"/>
                <w:color w:val="auto"/>
                <w:sz w:val="24"/>
                <w:lang w:eastAsia="zh-CN"/>
              </w:rPr>
              <w:t xml:space="preserve">，</w:t>
            </w:r>
            <w:r>
              <w:rPr>
                <w:rFonts w:hint="eastAsia" w:ascii="宋体" w:hAnsi="宋体" w:eastAsia="宋体"/>
                <w:bCs/>
                <w:color w:val="auto"/>
                <w:sz w:val="24"/>
                <w:highlight w:val="none"/>
              </w:rPr>
              <w:t xml:space="preserve">本</w:t>
            </w:r>
            <w:r>
              <w:rPr>
                <w:rFonts w:hint="eastAsia" w:ascii="宋体" w:hAnsi="宋体"/>
                <w:bCs/>
                <w:color w:val="auto"/>
                <w:sz w:val="24"/>
                <w:highlight w:val="none"/>
                <w:lang w:eastAsia="zh-CN"/>
              </w:rPr>
              <w:t xml:space="preserve">条</w:t>
            </w:r>
            <w:r>
              <w:rPr>
                <w:rFonts w:hint="eastAsia" w:ascii="宋体" w:hAnsi="宋体" w:eastAsia="宋体"/>
                <w:bCs/>
                <w:color w:val="auto"/>
                <w:sz w:val="24"/>
                <w:highlight w:val="none"/>
              </w:rPr>
              <w:t xml:space="preserve">最高得</w:t>
            </w:r>
            <w:r>
              <w:rPr>
                <w:rFonts w:hint="eastAsia" w:ascii="宋体" w:hAnsi="宋体"/>
                <w:bCs/>
                <w:color w:val="auto"/>
                <w:sz w:val="24"/>
                <w:highlight w:val="none"/>
                <w:lang w:val="en-US" w:eastAsia="zh-CN"/>
              </w:rPr>
              <w:t xml:space="preserve">1.5</w:t>
            </w:r>
            <w:r>
              <w:rPr>
                <w:rFonts w:hint="eastAsia" w:ascii="宋体" w:hAnsi="宋体" w:eastAsia="宋体"/>
                <w:bCs/>
                <w:color w:val="auto"/>
                <w:sz w:val="24"/>
                <w:highlight w:val="none"/>
              </w:rPr>
              <w:t xml:space="preserve">分。</w:t>
            </w:r>
            <w:r/>
          </w:p>
          <w:p>
            <w:pPr>
              <w:ind w:firstLine="480"/>
              <w:spacing w:line="46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2、投标人拟派保安人员中具有保安职业技能等级高级（三级）及以上证书（包括原依法取得仍在有效期内的相应等级证书），每提供一个得1分，本</w:t>
            </w:r>
            <w:r>
              <w:rPr>
                <w:rFonts w:hint="eastAsia" w:ascii="宋体" w:hAnsi="宋体"/>
                <w:bCs/>
                <w:color w:val="auto"/>
                <w:sz w:val="24"/>
                <w:highlight w:val="none"/>
                <w:lang w:eastAsia="zh-CN"/>
              </w:rPr>
              <w:t xml:space="preserve">条</w:t>
            </w:r>
            <w:r>
              <w:rPr>
                <w:rFonts w:hint="eastAsia" w:ascii="宋体" w:hAnsi="宋体" w:eastAsia="宋体"/>
                <w:bCs/>
                <w:color w:val="auto"/>
                <w:sz w:val="24"/>
                <w:highlight w:val="none"/>
              </w:rPr>
              <w:t xml:space="preserve">最高得5分。</w:t>
            </w:r>
            <w:r/>
          </w:p>
          <w:p>
            <w:pPr>
              <w:ind w:firstLine="480"/>
              <w:spacing w:line="460" w:lineRule="exact"/>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rPr>
              <w:t xml:space="preserve">3、投标人拟派保安人员中具有应急救援员</w:t>
            </w:r>
            <w:r>
              <w:rPr>
                <w:rFonts w:hint="eastAsia" w:ascii="宋体" w:hAnsi="宋体"/>
                <w:bCs/>
                <w:color w:val="auto"/>
                <w:sz w:val="24"/>
                <w:highlight w:val="none"/>
                <w:lang w:eastAsia="zh-CN"/>
              </w:rPr>
              <w:t xml:space="preserve">五级（初级）及以上</w:t>
            </w:r>
            <w:r>
              <w:rPr>
                <w:rFonts w:hint="eastAsia" w:ascii="宋体" w:hAnsi="宋体" w:eastAsia="宋体"/>
                <w:bCs/>
                <w:color w:val="auto"/>
                <w:sz w:val="24"/>
                <w:highlight w:val="none"/>
              </w:rPr>
              <w:t xml:space="preserve">证书</w:t>
            </w:r>
            <w:r>
              <w:rPr>
                <w:rFonts w:hint="eastAsia" w:ascii="宋体" w:hAnsi="宋体"/>
                <w:bCs/>
                <w:color w:val="auto"/>
                <w:sz w:val="24"/>
                <w:highlight w:val="none"/>
                <w:lang w:eastAsia="zh-CN"/>
              </w:rPr>
              <w:t xml:space="preserve">的</w:t>
            </w:r>
            <w:r>
              <w:rPr>
                <w:rFonts w:hint="eastAsia" w:ascii="宋体" w:hAnsi="宋体" w:eastAsia="宋体"/>
                <w:bCs/>
                <w:color w:val="auto"/>
                <w:sz w:val="24"/>
                <w:highlight w:val="none"/>
              </w:rPr>
              <w:t xml:space="preserve">，每提供一个得</w:t>
            </w:r>
            <w:r>
              <w:rPr>
                <w:rFonts w:hint="eastAsia" w:ascii="宋体" w:hAnsi="宋体"/>
                <w:bCs/>
                <w:color w:val="auto"/>
                <w:sz w:val="24"/>
                <w:highlight w:val="none"/>
                <w:lang w:val="en-US" w:eastAsia="zh-CN"/>
              </w:rPr>
              <w:t xml:space="preserve">0.5</w:t>
            </w:r>
            <w:r>
              <w:rPr>
                <w:rFonts w:hint="eastAsia" w:ascii="宋体" w:hAnsi="宋体" w:eastAsia="宋体"/>
                <w:bCs/>
                <w:color w:val="auto"/>
                <w:sz w:val="24"/>
                <w:highlight w:val="none"/>
              </w:rPr>
              <w:t xml:space="preserve">分，本</w:t>
            </w:r>
            <w:r>
              <w:rPr>
                <w:rFonts w:hint="eastAsia" w:ascii="宋体" w:hAnsi="宋体"/>
                <w:bCs/>
                <w:color w:val="auto"/>
                <w:sz w:val="24"/>
                <w:highlight w:val="none"/>
                <w:lang w:eastAsia="zh-CN"/>
              </w:rPr>
              <w:t xml:space="preserve">条</w:t>
            </w:r>
            <w:r>
              <w:rPr>
                <w:rFonts w:hint="eastAsia" w:ascii="宋体" w:hAnsi="宋体" w:eastAsia="宋体"/>
                <w:bCs/>
                <w:color w:val="auto"/>
                <w:sz w:val="24"/>
                <w:highlight w:val="none"/>
              </w:rPr>
              <w:t xml:space="preserve">最高得</w:t>
            </w: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rPr>
              <w:t xml:space="preserve">分。</w:t>
            </w:r>
            <w:r/>
          </w:p>
          <w:p>
            <w:pPr>
              <w:ind w:firstLine="480"/>
              <w:spacing w:line="460" w:lineRule="exact"/>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、投标人拟派设备维护人员中同时持有高压电工作业证及低压电工作业证的，每有一人满足上述条件的得</w:t>
            </w: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rPr>
              <w:t xml:space="preserve">分，本</w:t>
            </w:r>
            <w:r>
              <w:rPr>
                <w:rFonts w:hint="eastAsia" w:ascii="宋体" w:hAnsi="宋体"/>
                <w:bCs/>
                <w:color w:val="auto"/>
                <w:sz w:val="24"/>
                <w:highlight w:val="none"/>
                <w:lang w:eastAsia="zh-CN"/>
              </w:rPr>
              <w:t xml:space="preserve">条</w:t>
            </w:r>
            <w:r>
              <w:rPr>
                <w:rFonts w:hint="eastAsia" w:ascii="宋体" w:hAnsi="宋体" w:eastAsia="宋体"/>
                <w:bCs/>
                <w:color w:val="auto"/>
                <w:sz w:val="24"/>
                <w:highlight w:val="none"/>
              </w:rPr>
              <w:t xml:space="preserve">最高得</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分。</w:t>
            </w:r>
            <w:r/>
          </w:p>
          <w:p>
            <w:pPr>
              <w:ind w:firstLine="480"/>
              <w:spacing w:line="460" w:lineRule="exact"/>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eastAsia="宋体"/>
                <w:bCs/>
                <w:color w:val="auto"/>
                <w:sz w:val="24"/>
                <w:highlight w:val="none"/>
              </w:rPr>
              <w:t xml:space="preserve">、拟派设备维护人员队长</w:t>
            </w:r>
            <w:r>
              <w:rPr>
                <w:rFonts w:hint="eastAsia" w:ascii="宋体" w:hAnsi="宋体"/>
                <w:bCs/>
                <w:color w:val="auto"/>
                <w:sz w:val="24"/>
                <w:highlight w:val="none"/>
                <w:lang w:eastAsia="zh-CN"/>
              </w:rPr>
              <w:t xml:space="preserve">具有</w:t>
            </w:r>
            <w:r>
              <w:rPr>
                <w:rFonts w:hint="eastAsia" w:ascii="宋体" w:hAnsi="宋体" w:eastAsia="宋体"/>
                <w:bCs/>
                <w:color w:val="auto"/>
                <w:sz w:val="24"/>
                <w:highlight w:val="none"/>
                <w:lang w:eastAsia="zh-CN"/>
              </w:rPr>
              <w:t xml:space="preserve">大专及以上学历</w:t>
            </w:r>
            <w:r>
              <w:rPr>
                <w:rFonts w:hint="eastAsia" w:ascii="宋体" w:hAnsi="宋体"/>
                <w:bCs/>
                <w:color w:val="auto"/>
                <w:sz w:val="24"/>
                <w:highlight w:val="none"/>
                <w:lang w:eastAsia="zh-CN"/>
              </w:rPr>
              <w:t xml:space="preserve">得</w:t>
            </w:r>
            <w:r>
              <w:rPr>
                <w:rFonts w:hint="eastAsia" w:ascii="宋体" w:hAnsi="宋体"/>
                <w:bCs/>
                <w:color w:val="auto"/>
                <w:sz w:val="24"/>
                <w:highlight w:val="none"/>
                <w:lang w:val="en-US" w:eastAsia="zh-CN"/>
              </w:rPr>
              <w:t xml:space="preserve">0.5分；</w:t>
            </w:r>
            <w:r>
              <w:rPr>
                <w:rFonts w:hint="eastAsia" w:ascii="宋体" w:hAnsi="宋体" w:eastAsia="宋体"/>
                <w:bCs/>
                <w:color w:val="auto"/>
                <w:sz w:val="24"/>
                <w:highlight w:val="none"/>
              </w:rPr>
              <w:t xml:space="preserve">具有电工职业技能等级证书的，其中：中级（四级）得1分，高级（三级）及以上得2分，以最高等级计分，不重复得分，本</w:t>
            </w:r>
            <w:r>
              <w:rPr>
                <w:rFonts w:hint="eastAsia" w:ascii="宋体" w:hAnsi="宋体"/>
                <w:bCs/>
                <w:color w:val="auto"/>
                <w:sz w:val="24"/>
                <w:highlight w:val="none"/>
                <w:lang w:eastAsia="zh-CN"/>
              </w:rPr>
              <w:t xml:space="preserve">条</w:t>
            </w:r>
            <w:r>
              <w:rPr>
                <w:rFonts w:hint="eastAsia" w:ascii="宋体" w:hAnsi="宋体" w:eastAsia="宋体"/>
                <w:bCs/>
                <w:color w:val="auto"/>
                <w:sz w:val="24"/>
                <w:highlight w:val="none"/>
              </w:rPr>
              <w:t xml:space="preserve">最高得</w:t>
            </w:r>
            <w:r>
              <w:rPr>
                <w:rFonts w:hint="eastAsia" w:ascii="宋体" w:hAnsi="宋体"/>
                <w:bCs/>
                <w:color w:val="auto"/>
                <w:sz w:val="24"/>
                <w:highlight w:val="none"/>
                <w:lang w:val="en-US" w:eastAsia="zh-CN"/>
              </w:rPr>
              <w:t xml:space="preserve">2.5</w:t>
            </w:r>
            <w:r>
              <w:rPr>
                <w:rFonts w:hint="eastAsia" w:ascii="宋体" w:hAnsi="宋体" w:eastAsia="宋体"/>
                <w:bCs/>
                <w:color w:val="auto"/>
                <w:sz w:val="24"/>
                <w:highlight w:val="none"/>
              </w:rPr>
              <w:t xml:space="preserve">分。</w:t>
            </w:r>
            <w:r/>
          </w:p>
          <w:p>
            <w:pPr>
              <w:ind w:firstLine="480"/>
              <w:spacing w:line="460" w:lineRule="exact"/>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投标时提供上述证书或相关证明材料的原件彩色扫描件，毕业证书须同时提供学信网查询截图，同时须提供以上人员在开标之日前1个月在投标人单位缴纳社保的相关证明材料，不提供或提供不全的不得分，本项投标人提供的所有材料均须加盖投标人公章。</w:t>
            </w:r>
            <w:r/>
          </w:p>
        </w:tc>
      </w:tr>
    </w:tbl>
    <w:p>
      <w:pPr>
        <w:ind w:firstLine="482"/>
        <w:keepLines w:val="0"/>
        <w:keepNext w:val="0"/>
        <w:pageBreakBefore w:val="0"/>
        <w:spacing w:line="500" w:lineRule="exact"/>
        <w:widowControl/>
        <w:rPr>
          <w:b/>
          <w:bCs/>
          <w:i/>
          <w:iCs/>
          <w:color w:val="auto"/>
          <w:sz w:val="24"/>
          <w:szCs w:val="20"/>
          <w:u w:val="single"/>
          <w:lang w:val="zh-CN"/>
        </w:rPr>
      </w:pPr>
      <w:r>
        <w:rPr>
          <w:rFonts w:hint="eastAsia"/>
          <w:b/>
          <w:bCs/>
          <w:i/>
          <w:iCs/>
          <w:color w:val="auto"/>
          <w:sz w:val="24"/>
          <w:szCs w:val="20"/>
          <w:u w:val="single"/>
          <w:lang w:val="zh-CN"/>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auto"/>
          <w:sz w:val="24"/>
          <w:szCs w:val="24"/>
          <w:highlight w:val="none"/>
          <w:u w:val="single"/>
          <w:shd w:val="clear" w:color="auto" w:fill="auto"/>
          <w:lang w:val="en-US" w:eastAsia="zh-CN"/>
        </w:rPr>
        <w:t xml:space="preserve">不得出现加粗、下划线、斜体格式）</w:t>
      </w:r>
      <w:r>
        <w:rPr>
          <w:rFonts w:hint="eastAsia"/>
          <w:b/>
          <w:bCs/>
          <w:i/>
          <w:iCs/>
          <w:color w:val="auto"/>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b/>
          <w:bCs/>
          <w:i/>
          <w:iCs/>
          <w:color w:val="auto"/>
          <w:sz w:val="24"/>
          <w:szCs w:val="20"/>
          <w:u w:val="single"/>
          <w:lang w:val="zh-CN" w:eastAsia="zh-CN"/>
        </w:rPr>
        <w:t xml:space="preserve">方案</w:t>
      </w:r>
      <w:r>
        <w:rPr>
          <w:rFonts w:hint="eastAsia"/>
          <w:b/>
          <w:bCs/>
          <w:i/>
          <w:iCs/>
          <w:color w:val="auto"/>
          <w:sz w:val="24"/>
          <w:szCs w:val="20"/>
          <w:u w:val="single"/>
          <w:lang w:val="zh-CN"/>
        </w:rPr>
        <w:t xml:space="preserve">总页数不得超过</w:t>
      </w:r>
      <w:r>
        <w:rPr>
          <w:rFonts w:hint="eastAsia"/>
          <w:b/>
          <w:bCs/>
          <w:i/>
          <w:iCs/>
          <w:color w:val="auto"/>
          <w:sz w:val="24"/>
          <w:szCs w:val="20"/>
          <w:u w:val="single"/>
          <w:lang w:val="en-US" w:eastAsia="zh-CN"/>
        </w:rPr>
        <w:t xml:space="preserve">120</w:t>
      </w:r>
      <w:r>
        <w:rPr>
          <w:rFonts w:hint="eastAsia"/>
          <w:b/>
          <w:bCs/>
          <w:i/>
          <w:iCs/>
          <w:color w:val="auto"/>
          <w:sz w:val="24"/>
          <w:szCs w:val="20"/>
          <w:u w:val="single"/>
          <w:lang w:val="zh-CN"/>
        </w:rPr>
        <w:t xml:space="preserve">页，</w:t>
      </w:r>
      <w:r>
        <w:rPr>
          <w:rFonts w:hint="eastAsia"/>
          <w:b/>
          <w:bCs/>
          <w:i/>
          <w:iCs/>
          <w:color w:val="auto"/>
          <w:sz w:val="24"/>
          <w:szCs w:val="20"/>
          <w:u w:val="single"/>
          <w:lang w:val="zh-CN" w:eastAsia="zh-CN"/>
        </w:rPr>
        <w:t xml:space="preserve">违反上述规定方案分得0分</w:t>
      </w:r>
      <w:r>
        <w:rPr>
          <w:rFonts w:hint="eastAsia"/>
          <w:b/>
          <w:bCs/>
          <w:i/>
          <w:iCs/>
          <w:color w:val="auto"/>
          <w:sz w:val="24"/>
          <w:szCs w:val="20"/>
          <w:u w:val="single"/>
          <w:lang w:val="zh-CN"/>
        </w:rPr>
        <w:t xml:space="preserve">。</w:t>
      </w:r>
      <w:r/>
    </w:p>
    <w:p>
      <w:pPr>
        <w:ind w:firstLine="482"/>
        <w:keepLines w:val="0"/>
        <w:keepNext w:val="0"/>
        <w:pageBreakBefore w:val="0"/>
        <w:spacing w:line="500" w:lineRule="exact"/>
        <w:widowControl/>
        <w:rPr>
          <w:b/>
          <w:bCs/>
          <w:i/>
          <w:iCs/>
          <w:color w:val="auto"/>
          <w:sz w:val="24"/>
          <w:szCs w:val="20"/>
          <w:u w:val="single"/>
          <w:lang w:val="zh-CN"/>
        </w:rPr>
      </w:pPr>
      <w:r>
        <w:rPr>
          <w:rFonts w:hint="eastAsia"/>
          <w:b/>
          <w:bCs/>
          <w:i/>
          <w:iCs/>
          <w:color w:val="auto"/>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44"/>
        <w:spacing w:line="360" w:lineRule="auto"/>
        <w:rPr>
          <w:rFonts w:ascii="宋体" w:hAnsi="宋体" w:eastAsia="宋体" w:cs="宋体"/>
          <w:bCs/>
          <w:sz w:val="44"/>
        </w:rPr>
      </w:pPr>
      <w:r>
        <w:rPr>
          <w:rFonts w:ascii="宋体" w:hAnsi="宋体" w:eastAsia="宋体" w:cs="宋体"/>
          <w:bCs/>
          <w:sz w:val="44"/>
        </w:rPr>
      </w:r>
      <w:r/>
    </w:p>
    <w:p>
      <w:pPr>
        <w:pStyle w:val="944"/>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4"/>
      <w:r/>
      <w:r/>
    </w:p>
    <w:p>
      <w:pPr>
        <w:spacing w:line="360" w:lineRule="auto"/>
        <w:rPr>
          <w:rFonts w:ascii="宋体" w:hAnsi="宋体" w:cs="宋体"/>
          <w:b/>
          <w:sz w:val="72"/>
        </w:rPr>
      </w:pPr>
      <w:r/>
      <w:bookmarkStart w:id="8" w:name="_Toc23368"/>
      <w:r/>
      <w:bookmarkEnd w:id="8"/>
      <w:r/>
      <w:r/>
    </w:p>
    <w:p>
      <w:pPr>
        <w:jc w:val="center"/>
        <w:widowControl/>
        <w:rPr>
          <w:rFonts w:ascii="方正小标宋_GBK" w:eastAsia="方正小标宋_GBK" w:hAnsiTheme="minorEastAsia"/>
          <w:color w:val="000000" w:themeColor="text1"/>
          <w:sz w:val="84"/>
          <w:szCs w:val="84"/>
          <w14:textFill>
            <w14:solidFill>
              <w14:schemeClr w14:val="tx1"/>
            </w14:solidFill>
          </w14:textFill>
        </w:rPr>
      </w:pPr>
      <w:r>
        <w:rPr>
          <w:rFonts w:hint="eastAsia" w:ascii="方正小标宋_GBK" w:eastAsia="方正小标宋_GBK" w:hAnsiTheme="minorEastAsia"/>
          <w:color w:val="000000" w:themeColor="text1"/>
          <w:sz w:val="84"/>
          <w:szCs w:val="84"/>
          <w14:textFill>
            <w14:solidFill>
              <w14:schemeClr w14:val="tx1"/>
            </w14:solidFill>
          </w14:textFill>
        </w:rPr>
        <w:t xml:space="preserve">投 标 文 件</w:t>
      </w:r>
      <w:r/>
    </w:p>
    <w:p>
      <w:pPr>
        <w:pStyle w:val="1070"/>
        <w:ind w:firstLine="723"/>
        <w:jc w:val="both"/>
        <w:spacing w:beforeAutospacing="0" w:afterAutospacing="0" w:line="360" w:lineRule="auto"/>
        <w:rPr>
          <w:b/>
          <w:sz w:val="36"/>
          <w:szCs w:val="36"/>
        </w:rPr>
      </w:pPr>
      <w:r>
        <w:rPr>
          <w:b/>
          <w:sz w:val="36"/>
          <w:szCs w:val="36"/>
        </w:rPr>
      </w:r>
      <w:r/>
    </w:p>
    <w:p>
      <w:pPr>
        <w:pStyle w:val="1070"/>
        <w:ind w:firstLine="723"/>
        <w:jc w:val="both"/>
        <w:spacing w:beforeAutospacing="0" w:afterAutospacing="0" w:line="360" w:lineRule="auto"/>
        <w:rPr>
          <w:b/>
          <w:sz w:val="36"/>
          <w:szCs w:val="36"/>
        </w:rPr>
      </w:pPr>
      <w:r>
        <w:rPr>
          <w:b/>
          <w:sz w:val="36"/>
          <w:szCs w:val="36"/>
        </w:rPr>
      </w:r>
      <w:r/>
    </w:p>
    <w:p>
      <w:pPr>
        <w:pStyle w:val="1070"/>
        <w:ind w:firstLine="723"/>
        <w:jc w:val="both"/>
        <w:spacing w:beforeAutospacing="0" w:afterAutospacing="0" w:line="360" w:lineRule="auto"/>
        <w:rPr>
          <w:b/>
          <w:sz w:val="36"/>
          <w:szCs w:val="36"/>
        </w:rPr>
      </w:pPr>
      <w:r>
        <w:rPr>
          <w:b/>
          <w:sz w:val="36"/>
          <w:szCs w:val="36"/>
        </w:rPr>
      </w:r>
      <w:r/>
    </w:p>
    <w:p>
      <w:pPr>
        <w:pStyle w:val="1070"/>
        <w:ind w:firstLine="1446"/>
        <w:jc w:val="both"/>
        <w:spacing w:beforeAutospacing="0" w:afterAutospacing="0" w:line="500" w:lineRule="exact"/>
      </w:pPr>
      <w:r/>
      <w:bookmarkStart w:id="9" w:name="_Toc9337"/>
      <w:r>
        <w:rPr>
          <w:rFonts w:hint="eastAsia"/>
          <w:b/>
          <w:sz w:val="36"/>
          <w:szCs w:val="36"/>
        </w:rPr>
        <w:t xml:space="preserve">项 目 名 称：</w:t>
      </w:r>
      <w:r>
        <w:rPr>
          <w:rFonts w:hint="eastAsia"/>
          <w:b/>
          <w:sz w:val="36"/>
          <w:szCs w:val="36"/>
          <w:u w:val="single"/>
        </w:rPr>
        <w:t xml:space="preserve">              </w:t>
      </w:r>
      <w:bookmarkEnd w:id="9"/>
      <w:r/>
      <w:r/>
    </w:p>
    <w:p>
      <w:pPr>
        <w:pStyle w:val="1070"/>
        <w:ind w:firstLine="1446"/>
        <w:jc w:val="both"/>
        <w:spacing w:beforeAutospacing="0" w:afterAutospacing="0" w:line="500" w:lineRule="exact"/>
        <w:rPr>
          <w:b/>
          <w:sz w:val="36"/>
          <w:szCs w:val="36"/>
          <w:u w:val="single"/>
        </w:rPr>
      </w:pPr>
      <w:r/>
      <w:bookmarkStart w:id="10" w:name="_Toc24100"/>
      <w:r>
        <w:rPr>
          <w:rFonts w:hint="eastAsia"/>
          <w:b/>
          <w:sz w:val="36"/>
          <w:szCs w:val="36"/>
        </w:rPr>
        <w:t xml:space="preserve">项 目 编 号：</w:t>
      </w:r>
      <w:r>
        <w:rPr>
          <w:rFonts w:hint="eastAsia"/>
          <w:b/>
          <w:sz w:val="36"/>
          <w:szCs w:val="36"/>
          <w:u w:val="single"/>
        </w:rPr>
        <w:t xml:space="preserve">        </w:t>
      </w:r>
      <w:bookmarkEnd w:id="10"/>
      <w:r>
        <w:rPr>
          <w:rFonts w:hint="eastAsia"/>
          <w:b/>
          <w:sz w:val="36"/>
          <w:szCs w:val="36"/>
          <w:u w:val="single"/>
        </w:rPr>
        <w:t xml:space="preserve">        </w:t>
      </w:r>
      <w:r/>
    </w:p>
    <w:p>
      <w:pPr>
        <w:pStyle w:val="1070"/>
        <w:ind w:firstLine="1446"/>
        <w:jc w:val="both"/>
        <w:spacing w:beforeAutospacing="0" w:afterAutospacing="0" w:line="500" w:lineRule="exact"/>
        <w:rPr>
          <w:b/>
          <w:sz w:val="36"/>
          <w:szCs w:val="36"/>
          <w:u w:val="single"/>
        </w:rPr>
      </w:pPr>
      <w:r/>
      <w:bookmarkStart w:id="11" w:name="_Toc7579"/>
      <w:r>
        <w:rPr>
          <w:rFonts w:hint="eastAsia"/>
          <w:b/>
          <w:sz w:val="36"/>
          <w:szCs w:val="36"/>
        </w:rPr>
        <w:t xml:space="preserve">投标人名称 ：</w:t>
      </w:r>
      <w:r>
        <w:rPr>
          <w:rFonts w:hint="eastAsia"/>
          <w:b/>
          <w:sz w:val="36"/>
          <w:szCs w:val="36"/>
          <w:u w:val="single"/>
        </w:rPr>
        <w:t xml:space="preserve">（加盖CA电子公章）</w:t>
      </w:r>
      <w:bookmarkEnd w:id="11"/>
      <w:r>
        <w:rPr>
          <w:rFonts w:hint="eastAsia"/>
          <w:b/>
          <w:sz w:val="36"/>
          <w:szCs w:val="36"/>
          <w:u w:val="single"/>
        </w:rPr>
        <w:t xml:space="preserve"> </w:t>
      </w:r>
      <w:r/>
    </w:p>
    <w:p>
      <w:pPr>
        <w:pStyle w:val="1070"/>
        <w:ind w:firstLine="1446"/>
        <w:jc w:val="both"/>
        <w:spacing w:beforeAutospacing="0" w:afterAutospacing="0" w:line="500" w:lineRule="exact"/>
      </w:pPr>
      <w:r/>
      <w:bookmarkStart w:id="12" w:name="_Toc21823"/>
      <w:r>
        <w:rPr>
          <w:rFonts w:hint="eastAsia"/>
          <w:b/>
          <w:sz w:val="36"/>
          <w:szCs w:val="36"/>
        </w:rPr>
        <w:t xml:space="preserve">日    期 ：</w:t>
      </w:r>
      <w:r>
        <w:rPr>
          <w:rFonts w:hint="eastAsia"/>
          <w:b/>
          <w:sz w:val="36"/>
          <w:szCs w:val="36"/>
          <w:u w:val="single"/>
        </w:rPr>
        <w:t xml:space="preserve">                 </w:t>
      </w:r>
      <w:bookmarkEnd w:id="12"/>
      <w:r/>
      <w:r/>
    </w:p>
    <w:p>
      <w:pPr>
        <w:rPr>
          <w:rFonts w:ascii="宋体" w:hAnsi="宋体" w:cs="宋体"/>
          <w:b/>
          <w:bCs/>
          <w:sz w:val="32"/>
          <w:szCs w:val="32"/>
        </w:rPr>
      </w:pPr>
      <w:r>
        <w:rPr>
          <w:rFonts w:hint="eastAsia" w:ascii="宋体" w:hAnsi="宋体" w:cs="宋体"/>
          <w:b/>
          <w:bCs/>
          <w:sz w:val="32"/>
          <w:szCs w:val="32"/>
        </w:rPr>
        <w:br w:type="page" w:clear="all"/>
      </w:r>
      <w:r/>
    </w:p>
    <w:p>
      <w:pPr>
        <w:pStyle w:val="1070"/>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二、2024年或2025年度的财务状况报告（</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至少提供资产负债表、利润表、现金流量表，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投标人成立不满一年无需提供）</w:t>
      </w:r>
      <w:r/>
    </w:p>
    <w:p>
      <w:pPr>
        <w:ind w:firstLine="561"/>
        <w:spacing w:line="560" w:lineRule="exact"/>
        <w:widowControl/>
        <w:rPr>
          <w:rFonts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000000" w:themeColor="text1"/>
          <w:sz w:val="24"/>
          <w:highlight w:val="yellow"/>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八、法人授权书</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九、投标函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十、中小企业声明函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十一、残疾人福利性单位声明函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十二、</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投标分项报价表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、技术要求响应及偏离表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、商务要求响应及偏离表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五</w:t>
      </w:r>
      <w:r>
        <w:rPr>
          <w:rFonts w:hint="eastAsia" w:asciiTheme="minorEastAsia" w:hAnsiTheme="minorEastAsia" w:eastAsiaTheme="minorEastAsia" w:cstheme="minorEastAsia"/>
          <w:color w:val="000000" w:themeColor="text1"/>
          <w:sz w:val="24"/>
          <w14:textFill>
            <w14:solidFill>
              <w14:schemeClr w14:val="tx1"/>
            </w14:solidFill>
          </w14:textFill>
        </w:rPr>
        <w:t xml:space="preserve">、开标一览表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、服务方案等</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七、</w:t>
      </w:r>
      <w:r>
        <w:rPr>
          <w:rFonts w:hint="eastAsia" w:asciiTheme="minorEastAsia" w:hAnsiTheme="minorEastAsia" w:eastAsiaTheme="minorEastAsia" w:cstheme="minorEastAsia"/>
          <w:color w:val="000000" w:themeColor="text1"/>
          <w:sz w:val="24"/>
          <w14:textFill>
            <w14:solidFill>
              <w14:schemeClr w14:val="tx1"/>
            </w14:solidFill>
          </w14:textFill>
        </w:rPr>
        <w:t xml:space="preserve">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22"/>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22"/>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22"/>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22"/>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22"/>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22"/>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22"/>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22"/>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22"/>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22"/>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7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2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7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2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2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2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22"/>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JSZC-320900-JZCG-G2026-0014</w:t>
      </w:r>
      <w:r>
        <w:rPr>
          <w:rFonts w:hint="eastAsia" w:ascii="宋体" w:hAnsi="宋体" w:cs="宋体"/>
        </w:rPr>
        <w:t xml:space="preserve">号</w:t>
      </w:r>
      <w:r>
        <w:rPr>
          <w:rFonts w:hint="eastAsia" w:ascii="宋体" w:hAnsi="宋体" w:cs="宋体"/>
          <w:u w:val="single"/>
          <w:lang w:eastAsia="zh-CN"/>
        </w:rPr>
        <w:t xml:space="preserve">新四军纪念馆（含泰山庙）物业管理服务项目</w:t>
      </w:r>
      <w:r>
        <w:rPr>
          <w:rFonts w:hint="eastAsia" w:ascii="宋体" w:hAnsi="宋体" w:cs="宋体"/>
        </w:rPr>
        <w:t xml:space="preserve">采购活动的合法代理人，以本单位名义全权处理一切与该项目采购有关的事务。</w:t>
      </w:r>
      <w:r/>
    </w:p>
    <w:p>
      <w:pPr>
        <w:pStyle w:val="107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7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7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7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7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70"/>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JSZC-320900-JZCG-G2026-0014</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lang w:eastAsia="zh-CN"/>
        </w:rPr>
        <w:t xml:space="preserve">新四军纪念馆</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JSZC-320900-JZCG-G2026-0014</w:t>
      </w:r>
      <w:r>
        <w:rPr>
          <w:rFonts w:ascii="宋体" w:hAnsi="宋体" w:cs="宋体"/>
          <w:sz w:val="24"/>
        </w:rPr>
        <w:t xml:space="preserve">，</w:t>
      </w:r>
      <w:r>
        <w:rPr>
          <w:rFonts w:hint="eastAsia" w:ascii="宋体" w:hAnsi="宋体" w:cs="宋体"/>
          <w:sz w:val="24"/>
          <w:u w:val="single"/>
          <w:lang w:eastAsia="zh-CN"/>
        </w:rPr>
        <w:t xml:space="preserve">新四军纪念馆（含泰山庙）物业管理服务项目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新四军纪念馆</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JSZC-320900-JZCG-G2026-0014</w:t>
      </w:r>
      <w:r>
        <w:rPr>
          <w:rFonts w:hint="eastAsia" w:ascii="宋体" w:hAnsi="宋体" w:cs="宋体"/>
          <w:sz w:val="24"/>
        </w:rPr>
        <w:t xml:space="preserve">的</w:t>
      </w:r>
      <w:r>
        <w:rPr>
          <w:rFonts w:hint="eastAsia" w:ascii="宋体" w:hAnsi="宋体" w:cs="宋体"/>
          <w:sz w:val="24"/>
          <w:szCs w:val="20"/>
          <w:u w:val="single"/>
          <w:lang w:eastAsia="zh-CN"/>
        </w:rPr>
        <w:t xml:space="preserve">新四军纪念馆（含泰山庙）物业管理服务项目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381"/>
      </w:tblGrid>
      <w:tr>
        <w:trPr>
          <w:jc w:val="center"/>
          <w:trHeight w:val="1333"/>
        </w:trPr>
        <w:tc>
          <w:tcPr>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03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单价（元/人/年）</w:t>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tcW w:w="23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备注</w:t>
            </w:r>
            <w:r/>
          </w:p>
        </w:tc>
      </w:tr>
      <w:tr>
        <w:trPr>
          <w:jc w:val="center"/>
          <w:trHeight w:val="1333"/>
        </w:trPr>
        <w:tc>
          <w:tcPr>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物业管理服务人员工资、社保、福利及国假加班等费用</w:t>
            </w:r>
            <w:r/>
          </w:p>
        </w:tc>
        <w:tc>
          <w:tcPr>
            <w:gridSpan w:val="3"/>
            <w:tcW w:w="30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  项合计）</w:t>
            </w:r>
            <w:r/>
          </w:p>
        </w:tc>
        <w:tc>
          <w:tcPr>
            <w:tcW w:w="23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tc>
      </w:tr>
      <w:tr>
        <w:trPr>
          <w:jc w:val="center"/>
          <w:trHeight w:val="798"/>
        </w:trPr>
        <w:tc>
          <w:tcPr>
            <w:tcW w:w="70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（项目经理）</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restart"/>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所有人员工资不低于盐城市最新公布的最低工资标准2</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0元/人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月，所提供人员的费用不得低于上述标准进行测算，否则将视为未实质性响应招标文件要求。</w:t>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监控员</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设备管理维护人员</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会务接待</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保安员</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保洁员</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40"/>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社保（企业部分）不得低于</w:t>
            </w:r>
            <w:r>
              <w:rPr>
                <w:rFonts w:hint="eastAsia" w:ascii="宋体" w:hAnsi="宋体" w:eastAsia="宋体" w:cs="宋体"/>
                <w:color w:val="auto"/>
                <w:sz w:val="21"/>
                <w:szCs w:val="21"/>
                <w:highlight w:val="none"/>
              </w:rPr>
              <w:t xml:space="preserve">1292.47</w:t>
            </w:r>
            <w:r>
              <w:rPr>
                <w:rFonts w:hint="eastAsia" w:ascii="宋体" w:hAnsi="宋体" w:eastAsia="宋体" w:cs="宋体"/>
                <w:color w:val="auto"/>
                <w:sz w:val="21"/>
                <w:szCs w:val="21"/>
                <w:highlight w:val="none"/>
                <w:lang w:val="zh-CN"/>
              </w:rPr>
              <w:t xml:space="preserve">元/人/月</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否则将视为未实质性响应招标文件要求。</w:t>
            </w:r>
            <w:r/>
          </w:p>
        </w:tc>
      </w:tr>
      <w:tr>
        <w:trPr>
          <w:jc w:val="center"/>
          <w:trHeight w:val="736"/>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国假加班费</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每年国假加班天数为</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CN"/>
              </w:rPr>
              <w:t xml:space="preserve">天，</w:t>
            </w:r>
            <w:r>
              <w:rPr>
                <w:rFonts w:hint="eastAsia" w:ascii="宋体" w:hAnsi="宋体" w:cs="宋体"/>
                <w:color w:val="auto"/>
                <w:sz w:val="21"/>
                <w:szCs w:val="21"/>
                <w:highlight w:val="none"/>
                <w:lang w:val="zh-CN"/>
              </w:rPr>
              <w:t xml:space="preserve">所有</w:t>
            </w:r>
            <w:r>
              <w:rPr>
                <w:rFonts w:hint="eastAsia" w:ascii="宋体" w:hAnsi="宋体" w:cs="宋体"/>
                <w:color w:val="auto"/>
                <w:sz w:val="21"/>
                <w:szCs w:val="21"/>
                <w:highlight w:val="none"/>
                <w:lang w:val="zh-CN" w:eastAsia="zh-CN"/>
              </w:rPr>
              <w:t xml:space="preserve">人员</w:t>
            </w:r>
            <w:r>
              <w:rPr>
                <w:rFonts w:hint="eastAsia" w:ascii="宋体" w:hAnsi="宋体" w:eastAsia="宋体" w:cs="宋体"/>
                <w:color w:val="auto"/>
                <w:sz w:val="21"/>
                <w:szCs w:val="21"/>
                <w:highlight w:val="none"/>
                <w:lang w:val="zh-CN"/>
              </w:rPr>
              <w:t xml:space="preserve">须按不低于</w:t>
            </w:r>
            <w:r>
              <w:rPr>
                <w:rFonts w:hint="eastAsia" w:ascii="宋体" w:hAnsi="宋体" w:cs="宋体"/>
                <w:color w:val="auto"/>
                <w:sz w:val="21"/>
                <w:szCs w:val="21"/>
                <w:highlight w:val="none"/>
                <w:lang w:val="en-US" w:eastAsia="zh-CN"/>
              </w:rPr>
              <w:t xml:space="preserve">4357.25</w:t>
            </w:r>
            <w:r>
              <w:rPr>
                <w:rFonts w:hint="eastAsia" w:ascii="宋体" w:hAnsi="宋体" w:eastAsia="宋体" w:cs="宋体"/>
                <w:color w:val="auto"/>
                <w:sz w:val="21"/>
                <w:szCs w:val="21"/>
                <w:highlight w:val="none"/>
                <w:lang w:val="zh-CN"/>
              </w:rPr>
              <w:t xml:space="preserve">元/人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年填报，否则作无效标书处理。</w:t>
            </w:r>
            <w:r/>
          </w:p>
        </w:tc>
      </w:tr>
      <w:tr>
        <w:trPr>
          <w:jc w:val="center"/>
          <w:trHeight w:val="1266"/>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公积金</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w:t>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各投标人须按不低于</w:t>
            </w:r>
            <w:r>
              <w:rPr>
                <w:rFonts w:hint="eastAsia" w:ascii="宋体" w:hAnsi="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rPr>
              <w:t xml:space="preserve">元/人/月填报，否则作无效标书处理。</w:t>
            </w:r>
            <w:r/>
          </w:p>
        </w:tc>
      </w:tr>
      <w:tr>
        <w:trPr>
          <w:jc w:val="center"/>
          <w:trHeight w:val="1089"/>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福利费</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83"/>
        </w:trPr>
        <w:tc>
          <w:tcPr>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综合管理杂费</w:t>
            </w:r>
            <w:r/>
          </w:p>
        </w:tc>
        <w:tc>
          <w:tcPr>
            <w:gridSpan w:val="3"/>
            <w:tcW w:w="30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  项合计）</w:t>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38"/>
        </w:trPr>
        <w:tc>
          <w:tcPr>
            <w:tcW w:w="70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spacing w:line="3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eastAsia="zh-CN"/>
              </w:rPr>
              <w:t xml:space="preserve">夏季高温补助</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61</w:t>
            </w:r>
            <w:r/>
          </w:p>
        </w:tc>
        <w:tc>
          <w:tcPr>
            <w:tcW w:w="1167" w:type="dxa"/>
            <w:vAlign w:val="center"/>
            <w:textDirection w:val="lrTb"/>
            <w:noWrap w:val="false"/>
          </w:tcPr>
          <w:p>
            <w:pPr>
              <w:jc w:val="both"/>
              <w:spacing w:line="3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both"/>
              <w:spacing w:line="3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各投标人须按</w:t>
            </w:r>
            <w:r>
              <w:rPr>
                <w:rFonts w:hint="eastAsia" w:ascii="宋体" w:hAnsi="宋体" w:eastAsia="宋体" w:cs="宋体"/>
                <w:color w:val="auto"/>
                <w:sz w:val="21"/>
                <w:szCs w:val="21"/>
                <w:highlight w:val="none"/>
                <w:lang w:val="en-US" w:eastAsia="zh-CN"/>
              </w:rPr>
              <w:t xml:space="preserve">1200</w:t>
            </w:r>
            <w:r>
              <w:rPr>
                <w:rFonts w:hint="eastAsia" w:ascii="宋体" w:hAnsi="宋体" w:eastAsia="宋体" w:cs="宋体"/>
                <w:color w:val="auto"/>
                <w:sz w:val="21"/>
                <w:szCs w:val="21"/>
                <w:highlight w:val="none"/>
              </w:rPr>
              <w:t xml:space="preserve">元/人/年填报，此项费用为不可竞争费，投标人不得更改，否则作无效标书处理。</w:t>
            </w:r>
            <w:r/>
          </w:p>
        </w:tc>
      </w:tr>
      <w:tr>
        <w:trPr>
          <w:jc w:val="center"/>
          <w:trHeight w:val="838"/>
        </w:trPr>
        <w:tc>
          <w:tcPr>
            <w:tcW w:w="70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服装费</w:t>
            </w:r>
            <w:r/>
          </w:p>
        </w:tc>
        <w:tc>
          <w:tcPr>
            <w:tcW w:w="103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83"/>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培训费</w:t>
            </w:r>
            <w:r/>
          </w:p>
        </w:tc>
        <w:tc>
          <w:tcPr>
            <w:tcW w:w="103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83"/>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办公品消耗费</w:t>
            </w:r>
            <w:r/>
          </w:p>
        </w:tc>
        <w:tc>
          <w:tcPr>
            <w:tcW w:w="103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70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体检费</w:t>
            </w:r>
            <w:r/>
          </w:p>
        </w:tc>
        <w:tc>
          <w:tcPr>
            <w:tcW w:w="103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清洁卫生费</w:t>
            </w:r>
            <w:r/>
          </w:p>
        </w:tc>
        <w:tc>
          <w:tcPr>
            <w:gridSpan w:val="3"/>
            <w:tcW w:w="30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项合计）</w:t>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83"/>
        </w:trPr>
        <w:tc>
          <w:tcPr>
            <w:tcW w:w="70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资产费</w:t>
            </w:r>
            <w:r/>
          </w:p>
        </w:tc>
        <w:tc>
          <w:tcPr>
            <w:gridSpan w:val="2"/>
            <w:tcW w:w="2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w:t>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1"/>
        </w:trPr>
        <w:tc>
          <w:tcPr>
            <w:tcW w:w="709"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清洁设备、工具、材料费</w:t>
            </w:r>
            <w:r/>
          </w:p>
        </w:tc>
        <w:tc>
          <w:tcPr>
            <w:gridSpan w:val="2"/>
            <w:tcW w:w="2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w:t>
            </w:r>
            <w:r/>
          </w:p>
        </w:tc>
        <w:tc>
          <w:tcPr>
            <w:tcW w:w="85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8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tcW w:w="709"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2535"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不可预见费</w:t>
            </w:r>
            <w:r/>
          </w:p>
        </w:tc>
        <w:tc>
          <w:tcPr>
            <w:gridSpan w:val="2"/>
            <w:tcW w:w="220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1年</w:t>
            </w:r>
            <w:r/>
          </w:p>
        </w:tc>
        <w:tc>
          <w:tcPr>
            <w:tcW w:w="857" w:type="dxa"/>
            <w:vAlign w:val="center"/>
            <w:textDirection w:val="lrTb"/>
            <w:noWrap w:val="false"/>
          </w:tcPr>
          <w:p>
            <w:pPr>
              <w:jc w:val="left"/>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381"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583"/>
        </w:trPr>
        <w:tc>
          <w:tcPr>
            <w:tcW w:w="709"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酬金（管理费）</w:t>
            </w:r>
            <w:r/>
          </w:p>
        </w:tc>
        <w:tc>
          <w:tcPr>
            <w:gridSpan w:val="2"/>
            <w:tcW w:w="220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1年</w:t>
            </w:r>
            <w:r/>
          </w:p>
        </w:tc>
        <w:tc>
          <w:tcPr>
            <w:tcW w:w="857" w:type="dxa"/>
            <w:vAlign w:val="center"/>
            <w:textDirection w:val="lrTb"/>
            <w:noWrap w:val="false"/>
          </w:tcPr>
          <w:p>
            <w:pPr>
              <w:jc w:val="left"/>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38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25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税金</w:t>
            </w:r>
            <w:r/>
          </w:p>
        </w:tc>
        <w:tc>
          <w:tcPr>
            <w:gridSpan w:val="2"/>
            <w:tcW w:w="22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1年</w:t>
            </w:r>
            <w:r/>
          </w:p>
        </w:tc>
        <w:tc>
          <w:tcPr>
            <w:tcW w:w="857"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6.72%</w:t>
            </w:r>
            <w:r/>
          </w:p>
        </w:tc>
        <w:tc>
          <w:tcPr>
            <w:tcW w:w="238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Style w:val="1026"/>
                <w:rFonts w:hint="eastAsia"/>
                <w:color w:val="auto"/>
                <w:sz w:val="20"/>
                <w:szCs w:val="20"/>
                <w:highlight w:val="none"/>
                <w:lang w:val="en-US" w:eastAsia="zh-CN" w:bidi="ar"/>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一年费用合计</w:t>
            </w:r>
            <w:r/>
          </w:p>
        </w:tc>
        <w:tc>
          <w:tcPr>
            <w:tcW w:w="857" w:type="dxa"/>
            <w:vAlign w:val="center"/>
            <w:textDirection w:val="lrTb"/>
            <w:noWrap w:val="false"/>
          </w:tcPr>
          <w:p>
            <w:pPr>
              <w:jc w:val="center"/>
              <w:spacing w:line="400" w:lineRule="exact"/>
              <w:shd w:val="clear" w:color="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381" w:type="dxa"/>
            <w:vAlign w:val="center"/>
            <w:textDirection w:val="lrTb"/>
            <w:noWrap w:val="false"/>
          </w:tcPr>
          <w:p>
            <w:pPr>
              <w:jc w:val="both"/>
              <w:spacing w:line="300" w:lineRule="exact"/>
              <w:shd w:val="clear" w:color="auto"/>
              <w:widowControl/>
              <w:rPr>
                <w:rFonts w:hint="eastAsia" w:ascii="宋体" w:hAnsi="宋体" w:eastAsia="宋体" w:cs="宋体"/>
                <w:color w:val="auto"/>
                <w:sz w:val="24"/>
                <w:szCs w:val="24"/>
                <w:highlight w:val="none"/>
              </w:rPr>
            </w:pPr>
            <w:r>
              <w:rPr>
                <w:rStyle w:val="1026"/>
                <w:rFonts w:hint="eastAsia"/>
                <w:color w:val="auto"/>
                <w:sz w:val="20"/>
                <w:szCs w:val="20"/>
                <w:highlight w:val="none"/>
                <w:lang w:val="en-US" w:eastAsia="zh-CN" w:bidi="ar"/>
              </w:rPr>
              <w:t xml:space="preserve">计算式：（</w:t>
            </w:r>
            <w:r>
              <w:rPr>
                <w:rFonts w:hint="eastAsia" w:ascii="宋体" w:hAnsi="宋体" w:eastAsia="宋体" w:cs="宋体"/>
                <w:b/>
                <w:bCs/>
                <w:color w:val="auto"/>
                <w:sz w:val="18"/>
                <w:szCs w:val="15"/>
                <w:highlight w:val="none"/>
                <w:lang w:val="zh-CN" w:eastAsia="zh-CN"/>
              </w:rPr>
              <w:t xml:space="preserve">1项+2项+…+</w:t>
            </w:r>
            <w:r>
              <w:rPr>
                <w:rFonts w:hint="eastAsia" w:ascii="宋体" w:hAnsi="宋体" w:eastAsia="宋体" w:cs="宋体"/>
                <w:b/>
                <w:bCs/>
                <w:color w:val="auto"/>
                <w:sz w:val="18"/>
                <w:szCs w:val="15"/>
                <w:highlight w:val="none"/>
                <w:lang w:val="en-US" w:eastAsia="zh-CN"/>
              </w:rPr>
              <w:t xml:space="preserve">6</w:t>
            </w:r>
            <w:r>
              <w:rPr>
                <w:rFonts w:hint="eastAsia" w:ascii="宋体" w:hAnsi="宋体" w:eastAsia="宋体" w:cs="宋体"/>
                <w:b/>
                <w:bCs/>
                <w:color w:val="auto"/>
                <w:sz w:val="18"/>
                <w:szCs w:val="15"/>
                <w:highlight w:val="none"/>
                <w:lang w:val="zh-CN" w:eastAsia="zh-CN"/>
              </w:rPr>
              <w:t xml:space="preserve">项</w:t>
            </w:r>
            <w:r>
              <w:rPr>
                <w:rStyle w:val="1026"/>
                <w:rFonts w:hint="eastAsia"/>
                <w:color w:val="auto"/>
                <w:sz w:val="20"/>
                <w:szCs w:val="20"/>
                <w:highlight w:val="none"/>
                <w:lang w:val="en-US" w:eastAsia="zh-CN" w:bidi="ar"/>
              </w:rPr>
              <w:t xml:space="preserve">）</w:t>
            </w:r>
            <w:r/>
          </w:p>
        </w:tc>
      </w:tr>
      <w:tr>
        <w:trPr>
          <w:jc w:val="center"/>
          <w:trHeight w:val="593"/>
        </w:trPr>
        <w:tc>
          <w:tcPr>
            <w:gridSpan w:val="4"/>
            <w:tcW w:w="5444" w:type="dxa"/>
            <w:vAlign w:val="center"/>
            <w:textDirection w:val="lrTb"/>
            <w:noWrap w:val="false"/>
          </w:tcPr>
          <w:p>
            <w:pPr>
              <w:jc w:val="center"/>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投标总报价 </w:t>
            </w:r>
            <w:r/>
          </w:p>
          <w:p>
            <w:pPr>
              <w:jc w:val="center"/>
              <w:spacing w:line="400" w:lineRule="exact"/>
              <w:shd w:val="clear" w:color="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（两年费用）</w:t>
            </w:r>
            <w:r/>
          </w:p>
        </w:tc>
        <w:tc>
          <w:tcPr>
            <w:tcW w:w="857" w:type="dxa"/>
            <w:vAlign w:val="center"/>
            <w:textDirection w:val="lrTb"/>
            <w:noWrap w:val="false"/>
          </w:tcPr>
          <w:p>
            <w:pPr>
              <w:jc w:val="center"/>
              <w:spacing w:line="400" w:lineRule="exact"/>
              <w:shd w:val="clear" w:color="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381" w:type="dxa"/>
            <w:vAlign w:val="center"/>
            <w:textDirection w:val="lrTb"/>
            <w:noWrap w:val="false"/>
          </w:tcPr>
          <w:p>
            <w:pPr>
              <w:jc w:val="both"/>
              <w:spacing w:line="300" w:lineRule="exact"/>
              <w:shd w:val="clear" w:color="auto"/>
              <w:widowControl/>
              <w:rPr>
                <w:rFonts w:hint="eastAsia" w:ascii="宋体" w:hAnsi="宋体" w:eastAsia="宋体" w:cs="宋体"/>
                <w:color w:val="auto"/>
                <w:sz w:val="24"/>
                <w:szCs w:val="24"/>
                <w:highlight w:val="none"/>
              </w:rPr>
            </w:pPr>
            <w:r>
              <w:rPr>
                <w:rStyle w:val="1026"/>
                <w:rFonts w:hint="eastAsia"/>
                <w:color w:val="auto"/>
                <w:sz w:val="20"/>
                <w:szCs w:val="20"/>
                <w:highlight w:val="none"/>
                <w:lang w:val="zh-CN" w:eastAsia="zh-CN" w:bidi="ar"/>
              </w:rPr>
              <w:t xml:space="preserve">计算式：</w:t>
            </w:r>
            <w:r>
              <w:rPr>
                <w:rStyle w:val="1026"/>
                <w:rFonts w:hint="eastAsia"/>
                <w:color w:val="auto"/>
                <w:sz w:val="20"/>
                <w:szCs w:val="20"/>
                <w:highlight w:val="none"/>
                <w:lang w:val="en-US" w:eastAsia="zh-CN" w:bidi="ar"/>
              </w:rPr>
              <w:t xml:space="preserve">一年费用合计 * 2</w:t>
            </w:r>
            <w:r/>
          </w:p>
        </w:tc>
      </w:tr>
    </w:tbl>
    <w:p>
      <w:pPr>
        <w:ind w:firstLine="470"/>
        <w:spacing w:line="500" w:lineRule="exact"/>
        <w:rPr>
          <w:rFonts w:ascii="宋体" w:hAnsi="宋体" w:cs="宋体"/>
          <w:i/>
          <w:sz w:val="24"/>
          <w:u w:val="single"/>
        </w:rPr>
      </w:pPr>
      <w:r>
        <w:rPr>
          <w:rFonts w:hint="eastAsia" w:ascii="宋体" w:hAnsi="宋体" w:cs="宋体"/>
          <w:b/>
          <w:i/>
          <w:iCs/>
          <w:color w:val="auto"/>
          <w:sz w:val="24"/>
          <w:highlight w:val="none"/>
          <w:u w:val="single"/>
        </w:rPr>
        <w:t xml:space="preserve">注：投标人所提供人员的费用不得低于上述标准进行测算，</w:t>
      </w:r>
      <w:r>
        <w:rPr>
          <w:rFonts w:hint="eastAsia" w:ascii="宋体" w:hAnsi="宋体" w:cs="宋体"/>
          <w:b/>
          <w:i/>
          <w:iCs/>
          <w:sz w:val="24"/>
          <w:u w:val="single"/>
        </w:rPr>
        <w:t xml:space="preserve">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ascii="宋体" w:hAnsi="宋体" w:cs="宋体"/>
          <w:b/>
          <w:bCs/>
          <w:sz w:val="32"/>
          <w:szCs w:val="32"/>
        </w:rPr>
      </w:pPr>
      <w:r>
        <w:rPr>
          <w:rFonts w:hint="eastAsia" w:ascii="宋体" w:hAnsi="宋体" w:cs="宋体"/>
          <w:b/>
          <w:bCs/>
          <w:sz w:val="32"/>
          <w:szCs w:val="32"/>
        </w:rPr>
        <w:br w:type="page" w:clear="all"/>
      </w:r>
      <w:r/>
    </w:p>
    <w:p>
      <w:pPr>
        <w:pStyle w:val="1070"/>
        <w:jc w:val="center"/>
        <w:spacing w:beforeAutospacing="0" w:afterAutospacing="0" w:line="0" w:lineRule="atLeast"/>
        <w:rPr>
          <w:rFonts w:hint="eastAsia" w:ascii="黑体" w:hAnsi="黑体" w:eastAsia="黑体" w:cs="黑体"/>
          <w:i/>
          <w:sz w:val="32"/>
          <w:szCs w:val="32"/>
          <w:u w:val="single"/>
          <w:lang w:val="en-US" w:eastAsia="zh-CN" w:bidi="ar-SA"/>
        </w:rPr>
      </w:pPr>
      <w:r>
        <w:rPr>
          <w:rFonts w:hint="eastAsia" w:ascii="黑体" w:hAnsi="黑体" w:eastAsia="黑体" w:cs="黑体"/>
          <w:i/>
          <w:sz w:val="32"/>
          <w:szCs w:val="32"/>
          <w:u w:val="single"/>
          <w:lang w:val="en-US" w:eastAsia="zh-CN" w:bidi="ar-SA"/>
        </w:rPr>
        <w:t xml:space="preserve">十三、技术要求响应及偏离表</w:t>
      </w:r>
      <w:r/>
    </w:p>
    <w:p>
      <w:pPr>
        <w:pStyle w:val="1070"/>
        <w:jc w:val="both"/>
        <w:spacing w:beforeAutospacing="0" w:afterAutospacing="0"/>
        <w:rPr>
          <w:bCs/>
          <w:i/>
          <w:sz w:val="13"/>
          <w:szCs w:val="13"/>
          <w:u w:val="single"/>
        </w:rPr>
      </w:pPr>
      <w:r>
        <w:rPr>
          <w:bCs/>
          <w:i/>
          <w:sz w:val="13"/>
          <w:szCs w:val="13"/>
          <w:u w:val="single"/>
        </w:rPr>
      </w:r>
      <w:r/>
    </w:p>
    <w:tbl>
      <w:tblPr>
        <w:tblStyle w:val="79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0"/>
              <w:jc w:val="center"/>
              <w:spacing w:beforeAutospacing="0" w:afterAutospacing="0"/>
            </w:pPr>
            <w:r>
              <w:rPr>
                <w:rFonts w:hint="eastAsia"/>
              </w:rPr>
              <w:t xml:space="preserve">序号</w:t>
            </w:r>
            <w:r/>
          </w:p>
        </w:tc>
        <w:tc>
          <w:tcPr>
            <w:tcW w:w="2369" w:type="dxa"/>
            <w:vAlign w:val="center"/>
            <w:textDirection w:val="lrTb"/>
            <w:noWrap/>
          </w:tcPr>
          <w:p>
            <w:pPr>
              <w:pStyle w:val="1070"/>
              <w:jc w:val="center"/>
              <w:spacing w:beforeAutospacing="0" w:afterAutospacing="0"/>
            </w:pPr>
            <w:r>
              <w:rPr>
                <w:rFonts w:hint="eastAsia"/>
              </w:rPr>
              <w:t xml:space="preserve">招标文件要求</w:t>
            </w:r>
            <w:r/>
          </w:p>
        </w:tc>
        <w:tc>
          <w:tcPr>
            <w:tcW w:w="2240" w:type="dxa"/>
            <w:vAlign w:val="center"/>
            <w:textDirection w:val="lrTb"/>
            <w:noWrap/>
          </w:tcPr>
          <w:p>
            <w:pPr>
              <w:pStyle w:val="1070"/>
              <w:jc w:val="center"/>
              <w:spacing w:beforeAutospacing="0" w:afterAutospacing="0"/>
            </w:pPr>
            <w:r>
              <w:rPr>
                <w:rFonts w:hint="eastAsia"/>
              </w:rPr>
              <w:t xml:space="preserve">投标响应情况</w:t>
            </w:r>
            <w:r/>
          </w:p>
        </w:tc>
        <w:tc>
          <w:tcPr>
            <w:tcW w:w="1679" w:type="dxa"/>
            <w:vAlign w:val="center"/>
            <w:textDirection w:val="lrTb"/>
            <w:noWrap/>
          </w:tcPr>
          <w:p>
            <w:pPr>
              <w:pStyle w:val="1070"/>
              <w:jc w:val="center"/>
              <w:spacing w:beforeAutospacing="0" w:afterAutospacing="0"/>
            </w:pPr>
            <w:r>
              <w:rPr>
                <w:rFonts w:hint="eastAsia"/>
              </w:rPr>
              <w:t xml:space="preserve">超出、符合或偏离</w:t>
            </w:r>
            <w:r/>
          </w:p>
        </w:tc>
        <w:tc>
          <w:tcPr>
            <w:tcW w:w="1679" w:type="dxa"/>
            <w:vAlign w:val="center"/>
            <w:textDirection w:val="lrTb"/>
            <w:noWrap/>
          </w:tcPr>
          <w:p>
            <w:pPr>
              <w:pStyle w:val="1070"/>
              <w:jc w:val="center"/>
              <w:spacing w:beforeAutospacing="0" w:afterAutospacing="0"/>
            </w:pPr>
            <w:r>
              <w:rPr>
                <w:rFonts w:hint="eastAsia"/>
              </w:rPr>
              <w:t xml:space="preserve">证明</w:t>
            </w:r>
            <w:r/>
          </w:p>
          <w:p>
            <w:pPr>
              <w:pStyle w:val="107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600"/>
              <w:jc w:val="center"/>
              <w:spacing w:beforeAutospacing="0" w:afterAutospacing="0"/>
            </w:pPr>
            <w:r>
              <w:rPr>
                <w:rFonts w:hint="eastAsia"/>
              </w:rPr>
              <w:t xml:space="preserve"> </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70"/>
              <w:ind w:firstLine="600"/>
              <w:jc w:val="center"/>
              <w:spacing w:beforeAutospacing="0" w:afterAutospacing="0"/>
            </w:pPr>
            <w:r>
              <w:rPr>
                <w:rFonts w:hint="eastAsia"/>
              </w:rPr>
              <w:t xml:space="preserve"> </w:t>
            </w:r>
            <w:r/>
          </w:p>
        </w:tc>
        <w:tc>
          <w:tcPr>
            <w:tcW w:w="2369" w:type="dxa"/>
            <w:vAlign w:val="center"/>
            <w:textDirection w:val="lrTb"/>
            <w:noWrap/>
          </w:tcPr>
          <w:p>
            <w:pPr>
              <w:pStyle w:val="1070"/>
              <w:ind w:firstLine="480"/>
              <w:jc w:val="center"/>
              <w:spacing w:beforeAutospacing="0" w:afterAutospacing="0"/>
            </w:pPr>
            <w:r>
              <w:rPr>
                <w:rFonts w:hint="eastAsia"/>
              </w:rPr>
              <w:t xml:space="preserve">……</w:t>
            </w:r>
            <w:r/>
          </w:p>
        </w:tc>
        <w:tc>
          <w:tcPr>
            <w:tcW w:w="2240"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c>
          <w:tcPr>
            <w:tcW w:w="1679" w:type="dxa"/>
            <w:vAlign w:val="center"/>
            <w:textDirection w:val="lrTb"/>
            <w:noWrap/>
          </w:tcPr>
          <w:p>
            <w:pPr>
              <w:pStyle w:val="1070"/>
              <w:ind w:firstLine="600"/>
              <w:jc w:val="center"/>
              <w:spacing w:beforeAutospacing="0" w:afterAutospacing="0"/>
            </w:pPr>
            <w:r>
              <w:rPr>
                <w:rFonts w:hint="eastAsia"/>
              </w:rPr>
              <w:t xml:space="preserve"> </w:t>
            </w:r>
            <w:r/>
          </w:p>
        </w:tc>
      </w:tr>
    </w:tbl>
    <w:p>
      <w:pPr>
        <w:pStyle w:val="1070"/>
        <w:ind w:firstLine="480"/>
        <w:jc w:val="both"/>
        <w:spacing w:beforeAutospacing="0" w:afterAutospacing="0"/>
      </w:pPr>
      <w:r>
        <w:rPr>
          <w:rFonts w:hint="eastAsia"/>
        </w:rPr>
        <w:t xml:space="preserve">注：行数不够，可自行添加。</w:t>
      </w:r>
      <w:r/>
    </w:p>
    <w:p>
      <w:pPr>
        <w:pStyle w:val="1070"/>
        <w:jc w:val="center"/>
        <w:spacing w:beforeAutospacing="0" w:afterAutospacing="0" w:line="0" w:lineRule="atLeast"/>
        <w:rPr>
          <w:i w:val="0"/>
          <w:iCs/>
          <w:u w:val="none"/>
        </w:rPr>
      </w:pPr>
      <w:r>
        <w:rPr>
          <w:rFonts w:hint="eastAsia"/>
        </w:rPr>
        <w:br w:type="page" w:clear="all"/>
      </w:r>
      <w:r>
        <w:rPr>
          <w:rFonts w:hint="eastAsia" w:ascii="黑体" w:hAnsi="黑体" w:eastAsia="黑体" w:cs="黑体"/>
          <w:i/>
          <w:sz w:val="32"/>
          <w:szCs w:val="32"/>
          <w:u w:val="single"/>
          <w:lang w:val="en-US" w:eastAsia="zh-CN" w:bidi="ar-SA"/>
        </w:rPr>
        <w:t xml:space="preserve">十四、商务要求响应及偏离表</w:t>
      </w:r>
      <w:r/>
    </w:p>
    <w:p>
      <w:pPr>
        <w:pStyle w:val="1070"/>
        <w:jc w:val="both"/>
        <w:spacing w:beforeAutospacing="0" w:afterAutospacing="0"/>
        <w:rPr>
          <w:bCs/>
          <w:i/>
          <w:sz w:val="13"/>
          <w:szCs w:val="13"/>
          <w:u w:val="single"/>
        </w:rPr>
      </w:pPr>
      <w:r>
        <w:rPr>
          <w:bCs/>
          <w:i/>
          <w:sz w:val="13"/>
          <w:szCs w:val="13"/>
          <w:u w:val="single"/>
        </w:rPr>
      </w:r>
      <w:r/>
    </w:p>
    <w:tbl>
      <w:tblPr>
        <w:tblStyle w:val="79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0"/>
              <w:jc w:val="center"/>
              <w:spacing w:beforeAutospacing="0" w:afterAutospacing="0"/>
            </w:pPr>
            <w:r>
              <w:rPr>
                <w:rFonts w:hint="eastAsia"/>
              </w:rPr>
              <w:t xml:space="preserve">序号</w:t>
            </w:r>
            <w:r/>
          </w:p>
        </w:tc>
        <w:tc>
          <w:tcPr>
            <w:tcW w:w="2011" w:type="dxa"/>
            <w:vAlign w:val="center"/>
            <w:textDirection w:val="lrTb"/>
            <w:noWrap/>
          </w:tcPr>
          <w:p>
            <w:pPr>
              <w:pStyle w:val="1070"/>
              <w:jc w:val="center"/>
              <w:spacing w:beforeAutospacing="0" w:afterAutospacing="0"/>
            </w:pPr>
            <w:r>
              <w:rPr>
                <w:rFonts w:hint="eastAsia"/>
              </w:rPr>
              <w:t xml:space="preserve">招标文件要求</w:t>
            </w:r>
            <w:r/>
          </w:p>
        </w:tc>
        <w:tc>
          <w:tcPr>
            <w:tcW w:w="2304" w:type="dxa"/>
            <w:vAlign w:val="center"/>
            <w:textDirection w:val="lrTb"/>
            <w:noWrap/>
          </w:tcPr>
          <w:p>
            <w:pPr>
              <w:pStyle w:val="1070"/>
              <w:jc w:val="center"/>
              <w:spacing w:beforeAutospacing="0" w:afterAutospacing="0"/>
            </w:pPr>
            <w:r>
              <w:rPr>
                <w:rFonts w:hint="eastAsia"/>
              </w:rPr>
              <w:t xml:space="preserve">投标响应情况</w:t>
            </w:r>
            <w:r/>
          </w:p>
        </w:tc>
        <w:tc>
          <w:tcPr>
            <w:tcW w:w="1872" w:type="dxa"/>
            <w:vAlign w:val="center"/>
            <w:textDirection w:val="lrTb"/>
            <w:noWrap/>
          </w:tcPr>
          <w:p>
            <w:pPr>
              <w:pStyle w:val="1070"/>
              <w:jc w:val="center"/>
              <w:spacing w:beforeAutospacing="0" w:afterAutospacing="0"/>
            </w:pPr>
            <w:r>
              <w:rPr>
                <w:rFonts w:hint="eastAsia"/>
              </w:rPr>
              <w:t xml:space="preserve">超出、符合或偏离</w:t>
            </w:r>
            <w:r/>
          </w:p>
        </w:tc>
        <w:tc>
          <w:tcPr>
            <w:tcW w:w="1813" w:type="dxa"/>
            <w:vAlign w:val="center"/>
            <w:textDirection w:val="lrTb"/>
            <w:noWrap/>
          </w:tcPr>
          <w:p>
            <w:pPr>
              <w:pStyle w:val="1070"/>
              <w:jc w:val="center"/>
              <w:spacing w:beforeAutospacing="0" w:afterAutospacing="0"/>
            </w:pPr>
            <w:r>
              <w:rPr>
                <w:rFonts w:hint="eastAsia"/>
              </w:rPr>
              <w:t xml:space="preserve">证明</w:t>
            </w:r>
            <w:r/>
          </w:p>
          <w:p>
            <w:pPr>
              <w:pStyle w:val="107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70"/>
              <w:ind w:firstLine="600"/>
              <w:jc w:val="center"/>
              <w:spacing w:beforeAutospacing="0" w:afterAutospacing="0"/>
            </w:pPr>
            <w:r>
              <w:rPr>
                <w:rFonts w:hint="eastAsia"/>
              </w:rPr>
              <w:t xml:space="preserve"> </w:t>
            </w:r>
            <w:r/>
          </w:p>
        </w:tc>
        <w:tc>
          <w:tcPr>
            <w:tcW w:w="2011" w:type="dxa"/>
            <w:vAlign w:val="center"/>
            <w:textDirection w:val="lrTb"/>
            <w:noWrap/>
          </w:tcPr>
          <w:p>
            <w:pPr>
              <w:pStyle w:val="1070"/>
              <w:ind w:firstLine="600"/>
              <w:jc w:val="center"/>
              <w:spacing w:beforeAutospacing="0" w:afterAutospacing="0"/>
            </w:pPr>
            <w:r>
              <w:rPr>
                <w:rFonts w:hint="eastAsia"/>
              </w:rPr>
              <w:t xml:space="preserve"> </w:t>
            </w:r>
            <w:r/>
          </w:p>
        </w:tc>
        <w:tc>
          <w:tcPr>
            <w:tcW w:w="2304" w:type="dxa"/>
            <w:vAlign w:val="center"/>
            <w:textDirection w:val="lrTb"/>
            <w:noWrap/>
          </w:tcPr>
          <w:p>
            <w:pPr>
              <w:pStyle w:val="1070"/>
              <w:ind w:firstLine="600"/>
              <w:jc w:val="center"/>
              <w:spacing w:beforeAutospacing="0" w:afterAutospacing="0"/>
            </w:pPr>
            <w:r>
              <w:rPr>
                <w:rFonts w:hint="eastAsia"/>
              </w:rPr>
              <w:t xml:space="preserve"> </w:t>
            </w:r>
            <w:r/>
          </w:p>
        </w:tc>
        <w:tc>
          <w:tcPr>
            <w:tcW w:w="1872" w:type="dxa"/>
            <w:vAlign w:val="center"/>
            <w:textDirection w:val="lrTb"/>
            <w:noWrap/>
          </w:tcPr>
          <w:p>
            <w:pPr>
              <w:pStyle w:val="1070"/>
              <w:ind w:firstLine="600"/>
              <w:jc w:val="center"/>
              <w:spacing w:beforeAutospacing="0" w:afterAutospacing="0"/>
            </w:pPr>
            <w:r>
              <w:rPr>
                <w:rFonts w:hint="eastAsia"/>
              </w:rPr>
              <w:t xml:space="preserve"> </w:t>
            </w:r>
            <w:r/>
          </w:p>
        </w:tc>
        <w:tc>
          <w:tcPr>
            <w:tcW w:w="1813" w:type="dxa"/>
            <w:vAlign w:val="center"/>
            <w:textDirection w:val="lrTb"/>
            <w:noWrap/>
          </w:tcPr>
          <w:p>
            <w:pPr>
              <w:pStyle w:val="1070"/>
              <w:ind w:firstLine="600"/>
              <w:jc w:val="center"/>
              <w:spacing w:beforeAutospacing="0" w:afterAutospacing="0"/>
            </w:pPr>
            <w:r>
              <w:rPr>
                <w:rFonts w:hint="eastAsia"/>
              </w:rPr>
              <w:t xml:space="preserve"> </w:t>
            </w:r>
            <w:r/>
          </w:p>
        </w:tc>
      </w:tr>
    </w:tbl>
    <w:p>
      <w:pPr>
        <w:pStyle w:val="1070"/>
        <w:jc w:val="both"/>
        <w:spacing w:beforeAutospacing="0" w:afterAutospacing="0"/>
      </w:pPr>
      <w:r>
        <w:rPr>
          <w:rFonts w:hint="eastAsia"/>
        </w:rPr>
        <w:t xml:space="preserve">注：行数不够，可自行添加。</w:t>
      </w:r>
      <w:r/>
    </w:p>
    <w:p>
      <w:pPr>
        <w:pStyle w:val="1070"/>
        <w:ind w:firstLine="600"/>
        <w:jc w:val="both"/>
        <w:spacing w:beforeAutospacing="0" w:afterAutospacing="0"/>
      </w:pPr>
      <w:r/>
      <w:r/>
    </w:p>
    <w:p>
      <w:pPr>
        <w:pStyle w:val="107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lang w:val="en-US" w:eastAsia="zh-CN" w:bidi="ar-SA"/>
        </w:rPr>
        <w:t xml:space="preserve">十五、开标一览表</w:t>
      </w:r>
      <w:r/>
    </w:p>
    <w:p>
      <w:pPr>
        <w:pStyle w:val="1070"/>
        <w:ind w:firstLine="482"/>
        <w:jc w:val="both"/>
        <w:spacing w:beforeAutospacing="0" w:afterAutospacing="0" w:line="500" w:lineRule="exact"/>
      </w:pPr>
      <w:r>
        <w:rPr>
          <w:rFonts w:hint="eastAsia"/>
        </w:rPr>
        <w:t xml:space="preserve">投标人全称（加盖CA电子签章）：</w:t>
      </w:r>
      <w:r/>
    </w:p>
    <w:p>
      <w:pPr>
        <w:pStyle w:val="1070"/>
        <w:ind w:firstLine="482"/>
        <w:jc w:val="both"/>
        <w:spacing w:beforeAutospacing="0" w:afterAutospacing="0" w:line="500" w:lineRule="exact"/>
        <w:rPr>
          <w:rFonts w:hint="eastAsia" w:eastAsia="宋体"/>
          <w:lang w:eastAsia="zh-CN"/>
        </w:rPr>
      </w:pPr>
      <w:r>
        <w:rPr>
          <w:rFonts w:hint="eastAsia"/>
        </w:rPr>
        <w:t xml:space="preserve">项目名称：</w:t>
      </w:r>
      <w:r>
        <w:rPr>
          <w:rFonts w:hint="eastAsia"/>
          <w:lang w:eastAsia="zh-CN"/>
        </w:rPr>
        <w:t xml:space="preserve">新四军纪念馆（含泰山庙）物业管理服务项目</w:t>
      </w:r>
      <w:r/>
    </w:p>
    <w:p>
      <w:pPr>
        <w:pStyle w:val="1070"/>
        <w:ind w:firstLine="482"/>
        <w:jc w:val="both"/>
        <w:spacing w:beforeAutospacing="0" w:afterAutospacing="0" w:line="500" w:lineRule="exact"/>
      </w:pPr>
      <w:r>
        <w:rPr>
          <w:rFonts w:hint="eastAsia"/>
        </w:rPr>
        <w:t xml:space="preserve">项目编号：</w:t>
      </w:r>
      <w:r>
        <w:rPr>
          <w:rFonts w:hint="eastAsia"/>
          <w:lang w:eastAsia="zh-CN"/>
        </w:rPr>
        <w:t xml:space="preserve">JSZC-320900-JZCG-G2026-0014</w:t>
      </w:r>
      <w:r>
        <w:t xml:space="preserve"> </w:t>
      </w:r>
      <w:r/>
    </w:p>
    <w:p>
      <w:pPr>
        <w:pStyle w:val="1070"/>
        <w:ind w:firstLine="482"/>
        <w:jc w:val="both"/>
        <w:spacing w:beforeAutospacing="0" w:afterAutospacing="0" w:line="500" w:lineRule="exact"/>
      </w:pPr>
      <w:r>
        <w:rPr>
          <w:rFonts w:hint="eastAsia"/>
        </w:rPr>
        <w:t xml:space="preserve">分包号：/    </w:t>
      </w:r>
      <w:r/>
    </w:p>
    <w:tbl>
      <w:tblPr>
        <w:tblStyle w:val="79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0"/>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70"/>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70"/>
              <w:spacing w:beforeAutospacing="0" w:afterAutospacing="0" w:line="400" w:lineRule="exact"/>
            </w:pPr>
            <w:r>
              <w:rPr>
                <w:rFonts w:hint="eastAsia"/>
                <w:szCs w:val="21"/>
              </w:rPr>
              <w:t xml:space="preserve">报价（大写）：   </w:t>
            </w:r>
            <w:r>
              <w:rPr>
                <w:rFonts w:hint="eastAsia"/>
              </w:rPr>
              <w:t xml:space="preserve">   </w:t>
            </w:r>
            <w:r>
              <w:rPr>
                <w:rFonts w:hint="eastAsia"/>
                <w:lang w:val="en-US" w:eastAsia="zh-CN"/>
              </w:rPr>
              <w:t xml:space="preserve">   </w:t>
            </w:r>
            <w:r>
              <w:rPr>
                <w:rFonts w:hint="eastAsia"/>
              </w:rPr>
              <w:t xml:space="preserve">  金额大写     </w:t>
            </w:r>
            <w:r/>
          </w:p>
        </w:tc>
      </w:tr>
    </w:tbl>
    <w:p>
      <w:pPr>
        <w:pStyle w:val="1070"/>
        <w:ind w:firstLine="600"/>
        <w:jc w:val="both"/>
        <w:spacing w:beforeAutospacing="0" w:afterAutospacing="0" w:line="500" w:lineRule="exact"/>
      </w:pPr>
      <w:r>
        <w:t xml:space="preserve"> </w:t>
      </w:r>
      <w:r/>
    </w:p>
    <w:p>
      <w:pPr>
        <w:pStyle w:val="1070"/>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70"/>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70"/>
        <w:jc w:val="center"/>
        <w:keepLines w:val="0"/>
        <w:keepNext w:val="0"/>
        <w:pageBreakBefore w:val="0"/>
        <w:spacing w:beforeAutospacing="0" w:afterAutospacing="0" w:line="560" w:lineRule="exact"/>
        <w:widowControl/>
        <w:rPr>
          <w:rFonts w:hint="eastAsia" w:ascii="黑体" w:hAnsi="黑体" w:eastAsia="黑体" w:cs="黑体"/>
          <w:i/>
          <w:sz w:val="32"/>
          <w:szCs w:val="32"/>
          <w:u w:val="single"/>
          <w:lang w:val="en-US" w:eastAsia="zh-CN" w:bidi="ar-SA"/>
        </w:rPr>
      </w:pPr>
      <w:r>
        <w:rPr>
          <w:rFonts w:hint="eastAsia" w:ascii="黑体" w:hAnsi="黑体" w:eastAsia="黑体" w:cs="黑体"/>
          <w:i/>
          <w:sz w:val="32"/>
          <w:szCs w:val="32"/>
          <w:u w:val="single"/>
          <w:lang w:val="en-US" w:eastAsia="zh-CN" w:bidi="ar-SA"/>
        </w:rPr>
        <w:t xml:space="preserve">十六、服务方案等</w:t>
      </w:r>
      <w:r/>
    </w:p>
    <w:p>
      <w:pPr>
        <w:ind w:firstLine="480"/>
        <w:jc w:val="left"/>
        <w:keepLines w:val="0"/>
        <w:keepNext w:val="0"/>
        <w:pageBreakBefore w:val="0"/>
        <w:spacing w:line="560" w:lineRule="exact"/>
        <w:widowControl/>
        <w:rPr>
          <w:sz w:val="32"/>
          <w:szCs w:val="32"/>
        </w:rPr>
      </w:pPr>
      <w:r>
        <w:rPr>
          <w:rFonts w:hint="eastAsia" w:ascii="宋体" w:hAnsi="宋体" w:eastAsia="宋体" w:cs="宋体"/>
          <w:b/>
          <w:bCs/>
          <w:i/>
          <w:iCs/>
          <w:color w:val="ff0000"/>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ff0000"/>
          <w:sz w:val="24"/>
          <w:szCs w:val="20"/>
          <w:highlight w:val="none"/>
          <w:u w:val="single"/>
          <w:lang w:eastAsia="zh-CN"/>
        </w:rPr>
        <w:t xml:space="preserve">（</w:t>
      </w:r>
      <w:r>
        <w:rPr>
          <w:rFonts w:hint="eastAsia" w:ascii="宋体" w:hAnsi="宋体" w:eastAsia="宋体" w:cs="宋体"/>
          <w:b/>
          <w:bCs/>
          <w:i/>
          <w:iCs/>
          <w:color w:val="ff0000"/>
          <w:sz w:val="24"/>
          <w:szCs w:val="20"/>
          <w:highlight w:val="none"/>
          <w:u w:val="single"/>
          <w:lang w:val="en-US" w:eastAsia="zh-CN"/>
        </w:rPr>
        <w:t xml:space="preserve">不得出现加粗、下划线、斜体格式）</w:t>
      </w:r>
      <w:r>
        <w:rPr>
          <w:rFonts w:hint="eastAsia" w:ascii="宋体" w:hAnsi="宋体" w:eastAsia="宋体" w:cs="宋体"/>
          <w:b/>
          <w:bCs/>
          <w:i/>
          <w:iCs/>
          <w:color w:val="ff0000"/>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方案总页数不得超过</w:t>
      </w:r>
      <w:r>
        <w:rPr>
          <w:rFonts w:hint="eastAsia" w:ascii="宋体" w:hAnsi="宋体" w:cs="宋体"/>
          <w:b/>
          <w:bCs/>
          <w:i/>
          <w:iCs/>
          <w:color w:val="ff0000"/>
          <w:sz w:val="24"/>
          <w:szCs w:val="20"/>
          <w:highlight w:val="none"/>
          <w:u w:val="single"/>
          <w:lang w:val="en-US" w:eastAsia="zh-CN"/>
        </w:rPr>
        <w:t xml:space="preserve">120</w:t>
      </w:r>
      <w:r>
        <w:rPr>
          <w:rFonts w:hint="eastAsia" w:ascii="宋体" w:hAnsi="宋体" w:eastAsia="宋体" w:cs="宋体"/>
          <w:b/>
          <w:bCs/>
          <w:i/>
          <w:iCs/>
          <w:color w:val="ff0000"/>
          <w:sz w:val="24"/>
          <w:szCs w:val="20"/>
          <w:highlight w:val="none"/>
          <w:u w:val="single"/>
          <w:lang w:val="en-US" w:eastAsia="zh-CN"/>
        </w:rPr>
        <w:t xml:space="preserve">页，违反上述规定得0分。上传的“明标”材料中不得出现与服务方案相关的内容，否则</w:t>
      </w:r>
      <w:r>
        <w:rPr>
          <w:rFonts w:hint="eastAsia" w:ascii="宋体" w:hAnsi="宋体" w:eastAsia="宋体" w:cs="宋体"/>
          <w:b/>
          <w:bCs/>
          <w:i/>
          <w:iCs/>
          <w:color w:val="ff0000"/>
          <w:sz w:val="24"/>
          <w:szCs w:val="20"/>
          <w:highlight w:val="none"/>
          <w:u w:val="single"/>
        </w:rPr>
        <w:t xml:space="preserve">作无效标书处理。</w:t>
      </w:r>
      <w:r>
        <w:rPr>
          <w:rFonts w:hint="eastAsia"/>
          <w:sz w:val="32"/>
          <w:szCs w:val="32"/>
        </w:rPr>
        <w:br w:type="page" w:clear="all"/>
      </w:r>
      <w:r/>
    </w:p>
    <w:p>
      <w:pPr>
        <w:pStyle w:val="1070"/>
        <w:jc w:val="center"/>
        <w:keepLines w:val="0"/>
        <w:keepNext w:val="0"/>
        <w:pageBreakBefore w:val="0"/>
        <w:spacing w:beforeAutospacing="0" w:afterAutospacing="0" w:line="560" w:lineRule="exact"/>
        <w:widowControl/>
        <w:rPr>
          <w:rFonts w:hint="eastAsia" w:ascii="黑体" w:hAnsi="黑体" w:eastAsia="黑体" w:cs="黑体"/>
          <w:i/>
          <w:sz w:val="32"/>
          <w:szCs w:val="32"/>
          <w:u w:val="single"/>
          <w:lang w:val="en-US" w:eastAsia="zh-CN" w:bidi="ar-SA"/>
        </w:rPr>
      </w:pPr>
      <w:r>
        <w:rPr>
          <w:rFonts w:hint="eastAsia" w:ascii="黑体" w:hAnsi="黑体" w:eastAsia="黑体" w:cs="黑体"/>
          <w:i/>
          <w:sz w:val="32"/>
          <w:szCs w:val="32"/>
          <w:u w:val="single"/>
          <w:lang w:val="en-US" w:eastAsia="zh-CN" w:bidi="ar-SA"/>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22"/>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70"/>
        <w:jc w:val="center"/>
        <w:keepLines w:val="0"/>
        <w:keepNext w:val="0"/>
        <w:pageBreakBefore w:val="0"/>
        <w:spacing w:beforeAutospacing="0" w:afterAutospacing="0" w:line="560" w:lineRule="exact"/>
        <w:widowControl/>
        <w:rPr>
          <w:rFonts w:hint="eastAsia" w:ascii="黑体" w:hAnsi="黑体" w:eastAsia="黑体" w:cs="黑体"/>
          <w:i/>
          <w:sz w:val="32"/>
          <w:szCs w:val="32"/>
          <w:u w:val="single"/>
          <w:lang w:val="en-US" w:eastAsia="zh-CN" w:bidi="ar-SA"/>
        </w:rPr>
      </w:pPr>
      <w:r>
        <w:rPr>
          <w:rFonts w:hint="eastAsia" w:ascii="黑体" w:hAnsi="黑体" w:eastAsia="黑体" w:cs="黑体"/>
          <w:i/>
          <w:sz w:val="32"/>
          <w:szCs w:val="32"/>
          <w:u w:val="single"/>
          <w:lang w:val="en-US" w:eastAsia="zh-CN" w:bidi="ar-SA"/>
        </w:rPr>
        <w:t xml:space="preserve">质疑函范本</w:t>
      </w:r>
      <w:r/>
    </w:p>
    <w:p>
      <w:pPr>
        <w:pStyle w:val="822"/>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22"/>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22"/>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22"/>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22"/>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22"/>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22"/>
        <w:jc w:val="both"/>
        <w:spacing w:beforeAutospacing="0" w:afterAutospacing="0" w:line="500" w:lineRule="exact"/>
        <w:rPr>
          <w:rFonts w:ascii="宋体" w:hAnsi="宋体" w:cs="宋体"/>
        </w:rPr>
      </w:pPr>
      <w:r>
        <w:rPr>
          <w:rFonts w:hint="eastAsia" w:ascii="宋体" w:hAnsi="宋体" w:cs="宋体"/>
        </w:rPr>
        <w:t xml:space="preserve">……</w:t>
      </w:r>
      <w:r/>
    </w:p>
    <w:p>
      <w:pPr>
        <w:pStyle w:val="822"/>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22"/>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22"/>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22"/>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22"/>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_GBK">
    <w:panose1 w:val="020B0503020202020204"/>
  </w:font>
  <w:font w:name="方正小标宋_GBK">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r/>
  </w:p>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07"/>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07"/>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0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JSZC-320900-JZCG-G2026-0014</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JSZC-320900-JZCG-G2026-0014</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JSZC-320900-JZCG-G2026-0014</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854"/>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84">
    <w:name w:val="Heading 2"/>
    <w:basedOn w:val="782"/>
    <w:next w:val="782"/>
    <w:link w:val="855"/>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5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57"/>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58"/>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59"/>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61"/>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6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qFormat/>
    <w:pPr>
      <w:ind w:left="1701"/>
      <w:spacing w:after="57"/>
    </w:pPr>
  </w:style>
  <w:style w:type="paragraph" w:styleId="795">
    <w:name w:val="Normal Indent"/>
    <w:basedOn w:val="782"/>
    <w:uiPriority w:val="0"/>
    <w:qFormat/>
    <w:pPr>
      <w:ind w:firstLine="420"/>
      <w:jc w:val="left"/>
      <w:spacing w:line="360" w:lineRule="auto"/>
    </w:pPr>
    <w:rPr>
      <w:rFonts w:ascii="宋体" w:hAnsi="宋体" w:cs="宋体"/>
      <w:color w:val="000000"/>
      <w:sz w:val="24"/>
      <w:szCs w:val="21"/>
    </w:rPr>
  </w:style>
  <w:style w:type="paragraph" w:styleId="796">
    <w:name w:val="Caption"/>
    <w:basedOn w:val="782"/>
    <w:next w:val="78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2"/>
    <w:link w:val="883"/>
    <w:uiPriority w:val="0"/>
    <w:qFormat/>
    <w:pPr>
      <w:jc w:val="left"/>
    </w:pPr>
  </w:style>
  <w:style w:type="paragraph" w:styleId="798">
    <w:name w:val="Body Text"/>
    <w:basedOn w:val="782"/>
    <w:link w:val="884"/>
    <w:uiPriority w:val="99"/>
    <w:qFormat/>
    <w:rPr>
      <w:rFonts w:ascii="楷体" w:hAnsi="Arial" w:eastAsia="楷体"/>
      <w:sz w:val="28"/>
      <w:szCs w:val="28"/>
    </w:rPr>
  </w:style>
  <w:style w:type="paragraph" w:styleId="799">
    <w:name w:val="Body Text Indent"/>
    <w:basedOn w:val="782"/>
    <w:link w:val="885"/>
    <w:uiPriority w:val="0"/>
    <w:qFormat/>
    <w:pPr>
      <w:ind w:firstLine="645"/>
    </w:pPr>
    <w:rPr>
      <w:rFonts w:ascii="楷体_GB2312" w:eastAsia="楷体_GB2312"/>
      <w:sz w:val="32"/>
      <w:szCs w:val="32"/>
    </w:rPr>
  </w:style>
  <w:style w:type="paragraph" w:styleId="800">
    <w:name w:val="Block Text"/>
    <w:basedOn w:val="782"/>
    <w:uiPriority w:val="0"/>
    <w:qFormat/>
    <w:pPr>
      <w:ind w:left="560" w:right="-512"/>
    </w:pPr>
    <w:rPr>
      <w:rFonts w:ascii="幼圆" w:eastAsia="幼圆" w:cs="Garamond"/>
      <w:sz w:val="24"/>
      <w:szCs w:val="21"/>
    </w:rPr>
  </w:style>
  <w:style w:type="paragraph" w:styleId="801">
    <w:name w:val="toc 5"/>
    <w:basedOn w:val="782"/>
    <w:next w:val="782"/>
    <w:uiPriority w:val="39"/>
    <w:qFormat/>
    <w:pPr>
      <w:ind w:left="1134"/>
      <w:spacing w:after="57"/>
    </w:pPr>
  </w:style>
  <w:style w:type="paragraph" w:styleId="802">
    <w:name w:val="toc 3"/>
    <w:basedOn w:val="782"/>
    <w:next w:val="782"/>
    <w:link w:val="886"/>
    <w:uiPriority w:val="39"/>
    <w:qFormat/>
    <w:pPr>
      <w:ind w:left="567"/>
      <w:spacing w:after="57"/>
    </w:pPr>
  </w:style>
  <w:style w:type="paragraph" w:styleId="803">
    <w:name w:val="Plain Text"/>
    <w:basedOn w:val="782"/>
    <w:link w:val="887"/>
    <w:uiPriority w:val="0"/>
    <w:qFormat/>
    <w:rPr>
      <w:rFonts w:ascii="宋体" w:hAnsi="Courier New" w:eastAsia="楷体"/>
      <w:sz w:val="28"/>
      <w:szCs w:val="20"/>
    </w:rPr>
  </w:style>
  <w:style w:type="paragraph" w:styleId="804">
    <w:name w:val="toc 8"/>
    <w:basedOn w:val="782"/>
    <w:next w:val="782"/>
    <w:uiPriority w:val="39"/>
    <w:qFormat/>
    <w:pPr>
      <w:ind w:left="1984"/>
      <w:spacing w:after="57"/>
    </w:pPr>
  </w:style>
  <w:style w:type="paragraph" w:styleId="805">
    <w:name w:val="endnote text"/>
    <w:basedOn w:val="782"/>
    <w:link w:val="888"/>
    <w:uiPriority w:val="99"/>
    <w:qFormat/>
    <w:rPr>
      <w:sz w:val="20"/>
    </w:rPr>
  </w:style>
  <w:style w:type="paragraph" w:styleId="806">
    <w:name w:val="Balloon Text"/>
    <w:basedOn w:val="782"/>
    <w:link w:val="889"/>
    <w:uiPriority w:val="99"/>
    <w:qFormat/>
    <w:rPr>
      <w:sz w:val="18"/>
      <w:szCs w:val="18"/>
    </w:rPr>
  </w:style>
  <w:style w:type="paragraph" w:styleId="807">
    <w:name w:val="Footer"/>
    <w:basedOn w:val="782"/>
    <w:link w:val="890"/>
    <w:uiPriority w:val="99"/>
    <w:unhideWhenUsed/>
    <w:qFormat/>
    <w:pPr>
      <w:jc w:val="left"/>
      <w:tabs>
        <w:tab w:val="center" w:pos="4153" w:leader="none"/>
        <w:tab w:val="right" w:pos="8306" w:leader="none"/>
      </w:tabs>
    </w:pPr>
    <w:rPr>
      <w:sz w:val="18"/>
      <w:szCs w:val="18"/>
    </w:rPr>
  </w:style>
  <w:style w:type="paragraph" w:styleId="808">
    <w:name w:val="envelope return"/>
    <w:basedOn w:val="782"/>
    <w:uiPriority w:val="0"/>
    <w:qFormat/>
    <w:pPr>
      <w:ind w:firstLine="420"/>
      <w:jc w:val="left"/>
      <w:spacing w:line="360" w:lineRule="auto"/>
    </w:pPr>
    <w:rPr>
      <w:rFonts w:ascii="Arial" w:hAnsi="Arial" w:cs="宋体"/>
      <w:color w:val="000000"/>
      <w:sz w:val="22"/>
      <w:szCs w:val="21"/>
    </w:rPr>
  </w:style>
  <w:style w:type="paragraph" w:styleId="809">
    <w:name w:val="Header"/>
    <w:basedOn w:val="782"/>
    <w:link w:val="8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82"/>
    <w:next w:val="782"/>
    <w:uiPriority w:val="39"/>
    <w:qFormat/>
    <w:pPr>
      <w:spacing w:after="57"/>
    </w:pPr>
  </w:style>
  <w:style w:type="paragraph" w:styleId="811">
    <w:name w:val="toc 4"/>
    <w:basedOn w:val="782"/>
    <w:next w:val="782"/>
    <w:uiPriority w:val="39"/>
    <w:qFormat/>
    <w:pPr>
      <w:ind w:left="850"/>
      <w:spacing w:after="57"/>
    </w:pPr>
  </w:style>
  <w:style w:type="paragraph" w:styleId="812">
    <w:name w:val="Subtitle"/>
    <w:basedOn w:val="782"/>
    <w:next w:val="782"/>
    <w:link w:val="892"/>
    <w:uiPriority w:val="11"/>
    <w:qFormat/>
    <w:pPr>
      <w:spacing w:before="200" w:after="200"/>
    </w:pPr>
    <w:rPr>
      <w:sz w:val="24"/>
    </w:rPr>
  </w:style>
  <w:style w:type="paragraph" w:styleId="813">
    <w:name w:val="footnote text"/>
    <w:basedOn w:val="782"/>
    <w:link w:val="893"/>
    <w:uiPriority w:val="99"/>
    <w:qFormat/>
    <w:pPr>
      <w:spacing w:after="40"/>
    </w:pPr>
    <w:rPr>
      <w:sz w:val="18"/>
    </w:rPr>
  </w:style>
  <w:style w:type="paragraph" w:styleId="814">
    <w:name w:val="toc 6"/>
    <w:basedOn w:val="782"/>
    <w:next w:val="782"/>
    <w:uiPriority w:val="39"/>
    <w:qFormat/>
    <w:pPr>
      <w:ind w:left="1417"/>
      <w:spacing w:after="57"/>
    </w:pPr>
  </w:style>
  <w:style w:type="paragraph" w:styleId="815">
    <w:name w:val="Body Text Indent 3"/>
    <w:basedOn w:val="782"/>
    <w:link w:val="894"/>
    <w:uiPriority w:val="0"/>
    <w:qFormat/>
    <w:pPr>
      <w:ind w:left="645" w:firstLine="645"/>
    </w:pPr>
    <w:rPr>
      <w:rFonts w:ascii="Arial" w:hAnsi="Arial" w:eastAsia="仿宋" w:cs="Arial"/>
      <w:color w:val="ffff00"/>
      <w:sz w:val="32"/>
      <w:szCs w:val="32"/>
    </w:rPr>
  </w:style>
  <w:style w:type="paragraph" w:styleId="816">
    <w:name w:val="table of figures"/>
    <w:basedOn w:val="782"/>
    <w:next w:val="782"/>
    <w:uiPriority w:val="99"/>
    <w:qFormat/>
  </w:style>
  <w:style w:type="paragraph" w:styleId="817">
    <w:name w:val="toc 2"/>
    <w:basedOn w:val="782"/>
    <w:next w:val="782"/>
    <w:uiPriority w:val="39"/>
    <w:qFormat/>
    <w:pPr>
      <w:ind w:left="283"/>
      <w:spacing w:after="57"/>
    </w:pPr>
  </w:style>
  <w:style w:type="paragraph" w:styleId="818">
    <w:name w:val="toc 9"/>
    <w:basedOn w:val="782"/>
    <w:next w:val="782"/>
    <w:uiPriority w:val="39"/>
    <w:qFormat/>
    <w:pPr>
      <w:ind w:left="2268"/>
      <w:spacing w:after="57"/>
    </w:pPr>
  </w:style>
  <w:style w:type="paragraph" w:styleId="819">
    <w:name w:val="Body Text 2"/>
    <w:basedOn w:val="782"/>
    <w:link w:val="1202"/>
    <w:uiPriority w:val="99"/>
    <w:semiHidden/>
    <w:unhideWhenUsed/>
    <w:qFormat/>
    <w:pPr>
      <w:ind w:firstLine="420"/>
      <w:jc w:val="left"/>
      <w:spacing w:after="120" w:line="480" w:lineRule="auto"/>
    </w:pPr>
    <w:rPr>
      <w:rFonts w:ascii="宋体" w:hAnsi="宋体" w:cs="宋体"/>
      <w:color w:val="000000"/>
      <w:sz w:val="22"/>
      <w:szCs w:val="21"/>
    </w:rPr>
  </w:style>
  <w:style w:type="paragraph" w:styleId="820">
    <w:name w:val="Message Header"/>
    <w:basedOn w:val="782"/>
    <w:link w:val="1184"/>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1">
    <w:name w:val="HTML Preformatted"/>
    <w:basedOn w:val="782"/>
    <w:link w:val="895"/>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2">
    <w:name w:val="Normal (Web)"/>
    <w:basedOn w:val="782"/>
    <w:uiPriority w:val="0"/>
    <w:qFormat/>
    <w:pPr>
      <w:jc w:val="left"/>
      <w:spacing w:beforeAutospacing="1" w:afterAutospacing="1"/>
    </w:pPr>
    <w:rPr>
      <w:sz w:val="24"/>
    </w:rPr>
  </w:style>
  <w:style w:type="paragraph" w:styleId="823">
    <w:name w:val="Title"/>
    <w:basedOn w:val="782"/>
    <w:next w:val="782"/>
    <w:link w:val="896"/>
    <w:uiPriority w:val="10"/>
    <w:qFormat/>
    <w:pPr>
      <w:contextualSpacing/>
      <w:spacing w:before="300" w:after="200"/>
    </w:pPr>
    <w:rPr>
      <w:sz w:val="48"/>
      <w:szCs w:val="48"/>
    </w:rPr>
  </w:style>
  <w:style w:type="paragraph" w:styleId="824">
    <w:name w:val="annotation subject"/>
    <w:basedOn w:val="797"/>
    <w:next w:val="797"/>
    <w:link w:val="897"/>
    <w:uiPriority w:val="0"/>
    <w:qFormat/>
    <w:pPr>
      <w:spacing w:line="300" w:lineRule="auto"/>
    </w:pPr>
    <w:rPr>
      <w:rFonts w:ascii="Calibri" w:hAnsi="Calibri" w:cs="Calibri"/>
      <w:b/>
      <w:bCs/>
      <w:sz w:val="20"/>
      <w:szCs w:val="21"/>
    </w:rPr>
  </w:style>
  <w:style w:type="paragraph" w:styleId="825">
    <w:name w:val="Body Text First Indent"/>
    <w:basedOn w:val="798"/>
    <w:link w:val="898"/>
    <w:uiPriority w:val="99"/>
    <w:qFormat/>
    <w:pPr>
      <w:ind w:firstLine="420"/>
    </w:pPr>
  </w:style>
  <w:style w:type="paragraph" w:styleId="826">
    <w:name w:val="Body Text First Indent 2"/>
    <w:basedOn w:val="799"/>
    <w:link w:val="899"/>
    <w:uiPriority w:val="0"/>
    <w:qFormat/>
    <w:pPr>
      <w:ind w:firstLine="420"/>
      <w:spacing w:line="360" w:lineRule="auto"/>
    </w:pPr>
    <w:rPr>
      <w:rFonts w:ascii="宋体" w:hAnsi="宋体" w:eastAsia="宋体"/>
      <w:sz w:val="21"/>
      <w:szCs w:val="20"/>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2"/>
    <w:uiPriority w:val="22"/>
    <w:qFormat/>
    <w:rPr>
      <w:b/>
    </w:rPr>
  </w:style>
  <w:style w:type="character" w:styleId="829">
    <w:name w:val="endnote reference"/>
    <w:uiPriority w:val="99"/>
    <w:qFormat/>
    <w:rPr>
      <w:vertAlign w:val="superscript"/>
    </w:rPr>
  </w:style>
  <w:style w:type="character" w:styleId="830">
    <w:name w:val="FollowedHyperlink"/>
    <w:basedOn w:val="792"/>
    <w:uiPriority w:val="99"/>
    <w:semiHidden/>
    <w:unhideWhenUsed/>
    <w:qFormat/>
    <w:rPr>
      <w:color w:val="800080" w:themeColor="followedHyperlink"/>
      <w:u w:val="single"/>
      <w14:textFill>
        <w14:solidFill>
          <w14:schemeClr w14:val="folHlink"/>
        </w14:solidFill>
      </w14:textFill>
    </w:rPr>
  </w:style>
  <w:style w:type="character" w:styleId="831">
    <w:name w:val="Hyperlink"/>
    <w:uiPriority w:val="99"/>
    <w:qFormat/>
    <w:rPr>
      <w:color w:val="0000ff"/>
      <w:u w:val="single"/>
    </w:rPr>
  </w:style>
  <w:style w:type="character" w:styleId="832">
    <w:name w:val="annotation reference"/>
    <w:basedOn w:val="792"/>
    <w:uiPriority w:val="99"/>
    <w:qFormat/>
    <w:rPr>
      <w:sz w:val="21"/>
      <w:szCs w:val="21"/>
    </w:rPr>
  </w:style>
  <w:style w:type="character" w:styleId="833">
    <w:name w:val="footnote reference"/>
    <w:uiPriority w:val="99"/>
    <w:qFormat/>
    <w:rPr>
      <w:vertAlign w:val="superscript"/>
    </w:rPr>
  </w:style>
  <w:style w:type="table" w:styleId="834"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Heading"/>
    <w:uiPriority w:val="39"/>
    <w:unhideWhenUsed/>
    <w:qFormat/>
    <w:rPr>
      <w:rFonts w:hint="default" w:ascii="Times New Roman" w:hAnsi="Times New Roman" w:eastAsia="宋体" w:cs="Times New Roman"/>
    </w:rPr>
  </w:style>
  <w:style w:type="character" w:styleId="854" w:customStyle="1">
    <w:name w:val="标题 1 字符1"/>
    <w:basedOn w:val="792"/>
    <w:link w:val="783"/>
    <w:uiPriority w:val="9"/>
    <w:qFormat/>
    <w:rPr>
      <w:b/>
      <w:bCs/>
      <w:sz w:val="44"/>
      <w:szCs w:val="44"/>
    </w:rPr>
  </w:style>
  <w:style w:type="character" w:styleId="855" w:customStyle="1">
    <w:name w:val="标题 2 字符1"/>
    <w:basedOn w:val="792"/>
    <w:link w:val="784"/>
    <w:uiPriority w:val="9"/>
    <w:qFormat/>
    <w:rPr>
      <w:rFonts w:ascii="Arial" w:hAnsi="Arial" w:eastAsia="Arial" w:cs="Arial"/>
      <w:sz w:val="34"/>
    </w:rPr>
  </w:style>
  <w:style w:type="character" w:styleId="856" w:customStyle="1">
    <w:name w:val="标题 3 字符1"/>
    <w:basedOn w:val="792"/>
    <w:link w:val="785"/>
    <w:uiPriority w:val="9"/>
    <w:qFormat/>
    <w:rPr>
      <w:rFonts w:ascii="Arial" w:hAnsi="Arial" w:eastAsia="Arial" w:cs="Arial"/>
      <w:sz w:val="30"/>
      <w:szCs w:val="30"/>
    </w:rPr>
  </w:style>
  <w:style w:type="character" w:styleId="857" w:customStyle="1">
    <w:name w:val="标题 4 字符1"/>
    <w:basedOn w:val="792"/>
    <w:link w:val="786"/>
    <w:uiPriority w:val="9"/>
    <w:qFormat/>
    <w:rPr>
      <w:rFonts w:ascii="Arial" w:hAnsi="Arial" w:eastAsia="Arial" w:cs="Arial"/>
      <w:b/>
      <w:bCs/>
      <w:sz w:val="26"/>
      <w:szCs w:val="26"/>
    </w:rPr>
  </w:style>
  <w:style w:type="character" w:styleId="858" w:customStyle="1">
    <w:name w:val="标题 5 字符1"/>
    <w:basedOn w:val="792"/>
    <w:link w:val="787"/>
    <w:uiPriority w:val="9"/>
    <w:qFormat/>
    <w:rPr>
      <w:rFonts w:ascii="Arial" w:hAnsi="Arial" w:eastAsia="Arial" w:cs="Arial"/>
      <w:b/>
      <w:bCs/>
      <w:sz w:val="24"/>
      <w:szCs w:val="24"/>
    </w:rPr>
  </w:style>
  <w:style w:type="character" w:styleId="859" w:customStyle="1">
    <w:name w:val="标题 6 字符1"/>
    <w:basedOn w:val="792"/>
    <w:link w:val="788"/>
    <w:uiPriority w:val="9"/>
    <w:qFormat/>
    <w:rPr>
      <w:rFonts w:ascii="Arial" w:hAnsi="Arial" w:eastAsia="Arial" w:cs="Arial"/>
      <w:b/>
      <w:bCs/>
      <w:sz w:val="22"/>
      <w:szCs w:val="22"/>
    </w:rPr>
  </w:style>
  <w:style w:type="character" w:styleId="860" w:customStyle="1">
    <w:name w:val="标题 7 字符1"/>
    <w:basedOn w:val="792"/>
    <w:link w:val="789"/>
    <w:uiPriority w:val="9"/>
    <w:qFormat/>
    <w:rPr>
      <w:rFonts w:ascii="Arial" w:hAnsi="Arial" w:eastAsia="Arial" w:cs="Arial"/>
      <w:b/>
      <w:bCs/>
      <w:i/>
      <w:iCs/>
      <w:sz w:val="22"/>
      <w:szCs w:val="22"/>
    </w:rPr>
  </w:style>
  <w:style w:type="character" w:styleId="861" w:customStyle="1">
    <w:name w:val="标题 8 字符1"/>
    <w:basedOn w:val="792"/>
    <w:link w:val="790"/>
    <w:uiPriority w:val="9"/>
    <w:qFormat/>
    <w:rPr>
      <w:rFonts w:ascii="Arial" w:hAnsi="Arial" w:eastAsia="Arial" w:cs="Arial"/>
      <w:i/>
      <w:iCs/>
      <w:sz w:val="22"/>
      <w:szCs w:val="22"/>
    </w:rPr>
  </w:style>
  <w:style w:type="character" w:styleId="862" w:customStyle="1">
    <w:name w:val="标题 9 字符1"/>
    <w:basedOn w:val="792"/>
    <w:link w:val="791"/>
    <w:uiPriority w:val="9"/>
    <w:qFormat/>
    <w:rPr>
      <w:rFonts w:ascii="Arial" w:hAnsi="Arial" w:eastAsia="Arial" w:cs="Arial"/>
      <w:i/>
      <w:iCs/>
      <w:sz w:val="21"/>
      <w:szCs w:val="21"/>
    </w:rPr>
  </w:style>
  <w:style w:type="table" w:styleId="863"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79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79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清单表 7 彩色1"/>
    <w:basedOn w:val="79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2" w:customStyle="1">
    <w:name w:val="TOC 标题1"/>
    <w:uiPriority w:val="39"/>
    <w:unhideWhenUsed/>
    <w:qFormat/>
    <w:rPr>
      <w:rFonts w:hint="default" w:ascii="Times New Roman" w:hAnsi="Times New Roman" w:eastAsia="宋体" w:cs="Times New Roman"/>
      <w:lang w:val="en-US" w:eastAsia="zh-CN" w:bidi="ar-SA"/>
    </w:rPr>
  </w:style>
  <w:style w:type="character" w:styleId="883" w:customStyle="1">
    <w:name w:val="批注文字 字符"/>
    <w:basedOn w:val="792"/>
    <w:link w:val="797"/>
    <w:uiPriority w:val="99"/>
    <w:qFormat/>
    <w:rPr>
      <w:sz w:val="21"/>
      <w:szCs w:val="24"/>
    </w:rPr>
  </w:style>
  <w:style w:type="character" w:styleId="884" w:customStyle="1">
    <w:name w:val="正文文本 字符"/>
    <w:basedOn w:val="792"/>
    <w:link w:val="798"/>
    <w:uiPriority w:val="99"/>
    <w:qFormat/>
    <w:rPr>
      <w:rFonts w:ascii="楷体" w:hAnsi="Arial" w:eastAsia="楷体"/>
      <w:sz w:val="28"/>
      <w:szCs w:val="28"/>
    </w:rPr>
  </w:style>
  <w:style w:type="character" w:styleId="885" w:customStyle="1">
    <w:name w:val="正文文本缩进 字符"/>
    <w:basedOn w:val="792"/>
    <w:link w:val="799"/>
    <w:uiPriority w:val="0"/>
    <w:qFormat/>
    <w:rPr>
      <w:rFonts w:ascii="楷体_GB2312" w:eastAsia="楷体_GB2312"/>
      <w:sz w:val="32"/>
      <w:szCs w:val="32"/>
    </w:rPr>
  </w:style>
  <w:style w:type="character" w:styleId="886" w:customStyle="1">
    <w:name w:val="目录 3 字符"/>
    <w:link w:val="802"/>
    <w:uiPriority w:val="39"/>
    <w:qFormat/>
    <w:rPr>
      <w:sz w:val="21"/>
      <w:szCs w:val="24"/>
    </w:rPr>
  </w:style>
  <w:style w:type="character" w:styleId="887" w:customStyle="1">
    <w:name w:val="纯文本 字符"/>
    <w:basedOn w:val="792"/>
    <w:link w:val="803"/>
    <w:uiPriority w:val="0"/>
    <w:qFormat/>
    <w:rPr>
      <w:rFonts w:ascii="宋体" w:hAnsi="Courier New" w:eastAsia="楷体"/>
      <w:sz w:val="28"/>
    </w:rPr>
  </w:style>
  <w:style w:type="character" w:styleId="888" w:customStyle="1">
    <w:name w:val="尾注文本 字符"/>
    <w:link w:val="805"/>
    <w:uiPriority w:val="99"/>
    <w:qFormat/>
    <w:rPr>
      <w:sz w:val="20"/>
    </w:rPr>
  </w:style>
  <w:style w:type="character" w:styleId="889" w:customStyle="1">
    <w:name w:val="批注框文本 字符"/>
    <w:basedOn w:val="792"/>
    <w:link w:val="806"/>
    <w:uiPriority w:val="99"/>
    <w:qFormat/>
    <w:rPr>
      <w:rFonts w:ascii="Times New Roman" w:hAnsi="Times New Roman"/>
      <w:sz w:val="18"/>
      <w:szCs w:val="18"/>
    </w:rPr>
  </w:style>
  <w:style w:type="character" w:styleId="890" w:customStyle="1">
    <w:name w:val="页脚 字符1"/>
    <w:basedOn w:val="792"/>
    <w:link w:val="807"/>
    <w:uiPriority w:val="0"/>
    <w:qFormat/>
    <w:rPr>
      <w:sz w:val="18"/>
      <w:szCs w:val="18"/>
    </w:rPr>
  </w:style>
  <w:style w:type="character" w:styleId="891" w:customStyle="1">
    <w:name w:val="页眉 字符1"/>
    <w:basedOn w:val="792"/>
    <w:link w:val="809"/>
    <w:uiPriority w:val="0"/>
    <w:qFormat/>
    <w:rPr>
      <w:sz w:val="18"/>
      <w:szCs w:val="18"/>
    </w:rPr>
  </w:style>
  <w:style w:type="character" w:styleId="892" w:customStyle="1">
    <w:name w:val="副标题 字符"/>
    <w:link w:val="812"/>
    <w:uiPriority w:val="11"/>
    <w:qFormat/>
    <w:rPr>
      <w:sz w:val="24"/>
      <w:szCs w:val="24"/>
    </w:rPr>
  </w:style>
  <w:style w:type="character" w:styleId="893" w:customStyle="1">
    <w:name w:val="脚注文本 字符"/>
    <w:link w:val="813"/>
    <w:uiPriority w:val="99"/>
    <w:qFormat/>
    <w:rPr>
      <w:sz w:val="18"/>
    </w:rPr>
  </w:style>
  <w:style w:type="character" w:styleId="894" w:customStyle="1">
    <w:name w:val="正文文本缩进 3 字符"/>
    <w:basedOn w:val="792"/>
    <w:link w:val="815"/>
    <w:uiPriority w:val="0"/>
    <w:qFormat/>
    <w:rPr>
      <w:rFonts w:ascii="Arial" w:hAnsi="Arial" w:eastAsia="仿宋" w:cs="Arial"/>
      <w:color w:val="ffff00"/>
      <w:sz w:val="32"/>
      <w:szCs w:val="32"/>
    </w:rPr>
  </w:style>
  <w:style w:type="character" w:styleId="895" w:customStyle="1">
    <w:name w:val="HTML 预设格式 字符"/>
    <w:basedOn w:val="792"/>
    <w:link w:val="821"/>
    <w:uiPriority w:val="0"/>
    <w:qFormat/>
    <w:rPr>
      <w:rFonts w:ascii="宋体" w:hAnsi="宋体"/>
      <w:sz w:val="24"/>
      <w:szCs w:val="24"/>
    </w:rPr>
  </w:style>
  <w:style w:type="character" w:styleId="896" w:customStyle="1">
    <w:name w:val="标题 字符"/>
    <w:link w:val="823"/>
    <w:uiPriority w:val="10"/>
    <w:qFormat/>
    <w:rPr>
      <w:sz w:val="48"/>
      <w:szCs w:val="48"/>
    </w:rPr>
  </w:style>
  <w:style w:type="character" w:styleId="897" w:customStyle="1">
    <w:name w:val="批注主题 字符"/>
    <w:basedOn w:val="883"/>
    <w:link w:val="824"/>
    <w:uiPriority w:val="0"/>
    <w:qFormat/>
    <w:rPr>
      <w:rFonts w:ascii="Calibri" w:hAnsi="Calibri" w:cs="Calibri"/>
      <w:b/>
      <w:bCs/>
      <w:sz w:val="21"/>
      <w:szCs w:val="21"/>
    </w:rPr>
  </w:style>
  <w:style w:type="character" w:styleId="898" w:customStyle="1">
    <w:name w:val="正文首行缩进 字符"/>
    <w:basedOn w:val="884"/>
    <w:link w:val="825"/>
    <w:uiPriority w:val="99"/>
    <w:qFormat/>
    <w:rPr>
      <w:rFonts w:ascii="楷体" w:hAnsi="Arial" w:eastAsia="楷体"/>
      <w:sz w:val="21"/>
      <w:szCs w:val="24"/>
    </w:rPr>
  </w:style>
  <w:style w:type="character" w:styleId="899" w:customStyle="1">
    <w:name w:val="正文首行缩进 2 字符"/>
    <w:basedOn w:val="885"/>
    <w:link w:val="826"/>
    <w:uiPriority w:val="0"/>
    <w:qFormat/>
    <w:rPr>
      <w:rFonts w:ascii="宋体" w:hAnsi="宋体" w:eastAsia="楷体_GB2312"/>
      <w:sz w:val="21"/>
      <w:szCs w:val="32"/>
    </w:rPr>
  </w:style>
  <w:style w:type="paragraph" w:styleId="900" w:customStyle="1">
    <w:name w:val="标题 11"/>
    <w:basedOn w:val="782"/>
    <w:next w:val="782"/>
    <w:link w:val="901"/>
    <w:uiPriority w:val="9"/>
    <w:qFormat/>
    <w:pPr>
      <w:keepLines/>
      <w:keepNext/>
      <w:spacing w:before="340" w:after="330" w:line="578" w:lineRule="auto"/>
      <w:outlineLvl w:val="0"/>
    </w:pPr>
    <w:rPr>
      <w:b/>
      <w:bCs/>
      <w:sz w:val="44"/>
      <w:szCs w:val="44"/>
    </w:rPr>
  </w:style>
  <w:style w:type="character" w:styleId="901" w:customStyle="1">
    <w:name w:val="标题 1 Char"/>
    <w:basedOn w:val="792"/>
    <w:link w:val="900"/>
    <w:uiPriority w:val="9"/>
    <w:qFormat/>
    <w:rPr>
      <w:rFonts w:ascii="Times New Roman" w:hAnsi="Times New Roman"/>
      <w:b/>
      <w:bCs/>
      <w:sz w:val="44"/>
      <w:szCs w:val="44"/>
    </w:rPr>
  </w:style>
  <w:style w:type="paragraph" w:styleId="902" w:customStyle="1">
    <w:name w:val="标题 21"/>
    <w:basedOn w:val="782"/>
    <w:next w:val="782"/>
    <w:link w:val="903"/>
    <w:uiPriority w:val="9"/>
    <w:unhideWhenUsed/>
    <w:qFormat/>
    <w:pPr>
      <w:ind w:firstLine="200"/>
      <w:keepLines/>
      <w:keepNext/>
      <w:spacing w:line="300" w:lineRule="auto"/>
      <w:outlineLvl w:val="1"/>
    </w:pPr>
    <w:rPr>
      <w:rFonts w:ascii="Calibri" w:hAnsi="Calibri"/>
      <w:b/>
      <w:bCs/>
      <w:szCs w:val="32"/>
    </w:rPr>
  </w:style>
  <w:style w:type="character" w:styleId="903" w:customStyle="1">
    <w:name w:val="Heading 2 Char"/>
    <w:basedOn w:val="792"/>
    <w:link w:val="902"/>
    <w:uiPriority w:val="9"/>
    <w:qFormat/>
    <w:rPr>
      <w:rFonts w:ascii="Calibri" w:hAnsi="Calibri"/>
      <w:b/>
      <w:bCs/>
      <w:sz w:val="21"/>
      <w:szCs w:val="32"/>
    </w:rPr>
  </w:style>
  <w:style w:type="paragraph" w:styleId="904" w:customStyle="1">
    <w:name w:val="标题 31"/>
    <w:basedOn w:val="782"/>
    <w:next w:val="782"/>
    <w:link w:val="905"/>
    <w:uiPriority w:val="9"/>
    <w:unhideWhenUsed/>
    <w:qFormat/>
    <w:pPr>
      <w:ind w:firstLine="200"/>
      <w:spacing w:line="300" w:lineRule="auto"/>
      <w:widowControl/>
      <w:outlineLvl w:val="2"/>
    </w:pPr>
    <w:rPr>
      <w:rFonts w:ascii="Calibri" w:hAnsi="Calibri"/>
      <w:b/>
      <w:szCs w:val="20"/>
    </w:rPr>
  </w:style>
  <w:style w:type="character" w:styleId="905" w:customStyle="1">
    <w:name w:val="Heading 3 Char"/>
    <w:basedOn w:val="792"/>
    <w:link w:val="904"/>
    <w:uiPriority w:val="9"/>
    <w:qFormat/>
    <w:rPr>
      <w:rFonts w:ascii="Calibri" w:hAnsi="Calibri"/>
      <w:b/>
      <w:sz w:val="21"/>
    </w:rPr>
  </w:style>
  <w:style w:type="paragraph" w:styleId="906" w:customStyle="1">
    <w:name w:val="页脚1"/>
    <w:basedOn w:val="782"/>
    <w:link w:val="907"/>
    <w:uiPriority w:val="99"/>
    <w:qFormat/>
    <w:pPr>
      <w:jc w:val="left"/>
      <w:tabs>
        <w:tab w:val="center" w:pos="4153" w:leader="none"/>
        <w:tab w:val="right" w:pos="8306" w:leader="none"/>
      </w:tabs>
    </w:pPr>
    <w:rPr>
      <w:sz w:val="18"/>
      <w:szCs w:val="18"/>
    </w:rPr>
  </w:style>
  <w:style w:type="character" w:styleId="907" w:customStyle="1">
    <w:name w:val="页脚 Char"/>
    <w:basedOn w:val="792"/>
    <w:link w:val="906"/>
    <w:uiPriority w:val="99"/>
    <w:qFormat/>
    <w:rPr>
      <w:rFonts w:ascii="Times New Roman" w:hAnsi="Times New Roman"/>
      <w:sz w:val="18"/>
      <w:szCs w:val="18"/>
    </w:rPr>
  </w:style>
  <w:style w:type="paragraph" w:styleId="908" w:customStyle="1">
    <w:name w:val="页眉1"/>
    <w:basedOn w:val="782"/>
    <w:link w:val="909"/>
    <w:uiPriority w:val="99"/>
    <w:qFormat/>
    <w:pPr>
      <w:jc w:val="center"/>
      <w:tabs>
        <w:tab w:val="center" w:pos="4153" w:leader="none"/>
        <w:tab w:val="right" w:pos="8306" w:leader="none"/>
      </w:tabs>
      <w:pBdr>
        <w:bottom w:val="single" w:color="auto" w:sz="6" w:space="1"/>
      </w:pBdr>
    </w:pPr>
    <w:rPr>
      <w:sz w:val="18"/>
      <w:szCs w:val="18"/>
    </w:rPr>
  </w:style>
  <w:style w:type="character" w:styleId="909" w:customStyle="1">
    <w:name w:val="页眉 Char"/>
    <w:basedOn w:val="792"/>
    <w:link w:val="908"/>
    <w:uiPriority w:val="99"/>
    <w:qFormat/>
    <w:rPr>
      <w:rFonts w:ascii="Times New Roman" w:hAnsi="Times New Roman"/>
      <w:sz w:val="18"/>
      <w:szCs w:val="18"/>
    </w:rPr>
  </w:style>
  <w:style w:type="character" w:styleId="910" w:customStyle="1">
    <w:name w:val="Heading 1 Char"/>
    <w:basedOn w:val="792"/>
    <w:uiPriority w:val="9"/>
    <w:qFormat/>
    <w:rPr>
      <w:rFonts w:ascii="Arial" w:hAnsi="Arial" w:eastAsia="Arial" w:cs="Arial"/>
      <w:sz w:val="40"/>
      <w:szCs w:val="40"/>
    </w:rPr>
  </w:style>
  <w:style w:type="character" w:styleId="911" w:customStyle="1">
    <w:name w:val="Title Char"/>
    <w:basedOn w:val="792"/>
    <w:uiPriority w:val="10"/>
    <w:qFormat/>
    <w:rPr>
      <w:sz w:val="48"/>
      <w:szCs w:val="48"/>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792"/>
    <w:uiPriority w:val="99"/>
    <w:qFormat/>
  </w:style>
  <w:style w:type="character" w:styleId="915" w:customStyle="1">
    <w:name w:val="Footer Char"/>
    <w:basedOn w:val="792"/>
    <w:uiPriority w:val="99"/>
    <w:qFormat/>
  </w:style>
  <w:style w:type="paragraph" w:styleId="916" w:customStyle="1">
    <w:name w:val="TOC 标题1122"/>
    <w:uiPriority w:val="39"/>
    <w:unhideWhenUsed/>
    <w:qFormat/>
    <w:rPr>
      <w:rFonts w:hint="default" w:ascii="Times New Roman" w:hAnsi="Times New Roman" w:eastAsia="宋体" w:cs="Times New Roman"/>
      <w:lang w:val="en-US" w:eastAsia="zh-CN" w:bidi="ar-SA"/>
    </w:rPr>
  </w:style>
  <w:style w:type="paragraph" w:styleId="917" w:customStyle="1">
    <w:name w:val="表格正文"/>
    <w:basedOn w:val="782"/>
    <w:next w:val="782"/>
    <w:uiPriority w:val="0"/>
    <w:qFormat/>
    <w:pPr>
      <w:jc w:val="left"/>
      <w:spacing w:line="440" w:lineRule="exact"/>
    </w:pPr>
    <w:rPr>
      <w:szCs w:val="21"/>
    </w:rPr>
  </w:style>
  <w:style w:type="table" w:styleId="91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0" w:customStyle="1">
    <w:name w:val="标题 71"/>
    <w:basedOn w:val="782"/>
    <w:next w:val="782"/>
    <w:link w:val="921"/>
    <w:uiPriority w:val="9"/>
    <w:qFormat/>
    <w:pPr>
      <w:keepLines/>
      <w:keepNext/>
      <w:spacing w:before="320" w:after="200"/>
      <w:outlineLvl w:val="6"/>
    </w:pPr>
    <w:rPr>
      <w:rFonts w:ascii="Arial" w:hAnsi="Arial" w:eastAsia="Arial" w:cs="Arial"/>
      <w:b/>
      <w:bCs/>
      <w:i/>
      <w:iCs/>
      <w:sz w:val="22"/>
      <w:szCs w:val="22"/>
    </w:rPr>
  </w:style>
  <w:style w:type="character" w:styleId="921" w:customStyle="1">
    <w:name w:val="Heading 7 Char_243c9c46-6bad-48b0-9f85-4983fd8b207a"/>
    <w:link w:val="920"/>
    <w:uiPriority w:val="9"/>
    <w:qFormat/>
    <w:rPr>
      <w:rFonts w:ascii="Arial" w:hAnsi="Arial" w:eastAsia="Arial" w:cs="Arial"/>
      <w:b/>
      <w:bCs/>
      <w:i/>
      <w:iCs/>
      <w:sz w:val="22"/>
      <w:szCs w:val="22"/>
    </w:rPr>
  </w:style>
  <w:style w:type="paragraph" w:styleId="922" w:customStyle="1">
    <w:name w:val="正文文本缩进12"/>
    <w:basedOn w:val="782"/>
    <w:next w:val="923"/>
    <w:uiPriority w:val="0"/>
    <w:qFormat/>
    <w:pPr>
      <w:ind w:firstLine="645"/>
    </w:pPr>
    <w:rPr>
      <w:rFonts w:ascii="楷体" w:eastAsia="楷体"/>
      <w:sz w:val="32"/>
      <w:szCs w:val="32"/>
    </w:rPr>
  </w:style>
  <w:style w:type="paragraph" w:styleId="923" w:customStyle="1">
    <w:name w:val="寄信人地址11"/>
    <w:basedOn w:val="782"/>
    <w:uiPriority w:val="0"/>
    <w:qFormat/>
    <w:pPr>
      <w:ind w:firstLine="420"/>
      <w:jc w:val="left"/>
      <w:spacing w:line="360" w:lineRule="auto"/>
    </w:pPr>
    <w:rPr>
      <w:rFonts w:ascii="Arial" w:hAnsi="Arial" w:cs="宋体"/>
      <w:color w:val="000000"/>
      <w:sz w:val="22"/>
      <w:szCs w:val="21"/>
    </w:rPr>
  </w:style>
  <w:style w:type="paragraph" w:styleId="924" w:customStyle="1">
    <w:name w:val="pa-4"/>
    <w:basedOn w:val="782"/>
    <w:uiPriority w:val="0"/>
    <w:qFormat/>
    <w:pPr>
      <w:jc w:val="left"/>
      <w:spacing w:before="150" w:after="150"/>
      <w:widowControl/>
    </w:pPr>
    <w:rPr>
      <w:rFonts w:ascii="宋体" w:hAnsi="宋体" w:cs="宋体"/>
      <w:color w:val="000000"/>
      <w:sz w:val="24"/>
    </w:rPr>
  </w:style>
  <w:style w:type="table" w:styleId="92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7">
    <w:name w:val="No Spacing"/>
    <w:uiPriority w:val="1"/>
    <w:qFormat/>
    <w:rPr>
      <w:rFonts w:hint="default" w:ascii="Calibri" w:hAnsi="Calibri" w:eastAsia="宋体" w:cs="Times New Roman"/>
      <w:sz w:val="21"/>
      <w:szCs w:val="22"/>
      <w:lang w:val="en-US" w:eastAsia="zh-CN" w:bidi="ar-SA"/>
    </w:rPr>
  </w:style>
  <w:style w:type="table" w:styleId="92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29" w:customStyle="1">
    <w:name w:val="标题 411"/>
    <w:basedOn w:val="782"/>
    <w:next w:val="930"/>
    <w:uiPriority w:val="0"/>
    <w:qFormat/>
    <w:pPr>
      <w:keepLines/>
      <w:keepNext/>
      <w:spacing w:before="280" w:after="290" w:line="376" w:lineRule="auto"/>
      <w:outlineLvl w:val="3"/>
    </w:pPr>
    <w:rPr>
      <w:rFonts w:ascii="Arial" w:hAnsi="Arial" w:eastAsia="黑体"/>
      <w:b/>
      <w:bCs/>
      <w:sz w:val="28"/>
      <w:szCs w:val="28"/>
    </w:rPr>
  </w:style>
  <w:style w:type="paragraph" w:styleId="930" w:customStyle="1">
    <w:name w:val="正文缩进11"/>
    <w:basedOn w:val="782"/>
    <w:uiPriority w:val="0"/>
    <w:qFormat/>
    <w:pPr>
      <w:ind w:firstLine="420"/>
    </w:pPr>
    <w:rPr>
      <w:szCs w:val="20"/>
    </w:rPr>
  </w:style>
  <w:style w:type="table" w:styleId="93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4" w:customStyle="1">
    <w:name w:val="Subtitle Char"/>
    <w:basedOn w:val="792"/>
    <w:uiPriority w:val="11"/>
    <w:qFormat/>
    <w:rPr>
      <w:sz w:val="24"/>
      <w:szCs w:val="24"/>
    </w:rPr>
  </w:style>
  <w:style w:type="paragraph" w:styleId="935" w:customStyle="1">
    <w:name w:val="页脚11"/>
    <w:basedOn w:val="782"/>
    <w:uiPriority w:val="0"/>
    <w:qFormat/>
    <w:pPr>
      <w:jc w:val="left"/>
      <w:tabs>
        <w:tab w:val="center" w:pos="4153" w:leader="none"/>
        <w:tab w:val="right" w:pos="8306" w:leader="none"/>
      </w:tabs>
    </w:pPr>
    <w:rPr>
      <w:sz w:val="18"/>
      <w:szCs w:val="20"/>
    </w:rPr>
  </w:style>
  <w:style w:type="table" w:styleId="93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39" w:customStyle="1">
    <w:name w:val="4"/>
    <w:basedOn w:val="782"/>
    <w:next w:val="815"/>
    <w:uiPriority w:val="99"/>
    <w:qFormat/>
    <w:pPr>
      <w:ind w:firstLine="480"/>
      <w:spacing w:line="360" w:lineRule="auto"/>
    </w:pPr>
    <w:rPr>
      <w:rFonts w:eastAsia="微软雅黑"/>
      <w:b/>
      <w:color w:val="ff0000"/>
      <w:sz w:val="24"/>
    </w:rPr>
  </w:style>
  <w:style w:type="table" w:styleId="94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1" w:customStyle="1">
    <w:name w:val="标题 111"/>
    <w:basedOn w:val="782"/>
    <w:next w:val="782"/>
    <w:uiPriority w:val="0"/>
    <w:qFormat/>
    <w:pPr>
      <w:keepNext/>
      <w:outlineLvl w:val="0"/>
    </w:pPr>
    <w:rPr>
      <w:rFonts w:ascii="楷体" w:eastAsia="楷体"/>
      <w:sz w:val="28"/>
      <w:szCs w:val="20"/>
    </w:rPr>
  </w:style>
  <w:style w:type="table" w:styleId="9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4" w:customStyle="1">
    <w:name w:val="标题 1121"/>
    <w:basedOn w:val="782"/>
    <w:next w:val="782"/>
    <w:uiPriority w:val="0"/>
    <w:qFormat/>
    <w:pPr>
      <w:jc w:val="center"/>
      <w:keepNext/>
      <w:outlineLvl w:val="0"/>
    </w:pPr>
    <w:rPr>
      <w:rFonts w:ascii="楷体" w:eastAsia="楷体"/>
      <w:sz w:val="28"/>
      <w:szCs w:val="28"/>
    </w:rPr>
  </w:style>
  <w:style w:type="character" w:styleId="945" w:customStyle="1">
    <w:name w:val="Heading 8 Char_bb4c8d23-d699-441a-bd29-a0db28661282"/>
    <w:link w:val="946"/>
    <w:uiPriority w:val="9"/>
    <w:qFormat/>
    <w:rPr>
      <w:rFonts w:ascii="Arial" w:hAnsi="Arial" w:eastAsia="Arial" w:cs="Arial"/>
      <w:i/>
      <w:iCs/>
      <w:sz w:val="22"/>
      <w:szCs w:val="22"/>
    </w:rPr>
  </w:style>
  <w:style w:type="paragraph" w:styleId="946" w:customStyle="1">
    <w:name w:val="标题 81"/>
    <w:basedOn w:val="782"/>
    <w:next w:val="782"/>
    <w:link w:val="945"/>
    <w:uiPriority w:val="9"/>
    <w:qFormat/>
    <w:pPr>
      <w:keepLines/>
      <w:keepNext/>
      <w:spacing w:before="320" w:after="200"/>
      <w:outlineLvl w:val="7"/>
    </w:pPr>
    <w:rPr>
      <w:rFonts w:ascii="Arial" w:hAnsi="Arial" w:eastAsia="Arial" w:cs="Arial"/>
      <w:i/>
      <w:iCs/>
      <w:sz w:val="22"/>
      <w:szCs w:val="22"/>
    </w:rPr>
  </w:style>
  <w:style w:type="table" w:styleId="9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1" w:customStyle="1">
    <w:name w:val="Body text|2"/>
    <w:basedOn w:val="782"/>
    <w:uiPriority w:val="0"/>
    <w:qFormat/>
    <w:pPr>
      <w:spacing w:after="580"/>
    </w:pPr>
    <w:rPr>
      <w:rFonts w:ascii="宋体" w:hAnsi="宋体" w:cs="宋体"/>
      <w:sz w:val="28"/>
      <w:szCs w:val="28"/>
      <w:lang w:val="zh-TW" w:eastAsia="zh-TW" w:bidi="zh-TW"/>
    </w:rPr>
  </w:style>
  <w:style w:type="table" w:styleId="95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3" w:customStyle="1">
    <w:name w:val="正文首行缩进 211"/>
    <w:basedOn w:val="954"/>
    <w:uiPriority w:val="0"/>
    <w:qFormat/>
    <w:pPr>
      <w:ind w:firstLine="420"/>
    </w:pPr>
  </w:style>
  <w:style w:type="paragraph" w:styleId="954" w:customStyle="1">
    <w:name w:val="正文文本缩进11"/>
    <w:basedOn w:val="782"/>
    <w:next w:val="955"/>
    <w:uiPriority w:val="0"/>
    <w:qFormat/>
    <w:pPr>
      <w:ind w:left="420"/>
      <w:spacing w:after="120"/>
    </w:pPr>
  </w:style>
  <w:style w:type="paragraph" w:styleId="955" w:customStyle="1">
    <w:name w:val="寄信人地址1"/>
    <w:basedOn w:val="782"/>
    <w:uiPriority w:val="0"/>
    <w:qFormat/>
    <w:rPr>
      <w:rFonts w:ascii="Arial" w:hAnsi="Arial"/>
    </w:rPr>
  </w:style>
  <w:style w:type="character" w:styleId="956" w:customStyle="1">
    <w:name w:val="页码11"/>
    <w:uiPriority w:val="0"/>
    <w:qFormat/>
  </w:style>
  <w:style w:type="table" w:styleId="9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59" w:customStyle="1">
    <w:name w:val="NormalCharacter"/>
    <w:uiPriority w:val="99"/>
    <w:qFormat/>
    <w:rPr>
      <w:rFonts w:ascii="Calibri" w:hAnsi="Calibri" w:eastAsia="宋体"/>
    </w:rPr>
  </w:style>
  <w:style w:type="character" w:styleId="960" w:customStyle="1">
    <w:name w:val="标题 2 Char"/>
    <w:link w:val="961"/>
    <w:uiPriority w:val="0"/>
    <w:qFormat/>
    <w:rPr>
      <w:rFonts w:ascii="Arial" w:hAnsi="Arial" w:eastAsia="宋体"/>
      <w:b/>
      <w:sz w:val="44"/>
      <w:szCs w:val="20"/>
    </w:rPr>
  </w:style>
  <w:style w:type="paragraph" w:styleId="961" w:customStyle="1">
    <w:name w:val="标题 211"/>
    <w:basedOn w:val="782"/>
    <w:next w:val="782"/>
    <w:link w:val="960"/>
    <w:uiPriority w:val="0"/>
    <w:qFormat/>
    <w:pPr>
      <w:jc w:val="center"/>
      <w:keepLines/>
      <w:keepNext/>
      <w:spacing w:before="260" w:after="260" w:line="416" w:lineRule="auto"/>
      <w:outlineLvl w:val="1"/>
    </w:pPr>
    <w:rPr>
      <w:rFonts w:ascii="Arial" w:hAnsi="Arial"/>
      <w:b/>
      <w:sz w:val="44"/>
      <w:szCs w:val="20"/>
    </w:rPr>
  </w:style>
  <w:style w:type="paragraph" w:styleId="962" w:customStyle="1">
    <w:name w:val="正文缩进1"/>
    <w:basedOn w:val="782"/>
    <w:uiPriority w:val="0"/>
    <w:qFormat/>
    <w:pPr>
      <w:ind w:firstLine="420"/>
    </w:pPr>
  </w:style>
  <w:style w:type="paragraph" w:styleId="963" w:customStyle="1">
    <w:name w:val="WPSOffice手动目录 1"/>
    <w:uiPriority w:val="0"/>
    <w:qFormat/>
    <w:rPr>
      <w:rFonts w:hint="default" w:ascii="Times New Roman" w:hAnsi="Times New Roman" w:eastAsia="宋体" w:cs="Times New Roman"/>
      <w:lang w:val="en-US" w:eastAsia="zh-CN" w:bidi="ar-SA"/>
    </w:rPr>
  </w:style>
  <w:style w:type="table" w:styleId="96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5" w:customStyle="1">
    <w:name w:val="标题 41"/>
    <w:basedOn w:val="782"/>
    <w:next w:val="782"/>
    <w:link w:val="966"/>
    <w:uiPriority w:val="9"/>
    <w:qFormat/>
    <w:pPr>
      <w:keepLines/>
      <w:keepNext/>
      <w:spacing w:before="320" w:after="200"/>
      <w:outlineLvl w:val="3"/>
    </w:pPr>
    <w:rPr>
      <w:rFonts w:ascii="Arial" w:hAnsi="Arial" w:eastAsia="Arial" w:cs="Arial"/>
      <w:b/>
      <w:bCs/>
      <w:sz w:val="26"/>
      <w:szCs w:val="26"/>
    </w:rPr>
  </w:style>
  <w:style w:type="character" w:styleId="966" w:customStyle="1">
    <w:name w:val="Heading 4 Char_c31a3291-bfa4-4d7b-9792-7b59c18d4e2b"/>
    <w:link w:val="965"/>
    <w:uiPriority w:val="9"/>
    <w:qFormat/>
    <w:rPr>
      <w:rFonts w:ascii="Arial" w:hAnsi="Arial" w:eastAsia="Arial" w:cs="Arial"/>
      <w:b/>
      <w:bCs/>
      <w:sz w:val="26"/>
      <w:szCs w:val="26"/>
    </w:rPr>
  </w:style>
  <w:style w:type="table" w:styleId="9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68" w:customStyle="1">
    <w:name w:val="Heading 11"/>
    <w:basedOn w:val="782"/>
    <w:next w:val="782"/>
    <w:link w:val="969"/>
    <w:uiPriority w:val="9"/>
    <w:qFormat/>
    <w:pPr>
      <w:keepLines/>
      <w:keepNext/>
      <w:spacing w:before="480" w:after="200"/>
      <w:outlineLvl w:val="0"/>
    </w:pPr>
    <w:rPr>
      <w:rFonts w:ascii="Arial" w:hAnsi="Arial" w:eastAsia="Arial" w:cs="Arial"/>
      <w:sz w:val="40"/>
      <w:szCs w:val="40"/>
    </w:rPr>
  </w:style>
  <w:style w:type="character" w:styleId="969" w:customStyle="1">
    <w:name w:val="Heading 1 Char_d4af410d-dfd8-408c-bcbd-0b5a38582c10"/>
    <w:link w:val="968"/>
    <w:uiPriority w:val="9"/>
    <w:qFormat/>
    <w:rPr>
      <w:rFonts w:ascii="Arial" w:hAnsi="Arial" w:eastAsia="Arial" w:cs="Arial"/>
      <w:sz w:val="40"/>
      <w:szCs w:val="40"/>
    </w:rPr>
  </w:style>
  <w:style w:type="table" w:styleId="9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1" w:customStyle="1">
    <w:name w:val="纯文本11"/>
    <w:basedOn w:val="782"/>
    <w:uiPriority w:val="99"/>
    <w:qFormat/>
    <w:rPr>
      <w:rFonts w:ascii="宋体" w:hAnsi="Courier New"/>
      <w:szCs w:val="20"/>
    </w:r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3" w:customStyle="1">
    <w:name w:val="普通正文"/>
    <w:basedOn w:val="782"/>
    <w:link w:val="974"/>
    <w:uiPriority w:val="0"/>
    <w:qFormat/>
    <w:pPr>
      <w:ind w:firstLine="480"/>
      <w:jc w:val="left"/>
      <w:spacing w:before="120" w:after="120" w:line="360" w:lineRule="auto"/>
    </w:pPr>
    <w:rPr>
      <w:rFonts w:ascii="Arial" w:hAnsi="Arial"/>
      <w:sz w:val="24"/>
    </w:rPr>
  </w:style>
  <w:style w:type="character" w:styleId="974" w:customStyle="1">
    <w:name w:val="普通正文 Char"/>
    <w:link w:val="973"/>
    <w:uiPriority w:val="0"/>
    <w:qFormat/>
    <w:rPr>
      <w:rFonts w:ascii="Arial" w:hAnsi="Arial"/>
      <w:sz w:val="24"/>
      <w:szCs w:val="24"/>
    </w:rPr>
  </w:style>
  <w:style w:type="character" w:styleId="975" w:customStyle="1">
    <w:name w:val="Heading 3 Char_b44b1981-d08e-43d8-9445-f3a845f9238f"/>
    <w:link w:val="976"/>
    <w:uiPriority w:val="9"/>
    <w:qFormat/>
    <w:rPr>
      <w:rFonts w:ascii="Arial" w:hAnsi="Arial" w:eastAsia="Arial" w:cs="Arial"/>
      <w:sz w:val="30"/>
      <w:szCs w:val="30"/>
    </w:rPr>
  </w:style>
  <w:style w:type="paragraph" w:styleId="976" w:customStyle="1">
    <w:name w:val="Heading 31"/>
    <w:basedOn w:val="782"/>
    <w:next w:val="782"/>
    <w:link w:val="975"/>
    <w:uiPriority w:val="9"/>
    <w:qFormat/>
    <w:pPr>
      <w:keepLines/>
      <w:keepNext/>
      <w:spacing w:before="320" w:after="200"/>
      <w:outlineLvl w:val="2"/>
    </w:pPr>
    <w:rPr>
      <w:rFonts w:ascii="Arial" w:hAnsi="Arial" w:eastAsia="Arial" w:cs="Arial"/>
      <w:sz w:val="30"/>
      <w:szCs w:val="30"/>
    </w:rPr>
  </w:style>
  <w:style w:type="table" w:styleId="97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78" w:customStyle="1">
    <w:name w:val="font21"/>
    <w:basedOn w:val="792"/>
    <w:uiPriority w:val="0"/>
    <w:qFormat/>
    <w:rPr>
      <w:rFonts w:hint="default" w:ascii="Times New Roman" w:hAnsi="Times New Roman" w:cs="Times New Roman"/>
      <w:color w:val="000000"/>
      <w:sz w:val="24"/>
      <w:szCs w:val="24"/>
      <w:u w:val="none"/>
    </w:rPr>
  </w:style>
  <w:style w:type="table" w:styleId="9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0" w:customStyle="1">
    <w:name w:val="TOC 标题1121"/>
    <w:uiPriority w:val="39"/>
    <w:qFormat/>
    <w:rPr>
      <w:rFonts w:hint="default" w:ascii="Times New Roman" w:hAnsi="Times New Roman" w:eastAsia="宋体" w:cs="Times New Roman"/>
      <w:sz w:val="21"/>
      <w:szCs w:val="22"/>
      <w:lang w:val="en-US" w:eastAsia="zh-CN" w:bidi="ar-SA"/>
    </w:rPr>
  </w:style>
  <w:style w:type="table" w:styleId="98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4" w:customStyle="1">
    <w:name w:val="Header1"/>
    <w:basedOn w:val="782"/>
    <w:link w:val="985"/>
    <w:uiPriority w:val="99"/>
    <w:qFormat/>
    <w:pPr>
      <w:tabs>
        <w:tab w:val="center" w:pos="7143" w:leader="none"/>
        <w:tab w:val="right" w:pos="14287" w:leader="none"/>
      </w:tabs>
    </w:pPr>
  </w:style>
  <w:style w:type="character" w:styleId="985" w:customStyle="1">
    <w:name w:val="Header Char_be4f24b2-7f17-4af0-8f33-0590e26a917c"/>
    <w:link w:val="984"/>
    <w:uiPriority w:val="99"/>
    <w:qFormat/>
  </w:style>
  <w:style w:type="table" w:styleId="9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8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0" w:customStyle="1">
    <w:name w:val="Title Char_b4b369a3-c0dc-4a1c-864f-542fcbabd844"/>
    <w:basedOn w:val="792"/>
    <w:uiPriority w:val="10"/>
    <w:qFormat/>
    <w:rPr>
      <w:sz w:val="48"/>
      <w:szCs w:val="48"/>
    </w:rPr>
  </w:style>
  <w:style w:type="table" w:styleId="99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5" w:customStyle="1">
    <w:name w:val="Footer Char_9810c813-560c-4d63-9ee2-25cd38a8754c"/>
    <w:uiPriority w:val="99"/>
    <w:qFormat/>
  </w:style>
  <w:style w:type="paragraph" w:styleId="996" w:customStyle="1">
    <w:name w:val="标题 311"/>
    <w:basedOn w:val="782"/>
    <w:next w:val="782"/>
    <w:uiPriority w:val="0"/>
    <w:qFormat/>
    <w:pPr>
      <w:keepLines/>
      <w:keepNext/>
      <w:spacing w:before="260" w:after="260" w:line="416" w:lineRule="auto"/>
      <w:outlineLvl w:val="2"/>
    </w:pPr>
    <w:rPr>
      <w:b/>
      <w:sz w:val="32"/>
      <w:szCs w:val="20"/>
    </w:rPr>
  </w:style>
  <w:style w:type="table" w:styleId="9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9" w:customStyle="1">
    <w:name w:val="正文文本缩进1"/>
    <w:basedOn w:val="782"/>
    <w:uiPriority w:val="0"/>
    <w:qFormat/>
    <w:pPr>
      <w:ind w:firstLine="645"/>
    </w:pPr>
    <w:rPr>
      <w:rFonts w:ascii="楷体" w:eastAsia="楷体"/>
      <w:sz w:val="32"/>
      <w:szCs w:val="32"/>
    </w:rPr>
  </w:style>
  <w:style w:type="paragraph" w:styleId="1000" w:customStyle="1">
    <w:name w:val="样式 小四 段前: 5 磅 段后: 5 磅 首行缩进:  2 字符"/>
    <w:basedOn w:val="782"/>
    <w:uiPriority w:val="0"/>
    <w:qFormat/>
    <w:pPr>
      <w:spacing w:line="360" w:lineRule="auto"/>
    </w:pPr>
    <w:rPr>
      <w:rFonts w:ascii="宋体" w:hAnsi="宋体"/>
    </w:rPr>
  </w:style>
  <w:style w:type="paragraph" w:styleId="1001" w:customStyle="1">
    <w:name w:val="文本块1"/>
    <w:basedOn w:val="782"/>
    <w:uiPriority w:val="99"/>
    <w:qFormat/>
    <w:pPr>
      <w:ind w:left="1440" w:right="1440"/>
      <w:spacing w:after="120"/>
      <w:tabs>
        <w:tab w:val="left" w:pos="9000" w:leader="none"/>
      </w:tabs>
    </w:pPr>
  </w:style>
  <w:style w:type="table" w:styleId="10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5" w:customStyle="1">
    <w:name w:val="Table Normal"/>
    <w:uiPriority w:val="0"/>
    <w:qFormat/>
    <w:tblPr>
      <w:tblCellMar>
        <w:left w:w="0" w:type="dxa"/>
        <w:top w:w="0" w:type="dxa"/>
        <w:right w:w="0" w:type="dxa"/>
        <w:bottom w:w="0" w:type="dxa"/>
      </w:tblCellMar>
    </w:tblPr>
  </w:style>
  <w:style w:type="table" w:styleId="10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08">
    <w:name w:val="Intense Quote"/>
    <w:basedOn w:val="782"/>
    <w:next w:val="782"/>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字符"/>
    <w:link w:val="1008"/>
    <w:uiPriority w:val="30"/>
    <w:qFormat/>
    <w:rPr>
      <w:i/>
    </w:rPr>
  </w:style>
  <w:style w:type="table" w:styleId="10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1" w:customStyle="1">
    <w:name w:val="标题 2121"/>
    <w:basedOn w:val="782"/>
    <w:next w:val="962"/>
    <w:uiPriority w:val="0"/>
    <w:qFormat/>
    <w:pPr>
      <w:jc w:val="center"/>
      <w:keepLines/>
      <w:keepNext/>
      <w:spacing w:before="260" w:after="260" w:line="416" w:lineRule="auto"/>
      <w:outlineLvl w:val="1"/>
    </w:pPr>
    <w:rPr>
      <w:rFonts w:ascii="Arial" w:hAnsi="Arial" w:cs="Arial"/>
      <w:b/>
      <w:bCs/>
      <w:sz w:val="44"/>
      <w:szCs w:val="44"/>
    </w:rPr>
  </w:style>
  <w:style w:type="table" w:styleId="101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3" w:customStyle="1">
    <w:name w:val="Heading 6 Char_2290764d-6979-4590-8bd3-c121b1f1845e"/>
    <w:link w:val="1014"/>
    <w:uiPriority w:val="9"/>
    <w:qFormat/>
    <w:rPr>
      <w:rFonts w:ascii="Arial" w:hAnsi="Arial" w:eastAsia="Arial" w:cs="Arial"/>
      <w:b/>
      <w:bCs/>
      <w:sz w:val="22"/>
      <w:szCs w:val="22"/>
    </w:rPr>
  </w:style>
  <w:style w:type="paragraph" w:styleId="1014" w:customStyle="1">
    <w:name w:val="标题 61"/>
    <w:basedOn w:val="782"/>
    <w:next w:val="782"/>
    <w:link w:val="1013"/>
    <w:uiPriority w:val="9"/>
    <w:qFormat/>
    <w:pPr>
      <w:keepLines/>
      <w:keepNext/>
      <w:spacing w:before="320" w:after="200"/>
      <w:outlineLvl w:val="5"/>
    </w:pPr>
    <w:rPr>
      <w:rFonts w:ascii="Arial" w:hAnsi="Arial" w:eastAsia="Arial" w:cs="Arial"/>
      <w:b/>
      <w:bCs/>
      <w:sz w:val="22"/>
      <w:szCs w:val="22"/>
    </w:rPr>
  </w:style>
  <w:style w:type="paragraph" w:styleId="1015" w:customStyle="1">
    <w:name w:val="flName"/>
    <w:basedOn w:val="782"/>
    <w:uiPriority w:val="0"/>
    <w:qFormat/>
    <w:pPr>
      <w:jc w:val="center"/>
      <w:spacing w:before="320" w:after="160" w:line="360" w:lineRule="atLeast"/>
    </w:pPr>
    <w:rPr>
      <w:rFonts w:ascii="Arial" w:eastAsia="黑体"/>
      <w:sz w:val="32"/>
      <w:szCs w:val="20"/>
    </w:rPr>
  </w:style>
  <w:style w:type="table" w:styleId="101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18" w:customStyle="1">
    <w:name w:val="NormalCharacter1"/>
    <w:uiPriority w:val="99"/>
    <w:qFormat/>
    <w:rPr>
      <w:rFonts w:ascii="Calibri" w:hAnsi="Calibri" w:eastAsia="宋体"/>
    </w:rPr>
  </w:style>
  <w:style w:type="paragraph" w:styleId="1019" w:customStyle="1">
    <w:name w:val="pa-5"/>
    <w:basedOn w:val="782"/>
    <w:uiPriority w:val="0"/>
    <w:qFormat/>
    <w:pPr>
      <w:jc w:val="left"/>
      <w:spacing w:before="150" w:after="150"/>
      <w:widowControl/>
    </w:pPr>
    <w:rPr>
      <w:rFonts w:ascii="宋体" w:hAnsi="宋体" w:cs="宋体"/>
      <w:color w:val="000000"/>
      <w:sz w:val="24"/>
    </w:rPr>
  </w:style>
  <w:style w:type="character" w:styleId="1020" w:customStyle="1">
    <w:name w:val="Heading 2 Char_5c8af6f5-e48a-4634-bbf8-b2e5c568ca8f"/>
    <w:link w:val="1021"/>
    <w:uiPriority w:val="9"/>
    <w:qFormat/>
    <w:rPr>
      <w:rFonts w:ascii="Arial" w:hAnsi="Arial" w:eastAsia="Arial" w:cs="Arial"/>
      <w:sz w:val="34"/>
    </w:rPr>
  </w:style>
  <w:style w:type="paragraph" w:styleId="1021" w:customStyle="1">
    <w:name w:val="Heading 21"/>
    <w:basedOn w:val="782"/>
    <w:next w:val="782"/>
    <w:link w:val="1020"/>
    <w:uiPriority w:val="9"/>
    <w:qFormat/>
    <w:pPr>
      <w:keepLines/>
      <w:keepNext/>
      <w:spacing w:before="360" w:after="200"/>
      <w:outlineLvl w:val="1"/>
    </w:pPr>
    <w:rPr>
      <w:rFonts w:ascii="Arial" w:hAnsi="Arial" w:eastAsia="Arial" w:cs="Arial"/>
      <w:sz w:val="34"/>
    </w:rPr>
  </w:style>
  <w:style w:type="table" w:styleId="10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3" w:customStyle="1">
    <w:name w:val="Footnote Text Char"/>
    <w:uiPriority w:val="99"/>
    <w:qFormat/>
    <w:rPr>
      <w:sz w:val="18"/>
    </w:rPr>
  </w:style>
  <w:style w:type="paragraph" w:styleId="1024" w:customStyle="1">
    <w:name w:val="批注文字1"/>
    <w:basedOn w:val="782"/>
    <w:uiPriority w:val="0"/>
    <w:qFormat/>
    <w:pPr>
      <w:jc w:val="left"/>
    </w:pPr>
    <w:rPr>
      <w:rFonts w:ascii="Calibri" w:hAnsi="Calibri"/>
      <w:szCs w:val="22"/>
    </w:rPr>
  </w:style>
  <w:style w:type="table" w:styleId="102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6" w:customStyle="1">
    <w:name w:val="font31"/>
    <w:basedOn w:val="792"/>
    <w:uiPriority w:val="0"/>
    <w:qFormat/>
    <w:rPr>
      <w:rFonts w:hint="eastAsia" w:ascii="宋体" w:hAnsi="宋体" w:eastAsia="宋体" w:cs="宋体"/>
      <w:color w:val="000000"/>
      <w:sz w:val="19"/>
      <w:szCs w:val="19"/>
      <w:u w:val="none"/>
    </w:rPr>
  </w:style>
  <w:style w:type="table" w:styleId="10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28" w:customStyle="1">
    <w:name w:val="标题 51"/>
    <w:basedOn w:val="782"/>
    <w:next w:val="782"/>
    <w:link w:val="1029"/>
    <w:uiPriority w:val="9"/>
    <w:qFormat/>
    <w:pPr>
      <w:keepLines/>
      <w:keepNext/>
      <w:spacing w:before="320" w:after="200"/>
      <w:outlineLvl w:val="4"/>
    </w:pPr>
    <w:rPr>
      <w:rFonts w:ascii="Arial" w:hAnsi="Arial" w:eastAsia="Arial" w:cs="Arial"/>
      <w:b/>
      <w:bCs/>
      <w:sz w:val="24"/>
    </w:rPr>
  </w:style>
  <w:style w:type="character" w:styleId="1029" w:customStyle="1">
    <w:name w:val="Heading 5 Char_23cf5061-de88-43b9-8d64-289936838cdf"/>
    <w:link w:val="1028"/>
    <w:uiPriority w:val="9"/>
    <w:qFormat/>
    <w:rPr>
      <w:rFonts w:ascii="Arial" w:hAnsi="Arial" w:eastAsia="Arial" w:cs="Arial"/>
      <w:b/>
      <w:bCs/>
      <w:sz w:val="24"/>
      <w:szCs w:val="24"/>
    </w:rPr>
  </w:style>
  <w:style w:type="paragraph" w:styleId="1030" w:customStyle="1">
    <w:name w:val="页脚121"/>
    <w:basedOn w:val="782"/>
    <w:uiPriority w:val="0"/>
    <w:qFormat/>
    <w:pPr>
      <w:jc w:val="left"/>
      <w:tabs>
        <w:tab w:val="center" w:pos="4153" w:leader="none"/>
        <w:tab w:val="right" w:pos="8306" w:leader="none"/>
      </w:tabs>
    </w:pPr>
    <w:rPr>
      <w:sz w:val="18"/>
      <w:szCs w:val="18"/>
    </w:rPr>
  </w:style>
  <w:style w:type="table" w:styleId="10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2" w:customStyle="1">
    <w:name w:val="Intense Quote Char_cd88471f-87b8-480c-ab55-e1b012420c09"/>
    <w:uiPriority w:val="30"/>
    <w:qFormat/>
    <w:rPr>
      <w:i/>
    </w:rPr>
  </w:style>
  <w:style w:type="table" w:styleId="103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5" w:customStyle="1">
    <w:name w:val="目录 11"/>
    <w:basedOn w:val="782"/>
    <w:next w:val="782"/>
    <w:uiPriority w:val="0"/>
    <w:qFormat/>
    <w:pPr>
      <w:jc w:val="left"/>
      <w:spacing w:before="120" w:after="120" w:line="300" w:lineRule="exact"/>
      <w:tabs>
        <w:tab w:val="right" w:pos="9440" w:leader="dot"/>
      </w:tabs>
    </w:pPr>
    <w:rPr>
      <w:rFonts w:ascii="黑体" w:eastAsia="黑体"/>
      <w:b/>
      <w:caps/>
      <w:sz w:val="18"/>
      <w:szCs w:val="28"/>
    </w:rPr>
  </w:style>
  <w:style w:type="table" w:styleId="10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1" w:customStyle="1">
    <w:name w:val="标题 91"/>
    <w:basedOn w:val="782"/>
    <w:next w:val="782"/>
    <w:link w:val="1042"/>
    <w:uiPriority w:val="9"/>
    <w:qFormat/>
    <w:pPr>
      <w:keepLines/>
      <w:keepNext/>
      <w:spacing w:before="320" w:after="200"/>
      <w:outlineLvl w:val="8"/>
    </w:pPr>
    <w:rPr>
      <w:rFonts w:ascii="Arial" w:hAnsi="Arial" w:eastAsia="Arial" w:cs="Arial"/>
      <w:i/>
      <w:iCs/>
      <w:szCs w:val="21"/>
    </w:rPr>
  </w:style>
  <w:style w:type="character" w:styleId="1042" w:customStyle="1">
    <w:name w:val="Heading 9 Char_dff5989d-488f-4bce-8721-1e40fadef25a"/>
    <w:link w:val="1041"/>
    <w:uiPriority w:val="9"/>
    <w:qFormat/>
    <w:rPr>
      <w:rFonts w:ascii="Arial" w:hAnsi="Arial" w:eastAsia="Arial" w:cs="Arial"/>
      <w:i/>
      <w:iCs/>
      <w:sz w:val="21"/>
      <w:szCs w:val="21"/>
    </w:rPr>
  </w:style>
  <w:style w:type="table" w:styleId="10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6" w:customStyle="1">
    <w:name w:val="Body text|1"/>
    <w:basedOn w:val="782"/>
    <w:uiPriority w:val="0"/>
    <w:qFormat/>
    <w:pPr>
      <w:ind w:firstLine="320"/>
      <w:spacing w:line="466" w:lineRule="auto"/>
    </w:pPr>
    <w:rPr>
      <w:rFonts w:ascii="宋体" w:hAnsi="宋体" w:cs="宋体"/>
      <w:sz w:val="20"/>
      <w:szCs w:val="20"/>
      <w:lang w:val="zh-TW" w:eastAsia="zh-TW" w:bidi="zh-TW"/>
    </w:rPr>
  </w:style>
  <w:style w:type="table" w:styleId="104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48"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49" w:customStyle="1">
    <w:name w:val="列出段落1"/>
    <w:basedOn w:val="782"/>
    <w:uiPriority w:val="34"/>
    <w:qFormat/>
    <w:pPr>
      <w:contextualSpacing/>
      <w:ind w:left="720"/>
      <w:jc w:val="left"/>
      <w:widowControl/>
    </w:pPr>
    <w:rPr>
      <w:rFonts w:ascii="Calibri" w:hAnsi="Calibri"/>
      <w:sz w:val="24"/>
      <w:lang w:eastAsia="en-US" w:bidi="en-US"/>
    </w:rPr>
  </w:style>
  <w:style w:type="paragraph" w:styleId="1050" w:customStyle="1">
    <w:name w:val="正文缩进12"/>
    <w:basedOn w:val="782"/>
    <w:uiPriority w:val="0"/>
    <w:qFormat/>
    <w:pPr>
      <w:ind w:firstLine="420"/>
      <w:jc w:val="left"/>
      <w:spacing w:line="360" w:lineRule="auto"/>
    </w:pPr>
    <w:rPr>
      <w:rFonts w:ascii="宋体" w:hAnsi="宋体" w:cs="宋体"/>
      <w:color w:val="000000"/>
      <w:sz w:val="24"/>
      <w:szCs w:val="21"/>
    </w:rPr>
  </w:style>
  <w:style w:type="table" w:styleId="10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2" w:customStyle="1">
    <w:name w:val="默认段落字体1"/>
    <w:uiPriority w:val="0"/>
    <w:qFormat/>
  </w:style>
  <w:style w:type="table" w:styleId="10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5" w:customStyle="1">
    <w:name w:val="font11"/>
    <w:basedOn w:val="792"/>
    <w:uiPriority w:val="0"/>
    <w:qFormat/>
    <w:rPr>
      <w:rFonts w:hint="eastAsia" w:ascii="宋体" w:hAnsi="宋体" w:eastAsia="宋体" w:cs="宋体"/>
      <w:b/>
      <w:bCs/>
      <w:color w:val="000000"/>
      <w:sz w:val="21"/>
      <w:szCs w:val="21"/>
      <w:u w:val="none"/>
    </w:rPr>
  </w:style>
  <w:style w:type="table" w:styleId="105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0" w:customStyle="1">
    <w:name w:val="日期1"/>
    <w:basedOn w:val="782"/>
    <w:next w:val="782"/>
    <w:uiPriority w:val="0"/>
    <w:qFormat/>
    <w:rPr>
      <w:sz w:val="24"/>
      <w:szCs w:val="20"/>
    </w:rPr>
  </w:style>
  <w:style w:type="paragraph" w:styleId="1061" w:customStyle="1">
    <w:name w:val="pa-6"/>
    <w:basedOn w:val="782"/>
    <w:uiPriority w:val="0"/>
    <w:qFormat/>
    <w:pPr>
      <w:jc w:val="left"/>
      <w:spacing w:before="150" w:after="150"/>
      <w:widowControl/>
    </w:pPr>
    <w:rPr>
      <w:rFonts w:ascii="宋体" w:hAnsi="宋体" w:cs="宋体"/>
      <w:color w:val="000000"/>
      <w:sz w:val="24"/>
    </w:rPr>
  </w:style>
  <w:style w:type="table" w:styleId="106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3">
    <w:name w:val="List Paragraph"/>
    <w:basedOn w:val="782"/>
    <w:uiPriority w:val="34"/>
    <w:qFormat/>
    <w:pPr>
      <w:contextualSpacing/>
      <w:ind w:left="720"/>
    </w:pPr>
  </w:style>
  <w:style w:type="table" w:styleId="10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68" w:customStyle="1">
    <w:name w:val="纯文本1"/>
    <w:basedOn w:val="782"/>
    <w:uiPriority w:val="0"/>
    <w:qFormat/>
    <w:rPr>
      <w:rFonts w:ascii="宋体" w:hAnsi="Courier New" w:eastAsia="楷体"/>
      <w:sz w:val="26"/>
    </w:rPr>
  </w:style>
  <w:style w:type="paragraph" w:styleId="1069" w:customStyle="1">
    <w:name w:val="Table Paragraph"/>
    <w:basedOn w:val="782"/>
    <w:uiPriority w:val="1"/>
    <w:qFormat/>
    <w:pPr>
      <w:ind w:left="348"/>
    </w:pPr>
    <w:rPr>
      <w:rFonts w:ascii="宋体" w:hAnsi="宋体" w:cs="宋体"/>
      <w:lang w:val="zh-CN" w:bidi="zh-CN"/>
    </w:rPr>
  </w:style>
  <w:style w:type="paragraph" w:styleId="1070" w:customStyle="1">
    <w:name w:val="普通(网站)1"/>
    <w:basedOn w:val="782"/>
    <w:uiPriority w:val="99"/>
    <w:qFormat/>
    <w:pPr>
      <w:jc w:val="left"/>
      <w:spacing w:before="100" w:beforeAutospacing="1" w:after="100" w:afterAutospacing="1"/>
      <w:widowControl/>
    </w:pPr>
    <w:rPr>
      <w:rFonts w:ascii="宋体" w:hAnsi="宋体" w:cs="宋体"/>
      <w:sz w:val="24"/>
    </w:rPr>
  </w:style>
  <w:style w:type="paragraph" w:styleId="1071" w:customStyle="1">
    <w:name w:val="页眉11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5" w:customStyle="1">
    <w:name w:val="普通(网站)11"/>
    <w:basedOn w:val="782"/>
    <w:uiPriority w:val="0"/>
    <w:qFormat/>
    <w:pPr>
      <w:jc w:val="left"/>
      <w:spacing w:before="100" w:beforeAutospacing="1" w:after="100" w:afterAutospacing="1"/>
      <w:widowControl/>
    </w:pPr>
    <w:rPr>
      <w:rFonts w:ascii="宋体" w:hAnsi="宋体" w:cs="宋体"/>
      <w:sz w:val="24"/>
    </w:rPr>
  </w:style>
  <w:style w:type="paragraph" w:styleId="1076" w:customStyle="1">
    <w:name w:val="pa-3"/>
    <w:basedOn w:val="782"/>
    <w:uiPriority w:val="0"/>
    <w:qFormat/>
    <w:pPr>
      <w:jc w:val="left"/>
      <w:spacing w:before="150" w:after="150"/>
      <w:widowControl/>
    </w:pPr>
    <w:rPr>
      <w:rFonts w:ascii="宋体" w:hAnsi="宋体" w:cs="宋体"/>
      <w:color w:val="000000"/>
      <w:sz w:val="24"/>
    </w:r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78" w:customStyle="1">
    <w:name w:val="TOC 标题111"/>
    <w:uiPriority w:val="39"/>
    <w:qFormat/>
    <w:rPr>
      <w:rFonts w:hint="default" w:ascii="Times New Roman" w:hAnsi="Times New Roman" w:eastAsia="宋体" w:cs="Times New Roman"/>
      <w:sz w:val="21"/>
      <w:szCs w:val="22"/>
      <w:lang w:val="en-US" w:eastAsia="zh-CN" w:bidi="ar-SA"/>
    </w:rPr>
  </w:style>
  <w:style w:type="table" w:styleId="10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1" w:customStyle="1">
    <w:name w:val="正文文本1"/>
    <w:basedOn w:val="782"/>
    <w:next w:val="1082"/>
    <w:uiPriority w:val="0"/>
    <w:qFormat/>
    <w:rPr>
      <w:rFonts w:ascii="楷体" w:hAnsi="Arial" w:eastAsia="楷体"/>
      <w:sz w:val="28"/>
      <w:szCs w:val="20"/>
    </w:rPr>
  </w:style>
  <w:style w:type="paragraph" w:styleId="1082" w:customStyle="1">
    <w:name w:val="正文文本 21"/>
    <w:basedOn w:val="782"/>
    <w:uiPriority w:val="0"/>
    <w:qFormat/>
    <w:pPr>
      <w:jc w:val="center"/>
    </w:pPr>
    <w:rPr>
      <w:rFonts w:ascii="仿宋" w:eastAsia="仿宋"/>
      <w:sz w:val="44"/>
    </w:rPr>
  </w:style>
  <w:style w:type="table" w:styleId="10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4" w:customStyle="1">
    <w:name w:val="段"/>
    <w:next w:val="782"/>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85" w:customStyle="1">
    <w:name w:val="引用 字符"/>
    <w:link w:val="1086"/>
    <w:uiPriority w:val="29"/>
    <w:qFormat/>
    <w:rPr>
      <w:i/>
    </w:rPr>
  </w:style>
  <w:style w:type="paragraph" w:styleId="1086">
    <w:name w:val="Quote"/>
    <w:basedOn w:val="782"/>
    <w:next w:val="782"/>
    <w:link w:val="1085"/>
    <w:uiPriority w:val="29"/>
    <w:qFormat/>
    <w:pPr>
      <w:ind w:left="720" w:right="720"/>
    </w:pPr>
    <w:rPr>
      <w:i/>
    </w:rPr>
  </w:style>
  <w:style w:type="table" w:styleId="108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89" w:customStyle="1">
    <w:name w:val="正文首行缩进 21"/>
    <w:basedOn w:val="999"/>
    <w:uiPriority w:val="0"/>
    <w:qFormat/>
    <w:pPr>
      <w:ind w:firstLine="420"/>
      <w:spacing w:line="360" w:lineRule="auto"/>
    </w:pPr>
    <w:rPr>
      <w:rFonts w:ascii="宋体" w:hAnsi="宋体" w:eastAsia="宋体"/>
      <w:sz w:val="21"/>
      <w:szCs w:val="20"/>
    </w:rPr>
  </w:style>
  <w:style w:type="table" w:styleId="109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2" w:customStyle="1">
    <w:name w:val="Endnote Text Char"/>
    <w:uiPriority w:val="99"/>
    <w:qFormat/>
    <w:rPr>
      <w:sz w:val="20"/>
    </w:rPr>
  </w:style>
  <w:style w:type="table" w:styleId="10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6" w:customStyle="1">
    <w:name w:val="TOC 标题11"/>
    <w:uiPriority w:val="39"/>
    <w:qFormat/>
    <w:rPr>
      <w:rFonts w:hint="default" w:ascii="Calibri" w:hAnsi="Calibri" w:eastAsia="宋体" w:cs="Times New Roman"/>
      <w:sz w:val="21"/>
      <w:szCs w:val="22"/>
      <w:lang w:val="en-US" w:eastAsia="zh-CN" w:bidi="ar-SA"/>
    </w:rPr>
  </w:style>
  <w:style w:type="table" w:styleId="109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98" w:customStyle="1">
    <w:name w:val="标题 4121"/>
    <w:basedOn w:val="782"/>
    <w:next w:val="782"/>
    <w:link w:val="1099"/>
    <w:uiPriority w:val="0"/>
    <w:qFormat/>
    <w:pPr>
      <w:keepLines/>
      <w:keepNext/>
      <w:spacing w:before="280" w:after="290" w:line="376" w:lineRule="auto"/>
      <w:outlineLvl w:val="3"/>
    </w:pPr>
    <w:rPr>
      <w:rFonts w:ascii="Arial" w:hAnsi="Arial" w:eastAsia="黑体" w:cs="Arial"/>
      <w:b/>
      <w:bCs/>
      <w:sz w:val="28"/>
      <w:szCs w:val="28"/>
    </w:rPr>
  </w:style>
  <w:style w:type="character" w:styleId="1099" w:customStyle="1">
    <w:name w:val="标题 4 Char"/>
    <w:basedOn w:val="792"/>
    <w:link w:val="1098"/>
    <w:uiPriority w:val="9"/>
    <w:qFormat/>
    <w:rPr>
      <w:rFonts w:ascii="Arial" w:hAnsi="Arial" w:eastAsia="黑体" w:cs="Arial"/>
      <w:b/>
      <w:bCs/>
      <w:sz w:val="28"/>
      <w:szCs w:val="28"/>
    </w:rPr>
  </w:style>
  <w:style w:type="paragraph" w:styleId="1100" w:customStyle="1">
    <w:name w:val="题注1"/>
    <w:basedOn w:val="782"/>
    <w:next w:val="782"/>
    <w:uiPriority w:val="35"/>
    <w:qFormat/>
    <w:pPr>
      <w:spacing w:line="276" w:lineRule="auto"/>
    </w:pPr>
    <w:rPr>
      <w:b/>
      <w:bCs/>
      <w:color w:val="4f81bd"/>
      <w:sz w:val="18"/>
      <w:szCs w:val="18"/>
    </w:rPr>
  </w:style>
  <w:style w:type="table" w:styleId="11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6" w:customStyle="1">
    <w:name w:val="Body text|4"/>
    <w:basedOn w:val="782"/>
    <w:uiPriority w:val="0"/>
    <w:qFormat/>
    <w:pPr>
      <w:ind w:hanging="1540"/>
    </w:pPr>
    <w:rPr>
      <w:sz w:val="20"/>
      <w:szCs w:val="20"/>
      <w:lang w:val="zh-CN"/>
    </w:rPr>
  </w:style>
  <w:style w:type="table" w:styleId="110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08" w:customStyle="1">
    <w:name w:val="页码1"/>
    <w:uiPriority w:val="0"/>
    <w:qFormat/>
  </w:style>
  <w:style w:type="table" w:styleId="11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3" w:customStyle="1">
    <w:name w:val="标题 3121"/>
    <w:basedOn w:val="782"/>
    <w:next w:val="782"/>
    <w:link w:val="1114"/>
    <w:uiPriority w:val="0"/>
    <w:qFormat/>
    <w:pPr>
      <w:keepLines/>
      <w:keepNext/>
      <w:spacing w:before="260" w:after="260" w:line="416" w:lineRule="auto"/>
      <w:outlineLvl w:val="2"/>
    </w:pPr>
    <w:rPr>
      <w:b/>
      <w:bCs/>
      <w:sz w:val="32"/>
      <w:szCs w:val="32"/>
    </w:rPr>
  </w:style>
  <w:style w:type="character" w:styleId="1114" w:customStyle="1">
    <w:name w:val="标题 3 Char"/>
    <w:basedOn w:val="792"/>
    <w:link w:val="1113"/>
    <w:uiPriority w:val="9"/>
    <w:qFormat/>
    <w:rPr>
      <w:b/>
      <w:bCs/>
      <w:sz w:val="32"/>
      <w:szCs w:val="32"/>
    </w:rPr>
  </w:style>
  <w:style w:type="paragraph" w:styleId="1115" w:customStyle="1">
    <w:name w:val="纯文本2"/>
    <w:basedOn w:val="782"/>
    <w:uiPriority w:val="0"/>
    <w:qFormat/>
    <w:rPr>
      <w:rFonts w:ascii="宋体" w:hAnsi="Courier New" w:eastAsia="楷体"/>
      <w:sz w:val="28"/>
      <w:szCs w:val="20"/>
    </w:rPr>
  </w:style>
  <w:style w:type="table" w:styleId="11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8" w:customStyle="1">
    <w:name w:val="Char"/>
    <w:basedOn w:val="782"/>
    <w:uiPriority w:val="0"/>
    <w:qFormat/>
    <w:pPr>
      <w:tabs>
        <w:tab w:val="left" w:pos="360" w:leader="none"/>
      </w:tabs>
    </w:pPr>
    <w:rPr>
      <w:sz w:val="24"/>
    </w:rPr>
  </w:style>
  <w:style w:type="paragraph" w:styleId="1119" w:customStyle="1">
    <w:name w:val="页眉11"/>
    <w:basedOn w:val="782"/>
    <w:uiPriority w:val="0"/>
    <w:qFormat/>
    <w:pPr>
      <w:jc w:val="center"/>
      <w:tabs>
        <w:tab w:val="center" w:pos="4153" w:leader="none"/>
        <w:tab w:val="right" w:pos="8306" w:leader="none"/>
      </w:tabs>
      <w:pBdr>
        <w:bottom w:val="single" w:color="000000" w:sz="6" w:space="1"/>
      </w:pBdr>
    </w:pPr>
    <w:rPr>
      <w:sz w:val="18"/>
      <w:szCs w:val="18"/>
    </w:rPr>
  </w:style>
  <w:style w:type="table" w:styleId="11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1" w:customStyle="1">
    <w:name w:val="正文首行缩进1"/>
    <w:basedOn w:val="782"/>
    <w:next w:val="953"/>
    <w:uiPriority w:val="99"/>
    <w:qFormat/>
    <w:pPr>
      <w:ind w:firstLine="200"/>
      <w:spacing w:line="360" w:lineRule="auto"/>
    </w:pPr>
    <w:rPr>
      <w:rFonts w:ascii="仿宋" w:eastAsia="仿宋"/>
      <w:sz w:val="30"/>
      <w:szCs w:val="30"/>
    </w:rPr>
  </w:style>
  <w:style w:type="paragraph" w:styleId="1122" w:customStyle="1">
    <w:name w:val="TOC 标题2"/>
    <w:basedOn w:val="900"/>
    <w:next w:val="78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3" w:customStyle="1">
    <w:name w:val="Footer1"/>
    <w:basedOn w:val="782"/>
    <w:link w:val="1124"/>
    <w:uiPriority w:val="0"/>
    <w:qFormat/>
    <w:pPr>
      <w:tabs>
        <w:tab w:val="center" w:pos="7143" w:leader="none"/>
        <w:tab w:val="right" w:pos="14287" w:leader="none"/>
      </w:tabs>
    </w:pPr>
  </w:style>
  <w:style w:type="character" w:styleId="1124" w:customStyle="1">
    <w:name w:val="Caption Char"/>
    <w:link w:val="1123"/>
    <w:uiPriority w:val="99"/>
    <w:qFormat/>
  </w:style>
  <w:style w:type="table" w:styleId="11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6" w:customStyle="1">
    <w:name w:val="正文首行缩进 212"/>
    <w:basedOn w:val="922"/>
    <w:next w:val="105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29" w:customStyle="1">
    <w:name w:val="Quote Char_e5e4ffb8-e2c5-436f-adcb-072f9351b8ac"/>
    <w:uiPriority w:val="29"/>
    <w:qFormat/>
    <w:rPr>
      <w:i/>
    </w:rPr>
  </w:style>
  <w:style w:type="table" w:styleId="1130" w:customStyle="1">
    <w:name w:val="普通表格1"/>
    <w:uiPriority w:val="0"/>
    <w:qFormat/>
    <w:tblPr>
      <w:tblCellMar>
        <w:left w:w="0" w:type="dxa"/>
        <w:top w:w="0" w:type="dxa"/>
        <w:right w:w="0" w:type="dxa"/>
        <w:bottom w:w="0" w:type="dxa"/>
      </w:tblCellMar>
    </w:tblPr>
  </w:style>
  <w:style w:type="paragraph" w:styleId="1131" w:customStyle="1">
    <w:name w:val="Char Char Char Char Char Char Char Char"/>
    <w:basedOn w:val="782"/>
    <w:uiPriority w:val="0"/>
    <w:qFormat/>
    <w:pPr>
      <w:ind w:firstLine="420"/>
      <w:jc w:val="left"/>
      <w:spacing w:after="160" w:line="240" w:lineRule="exact"/>
      <w:widowControl/>
    </w:pPr>
    <w:rPr>
      <w:rFonts w:ascii="Verdana" w:hAnsi="Verdana"/>
      <w:color w:val="000000"/>
      <w:sz w:val="20"/>
      <w:szCs w:val="20"/>
      <w:lang w:eastAsia="en-US"/>
    </w:rPr>
  </w:style>
  <w:style w:type="paragraph" w:styleId="1132" w:customStyle="1">
    <w:name w:val="TOC 标题3"/>
    <w:uiPriority w:val="39"/>
    <w:unhideWhenUsed/>
    <w:qFormat/>
    <w:rPr>
      <w:rFonts w:hint="default" w:ascii="Times New Roman" w:hAnsi="Times New Roman" w:eastAsia="宋体" w:cs="Times New Roman"/>
      <w:lang w:val="en-US" w:eastAsia="zh-CN" w:bidi="ar-SA"/>
    </w:rPr>
  </w:style>
  <w:style w:type="character" w:styleId="1133" w:customStyle="1">
    <w:name w:val="批注文字 Char"/>
    <w:basedOn w:val="792"/>
    <w:uiPriority w:val="0"/>
    <w:qFormat/>
    <w:rPr>
      <w:rFonts w:ascii="Calibri" w:hAnsi="Calibri" w:cs="Calibri"/>
      <w:szCs w:val="21"/>
    </w:rPr>
  </w:style>
  <w:style w:type="paragraph" w:styleId="1134" w:customStyle="1">
    <w:name w:val="标题 5111"/>
    <w:basedOn w:val="782"/>
    <w:next w:val="782"/>
    <w:link w:val="1135"/>
    <w:uiPriority w:val="9"/>
    <w:unhideWhenUsed/>
    <w:qFormat/>
    <w:pPr>
      <w:keepLines/>
      <w:keepNext/>
      <w:spacing w:before="320" w:after="200"/>
      <w:outlineLvl w:val="4"/>
    </w:pPr>
    <w:rPr>
      <w:rFonts w:ascii="Arial" w:hAnsi="Arial" w:eastAsia="Arial" w:cs="Arial"/>
      <w:b/>
      <w:bCs/>
      <w:sz w:val="24"/>
    </w:rPr>
  </w:style>
  <w:style w:type="character" w:styleId="1135" w:customStyle="1">
    <w:name w:val="标题 5 Char"/>
    <w:basedOn w:val="792"/>
    <w:link w:val="1134"/>
    <w:uiPriority w:val="9"/>
    <w:qFormat/>
    <w:rPr>
      <w:rFonts w:ascii="Arial" w:hAnsi="Arial" w:eastAsia="Arial" w:cs="Arial"/>
      <w:b/>
      <w:bCs/>
      <w:sz w:val="24"/>
      <w:szCs w:val="24"/>
    </w:rPr>
  </w:style>
  <w:style w:type="paragraph" w:styleId="1136" w:customStyle="1">
    <w:name w:val="标题 6111"/>
    <w:basedOn w:val="782"/>
    <w:next w:val="782"/>
    <w:link w:val="1137"/>
    <w:uiPriority w:val="9"/>
    <w:unhideWhenUsed/>
    <w:qFormat/>
    <w:pPr>
      <w:keepLines/>
      <w:keepNext/>
      <w:spacing w:before="320" w:after="200"/>
      <w:outlineLvl w:val="5"/>
    </w:pPr>
    <w:rPr>
      <w:rFonts w:ascii="Arial" w:hAnsi="Arial" w:eastAsia="Arial" w:cs="Arial"/>
      <w:b/>
      <w:bCs/>
      <w:sz w:val="22"/>
      <w:szCs w:val="22"/>
    </w:rPr>
  </w:style>
  <w:style w:type="character" w:styleId="1137" w:customStyle="1">
    <w:name w:val="标题 6 Char"/>
    <w:basedOn w:val="792"/>
    <w:link w:val="1136"/>
    <w:uiPriority w:val="9"/>
    <w:qFormat/>
    <w:rPr>
      <w:rFonts w:ascii="Arial" w:hAnsi="Arial" w:eastAsia="Arial" w:cs="Arial"/>
      <w:b/>
      <w:bCs/>
      <w:sz w:val="22"/>
      <w:szCs w:val="22"/>
    </w:rPr>
  </w:style>
  <w:style w:type="paragraph" w:styleId="1138" w:customStyle="1">
    <w:name w:val="标题 7111"/>
    <w:basedOn w:val="782"/>
    <w:next w:val="782"/>
    <w:link w:val="1139"/>
    <w:uiPriority w:val="9"/>
    <w:unhideWhenUsed/>
    <w:qFormat/>
    <w:pPr>
      <w:keepLines/>
      <w:keepNext/>
      <w:spacing w:before="320" w:after="200"/>
      <w:outlineLvl w:val="6"/>
    </w:pPr>
    <w:rPr>
      <w:rFonts w:ascii="Arial" w:hAnsi="Arial" w:eastAsia="Arial" w:cs="Arial"/>
      <w:b/>
      <w:bCs/>
      <w:i/>
      <w:iCs/>
      <w:sz w:val="22"/>
      <w:szCs w:val="22"/>
    </w:rPr>
  </w:style>
  <w:style w:type="character" w:styleId="1139" w:customStyle="1">
    <w:name w:val="标题 7 Char"/>
    <w:basedOn w:val="792"/>
    <w:link w:val="1138"/>
    <w:uiPriority w:val="9"/>
    <w:qFormat/>
    <w:rPr>
      <w:rFonts w:ascii="Arial" w:hAnsi="Arial" w:eastAsia="Arial" w:cs="Arial"/>
      <w:b/>
      <w:bCs/>
      <w:i/>
      <w:iCs/>
      <w:sz w:val="22"/>
      <w:szCs w:val="22"/>
    </w:rPr>
  </w:style>
  <w:style w:type="paragraph" w:styleId="1140" w:customStyle="1">
    <w:name w:val="标题 8111"/>
    <w:basedOn w:val="782"/>
    <w:next w:val="782"/>
    <w:link w:val="1141"/>
    <w:uiPriority w:val="9"/>
    <w:unhideWhenUsed/>
    <w:qFormat/>
    <w:pPr>
      <w:keepLines/>
      <w:keepNext/>
      <w:spacing w:before="320" w:after="200"/>
      <w:outlineLvl w:val="7"/>
    </w:pPr>
    <w:rPr>
      <w:rFonts w:ascii="Arial" w:hAnsi="Arial" w:eastAsia="Arial" w:cs="Arial"/>
      <w:i/>
      <w:iCs/>
      <w:sz w:val="22"/>
      <w:szCs w:val="22"/>
    </w:rPr>
  </w:style>
  <w:style w:type="character" w:styleId="1141" w:customStyle="1">
    <w:name w:val="标题 8 Char"/>
    <w:basedOn w:val="792"/>
    <w:link w:val="1140"/>
    <w:uiPriority w:val="9"/>
    <w:qFormat/>
    <w:rPr>
      <w:rFonts w:ascii="Arial" w:hAnsi="Arial" w:eastAsia="Arial" w:cs="Arial"/>
      <w:i/>
      <w:iCs/>
      <w:sz w:val="22"/>
      <w:szCs w:val="22"/>
    </w:rPr>
  </w:style>
  <w:style w:type="paragraph" w:styleId="1142" w:customStyle="1">
    <w:name w:val="标题 9111"/>
    <w:basedOn w:val="782"/>
    <w:next w:val="782"/>
    <w:link w:val="1143"/>
    <w:uiPriority w:val="9"/>
    <w:unhideWhenUsed/>
    <w:qFormat/>
    <w:pPr>
      <w:keepLines/>
      <w:keepNext/>
      <w:spacing w:before="320" w:after="200"/>
      <w:outlineLvl w:val="8"/>
    </w:pPr>
    <w:rPr>
      <w:rFonts w:ascii="Arial" w:hAnsi="Arial" w:eastAsia="Arial" w:cs="Arial"/>
      <w:i/>
      <w:iCs/>
      <w:szCs w:val="21"/>
    </w:rPr>
  </w:style>
  <w:style w:type="character" w:styleId="1143" w:customStyle="1">
    <w:name w:val="标题 9 Char"/>
    <w:basedOn w:val="792"/>
    <w:link w:val="1142"/>
    <w:uiPriority w:val="9"/>
    <w:qFormat/>
    <w:rPr>
      <w:rFonts w:ascii="Arial" w:hAnsi="Arial" w:eastAsia="Arial" w:cs="Arial"/>
      <w:i/>
      <w:iCs/>
      <w:sz w:val="21"/>
      <w:szCs w:val="21"/>
    </w:rPr>
  </w:style>
  <w:style w:type="paragraph" w:styleId="1144" w:customStyle="1">
    <w:name w:val="题注111"/>
    <w:basedOn w:val="782"/>
    <w:next w:val="782"/>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5"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46" w:customStyle="1">
    <w:name w:val="标题 1111"/>
    <w:basedOn w:val="782"/>
    <w:next w:val="782"/>
    <w:link w:val="1147"/>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7" w:customStyle="1">
    <w:name w:val="标题 1 字符"/>
    <w:link w:val="1146"/>
    <w:uiPriority w:val="9"/>
    <w:qFormat/>
    <w:rPr>
      <w:rFonts w:ascii="Arial" w:hAnsi="Arial" w:eastAsia="Arial" w:cs="Arial"/>
      <w:color w:val="000000"/>
      <w:sz w:val="40"/>
      <w:szCs w:val="40"/>
    </w:rPr>
  </w:style>
  <w:style w:type="paragraph" w:styleId="1148" w:customStyle="1">
    <w:name w:val="标题 2111"/>
    <w:basedOn w:val="782"/>
    <w:next w:val="782"/>
    <w:link w:val="1149"/>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49" w:customStyle="1">
    <w:name w:val="标题 2 字符"/>
    <w:link w:val="1148"/>
    <w:uiPriority w:val="9"/>
    <w:qFormat/>
    <w:rPr>
      <w:rFonts w:ascii="Arial" w:hAnsi="Arial" w:eastAsia="Arial" w:cs="Arial"/>
      <w:color w:val="000000"/>
      <w:sz w:val="34"/>
      <w:szCs w:val="21"/>
    </w:rPr>
  </w:style>
  <w:style w:type="paragraph" w:styleId="1150" w:customStyle="1">
    <w:name w:val="标题 3111"/>
    <w:basedOn w:val="782"/>
    <w:next w:val="782"/>
    <w:link w:val="1151"/>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1" w:customStyle="1">
    <w:name w:val="标题 3 字符"/>
    <w:link w:val="1150"/>
    <w:uiPriority w:val="9"/>
    <w:qFormat/>
    <w:rPr>
      <w:rFonts w:ascii="Arial" w:hAnsi="Arial" w:eastAsia="Arial" w:cs="Arial"/>
      <w:color w:val="000000"/>
      <w:sz w:val="30"/>
      <w:szCs w:val="30"/>
    </w:rPr>
  </w:style>
  <w:style w:type="paragraph" w:styleId="1152" w:customStyle="1">
    <w:name w:val="标题 4111"/>
    <w:basedOn w:val="782"/>
    <w:next w:val="782"/>
    <w:link w:val="1153"/>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3" w:customStyle="1">
    <w:name w:val="标题 4 字符"/>
    <w:link w:val="1152"/>
    <w:uiPriority w:val="9"/>
    <w:qFormat/>
    <w:rPr>
      <w:rFonts w:ascii="Arial" w:hAnsi="Arial" w:eastAsia="Arial" w:cs="Arial"/>
      <w:b/>
      <w:bCs/>
      <w:color w:val="000000"/>
      <w:sz w:val="26"/>
      <w:szCs w:val="26"/>
    </w:rPr>
  </w:style>
  <w:style w:type="paragraph" w:styleId="1154" w:customStyle="1">
    <w:name w:val="标题 511"/>
    <w:basedOn w:val="782"/>
    <w:next w:val="782"/>
    <w:link w:val="1155"/>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5" w:customStyle="1">
    <w:name w:val="标题 5 字符"/>
    <w:link w:val="1154"/>
    <w:uiPriority w:val="9"/>
    <w:qFormat/>
    <w:rPr>
      <w:rFonts w:ascii="Arial" w:hAnsi="Arial" w:eastAsia="Arial" w:cs="Arial"/>
      <w:b/>
      <w:bCs/>
      <w:color w:val="000000"/>
      <w:sz w:val="24"/>
      <w:szCs w:val="21"/>
    </w:rPr>
  </w:style>
  <w:style w:type="paragraph" w:styleId="1156" w:customStyle="1">
    <w:name w:val="标题 611"/>
    <w:basedOn w:val="782"/>
    <w:next w:val="782"/>
    <w:link w:val="1157"/>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7" w:customStyle="1">
    <w:name w:val="标题 6 字符"/>
    <w:link w:val="1156"/>
    <w:uiPriority w:val="9"/>
    <w:qFormat/>
    <w:rPr>
      <w:rFonts w:ascii="Arial" w:hAnsi="Arial" w:eastAsia="Arial" w:cs="Arial"/>
      <w:b/>
      <w:bCs/>
      <w:color w:val="000000"/>
      <w:sz w:val="22"/>
      <w:szCs w:val="22"/>
    </w:rPr>
  </w:style>
  <w:style w:type="paragraph" w:styleId="1158" w:customStyle="1">
    <w:name w:val="标题 711"/>
    <w:basedOn w:val="782"/>
    <w:next w:val="782"/>
    <w:link w:val="1159"/>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59" w:customStyle="1">
    <w:name w:val="标题 7 字符"/>
    <w:link w:val="1158"/>
    <w:uiPriority w:val="9"/>
    <w:qFormat/>
    <w:rPr>
      <w:rFonts w:ascii="Arial" w:hAnsi="Arial" w:eastAsia="Arial" w:cs="Arial"/>
      <w:b/>
      <w:bCs/>
      <w:i/>
      <w:iCs/>
      <w:color w:val="000000"/>
      <w:sz w:val="22"/>
      <w:szCs w:val="22"/>
    </w:rPr>
  </w:style>
  <w:style w:type="paragraph" w:styleId="1160" w:customStyle="1">
    <w:name w:val="标题 811"/>
    <w:basedOn w:val="782"/>
    <w:next w:val="782"/>
    <w:link w:val="1161"/>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1" w:customStyle="1">
    <w:name w:val="标题 8 字符"/>
    <w:link w:val="1160"/>
    <w:uiPriority w:val="9"/>
    <w:qFormat/>
    <w:rPr>
      <w:rFonts w:ascii="Arial" w:hAnsi="Arial" w:eastAsia="Arial" w:cs="Arial"/>
      <w:i/>
      <w:iCs/>
      <w:color w:val="000000"/>
      <w:sz w:val="22"/>
      <w:szCs w:val="22"/>
    </w:rPr>
  </w:style>
  <w:style w:type="paragraph" w:styleId="1162" w:customStyle="1">
    <w:name w:val="标题 911"/>
    <w:basedOn w:val="782"/>
    <w:next w:val="782"/>
    <w:link w:val="1163"/>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3" w:customStyle="1">
    <w:name w:val="标题 9 字符"/>
    <w:link w:val="1162"/>
    <w:uiPriority w:val="9"/>
    <w:qFormat/>
    <w:rPr>
      <w:rFonts w:ascii="Arial" w:hAnsi="Arial" w:eastAsia="Arial" w:cs="Arial"/>
      <w:i/>
      <w:iCs/>
      <w:color w:val="000000"/>
      <w:sz w:val="22"/>
      <w:szCs w:val="21"/>
    </w:rPr>
  </w:style>
  <w:style w:type="paragraph" w:styleId="1164" w:customStyle="1">
    <w:name w:val="题注11"/>
    <w:basedOn w:val="782"/>
    <w:next w:val="782"/>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5" w:customStyle="1">
    <w:name w:val="页脚111"/>
    <w:basedOn w:val="782"/>
    <w:link w:val="1166"/>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6" w:customStyle="1">
    <w:name w:val="页脚 字符"/>
    <w:link w:val="1165"/>
    <w:uiPriority w:val="99"/>
    <w:qFormat/>
    <w:rPr>
      <w:rFonts w:ascii="宋体" w:hAnsi="宋体" w:cs="宋体"/>
      <w:color w:val="000000"/>
      <w:sz w:val="22"/>
      <w:szCs w:val="21"/>
    </w:rPr>
  </w:style>
  <w:style w:type="paragraph" w:styleId="1167" w:customStyle="1">
    <w:name w:val="页眉111"/>
    <w:basedOn w:val="782"/>
    <w:link w:val="116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8" w:customStyle="1">
    <w:name w:val="页眉 字符"/>
    <w:link w:val="1167"/>
    <w:uiPriority w:val="99"/>
    <w:qFormat/>
    <w:rPr>
      <w:rFonts w:ascii="宋体" w:hAnsi="宋体" w:cs="宋体"/>
      <w:color w:val="000000"/>
      <w:sz w:val="22"/>
      <w:szCs w:val="21"/>
    </w:rPr>
  </w:style>
  <w:style w:type="paragraph" w:styleId="1169"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0" w:customStyle="1">
    <w:name w:val="标题 112"/>
    <w:basedOn w:val="782"/>
    <w:next w:val="782"/>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1" w:customStyle="1">
    <w:name w:val="标题 212"/>
    <w:basedOn w:val="782"/>
    <w:next w:val="962"/>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2" w:customStyle="1">
    <w:name w:val="标题 412"/>
    <w:basedOn w:val="782"/>
    <w:next w:val="782"/>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3" w:customStyle="1">
    <w:name w:val="标题 312"/>
    <w:basedOn w:val="782"/>
    <w:next w:val="782"/>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4" w:customStyle="1">
    <w:name w:val="页眉12"/>
    <w:basedOn w:val="782"/>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5" w:customStyle="1">
    <w:name w:val="页脚12"/>
    <w:basedOn w:val="782"/>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6" w:customStyle="1">
    <w:name w:val="15"/>
    <w:basedOn w:val="792"/>
    <w:uiPriority w:val="0"/>
    <w:qFormat/>
  </w:style>
  <w:style w:type="paragraph" w:styleId="1177" w:customStyle="1">
    <w:name w:val="首行缩进"/>
    <w:basedOn w:val="782"/>
    <w:uiPriority w:val="0"/>
    <w:qFormat/>
    <w:pPr>
      <w:ind w:firstLine="480"/>
      <w:spacing w:line="360" w:lineRule="auto"/>
    </w:pPr>
    <w:rPr>
      <w:rFonts w:ascii="宋体" w:hAnsi="宋体" w:cs="宋体"/>
      <w:sz w:val="24"/>
      <w:szCs w:val="21"/>
    </w:rPr>
  </w:style>
  <w:style w:type="character" w:styleId="1178" w:customStyle="1">
    <w:name w:val="批注框文本 Char1"/>
    <w:basedOn w:val="792"/>
    <w:uiPriority w:val="99"/>
    <w:semiHidden/>
    <w:qFormat/>
    <w:rPr>
      <w:sz w:val="18"/>
      <w:szCs w:val="18"/>
    </w:rPr>
  </w:style>
  <w:style w:type="character" w:styleId="1179" w:customStyle="1">
    <w:name w:val="HTML 预设格式 Char1"/>
    <w:basedOn w:val="792"/>
    <w:uiPriority w:val="99"/>
    <w:semiHidden/>
    <w:qFormat/>
    <w:rPr>
      <w:rFonts w:ascii="Courier New" w:hAnsi="Courier New" w:cs="Courier New"/>
    </w:rPr>
  </w:style>
  <w:style w:type="character" w:styleId="1180" w:customStyle="1">
    <w:name w:val="批注主题 Char1"/>
    <w:basedOn w:val="883"/>
    <w:uiPriority w:val="99"/>
    <w:semiHidden/>
    <w:qFormat/>
    <w:rPr>
      <w:b/>
      <w:bCs/>
      <w:sz w:val="21"/>
      <w:szCs w:val="24"/>
    </w:rPr>
  </w:style>
  <w:style w:type="character" w:styleId="1181" w:customStyle="1">
    <w:name w:val="页眉 Char2"/>
    <w:basedOn w:val="792"/>
    <w:uiPriority w:val="0"/>
    <w:semiHidden/>
    <w:qFormat/>
    <w:rPr>
      <w:rFonts w:asciiTheme="minorHAnsi" w:hAnsiTheme="minorHAnsi" w:eastAsiaTheme="minorEastAsia" w:cstheme="minorBidi"/>
      <w:sz w:val="18"/>
      <w:szCs w:val="18"/>
    </w:rPr>
  </w:style>
  <w:style w:type="character" w:styleId="1182" w:customStyle="1">
    <w:name w:val="页脚 Char2"/>
    <w:basedOn w:val="792"/>
    <w:uiPriority w:val="0"/>
    <w:semiHidden/>
    <w:qFormat/>
    <w:rPr>
      <w:rFonts w:asciiTheme="minorHAnsi" w:hAnsiTheme="minorHAnsi" w:eastAsiaTheme="minorEastAsia" w:cstheme="minorBidi"/>
      <w:sz w:val="18"/>
      <w:szCs w:val="18"/>
    </w:rPr>
  </w:style>
  <w:style w:type="paragraph" w:styleId="1183"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84" w:customStyle="1">
    <w:name w:val="信息标题 字符"/>
    <w:basedOn w:val="792"/>
    <w:link w:val="820"/>
    <w:uiPriority w:val="0"/>
    <w:qFormat/>
    <w:rPr>
      <w:rFonts w:ascii="Cambria" w:hAnsi="Cambria" w:cs="宋体"/>
      <w:color w:val="000000"/>
      <w:sz w:val="24"/>
      <w:szCs w:val="21"/>
      <w:shd w:val="pct20" w:color="auto" w:fill="auto"/>
    </w:rPr>
  </w:style>
  <w:style w:type="paragraph" w:styleId="1185" w:customStyle="1">
    <w:name w:val="TOC 标题113"/>
    <w:uiPriority w:val="39"/>
    <w:unhideWhenUsed/>
    <w:qFormat/>
    <w:rPr>
      <w:rFonts w:hint="default" w:ascii="Times New Roman" w:hAnsi="Times New Roman" w:eastAsia="宋体" w:cs="Times New Roman"/>
      <w:lang w:val="en-US" w:eastAsia="zh-CN" w:bidi="ar-SA"/>
    </w:rPr>
  </w:style>
  <w:style w:type="character" w:styleId="1186" w:customStyle="1">
    <w:name w:val="Heading 4 Char"/>
    <w:basedOn w:val="792"/>
    <w:uiPriority w:val="9"/>
    <w:qFormat/>
    <w:rPr>
      <w:rFonts w:ascii="Arial" w:hAnsi="Arial" w:eastAsia="Arial" w:cs="Arial"/>
      <w:b/>
      <w:bCs/>
      <w:color w:val="000000"/>
      <w:sz w:val="26"/>
      <w:szCs w:val="26"/>
    </w:rPr>
  </w:style>
  <w:style w:type="character" w:styleId="1187" w:customStyle="1">
    <w:name w:val="Heading 5 Char"/>
    <w:basedOn w:val="792"/>
    <w:uiPriority w:val="9"/>
    <w:qFormat/>
    <w:rPr>
      <w:rFonts w:ascii="Arial" w:hAnsi="Arial" w:eastAsia="Arial" w:cs="Arial"/>
      <w:b/>
      <w:bCs/>
      <w:color w:val="000000"/>
      <w:sz w:val="24"/>
      <w:szCs w:val="24"/>
    </w:rPr>
  </w:style>
  <w:style w:type="character" w:styleId="1188" w:customStyle="1">
    <w:name w:val="Heading 6 Char"/>
    <w:basedOn w:val="792"/>
    <w:uiPriority w:val="9"/>
    <w:qFormat/>
    <w:rPr>
      <w:rFonts w:ascii="Arial" w:hAnsi="Arial" w:eastAsia="Arial" w:cs="Arial"/>
      <w:b/>
      <w:bCs/>
      <w:color w:val="000000"/>
      <w:sz w:val="22"/>
      <w:szCs w:val="22"/>
    </w:rPr>
  </w:style>
  <w:style w:type="character" w:styleId="1189" w:customStyle="1">
    <w:name w:val="Heading 7 Char"/>
    <w:basedOn w:val="792"/>
    <w:uiPriority w:val="9"/>
    <w:qFormat/>
    <w:rPr>
      <w:rFonts w:ascii="Arial" w:hAnsi="Arial" w:eastAsia="Arial" w:cs="Arial"/>
      <w:b/>
      <w:bCs/>
      <w:i/>
      <w:iCs/>
      <w:color w:val="000000"/>
      <w:sz w:val="22"/>
      <w:szCs w:val="22"/>
    </w:rPr>
  </w:style>
  <w:style w:type="character" w:styleId="1190" w:customStyle="1">
    <w:name w:val="Heading 8 Char"/>
    <w:basedOn w:val="792"/>
    <w:uiPriority w:val="9"/>
    <w:qFormat/>
    <w:rPr>
      <w:rFonts w:ascii="Arial" w:hAnsi="Arial" w:eastAsia="Arial" w:cs="Arial"/>
      <w:i/>
      <w:iCs/>
      <w:color w:val="000000"/>
      <w:sz w:val="22"/>
      <w:szCs w:val="22"/>
    </w:rPr>
  </w:style>
  <w:style w:type="character" w:styleId="1191" w:customStyle="1">
    <w:name w:val="Heading 9 Char"/>
    <w:basedOn w:val="792"/>
    <w:uiPriority w:val="9"/>
    <w:qFormat/>
    <w:rPr>
      <w:rFonts w:ascii="Arial" w:hAnsi="Arial" w:eastAsia="Arial" w:cs="Arial"/>
      <w:i/>
      <w:iCs/>
      <w:color w:val="000000"/>
      <w:sz w:val="21"/>
      <w:szCs w:val="21"/>
    </w:rPr>
  </w:style>
  <w:style w:type="character" w:styleId="1192" w:customStyle="1">
    <w:name w:val="标题 2 Char1"/>
    <w:uiPriority w:val="9"/>
    <w:qFormat/>
    <w:rPr>
      <w:rFonts w:ascii="Arial" w:hAnsi="Arial" w:eastAsia="Arial" w:cs="Arial"/>
      <w:color w:val="000000"/>
      <w:sz w:val="34"/>
      <w:szCs w:val="21"/>
    </w:rPr>
  </w:style>
  <w:style w:type="paragraph" w:styleId="1193" w:customStyle="1">
    <w:name w:val="引用1"/>
    <w:basedOn w:val="782"/>
    <w:next w:val="782"/>
    <w:uiPriority w:val="29"/>
    <w:qFormat/>
    <w:pPr>
      <w:ind w:left="720" w:right="720" w:firstLine="420"/>
      <w:jc w:val="left"/>
      <w:spacing w:line="360" w:lineRule="auto"/>
    </w:pPr>
    <w:rPr>
      <w:rFonts w:ascii="宋体" w:hAnsi="宋体" w:cs="宋体"/>
      <w:i/>
      <w:color w:val="000000"/>
      <w:sz w:val="22"/>
      <w:szCs w:val="21"/>
    </w:rPr>
  </w:style>
  <w:style w:type="paragraph" w:styleId="1194" w:customStyle="1">
    <w:name w:val="明显引用1"/>
    <w:basedOn w:val="782"/>
    <w:next w:val="782"/>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5"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96" w:customStyle="1">
    <w:name w:val="列出段落11"/>
    <w:basedOn w:val="782"/>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7" w:customStyle="1">
    <w:name w:val="p0"/>
    <w:basedOn w:val="782"/>
    <w:uiPriority w:val="0"/>
    <w:qFormat/>
    <w:pPr>
      <w:widowControl/>
    </w:pPr>
    <w:rPr>
      <w:szCs w:val="21"/>
    </w:rPr>
  </w:style>
  <w:style w:type="paragraph" w:styleId="1198" w:customStyle="1">
    <w:name w:val="普通(网站)111"/>
    <w:basedOn w:val="782"/>
    <w:uiPriority w:val="0"/>
    <w:qFormat/>
    <w:pPr>
      <w:ind w:firstLine="420"/>
      <w:jc w:val="left"/>
      <w:spacing w:beforeAutospacing="1" w:afterAutospacing="1" w:line="360" w:lineRule="auto"/>
    </w:pPr>
    <w:rPr>
      <w:rFonts w:ascii="宋体" w:hAnsi="宋体" w:cs="宋体"/>
      <w:color w:val="000000"/>
      <w:sz w:val="24"/>
      <w:szCs w:val="21"/>
    </w:rPr>
  </w:style>
  <w:style w:type="paragraph" w:styleId="1199" w:customStyle="1">
    <w:name w:val="Body Text(ch)"/>
    <w:basedOn w:val="782"/>
    <w:next w:val="798"/>
    <w:uiPriority w:val="0"/>
    <w:qFormat/>
    <w:pPr>
      <w:ind w:firstLine="420"/>
      <w:jc w:val="left"/>
      <w:spacing w:after="120" w:line="360" w:lineRule="auto"/>
    </w:pPr>
    <w:rPr>
      <w:rFonts w:ascii="宋体" w:hAnsi="Arial" w:cs="宋体"/>
      <w:bCs/>
      <w:iCs/>
      <w:color w:val="000000"/>
      <w:sz w:val="22"/>
      <w:szCs w:val="21"/>
    </w:rPr>
  </w:style>
  <w:style w:type="paragraph" w:styleId="1200" w:customStyle="1">
    <w:name w:val="正文_17"/>
    <w:next w:val="120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标题 2_1"/>
    <w:basedOn w:val="1200"/>
    <w:next w:val="1200"/>
    <w:uiPriority w:val="0"/>
    <w:qFormat/>
    <w:pPr>
      <w:keepLines/>
      <w:keepNext/>
      <w:spacing w:before="260" w:after="260" w:line="413" w:lineRule="auto"/>
      <w:outlineLvl w:val="1"/>
    </w:pPr>
    <w:rPr>
      <w:rFonts w:ascii="Arial" w:hAnsi="Arial" w:eastAsia="黑体"/>
      <w:b/>
      <w:sz w:val="32"/>
      <w:szCs w:val="20"/>
    </w:rPr>
  </w:style>
  <w:style w:type="character" w:styleId="1202" w:customStyle="1">
    <w:name w:val="正文文本 2 字符"/>
    <w:basedOn w:val="792"/>
    <w:link w:val="819"/>
    <w:uiPriority w:val="99"/>
    <w:semiHidden/>
    <w:qFormat/>
    <w:rPr>
      <w:rFonts w:ascii="宋体" w:hAnsi="宋体" w:cs="宋体"/>
      <w:color w:val="000000"/>
      <w:sz w:val="22"/>
      <w:szCs w:val="21"/>
    </w:rPr>
  </w:style>
  <w:style w:type="paragraph" w:styleId="1203" w:customStyle="1">
    <w:name w:val="Table Text"/>
    <w:basedOn w:val="782"/>
    <w:hidden/>
    <w:uiPriority w:val="0"/>
    <w:qFormat/>
    <w:pPr>
      <w:ind w:left="0" w:right="0"/>
      <w:jc w:val="both"/>
      <w:keepLines w:val="0"/>
      <w:keepNext w:val="0"/>
      <w:spacing w:before="0" w:beforeAutospacing="0" w:after="0" w:afterAutospacing="0"/>
      <w:widowControl w:val="off"/>
      <w:suppressLineNumbers w:val="0"/>
    </w:pPr>
    <w:rPr>
      <w:rFonts w:hint="eastAsia" w:ascii="宋体" w:hAnsi="宋体" w:eastAsia="宋体" w:cs="宋体"/>
      <w:sz w:val="21"/>
      <w:szCs w:val="21"/>
      <w:lang w:val="en-US" w:eastAsia="zh-CN" w:bidi="ar"/>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28</cp:revision>
  <dcterms:created xsi:type="dcterms:W3CDTF">2025-12-29T03:30:00Z</dcterms:created>
  <dcterms:modified xsi:type="dcterms:W3CDTF">2026-03-23T08:38:12Z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2052-12.1.0.25225</vt:lpwstr>
  </property>
  <property fmtid="{D5CDD505-2E9C-101B-9397-08002B2CF9AE}" pid="4" name="ICV">
    <vt:lpwstr>9A755F7275EB454FA87C8A825AB620BC_13</vt:lpwstr>
  </property>
</Properties>
</file>