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820"/>
        <w:spacing w:line="360" w:lineRule="auto"/>
        <w:rPr>
          <w:rFonts w:ascii="宋体" w:hAnsi="宋体"/>
          <w:sz w:val="28"/>
          <w:szCs w:val="28"/>
        </w:rPr>
      </w:pPr>
      <w:r>
        <w:rPr>
          <w:rFonts w:hint="eastAsia" w:ascii="宋体" w:hAnsi="宋体"/>
          <w:sz w:val="28"/>
          <w:szCs w:val="28"/>
        </w:rPr>
        <w:t xml:space="preserve">项目编号：JSZC-320583-XKYG-G2026-0004</w:t>
      </w:r>
      <w:r/>
    </w:p>
    <w:p>
      <w:pPr>
        <w:ind w:firstLine="1820"/>
        <w:spacing w:line="360" w:lineRule="auto"/>
        <w:rPr>
          <w:rFonts w:ascii="宋体" w:hAnsi="宋体"/>
          <w:sz w:val="28"/>
          <w:szCs w:val="28"/>
        </w:rPr>
      </w:pPr>
      <w:r>
        <w:rPr>
          <w:rFonts w:hint="eastAsia" w:ascii="宋体" w:hAnsi="宋体"/>
          <w:sz w:val="28"/>
          <w:szCs w:val="28"/>
        </w:rPr>
        <w:t xml:space="preserve">采购项目：2026年花桥技防设施提升项目</w:t>
      </w:r>
      <w:r/>
    </w:p>
    <w:p>
      <w:pPr>
        <w:ind w:firstLine="1820"/>
        <w:spacing w:line="360" w:lineRule="auto"/>
        <w:rPr>
          <w:rFonts w:ascii="宋体" w:hAnsi="宋体"/>
          <w:sz w:val="28"/>
          <w:szCs w:val="28"/>
        </w:rPr>
      </w:pPr>
      <w:r>
        <w:rPr>
          <w:rFonts w:hint="eastAsia" w:ascii="宋体" w:hAnsi="宋体"/>
          <w:sz w:val="28"/>
          <w:szCs w:val="28"/>
        </w:rPr>
        <w:t xml:space="preserve">采购单位：江苏昆山花桥经济开发区管理委员会</w:t>
      </w:r>
      <w:r/>
    </w:p>
    <w:p>
      <w:pPr>
        <w:ind w:firstLine="1820"/>
        <w:spacing w:line="360" w:lineRule="auto"/>
        <w:rPr>
          <w:rFonts w:ascii="宋体" w:hAnsi="宋体"/>
          <w:sz w:val="28"/>
          <w:szCs w:val="28"/>
        </w:rPr>
      </w:pPr>
      <w:r>
        <w:rPr>
          <w:rFonts w:hint="eastAsia" w:ascii="宋体" w:hAnsi="宋体"/>
          <w:sz w:val="28"/>
          <w:szCs w:val="28"/>
        </w:rPr>
        <w:t xml:space="preserve">（昆山市公安局花桥派出所、昆山市公安局曹安派出所） </w:t>
      </w:r>
      <w:r/>
    </w:p>
    <w:p>
      <w:pPr>
        <w:pStyle w:val="884"/>
        <w:ind w:firstLine="420"/>
        <w:rPr>
          <w:rFonts w:hint="default"/>
        </w:rPr>
      </w:pPr>
      <w:r>
        <w:rPr>
          <w:rFonts w:hint="default"/>
        </w:rPr>
      </w:r>
      <w:r/>
    </w:p>
    <w:p>
      <w:pPr>
        <w:pStyle w:val="884"/>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江苏鑫鲲煜工程项目管理咨询有限公司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二〇二六年四月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9"/>
            <w:jc w:val="center"/>
            <w:spacing w:line="480" w:lineRule="auto"/>
            <w:rPr>
              <w:color w:val="auto"/>
              <w:sz w:val="48"/>
            </w:rPr>
          </w:pPr>
          <w:r/>
          <w:bookmarkStart w:id="0" w:name="_Toc23452_WPSOffice_Type1"/>
          <w:r>
            <w:rPr>
              <w:color w:val="auto"/>
              <w:sz w:val="48"/>
              <w:lang w:val="zh-CN"/>
            </w:rPr>
            <w:t xml:space="preserve">目录</w:t>
          </w:r>
          <w:r/>
        </w:p>
        <w:p>
          <w:pPr>
            <w:pStyle w:val="897"/>
            <w:tabs>
              <w:tab w:val="right" w:pos="9060" w:leader="dot"/>
            </w:tabs>
            <w:rPr>
              <w:rFonts w:asciiTheme="minorEastAsia" w:hAnsiTheme="minorEastAsia"/>
              <w:sz w:val="32"/>
              <w:szCs w:val="32"/>
            </w:rPr>
          </w:pPr>
          <w:r>
            <w:rPr>
              <w:rStyle w:val="901"/>
            </w:rPr>
            <w:fldChar w:fldCharType="begin"/>
          </w:r>
          <w:r>
            <w:rPr>
              <w:rStyle w:val="901"/>
            </w:rPr>
            <w:instrText xml:space="preserve"> TOC \o "1-3" \h \z \u </w:instrText>
          </w:r>
          <w:r>
            <w:rPr>
              <w:rStyle w:val="901"/>
            </w:rPr>
            <w:fldChar w:fldCharType="separate"/>
          </w:r>
          <w:hyperlink w:tooltip="#_Toc219987774" w:anchor="_Toc219987774" w:history="1">
            <w:r>
              <w:rPr>
                <w:rStyle w:val="901"/>
                <w:rFonts w:hint="eastAsia" w:asciiTheme="minorEastAsia" w:hAnsiTheme="minorEastAsia" w:cstheme="majorEastAsia"/>
                <w:sz w:val="32"/>
                <w:szCs w:val="32"/>
              </w:rPr>
              <w:t xml:space="preserve">第一章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_Toc219987774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75" w:anchor="_Toc219987775" w:history="1">
            <w:r>
              <w:rPr>
                <w:rStyle w:val="901"/>
                <w:rFonts w:hint="eastAsia" w:asciiTheme="minorEastAsia" w:hAnsiTheme="minorEastAsia" w:cstheme="majorEastAsia"/>
                <w:sz w:val="32"/>
                <w:szCs w:val="32"/>
              </w:rPr>
              <w:t xml:space="preserve">第二章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_Toc219987775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76" w:anchor="_Toc219987776" w:history="1">
            <w:r>
              <w:rPr>
                <w:rStyle w:val="901"/>
                <w:rFonts w:hint="eastAsia" w:asciiTheme="minorEastAsia" w:hAnsiTheme="minorEastAsia" w:cstheme="majorEastAsia"/>
                <w:sz w:val="32"/>
                <w:szCs w:val="32"/>
              </w:rPr>
              <w:t xml:space="preserve">第三章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_Toc219987776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18</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92" w:anchor="_Toc219987792" w:history="1">
            <w:r>
              <w:rPr>
                <w:rStyle w:val="901"/>
                <w:rFonts w:hint="eastAsia" w:asciiTheme="minorEastAsia" w:hAnsiTheme="minorEastAsia" w:cstheme="majorEastAsia"/>
                <w:sz w:val="32"/>
                <w:szCs w:val="32"/>
              </w:rPr>
              <w:t xml:space="preserve">第四章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招标书</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_Toc219987792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37</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93" w:anchor="_Toc219987793" w:history="1">
            <w:r>
              <w:rPr>
                <w:rStyle w:val="901"/>
                <w:rFonts w:hint="eastAsia" w:asciiTheme="minorEastAsia" w:hAnsiTheme="minorEastAsia"/>
                <w:sz w:val="32"/>
                <w:szCs w:val="32"/>
              </w:rPr>
              <w:t xml:space="preserve">第五章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合同主要内容</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_Toc219987793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40</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94" w:anchor="_Toc219987794" w:history="1">
            <w:r>
              <w:rPr>
                <w:rStyle w:val="901"/>
                <w:rFonts w:hint="eastAsia" w:asciiTheme="minorEastAsia" w:hAnsiTheme="minorEastAsia"/>
                <w:sz w:val="32"/>
                <w:szCs w:val="32"/>
              </w:rPr>
              <w:t xml:space="preserve">第六章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评标方法、采购政策、评分标准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_Toc219987794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44</w:t>
            </w:r>
            <w:r>
              <w:rPr>
                <w:rFonts w:asciiTheme="minorEastAsia" w:hAnsiTheme="minorEastAsia"/>
                <w:sz w:val="32"/>
                <w:szCs w:val="32"/>
              </w:rPr>
              <w:fldChar w:fldCharType="end"/>
            </w:r>
          </w:hyperlink>
          <w:r/>
          <w:r/>
        </w:p>
        <w:p>
          <w:pPr>
            <w:spacing w:line="480" w:lineRule="auto"/>
          </w:pPr>
          <w:r>
            <w:rPr>
              <w:rStyle w:val="901"/>
              <w:rFonts w:cstheme="minorBidi"/>
            </w:rPr>
            <w:fldChar w:fldCharType="end"/>
          </w:r>
          <w:r/>
        </w:p>
      </w:sdtContent>
    </w:sdt>
    <w:p>
      <w:pPr>
        <w:pStyle w:val="903"/>
        <w:tabs>
          <w:tab w:val="right" w:pos="8306" w:leader="dot"/>
        </w:tabs>
      </w:pPr>
      <w:r/>
      <w:r/>
    </w:p>
    <w:p>
      <w:pPr>
        <w:pStyle w:val="697"/>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697"/>
        <w:jc w:val="center"/>
        <w:rPr>
          <w:rFonts w:asciiTheme="majorEastAsia" w:hAnsiTheme="majorEastAsia" w:eastAsiaTheme="majorEastAsia" w:cstheme="majorEastAsia"/>
          <w:sz w:val="32"/>
          <w:szCs w:val="32"/>
        </w:rPr>
      </w:pPr>
      <w:r/>
      <w:bookmarkStart w:id="2" w:name="_Toc21998777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江苏鑫鲲煜工程项目管理咨询有限公司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江苏昆山花桥经济开发区管理委员会（昆山市公安局花桥派出所、昆山市公安局曹安派出所）</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2026年花桥技防设施提升项目</w:t>
      </w:r>
      <w:r>
        <w:rPr>
          <w:rFonts w:hint="eastAsia" w:asciiTheme="minorEastAsia" w:hAnsiTheme="minorEastAsia" w:eastAsiaTheme="minorEastAsia"/>
          <w:bCs/>
          <w:szCs w:val="21"/>
        </w:rPr>
        <w:t xml:space="preserve">进行国内公开招标，欢迎符合条件的供应商前来投标。</w:t>
      </w:r>
      <w:r/>
    </w:p>
    <w:p>
      <w:pPr>
        <w:pStyle w:val="887"/>
        <w:spacing w:line="360" w:lineRule="auto"/>
        <w:rPr>
          <w:rFonts w:asciiTheme="minorEastAsia" w:hAnsiTheme="minorEastAsia" w:eastAsiaTheme="minorEastAsia"/>
          <w:bCs/>
          <w:sz w:val="21"/>
          <w:szCs w:val="21"/>
        </w:rPr>
      </w:pPr>
      <w:r>
        <w:rPr>
          <w:rFonts w:hint="eastAsia" w:cs="宋体" w:asciiTheme="minorEastAsia" w:hAnsiTheme="minorEastAsia" w:eastAsiaTheme="minorEastAsia"/>
          <w:sz w:val="21"/>
          <w:szCs w:val="21"/>
        </w:rPr>
        <w:t xml:space="preserve">一、</w:t>
      </w:r>
      <w:r>
        <w:rPr>
          <w:rFonts w:hint="eastAsia" w:asciiTheme="minorEastAsia" w:hAnsiTheme="minorEastAsia" w:eastAsiaTheme="minorEastAsia"/>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JSZC-320583-XKYG-G2026-0004；</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2.项目名称：2026年花桥技防设施提升项目；</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人民币肆佰万零柒拾伍元贰角整（¥:4000075.20元）；</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4.最高限价：人民币肆佰万零柒拾伍元贰角整（¥:4000075.20元）；</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5.采购需求：2026年花桥技防设施提升项目，具体详见招标文件；</w:t>
      </w:r>
      <w:r/>
    </w:p>
    <w:p>
      <w:pPr>
        <w:pStyle w:val="887"/>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6.交付期限：合同签订后3个月内安装调试完成，并交付使用。</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7.本项目不接受联合体投标；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8.履约保证金：无。</w:t>
      </w:r>
      <w:r/>
    </w:p>
    <w:p>
      <w:pPr>
        <w:pStyle w:val="887"/>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3"/>
      <w:r/>
      <w:bookmarkStart w:id="6" w:name="OLE_LINK4"/>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ascii="宋体" w:hAnsi="宋体"/>
          <w:b/>
          <w:szCs w:val="21"/>
        </w:rPr>
      </w:pPr>
      <w:r>
        <w:rPr>
          <w:rFonts w:hint="eastAsia" w:cs="宋体" w:asciiTheme="minorEastAsia" w:hAnsiTheme="minorEastAsia" w:eastAsiaTheme="minorEastAsia"/>
          <w:szCs w:val="21"/>
        </w:rPr>
        <w:t xml:space="preserve">（二）落实政府采购政策需满足的资格要求：</w:t>
      </w:r>
      <w:bookmarkStart w:id="13" w:name="OLE_LINK16"/>
      <w:r>
        <w:rPr>
          <w:rFonts w:hint="eastAsia" w:ascii="宋体" w:hAnsi="宋体"/>
          <w:b/>
          <w:szCs w:val="21"/>
        </w:rPr>
        <w:t xml:space="preserve">本项目属于面向中小企业采购项目，中小企业预留份额通过合同分包形式进行，获得采购合同的供应商应当将采购项目中不低于总金额40%的比例分包给一家或者多家中小企业，并在分包意向协议中明确。接受分包的中小企业和分包企业不得存在直接控股、管理关系。</w:t>
      </w:r>
      <w:r/>
    </w:p>
    <w:p>
      <w:pPr>
        <w:ind w:firstLine="420"/>
        <w:spacing w:line="360" w:lineRule="auto"/>
        <w:rPr>
          <w:rFonts w:ascii="宋体" w:hAnsi="宋体"/>
          <w:b/>
          <w:szCs w:val="21"/>
        </w:rPr>
      </w:pPr>
      <w:r>
        <w:rPr>
          <w:rFonts w:hint="eastAsia" w:ascii="宋体" w:hAnsi="宋体"/>
          <w:b/>
          <w:szCs w:val="21"/>
        </w:rPr>
        <w:t xml:space="preserve">若投标人为大型企业的，须按上述要求进行分包并提供相应材料；若投标人本身为中小企业的，视同符合本条资格要求，则可以不再进行分包。</w:t>
      </w:r>
      <w:r/>
    </w:p>
    <w:p>
      <w:pPr>
        <w:ind w:firstLine="420"/>
        <w:spacing w:line="360" w:lineRule="auto"/>
        <w:rPr>
          <w:rFonts w:cs="宋体" w:asciiTheme="minorEastAsia" w:hAnsiTheme="minorEastAsia" w:eastAsiaTheme="minorEastAsia"/>
          <w:szCs w:val="21"/>
        </w:rPr>
      </w:pPr>
      <w:r>
        <w:rPr>
          <w:rFonts w:hint="eastAsia" w:ascii="宋体" w:hAnsi="宋体"/>
          <w:b/>
          <w:szCs w:val="21"/>
        </w:rPr>
        <w:t xml:space="preserve">享受扶持政策获得政府采购合同的小微企业不得将合同分包给大中型企业，中型企业不得将合同分包给大型企业</w:t>
      </w:r>
      <w:r>
        <w:rPr>
          <w:rFonts w:ascii="宋体" w:hAnsi="宋体"/>
          <w:b/>
          <w:szCs w:val="21"/>
        </w:rPr>
        <w:t xml:space="preserve">；</w:t>
      </w:r>
      <w:r>
        <w:rPr>
          <w:rFonts w:hint="eastAsia" w:ascii="宋体" w:hAnsi="宋体"/>
          <w:b/>
          <w:bCs/>
          <w:szCs w:val="21"/>
        </w:rPr>
        <w:t xml:space="preserve">残疾人福利性单位、监狱企业视同小型、微型企业</w:t>
      </w:r>
      <w:bookmarkEnd w:id="13"/>
      <w:r>
        <w:rPr>
          <w:rFonts w:hint="eastAsia"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cs="宋体" w:asciiTheme="minorEastAsia" w:hAnsiTheme="minorEastAsia" w:eastAsiaTheme="minorEastAsia"/>
          <w:szCs w:val="21"/>
        </w:rPr>
      </w:pPr>
      <w:r>
        <w:rPr>
          <w:rFonts w:hint="eastAsia" w:ascii="宋体" w:hAnsi="宋体"/>
          <w:szCs w:val="21"/>
        </w:rPr>
        <w:t xml:space="preserve">未被“信用中国”网站（www.creditchina.gov.cn）列入失信被执行人、重大税收违法失信主体名单、政府采购严重违法失信行为记录名单。</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3.获取方式：“苏采云”系统自行下载招标文件。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本项目采用电子化招投标模式，投标人须线上提交投标文件，并可通过远程开标方式完成开标。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1.提交投标文件截止时间：2026年04月</w:t>
      </w: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2.开标时间：2026年04月</w:t>
      </w: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远程CA解密时间：以开标时“苏采云”系统为准。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苏州现场办理地址：苏州市高新区邓蔚路105号狮山科技馆一楼服务大厅，咨询电话：0512-65737699。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CA证书解密电子投标文件，如在系统规定的解密时间（10分钟）内未能完成解密的视为放弃投标。具体详见《苏采云系统供应商操作手册》。</w:t>
      </w:r>
      <w:r/>
    </w:p>
    <w:p>
      <w:pPr>
        <w:ind w:firstLine="420"/>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六、公告期限：</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自公告发布之日起5个工作日。</w:t>
      </w:r>
      <w:r/>
    </w:p>
    <w:p>
      <w:pPr>
        <w:ind w:firstLine="422"/>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b/>
          <w:szCs w:val="21"/>
        </w:rPr>
        <w:t xml:space="preserve">七、中标服务费：</w:t>
      </w:r>
      <w:r>
        <w:rPr>
          <w:rFonts w:hint="eastAsia" w:asciiTheme="minorEastAsia" w:hAnsiTheme="minorEastAsia" w:eastAsiaTheme="minorEastAsia"/>
          <w:szCs w:val="21"/>
        </w:rPr>
        <w:t xml:space="preserve">中标单位须按规定支付本项目的中标服务费，</w:t>
      </w:r>
      <w:r>
        <w:rPr>
          <w:rFonts w:hint="eastAsia" w:cs="宋体" w:asciiTheme="minorEastAsia" w:hAnsiTheme="minorEastAsia" w:eastAsiaTheme="minorEastAsia"/>
          <w:szCs w:val="21"/>
        </w:rPr>
        <w:t xml:space="preserve">该费用应在领取中标通知书前付清</w:t>
      </w:r>
      <w:r>
        <w:rPr>
          <w:rFonts w:hint="eastAsia" w:asciiTheme="minorEastAsia" w:hAnsiTheme="minorEastAsia" w:eastAsiaTheme="minorEastAsia"/>
          <w:szCs w:val="21"/>
        </w:rPr>
        <w:t xml:space="preserve">。以</w:t>
      </w:r>
      <w:r>
        <w:rPr>
          <w:rFonts w:hint="eastAsia" w:cs="宋体" w:asciiTheme="minorEastAsia" w:hAnsiTheme="minorEastAsia" w:eastAsiaTheme="minorEastAsia"/>
          <w:szCs w:val="21"/>
        </w:rPr>
        <w:t xml:space="preserve">差额定率累进法计算</w:t>
      </w:r>
      <w:r>
        <w:rPr>
          <w:rFonts w:hint="eastAsia" w:asciiTheme="minorEastAsia" w:hAnsiTheme="minorEastAsia" w:eastAsiaTheme="minorEastAsia"/>
          <w:szCs w:val="21"/>
        </w:rPr>
        <w:t xml:space="preserve">收费（按项目预算金额，100万元以下，收取1.5%；100-500万元，收取1.1%；500-1000万元，收取0.8%；1000-5000万元，收取0.5%；5000-10000万元，收取0.25%）。</w:t>
      </w:r>
      <w:r/>
    </w:p>
    <w:p>
      <w:pPr>
        <w:ind w:firstLine="482"/>
        <w:jc w:val="left"/>
        <w:spacing w:line="360" w:lineRule="auto"/>
        <w:shd w:val="clear" w:color="auto" w:fill="ffffff"/>
        <w:widowControl/>
        <w:rPr>
          <w:rFonts w:cs="宋体" w:asciiTheme="minorEastAsia" w:hAnsiTheme="minorEastAsia" w:eastAsiaTheme="minorEastAsia"/>
          <w:b/>
          <w:bCs/>
          <w:sz w:val="24"/>
        </w:rPr>
      </w:pPr>
      <w:r>
        <w:rPr>
          <w:rFonts w:hint="eastAsia" w:cs="宋体" w:asciiTheme="minorEastAsia" w:hAnsiTheme="minorEastAsia" w:eastAsiaTheme="minorEastAsia"/>
          <w:b/>
          <w:bCs/>
          <w:szCs w:val="21"/>
        </w:rPr>
        <w:t xml:space="preserve">八、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九、昆山市政府采购管理部门监督电话：0512-57310854。</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十、联系事项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1、采购单位：江苏昆山花桥经济开发区管理委员会</w:t>
      </w:r>
      <w:r/>
    </w:p>
    <w:p>
      <w:pPr>
        <w:ind w:firstLine="1575"/>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（昆山市公安局花桥派出所、昆山市公安局曹安派出所）</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联系人：梁列               联系电话：0512-57691132</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2、招标代理人（机构）：江苏鑫鲲煜工程项目管理咨询有限公司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联系电话：0512-57503882</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r/>
      <w:r/>
    </w:p>
    <w:p>
      <w:pPr>
        <w:pStyle w:val="697"/>
        <w:jc w:val="center"/>
        <w:rPr>
          <w:rFonts w:asciiTheme="majorEastAsia" w:hAnsiTheme="majorEastAsia" w:eastAsiaTheme="majorEastAsia" w:cstheme="majorEastAsia"/>
          <w:sz w:val="32"/>
          <w:szCs w:val="32"/>
        </w:rPr>
      </w:pPr>
      <w:r/>
      <w:bookmarkStart w:id="14" w:name="_Toc23452_WPSOffice_Level1"/>
      <w:r/>
      <w:bookmarkStart w:id="15" w:name="_Toc219987775"/>
      <w:r>
        <w:rPr>
          <w:rFonts w:hint="eastAsia" w:asciiTheme="majorEastAsia" w:hAnsiTheme="majorEastAsia" w:eastAsiaTheme="majorEastAsia" w:cstheme="majorEastAsia"/>
          <w:sz w:val="32"/>
          <w:szCs w:val="32"/>
        </w:rPr>
        <w:t xml:space="preserve">第二章  投标人须知</w:t>
      </w:r>
      <w:bookmarkEnd w:id="14"/>
      <w:r/>
      <w:bookmarkEnd w:id="15"/>
      <w:r/>
      <w:r/>
    </w:p>
    <w:p>
      <w:pPr>
        <w:pStyle w:val="929"/>
        <w:ind w:firstLine="422"/>
        <w:spacing w:line="360" w:lineRule="auto"/>
        <w:rPr>
          <w:rFonts w:ascii="宋体" w:hAnsi="宋体" w:eastAsia="宋体" w:cs="宋体"/>
          <w:b/>
          <w:color w:val="000000"/>
          <w:sz w:val="21"/>
          <w:szCs w:val="21"/>
        </w:rPr>
      </w:pPr>
      <w:r/>
      <w:bookmarkStart w:id="16" w:name="_Toc8538_WPSOffice_Level1"/>
      <w:r>
        <w:rPr>
          <w:rFonts w:hint="eastAsia" w:ascii="宋体" w:hAnsi="宋体" w:eastAsia="宋体" w:cs="宋体"/>
          <w:b/>
          <w:color w:val="000000"/>
          <w:sz w:val="21"/>
          <w:szCs w:val="21"/>
        </w:rPr>
        <w:t xml:space="preserve">一、说明和释义</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本招标文件仅适用于江苏鑫鲲煜工程项目管理咨询有限公司组织的本次招标活动。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1.2本次招标活动及因本次招标产生的合同受中国法律制约和保护。</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江苏鑫鲲煜工程项目管理咨询有限公司。</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9"/>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7" w:name="_Toc116396221"/>
      <w:r/>
      <w:bookmarkStart w:id="18" w:name="_Toc116396542"/>
      <w:r>
        <w:rPr>
          <w:rFonts w:hint="eastAsia" w:cs="宋体" w:asciiTheme="minorEastAsia" w:hAnsiTheme="minorEastAsia" w:eastAsiaTheme="minorEastAsia"/>
          <w:b/>
          <w:szCs w:val="21"/>
        </w:rPr>
        <w:t xml:space="preserve">二、投标人</w:t>
      </w:r>
      <w:bookmarkEnd w:id="17"/>
      <w:r/>
      <w:bookmarkEnd w:id="18"/>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详见“第一章投标邀请函”中申请人的资格要求。</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如投标人代表不是法定代表人，须持有《法定代表人授权委托书》（格式见附件）。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4、为保证项目质量，本项目不接受联合体投标。</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7"/>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2.1.3</w:t>
      </w:r>
      <w:r>
        <w:rPr>
          <w:rFonts w:ascii="宋体" w:hAnsi="宋体" w:cs="宋体"/>
          <w:b/>
          <w:color w:val="000000"/>
          <w:szCs w:val="21"/>
        </w:rPr>
        <w:t xml:space="preserve">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2.2资格审查文件</w:t>
      </w:r>
      <w:r>
        <w:rPr>
          <w:rFonts w:hint="eastAsia" w:ascii="宋体" w:hAnsi="宋体" w:cs="宋体"/>
          <w:b/>
          <w:color w:val="ff0000"/>
          <w:szCs w:val="21"/>
        </w:rPr>
        <w:t xml:space="preserve">（投标人必须提供以下材料，否则将被认定为未实质性响应招标文件要求或资格审查不合格）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2.2.1投标人满足《中华人民共和国政府采购法》第二十二条规定：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cs="宋体"/>
          <w:b/>
          <w:bCs/>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color w:val="000000"/>
          <w:szCs w:val="21"/>
        </w:rPr>
      </w:pPr>
      <w:r>
        <w:rPr>
          <w:rFonts w:hint="eastAsia" w:ascii="宋体" w:hAnsi="宋体" w:cs="宋体"/>
          <w:b/>
          <w:color w:val="000000"/>
          <w:szCs w:val="21"/>
        </w:rPr>
        <w:t xml:space="preserve">2.2.2.4分包相关材料：</w:t>
      </w:r>
      <w:r>
        <w:rPr>
          <w:rFonts w:hint="eastAsia" w:ascii="宋体" w:hAnsi="宋体" w:cs="宋体"/>
          <w:b/>
          <w:color w:val="ff0000"/>
          <w:szCs w:val="21"/>
        </w:rPr>
        <w:t xml:space="preserve">投标人如为大型企业的，除提供投标人的中小企业声明函外，还须按要求提供以下材料</w:t>
      </w:r>
      <w:r>
        <w:rPr>
          <w:rFonts w:ascii="宋体" w:hAnsi="宋体" w:cs="宋体"/>
          <w:b/>
          <w:color w:val="ff0000"/>
          <w:szCs w:val="21"/>
        </w:rPr>
        <w:t xml:space="preserve">，</w:t>
      </w:r>
      <w:r>
        <w:rPr>
          <w:rFonts w:hint="eastAsia" w:ascii="宋体" w:hAnsi="宋体" w:cs="宋体"/>
          <w:b/>
          <w:color w:val="ff0000"/>
          <w:szCs w:val="21"/>
        </w:rPr>
        <w:t xml:space="preserve">否则将被认定为资格审查不合格</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2.2.2.4.1分包意向协议（格式见第三章）；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2.2.2.4</w:t>
      </w:r>
      <w:r>
        <w:rPr>
          <w:rFonts w:ascii="宋体" w:hAnsi="宋体" w:cs="宋体"/>
          <w:color w:val="000000"/>
          <w:szCs w:val="21"/>
        </w:rPr>
        <w:t xml:space="preserve">.2</w:t>
      </w:r>
      <w:r>
        <w:rPr>
          <w:rFonts w:hint="eastAsia" w:ascii="宋体" w:hAnsi="宋体" w:cs="宋体"/>
          <w:color w:val="000000"/>
          <w:szCs w:val="21"/>
        </w:rPr>
        <w:t xml:space="preserve">分包意向单位的营业执照等证明文件；</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2.2.2.4</w:t>
      </w:r>
      <w:r>
        <w:rPr>
          <w:rFonts w:ascii="宋体" w:hAnsi="宋体" w:cs="宋体"/>
          <w:color w:val="000000"/>
          <w:szCs w:val="21"/>
        </w:rPr>
        <w:t xml:space="preserve">.3</w:t>
      </w:r>
      <w:r>
        <w:rPr>
          <w:rFonts w:hint="eastAsia" w:ascii="宋体" w:hAnsi="宋体" w:cs="宋体"/>
          <w:color w:val="000000"/>
          <w:szCs w:val="21"/>
        </w:rPr>
        <w:t xml:space="preserve">分包意向单位投标承诺函</w:t>
      </w:r>
      <w:r>
        <w:rPr>
          <w:rFonts w:ascii="宋体" w:hAnsi="宋体" w:cs="宋体"/>
          <w:color w:val="000000"/>
          <w:szCs w:val="21"/>
        </w:rPr>
        <w:t xml:space="preserve">（格式见第三章）</w:t>
      </w:r>
      <w:r>
        <w:rPr>
          <w:rFonts w:hint="eastAsia" w:ascii="宋体" w:hAnsi="宋体" w:cs="宋体"/>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2.2.2.4</w:t>
      </w:r>
      <w:r>
        <w:rPr>
          <w:rFonts w:ascii="宋体" w:hAnsi="宋体" w:cs="宋体"/>
          <w:color w:val="000000"/>
          <w:szCs w:val="21"/>
        </w:rPr>
        <w:t xml:space="preserve">.4</w:t>
      </w:r>
      <w:r>
        <w:rPr>
          <w:rFonts w:hint="eastAsia" w:ascii="宋体" w:hAnsi="宋体" w:cs="宋体"/>
          <w:color w:val="000000"/>
          <w:szCs w:val="21"/>
        </w:rPr>
        <w:t xml:space="preserve">分包意向单位的中小企业声明函或</w:t>
      </w:r>
      <w:r>
        <w:rPr>
          <w:rFonts w:ascii="宋体" w:hAnsi="宋体" w:cs="宋体"/>
          <w:color w:val="000000"/>
          <w:szCs w:val="21"/>
        </w:rPr>
        <w:t xml:space="preserve">残疾人福利性单位声明函</w:t>
      </w:r>
      <w:r>
        <w:rPr>
          <w:rFonts w:hint="eastAsia" w:ascii="宋体" w:hAnsi="宋体" w:cs="宋体"/>
          <w:color w:val="000000"/>
          <w:szCs w:val="21"/>
        </w:rPr>
        <w:t xml:space="preserve">或</w:t>
      </w:r>
      <w:r>
        <w:rPr>
          <w:rFonts w:ascii="宋体" w:hAnsi="宋体" w:cs="宋体"/>
          <w:color w:val="000000"/>
          <w:szCs w:val="21"/>
        </w:rPr>
        <w:t xml:space="preserve">监狱企业证明文件（格式见第三章）</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2.2.3本项目的特定资格条件的证明材料：</w:t>
      </w:r>
      <w:r/>
    </w:p>
    <w:p>
      <w:pPr>
        <w:ind w:firstLine="422"/>
        <w:jc w:val="left"/>
        <w:spacing w:line="360" w:lineRule="auto"/>
        <w:rPr>
          <w:rFonts w:ascii="宋体" w:hAnsi="宋体"/>
          <w:b/>
          <w:bCs/>
          <w:szCs w:val="21"/>
        </w:rPr>
      </w:pPr>
      <w:r>
        <w:rPr>
          <w:rFonts w:hint="eastAsia" w:ascii="宋体" w:hAnsi="宋体" w:cs="宋体"/>
          <w:color w:val="000000"/>
          <w:szCs w:val="21"/>
        </w:rPr>
        <w:t xml:space="preserve">2.2.3.1未被“信用中国”网站（www.creditchina.gov.cn）列入失信被执行人、重大税收违法失信主体名单、政府采购严重违法失信行为记录名单。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s="宋体"/>
          <w:b/>
          <w:color w:val="000000"/>
          <w:szCs w:val="21"/>
        </w:rPr>
      </w:pPr>
      <w:r>
        <w:rPr>
          <w:rFonts w:hint="eastAsia" w:ascii="宋体" w:hAnsi="宋体"/>
          <w:color w:val="000000"/>
          <w:szCs w:val="21"/>
        </w:rPr>
        <w:t xml:space="preserve">2.2.4其他有关资格证明的文件：无。</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（必须提供以下2.3.1-2.3.6对应材料，否则将被认定为未实质性响应招标文件要求）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2.3.1公开分项报价；（格式见第三章）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2.3.2投标承诺函；（格式见第三章）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2.3.3关于资格文件的声明函</w:t>
      </w:r>
      <w:r>
        <w:rPr>
          <w:rFonts w:hint="eastAsia" w:ascii="宋体" w:hAnsi="宋体" w:cs="宋体"/>
          <w:color w:val="000000"/>
          <w:szCs w:val="21"/>
        </w:rPr>
        <w:t xml:space="preserve">；</w:t>
      </w:r>
      <w:r>
        <w:rPr>
          <w:rFonts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2.3.4投标供应商情况表；（格式见第三章）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2.3.5响应及偏离表；（格式见第三章）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2.3.6投标货物和服务数量、品牌、规格型号、性能、交付时间说明表；（格式见第三章）</w:t>
      </w:r>
      <w:r/>
    </w:p>
    <w:p>
      <w:pPr>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2.3.7</w:t>
      </w:r>
      <w:r>
        <w:rPr>
          <w:rFonts w:hint="eastAsia" w:ascii="宋体" w:hAnsi="宋体" w:cs="宋体"/>
          <w:color w:val="000000"/>
          <w:szCs w:val="21"/>
        </w:rPr>
        <w:t xml:space="preserve">授权委托书、双方身份证、投标供应商近期为被授权人缴纳社保的证明；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.8其他有关符合性证明的文件。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pStyle w:val="930"/>
        <w:ind w:firstLine="422"/>
        <w:spacing w:line="360" w:lineRule="auto"/>
        <w:rPr>
          <w:rFonts w:ascii="宋体" w:hAnsi="宋体" w:cs="宋体"/>
          <w:bCs/>
          <w:color w:val="000000"/>
          <w:szCs w:val="21"/>
        </w:rPr>
      </w:pPr>
      <w:r>
        <w:rPr>
          <w:rFonts w:hint="eastAsia" w:ascii="宋体" w:hAnsi="宋体" w:cs="宋体"/>
          <w:bCs/>
          <w:color w:val="000000"/>
          <w:szCs w:val="21"/>
        </w:rPr>
        <w:t xml:space="preserve">2.4.1《关于符合本国产品标准的声明函》；（格式见第三章）</w:t>
      </w:r>
      <w:r/>
    </w:p>
    <w:p>
      <w:pPr>
        <w:pStyle w:val="930"/>
        <w:ind w:firstLine="422"/>
        <w:spacing w:line="360" w:lineRule="auto"/>
        <w:rPr>
          <w:rFonts w:ascii="宋体" w:hAnsi="宋体" w:cs="宋体"/>
          <w:bCs/>
          <w:color w:val="000000"/>
          <w:szCs w:val="21"/>
        </w:rPr>
      </w:pPr>
      <w:r>
        <w:rPr>
          <w:rFonts w:hint="eastAsia" w:ascii="宋体" w:hAnsi="宋体" w:cs="宋体"/>
          <w:bCs/>
          <w:color w:val="000000"/>
          <w:szCs w:val="21"/>
        </w:rPr>
        <w:t xml:space="preserve">2.4.2</w:t>
      </w:r>
      <w:r>
        <w:rPr>
          <w:rFonts w:hint="eastAsia" w:ascii="宋体" w:hAnsi="宋体" w:cs="宋体"/>
          <w:b/>
          <w:color w:val="000000"/>
          <w:szCs w:val="21"/>
        </w:rPr>
        <w:t xml:space="preserve">评分标准中要求提供的技术方案、材料等。</w:t>
      </w:r>
      <w:r/>
    </w:p>
    <w:p>
      <w:pPr>
        <w:pStyle w:val="930"/>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30"/>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2.7</w:t>
      </w:r>
      <w:r>
        <w:rPr>
          <w:rFonts w:hint="eastAsia" w:ascii="宋体" w:hAnsi="宋体"/>
          <w:color w:val="000000"/>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w:t>
      </w:r>
      <w:r>
        <w:rPr>
          <w:rFonts w:ascii="宋体" w:hAnsi="宋体"/>
          <w:b/>
          <w:color w:val="000000"/>
          <w:szCs w:val="21"/>
        </w:rPr>
        <w:t xml:space="preserve">需盖章或签字之处，应使用加盖公章及签字的电子签章</w:t>
      </w:r>
      <w:r>
        <w:rPr>
          <w:rFonts w:hint="eastAsia" w:ascii="宋体" w:hAnsi="宋体" w:cs="宋体"/>
          <w:b/>
          <w:bCs/>
          <w:szCs w:val="21"/>
        </w:rPr>
        <w:t xml:space="preserve">，如果未按要求制作上传，将被认定为未实质性响应招标文件要求。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w:t>
      </w:r>
      <w:r>
        <w:rPr>
          <w:rFonts w:hint="eastAsia" w:ascii="宋体" w:hAnsi="宋体" w:cs="宋体"/>
          <w:szCs w:val="21"/>
        </w:rPr>
        <w:t xml:space="preserve">签署合同所需的信息。</w:t>
      </w:r>
      <w:r>
        <w:rPr>
          <w:rFonts w:hint="eastAsia" w:ascii="宋体" w:hAnsi="宋体" w:cs="宋体"/>
          <w:bCs/>
          <w:color w:val="000000"/>
          <w:szCs w:val="21"/>
        </w:rPr>
        <w:t xml:space="preserve">勘察现场所发生的费用由投标供应商自行承担。</w:t>
      </w:r>
      <w:r/>
    </w:p>
    <w:p>
      <w:pPr>
        <w:pStyle w:val="92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p>
    <w:p>
      <w:pPr>
        <w:pStyle w:val="92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p>
    <w:p>
      <w:pPr>
        <w:pStyle w:val="92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w:t>
      </w:r>
      <w:r>
        <w:rPr>
          <w:rFonts w:hint="eastAsia" w:asciiTheme="minorEastAsia" w:hAnsiTheme="minorEastAsia" w:eastAsiaTheme="minorEastAsia"/>
          <w:szCs w:val="21"/>
        </w:rPr>
        <w:t xml:space="preserve">全部货物及辅配件、运输、装卸、安装、调试、测试、易损易耗件、工具、检测合格等一切费用</w:t>
      </w:r>
      <w:r>
        <w:rPr>
          <w:rFonts w:hint="eastAsia" w:ascii="宋体" w:hAnsi="宋体" w:cs="宋体"/>
          <w:color w:val="000000"/>
          <w:szCs w:val="21"/>
        </w:rPr>
        <w:t xml:space="preserve">。投标报价在合同实施期间不因市场变化因素而变动，除非合同另有约定或经双方协商同意，投标供应商不得再要求追加任何费用。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hint="eastAsia" w:cs="宋体" w:asciiTheme="minorEastAsia" w:hAnsiTheme="minorEastAsia" w:eastAsiaTheme="minorEastAsia"/>
          <w:szCs w:val="21"/>
        </w:rPr>
        <w:t xml:space="preserve">各投标供应商参与远程开标时需要随身携带CA证书及CA密码，输入CA密码的时间不超过苏采云系统解密的限制时间且CA密码输入次数不超过十次（以CA内置的错误计数为准），否则视为无效响应</w:t>
      </w:r>
      <w:r>
        <w:rPr>
          <w:rFonts w:cs="宋体" w:asciiTheme="minorEastAsia" w:hAnsiTheme="minorEastAsia" w:eastAsiaTheme="minorEastAsia"/>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
          <w:bCs/>
          <w:szCs w:val="21"/>
        </w:rPr>
        <w:t xml:space="preserve">。</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olor w:val="000000"/>
        </w:rPr>
        <w:t xml:space="preserve">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7、无效投标条款：</w:t>
      </w:r>
      <w:r/>
    </w:p>
    <w:p>
      <w:pPr>
        <w:ind w:firstLine="420"/>
        <w:spacing w:line="360" w:lineRule="auto"/>
        <w:rPr>
          <w:rFonts w:ascii="宋体" w:hAnsi="宋体"/>
          <w:color w:val="000000"/>
        </w:rPr>
      </w:pPr>
      <w:r>
        <w:rPr>
          <w:rFonts w:hint="eastAsia" w:ascii="宋体" w:hAnsi="宋体"/>
          <w:color w:val="000000"/>
        </w:rPr>
        <w:t xml:space="preserve">7.1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7.2投标人存在下列情况之一的，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7.2.1投标文件未按招标文件要求签署、盖章的；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7.2.2不具备招标文件中规定的资格要求的；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7.2.3报价超过招标文件中规定的预算金额或者最高限价的；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7.2.4投标文件中含有采购人不能接受的附加条件的；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7.2.5投标文件不能满足招标文件的实质性要求的；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7.2.6供应商查询中，不同供应商上传投标文件所使用的电脑的MAC地址和标书制作工具客户端标识码均一致的（如发现违法违规行为，将依法追究其法律责任）；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7.2.7法律、法规和招标文件规定的其他无效情形。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8、</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8.1</w:t>
      </w:r>
      <w:r>
        <w:rPr>
          <w:rFonts w:hint="eastAsia" w:ascii="宋体" w:hAnsi="宋体" w:cs="宋体"/>
          <w:color w:val="000000"/>
          <w:szCs w:val="21"/>
        </w:rPr>
        <w:t xml:space="preserve"> 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8.1.1符合专业条件的供应商或者对招标文件作实质性响应的供应商不足三家的；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8.1.2出现影响采购公正的违法、违规行为的；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8.1.3投标人的报价均超过了采购预算，采购人不能支付的；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8.1.4因重大变故，采购任务取消的。</w:t>
      </w:r>
      <w:r/>
    </w:p>
    <w:p>
      <w:pPr>
        <w:ind w:firstLine="420"/>
        <w:spacing w:line="360" w:lineRule="auto"/>
        <w:rPr>
          <w:rFonts w:ascii="宋体" w:hAnsi="宋体"/>
          <w:color w:val="000000"/>
        </w:rPr>
      </w:pPr>
      <w:r>
        <w:rPr>
          <w:rFonts w:hint="eastAsia" w:ascii="宋体" w:hAnsi="宋体"/>
          <w:color w:val="000000"/>
        </w:rPr>
        <w:t xml:space="preserve">8.1.5评标委员会发现招标文件存在歧义、重大缺陷导致评标工作无法进行，或者招标文件内容违反国家有关强制性规定的。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8.1.6因苏采云系统系统故障原因造成开标不成功的。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8.1.7投标截止时间结束后参加投标的供应商不足三家的处理：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8.1.7.1如出现投标截止时间结束后参加投标的供应商或者在评标期间对招标文件做出实质响应的供应商不足三家情况，按政府采购相关规定执行。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8.2.废标后，采购代理机构将把废标的理由通知所有投标人。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推荐中标候选供应商名单，或者受招标人委托</w:t>
      </w:r>
      <w:r>
        <w:rPr>
          <w:rFonts w:hint="eastAsia" w:cs="宋体" w:asciiTheme="minorEastAsia" w:hAnsiTheme="minorEastAsia" w:eastAsiaTheme="minorEastAsia"/>
          <w:szCs w:val="21"/>
        </w:rPr>
        <w:t xml:space="preserve">按照事先确定的办法</w:t>
      </w:r>
      <w:r>
        <w:rPr>
          <w:rFonts w:hint="eastAsia" w:ascii="宋体" w:hAnsi="宋体" w:cs="宋体"/>
          <w:color w:val="000000"/>
          <w:szCs w:val="21"/>
        </w:rPr>
        <w:t xml:space="preserve">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采购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2.2质疑项目名称、编号；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ascii="宋体" w:hAnsi="宋体" w:cs="宋体"/>
          <w:bCs/>
          <w:color w:val="000000"/>
          <w:szCs w:val="21"/>
        </w:rPr>
        <w:t xml:space="preserve">2.7</w:t>
      </w:r>
      <w:r>
        <w:rPr>
          <w:rFonts w:hint="eastAsia" w:ascii="宋体" w:hAnsi="宋体" w:cs="宋体"/>
          <w:bCs/>
          <w:color w:val="000000"/>
          <w:szCs w:val="21"/>
        </w:rPr>
        <w:t xml:space="preserve">依法获取采购文件的证明（《投标供应商确认函》）；</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为自然人的，应当由本人签字；投标供应商为法人或者其他组织的，应当由法定代表人（或经营者等）或者其被授权人签字或者盖章，并加盖公章；同时应附上营业执照、相关人员身份证明的证明材料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2.9投标供应商委托被授权人进行质疑，应当提交投标供应商签署的授权委托书及近期社保证明，其授权书应当载明被授权人的姓名或者名称、授权事项、具体权限、期限和相关事项；如委托</w:t>
      </w:r>
      <w:r>
        <w:rPr>
          <w:rFonts w:hint="eastAsia" w:ascii="宋体" w:hAnsi="宋体" w:cs="宋体"/>
          <w:bCs/>
          <w:color w:val="000000"/>
          <w:szCs w:val="21"/>
        </w:rPr>
        <w:t xml:space="preserve">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1.1中标单位须按规定支付中标服务费，以预算金额为基数按差额定率累进法计算收费: 按预算金额100万元以下，收取1.5%；100-500万元，收取1.1%；500-1000万元，收取0.8%；1000-5000万元，收取0.5%；5000-10000万元，收取0.25%；10000-100000万元，收取0.05%。</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1.2该费用由中标单位基本账户转至我司中标服务费基本账户。（企业名称：江苏鑫鲲煜工程项目管理咨询有限公司  账号：1102231709000119010  开户行：中国工商银行股份有限公司昆山花望路支行）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1.3中标单位如果未按规定缴纳中标服务费，我单位保留诉讼的权利。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1.4中标单位须按规定支付中标服务费，该费用应在领取中标通知书前付清。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3.2中标后中标单位需提供投标文件2套，用于项目归档使用。</w:t>
      </w:r>
      <w:r>
        <w:rPr>
          <w:rFonts w:hint="eastAsia" w:cs="宋体" w:asciiTheme="minorEastAsia" w:hAnsiTheme="minorEastAsia" w:eastAsiaTheme="minorEastAsia"/>
          <w:sz w:val="24"/>
        </w:rPr>
        <w:t xml:space="preserve">  </w:t>
      </w:r>
      <w:r/>
    </w:p>
    <w:p>
      <w:pPr>
        <w:pStyle w:val="697"/>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697"/>
        <w:jc w:val="center"/>
        <w:rPr>
          <w:rFonts w:asciiTheme="majorEastAsia" w:hAnsiTheme="majorEastAsia" w:eastAsiaTheme="majorEastAsia" w:cstheme="majorEastAsia"/>
          <w:sz w:val="32"/>
          <w:szCs w:val="32"/>
        </w:rPr>
      </w:pPr>
      <w:r/>
      <w:bookmarkStart w:id="19" w:name="_Toc219987776"/>
      <w:r>
        <w:rPr>
          <w:rFonts w:hint="eastAsia" w:asciiTheme="majorEastAsia" w:hAnsiTheme="majorEastAsia" w:eastAsiaTheme="majorEastAsia" w:cstheme="majorEastAsia"/>
          <w:sz w:val="32"/>
          <w:szCs w:val="32"/>
        </w:rPr>
        <w:t xml:space="preserve">第三章  投标文件格式</w:t>
      </w:r>
      <w:bookmarkStart w:id="20" w:name="gpcItem_SubmitDocStruct"/>
      <w:r/>
      <w:bookmarkEnd w:id="19"/>
      <w:r/>
      <w:bookmarkEnd w:id="20"/>
      <w:r/>
      <w:r/>
    </w:p>
    <w:p>
      <w:pPr>
        <w:pStyle w:val="887"/>
        <w:ind w:firstLine="417"/>
        <w:spacing w:line="360" w:lineRule="auto"/>
        <w:rPr>
          <w:rFonts w:ascii="宋体" w:hAnsi="宋体"/>
          <w:b/>
          <w:sz w:val="21"/>
          <w:szCs w:val="21"/>
        </w:rPr>
      </w:pPr>
      <w:r>
        <w:rPr>
          <w:rFonts w:ascii="宋体" w:hAnsi="宋体"/>
          <w:b/>
          <w:sz w:val="21"/>
          <w:szCs w:val="21"/>
        </w:rPr>
      </w:r>
      <w:r/>
    </w:p>
    <w:p>
      <w:pPr>
        <w:pStyle w:val="887"/>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7"/>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7"/>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bookmarkStart w:id="21"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1、资格条件承诺函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2、法定代表人授权委托书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4、开标一览表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_Ref343881459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5、公开分项报价表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_Ref159162392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6、投标货物和服务数量、品牌、规格型号、性能、交付时间说明表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_Ref38625135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6、投标货物和服务数量、品牌、规格型号、性能、交付时间说明表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7、人员配置情况表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_Ref24653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8、类似业绩一览表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_Ref116369662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9、响应及偏离表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10、中小企业声明函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11、残疾人福利性单位声明函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12、分包意向协议</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_Ref224731517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12、分包意向协议</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13、关于符合本国产品标准的声明函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_Ref224731732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13、关于符合本国产品标准的声明函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14、</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rPr>
                <w:rFonts w:cs="宋体" w:asciiTheme="minorEastAsia" w:hAnsiTheme="minorEastAsia" w:eastAsiaTheme="minorEastAsia"/>
                <w:sz w:val="21"/>
                <w:szCs w:val="21"/>
              </w:rPr>
              <w:t xml:space="preserve">资格证明文件</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15、资格证明文件</w:t>
            </w:r>
            <w:r>
              <w:rPr>
                <w:rFonts w:cs="宋体" w:asciiTheme="minorEastAsia" w:hAnsiTheme="minorEastAsia" w:eastAsiaTheme="minorEastAsia"/>
                <w:sz w:val="21"/>
                <w:szCs w:val="21"/>
              </w:rPr>
              <w:fldChar w:fldCharType="end"/>
            </w:r>
            <w:bookmarkEnd w:id="21"/>
            <w:r/>
            <w:r/>
          </w:p>
        </w:tc>
      </w:tr>
    </w:tbl>
    <w:p>
      <w:r/>
      <w:r/>
    </w:p>
    <w:p>
      <w:r/>
      <w:r/>
    </w:p>
    <w:p>
      <w:r/>
      <w:r/>
    </w:p>
    <w:p>
      <w:r/>
      <w:r/>
    </w:p>
    <w:p>
      <w:r/>
      <w:r/>
    </w:p>
    <w:p>
      <w:r/>
      <w:r/>
    </w:p>
    <w:p>
      <w:pPr>
        <w:pStyle w:val="884"/>
        <w:rPr>
          <w:rFonts w:hint="default"/>
        </w:rPr>
      </w:pPr>
      <w:r>
        <w:rPr>
          <w:rFonts w:hint="default"/>
        </w:rPr>
      </w:r>
      <w:r/>
    </w:p>
    <w:p>
      <w:r/>
      <w:r/>
    </w:p>
    <w:p>
      <w:pPr>
        <w:pStyle w:val="884"/>
        <w:rPr>
          <w:rFonts w:hint="default"/>
        </w:rPr>
      </w:pPr>
      <w:r>
        <w:rPr>
          <w:rFonts w:hint="default"/>
        </w:rPr>
      </w:r>
      <w:r/>
    </w:p>
    <w:p>
      <w:r/>
      <w:r/>
    </w:p>
    <w:p>
      <w:r/>
      <w:r/>
    </w:p>
    <w:p>
      <w:r/>
      <w:r/>
    </w:p>
    <w:p>
      <w:pPr>
        <w:pStyle w:val="698"/>
        <w:rPr>
          <w:rFonts w:ascii="宋体"/>
          <w:bCs w:val="0"/>
          <w:sz w:val="28"/>
          <w:szCs w:val="28"/>
        </w:rPr>
      </w:pPr>
      <w:r/>
      <w:bookmarkStart w:id="22" w:name="_Toc116396231"/>
      <w:r/>
      <w:bookmarkStart w:id="23" w:name="_Toc116396552"/>
      <w:r/>
      <w:bookmarkStart w:id="24" w:name="_Ref24307"/>
      <w:r/>
      <w:bookmarkStart w:id="25" w:name="_Ref219902571"/>
      <w:r/>
      <w:bookmarkStart w:id="26" w:name="_Toc219987777"/>
      <w:r>
        <w:rPr>
          <w:rFonts w:hint="eastAsia" w:ascii="宋体"/>
          <w:bCs w:val="0"/>
          <w:sz w:val="28"/>
          <w:szCs w:val="28"/>
        </w:rPr>
        <w:t xml:space="preserve">1、</w:t>
      </w:r>
      <w:bookmarkEnd w:id="22"/>
      <w:r/>
      <w:bookmarkEnd w:id="23"/>
      <w:r/>
      <w:bookmarkEnd w:id="24"/>
      <w:r>
        <w:rPr>
          <w:rFonts w:hint="eastAsia" w:ascii="宋体"/>
          <w:bCs w:val="0"/>
          <w:sz w:val="28"/>
          <w:szCs w:val="28"/>
        </w:rPr>
        <w:t xml:space="preserve">资格条件承诺函</w:t>
      </w:r>
      <w:bookmarkEnd w:id="25"/>
      <w:r/>
      <w:bookmarkEnd w:id="26"/>
      <w:r/>
      <w:r/>
    </w:p>
    <w:p>
      <w:pPr>
        <w:pStyle w:val="887"/>
        <w:jc w:val="center"/>
        <w:spacing w:line="360" w:lineRule="auto"/>
        <w:rPr>
          <w:rFonts w:ascii="宋体"/>
          <w:sz w:val="21"/>
          <w:szCs w:val="21"/>
          <w:lang w:val="zh-CN"/>
        </w:rPr>
      </w:pPr>
      <w:r/>
      <w:bookmarkStart w:id="27" w:name="_Ref77065776"/>
      <w:r/>
      <w:bookmarkStart w:id="28" w:name="_Ref24336"/>
      <w:r/>
      <w:bookmarkStart w:id="29" w:name="_Ref103254055"/>
      <w:r>
        <w:rPr>
          <w:rFonts w:hint="eastAsia" w:ascii="宋体"/>
          <w:sz w:val="21"/>
          <w:szCs w:val="21"/>
        </w:rPr>
        <w:t xml:space="preserve">资格条件</w:t>
      </w:r>
      <w:r>
        <w:rPr>
          <w:rFonts w:hint="eastAsia" w:ascii="宋体"/>
          <w:sz w:val="21"/>
          <w:szCs w:val="21"/>
          <w:lang w:val="zh-CN"/>
        </w:rPr>
        <w:t xml:space="preserve">承诺函</w:t>
      </w:r>
      <w:r/>
    </w:p>
    <w:p>
      <w:pPr>
        <w:pStyle w:val="887"/>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江苏鑫鲲煜工程项目管理咨询有限公司 </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7"/>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7"/>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887"/>
        <w:jc w:val="both"/>
        <w:spacing w:line="360" w:lineRule="auto"/>
        <w:rPr>
          <w:rFonts w:ascii="宋体"/>
          <w:sz w:val="21"/>
          <w:szCs w:val="21"/>
          <w:lang w:val="zh-CN"/>
        </w:rPr>
      </w:pPr>
      <w:r>
        <w:rPr>
          <w:rFonts w:ascii="宋体"/>
          <w:sz w:val="21"/>
          <w:szCs w:val="21"/>
          <w:lang w:val="zh-CN"/>
        </w:rPr>
      </w:r>
      <w:r/>
    </w:p>
    <w:p>
      <w:pPr>
        <w:pStyle w:val="887"/>
        <w:jc w:val="both"/>
        <w:spacing w:line="360" w:lineRule="auto"/>
        <w:rPr>
          <w:rFonts w:ascii="宋体"/>
          <w:sz w:val="21"/>
          <w:szCs w:val="21"/>
          <w:lang w:val="zh-CN"/>
        </w:rPr>
      </w:pPr>
      <w:r>
        <w:rPr>
          <w:rFonts w:ascii="宋体"/>
          <w:sz w:val="21"/>
          <w:szCs w:val="21"/>
          <w:lang w:val="zh-CN"/>
        </w:rPr>
      </w:r>
      <w:r/>
    </w:p>
    <w:p>
      <w:pPr>
        <w:pStyle w:val="887"/>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ind w:firstLine="4560"/>
        <w:jc w:val="both"/>
        <w:spacing w:line="360" w:lineRule="auto"/>
        <w:rPr>
          <w:rFonts w:ascii="宋体"/>
        </w:rPr>
      </w:pPr>
      <w:r>
        <w:rPr>
          <w:rFonts w:hint="eastAsia" w:ascii="宋体"/>
          <w:szCs w:val="21"/>
          <w:lang w:val="zh-CN"/>
        </w:rPr>
        <w:t xml:space="preserve">日期：    年    月    日</w:t>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698"/>
        <w:rPr>
          <w:rFonts w:ascii="宋体"/>
          <w:bCs w:val="0"/>
          <w:sz w:val="28"/>
          <w:szCs w:val="28"/>
        </w:rPr>
      </w:pPr>
      <w:r/>
      <w:bookmarkStart w:id="30" w:name="_Ref108767978"/>
      <w:r/>
      <w:bookmarkStart w:id="31" w:name="_Toc116396553"/>
      <w:r/>
      <w:bookmarkStart w:id="32" w:name="_Toc116396232"/>
      <w:r/>
      <w:bookmarkStart w:id="33" w:name="_Toc219987778"/>
      <w:r>
        <w:rPr>
          <w:rFonts w:hint="eastAsia" w:ascii="宋体"/>
          <w:bCs w:val="0"/>
          <w:sz w:val="28"/>
          <w:szCs w:val="28"/>
        </w:rPr>
        <w:t xml:space="preserve">2、</w:t>
      </w:r>
      <w:bookmarkStart w:id="34" w:name="_Ref24382"/>
      <w:r/>
      <w:bookmarkStart w:id="35" w:name="_Toc62460934"/>
      <w:r/>
      <w:bookmarkStart w:id="36" w:name="_Ref501489515"/>
      <w:r>
        <w:rPr>
          <w:rFonts w:hint="eastAsia" w:ascii="宋体"/>
          <w:bCs w:val="0"/>
          <w:sz w:val="28"/>
          <w:szCs w:val="28"/>
        </w:rPr>
        <w:t xml:space="preserve">法定代表人授权委托书</w:t>
      </w:r>
      <w:bookmarkEnd w:id="27"/>
      <w:r/>
      <w:bookmarkEnd w:id="28"/>
      <w:r/>
      <w:bookmarkEnd w:id="29"/>
      <w:r/>
      <w:bookmarkEnd w:id="30"/>
      <w:r/>
      <w:bookmarkEnd w:id="31"/>
      <w:r/>
      <w:bookmarkEnd w:id="32"/>
      <w:r/>
      <w:bookmarkEnd w:id="33"/>
      <w:r/>
      <w:bookmarkEnd w:id="34"/>
      <w:r/>
      <w:bookmarkEnd w:id="35"/>
      <w:r/>
      <w:bookmarkEnd w:id="36"/>
      <w:r/>
      <w:r/>
    </w:p>
    <w:p>
      <w:pPr>
        <w:pStyle w:val="887"/>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7"/>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江苏鑫鲲煜工程项目管理咨询有限公司</w:t>
      </w:r>
      <w:r>
        <w:rPr>
          <w:rFonts w:hint="eastAsia" w:ascii="宋体"/>
          <w:sz w:val="21"/>
          <w:szCs w:val="21"/>
        </w:rPr>
        <w:t xml:space="preserve">：</w:t>
      </w:r>
      <w:r/>
    </w:p>
    <w:p>
      <w:pPr>
        <w:pStyle w:val="887"/>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（被授权人身份证号）为我公司被授权人，以本公司的名义参加江苏鑫鲲煜工程项目管理咨询有限公司组织实施的编号为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7"/>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7"/>
        <w:jc w:val="both"/>
        <w:spacing w:line="360" w:lineRule="auto"/>
        <w:rPr>
          <w:rFonts w:ascii="宋体"/>
          <w:sz w:val="21"/>
          <w:szCs w:val="21"/>
        </w:rPr>
      </w:pPr>
      <w:r>
        <w:rPr>
          <w:rFonts w:hint="eastAsia" w:ascii="宋体"/>
          <w:sz w:val="21"/>
          <w:szCs w:val="21"/>
        </w:rPr>
        <w:t xml:space="preserve">被授权人无转委托权，特此委托。</w:t>
      </w:r>
      <w:r/>
    </w:p>
    <w:p>
      <w:pPr>
        <w:pStyle w:val="887"/>
        <w:jc w:val="both"/>
        <w:spacing w:line="360" w:lineRule="auto"/>
        <w:rPr>
          <w:rFonts w:ascii="宋体"/>
          <w:sz w:val="21"/>
          <w:szCs w:val="21"/>
        </w:rPr>
      </w:pPr>
      <w:r>
        <w:rPr>
          <w:rFonts w:ascii="宋体"/>
          <w:sz w:val="21"/>
          <w:szCs w:val="21"/>
        </w:rPr>
      </w:r>
      <w:r/>
    </w:p>
    <w:p>
      <w:pPr>
        <w:pStyle w:val="887"/>
        <w:jc w:val="both"/>
        <w:spacing w:line="360" w:lineRule="auto"/>
        <w:rPr>
          <w:rFonts w:ascii="宋体"/>
          <w:sz w:val="21"/>
          <w:szCs w:val="21"/>
        </w:rPr>
      </w:pPr>
      <w:r>
        <w:rPr>
          <w:rFonts w:hint="eastAsia" w:ascii="宋体"/>
          <w:b/>
          <w:bCs/>
          <w:sz w:val="21"/>
          <w:szCs w:val="21"/>
        </w:rPr>
        <w:t xml:space="preserve">（如投标供应商为个体经营户等，无法定代表人，应视情况自行修改，但不得改变授权书的意思表示）</w:t>
      </w:r>
      <w:r/>
    </w:p>
    <w:p>
      <w:pPr>
        <w:pStyle w:val="887"/>
        <w:jc w:val="both"/>
        <w:spacing w:line="360" w:lineRule="auto"/>
        <w:rPr>
          <w:rFonts w:ascii="宋体"/>
          <w:sz w:val="21"/>
          <w:szCs w:val="21"/>
        </w:rPr>
      </w:pPr>
      <w:r>
        <w:rPr>
          <w:rFonts w:ascii="宋体"/>
          <w:sz w:val="21"/>
          <w:szCs w:val="21"/>
        </w:rPr>
      </w:r>
      <w:r/>
    </w:p>
    <w:p>
      <w:pPr>
        <w:pStyle w:val="887"/>
        <w:jc w:val="center"/>
        <w:spacing w:line="360" w:lineRule="auto"/>
        <w:rPr>
          <w:rFonts w:ascii="宋体"/>
          <w:sz w:val="21"/>
          <w:szCs w:val="21"/>
        </w:rPr>
      </w:pPr>
      <w:r>
        <w:rPr>
          <w:rFonts w:hint="eastAsia" w:ascii="宋体"/>
          <w:sz w:val="21"/>
          <w:szCs w:val="21"/>
        </w:rPr>
        <w:t xml:space="preserve">投标供应商：（盖章）</w:t>
      </w:r>
      <w:r/>
    </w:p>
    <w:p>
      <w:pPr>
        <w:pStyle w:val="887"/>
        <w:jc w:val="center"/>
        <w:spacing w:line="360" w:lineRule="auto"/>
        <w:rPr>
          <w:rFonts w:ascii="宋体"/>
          <w:sz w:val="21"/>
          <w:szCs w:val="21"/>
        </w:rPr>
      </w:pPr>
      <w:r>
        <w:rPr>
          <w:rFonts w:hint="eastAsia" w:ascii="宋体"/>
          <w:sz w:val="21"/>
          <w:szCs w:val="21"/>
        </w:rPr>
        <w:t xml:space="preserve">      法定代表人：（签字或盖章）</w:t>
      </w:r>
      <w:r/>
    </w:p>
    <w:p>
      <w:pPr>
        <w:pStyle w:val="887"/>
        <w:jc w:val="center"/>
        <w:spacing w:line="360" w:lineRule="auto"/>
        <w:rPr>
          <w:rFonts w:ascii="宋体"/>
          <w:sz w:val="21"/>
          <w:szCs w:val="21"/>
        </w:rPr>
      </w:pPr>
      <w:r>
        <w:rPr>
          <w:rFonts w:hint="eastAsia" w:ascii="宋体"/>
          <w:sz w:val="21"/>
          <w:szCs w:val="21"/>
        </w:rPr>
        <w:t xml:space="preserve">    被授权人：（签字或盖章）</w:t>
      </w:r>
      <w:r/>
    </w:p>
    <w:p>
      <w:pPr>
        <w:pStyle w:val="887"/>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8"/>
        <w:rPr>
          <w:rFonts w:ascii="宋体"/>
          <w:bCs w:val="0"/>
          <w:sz w:val="28"/>
          <w:szCs w:val="28"/>
        </w:rPr>
      </w:pPr>
      <w:r/>
      <w:bookmarkStart w:id="37" w:name="_Toc62460935"/>
      <w:r/>
      <w:bookmarkStart w:id="38" w:name="_Ref366160082"/>
      <w:r/>
      <w:bookmarkStart w:id="39" w:name="_Toc116396233"/>
      <w:r/>
      <w:bookmarkStart w:id="40" w:name="_Ref77065825"/>
      <w:r/>
      <w:bookmarkStart w:id="41" w:name="_Toc116396554"/>
      <w:r/>
      <w:bookmarkStart w:id="42" w:name="_Toc497431308"/>
      <w:r/>
      <w:bookmarkStart w:id="43" w:name="_Ref219902578"/>
      <w:r/>
      <w:bookmarkStart w:id="44" w:name="_Toc219987779"/>
      <w:r>
        <w:rPr>
          <w:rFonts w:hint="eastAsia" w:ascii="宋体"/>
          <w:bCs w:val="0"/>
          <w:sz w:val="28"/>
          <w:szCs w:val="28"/>
        </w:rPr>
        <w:t xml:space="preserve">3、</w:t>
      </w:r>
      <w:bookmarkEnd w:id="37"/>
      <w:r/>
      <w:bookmarkEnd w:id="38"/>
      <w:r/>
      <w:bookmarkEnd w:id="39"/>
      <w:r/>
      <w:bookmarkEnd w:id="40"/>
      <w:r/>
      <w:bookmarkEnd w:id="41"/>
      <w:r/>
      <w:bookmarkEnd w:id="42"/>
      <w:r>
        <w:rPr>
          <w:rFonts w:hint="eastAsia" w:ascii="宋体"/>
          <w:bCs w:val="0"/>
          <w:sz w:val="28"/>
          <w:szCs w:val="28"/>
        </w:rPr>
        <w:t xml:space="preserve">投标承诺函</w:t>
      </w:r>
      <w:bookmarkEnd w:id="43"/>
      <w:r/>
      <w:bookmarkEnd w:id="44"/>
      <w:r/>
      <w:r/>
    </w:p>
    <w:p>
      <w:pPr>
        <w:pStyle w:val="904"/>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江苏鑫鲲煜工程项目管理咨询有限公司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4"/>
        <w:ind w:firstLine="5040"/>
        <w:rPr>
          <w:rFonts w:eastAsia="宋体"/>
          <w:sz w:val="21"/>
          <w:szCs w:val="21"/>
        </w:rPr>
      </w:pPr>
      <w:r>
        <w:rPr>
          <w:rFonts w:hint="eastAsia" w:eastAsia="宋体" w:cs="宋体"/>
          <w:color w:val="000000"/>
          <w:sz w:val="21"/>
          <w:szCs w:val="21"/>
        </w:rPr>
        <w:t xml:space="preserve">日期：      年     月     日</w:t>
      </w:r>
      <w:r/>
    </w:p>
    <w:p>
      <w:r/>
      <w:r/>
    </w:p>
    <w:p>
      <w:pPr>
        <w:pStyle w:val="698"/>
        <w:rPr>
          <w:rFonts w:ascii="宋体"/>
          <w:bCs w:val="0"/>
          <w:sz w:val="28"/>
          <w:szCs w:val="28"/>
        </w:rPr>
      </w:pPr>
      <w:r/>
      <w:bookmarkStart w:id="45" w:name="_Toc497431309"/>
      <w:r/>
      <w:bookmarkStart w:id="46" w:name="_Toc116396555"/>
      <w:r/>
      <w:bookmarkStart w:id="47" w:name="_Ref343881459"/>
      <w:r/>
      <w:bookmarkStart w:id="48" w:name="_Toc62460936"/>
      <w:r/>
      <w:bookmarkStart w:id="49" w:name="_Toc116396234"/>
      <w:r/>
      <w:bookmarkStart w:id="50" w:name="_Toc219987780"/>
      <w:r>
        <w:rPr>
          <w:rFonts w:hint="eastAsia" w:ascii="宋体"/>
          <w:bCs w:val="0"/>
          <w:sz w:val="28"/>
          <w:szCs w:val="28"/>
        </w:rPr>
        <w:t xml:space="preserve">4、开标一览表</w:t>
      </w:r>
      <w:bookmarkEnd w:id="45"/>
      <w:r/>
      <w:bookmarkEnd w:id="46"/>
      <w:r/>
      <w:bookmarkEnd w:id="47"/>
      <w:r/>
      <w:bookmarkEnd w:id="48"/>
      <w:r/>
      <w:bookmarkEnd w:id="49"/>
      <w:r/>
      <w:bookmarkEnd w:id="50"/>
      <w:r/>
      <w:r/>
    </w:p>
    <w:p>
      <w:pPr>
        <w:pStyle w:val="904"/>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JSZC-320583-XKYG-G2026-0004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2026年花桥技防设施提升项目</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jc w:val="left"/>
        <w:spacing w:before="100" w:beforeAutospacing="1" w:after="100" w:afterAutospacing="1"/>
        <w:widowControl/>
        <w:rPr>
          <w:rFonts w:ascii="宋体" w:hAnsi="宋体" w:cs="宋体"/>
          <w:szCs w:val="21"/>
        </w:rPr>
      </w:pPr>
      <w:r>
        <w:rPr>
          <w:rFonts w:ascii="宋体" w:hAnsi="宋体" w:cs="宋体"/>
          <w:szCs w:val="21"/>
        </w:rPr>
        <w:t xml:space="preserve">填写说明：</w:t>
      </w:r>
      <w:r/>
    </w:p>
    <w:p>
      <w:pPr>
        <w:jc w:val="left"/>
        <w:spacing w:before="100" w:beforeAutospacing="1" w:after="100" w:afterAutospacing="1"/>
        <w:widowControl/>
        <w:rPr>
          <w:rFonts w:ascii="宋体" w:hAnsi="宋体" w:cs="宋体"/>
          <w:szCs w:val="21"/>
        </w:rPr>
      </w:pPr>
      <w:r>
        <w:rPr>
          <w:rFonts w:ascii="宋体" w:hAnsi="宋体" w:cs="宋体"/>
          <w:iCs/>
          <w:szCs w:val="21"/>
        </w:rPr>
        <w:t xml:space="preserve">1、开标一览表必须加盖投标人公章（复印件无效）。</w:t>
      </w:r>
      <w:r/>
    </w:p>
    <w:p>
      <w:pPr>
        <w:rPr>
          <w:szCs w:val="21"/>
        </w:rPr>
      </w:pPr>
      <w:r>
        <w:rPr>
          <w:rFonts w:ascii="宋体" w:hAnsi="宋体" w:cs="宋体"/>
          <w:iCs/>
          <w:szCs w:val="21"/>
        </w:rPr>
        <w:t xml:space="preserve">2、如有分包，投标人投任何一个包的标的，都需单独填写开标一览表。</w:t>
      </w:r>
      <w:r/>
    </w:p>
    <w:p>
      <w:pPr>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8"/>
        <w:rPr>
          <w:rFonts w:ascii="宋体"/>
          <w:bCs w:val="0"/>
          <w:sz w:val="28"/>
          <w:szCs w:val="28"/>
        </w:rPr>
      </w:pPr>
      <w:r/>
      <w:bookmarkStart w:id="51" w:name="_Toc116396235"/>
      <w:r/>
      <w:bookmarkStart w:id="52" w:name="_Toc116396556"/>
      <w:r/>
      <w:bookmarkStart w:id="53" w:name="_Ref24545"/>
      <w:r/>
      <w:bookmarkStart w:id="54" w:name="_Ref159162392"/>
      <w:r/>
      <w:bookmarkStart w:id="55" w:name="_Toc219987781"/>
      <w:r>
        <w:rPr>
          <w:rFonts w:hint="eastAsia" w:ascii="宋体"/>
          <w:bCs w:val="0"/>
          <w:sz w:val="28"/>
          <w:szCs w:val="28"/>
        </w:rPr>
        <w:t xml:space="preserve">5、公开分项</w:t>
      </w:r>
      <w:bookmarkEnd w:id="51"/>
      <w:r/>
      <w:bookmarkEnd w:id="52"/>
      <w:r/>
      <w:bookmarkEnd w:id="53"/>
      <w:r>
        <w:rPr>
          <w:rFonts w:hint="eastAsia" w:ascii="宋体"/>
          <w:bCs w:val="0"/>
          <w:sz w:val="28"/>
          <w:szCs w:val="28"/>
        </w:rPr>
        <w:t xml:space="preserve">报价表</w:t>
      </w:r>
      <w:bookmarkEnd w:id="54"/>
      <w:r/>
      <w:bookmarkEnd w:id="55"/>
      <w:r/>
      <w:r/>
    </w:p>
    <w:p>
      <w:pPr>
        <w:pStyle w:val="904"/>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pPr w:horzAnchor="page" w:tblpX="1534" w:vertAnchor="text" w:tblpY="276" w:leftFromText="180" w:topFromText="0" w:rightFromText="180" w:bottomFromText="0"/>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2"/>
        <w:gridCol w:w="1134"/>
        <w:gridCol w:w="1134"/>
        <w:gridCol w:w="1276"/>
        <w:gridCol w:w="850"/>
        <w:gridCol w:w="1276"/>
        <w:gridCol w:w="881"/>
        <w:gridCol w:w="895"/>
        <w:gridCol w:w="1134"/>
      </w:tblGrid>
      <w:tr>
        <w:trPr>
          <w:trHeight w:val="617"/>
        </w:trPr>
        <w:tc>
          <w:tcPr>
            <w:shd w:val="clear" w:color="auto" w:fill="auto"/>
            <w:tcW w:w="742"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W w:w="113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标的物名称</w:t>
            </w:r>
            <w:r/>
          </w:p>
        </w:tc>
        <w:tc>
          <w:tcPr>
            <w:shd w:val="clear" w:color="auto" w:fill="auto"/>
            <w:tcW w:w="113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品牌、规格型号</w:t>
            </w:r>
            <w:r/>
          </w:p>
        </w:tc>
        <w:tc>
          <w:tcPr>
            <w:shd w:val="clear" w:color="auto" w:fill="auto"/>
            <w:tcW w:w="1276"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生产厂家</w:t>
            </w:r>
            <w:r/>
          </w:p>
        </w:tc>
        <w:tc>
          <w:tcPr>
            <w:shd w:val="clear" w:color="auto" w:fill="auto"/>
            <w:tcW w:w="85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单位</w:t>
            </w:r>
            <w:r/>
          </w:p>
        </w:tc>
        <w:tc>
          <w:tcPr>
            <w:shd w:val="clear" w:color="auto" w:fill="auto"/>
            <w:tcW w:w="1276"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数量</w:t>
            </w:r>
            <w:r/>
          </w:p>
        </w:tc>
        <w:tc>
          <w:tcPr>
            <w:shd w:val="clear" w:color="auto" w:fill="auto"/>
            <w:tcW w:w="88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单价</w:t>
            </w:r>
            <w:r/>
          </w:p>
        </w:tc>
        <w:tc>
          <w:tcPr>
            <w:shd w:val="clear" w:color="auto" w:fill="auto"/>
            <w:tcW w:w="895"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总价</w:t>
            </w:r>
            <w:r/>
          </w:p>
        </w:tc>
        <w:tc>
          <w:tcPr>
            <w:shd w:val="clear" w:color="auto" w:fill="auto"/>
            <w:tcW w:w="113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szCs w:val="21"/>
              </w:rPr>
              <w:t xml:space="preserve">交付期</w:t>
            </w:r>
            <w:r/>
          </w:p>
        </w:tc>
      </w:tr>
      <w:tr>
        <w:trPr>
          <w:trHeight w:val="527"/>
        </w:trPr>
        <w:tc>
          <w:tcPr>
            <w:gridSpan w:val="9"/>
            <w:shd w:val="clear" w:color="auto" w:fill="auto"/>
            <w:tcW w:w="9322"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rPr>
              <w:t xml:space="preserve">一、花桥派出所辖区</w:t>
            </w:r>
            <w:r/>
          </w:p>
        </w:tc>
      </w:tr>
      <w:tr>
        <w:trPr>
          <w:trHeight w:val="345"/>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61"/>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bottom w:val="single" w:color="000000" w:sz="4" w:space="0"/>
            </w:tcBorders>
            <w:tcW w:w="1134"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56"/>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16"/>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413"/>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451"/>
        </w:trPr>
        <w:tc>
          <w:tcPr>
            <w:shd w:val="clear" w:color="auto" w:fill="auto"/>
            <w:tcW w:w="74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A</w:t>
            </w:r>
            <w:r/>
          </w:p>
        </w:tc>
        <w:tc>
          <w:tcPr>
            <w:gridSpan w:val="8"/>
            <w:shd w:val="clear" w:color="auto" w:fill="auto"/>
            <w:tcW w:w="85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分项总计：</w:t>
            </w:r>
            <w:r/>
          </w:p>
        </w:tc>
      </w:tr>
      <w:tr>
        <w:trPr>
          <w:trHeight w:val="451"/>
        </w:trPr>
        <w:tc>
          <w:tcPr>
            <w:gridSpan w:val="9"/>
            <w:shd w:val="clear" w:color="auto" w:fill="auto"/>
            <w:tcW w:w="9322"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rPr>
              <w:t xml:space="preserve">二、曹安派出所辖区</w:t>
            </w:r>
            <w:r/>
          </w:p>
        </w:tc>
      </w:tr>
      <w:tr>
        <w:trPr>
          <w:trHeight w:val="361"/>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46"/>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01"/>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09"/>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43"/>
        </w:trPr>
        <w:tc>
          <w:tcPr>
            <w:shd w:val="clear" w:color="auto" w:fill="auto"/>
            <w:tcW w:w="74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5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8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895"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1134"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424"/>
        </w:trPr>
        <w:tc>
          <w:tcPr>
            <w:shd w:val="clear" w:color="auto" w:fill="auto"/>
            <w:tcW w:w="74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B</w:t>
            </w:r>
            <w:r/>
          </w:p>
        </w:tc>
        <w:tc>
          <w:tcPr>
            <w:gridSpan w:val="8"/>
            <w:shd w:val="clear" w:color="auto" w:fill="auto"/>
            <w:tcW w:w="85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分项总计：</w:t>
            </w:r>
            <w:r/>
          </w:p>
        </w:tc>
      </w:tr>
      <w:tr>
        <w:trPr>
          <w:trHeight w:val="527"/>
        </w:trPr>
        <w:tc>
          <w:tcPr>
            <w:shd w:val="clear" w:color="auto" w:fill="auto"/>
            <w:tcW w:w="74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C</w:t>
            </w:r>
            <w:r/>
          </w:p>
        </w:tc>
        <w:tc>
          <w:tcPr>
            <w:gridSpan w:val="8"/>
            <w:shd w:val="clear" w:color="auto" w:fill="auto"/>
            <w:tcW w:w="85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投标报价总金额（A+B）：</w:t>
            </w:r>
            <w:r/>
          </w:p>
        </w:tc>
      </w:tr>
      <w:tr>
        <w:trPr>
          <w:trHeight w:val="699"/>
        </w:trPr>
        <w:tc>
          <w:tcPr>
            <w:gridSpan w:val="9"/>
            <w:shd w:val="clear" w:color="auto" w:fill="auto"/>
            <w:tcW w:w="9322" w:type="dxa"/>
            <w:vAlign w:val="center"/>
            <w:textDirection w:val="lrTb"/>
            <w:noWrap w:val="false"/>
          </w:tcPr>
          <w:p>
            <w:pPr>
              <w:jc w:val="left"/>
              <w:widowControl/>
              <w:rPr>
                <w:rFonts w:ascii="宋体" w:hAnsi="宋体" w:cs="宋体"/>
                <w:b/>
                <w:bCs/>
                <w:color w:val="000000"/>
                <w:sz w:val="20"/>
                <w:szCs w:val="20"/>
                <w:highlight w:val="yellow"/>
              </w:rPr>
            </w:pPr>
            <w:r>
              <w:rPr>
                <w:rFonts w:hint="eastAsia" w:ascii="宋体" w:hAnsi="宋体" w:cs="宋体"/>
                <w:b/>
                <w:bCs/>
                <w:color w:val="000000"/>
                <w:sz w:val="20"/>
                <w:szCs w:val="20"/>
                <w:highlight w:val="yellow"/>
              </w:rPr>
              <w:t xml:space="preserve">本采购包中提供的符合本国产品标准的产品成本之和占该采购包提供的全部产品成本之和的比例为</w:t>
            </w:r>
            <w:r>
              <w:rPr>
                <w:rFonts w:hint="eastAsia" w:ascii="宋体" w:hAnsi="宋体" w:cs="宋体"/>
                <w:b/>
                <w:bCs/>
                <w:color w:val="000000"/>
                <w:sz w:val="20"/>
                <w:szCs w:val="20"/>
                <w:highlight w:val="yellow"/>
                <w:u w:val="single"/>
              </w:rPr>
              <w:t xml:space="preserve">     </w:t>
            </w:r>
            <w:r>
              <w:rPr>
                <w:rFonts w:hint="eastAsia" w:ascii="宋体" w:hAnsi="宋体" w:cs="宋体"/>
                <w:b/>
                <w:bCs/>
                <w:color w:val="000000"/>
                <w:sz w:val="20"/>
                <w:szCs w:val="20"/>
                <w:highlight w:val="yellow"/>
              </w:rPr>
              <w:t xml:space="preserve">%。</w:t>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05"/>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投标供应商：（公章）</w:t>
      </w:r>
      <w:r/>
    </w:p>
    <w:p>
      <w:pPr>
        <w:pStyle w:val="905"/>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法定代表人或被授权人：（签字或盖章） </w:t>
      </w:r>
      <w:r/>
    </w:p>
    <w:p>
      <w:pPr>
        <w:pStyle w:val="905"/>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年  月  日</w:t>
      </w:r>
      <w:r/>
    </w:p>
    <w:p>
      <w:pPr>
        <w:pStyle w:val="884"/>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1、本表中的报价为综合报价，包括但不限于人员工资（含加班费）、设备、辅材、安装调试、运输、人工、机械、仓储、保险、运费、各种税费、劳保、政策性文件规定及合同包含的所有风险、责任等各项应有费用。</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2、请参考以上格式填写，本页不够可另加页附后。</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3、投标报价总金额与开标一览表须保持一致。</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8"/>
        <w:rPr>
          <w:rFonts w:ascii="宋体"/>
          <w:bCs w:val="0"/>
          <w:sz w:val="28"/>
          <w:szCs w:val="28"/>
        </w:rPr>
      </w:pPr>
      <w:r/>
      <w:bookmarkStart w:id="56" w:name="_Ref38625135"/>
      <w:r/>
      <w:bookmarkStart w:id="57" w:name="_Toc219987782"/>
      <w:r>
        <w:rPr>
          <w:rFonts w:hint="eastAsia" w:ascii="宋体"/>
          <w:bCs w:val="0"/>
          <w:sz w:val="28"/>
          <w:szCs w:val="28"/>
        </w:rPr>
        <w:t xml:space="preserve">6、投标货物和服务数量、品牌、规格型号、性能、交付时间说明表</w:t>
      </w:r>
      <w:bookmarkEnd w:id="56"/>
      <w:r/>
      <w:bookmarkEnd w:id="57"/>
      <w:r/>
      <w:r/>
    </w:p>
    <w:p>
      <w:r/>
      <w:r/>
    </w:p>
    <w:p>
      <w:pPr>
        <w:jc w:val="center"/>
        <w:rPr>
          <w:rFonts w:ascii="宋体" w:hAnsi="宋体" w:cs="宋体"/>
          <w:b/>
        </w:rPr>
      </w:pPr>
      <w:r>
        <w:rPr>
          <w:rFonts w:hint="eastAsia" w:ascii="宋体" w:hAnsi="宋体" w:cs="宋体"/>
          <w:b/>
          <w:color w:val="000000"/>
        </w:rPr>
        <w:t xml:space="preserve">投标货物和服务数量、品牌、规格型号、性能、交付时间说明表</w:t>
      </w:r>
      <w:r/>
    </w:p>
    <w:p>
      <w:pPr>
        <w:rPr>
          <w:rFonts w:ascii="宋体" w:hAnsi="宋体" w:cs="宋体"/>
          <w:bCs/>
          <w:color w:val="000000"/>
        </w:rPr>
      </w:pPr>
      <w:r>
        <w:rPr>
          <w:rFonts w:ascii="宋体" w:hAnsi="宋体" w:cs="宋体"/>
          <w:bCs/>
          <w:color w:val="000000"/>
        </w:rPr>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006"/>
        <w:gridCol w:w="1995"/>
        <w:gridCol w:w="2045"/>
        <w:gridCol w:w="1159"/>
        <w:gridCol w:w="882"/>
        <w:gridCol w:w="1075"/>
        <w:gridCol w:w="1124"/>
      </w:tblGrid>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1101"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品牌、规格型号</w:t>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生产厂家</w:t>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交付时间</w:t>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4"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b/>
                <w:sz w:val="21"/>
                <w:szCs w:val="21"/>
              </w:rPr>
            </w:pPr>
            <w:r>
              <w:rPr>
                <w:rFonts w:hint="eastAsia"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25"/>
              <w:jc w:val="center"/>
              <w:spacing w:line="360" w:lineRule="auto"/>
              <w:rPr>
                <w:rFonts w:hAnsi="宋体" w:eastAsia="宋体" w:cs="宋体"/>
                <w:sz w:val="21"/>
                <w:szCs w:val="21"/>
              </w:rPr>
            </w:pPr>
            <w:r>
              <w:rPr>
                <w:rFonts w:hAnsi="宋体" w:eastAsia="宋体" w:cs="宋体"/>
                <w:sz w:val="21"/>
                <w:szCs w:val="21"/>
              </w:rPr>
            </w:r>
            <w:r/>
          </w:p>
        </w:tc>
      </w:tr>
    </w:tbl>
    <w:p>
      <w:pPr>
        <w:pStyle w:val="91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10"/>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910"/>
        <w:ind w:firstLine="405"/>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w:t>
      </w:r>
      <w:r/>
    </w:p>
    <w:p>
      <w:pPr>
        <w:pStyle w:val="887"/>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pPr>
        <w:pStyle w:val="884"/>
        <w:ind w:firstLine="482"/>
        <w:rPr>
          <w:rFonts w:hint="default" w:cs="宋体" w:asciiTheme="minorEastAsia" w:hAnsiTheme="minorEastAsia" w:eastAsiaTheme="minorEastAsia"/>
          <w:b/>
          <w:sz w:val="24"/>
        </w:rPr>
      </w:pPr>
      <w:r>
        <w:rPr>
          <w:rFonts w:cs="宋体" w:asciiTheme="minorEastAsia" w:hAnsiTheme="minorEastAsia" w:eastAsiaTheme="minorEastAsia"/>
          <w:b/>
          <w:sz w:val="24"/>
        </w:rPr>
        <w:t xml:space="preserve">注：请参考以上格式或自拟格式填写，本页不够可另加页附后。</w:t>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r/>
      <w:r/>
    </w:p>
    <w:p>
      <w:r/>
      <w:r/>
    </w:p>
    <w:p>
      <w:r/>
      <w:r/>
    </w:p>
    <w:p>
      <w:r/>
      <w:r/>
    </w:p>
    <w:p>
      <w:r/>
      <w:r/>
    </w:p>
    <w:p>
      <w:r/>
      <w:r/>
    </w:p>
    <w:p>
      <w:r/>
      <w:r/>
    </w:p>
    <w:p>
      <w:pPr>
        <w:pStyle w:val="884"/>
        <w:ind w:firstLine="420"/>
        <w:rPr>
          <w:rFonts w:hint="default"/>
        </w:rPr>
      </w:pPr>
      <w:r>
        <w:rPr>
          <w:rFonts w:hint="default"/>
        </w:rPr>
      </w:r>
      <w:r/>
    </w:p>
    <w:p>
      <w:r/>
      <w:r/>
    </w:p>
    <w:p>
      <w:r/>
      <w:r/>
    </w:p>
    <w:p>
      <w:pPr>
        <w:pStyle w:val="698"/>
        <w:rPr>
          <w:rFonts w:ascii="宋体"/>
          <w:bCs w:val="0"/>
          <w:sz w:val="28"/>
          <w:szCs w:val="28"/>
        </w:rPr>
      </w:pPr>
      <w:r/>
      <w:bookmarkStart w:id="58" w:name="_Ref24653"/>
      <w:r/>
      <w:bookmarkStart w:id="59" w:name="_Toc116396237"/>
      <w:r/>
      <w:bookmarkStart w:id="60" w:name="_Toc116396558"/>
      <w:r/>
      <w:bookmarkStart w:id="61" w:name="_Toc219987783"/>
      <w:r>
        <w:rPr>
          <w:rFonts w:hint="eastAsia" w:ascii="宋体"/>
          <w:bCs w:val="0"/>
          <w:sz w:val="28"/>
          <w:szCs w:val="28"/>
        </w:rPr>
        <w:t xml:space="preserve">7、人员配置情况表</w:t>
      </w:r>
      <w:bookmarkEnd w:id="58"/>
      <w:r/>
      <w:bookmarkEnd w:id="59"/>
      <w:r/>
      <w:bookmarkEnd w:id="60"/>
      <w:r/>
      <w:bookmarkEnd w:id="61"/>
      <w:r/>
      <w:r/>
    </w:p>
    <w:p>
      <w:pPr>
        <w:jc w:val="center"/>
        <w:spacing w:before="480" w:after="240"/>
        <w:rPr>
          <w:rFonts w:ascii="宋体" w:hAnsi="宋体"/>
          <w:szCs w:val="21"/>
        </w:rPr>
      </w:pPr>
      <w:r>
        <w:rPr>
          <w:rFonts w:hint="eastAsia" w:ascii="宋体" w:hAnsi="宋体"/>
          <w:szCs w:val="21"/>
        </w:rPr>
        <w:t xml:space="preserve">人员配置情况表</w:t>
      </w:r>
      <w:r/>
    </w:p>
    <w:tbl>
      <w:tblPr>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485"/>
        <w:gridCol w:w="708"/>
        <w:gridCol w:w="1478"/>
        <w:gridCol w:w="1600"/>
        <w:gridCol w:w="2071"/>
        <w:gridCol w:w="115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00" w:lineRule="exact"/>
              <w:rPr>
                <w:rFonts w:ascii="宋体" w:hAnsi="宋体"/>
                <w:szCs w:val="21"/>
              </w:rPr>
            </w:pPr>
            <w:r>
              <w:rPr>
                <w:rFonts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Cs w:val="21"/>
              </w:rPr>
            </w:pPr>
            <w:r>
              <w:rPr>
                <w:rFonts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Cs w:val="21"/>
              </w:rPr>
            </w:pPr>
            <w:r>
              <w:rPr>
                <w:rFonts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05"/>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5"/>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5"/>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698"/>
        <w:rPr>
          <w:rFonts w:ascii="宋体"/>
          <w:bCs w:val="0"/>
          <w:sz w:val="28"/>
          <w:szCs w:val="28"/>
        </w:rPr>
      </w:pPr>
      <w:r/>
      <w:bookmarkStart w:id="62" w:name="_Toc116396559"/>
      <w:r/>
      <w:bookmarkStart w:id="63" w:name="_Ref382393081"/>
      <w:r/>
      <w:bookmarkStart w:id="64" w:name="_Toc62460938"/>
      <w:r/>
      <w:bookmarkStart w:id="65" w:name="_Toc116396238"/>
      <w:r/>
      <w:bookmarkStart w:id="66" w:name="_Toc219987784"/>
      <w:r>
        <w:rPr>
          <w:rFonts w:hint="eastAsia" w:ascii="宋体"/>
          <w:bCs w:val="0"/>
          <w:sz w:val="28"/>
          <w:szCs w:val="28"/>
        </w:rPr>
        <w:t xml:space="preserve">8、类似业绩一览表</w:t>
      </w:r>
      <w:bookmarkEnd w:id="62"/>
      <w:r/>
      <w:bookmarkEnd w:id="63"/>
      <w:r/>
      <w:bookmarkEnd w:id="64"/>
      <w:r/>
      <w:bookmarkEnd w:id="65"/>
      <w:r/>
      <w:bookmarkEnd w:id="66"/>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5"/>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67" w:name="_Ref24731"/>
      <w:r/>
      <w:bookmarkStart w:id="68" w:name="_Toc62466449"/>
      <w:r/>
      <w:bookmarkStart w:id="69" w:name="_Ref363807960"/>
      <w:r/>
      <w:r/>
    </w:p>
    <w:p>
      <w:pPr>
        <w:pStyle w:val="698"/>
        <w:rPr>
          <w:rFonts w:ascii="宋体"/>
          <w:bCs w:val="0"/>
          <w:sz w:val="28"/>
          <w:szCs w:val="28"/>
        </w:rPr>
      </w:pPr>
      <w:r/>
      <w:bookmarkStart w:id="70" w:name="_Ref116369662"/>
      <w:r/>
      <w:bookmarkStart w:id="71" w:name="_Toc116396239"/>
      <w:r/>
      <w:bookmarkStart w:id="72" w:name="_Toc116396560"/>
      <w:r/>
      <w:bookmarkStart w:id="73" w:name="_Toc219987785"/>
      <w:r>
        <w:rPr>
          <w:rFonts w:hint="eastAsia" w:ascii="宋体"/>
          <w:bCs w:val="0"/>
          <w:sz w:val="28"/>
          <w:szCs w:val="28"/>
        </w:rPr>
        <w:t xml:space="preserve">9、响应及偏离表</w:t>
      </w:r>
      <w:bookmarkEnd w:id="67"/>
      <w:r/>
      <w:bookmarkEnd w:id="70"/>
      <w:r/>
      <w:bookmarkEnd w:id="71"/>
      <w:r/>
      <w:bookmarkEnd w:id="72"/>
      <w:r/>
      <w:bookmarkEnd w:id="73"/>
      <w:r/>
      <w:r/>
    </w:p>
    <w:p>
      <w:pPr>
        <w:jc w:val="center"/>
        <w:spacing w:line="360" w:lineRule="auto"/>
        <w:rPr>
          <w:rFonts w:ascii="宋体" w:hAnsi="宋体"/>
        </w:rPr>
      </w:pPr>
      <w:r/>
      <w:bookmarkStart w:id="74" w:name="_Ref103253956"/>
      <w:r/>
      <w:bookmarkEnd w:id="68"/>
      <w:r/>
      <w:bookmarkEnd w:id="69"/>
      <w:r>
        <w:rPr>
          <w:rFonts w:hint="eastAsia" w:ascii="宋体" w:hAnsi="宋体"/>
        </w:rPr>
        <w:t xml:space="preserve">响应</w:t>
      </w:r>
      <w:r>
        <w:rPr>
          <w:rFonts w:ascii="宋体" w:hAnsi="宋体"/>
        </w:rPr>
        <w:t xml:space="preserve">及偏离表（技术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 </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73"/>
        <w:gridCol w:w="2517"/>
        <w:gridCol w:w="2665"/>
        <w:gridCol w:w="23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87"/>
              <w:ind w:firstLine="0"/>
              <w:jc w:val="center"/>
              <w:rPr>
                <w:rFonts w:ascii="宋体" w:hAnsi="宋体"/>
                <w:b/>
                <w:color w:val="000000"/>
                <w:sz w:val="21"/>
                <w:szCs w:val="21"/>
              </w:rPr>
            </w:pPr>
            <w:r>
              <w:rPr>
                <w:rFonts w:hint="eastAsia" w:ascii="宋体" w:hAnsi="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87"/>
              <w:ind w:firstLine="0"/>
              <w:jc w:val="center"/>
              <w:rPr>
                <w:rFonts w:ascii="宋体" w:hAnsi="宋体"/>
                <w:b/>
                <w:color w:val="000000"/>
                <w:sz w:val="21"/>
                <w:szCs w:val="21"/>
              </w:rPr>
            </w:pPr>
            <w:r>
              <w:rPr>
                <w:rFonts w:hint="eastAsia" w:ascii="宋体" w:hAnsi="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87"/>
              <w:ind w:firstLine="0"/>
              <w:jc w:val="center"/>
              <w:rPr>
                <w:rFonts w:ascii="宋体" w:hAnsi="宋体"/>
                <w:b/>
                <w:color w:val="000000"/>
                <w:sz w:val="21"/>
                <w:szCs w:val="21"/>
              </w:rPr>
            </w:pPr>
            <w:r>
              <w:rPr>
                <w:rFonts w:hint="eastAsia" w:ascii="宋体" w:hAnsi="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87"/>
              <w:ind w:firstLine="0"/>
              <w:jc w:val="center"/>
              <w:rPr>
                <w:rFonts w:ascii="宋体" w:hAnsi="宋体"/>
                <w:b/>
                <w:color w:val="000000"/>
                <w:sz w:val="21"/>
                <w:szCs w:val="21"/>
              </w:rPr>
            </w:pPr>
            <w:r>
              <w:rPr>
                <w:rFonts w:hint="eastAsia" w:ascii="宋体" w:hAnsi="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付款方式</w:t>
            </w:r>
            <w:r/>
          </w:p>
          <w:p>
            <w:pPr>
              <w:pStyle w:val="887"/>
              <w:ind w:firstLine="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87"/>
              <w:ind w:firstLine="0"/>
              <w:jc w:val="center"/>
              <w:rPr>
                <w:rFonts w:ascii="宋体" w:hAnsi="宋体"/>
                <w:i/>
                <w:color w:val="000000"/>
                <w:sz w:val="21"/>
                <w:szCs w:val="21"/>
              </w:rPr>
            </w:pPr>
            <w:r>
              <w:rPr>
                <w:rFonts w:ascii="宋体" w:hAnsi="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投标供应商</w:t>
      </w:r>
      <w:r>
        <w:rPr>
          <w:rFonts w:ascii="宋体" w:hAnsi="宋体" w:cs="宋体"/>
          <w:szCs w:val="21"/>
        </w:rPr>
        <w:t xml:space="preserve">：（公章）</w:t>
      </w:r>
      <w:r/>
    </w:p>
    <w:p>
      <w:pPr>
        <w:jc w:val="right"/>
        <w:spacing w:line="360" w:lineRule="auto"/>
        <w:rPr>
          <w:rFonts w:ascii="宋体" w:hAnsi="宋体" w:cs="宋体"/>
          <w:szCs w:val="21"/>
        </w:rPr>
      </w:pPr>
      <w:r>
        <w:rPr>
          <w:rFonts w:ascii="宋体" w:hAnsi="宋体" w:cs="宋体"/>
          <w:szCs w:val="21"/>
        </w:rPr>
        <w:t xml:space="preserve">法定代表人或代理人：（签字或盖章）</w:t>
      </w:r>
      <w:r/>
    </w:p>
    <w:p>
      <w:pPr>
        <w:jc w:val="right"/>
        <w:spacing w:line="360" w:lineRule="auto"/>
        <w:rPr>
          <w:rFonts w:ascii="宋体" w:hAnsi="宋体" w:cs="宋体"/>
          <w:szCs w:val="21"/>
        </w:rPr>
      </w:pPr>
      <w:r>
        <w:rPr>
          <w:rFonts w:ascii="宋体" w:hAnsi="宋体" w:cs="宋体"/>
          <w:szCs w:val="21"/>
        </w:rPr>
        <w:t xml:space="preserve">       日期：     年  月  日</w:t>
      </w:r>
      <w:r/>
    </w:p>
    <w:p>
      <w:pPr>
        <w:jc w:val="right"/>
        <w:spacing w:line="360" w:lineRule="auto"/>
        <w:rPr>
          <w:rFonts w:ascii="宋体" w:hAnsi="宋体"/>
          <w:b/>
          <w:color w:val="000000"/>
          <w:szCs w:val="21"/>
        </w:rPr>
      </w:pPr>
      <w:r>
        <w:rPr>
          <w:rFonts w:ascii="宋体" w:hAnsi="宋体"/>
          <w:b/>
          <w:color w:val="000000"/>
          <w:szCs w:val="21"/>
        </w:rPr>
      </w:r>
      <w:r/>
    </w:p>
    <w:p>
      <w:pPr>
        <w:jc w:val="left"/>
        <w:spacing w:line="400" w:lineRule="exact"/>
        <w:rPr>
          <w:rFonts w:ascii="宋体" w:hAnsi="宋体"/>
          <w:b/>
          <w:color w:val="000000"/>
          <w:szCs w:val="21"/>
        </w:rPr>
      </w:pPr>
      <w:r>
        <w:rPr>
          <w:rFonts w:ascii="宋体" w:hAnsi="宋体"/>
          <w:b/>
          <w:color w:val="000000"/>
          <w:szCs w:val="21"/>
        </w:rPr>
        <w:t xml:space="preserve">注：供应商须在偏离表中如实填写偏离情况，如有要求提供材料的，须按要求提供相应材料。偏离表未填写、负偏离、未提供所要求的材料的，将被视为无效投标。投标人可根据招标内容自行调整，所列条目为示例。</w:t>
      </w:r>
      <w:r/>
    </w:p>
    <w:p>
      <w:pPr>
        <w:pStyle w:val="698"/>
        <w:rPr>
          <w:rFonts w:ascii="宋体"/>
          <w:bCs w:val="0"/>
          <w:sz w:val="28"/>
          <w:szCs w:val="28"/>
        </w:rPr>
      </w:pPr>
      <w:r/>
      <w:bookmarkStart w:id="75" w:name="_Toc116396561"/>
      <w:r/>
      <w:bookmarkStart w:id="76" w:name="_Ref116369626"/>
      <w:r/>
      <w:bookmarkStart w:id="77" w:name="_Toc116396240"/>
      <w:r/>
      <w:bookmarkStart w:id="78" w:name="_Toc219987787"/>
      <w:r>
        <w:rPr>
          <w:rFonts w:hint="eastAsia" w:ascii="宋体"/>
          <w:bCs w:val="0"/>
          <w:sz w:val="28"/>
          <w:szCs w:val="28"/>
        </w:rPr>
        <w:t xml:space="preserve">10、中小企业声明函</w:t>
      </w:r>
      <w:bookmarkEnd w:id="74"/>
      <w:r/>
      <w:bookmarkEnd w:id="75"/>
      <w:r/>
      <w:bookmarkEnd w:id="76"/>
      <w:r/>
      <w:bookmarkEnd w:id="77"/>
      <w:r/>
      <w:bookmarkEnd w:id="78"/>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10"/>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10"/>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10"/>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2.本次采购项目所属行业为</w:t>
      </w:r>
      <w:r>
        <w:rPr>
          <w:rFonts w:hint="eastAsia" w:hAnsi="宋体" w:eastAsia="宋体" w:cs="宋体"/>
          <w:b/>
          <w:bCs/>
          <w:sz w:val="21"/>
          <w:szCs w:val="21"/>
          <w:u w:val="single"/>
        </w:rPr>
        <w:t xml:space="preserve">建筑业</w:t>
      </w:r>
      <w:r>
        <w:rPr>
          <w:rFonts w:hint="eastAsia" w:hAnsi="宋体" w:eastAsia="宋体" w:cs="宋体"/>
          <w:b/>
          <w:bCs/>
          <w:sz w:val="21"/>
          <w:szCs w:val="21"/>
        </w:rPr>
        <w:t xml:space="preserve">。中小微企业划型标准请根据《中小企业划型标准规定》（工信部联企业〔2011〕300号）。投标人提供的声明函须按本项目规定行业填写，否则其声明函不予认可。</w:t>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422"/>
        <w:spacing w:line="360" w:lineRule="auto"/>
        <w:rPr>
          <w:rFonts w:hAnsi="宋体" w:eastAsia="宋体" w:cs="宋体"/>
          <w:b/>
          <w:bCs/>
          <w:sz w:val="21"/>
          <w:szCs w:val="21"/>
        </w:rPr>
      </w:pPr>
      <w:r>
        <w:rPr>
          <w:rFonts w:hAnsi="宋体" w:eastAsia="宋体" w:cs="宋体"/>
          <w:b/>
          <w:bCs/>
          <w:sz w:val="21"/>
          <w:szCs w:val="21"/>
        </w:rPr>
      </w:r>
      <w:r/>
    </w:p>
    <w:p>
      <w:pPr>
        <w:pStyle w:val="910"/>
        <w:spacing w:line="360" w:lineRule="auto"/>
        <w:rPr>
          <w:rFonts w:hAnsi="宋体" w:eastAsia="宋体" w:cs="宋体"/>
          <w:color w:val="000000"/>
          <w:sz w:val="21"/>
          <w:szCs w:val="21"/>
        </w:rPr>
      </w:pPr>
      <w:r>
        <w:rPr>
          <w:rFonts w:hAnsi="宋体" w:eastAsia="宋体" w:cs="宋体"/>
          <w:color w:val="000000"/>
          <w:sz w:val="21"/>
          <w:szCs w:val="21"/>
        </w:rPr>
      </w:r>
      <w:r/>
    </w:p>
    <w:p>
      <w:pPr>
        <w:pStyle w:val="910"/>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投标供应商：（公章）</w:t>
      </w:r>
      <w:r/>
    </w:p>
    <w:p>
      <w:pPr>
        <w:pStyle w:val="887"/>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698"/>
        <w:rPr>
          <w:rFonts w:ascii="宋体"/>
          <w:bCs w:val="0"/>
          <w:sz w:val="28"/>
          <w:szCs w:val="28"/>
        </w:rPr>
      </w:pPr>
      <w:r/>
      <w:bookmarkStart w:id="79" w:name="_Toc116396562"/>
      <w:r/>
      <w:bookmarkStart w:id="80" w:name="_Toc116396241"/>
      <w:r/>
      <w:bookmarkStart w:id="81" w:name="_Ref25090"/>
      <w:r/>
      <w:bookmarkStart w:id="82" w:name="_Toc219987788"/>
      <w:r>
        <w:rPr>
          <w:rFonts w:hint="eastAsia" w:ascii="宋体"/>
          <w:bCs w:val="0"/>
          <w:sz w:val="28"/>
          <w:szCs w:val="28"/>
        </w:rPr>
        <w:t xml:space="preserve">11、残疾人福利性单位声明函</w:t>
      </w:r>
      <w:bookmarkEnd w:id="79"/>
      <w:r/>
      <w:bookmarkEnd w:id="80"/>
      <w:r/>
      <w:bookmarkEnd w:id="81"/>
      <w:r/>
      <w:bookmarkEnd w:id="82"/>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单位名称（盖章）：</w:t>
      </w:r>
      <w:r/>
    </w:p>
    <w:p>
      <w:pPr>
        <w:pStyle w:val="890"/>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r/>
    </w:p>
    <w:p>
      <w:pPr>
        <w:pStyle w:val="698"/>
        <w:rPr>
          <w:rFonts w:ascii="宋体"/>
          <w:bCs w:val="0"/>
          <w:sz w:val="28"/>
          <w:szCs w:val="28"/>
        </w:rPr>
      </w:pPr>
      <w:r/>
      <w:bookmarkStart w:id="83" w:name="_Ref162534914"/>
      <w:r/>
      <w:bookmarkStart w:id="84" w:name="_Ref224731517"/>
      <w:r/>
      <w:bookmarkStart w:id="85" w:name="_Ref219902587"/>
      <w:r/>
      <w:bookmarkStart w:id="86" w:name="_Toc219987789"/>
      <w:r/>
      <w:bookmarkStart w:id="87" w:name="_Toc116396242"/>
      <w:r/>
      <w:bookmarkStart w:id="88" w:name="_Ref79411647"/>
      <w:r/>
      <w:bookmarkStart w:id="89" w:name="_Toc116396563"/>
      <w:r/>
      <w:bookmarkStart w:id="90" w:name="_Ref25117"/>
      <w:r>
        <w:rPr>
          <w:rFonts w:hint="eastAsia" w:ascii="宋体"/>
          <w:bCs w:val="0"/>
          <w:sz w:val="28"/>
          <w:szCs w:val="28"/>
        </w:rPr>
        <w:t xml:space="preserve">12、</w:t>
      </w:r>
      <w:bookmarkEnd w:id="83"/>
      <w:r>
        <w:rPr>
          <w:rFonts w:hint="eastAsia" w:ascii="宋体"/>
          <w:bCs w:val="0"/>
          <w:sz w:val="28"/>
          <w:szCs w:val="28"/>
        </w:rPr>
        <w:t xml:space="preserve">分包意向协议</w:t>
      </w:r>
      <w:bookmarkEnd w:id="84"/>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（分包单位全称）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（分包意向单位1全称）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w:t>
      </w:r>
      <w:r>
        <w:rPr>
          <w:rFonts w:hint="eastAsia" w:ascii="宋体" w:hAnsi="宋体" w:cs="宋体"/>
          <w:color w:val="000000"/>
          <w:szCs w:val="21"/>
        </w:rPr>
        <w:t xml:space="preserve">全称）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（分包单位全称）、（分包意向单位1全称）、（……全称）自愿达成分包意向，参加（采购项目编号） （采购项目名称）的投标活动。经各方充分协商一致，就项目的投标和合同实施阶段的有关事务协商一致订立意向如下：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一、分包意向各方关系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分包单位全称）为投标单位，（分包意向单位1全称）、（……全称）为分包意向单位，（分包单位全称）以投标单位的身份参加本项目的投标。若中标，（分包单位全称）与采购人签订政府采购合同。承接分包意向的各单位与（分包单位全称）签订分包合同。（分包单位全称）就采购项目和分包项目向采购人负责，分包供应商就分包项目承担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二、有关事项约定如下：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如中标，分包意向单位分别与（分包单位全称）签订合同，并就中标项目分包部分向采购人负责，有连带的和各自的法律责任。</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分包意向单位1：</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（中型、小型、微型）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分包意向单位</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（中型、小型、微型）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分包意向单位</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（中型、小型、微型）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三、如中标，分包意向单位不得以任何理由提出终止本意向协议。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四、本意向协议书在自签订之日起生效，投标有效期结束之日失效。如中标，有效期延续至政府采购合同履行完毕之日。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五、其他补充内容</w:t>
      </w:r>
      <w:r>
        <w:rPr>
          <w:rFonts w:ascii="宋体" w:hAnsi="宋体" w:cs="宋体"/>
          <w:color w:val="000000"/>
          <w:szCs w:val="21"/>
        </w:rPr>
        <w:tab/>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六、本意向协议书正本一式</w:t>
      </w:r>
      <w:r>
        <w:rPr>
          <w:rFonts w:ascii="宋体" w:hAnsi="宋体" w:cs="宋体"/>
          <w:color w:val="000000"/>
          <w:szCs w:val="21"/>
          <w:u w:val="single"/>
        </w:rPr>
        <w:t xml:space="preserve">    </w:t>
      </w:r>
      <w:r>
        <w:rPr>
          <w:rFonts w:hint="eastAsia" w:ascii="宋体" w:hAnsi="宋体" w:cs="宋体"/>
          <w:color w:val="000000"/>
          <w:szCs w:val="21"/>
        </w:rPr>
        <w:t xml:space="preserve">份，随投标文件装订壹份，（分包单位全称）及各分包意向单位各一份。</w:t>
      </w:r>
      <w:r/>
    </w:p>
    <w:p>
      <w:pPr>
        <w:ind w:firstLine="315"/>
        <w:jc w:val="left"/>
        <w:spacing w:line="360" w:lineRule="auto"/>
        <w:rPr>
          <w:rFonts w:ascii="宋体" w:hAnsi="宋体"/>
          <w:b/>
          <w:szCs w:val="21"/>
        </w:rPr>
      </w:pPr>
      <w:r>
        <w:rPr>
          <w:rFonts w:hint="eastAsia" w:ascii="宋体" w:hAnsi="宋体"/>
          <w:b/>
          <w:szCs w:val="21"/>
        </w:rPr>
        <w:t xml:space="preserve">注：</w:t>
      </w:r>
      <w:r/>
    </w:p>
    <w:p>
      <w:pPr>
        <w:ind w:firstLine="315"/>
        <w:jc w:val="left"/>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各方成员在本意向协议书上共同盖章确认</w:t>
      </w:r>
      <w:r/>
    </w:p>
    <w:p>
      <w:pPr>
        <w:ind w:firstLine="315"/>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本意向协议书内容不得擅自修改，并将作为签订合同的附件之一。</w:t>
      </w:r>
      <w:r/>
    </w:p>
    <w:p>
      <w:pPr>
        <w:ind w:firstLine="315"/>
        <w:jc w:val="left"/>
        <w:spacing w:line="360" w:lineRule="auto"/>
        <w:rPr>
          <w:rFonts w:ascii="宋体" w:hAnsi="宋体"/>
          <w:b/>
        </w:rPr>
      </w:pPr>
      <w:r>
        <w:rPr>
          <w:rFonts w:hint="eastAsia" w:ascii="宋体" w:hAnsi="宋体"/>
          <w:b/>
        </w:rPr>
        <w:t xml:space="preserve">3</w:t>
      </w:r>
      <w:r>
        <w:rPr>
          <w:rFonts w:ascii="宋体" w:hAnsi="宋体"/>
          <w:b/>
        </w:rPr>
        <w:t xml:space="preserve">.</w:t>
      </w:r>
      <w:r>
        <w:rPr>
          <w:rFonts w:hint="eastAsia" w:ascii="宋体" w:hAnsi="宋体"/>
          <w:b/>
        </w:rPr>
        <w:t xml:space="preserve">小微企业不得将合同分包给大中型企业，中型企业不得将合同分包给大型企业。</w:t>
      </w:r>
      <w:r/>
    </w:p>
    <w:p>
      <w:pPr>
        <w:ind w:firstLine="315"/>
        <w:jc w:val="left"/>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接受分包的中小企业和分包企业不得存在直接控股、管理关系。</w:t>
      </w:r>
      <w:r/>
    </w:p>
    <w:p>
      <w:pPr>
        <w:ind w:firstLine="4830"/>
        <w:jc w:val="left"/>
        <w:spacing w:line="360" w:lineRule="auto"/>
        <w:rPr>
          <w:rFonts w:ascii="宋体" w:hAnsi="宋体"/>
          <w:szCs w:val="21"/>
        </w:rPr>
      </w:pPr>
      <w:r>
        <w:rPr>
          <w:rFonts w:hint="eastAsia" w:ascii="宋体" w:hAnsi="宋体"/>
          <w:szCs w:val="21"/>
        </w:rPr>
        <w:t xml:space="preserve">分包单位</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分包意向单位1</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pStyle w:val="884"/>
        <w:ind w:firstLine="4830"/>
        <w:rPr>
          <w:rFonts w:hint="default"/>
        </w:rPr>
      </w:pPr>
      <w:r>
        <w:rPr>
          <w:rFonts w:hAnsi="宋体"/>
          <w:szCs w:val="21"/>
        </w:rPr>
        <w:t xml:space="preserve">日期:       年      月     日</w:t>
      </w:r>
      <w:r/>
    </w:p>
    <w:p>
      <w:pPr>
        <w:ind w:firstLine="480"/>
        <w:spacing w:line="360" w:lineRule="auto"/>
        <w:rPr>
          <w:rFonts w:asciiTheme="minorEastAsia" w:hAnsiTheme="minorEastAsia" w:eastAsiaTheme="minorEastAsia"/>
          <w:szCs w:val="21"/>
        </w:rPr>
      </w:pPr>
      <w: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pStyle w:val="698"/>
        <w:rPr>
          <w:rFonts w:ascii="宋体"/>
          <w:bCs w:val="0"/>
          <w:sz w:val="28"/>
          <w:szCs w:val="28"/>
        </w:rPr>
      </w:pPr>
      <w:r/>
      <w:bookmarkStart w:id="91" w:name="_Ref224731732"/>
      <w:r>
        <w:rPr>
          <w:rFonts w:hint="eastAsia" w:ascii="宋体"/>
          <w:bCs w:val="0"/>
          <w:sz w:val="28"/>
          <w:szCs w:val="28"/>
        </w:rPr>
        <w:t xml:space="preserve">13、关于符合本国产品标准的声明函</w:t>
      </w:r>
      <w:bookmarkEnd w:id="85"/>
      <w:r/>
      <w:bookmarkEnd w:id="86"/>
      <w:r/>
      <w:bookmarkEnd w:id="91"/>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467194</wp:posOffset>
                </wp:positionH>
                <wp:positionV relativeFrom="paragraph">
                  <wp:posOffset>513273</wp:posOffset>
                </wp:positionV>
                <wp:extent cx="755374" cy="120016"/>
                <wp:effectExtent l="0" t="0" r="26034" b="32384"/>
                <wp:wrapNone/>
                <wp:docPr id="2"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4384;o:allowoverlap:true;o:allowincell:true;mso-position-horizontal-relative:text;margin-left:36.8pt;mso-position-horizontal:absolute;mso-position-vertical-relative:text;margin-top:40.4pt;mso-position-vertical:absolute;width:59.5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4156600</wp:posOffset>
                </wp:positionH>
                <wp:positionV relativeFrom="paragraph">
                  <wp:posOffset>751812</wp:posOffset>
                </wp:positionV>
                <wp:extent cx="628153" cy="184786"/>
                <wp:effectExtent l="0" t="0" r="19685" b="2476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59264;o:allowoverlap:true;o:allowincell:true;mso-position-horizontal-relative:text;margin-left:327.3pt;mso-position-horizontal:absolute;mso-position-vertical-relative:text;margin-top:59.2pt;mso-position-vertical:absolute;width:49.5pt;height:14.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5237977</wp:posOffset>
                </wp:positionH>
                <wp:positionV relativeFrom="paragraph">
                  <wp:posOffset>234978</wp:posOffset>
                </wp:positionV>
                <wp:extent cx="492981" cy="137546"/>
                <wp:effectExtent l="0" t="0" r="21590" b="34290"/>
                <wp:wrapNone/>
                <wp:docPr id="4"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57216;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-10160</wp:posOffset>
                </wp:positionH>
                <wp:positionV relativeFrom="paragraph">
                  <wp:posOffset>513080</wp:posOffset>
                </wp:positionV>
                <wp:extent cx="309880" cy="130810"/>
                <wp:effectExtent l="0" t="0" r="13970" b="21590"/>
                <wp:wrapNone/>
                <wp:docPr id="5"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8240;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3401226</wp:posOffset>
                </wp:positionH>
                <wp:positionV relativeFrom="paragraph">
                  <wp:posOffset>195221</wp:posOffset>
                </wp:positionV>
                <wp:extent cx="816610" cy="183019"/>
                <wp:effectExtent l="0" t="0" r="21590" b="2667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51072;o:allowoverlap:true;o:allowincell:true;mso-position-horizontal-relative:text;margin-left:267.8pt;mso-position-horizontal:absolute;mso-position-vertical-relative:text;margin-top:15.4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2256238</wp:posOffset>
                </wp:positionH>
                <wp:positionV relativeFrom="paragraph">
                  <wp:posOffset>234978</wp:posOffset>
                </wp:positionV>
                <wp:extent cx="816610" cy="175066"/>
                <wp:effectExtent l="0" t="0" r="21590" b="3492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0048;o:allowoverlap:true;o:allowincell:true;mso-position-horizontal-relative:text;margin-left:177.7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1222568</wp:posOffset>
                </wp:positionH>
                <wp:positionV relativeFrom="paragraph">
                  <wp:posOffset>195221</wp:posOffset>
                </wp:positionV>
                <wp:extent cx="978011" cy="216923"/>
                <wp:effectExtent l="0" t="0" r="12700" b="3111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6192;o:allowoverlap:true;o:allowincell:true;mso-position-horizontal-relative:text;margin-left:96.3pt;mso-position-horizontal:absolute;mso-position-vertical-relative:text;margin-top:15.4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4245610</wp:posOffset>
                </wp:positionH>
                <wp:positionV relativeFrom="paragraph">
                  <wp:posOffset>-5080</wp:posOffset>
                </wp:positionV>
                <wp:extent cx="577215" cy="92075"/>
                <wp:effectExtent l="0" t="0" r="13335" b="2222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5168;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（产品名称1）</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（产品名称1）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300217</wp:posOffset>
                </wp:positionH>
                <wp:positionV relativeFrom="paragraph">
                  <wp:posOffset>506040</wp:posOffset>
                </wp:positionV>
                <wp:extent cx="747423" cy="120016"/>
                <wp:effectExtent l="0" t="0" r="14604" b="32384"/>
                <wp:wrapNone/>
                <wp:docPr id="10"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3360;o:allowoverlap:true;o:allowincell:true;mso-position-horizontal-relative:text;margin-left:23.6pt;mso-position-horizontal:absolute;mso-position-vertical-relative:text;margin-top:39.8pt;mso-position-vertical:absolute;width:58.9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5023292</wp:posOffset>
                </wp:positionH>
                <wp:positionV relativeFrom="paragraph">
                  <wp:posOffset>211842</wp:posOffset>
                </wp:positionV>
                <wp:extent cx="842838" cy="159854"/>
                <wp:effectExtent l="0" t="0" r="14604" b="31115"/>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2336;o:allowoverlap:true;o:allowincell:true;mso-position-horizontal-relative:text;margin-left:395.5pt;mso-position-horizontal:absolute;mso-position-vertical-relative:text;margin-top:16.7pt;mso-position-vertical:absolute;width:66.4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553720</wp:posOffset>
                </wp:positionV>
                <wp:extent cx="95250" cy="72390"/>
                <wp:effectExtent l="0" t="0" r="19050" b="2286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1312;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3218346</wp:posOffset>
                </wp:positionH>
                <wp:positionV relativeFrom="paragraph">
                  <wp:posOffset>211842</wp:posOffset>
                </wp:positionV>
                <wp:extent cx="723568" cy="158529"/>
                <wp:effectExtent l="0" t="0" r="19685" b="32384"/>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54144;o:allowoverlap:true;o:allowincell:true;mso-position-horizontal-relative:text;margin-left:253.4pt;mso-position-horizontal:absolute;mso-position-vertical-relative:text;margin-top:16.7pt;mso-position-vertical:absolute;width:57.0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2176725</wp:posOffset>
                </wp:positionH>
                <wp:positionV relativeFrom="paragraph">
                  <wp:posOffset>211842</wp:posOffset>
                </wp:positionV>
                <wp:extent cx="843915" cy="197291"/>
                <wp:effectExtent l="0" t="0" r="13335" b="3175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52096;o:allowoverlap:true;o:allowincell:true;mso-position-horizontal-relative:text;margin-left:171.4pt;mso-position-horizontal:absolute;mso-position-vertical-relative:text;margin-top:16.7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1222568</wp:posOffset>
                </wp:positionH>
                <wp:positionV relativeFrom="paragraph">
                  <wp:posOffset>267501</wp:posOffset>
                </wp:positionV>
                <wp:extent cx="699715" cy="101213"/>
                <wp:effectExtent l="0" t="0" r="24765" b="32384"/>
                <wp:wrapNone/>
                <wp:docPr id="15"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53120;o:allowoverlap:true;o:allowincell:true;mso-position-horizontal-relative:text;margin-left:96.3pt;mso-position-horizontal:absolute;mso-position-vertical-relative:text;margin-top:21.1pt;mso-position-vertical:absolute;width:55.1pt;height:8.0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288290</wp:posOffset>
                </wp:positionV>
                <wp:extent cx="234315" cy="86995"/>
                <wp:effectExtent l="10795" t="8255" r="12065" b="952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028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（产品名称2）</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公司（单位）名称（盖章）：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884"/>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6.用斜线划除的地方无需填写。</w:t>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pPr>
        <w:pStyle w:val="884"/>
        <w:ind w:firstLine="0"/>
        <w:rPr>
          <w:rFonts w:hint="default"/>
        </w:rPr>
      </w:pPr>
      <w:r>
        <w:rPr>
          <w:rFonts w:hint="default"/>
        </w:rPr>
      </w:r>
      <w:r/>
    </w:p>
    <w:p>
      <w:pPr>
        <w:pStyle w:val="698"/>
        <w:rPr>
          <w:rFonts w:ascii="宋体"/>
          <w:bCs w:val="0"/>
          <w:sz w:val="28"/>
          <w:szCs w:val="28"/>
        </w:rPr>
      </w:pPr>
      <w:r/>
      <w:bookmarkStart w:id="92" w:name="_Ref170744328"/>
      <w:r/>
      <w:bookmarkStart w:id="93" w:name="_Toc219987790"/>
      <w:r>
        <w:rPr>
          <w:rFonts w:hint="eastAsia" w:ascii="宋体"/>
          <w:bCs w:val="0"/>
          <w:sz w:val="28"/>
          <w:szCs w:val="28"/>
        </w:rPr>
        <w:t xml:space="preserve">14、</w:t>
      </w:r>
      <w:r>
        <w:rPr>
          <w:rFonts w:ascii="宋体"/>
          <w:bCs w:val="0"/>
          <w:sz w:val="28"/>
          <w:szCs w:val="28"/>
        </w:rPr>
        <w:t xml:space="preserve">远程参与开标会议诚信承诺书</w:t>
      </w:r>
      <w:bookmarkEnd w:id="87"/>
      <w:r/>
      <w:bookmarkEnd w:id="88"/>
      <w:r/>
      <w:bookmarkEnd w:id="89"/>
      <w:r/>
      <w:bookmarkEnd w:id="92"/>
      <w:r/>
      <w:bookmarkEnd w:id="93"/>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、江苏鑫鲲煜工程项目管理咨询有限公司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eastAsia="宋体"/>
          <w:color w:val="000000"/>
          <w:sz w:val="21"/>
          <w:szCs w:val="21"/>
        </w:rPr>
      </w:pPr>
      <w:r>
        <w:rPr>
          <w:rFonts w:eastAsia="宋体"/>
          <w:color w:val="000000"/>
          <w:sz w:val="21"/>
          <w:szCs w:val="21"/>
        </w:rPr>
      </w:r>
      <w:r/>
    </w:p>
    <w:p>
      <w:pPr>
        <w:pStyle w:val="698"/>
        <w:rPr>
          <w:rFonts w:ascii="宋体"/>
          <w:bCs w:val="0"/>
          <w:sz w:val="28"/>
          <w:szCs w:val="28"/>
        </w:rPr>
      </w:pPr>
      <w:r/>
      <w:bookmarkStart w:id="94" w:name="_Ref79411685"/>
      <w:r/>
      <w:bookmarkStart w:id="95" w:name="_Toc116396243"/>
      <w:r/>
      <w:bookmarkStart w:id="96" w:name="_Toc116396564"/>
      <w:r/>
      <w:bookmarkStart w:id="97" w:name="_Ref170744332"/>
      <w:r/>
      <w:bookmarkStart w:id="98" w:name="_Toc219987791"/>
      <w:r>
        <w:rPr>
          <w:rFonts w:hint="eastAsia" w:ascii="宋体"/>
          <w:bCs w:val="0"/>
          <w:sz w:val="28"/>
          <w:szCs w:val="28"/>
        </w:rPr>
        <w:t xml:space="preserve">15、</w:t>
      </w:r>
      <w:bookmarkEnd w:id="16"/>
      <w:r/>
      <w:bookmarkEnd w:id="90"/>
      <w:r/>
      <w:bookmarkEnd w:id="94"/>
      <w:r>
        <w:rPr>
          <w:rFonts w:hint="eastAsia" w:ascii="宋体"/>
          <w:bCs w:val="0"/>
          <w:sz w:val="28"/>
          <w:szCs w:val="28"/>
        </w:rPr>
        <w:t xml:space="preserve">资格证明文件</w:t>
      </w:r>
      <w:bookmarkEnd w:id="95"/>
      <w:r/>
      <w:bookmarkEnd w:id="96"/>
      <w:r/>
      <w:bookmarkEnd w:id="97"/>
      <w:r/>
      <w:bookmarkEnd w:id="98"/>
      <w:r/>
      <w:r/>
    </w:p>
    <w:p>
      <w:pPr>
        <w:pStyle w:val="887"/>
        <w:ind w:firstLine="0"/>
        <w:jc w:val="both"/>
        <w:spacing w:line="360" w:lineRule="auto"/>
        <w:rPr>
          <w:rFonts w:ascii="宋体" w:hAnsi="宋体"/>
          <w:sz w:val="21"/>
          <w:szCs w:val="21"/>
        </w:rPr>
      </w:pPr>
      <w:r>
        <w:rPr>
          <w:rFonts w:hint="eastAsia" w:ascii="宋体" w:hAnsi="宋体"/>
          <w:b/>
          <w:sz w:val="21"/>
          <w:szCs w:val="21"/>
        </w:rPr>
        <w:t xml:space="preserve"> (1)、关于资格文件的声明函</w:t>
      </w:r>
      <w:r/>
    </w:p>
    <w:p>
      <w:r/>
      <w:r/>
    </w:p>
    <w:p>
      <w:pPr>
        <w:pStyle w:val="887"/>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关于资格文件的声明函</w:t>
      </w:r>
      <w:r/>
    </w:p>
    <w:p>
      <w:pPr>
        <w:pStyle w:val="887"/>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887"/>
        <w:ind w:firstLine="0"/>
        <w:spacing w:line="360" w:lineRule="auto"/>
        <w:rPr>
          <w:rFonts w:asciiTheme="minorEastAsia" w:hAnsiTheme="minorEastAsia" w:eastAsiaTheme="minorEastAsia"/>
          <w:sz w:val="21"/>
          <w:szCs w:val="21"/>
        </w:rPr>
      </w:pPr>
      <w:r>
        <w:rPr>
          <w:rFonts w:asciiTheme="minorEastAsia" w:hAnsiTheme="minorEastAsia" w:eastAsiaTheme="minorEastAsia"/>
        </w:rPr>
        <w:t xml:space="preserve"> </w:t>
      </w:r>
      <w:r>
        <w:rPr>
          <w:rStyle w:val="900"/>
          <w:rFonts w:hint="eastAsia" w:asciiTheme="minorEastAsia" w:hAnsiTheme="minorEastAsia" w:eastAsiaTheme="minorEastAsia"/>
          <w:sz w:val="21"/>
          <w:szCs w:val="21"/>
          <w:u w:val="single"/>
        </w:rPr>
        <w:t xml:space="preserve">江苏鑫鲲煜工程项目管理咨询有限公司 </w:t>
      </w:r>
      <w:r>
        <w:rPr>
          <w:rFonts w:hint="eastAsia" w:asciiTheme="minorEastAsia" w:hAnsiTheme="minorEastAsia" w:eastAsiaTheme="minorEastAsia"/>
          <w:sz w:val="21"/>
          <w:szCs w:val="21"/>
        </w:rPr>
        <w:t xml:space="preserve">：</w:t>
      </w:r>
      <w:r/>
    </w:p>
    <w:p>
      <w:pPr>
        <w:pStyle w:val="887"/>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本公司愿就由贵公司组织实施的编号为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887"/>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887"/>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（投标供应商）法人（签字或盖章）：              </w:t>
      </w:r>
      <w:r/>
    </w:p>
    <w:p>
      <w:pPr>
        <w:pStyle w:val="887"/>
        <w:ind w:firstLine="425"/>
        <w:jc w:val="righ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（投标方）公章：              </w:t>
      </w:r>
      <w:r/>
    </w:p>
    <w:p>
      <w:pPr>
        <w:pStyle w:val="887"/>
        <w:jc w:val="right"/>
        <w:spacing w:line="360" w:lineRule="auto"/>
        <w:rPr>
          <w:rFonts w:asciiTheme="minorEastAsia" w:hAnsiTheme="minorEastAsia" w:eastAsiaTheme="minorEastAsia"/>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年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月</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4"/>
        <w:ind w:firstLine="0"/>
        <w:rPr>
          <w:rFonts w:hint="default"/>
        </w:rPr>
      </w:pPr>
      <w:r>
        <w:rPr>
          <w:rFonts w:hint="default"/>
        </w:rPr>
      </w:r>
      <w:r/>
    </w:p>
    <w:p>
      <w:pPr>
        <w:pStyle w:val="887"/>
        <w:ind w:firstLine="0"/>
        <w:jc w:val="both"/>
        <w:spacing w:line="360" w:lineRule="auto"/>
        <w:rPr>
          <w:rFonts w:ascii="宋体" w:hAnsi="宋体"/>
          <w:b/>
          <w:sz w:val="21"/>
          <w:szCs w:val="21"/>
        </w:rPr>
      </w:pPr>
      <w:r>
        <w:rPr>
          <w:rFonts w:hint="eastAsia" w:ascii="宋体" w:hAnsi="宋体"/>
          <w:b/>
          <w:sz w:val="21"/>
          <w:szCs w:val="21"/>
        </w:rPr>
        <w:t xml:space="preserve">（2）投标单位情况表</w:t>
      </w:r>
      <w:r/>
    </w:p>
    <w:p>
      <w:pPr>
        <w:pStyle w:val="887"/>
        <w:jc w:val="center"/>
        <w:rPr>
          <w:rFonts w:ascii="宋体"/>
        </w:rPr>
      </w:pPr>
      <w:r>
        <w:rPr>
          <w:rFonts w:hint="eastAsia" w:ascii="宋体"/>
        </w:rPr>
        <w:t xml:space="preserve">投标单位情况表</w:t>
      </w:r>
      <w:r/>
    </w:p>
    <w:p>
      <w:pPr>
        <w:pStyle w:val="887"/>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7"/>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7"/>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单位简历及内设机构情况</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单位优势及特长</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bl>
    <w:p>
      <w:pPr>
        <w:pStyle w:val="887"/>
        <w:ind w:firstLine="0"/>
        <w:spacing w:line="360" w:lineRule="auto"/>
        <w:rPr>
          <w:rFonts w:ascii="宋体" w:hAnsi="宋体"/>
          <w:b/>
          <w:sz w:val="21"/>
          <w:szCs w:val="21"/>
        </w:rPr>
      </w:pPr>
      <w:r>
        <w:rPr>
          <w:rFonts w:ascii="宋体" w:hAnsi="宋体"/>
          <w:b/>
          <w:sz w:val="21"/>
          <w:szCs w:val="21"/>
        </w:rPr>
      </w:r>
      <w:r/>
    </w:p>
    <w:p>
      <w:pPr>
        <w:ind w:firstLine="211"/>
      </w:pPr>
      <w:r/>
      <w:r/>
    </w:p>
    <w:p>
      <w:pPr>
        <w:pStyle w:val="884"/>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697"/>
        <w:jc w:val="center"/>
        <w:rPr>
          <w:rFonts w:cstheme="majorEastAsia"/>
          <w:sz w:val="32"/>
          <w:szCs w:val="32"/>
        </w:rPr>
      </w:pPr>
      <w:r/>
      <w:bookmarkStart w:id="99" w:name="_Toc219987792"/>
      <w:r>
        <w:rPr>
          <w:rFonts w:hint="eastAsia" w:asciiTheme="majorEastAsia" w:hAnsiTheme="majorEastAsia" w:eastAsiaTheme="majorEastAsia" w:cstheme="majorEastAsia"/>
          <w:sz w:val="32"/>
          <w:szCs w:val="32"/>
        </w:rPr>
        <w:t xml:space="preserve">第四章  招标书</w:t>
      </w:r>
      <w:bookmarkEnd w:id="99"/>
      <w:r/>
      <w:r/>
    </w:p>
    <w:p>
      <w:pPr>
        <w:pStyle w:val="887"/>
        <w:ind w:right="-252"/>
        <w:spacing w:line="360" w:lineRule="auto"/>
        <w:rPr>
          <w:rStyle w:val="900"/>
          <w:rFonts w:asciiTheme="minorEastAsia" w:hAnsiTheme="minorEastAsia" w:eastAsiaTheme="minorEastAsia"/>
          <w:sz w:val="21"/>
          <w:szCs w:val="21"/>
        </w:rPr>
      </w:pPr>
      <w:r>
        <w:rPr>
          <w:rFonts w:hint="eastAsia" w:asciiTheme="minorEastAsia" w:hAnsiTheme="minorEastAsia" w:eastAsiaTheme="minorEastAsia"/>
          <w:b/>
          <w:color w:val="000000"/>
          <w:sz w:val="21"/>
          <w:szCs w:val="21"/>
        </w:rPr>
        <w:t xml:space="preserve">本章</w:t>
      </w:r>
      <w:r>
        <w:rPr>
          <w:rFonts w:asciiTheme="minorEastAsia" w:hAnsiTheme="minorEastAsia" w:eastAsiaTheme="minorEastAsia"/>
          <w:b/>
          <w:color w:val="000000"/>
          <w:sz w:val="21"/>
          <w:szCs w:val="21"/>
        </w:rPr>
        <w:t xml:space="preserve">打</w:t>
      </w:r>
      <w:bookmarkStart w:id="100" w:name="_Hlk81407760"/>
      <w:r>
        <w:rPr>
          <w:rFonts w:cs="Segoe UI Symbol" w:asciiTheme="minorEastAsia" w:hAnsiTheme="minorEastAsia" w:eastAsiaTheme="minorEastAsia"/>
          <w:b/>
          <w:color w:val="000000"/>
          <w:sz w:val="21"/>
          <w:szCs w:val="21"/>
        </w:rPr>
        <w:t xml:space="preserve">★</w:t>
      </w:r>
      <w:bookmarkEnd w:id="100"/>
      <w:r>
        <w:rPr>
          <w:rFonts w:asciiTheme="minorEastAsia" w:hAnsiTheme="minorEastAsia" w:eastAsiaTheme="minorEastAsia"/>
          <w:b/>
          <w:color w:val="000000"/>
          <w:sz w:val="21"/>
          <w:szCs w:val="21"/>
        </w:rPr>
        <w:t xml:space="preserve">项为本项目</w:t>
      </w:r>
      <w:r>
        <w:rPr>
          <w:rFonts w:hint="eastAsia" w:asciiTheme="minorEastAsia" w:hAnsiTheme="minorEastAsia" w:eastAsiaTheme="minorEastAsia"/>
          <w:b/>
          <w:color w:val="000000"/>
          <w:sz w:val="21"/>
          <w:szCs w:val="21"/>
        </w:rPr>
        <w:t xml:space="preserve">实质性响应项，供应商须在偏离表中如实填写响应情况，如有要求提供材料的，须按要求提供相应材料。偏离表未填写、负偏离、未提供所要求的材料的，将被视为无效响应。</w:t>
      </w:r>
      <w:r/>
    </w:p>
    <w:p>
      <w:pPr>
        <w:pStyle w:val="887"/>
        <w:ind w:right="-252"/>
        <w:spacing w:line="360" w:lineRule="auto"/>
        <w:rPr>
          <w:rFonts w:cs="Courier New" w:asciiTheme="minorEastAsia" w:hAnsiTheme="minorEastAsia" w:eastAsiaTheme="minorEastAsia"/>
          <w:sz w:val="21"/>
          <w:szCs w:val="21"/>
        </w:rPr>
      </w:pPr>
      <w:r>
        <w:rPr>
          <w:rStyle w:val="900"/>
          <w:rFonts w:asciiTheme="minorEastAsia" w:hAnsiTheme="minorEastAsia" w:eastAsiaTheme="minorEastAsia"/>
          <w:sz w:val="21"/>
          <w:szCs w:val="21"/>
        </w:rPr>
        <w:t xml:space="preserve">受</w:t>
      </w:r>
      <w:r>
        <w:rPr>
          <w:rStyle w:val="900"/>
          <w:rFonts w:hint="eastAsia" w:asciiTheme="minorEastAsia" w:hAnsiTheme="minorEastAsia" w:eastAsiaTheme="minorEastAsia"/>
          <w:sz w:val="21"/>
          <w:szCs w:val="21"/>
          <w:u w:val="single"/>
        </w:rPr>
        <w:t xml:space="preserve">江苏昆山花桥经济开发区管理委员会（昆山市公安局花桥派出所、昆山市公安局曹安派出所）</w:t>
      </w:r>
      <w:r>
        <w:rPr>
          <w:rFonts w:hint="eastAsia" w:asciiTheme="minorEastAsia" w:hAnsiTheme="minorEastAsia" w:eastAsiaTheme="minorEastAsia"/>
          <w:sz w:val="21"/>
          <w:szCs w:val="21"/>
        </w:rPr>
        <w:t xml:space="preserve">委</w:t>
      </w:r>
      <w:r>
        <w:rPr>
          <w:rStyle w:val="900"/>
          <w:rFonts w:asciiTheme="minorEastAsia" w:hAnsiTheme="minorEastAsia" w:eastAsiaTheme="minorEastAsia"/>
          <w:sz w:val="21"/>
          <w:szCs w:val="21"/>
        </w:rPr>
        <w:t xml:space="preserve">托，</w:t>
      </w:r>
      <w:r>
        <w:rPr>
          <w:rStyle w:val="900"/>
          <w:rFonts w:hint="eastAsia" w:asciiTheme="minorEastAsia" w:hAnsiTheme="minorEastAsia" w:eastAsiaTheme="minorEastAsia"/>
          <w:sz w:val="21"/>
          <w:szCs w:val="21"/>
          <w:u w:val="single"/>
        </w:rPr>
        <w:t xml:space="preserve">江苏鑫鲲煜工程项目管理咨询有限公司</w:t>
      </w:r>
      <w:r>
        <w:rPr>
          <w:rStyle w:val="900"/>
          <w:rFonts w:asciiTheme="minorEastAsia" w:hAnsiTheme="minorEastAsia" w:eastAsiaTheme="minorEastAsia"/>
          <w:sz w:val="21"/>
          <w:szCs w:val="21"/>
        </w:rPr>
        <w:t xml:space="preserve">对其所需采购</w:t>
      </w:r>
      <w:r>
        <w:rPr>
          <w:rStyle w:val="900"/>
          <w:rFonts w:hint="eastAsia" w:asciiTheme="minorEastAsia" w:hAnsiTheme="minorEastAsia" w:eastAsiaTheme="minorEastAsia"/>
          <w:sz w:val="21"/>
          <w:szCs w:val="21"/>
          <w:u w:val="single"/>
        </w:rPr>
        <w:t xml:space="preserve">2026年花桥技防设施提升项目</w:t>
      </w:r>
      <w:r>
        <w:rPr>
          <w:rStyle w:val="900"/>
          <w:rFonts w:hint="eastAsia" w:asciiTheme="minorEastAsia" w:hAnsiTheme="minorEastAsia" w:eastAsiaTheme="minorEastAsia"/>
          <w:sz w:val="21"/>
          <w:szCs w:val="21"/>
        </w:rPr>
        <w:t xml:space="preserve">面向国内</w:t>
      </w:r>
      <w:r>
        <w:rPr>
          <w:rFonts w:hint="eastAsia" w:asciiTheme="minorEastAsia" w:hAnsiTheme="minorEastAsia" w:eastAsiaTheme="minorEastAsia"/>
          <w:sz w:val="21"/>
          <w:szCs w:val="21"/>
        </w:rPr>
        <w:t xml:space="preserve">进行公开招标。欢迎有资格的单位前来参加投标。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JSZC-320583-XKYG-G2026-0004</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900"/>
          <w:rFonts w:hint="eastAsia" w:asciiTheme="minorEastAsia" w:hAnsiTheme="minorEastAsia" w:eastAsiaTheme="minorEastAsia"/>
          <w:sz w:val="21"/>
          <w:szCs w:val="21"/>
        </w:rPr>
        <w:t xml:space="preserve">2026年花桥技防设施提升项目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三、交付期限：</w:t>
      </w:r>
      <w:r>
        <w:rPr>
          <w:rFonts w:hint="eastAsia" w:asciiTheme="minorEastAsia" w:hAnsiTheme="minorEastAsia" w:eastAsiaTheme="minorEastAsia"/>
          <w:szCs w:val="21"/>
        </w:rPr>
        <w:t xml:space="preserve">合同签订后3个月内安装调试完成，并交付使用</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asciiTheme="minorEastAsia" w:hAnsiTheme="minorEastAsia" w:eastAsiaTheme="minorEastAsia"/>
          <w:bCs/>
          <w:szCs w:val="21"/>
        </w:rPr>
        <w:t xml:space="preserve">人民币肆佰万零柒拾伍元贰角整（¥:4000075.20元）</w:t>
      </w:r>
      <w:r/>
    </w:p>
    <w:p>
      <w:pPr>
        <w:ind w:left="-210" w:right="178" w:firstLine="482"/>
        <w:spacing w:line="360" w:lineRule="auto"/>
        <w:rPr>
          <w:rFonts w:asciiTheme="minorEastAsia" w:hAnsiTheme="minorEastAsia" w:eastAsiaTheme="minorEastAsia"/>
          <w:b/>
          <w:szCs w:val="21"/>
        </w:rPr>
      </w:pPr>
      <w:r>
        <w:rPr>
          <w:rFonts w:hint="eastAsia" w:cs="Segoe UI Symbol" w:asciiTheme="minorEastAsia" w:hAnsiTheme="minorEastAsia" w:eastAsiaTheme="minorEastAsia"/>
          <w:color w:val="000000"/>
          <w:szCs w:val="21"/>
        </w:rPr>
        <w:t xml:space="preserve">★</w:t>
      </w:r>
      <w:r>
        <w:rPr>
          <w:rFonts w:hint="eastAsia" w:asciiTheme="minorEastAsia" w:hAnsiTheme="minorEastAsia" w:eastAsiaTheme="minorEastAsia"/>
          <w:b/>
          <w:szCs w:val="21"/>
        </w:rPr>
        <w:t xml:space="preserve">五、项目清单及技术要求：</w:t>
      </w:r>
      <w:r/>
    </w:p>
    <w:p>
      <w:pPr>
        <w:ind w:right="-252" w:firstLine="602"/>
        <w:spacing w:line="360" w:lineRule="auto"/>
        <w:tabs>
          <w:tab w:val="left" w:pos="360" w:leader="none"/>
        </w:tabs>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本项目核心产品为：400万全彩摄像机</w:t>
      </w:r>
      <w:r/>
    </w:p>
    <w:p>
      <w:pPr>
        <w:ind w:right="-252" w:firstLine="602"/>
        <w:spacing w:line="360" w:lineRule="auto"/>
        <w:tabs>
          <w:tab w:val="left" w:pos="360" w:leader="none"/>
        </w:tabs>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设计</w:t>
      </w:r>
      <w:r>
        <w:rPr>
          <w:rFonts w:cs="Arial" w:asciiTheme="minorEastAsia" w:hAnsiTheme="minorEastAsia" w:eastAsiaTheme="minorEastAsia"/>
          <w:b/>
          <w:szCs w:val="21"/>
        </w:rPr>
        <w:t xml:space="preserve">方案</w:t>
      </w:r>
      <w:r>
        <w:rPr>
          <w:rFonts w:hint="eastAsia" w:cs="Arial" w:asciiTheme="minorEastAsia" w:hAnsiTheme="minorEastAsia" w:eastAsiaTheme="minorEastAsia"/>
          <w:b/>
          <w:szCs w:val="21"/>
        </w:rPr>
        <w:t xml:space="preserve">及</w:t>
      </w:r>
      <w:r>
        <w:rPr>
          <w:rFonts w:cs="Arial" w:asciiTheme="minorEastAsia" w:hAnsiTheme="minorEastAsia" w:eastAsiaTheme="minorEastAsia"/>
          <w:b/>
          <w:szCs w:val="21"/>
        </w:rPr>
        <w:t xml:space="preserve">采购清单</w:t>
      </w:r>
      <w:r>
        <w:rPr>
          <w:rFonts w:hint="eastAsia" w:cs="Arial" w:asciiTheme="minorEastAsia" w:hAnsiTheme="minorEastAsia" w:eastAsiaTheme="minorEastAsia"/>
          <w:b/>
          <w:szCs w:val="21"/>
        </w:rPr>
        <w:t xml:space="preserve">：</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方案、</w:t>
      </w:r>
      <w:r>
        <w:rPr>
          <w:rFonts w:cs="Arial" w:asciiTheme="minorEastAsia" w:hAnsiTheme="minorEastAsia" w:eastAsiaTheme="minorEastAsia"/>
          <w:b/>
          <w:szCs w:val="21"/>
        </w:rPr>
        <w:t xml:space="preserve">清单中若涉及品牌</w:t>
      </w:r>
      <w:r>
        <w:rPr>
          <w:rFonts w:hint="eastAsia" w:cs="Arial" w:asciiTheme="minorEastAsia" w:hAnsiTheme="minorEastAsia" w:eastAsiaTheme="minorEastAsia"/>
          <w:b/>
          <w:szCs w:val="21"/>
        </w:rPr>
        <w:t xml:space="preserve">、型号</w:t>
      </w:r>
      <w:r>
        <w:rPr>
          <w:rFonts w:cs="Arial" w:asciiTheme="minorEastAsia" w:hAnsiTheme="minorEastAsia" w:eastAsiaTheme="minorEastAsia"/>
          <w:b/>
          <w:szCs w:val="21"/>
        </w:rPr>
        <w:t xml:space="preserve">，仅供参考）：</w:t>
      </w:r>
      <w:r/>
    </w:p>
    <w:p>
      <w:pPr>
        <w:ind w:right="-252" w:firstLine="480"/>
        <w:spacing w:line="360" w:lineRule="auto"/>
        <w:tabs>
          <w:tab w:val="left" w:pos="360" w:leader="none"/>
        </w:tabs>
        <w:rPr>
          <w:rFonts w:cs="Arial" w:asciiTheme="minorEastAsia" w:hAnsiTheme="minorEastAsia" w:eastAsiaTheme="minorEastAsia"/>
          <w:szCs w:val="21"/>
        </w:rPr>
      </w:pPr>
      <w:r>
        <w:rPr>
          <w:rFonts w:cs="Arial" w:asciiTheme="minorEastAsia" w:hAnsiTheme="minorEastAsia" w:eastAsiaTheme="minorEastAsia"/>
          <w:szCs w:val="21"/>
        </w:rPr>
      </w:r>
      <w:r>
        <w:rPr>
          <w:rFonts w:cs="Arial" w:asciiTheme="minorEastAsia" w:hAnsiTheme="minorEastAsia" w:eastAsiaTheme="minorEastAsia"/>
          <w:szCs w:val="21"/>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5pt;height:47.5pt;mso-wrap-distance-left:0.0pt;mso-wrap-distance-top:0.0pt;mso-wrap-distance-right:0.0pt;mso-wrap-distance-bottom:0.0pt;" filled="f" stroked="f">
            <v:path textboxrect="0,0,0,0"/>
            <v:imagedata r:id="rId15" o:title=""/>
          </v:shape>
          <o:OLEObject DrawAspect="Icon" r:id="rId16" ObjectID="_15250416" ProgID="Package" ShapeID="_x0000_i16" Type="Embed"/>
        </w:object>
      </w:r>
      <w:bookmarkStart w:id="101" w:name="_MON_1782212543"/>
      <w:r/>
      <w:bookmarkEnd w:id="101"/>
      <w:r/>
      <w:r/>
    </w:p>
    <w:p>
      <w:pPr>
        <w:ind w:firstLine="600"/>
        <w:spacing w:line="360" w:lineRule="auto"/>
        <w:rPr>
          <w:rFonts w:ascii="宋体" w:hAnsi="宋体" w:cs="Arial"/>
          <w:b/>
          <w:szCs w:val="21"/>
        </w:rPr>
      </w:pPr>
      <w:r>
        <w:rPr>
          <w:rFonts w:hint="eastAsia" w:ascii="宋体" w:hAnsi="宋体" w:cs="Arial"/>
          <w:b/>
          <w:szCs w:val="21"/>
        </w:rPr>
        <w:t xml:space="preserve">注：</w:t>
      </w:r>
      <w:r/>
    </w:p>
    <w:p>
      <w:pPr>
        <w:ind w:firstLine="600"/>
        <w:spacing w:line="360" w:lineRule="auto"/>
        <w:rPr>
          <w:rFonts w:ascii="宋体" w:hAnsi="宋体" w:cs="Arial"/>
          <w:b/>
          <w:szCs w:val="21"/>
        </w:rPr>
      </w:pPr>
      <w:r>
        <w:rPr>
          <w:rFonts w:hint="eastAsia" w:ascii="宋体" w:hAnsi="宋体" w:cs="Arial"/>
          <w:b/>
          <w:szCs w:val="21"/>
        </w:rPr>
        <w:t xml:space="preserve">1、本项目清单、技术方案相关资料请自行下载附件，如未下载造成投标失败，投标人自行承担责任。</w:t>
      </w:r>
      <w:r/>
    </w:p>
    <w:p>
      <w:pPr>
        <w:ind w:firstLine="600"/>
        <w:spacing w:line="360" w:lineRule="auto"/>
        <w:rPr>
          <w:rFonts w:ascii="宋体" w:hAnsi="宋体" w:cs="Arial"/>
          <w:b/>
          <w:szCs w:val="21"/>
        </w:rPr>
      </w:pPr>
      <w:r>
        <w:rPr>
          <w:rFonts w:hint="eastAsia" w:ascii="宋体" w:hAnsi="宋体" w:cs="Arial"/>
          <w:b/>
          <w:szCs w:val="21"/>
        </w:rPr>
        <w:t xml:space="preserve">2、设计方案中带▲参数作为评审指标，投标人须按要求提供相应材料，否则对应评审指标不得分。</w:t>
      </w:r>
      <w:r/>
    </w:p>
    <w:p>
      <w:pPr>
        <w:ind w:firstLine="600"/>
        <w:spacing w:line="360" w:lineRule="auto"/>
        <w:rPr>
          <w:rFonts w:ascii="宋体" w:hAnsi="宋体" w:cs="Arial"/>
          <w:b/>
          <w:szCs w:val="21"/>
        </w:rPr>
      </w:pPr>
      <w:r>
        <w:rPr>
          <w:rFonts w:hint="eastAsia" w:ascii="宋体" w:hAnsi="宋体" w:cs="Arial"/>
          <w:b/>
          <w:szCs w:val="21"/>
        </w:rPr>
        <w:t xml:space="preserve">3、若采购文件、清单、方案中有要求的产品品牌或型号，是采购人根据项目所要实现的功能及考量后推荐的品牌或型号，供应商可以采用不低于推荐产品功能要求的货物进行投标。</w:t>
      </w:r>
      <w:r/>
    </w:p>
    <w:p>
      <w:pPr>
        <w:ind w:firstLine="361"/>
        <w:spacing w:line="360" w:lineRule="auto"/>
        <w:rPr>
          <w:rFonts w:asciiTheme="minorEastAsia" w:hAnsiTheme="minorEastAsia" w:eastAsiaTheme="minorEastAsia"/>
          <w:b/>
          <w:szCs w:val="21"/>
        </w:rPr>
      </w:pPr>
      <w:r/>
      <w:bookmarkStart w:id="102" w:name="_Toc113278062"/>
      <w:r>
        <w:rPr>
          <w:rFonts w:hint="eastAsia" w:cs="Segoe UI Symbol" w:asciiTheme="minorEastAsia" w:hAnsiTheme="minorEastAsia" w:eastAsiaTheme="minorEastAsia"/>
          <w:color w:val="000000"/>
          <w:szCs w:val="21"/>
        </w:rPr>
        <w:t xml:space="preserve">★</w:t>
      </w:r>
      <w:r>
        <w:rPr>
          <w:rFonts w:asciiTheme="minorEastAsia" w:hAnsiTheme="minorEastAsia" w:eastAsiaTheme="minorEastAsia"/>
          <w:b/>
          <w:szCs w:val="21"/>
        </w:rPr>
        <w:t xml:space="preserve">六、付款方式</w:t>
      </w:r>
      <w:bookmarkEnd w:id="102"/>
      <w:r/>
      <w:r/>
    </w:p>
    <w:p>
      <w:pPr>
        <w:ind w:firstLine="600"/>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付款方式：</w:t>
      </w:r>
      <w:r>
        <w:rPr>
          <w:rFonts w:hint="eastAsia" w:ascii="宋体" w:hAnsi="宋体" w:cs="Arial"/>
          <w:b/>
          <w:szCs w:val="21"/>
        </w:rPr>
        <w:t xml:space="preserve">项目竣工验收合格付至合同价的60%,余款在项目完成审计结束满一年后每年支付10%（实际付款时间按甲方通知时间为准）。</w:t>
      </w:r>
      <w:r/>
    </w:p>
    <w:p>
      <w:pPr>
        <w:ind w:firstLine="600"/>
        <w:spacing w:line="360" w:lineRule="auto"/>
        <w:rPr>
          <w:rFonts w:asciiTheme="minorEastAsia" w:hAnsiTheme="minorEastAsia" w:eastAsiaTheme="minorEastAsia"/>
          <w:szCs w:val="21"/>
        </w:rPr>
      </w:pPr>
      <w:r>
        <w:rPr>
          <w:rFonts w:hint="eastAsia" w:ascii="宋体" w:hAnsi="宋体" w:cs="Arial"/>
          <w:szCs w:val="21"/>
        </w:rPr>
        <w:t xml:space="preserve">每次付款前，乙方应当向甲方提供等额的发票。鉴于甲方使用的是财政资金，甲方在本合同约定的付款时间内办理财政支付手续的（不含政府财政支付部门审核的时间），视为甲方已按约支付。由于财政拨款不到位、乙方未及时提供合法有效的发票或支付申请书或不可抗力原因导致乙方收款延误的，不视为甲方违约，甲方不承担迟延付款的责任，并且此情况不能成为乙方中止或拒绝履行本合同项下义务的理由。</w:t>
      </w:r>
      <w:r/>
    </w:p>
    <w:p>
      <w:pPr>
        <w:ind w:firstLine="482"/>
        <w:spacing w:line="360" w:lineRule="auto"/>
        <w:rPr>
          <w:rFonts w:asciiTheme="minorEastAsia" w:hAnsiTheme="minorEastAsia" w:eastAsiaTheme="minorEastAsia"/>
          <w:b/>
          <w:szCs w:val="21"/>
        </w:rPr>
      </w:pPr>
      <w:r/>
      <w:bookmarkStart w:id="103" w:name="_Toc113278063"/>
      <w:r>
        <w:rPr>
          <w:rFonts w:hint="eastAsia" w:asciiTheme="minorEastAsia" w:hAnsiTheme="minorEastAsia" w:eastAsiaTheme="minorEastAsia"/>
          <w:b/>
          <w:szCs w:val="21"/>
        </w:rPr>
        <w:t xml:space="preserve">七、其他注意事项</w:t>
      </w:r>
      <w:bookmarkEnd w:id="103"/>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投标人所投报品牌的产品应能够至少达到以上技术参数要求，同时明确所投产品的品牌、型号、规格和外形、尺寸、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2、投标人必须承诺招标文件中提出的全部技术规格与要求，如果以其中某些条款不响应时，应在文件中逐条列出，未列出的视同响应。</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3、投标总报价一次报定，包含全部货物及辅配件、运输、装卸、安装、调试、测试、易损易耗件、工具、检测合格等各项应有费用等一切费用，甲方不再另行支付费用。</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特别声明：作为有经验的投标单位，各投标单位应该认真考虑需项目实施过程中配合项目及范围，并将配合费用综合计入报价内。配合服务工作内容由中标单位与其它配合单位自行协商并充分考虑其所涉及到的配合服务费，中标后不得以任何理由要求额外计取，配合服务费由中标单位直接支付给其配合服务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5、验收标准：根据标书要求及有关规定应能通过有关部门验收。</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6、售后服务及其他要求</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（1）整个项目免费质保期：</w:t>
      </w:r>
      <w:r>
        <w:rPr>
          <w:rFonts w:hint="eastAsia" w:asciiTheme="minorEastAsia" w:hAnsiTheme="minorEastAsia" w:eastAsiaTheme="minorEastAsia"/>
          <w:b/>
          <w:szCs w:val="21"/>
        </w:rPr>
        <w:t xml:space="preserve">叁年</w:t>
      </w:r>
      <w:r>
        <w:rPr>
          <w:rFonts w:hint="eastAsia" w:asciiTheme="minorEastAsia" w:hAnsiTheme="minorEastAsia" w:eastAsiaTheme="minorEastAsia"/>
          <w:szCs w:val="21"/>
        </w:rPr>
        <w:t xml:space="preserve">，自项目验收合格之日起计算。</w:t>
      </w:r>
      <w:r/>
    </w:p>
    <w:p>
      <w:pPr>
        <w:ind w:firstLine="480"/>
        <w:spacing w:line="360" w:lineRule="auto"/>
        <w:rPr>
          <w:rFonts w:asciiTheme="minorEastAsia" w:hAnsiTheme="minorEastAsia" w:eastAsiaTheme="minorEastAsia"/>
          <w:szCs w:val="21"/>
        </w:rPr>
      </w:pPr>
      <w:r/>
      <w:bookmarkStart w:id="104" w:name="_Toc12684"/>
      <w:r/>
      <w:bookmarkStart w:id="105" w:name="_Toc26969"/>
      <w:r>
        <w:rPr>
          <w:rFonts w:hint="eastAsia" w:asciiTheme="minorEastAsia" w:hAnsiTheme="minorEastAsia" w:eastAsiaTheme="minorEastAsia"/>
          <w:szCs w:val="21"/>
        </w:rPr>
        <w:t xml:space="preserve">（2）售后服务现场响应时间</w:t>
      </w:r>
      <w:bookmarkEnd w:id="104"/>
      <w:r/>
      <w:bookmarkEnd w:id="105"/>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提供7*24小时的服务响应措施，并根据现场问题的轻重缓急来决定处理方式和到场时间。</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（3）服务响应时间：</w:t>
      </w:r>
      <w:r/>
    </w:p>
    <w:tbl>
      <w:tblPr>
        <w:tblW w:w="4646" w:type="pct"/>
        <w:jc w:val="center"/>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1"/>
        <w:gridCol w:w="3407"/>
        <w:gridCol w:w="1829"/>
        <w:gridCol w:w="2592"/>
      </w:tblGrid>
      <w:tr>
        <w:trPr>
          <w:jc w:val="center"/>
          <w:trHeight w:val="488"/>
        </w:trPr>
        <w:tc>
          <w:tcPr>
            <w:tcW w:w="46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197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故障情况</w:t>
            </w:r>
            <w:r/>
          </w:p>
        </w:tc>
        <w:tc>
          <w:tcPr>
            <w:tcW w:w="10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响应时间</w:t>
            </w:r>
            <w:r/>
          </w:p>
        </w:tc>
        <w:tc>
          <w:tcPr>
            <w:tcW w:w="1502"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到场时间</w:t>
            </w:r>
            <w:r/>
          </w:p>
        </w:tc>
      </w:tr>
      <w:tr>
        <w:trPr>
          <w:jc w:val="center"/>
          <w:trHeight w:val="477"/>
        </w:trPr>
        <w:tc>
          <w:tcPr>
            <w:tcW w:w="46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97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四级（轻微的故障）</w:t>
            </w:r>
            <w:r/>
          </w:p>
        </w:tc>
        <w:tc>
          <w:tcPr>
            <w:tcW w:w="10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30分钟</w:t>
            </w:r>
            <w:r/>
          </w:p>
        </w:tc>
        <w:tc>
          <w:tcPr>
            <w:tcW w:w="1502"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24个小时</w:t>
            </w:r>
            <w:r/>
          </w:p>
        </w:tc>
      </w:tr>
      <w:tr>
        <w:trPr>
          <w:jc w:val="center"/>
          <w:trHeight w:val="492"/>
        </w:trPr>
        <w:tc>
          <w:tcPr>
            <w:tcW w:w="46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97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三级（限制性故障）</w:t>
            </w:r>
            <w:r/>
          </w:p>
        </w:tc>
        <w:tc>
          <w:tcPr>
            <w:tcW w:w="10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30分钟</w:t>
            </w:r>
            <w:r/>
          </w:p>
        </w:tc>
        <w:tc>
          <w:tcPr>
            <w:tcW w:w="1502"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12个小时</w:t>
            </w:r>
            <w:r/>
          </w:p>
        </w:tc>
      </w:tr>
      <w:tr>
        <w:trPr>
          <w:jc w:val="center"/>
          <w:trHeight w:val="442"/>
        </w:trPr>
        <w:tc>
          <w:tcPr>
            <w:tcW w:w="46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97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二级（严重的故障）</w:t>
            </w:r>
            <w:r/>
          </w:p>
        </w:tc>
        <w:tc>
          <w:tcPr>
            <w:tcW w:w="10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30分钟</w:t>
            </w:r>
            <w:r/>
          </w:p>
        </w:tc>
        <w:tc>
          <w:tcPr>
            <w:tcW w:w="1502"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6个小时</w:t>
            </w:r>
            <w:r/>
          </w:p>
        </w:tc>
      </w:tr>
      <w:tr>
        <w:trPr>
          <w:jc w:val="center"/>
          <w:trHeight w:val="452"/>
        </w:trPr>
        <w:tc>
          <w:tcPr>
            <w:tcW w:w="46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974"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一级（紧急的故障）</w:t>
            </w:r>
            <w:r/>
          </w:p>
        </w:tc>
        <w:tc>
          <w:tcPr>
            <w:tcW w:w="10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30分钟</w:t>
            </w:r>
            <w:r/>
          </w:p>
        </w:tc>
        <w:tc>
          <w:tcPr>
            <w:tcW w:w="1502"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4个小时</w:t>
            </w:r>
            <w:r/>
          </w:p>
        </w:tc>
      </w:tr>
    </w:tbl>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注：一级（紧急的故障）：设备运行状态危急不能正常工作。</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二级（严重的故障）：设备出现故障仍能运行，但功能被严重削弱。</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三级（限制性故障）：一般设备或线路故障。</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四级（轻微的故障）：正确的操作可预防发生故障。</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要求维修方必须在半个小时内对甲方提出的维修要求做出响应,一般故障4小时到现场，出现严重故障或大部分故障导致严重影响甲方工作的，2小时内到达现场,并及时解决问题。</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因客观因素无法解决的,应设有专门的维修备用设备，万一出现不能当场排除的硬件故障时,用不低于故障机配置的周转机供用户使用。</w:t>
      </w:r>
      <w:r/>
    </w:p>
    <w:p>
      <w:pPr>
        <w:ind w:firstLine="480"/>
        <w:spacing w:line="360" w:lineRule="auto"/>
        <w:rPr>
          <w:rFonts w:asciiTheme="minorEastAsia" w:hAnsiTheme="minorEastAsia" w:eastAsiaTheme="minorEastAsia"/>
          <w:szCs w:val="21"/>
        </w:rPr>
      </w:pPr>
      <w:r/>
      <w:bookmarkStart w:id="106" w:name="_Toc25654"/>
      <w:r/>
      <w:bookmarkStart w:id="107" w:name="_Toc28666"/>
      <w:r>
        <w:rPr>
          <w:rFonts w:hint="eastAsia" w:asciiTheme="minorEastAsia" w:hAnsiTheme="minorEastAsia" w:eastAsiaTheme="minorEastAsia"/>
          <w:szCs w:val="21"/>
        </w:rPr>
        <w:t xml:space="preserve">（4）保修期服务内容</w:t>
      </w:r>
      <w:bookmarkEnd w:id="106"/>
      <w:r/>
      <w:bookmarkEnd w:id="107"/>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保修期内，需为本项目进行保修服务，并配备足够的维修技术人员和零备件，负责本工程的售后服务。</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免费提供定期保养服务，每个月到场巡检一次，每个季度到场提供1次设备的维修保养服务</w:t>
      </w:r>
      <w:r>
        <w:rPr>
          <w:rFonts w:hint="eastAsia" w:asciiTheme="minorEastAsia" w:hAnsiTheme="minorEastAsia" w:eastAsiaTheme="minorEastAsia"/>
          <w:szCs w:val="21"/>
        </w:rPr>
        <w:t xml:space="preserve">（设备检查测试、清洁保养等），并提供详细的保养程序表和保养工作内容。</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长期免费电话技术支持，可直接电话联系到相关专业的工程师，提供专业的技术咨询，以最快的速度解决现场设备中出现的问题。</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7、知识产权：</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8、凡涉及招标文件的补充说明和修改，均以招标代理机构网上发布的公告为准。</w:t>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108" w:name="_Toc6639_WPSOffice_Level1"/>
      <w:r/>
      <w:r/>
    </w:p>
    <w:p>
      <w:pPr>
        <w:pStyle w:val="697"/>
        <w:jc w:val="center"/>
        <w:spacing w:after="0" w:line="578" w:lineRule="auto"/>
        <w:rPr>
          <w:rFonts w:asciiTheme="minorEastAsia" w:hAnsiTheme="minorEastAsia" w:eastAsiaTheme="minorEastAsia"/>
          <w:sz w:val="21"/>
          <w:szCs w:val="21"/>
        </w:rPr>
      </w:pPr>
      <w:r/>
      <w:bookmarkStart w:id="109" w:name="_Toc219987793"/>
      <w:r>
        <w:rPr>
          <w:rFonts w:hint="eastAsia" w:asciiTheme="minorEastAsia" w:hAnsiTheme="minorEastAsia" w:eastAsiaTheme="minorEastAsia"/>
          <w:sz w:val="21"/>
          <w:szCs w:val="21"/>
        </w:rPr>
        <w:t xml:space="preserve">第五章  合同主要内容</w:t>
      </w:r>
      <w:bookmarkEnd w:id="108"/>
      <w:r/>
      <w:bookmarkEnd w:id="109"/>
      <w:r/>
      <w:r/>
    </w:p>
    <w:p>
      <w:pPr>
        <w:spacing w:line="400" w:lineRule="exact"/>
        <w:rPr>
          <w:rFonts w:cs="方正仿宋_GBK" w:asciiTheme="minorEastAsia" w:hAnsiTheme="minorEastAsia" w:eastAsiaTheme="minorEastAsia"/>
          <w:szCs w:val="21"/>
        </w:rPr>
      </w:pPr>
      <w:r/>
      <w:bookmarkStart w:id="110" w:name="_Toc62460946"/>
      <w:r/>
      <w:bookmarkStart w:id="111" w:name="_Toc16822_WPSOffice_Level1"/>
      <w:r>
        <w:rPr>
          <w:rFonts w:hint="eastAsia" w:cs="方正仿宋_GBK" w:asciiTheme="minorEastAsia" w:hAnsiTheme="minorEastAsia" w:eastAsiaTheme="minorEastAsia"/>
          <w:szCs w:val="21"/>
        </w:rPr>
        <w:t xml:space="preserve">甲方：</w:t>
      </w:r>
      <w:r>
        <w:rPr>
          <w:rFonts w:hint="eastAsia" w:cs="方正仿宋_GBK" w:asciiTheme="minorEastAsia" w:hAnsiTheme="minorEastAsia" w:eastAsiaTheme="minorEastAsia"/>
          <w:szCs w:val="21"/>
          <w:u w:val="single"/>
        </w:rPr>
        <w:t xml:space="preserve">                         </w:t>
      </w:r>
      <w:r>
        <w:rPr>
          <w:rFonts w:hint="eastAsia" w:cs="方正仿宋_GBK" w:asciiTheme="minorEastAsia" w:hAnsiTheme="minorEastAsia" w:eastAsiaTheme="minorEastAsia"/>
          <w:szCs w:val="21"/>
        </w:rPr>
        <w:t xml:space="preserve">（以下简称甲方）</w:t>
      </w:r>
      <w:r/>
    </w:p>
    <w:p>
      <w:pPr>
        <w:spacing w:line="400" w:lineRule="exact"/>
        <w:rPr>
          <w:rFonts w:cs="方正仿宋_GBK" w:asciiTheme="minorEastAsia" w:hAnsiTheme="minorEastAsia" w:eastAsiaTheme="minorEastAsia"/>
          <w:szCs w:val="21"/>
        </w:rPr>
      </w:pPr>
      <w:r>
        <w:rPr>
          <w:rFonts w:hint="eastAsia" w:cs="方正仿宋_GBK" w:asciiTheme="minorEastAsia" w:hAnsiTheme="minorEastAsia" w:eastAsiaTheme="minorEastAsia"/>
          <w:szCs w:val="21"/>
        </w:rPr>
        <w:t xml:space="preserve">乙方：</w:t>
      </w:r>
      <w:r>
        <w:rPr>
          <w:rFonts w:hint="eastAsia" w:cs="方正仿宋_GBK" w:asciiTheme="minorEastAsia" w:hAnsiTheme="minorEastAsia" w:eastAsiaTheme="minorEastAsia"/>
          <w:szCs w:val="21"/>
          <w:u w:val="single"/>
        </w:rPr>
        <w:t xml:space="preserve">                         </w:t>
      </w:r>
      <w:r>
        <w:rPr>
          <w:rFonts w:hint="eastAsia" w:cs="方正仿宋_GBK" w:asciiTheme="minorEastAsia" w:hAnsiTheme="minorEastAsia" w:eastAsiaTheme="minorEastAsia"/>
          <w:szCs w:val="21"/>
        </w:rPr>
        <w:t xml:space="preserve">（以下简称乙方） </w:t>
      </w:r>
      <w:r/>
    </w:p>
    <w:p>
      <w:pPr>
        <w:pStyle w:val="884"/>
        <w:ind w:firstLine="480"/>
        <w:rPr>
          <w:rFonts w:hint="default" w:asciiTheme="minorEastAsia" w:hAnsiTheme="minorEastAsia" w:eastAsiaTheme="minorEastAsia"/>
          <w:szCs w:val="21"/>
        </w:rPr>
      </w:pPr>
      <w:r>
        <w:rPr>
          <w:rFonts w:hint="default"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bookmarkStart w:id="112" w:name="_Toc13889378"/>
      <w:r/>
      <w:bookmarkStart w:id="113" w:name="_Toc13642118"/>
      <w:r>
        <w:rPr>
          <w:rFonts w:hint="eastAsia" w:asciiTheme="minorEastAsia" w:hAnsiTheme="minorEastAsia" w:eastAsiaTheme="minorEastAsia"/>
          <w:szCs w:val="21"/>
        </w:rPr>
        <w:t xml:space="preserve">根据《中华人民共和国民法典》和《中华人民共和国政府采购法》等有关法律法规，为明确采购单位（甲方）和供应单位（乙方）购销过程中的权利、义务和经济责任，经双方友好协商，签订以下条款，共同遵守。</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一、定义：以下术语有特定的含义：</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“货物”本合同所称货物是指乙方基于其已中标的投标文件而应向甲方提供的符合招标要求规格及功能的</w:t>
      </w:r>
      <w:r>
        <w:rPr>
          <w:rFonts w:hint="eastAsia" w:asciiTheme="minorEastAsia" w:hAnsiTheme="minorEastAsia" w:eastAsiaTheme="minorEastAsia"/>
          <w:szCs w:val="21"/>
          <w:u w:val="single"/>
        </w:rPr>
        <w:t xml:space="preserve">2026年花桥技防设施提升项目</w:t>
      </w:r>
      <w:r>
        <w:rPr>
          <w:rFonts w:hint="eastAsia" w:asciiTheme="minorEastAsia" w:hAnsiTheme="minorEastAsia" w:eastAsiaTheme="minorEastAsia"/>
          <w:szCs w:val="21"/>
        </w:rPr>
        <w:t xml:space="preserve">及其全部备品备件，它还应包括由乙方送交给甲方的所有的必须文件和与使用及测试有关的应进行的任何规定的服务。</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“合同价”系指根据中标的投标文件和合同规定，乙方在正确地履行合同义务后甲方应支付乙方的价款。</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“甲方”系指合同中明确规定的实际购买货物和接受服务单位。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“乙方”系指合同中规定的提供货物和提供服务的单位。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二、项目名称：</w:t>
      </w:r>
      <w:r>
        <w:rPr>
          <w:rFonts w:hint="eastAsia" w:asciiTheme="minorEastAsia" w:hAnsiTheme="minorEastAsia" w:eastAsiaTheme="minorEastAsia"/>
          <w:szCs w:val="21"/>
        </w:rPr>
        <w:t xml:space="preserve">2026年花桥技防设施提升项目</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三、货物或服务名称、数量及价格</w:t>
      </w:r>
      <w:r>
        <w:rPr>
          <w:rFonts w:hint="eastAsia" w:asciiTheme="minorEastAsia" w:hAnsiTheme="minorEastAsia" w:eastAsiaTheme="minorEastAsia"/>
          <w:szCs w:val="21"/>
        </w:rPr>
        <w:t xml:space="preserve">：见乙方投标文件。</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四、合同总价款：</w:t>
      </w:r>
      <w:r>
        <w:rPr>
          <w:rFonts w:hint="eastAsia" w:asciiTheme="minorEastAsia" w:hAnsiTheme="minorEastAsia" w:eastAsiaTheme="minorEastAsia"/>
          <w:szCs w:val="21"/>
        </w:rPr>
        <w:t xml:space="preserve">人民币</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元整（￥：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五、合同总价范围：</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总价包含全部设备采购、设备安装调试、通讯链路的建设和使用、辅助材料、人工、机械、运输、保险、运费、各种税费、劳保、专利技术、检测费用、安装和调试过程中产生的水电气等费用以及质保期内的日常维护、保养、设备故障更换等完成本项目的一切费用。</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2、免费质保期：</w:t>
      </w:r>
      <w:r>
        <w:rPr>
          <w:rFonts w:hint="eastAsia" w:asciiTheme="minorEastAsia" w:hAnsiTheme="minorEastAsia" w:eastAsiaTheme="minorEastAsia"/>
          <w:b/>
          <w:szCs w:val="21"/>
        </w:rPr>
        <w:t xml:space="preserve">叁年</w:t>
      </w:r>
      <w:r>
        <w:rPr>
          <w:rFonts w:hint="eastAsia" w:asciiTheme="minorEastAsia" w:hAnsiTheme="minorEastAsia" w:eastAsiaTheme="minorEastAsia"/>
          <w:szCs w:val="21"/>
        </w:rPr>
        <w:t xml:space="preserve">（自项目验收合格之日起计算）；</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3、中国政府根据现行税法征收的与本合同有关的一切税费。</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4、甲方有权根据设计变更作相应调整，乙方应予同意，其单价按投标报价按实结算。</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六、交货内容：</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1、符合本合同及招标文件规定的货物或服务。</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2、保证货物使用及维修所需的全套技术资料和文件，至少应包括以下内容：</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货物清单；</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出厂合格证；</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操作的标识和中文标注；</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使用中文说明书；</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使用维修保养中文说明书；</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3、其他必备材料和必备工具、货物等。</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七、交货：</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地点：</w:t>
      </w:r>
      <w:r>
        <w:rPr>
          <w:rFonts w:asciiTheme="minorEastAsia" w:hAnsiTheme="minorEastAsia" w:eastAsiaTheme="minorEastAsia"/>
          <w:szCs w:val="21"/>
        </w:rPr>
        <w:t xml:space="preserve">乙方交货至甲方指定地点，</w:t>
      </w:r>
      <w:r>
        <w:rPr>
          <w:rFonts w:hint="eastAsia" w:asciiTheme="minorEastAsia" w:hAnsiTheme="minorEastAsia" w:eastAsiaTheme="minorEastAsia"/>
          <w:szCs w:val="21"/>
        </w:rPr>
        <w:t xml:space="preserve">甲方接收货物前</w:t>
      </w:r>
      <w:r>
        <w:rPr>
          <w:rFonts w:asciiTheme="minorEastAsia" w:hAnsiTheme="minorEastAsia" w:eastAsiaTheme="minorEastAsia"/>
          <w:szCs w:val="21"/>
        </w:rPr>
        <w:t xml:space="preserve">所发生的运输等费用及货物的损坏造成的损失由乙方承担。</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八、交付时间：</w:t>
      </w:r>
      <w:r>
        <w:rPr>
          <w:rFonts w:hint="eastAsia" w:asciiTheme="minorEastAsia" w:hAnsiTheme="minorEastAsia" w:eastAsiaTheme="minorEastAsia"/>
          <w:szCs w:val="21"/>
        </w:rPr>
        <w:t xml:space="preserve">合同签订后3个月内安装调试完成，并交付使用。</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九、付款方式：</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付款方式：项目竣工验收合格付至合同价的60%,余款在项目完成审计结束满一年后每年支付10%（实际付款时间按甲方通知时间为准）。</w:t>
      </w:r>
      <w:r/>
    </w:p>
    <w:p>
      <w:pPr>
        <w:ind w:firstLine="480"/>
        <w:spacing w:line="360" w:lineRule="auto"/>
        <w:rPr>
          <w:rFonts w:asciiTheme="minorEastAsia" w:hAnsiTheme="minorEastAsia" w:eastAsiaTheme="minorEastAsia"/>
          <w:szCs w:val="21"/>
        </w:rPr>
      </w:pPr>
      <w:r>
        <w:rPr>
          <w:rFonts w:hint="eastAsia" w:ascii="宋体" w:hAnsi="宋体" w:cs="Arial"/>
          <w:b/>
          <w:szCs w:val="21"/>
        </w:rPr>
        <w:t xml:space="preserve">每次付款前，乙方应当向甲方提供等额的发票。鉴于甲方使用的是财政资金，甲方在本合同约定的付款时间内办理财政支付手续的（不含政府财政支付部门审核的时间），视为甲方已按约支付。由于财政拨款不到位、乙方未及时提供合法有效的发票或支付申请书或不可抗力原因导致乙方收款延误的，不视为甲方违约，甲方不承担迟延付款的责任，并且此情况不能成为乙方中止或拒绝履行本合同项下义务的理由。</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十、颜色、储放和保护：</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1、颜色以甲方提供或确定的色样为准。</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2、货物由乙方运至甲方指定地点，验收交货前存放及保管概由乙方负责。 </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十一、技术条款：</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十二、质量保证：</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80"/>
        <w:spacing w:line="360" w:lineRule="auto"/>
        <w:rPr>
          <w:rFonts w:asciiTheme="minorEastAsia" w:hAnsiTheme="minorEastAsia" w:eastAsiaTheme="minorEastAsia"/>
          <w:szCs w:val="21"/>
        </w:rPr>
      </w:pPr>
      <w:r>
        <w:rPr>
          <w:rFonts w:ascii="宋体" w:hAnsi="宋体" w:cs="Arial"/>
          <w:b/>
          <w:szCs w:val="21"/>
        </w:rPr>
        <w:t xml:space="preserve">同时建设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乙方应保证所提供的货物或其任何一部分均不会侵犯任何第三方的知识产权。</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十三、质量验收规范：</w:t>
      </w:r>
      <w:r>
        <w:rPr>
          <w:rFonts w:hint="eastAsia" w:asciiTheme="minorEastAsia" w:hAnsiTheme="minorEastAsia" w:eastAsiaTheme="minorEastAsia"/>
          <w:szCs w:val="21"/>
        </w:rPr>
        <w:t xml:space="preserve">本项目由甲方及有关部门按相关文件条款进行质量验收。</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十四、本合同应为完整货物及功能的提供</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对于甲方在标书中所要求的及乙方在投标文件和合同中所承诺提供的功能，乙方应无条件提供，</w:t>
      </w:r>
      <w:r>
        <w:rPr>
          <w:rFonts w:ascii="宋体" w:hAnsi="宋体" w:cs="Arial"/>
          <w:szCs w:val="21"/>
        </w:rPr>
        <w:t xml:space="preserve">由于</w:t>
      </w:r>
      <w:r>
        <w:rPr>
          <w:rFonts w:hint="eastAsia" w:ascii="宋体" w:hAnsi="宋体" w:cs="Arial"/>
          <w:szCs w:val="21"/>
        </w:rPr>
        <w:t xml:space="preserve">乙方</w:t>
      </w:r>
      <w:r>
        <w:rPr>
          <w:rFonts w:ascii="宋体" w:hAnsi="宋体" w:cs="Arial"/>
          <w:szCs w:val="21"/>
        </w:rPr>
        <w:t xml:space="preserve">自身原因所造成的额外费用由乙方自行承担。如甲方要求删除的部分及功能，与乙方协商后，双方一致认同则该部分的价格应在合同总价中扣除。</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十五、售后服务：</w:t>
      </w:r>
      <w:r/>
    </w:p>
    <w:p>
      <w:pPr>
        <w:ind w:firstLine="407"/>
        <w:spacing w:line="360" w:lineRule="auto"/>
        <w:rPr>
          <w:rFonts w:ascii="宋体" w:hAnsi="宋体" w:cs="Arial"/>
          <w:szCs w:val="21"/>
        </w:rPr>
      </w:pPr>
      <w:r>
        <w:rPr>
          <w:rFonts w:ascii="宋体" w:hAnsi="宋体" w:cs="Arial"/>
          <w:szCs w:val="21"/>
        </w:rPr>
        <w:t xml:space="preserve">1、</w:t>
      </w:r>
      <w:r>
        <w:rPr>
          <w:rFonts w:hint="eastAsia" w:ascii="宋体" w:hAnsi="宋体" w:cs="Arial"/>
          <w:szCs w:val="21"/>
        </w:rPr>
        <w:t xml:space="preserve">乙方必须提供7×24小时技术支持，标的物发生质量问题或故障时，乙方应当在10日内无条件完成免费修理或免费更换，并承担所产生的全部费用及损失，否则甲方有权另行委托第三方修理，并由乙方承担相应费用；如更换全新产品的，其质保期重新计算。</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2、其余售后服务见招标文件及乙方投标文件中的承诺。</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十六、不可抗拒事故：</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十七、违约责任：</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宋体" w:hAnsi="宋体" w:cs="Arial"/>
          <w:szCs w:val="21"/>
        </w:rPr>
        <w:t xml:space="preserve">因乙方交付的商品存在质量问题或隐蔽瑕疵、权属上的瑕疵或知识产权争议的，乙方应向甲方支付该商品合同价款的20%作为违约金，违约金不足以补偿甲方损失的，乙方还应赔偿甲方由此造成的损失。</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宋体" w:hAnsi="宋体" w:cs="Arial"/>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hint="eastAsia" w:asciiTheme="minorEastAsia" w:hAnsiTheme="minorEastAsia" w:eastAsiaTheme="minorEastAsia"/>
          <w:szCs w:val="21"/>
        </w:rPr>
        <w:t xml:space="preserve">。</w:t>
      </w:r>
      <w:r/>
    </w:p>
    <w:p>
      <w:pPr>
        <w:ind w:firstLine="480"/>
        <w:spacing w:line="360" w:lineRule="auto"/>
        <w:rPr>
          <w:rFonts w:ascii="宋体" w:hAnsi="宋体" w:cs="Arial"/>
          <w:szCs w:val="21"/>
        </w:rPr>
      </w:pPr>
      <w:r>
        <w:rPr>
          <w:rFonts w:hint="eastAsia" w:asciiTheme="minorEastAsia" w:hAnsiTheme="minorEastAsia" w:eastAsiaTheme="minorEastAsia"/>
          <w:szCs w:val="21"/>
        </w:rPr>
        <w:t xml:space="preserve">5、</w:t>
      </w:r>
      <w:r>
        <w:rPr>
          <w:rFonts w:ascii="宋体" w:hAnsi="宋体" w:cs="Arial"/>
          <w:szCs w:val="21"/>
        </w:rPr>
        <w:t xml:space="preserve">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rPr>
          <w:rFonts w:hint="eastAsia" w:ascii="宋体" w:hAnsi="宋体" w:cs="Arial"/>
          <w:szCs w:val="21"/>
        </w:rPr>
        <w:t xml:space="preserve">。</w:t>
      </w:r>
      <w:r/>
    </w:p>
    <w:p>
      <w:pPr>
        <w:ind w:firstLine="480"/>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乙方全部履行合同，甲方</w:t>
      </w:r>
      <w:r>
        <w:rPr>
          <w:rFonts w:hint="eastAsia" w:ascii="宋体" w:hAnsi="宋体" w:cs="Arial"/>
          <w:szCs w:val="21"/>
        </w:rPr>
        <w:t xml:space="preserve">应按合同约定</w:t>
      </w:r>
      <w:r>
        <w:rPr>
          <w:rFonts w:ascii="宋体" w:hAnsi="宋体" w:cs="Arial"/>
          <w:szCs w:val="21"/>
        </w:rPr>
        <w:t xml:space="preserve">按期付款</w:t>
      </w:r>
      <w:r>
        <w:rPr>
          <w:rFonts w:hint="eastAsia" w:ascii="宋体" w:hAnsi="宋体" w:cs="Arial"/>
          <w:szCs w:val="21"/>
        </w:rPr>
        <w:t xml:space="preserve">；</w:t>
      </w:r>
      <w:r>
        <w:rPr>
          <w:rFonts w:ascii="宋体" w:hAnsi="宋体" w:cs="Arial"/>
          <w:szCs w:val="21"/>
        </w:rPr>
        <w:t xml:space="preserve">如有违约，甲方按合同总价每日万分之五支付延期付款违约金。</w:t>
      </w:r>
      <w:r/>
    </w:p>
    <w:p>
      <w:pPr>
        <w:ind w:firstLine="480"/>
        <w:spacing w:line="360" w:lineRule="auto"/>
        <w:rPr>
          <w:rFonts w:ascii="宋体" w:hAnsi="宋体" w:cs="Arial"/>
          <w:szCs w:val="21"/>
        </w:rPr>
      </w:pPr>
      <w:r>
        <w:rPr>
          <w:rFonts w:hint="eastAsia" w:ascii="宋体" w:hAnsi="宋体" w:cs="Arial"/>
          <w:szCs w:val="21"/>
        </w:rPr>
        <w:t xml:space="preserve">7、</w:t>
      </w:r>
      <w:r>
        <w:rPr>
          <w:rFonts w:ascii="宋体" w:hAnsi="宋体" w:cs="Arial"/>
          <w:szCs w:val="21"/>
        </w:rPr>
        <w:t xml:space="preserve">乙方交付前应至少提前</w:t>
      </w:r>
      <w:r>
        <w:rPr>
          <w:rFonts w:ascii="宋体" w:hAnsi="宋体" w:cs="Arial"/>
          <w:szCs w:val="21"/>
          <w:u w:val="single"/>
        </w:rPr>
        <w:t xml:space="preserve">3</w:t>
      </w:r>
      <w:r>
        <w:rPr>
          <w:rFonts w:ascii="宋体" w:hAnsi="宋体" w:cs="Arial"/>
          <w:szCs w:val="21"/>
        </w:rPr>
        <w:t xml:space="preserve">日通知甲方。乙方如未经甲方同意提前交货，应承担仓储费等所</w:t>
      </w:r>
      <w:r>
        <w:rPr>
          <w:rFonts w:ascii="宋体" w:hAnsi="宋体" w:cs="Arial"/>
          <w:szCs w:val="21"/>
        </w:rPr>
        <w:t xml:space="preserve">有费用，且甲方保留拒绝受领及延迟付款的权利</w:t>
      </w:r>
      <w:r>
        <w:rPr>
          <w:rFonts w:hint="eastAsia" w:ascii="宋体" w:hAnsi="宋体" w:cs="Arial"/>
          <w:szCs w:val="21"/>
        </w:rPr>
        <w:t xml:space="preserve">。</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十八、索赔：</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索赔方式除上述规定之外，甲方还有权选择以下方式进行索赔：</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2、根据货物的损坏程度以及甲方遭受损失的数额，经甲乙双方商定降低货物的价格。</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十九、技术培训：</w:t>
      </w:r>
      <w:r>
        <w:rPr>
          <w:rFonts w:hint="eastAsia" w:asciiTheme="minorEastAsia" w:hAnsiTheme="minorEastAsia" w:eastAsiaTheme="minorEastAsia"/>
          <w:szCs w:val="21"/>
        </w:rPr>
        <w:t xml:space="preserve">甲方认为可以培训的前一周推荐培训计划、提供资料、培训后能熟练操作、了解构造原理、日常维护、排除一般故障。</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二十、特别条款：</w:t>
      </w:r>
      <w:r/>
    </w:p>
    <w:p>
      <w:pPr>
        <w:ind w:firstLine="405"/>
        <w:spacing w:line="360" w:lineRule="auto"/>
        <w:rPr>
          <w:rFonts w:ascii="宋体" w:hAnsi="宋体" w:cs="Arial"/>
          <w:szCs w:val="21"/>
        </w:rPr>
      </w:pPr>
      <w:r>
        <w:rPr>
          <w:rFonts w:ascii="宋体" w:hAnsi="宋体" w:cs="Arial"/>
          <w:szCs w:val="21"/>
        </w:rPr>
        <w:t xml:space="preserve">1、</w:t>
      </w:r>
      <w:r>
        <w:rPr>
          <w:rFonts w:hint="eastAsia" w:ascii="宋体" w:hAnsi="宋体" w:cs="Arial"/>
          <w:szCs w:val="21"/>
        </w:rPr>
        <w:t xml:space="preserve">本合同自甲乙双方签字盖章之日起生效。</w:t>
      </w:r>
      <w:r>
        <w:rPr>
          <w:rFonts w:ascii="宋体" w:hAnsi="宋体" w:cs="Arial"/>
          <w:szCs w:val="21"/>
        </w:rPr>
        <w:t xml:space="preserve">双方签约人为各自法人或被授权代表。</w:t>
      </w:r>
      <w:r/>
    </w:p>
    <w:p>
      <w:pPr>
        <w:ind w:right="-252" w:firstLine="405"/>
        <w:spacing w:line="360" w:lineRule="auto"/>
        <w:rPr>
          <w:rFonts w:ascii="宋体" w:hAnsi="宋体" w:cs="Arial"/>
          <w:szCs w:val="21"/>
        </w:rPr>
      </w:pPr>
      <w:r>
        <w:rPr>
          <w:rFonts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ascii="宋体" w:hAnsi="宋体"/>
          <w:szCs w:val="21"/>
        </w:rPr>
        <w:t xml:space="preserve">3．本合同一式</w:t>
      </w:r>
      <w:r>
        <w:rPr>
          <w:rFonts w:hint="eastAsia" w:ascii="宋体" w:hAnsi="宋体"/>
          <w:szCs w:val="21"/>
        </w:rPr>
        <w:t xml:space="preserve">叁</w:t>
      </w:r>
      <w:r>
        <w:rPr>
          <w:rFonts w:ascii="宋体" w:hAnsi="宋体"/>
          <w:szCs w:val="21"/>
        </w:rPr>
        <w:t xml:space="preserve">份，甲方和乙方各执壹份、招标代理人执壹份，各份具有同等法律效力。</w:t>
      </w:r>
      <w:r/>
    </w:p>
    <w:p>
      <w:pPr>
        <w:ind w:firstLine="480"/>
        <w:spacing w:line="360" w:lineRule="auto"/>
        <w:rPr>
          <w:rFonts w:asciiTheme="minorEastAsia" w:hAnsiTheme="minorEastAsia" w:eastAsiaTheme="minorEastAsia"/>
          <w:szCs w:val="21"/>
        </w:rPr>
      </w:pPr>
      <w:r>
        <w:rPr>
          <w:rFonts w:ascii="宋体" w:hAnsi="宋体"/>
          <w:szCs w:val="21"/>
        </w:rPr>
        <w:t xml:space="preserve">4、施工期间及免费保修期内出现的各类安全问题由乙方负责。</w:t>
      </w:r>
      <w:r/>
    </w:p>
    <w:p>
      <w:pPr>
        <w:ind w:firstLine="48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二十一、其他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本合同未尽事宜，签约双方应友好协商解决。协商不成，任何一方均可向甲方所在人民法院提起诉讼。</w:t>
      </w:r>
      <w:bookmarkEnd w:id="112"/>
      <w:r/>
      <w:bookmarkEnd w:id="113"/>
      <w:r/>
      <w:r/>
    </w:p>
    <w:p>
      <w:pPr>
        <w:ind w:firstLine="480"/>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（以下无正文）</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884"/>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697"/>
        <w:jc w:val="center"/>
        <w:spacing w:line="578" w:lineRule="auto"/>
        <w:rPr>
          <w:rFonts w:ascii="宋体" w:hAnsi="宋体" w:eastAsia="宋体"/>
          <w:sz w:val="32"/>
          <w:szCs w:val="32"/>
        </w:rPr>
      </w:pPr>
      <w:r/>
      <w:bookmarkStart w:id="114" w:name="_Toc219987794"/>
      <w:r>
        <w:rPr>
          <w:rFonts w:hint="eastAsia" w:ascii="宋体" w:hAnsi="宋体" w:eastAsia="宋体"/>
          <w:sz w:val="32"/>
          <w:szCs w:val="32"/>
        </w:rPr>
        <w:t xml:space="preserve">第六章  评标方法、采购政策、评分标准</w:t>
      </w:r>
      <w:bookmarkEnd w:id="110"/>
      <w:r/>
      <w:bookmarkEnd w:id="111"/>
      <w:r/>
      <w:bookmarkEnd w:id="114"/>
      <w:r/>
      <w:r/>
    </w:p>
    <w:p>
      <w:pPr>
        <w:ind w:firstLine="482"/>
        <w:spacing w:line="360" w:lineRule="auto"/>
        <w:rPr>
          <w:rFonts w:asciiTheme="minorEastAsia" w:hAnsiTheme="minorEastAsia" w:eastAsiaTheme="minorEastAsia"/>
          <w:szCs w:val="21"/>
        </w:rPr>
        <w:outlineLvl w:val="1"/>
      </w:pPr>
      <w:r/>
      <w:bookmarkStart w:id="115" w:name="_Toc116396247"/>
      <w:r/>
      <w:bookmarkStart w:id="116" w:name="_Toc116396568"/>
      <w:r/>
      <w:bookmarkStart w:id="117" w:name="_Toc219987795"/>
      <w:r>
        <w:rPr>
          <w:rFonts w:hint="eastAsia" w:asciiTheme="minorEastAsia" w:hAnsiTheme="minorEastAsia" w:eastAsiaTheme="minorEastAsia"/>
          <w:b/>
          <w:bCs/>
          <w:szCs w:val="21"/>
        </w:rPr>
        <w:t xml:space="preserve">一、评标办法</w:t>
      </w:r>
      <w:bookmarkEnd w:id="115"/>
      <w:r/>
      <w:bookmarkEnd w:id="116"/>
      <w:r/>
      <w:bookmarkEnd w:id="117"/>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2、综合评分的主要因素</w:t>
      </w:r>
      <w:r>
        <w:rPr>
          <w:rFonts w:hint="eastAsia" w:cs="宋体" w:asciiTheme="minorEastAsia" w:hAnsiTheme="minorEastAsia" w:eastAsiaTheme="minorEastAsia"/>
          <w:color w:val="000000"/>
          <w:szCs w:val="21"/>
        </w:rPr>
        <w:t xml:space="preserve">与投标供应商所提供货物服务的质量相关，包括投标报价、技术或者服务水平、履约能力、售后服务等</w:t>
      </w:r>
      <w:r>
        <w:rPr>
          <w:rFonts w:hint="eastAsia" w:asciiTheme="minorEastAsia" w:hAnsiTheme="minorEastAsia" w:eastAsiaTheme="minorEastAsia"/>
          <w:szCs w:val="21"/>
        </w:rPr>
        <w:t xml:space="preserve">。总分值100分，价格分值占总分值的比重为30%（权重），</w:t>
      </w:r>
      <w:r>
        <w:rPr>
          <w:rFonts w:hint="eastAsia" w:cs="宋体" w:asciiTheme="minorEastAsia" w:hAnsiTheme="minorEastAsia" w:eastAsiaTheme="minorEastAsia"/>
          <w:color w:val="000000"/>
          <w:szCs w:val="21"/>
        </w:rPr>
        <w:t xml:space="preserve">技术及其他部分分值</w:t>
      </w:r>
      <w:r>
        <w:rPr>
          <w:rFonts w:hint="eastAsia" w:asciiTheme="minorEastAsia" w:hAnsiTheme="minorEastAsia" w:eastAsiaTheme="minorEastAsia"/>
          <w:szCs w:val="21"/>
        </w:rPr>
        <w:t xml:space="preserve">占总分值的比重为70%（权重）。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w:t>
      </w:r>
      <w:r>
        <w:rPr>
          <w:rFonts w:hint="eastAsia" w:ascii="宋体" w:hAnsi="宋体"/>
        </w:rPr>
        <w:t xml:space="preserve">则以抽签决定中标人</w:t>
      </w:r>
      <w:r>
        <w:rPr>
          <w:rFonts w:hint="eastAsia"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118" w:name="_Toc116396569"/>
      <w:r/>
      <w:bookmarkStart w:id="119" w:name="_Toc116396248"/>
      <w:r/>
      <w:bookmarkStart w:id="120" w:name="_Toc219987796"/>
      <w:r>
        <w:rPr>
          <w:rFonts w:hint="eastAsia" w:asciiTheme="minorEastAsia" w:hAnsiTheme="minorEastAsia" w:eastAsiaTheme="minorEastAsia"/>
          <w:b/>
          <w:bCs/>
          <w:szCs w:val="21"/>
        </w:rPr>
        <w:t xml:space="preserve">二、采购政策</w:t>
      </w:r>
      <w:bookmarkEnd w:id="118"/>
      <w:r/>
      <w:bookmarkEnd w:id="119"/>
      <w:r/>
      <w:bookmarkEnd w:id="120"/>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（一）中、小、微企业</w:t>
      </w:r>
      <w:r/>
    </w:p>
    <w:p>
      <w:pPr>
        <w:ind w:firstLine="480"/>
        <w:spacing w:line="360" w:lineRule="auto"/>
        <w:rPr>
          <w:rFonts w:cs="宋体" w:asciiTheme="minorEastAsia" w:hAnsiTheme="minorEastAsia" w:eastAsiaTheme="minorEastAsia"/>
          <w:szCs w:val="21"/>
        </w:rPr>
      </w:pPr>
      <w:r>
        <w:rPr>
          <w:rFonts w:hint="eastAsia" w:asciiTheme="minorEastAsia" w:hAnsiTheme="minorEastAsia" w:eastAsiaTheme="minorEastAsia"/>
          <w:szCs w:val="21"/>
        </w:rPr>
        <w:t xml:space="preserve">根据《</w:t>
      </w:r>
      <w:r>
        <w:rPr>
          <w:rFonts w:asciiTheme="minorEastAsia" w:hAnsiTheme="minorEastAsia" w:eastAsiaTheme="minorEastAsia"/>
          <w:szCs w:val="21"/>
        </w:rPr>
        <w:t xml:space="preserve">政府采购促进</w:t>
      </w:r>
      <w:r>
        <w:rPr>
          <w:rFonts w:asciiTheme="minorEastAsia" w:hAnsiTheme="minorEastAsia" w:eastAsiaTheme="minorEastAsia"/>
          <w:szCs w:val="21"/>
          <w:lang w:val="zh-CN"/>
        </w:rPr>
        <w:t xml:space="preserve">中小企业发展管理办法</w:t>
      </w:r>
      <w:r>
        <w:rPr>
          <w:rFonts w:hint="eastAsia" w:asciiTheme="minorEastAsia" w:hAnsiTheme="minorEastAsia" w:eastAsiaTheme="minorEastAsia"/>
          <w:szCs w:val="21"/>
        </w:rPr>
        <w:t xml:space="preserve">》(财库〔2020〕46号)</w:t>
      </w:r>
      <w:r>
        <w:rPr>
          <w:rFonts w:hint="eastAsia" w:asciiTheme="minorEastAsia" w:hAnsiTheme="minorEastAsia" w:eastAsiaTheme="minorEastAsia"/>
          <w:szCs w:val="21"/>
          <w:lang w:val="zh-CN"/>
        </w:rPr>
        <w:t xml:space="preserve">、《苏州市政府采购促进中小企业发展实施意见》（苏财购〔2022〕16 号）的</w:t>
      </w:r>
      <w:r>
        <w:rPr>
          <w:rFonts w:hint="eastAsia" w:asciiTheme="minorEastAsia" w:hAnsiTheme="minorEastAsia" w:eastAsiaTheme="minorEastAsia"/>
          <w:szCs w:val="21"/>
        </w:rPr>
        <w:t xml:space="preserve">相关规定，</w:t>
      </w:r>
      <w:r>
        <w:rPr>
          <w:rFonts w:hint="eastAsia" w:cs="宋体" w:asciiTheme="minorEastAsia" w:hAnsiTheme="minorEastAsia" w:eastAsiaTheme="minorEastAsia"/>
          <w:b/>
          <w:szCs w:val="21"/>
        </w:rPr>
        <w:t xml:space="preserve">本项目面向中小企业采购项目</w:t>
      </w:r>
      <w:r>
        <w:rPr>
          <w:rFonts w:hint="eastAsia" w:asciiTheme="minorEastAsia" w:hAnsiTheme="minorEastAsia" w:eastAsiaTheme="minorEastAsia"/>
          <w:szCs w:val="21"/>
          <w:lang w:val="zh-CN"/>
        </w:rPr>
        <w:t xml:space="preserve">，</w:t>
      </w:r>
      <w:r>
        <w:rPr>
          <w:rFonts w:hint="eastAsia" w:ascii="宋体" w:hAnsi="宋体"/>
          <w:szCs w:val="21"/>
        </w:rPr>
        <w:t xml:space="preserve">如投标人认定本企业为大型企业向中小微企业分包的（还须提供《分包意向协议》）或中型、小型或微型企业</w:t>
      </w:r>
      <w:r>
        <w:rPr>
          <w:rFonts w:hint="eastAsia" w:asciiTheme="minorEastAsia" w:hAnsiTheme="minorEastAsia" w:eastAsiaTheme="minorEastAsia"/>
          <w:szCs w:val="21"/>
          <w:lang w:val="zh-CN"/>
        </w:rPr>
        <w:t xml:space="preserve">，需根据《中</w:t>
      </w:r>
      <w:r>
        <w:rPr>
          <w:rFonts w:hint="eastAsia" w:asciiTheme="minorEastAsia" w:hAnsiTheme="minorEastAsia" w:eastAsiaTheme="minorEastAsia"/>
          <w:szCs w:val="21"/>
        </w:rPr>
        <w:t xml:space="preserve">小企业划型标准规定》（工信部联企业〔2011〕300号）填报《</w:t>
      </w:r>
      <w:r>
        <w:rPr>
          <w:rFonts w:hint="eastAsia" w:cs="宋体" w:asciiTheme="minorEastAsia" w:hAnsiTheme="minorEastAsia" w:eastAsiaTheme="minorEastAsia"/>
          <w:szCs w:val="21"/>
        </w:rPr>
        <w:t xml:space="preserve">中小企业声明函》。</w:t>
      </w:r>
      <w:r>
        <w:rPr>
          <w:rFonts w:hint="eastAsia" w:cs="宋体" w:asciiTheme="minorEastAsia" w:hAnsiTheme="minorEastAsia" w:eastAsiaTheme="minorEastAsia"/>
          <w:b/>
          <w:bCs/>
          <w:szCs w:val="21"/>
        </w:rPr>
        <w:t xml:space="preserve">加盖公章后的《中小企业声明函》电子件放置于投标文件中提交，</w:t>
      </w:r>
      <w:r>
        <w:rPr>
          <w:rFonts w:hint="eastAsia" w:ascii="宋体" w:hAnsi="宋体"/>
          <w:b/>
          <w:szCs w:val="21"/>
        </w:rPr>
        <w:t xml:space="preserve">未提交则不享受预留采购份额政策</w:t>
      </w:r>
      <w:r>
        <w:rPr>
          <w:rFonts w:hint="eastAsia" w:cs="宋体" w:asciiTheme="minorEastAsia" w:hAnsiTheme="minorEastAsia" w:eastAsiaTheme="minorEastAsia"/>
          <w:b/>
          <w:bCs/>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根据《三部门联合发布关于促进残疾人就业政府采购政策的通知》（财库〔2017〕141号）的相关规定：如投标人为符合条件的残疾人福利性单位，则视同小型、微型企业，</w:t>
      </w:r>
      <w:bookmarkStart w:id="121" w:name="OLE_LINK11"/>
      <w:r/>
      <w:bookmarkStart w:id="122" w:name="OLE_LINK12"/>
      <w:r>
        <w:rPr>
          <w:rFonts w:hint="eastAsia" w:hAnsi="宋体" w:cs="宋体"/>
        </w:rPr>
        <w:t xml:space="preserve">享受预留份额的政府采购政策</w:t>
      </w:r>
      <w:bookmarkEnd w:id="121"/>
      <w:r/>
      <w:bookmarkEnd w:id="122"/>
      <w:r>
        <w:rPr>
          <w:rFonts w:hint="eastAsia" w:asciiTheme="minorEastAsia" w:hAnsiTheme="minorEastAsia" w:eastAsiaTheme="minorEastAsia"/>
          <w:szCs w:val="21"/>
        </w:rPr>
        <w:t xml:space="preserve">。残疾人福利性单位属于小型、微型企业的，不重复享受政策。</w:t>
      </w:r>
      <w:r>
        <w:rPr>
          <w:rFonts w:hint="eastAsia" w:asciiTheme="minorEastAsia" w:hAnsiTheme="minorEastAsia" w:eastAsiaTheme="minorEastAsia"/>
          <w:b/>
          <w:szCs w:val="21"/>
        </w:rPr>
        <w:t xml:space="preserve">加盖公章后的《残疾人福利性单位声明函》电子件放置于投标文件中提交，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hAnsi="宋体" w:cs="宋体"/>
        </w:rPr>
        <w:t xml:space="preserve">享受预留份额的政府采购政策</w:t>
      </w:r>
      <w:r>
        <w:rPr>
          <w:rFonts w:hint="eastAsia" w:asciiTheme="minorEastAsia" w:hAnsiTheme="minorEastAsia" w:eastAsiaTheme="minorEastAsia"/>
          <w:szCs w:val="21"/>
        </w:rPr>
        <w:t xml:space="preserve">。监狱企业属于小型、微型企业的，不重复享受政策。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20"/>
        <w:spacing w:line="360" w:lineRule="auto"/>
        <w:tabs>
          <w:tab w:val="left" w:pos="567" w:leader="none"/>
        </w:tabs>
        <w:rPr>
          <w:rFonts w:ascii="宋体" w:hAnsi="宋体"/>
          <w:szCs w:val="21"/>
        </w:rPr>
      </w:pPr>
      <w:r>
        <w:rPr>
          <w:rFonts w:hint="eastAsia" w:ascii="宋体" w:hAnsi="宋体" w:cs="宋体"/>
          <w:szCs w:val="21"/>
        </w:rPr>
        <w:t xml:space="preserve">（四）</w:t>
      </w:r>
      <w:r>
        <w:rPr>
          <w:rFonts w:hint="eastAsia" w:ascii="宋体" w:hAnsi="宋体"/>
          <w:szCs w:val="21"/>
        </w:rPr>
        <w:t xml:space="preserve">对本国产品的支持政策</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w:t>
      </w:r>
      <w:r>
        <w:rPr>
          <w:rFonts w:hint="eastAsia"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Theme="minorEastAsia" w:hAnsiTheme="minorEastAsia" w:eastAsiaTheme="minorEastAsia"/>
          <w:szCs w:val="21"/>
        </w:rPr>
      </w:pPr>
      <w:r>
        <w:rPr>
          <w:rFonts w:hint="eastAsia" w:ascii="宋体" w:hAnsi="宋体"/>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（六）若供应商提供的《中小企业声明函》 、《残疾人福利性单位声明函》及监狱企业认定证明等材料为虚假材料，按《政府采购法》相关规定处理并报请政府采购监管部门给予行政处罚。</w:t>
      </w:r>
      <w:r/>
    </w:p>
    <w:p>
      <w:pPr>
        <w:ind w:firstLine="482"/>
        <w:spacing w:line="360" w:lineRule="auto"/>
        <w:rPr>
          <w:rFonts w:asciiTheme="minorEastAsia" w:hAnsiTheme="minorEastAsia" w:eastAsiaTheme="minorEastAsia"/>
          <w:b/>
          <w:bCs/>
          <w:szCs w:val="21"/>
        </w:rPr>
        <w:outlineLvl w:val="1"/>
      </w:pPr>
      <w:r/>
      <w:bookmarkStart w:id="123" w:name="_Toc116396249"/>
      <w:r/>
      <w:bookmarkStart w:id="124" w:name="_Toc116396570"/>
      <w:r/>
      <w:bookmarkStart w:id="125" w:name="_Toc219987797"/>
      <w:r>
        <w:rPr>
          <w:rFonts w:hint="eastAsia" w:asciiTheme="minorEastAsia" w:hAnsiTheme="minorEastAsia" w:eastAsiaTheme="minorEastAsia"/>
          <w:b/>
          <w:bCs/>
          <w:szCs w:val="21"/>
        </w:rPr>
        <w:t xml:space="preserve">三、评分标准</w:t>
      </w:r>
      <w:bookmarkEnd w:id="123"/>
      <w:r/>
      <w:bookmarkEnd w:id="124"/>
      <w:r/>
      <w:bookmarkEnd w:id="125"/>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（一）价格（30分）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1、投标总报价低于或等于财政预算价格的，为有效投标报价。超预算金额的投标报价为无效投标报价。无效投标报价的投标文件不进行评审，也不得中标。</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宋体" w:hAnsi="宋体" w:cs="宋体"/>
          <w:color w:val="000000"/>
          <w:szCs w:val="21"/>
        </w:rPr>
        <w:t xml:space="preserve">分析总报价及各个分项报价是否合理，报价范围是否完整，有否重大错漏项，特别说明：如某投标供应商的投标报价中有清单漏项等构成未实质性响应招标文件要求的，将不得中标</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3、价格分采用低价优先法计算，即满足招标文件要求且投标价格最低的投标报价为评标基准</w:t>
      </w:r>
      <w:r>
        <w:rPr>
          <w:rFonts w:hint="eastAsia" w:asciiTheme="minorEastAsia" w:hAnsiTheme="minorEastAsia" w:eastAsiaTheme="minorEastAsia"/>
          <w:szCs w:val="21"/>
        </w:rPr>
        <w:t xml:space="preserve">价，其价格分为满分30分。其他投标人的价格分统一按照下列公式计算：</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投标报价得分=（评标基准价/投标报价）*30%*100，小数点后保留两位。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(二)技术及其它（70分）：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26" w:name="gpc_score_horizontal_1"/>
            <w:r/>
            <w:bookmarkStart w:id="127" w:name="gpc_score_horizontal_2"/>
            <w:r/>
            <w:bookmarkStart w:id="128" w:name="OLE_LINK15"/>
            <w:r/>
            <w:bookmarkStart w:id="129" w:name="OLE_LINK17"/>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（30分）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cs="宋体"/>
                <w:bCs/>
                <w:szCs w:val="21"/>
              </w:rPr>
              <w:t xml:space="preserve">（评标基准价／投标报价）×价格权值×100；（计算到小数点后二位）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30</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（70分）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项目理解分析</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投标人对本项目需求特点及建设情况的认知，详细阐述针对本项目理解分析，至少包括：</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1）项目现状分析；</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2）项目需求理解；</w:t>
            </w:r>
            <w:r/>
          </w:p>
          <w:p>
            <w:pPr>
              <w:pStyle w:val="884"/>
              <w:ind w:firstLine="0"/>
              <w:rPr>
                <w:rFonts w:hint="default"/>
              </w:rPr>
            </w:pPr>
            <w:r>
              <w:t xml:space="preserve">3）实施目标定位。</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每项内容符合项目采购需求的得3分，最高9分；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项目部署方案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投标人提供针对本项目的部署方案，至少包括：</w:t>
            </w:r>
            <w:r/>
          </w:p>
          <w:p>
            <w:pPr>
              <w:spacing w:line="280" w:lineRule="exact"/>
              <w:rPr>
                <w:rFonts w:ascii="宋体" w:hAnsi="宋体" w:cs="宋体"/>
                <w:color w:val="000000"/>
                <w:szCs w:val="21"/>
              </w:rPr>
            </w:pPr>
            <w:r>
              <w:rPr>
                <w:rFonts w:hint="eastAsia" w:ascii="宋体" w:hAnsi="宋体" w:cs="宋体"/>
                <w:color w:val="000000"/>
                <w:szCs w:val="21"/>
              </w:rPr>
              <w:t xml:space="preserve">1）项目组织部署方案；</w:t>
            </w:r>
            <w:r/>
          </w:p>
          <w:p>
            <w:pPr>
              <w:spacing w:line="280" w:lineRule="exact"/>
              <w:rPr>
                <w:rFonts w:ascii="宋体" w:hAnsi="宋体" w:cs="宋体"/>
                <w:color w:val="000000"/>
                <w:szCs w:val="21"/>
              </w:rPr>
            </w:pPr>
            <w:r>
              <w:rPr>
                <w:rFonts w:hint="eastAsia" w:ascii="宋体" w:hAnsi="宋体" w:cs="宋体"/>
                <w:color w:val="000000"/>
                <w:szCs w:val="21"/>
              </w:rPr>
              <w:t xml:space="preserve">2）进度计划及保证措施；</w:t>
            </w:r>
            <w:r/>
          </w:p>
          <w:p>
            <w:pPr>
              <w:spacing w:line="280" w:lineRule="exact"/>
              <w:rPr>
                <w:rFonts w:ascii="宋体" w:hAnsi="宋体" w:cs="宋体"/>
                <w:color w:val="000000"/>
                <w:szCs w:val="21"/>
              </w:rPr>
            </w:pPr>
            <w:r>
              <w:rPr>
                <w:rFonts w:hint="eastAsia" w:ascii="宋体" w:hAnsi="宋体" w:cs="宋体"/>
                <w:color w:val="000000"/>
                <w:szCs w:val="21"/>
              </w:rPr>
              <w:t xml:space="preserve">3）质量及安全文明保障措施；</w:t>
            </w:r>
            <w:r/>
          </w:p>
          <w:p>
            <w:pPr>
              <w:spacing w:line="280" w:lineRule="exact"/>
              <w:rPr>
                <w:rFonts w:ascii="宋体" w:hAnsi="宋体" w:cs="宋体"/>
                <w:color w:val="000000"/>
                <w:szCs w:val="21"/>
              </w:rPr>
            </w:pPr>
            <w:r>
              <w:rPr>
                <w:rFonts w:hint="eastAsia" w:ascii="宋体" w:hAnsi="宋体" w:cs="宋体"/>
                <w:color w:val="000000"/>
                <w:szCs w:val="21"/>
              </w:rPr>
              <w:t xml:space="preserve">4）突发事件应急处置方案。</w:t>
            </w:r>
            <w:r/>
          </w:p>
          <w:p>
            <w:pPr>
              <w:rPr>
                <w:rFonts w:ascii="宋体"/>
                <w:b/>
                <w:bCs/>
                <w:color w:val="000000"/>
                <w:szCs w:val="21"/>
              </w:rPr>
            </w:pPr>
            <w:r>
              <w:rPr>
                <w:rFonts w:hint="eastAsia" w:ascii="宋体" w:hAnsi="宋体" w:cs="宋体"/>
                <w:color w:val="000000"/>
                <w:szCs w:val="21"/>
              </w:rPr>
              <w:t xml:space="preserve">每项内容符合项目采购需求的得</w:t>
            </w:r>
            <w:r>
              <w:rPr>
                <w:rFonts w:hint="eastAsia" w:ascii="宋体" w:hAnsi="宋体" w:cs="宋体"/>
                <w:color w:val="000000"/>
                <w:szCs w:val="21"/>
              </w:rPr>
              <w:t xml:space="preserve">3</w:t>
            </w:r>
            <w:r>
              <w:rPr>
                <w:rFonts w:hint="eastAsia" w:ascii="宋体" w:hAnsi="宋体" w:cs="宋体"/>
                <w:color w:val="000000"/>
                <w:szCs w:val="21"/>
              </w:rPr>
              <w:t xml:space="preserve">分，最高</w:t>
            </w:r>
            <w:r>
              <w:rPr>
                <w:rFonts w:hint="eastAsia" w:ascii="宋体" w:hAnsi="宋体" w:cs="宋体"/>
                <w:color w:val="000000"/>
                <w:szCs w:val="21"/>
              </w:rPr>
              <w:t xml:space="preserve">12</w:t>
            </w:r>
            <w:r>
              <w:rPr>
                <w:rFonts w:hint="eastAsia" w:ascii="宋体" w:hAnsi="宋体" w:cs="宋体"/>
                <w:color w:val="000000"/>
                <w:szCs w:val="21"/>
              </w:rPr>
              <w:t xml:space="preserve">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12</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项目点位</w:t>
            </w:r>
            <w:bookmarkStart w:id="130" w:name="_GoBack"/>
            <w:r/>
            <w:bookmarkEnd w:id="130"/>
            <w:r>
              <w:rPr>
                <w:rFonts w:hint="eastAsia" w:ascii="宋体" w:hAnsi="宋体" w:cs="宋体"/>
                <w:bCs/>
                <w:szCs w:val="21"/>
              </w:rPr>
              <w:t xml:space="preserve">实施</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根据招标文件设计方案中派出所监控系统点位布置实际需求（花桥178个点位；曹安138个点位），结合项目建设现状进行项目点位实施分析，并提供每个点位的实施分析资料，需含前端点位设备安装位置(位置照片或示意图)、设备网络链路情况（通讯方式）、设备供电取电情况（取电地点）等。</w:t>
            </w:r>
            <w:r/>
          </w:p>
          <w:p>
            <w:pPr>
              <w:spacing w:line="280" w:lineRule="exact"/>
              <w:rPr>
                <w:b/>
              </w:rPr>
            </w:pPr>
            <w:r>
              <w:rPr>
                <w:rFonts w:hint="eastAsia" w:ascii="宋体" w:hAnsi="宋体" w:cs="宋体"/>
                <w:color w:val="000000"/>
                <w:szCs w:val="21"/>
              </w:rPr>
              <w:t xml:space="preserve">点位分析详细完整，符合标准规范，切实可行且能指导项目实施的，得4分；</w:t>
            </w:r>
            <w:r>
              <w:rPr>
                <w:rFonts w:hint="eastAsia" w:ascii="宋体" w:hAnsi="宋体"/>
                <w:szCs w:val="21"/>
              </w:rPr>
              <w:t xml:space="preserve">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4</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售后服务及培训</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投标人提供针对本项目的售后服务及培训方案，至少包括：</w:t>
            </w:r>
            <w:r/>
          </w:p>
          <w:p>
            <w:pPr>
              <w:spacing w:line="280" w:lineRule="exact"/>
              <w:rPr>
                <w:rFonts w:ascii="宋体" w:hAnsi="宋体" w:cs="宋体"/>
                <w:color w:val="000000"/>
                <w:szCs w:val="21"/>
              </w:rPr>
            </w:pPr>
            <w:r>
              <w:rPr>
                <w:rFonts w:hint="eastAsia" w:ascii="宋体" w:hAnsi="宋体" w:cs="宋体"/>
                <w:color w:val="000000"/>
                <w:szCs w:val="21"/>
              </w:rPr>
              <w:t xml:space="preserve">1）提供本地化支持服务，售后时间安排，包括但不限于售后服务响应时间、到场时间及解决时间；</w:t>
            </w:r>
            <w:r/>
          </w:p>
          <w:p>
            <w:pPr>
              <w:spacing w:line="280" w:lineRule="exact"/>
              <w:rPr>
                <w:rFonts w:ascii="宋体" w:hAnsi="宋体" w:cs="宋体"/>
                <w:color w:val="000000"/>
                <w:szCs w:val="21"/>
              </w:rPr>
            </w:pPr>
            <w:r>
              <w:rPr>
                <w:rFonts w:hint="eastAsia" w:ascii="宋体" w:hAnsi="宋体" w:cs="宋体"/>
                <w:color w:val="000000"/>
                <w:szCs w:val="21"/>
              </w:rPr>
              <w:t xml:space="preserve">2）专业人员配备、备品备件、售后服务保障方案及培训计划方案。</w:t>
            </w:r>
            <w:r/>
          </w:p>
          <w:p>
            <w:pPr>
              <w:pStyle w:val="884"/>
              <w:ind w:firstLine="0"/>
              <w:rPr>
                <w:rFonts w:hint="default"/>
              </w:rPr>
            </w:pPr>
            <w:r>
              <w:rPr>
                <w:rFonts w:hAnsi="宋体" w:cs="宋体"/>
                <w:color w:val="000000"/>
                <w:szCs w:val="21"/>
              </w:rPr>
              <w:t xml:space="preserve">每项内容符合项目采购需求的得2分，最高4分；</w:t>
            </w:r>
            <w:r>
              <w:rPr>
                <w:rFonts w:hAnsi="宋体"/>
                <w:szCs w:val="21"/>
              </w:rPr>
              <w:t xml:space="preserve">每项内容叙述与采购需求偏差较大或未作完整叙述的</w:t>
            </w:r>
            <w:r>
              <w:rPr>
                <w:rFonts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4</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▲设备技术参数</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rPr>
                <w:b/>
              </w:rPr>
            </w:pPr>
            <w:r>
              <w:rPr>
                <w:rFonts w:hint="eastAsia"/>
                <w:b/>
              </w:rPr>
              <w:t xml:space="preserve">投标人针对第四章招标书</w:t>
            </w:r>
            <w:r>
              <w:rPr>
                <w:rFonts w:hint="eastAsia"/>
                <w:b/>
              </w:rPr>
              <w:t xml:space="preserve">-</w:t>
            </w:r>
            <w:r>
              <w:rPr>
                <w:rFonts w:hint="eastAsia"/>
                <w:b/>
              </w:rPr>
              <w:t xml:space="preserve">设计方案中带▲参数（共</w:t>
            </w:r>
            <w:r>
              <w:rPr>
                <w:rFonts w:hint="eastAsia"/>
                <w:b/>
              </w:rPr>
              <w:t xml:space="preserve">15</w:t>
            </w:r>
            <w:r>
              <w:rPr>
                <w:rFonts w:hint="eastAsia"/>
                <w:b/>
              </w:rPr>
              <w:t xml:space="preserve">项）提供“响应及偏离表（技术要求）”。评标委员会根据“响应及偏离表（技术要求）”评分，所投产品的技术规格参数完全满足或优于招标文件要求的得</w:t>
            </w:r>
            <w:r>
              <w:rPr>
                <w:rFonts w:hint="eastAsia"/>
                <w:b/>
              </w:rPr>
              <w:t xml:space="preserve">15</w:t>
            </w:r>
            <w:r>
              <w:rPr>
                <w:rFonts w:hint="eastAsia"/>
                <w:b/>
              </w:rPr>
              <w:t xml:space="preserve">分；产品的技术规格参数每有一项负偏离的扣</w:t>
            </w:r>
            <w:r>
              <w:rPr>
                <w:rFonts w:hint="eastAsia"/>
                <w:b/>
              </w:rPr>
              <w:t xml:space="preserve">1</w:t>
            </w:r>
            <w:r>
              <w:rPr>
                <w:rFonts w:hint="eastAsia"/>
                <w:b/>
              </w:rPr>
              <w:t xml:space="preserve">分，扣完为止，本项最高得</w:t>
            </w:r>
            <w:r>
              <w:rPr>
                <w:rFonts w:hint="eastAsia"/>
                <w:b/>
              </w:rPr>
              <w:t xml:space="preserve">15</w:t>
            </w:r>
            <w:r>
              <w:rPr>
                <w:rFonts w:hint="eastAsia"/>
                <w:b/>
              </w:rPr>
              <w:t xml:space="preserve">分。</w:t>
            </w:r>
            <w:r/>
          </w:p>
          <w:p>
            <w:pPr>
              <w:rPr>
                <w:b/>
              </w:rPr>
            </w:pPr>
            <w:r>
              <w:rPr>
                <w:rFonts w:hint="eastAsia"/>
                <w:b/>
              </w:rPr>
              <w:t xml:space="preserve">（投标文件内提供响应及偏离表（技术要求），并提供招标文件设计方案中标▲部分的技术规格参数对应的证明材料，否则视为负偏离）。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15</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▲技术支持服务</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b/>
              </w:rPr>
            </w:pPr>
            <w:r>
              <w:rPr>
                <w:rFonts w:hint="eastAsia" w:ascii="宋体" w:hAnsi="宋体" w:cs="宋体"/>
                <w:color w:val="000000"/>
                <w:szCs w:val="21"/>
              </w:rPr>
              <w:t xml:space="preserve">本项目实施期间，投标人能够协调有资质及实施能力的运营商提供7天*12小时现场技术支持服务的，得4分。投标文件内提供服务承诺函并加盖投标人公章；不提供不得分。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4</w:t>
            </w:r>
            <w:r/>
          </w:p>
        </w:tc>
      </w:tr>
      <w:tr>
        <w:trPr>
          <w:jc w:val="center"/>
          <w:trHeight w:val="62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▲企业能力</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投标人具有：</w:t>
            </w:r>
            <w:r/>
          </w:p>
          <w:p>
            <w:pPr>
              <w:pStyle w:val="884"/>
              <w:ind w:firstLine="0"/>
              <w:rPr>
                <w:rFonts w:hint="default"/>
              </w:rPr>
            </w:pPr>
            <w:r>
              <w:t xml:space="preserve">1）</w:t>
            </w:r>
            <w:bookmarkStart w:id="131" w:name="OLE_LINK13"/>
            <w:r/>
            <w:bookmarkStart w:id="132" w:name="OLE_LINK14"/>
            <w:r>
              <w:t xml:space="preserve">信息系统服务交付能力等级证书</w:t>
            </w:r>
            <w:bookmarkEnd w:id="131"/>
            <w:r/>
            <w:bookmarkEnd w:id="132"/>
            <w:r>
              <w:t xml:space="preserve">（CCID）</w:t>
            </w:r>
            <w:r>
              <w:t xml:space="preserve">,一级得3分，二级得2分，三级得1分，四级得0.5分</w:t>
            </w:r>
            <w:r>
              <w:t xml:space="preserve">；</w:t>
            </w:r>
            <w:r/>
          </w:p>
          <w:p>
            <w:pPr>
              <w:pStyle w:val="884"/>
              <w:ind w:firstLine="0"/>
              <w:rPr>
                <w:rFonts w:hint="default"/>
              </w:rPr>
            </w:pPr>
            <w:r>
              <w:t xml:space="preserve">2）ITSS</w:t>
            </w:r>
            <w:bookmarkStart w:id="133" w:name="OLE_LINK18"/>
            <w:r/>
            <w:bookmarkStart w:id="134" w:name="OLE_LINK19"/>
            <w:r>
              <w:t xml:space="preserve">信息技术服务标准符合性证书</w:t>
            </w:r>
            <w:bookmarkEnd w:id="133"/>
            <w:r/>
            <w:bookmarkEnd w:id="134"/>
            <w:r>
              <w:t xml:space="preserve">（业务领域：运行维护）</w:t>
            </w:r>
            <w:r>
              <w:t xml:space="preserve">,一级得3分，二级得2分，三级得1分，四级得0.5分</w:t>
            </w:r>
            <w:r>
              <w:t xml:space="preserve">。</w:t>
            </w:r>
            <w:r/>
          </w:p>
          <w:p>
            <w:r>
              <w:rPr>
                <w:rFonts w:hint="eastAsia"/>
                <w:b/>
              </w:rPr>
              <w:t xml:space="preserve">本项最高得</w:t>
            </w:r>
            <w:r>
              <w:rPr>
                <w:rFonts w:hint="eastAsia"/>
                <w:b/>
              </w:rPr>
              <w:t xml:space="preserve">6</w:t>
            </w:r>
            <w:r>
              <w:rPr>
                <w:rFonts w:hint="eastAsia"/>
                <w:b/>
              </w:rPr>
              <w:t xml:space="preserve">分。提供有效期内的相关证书扫描件并加盖投标单位公章；</w:t>
            </w:r>
            <w:r>
              <w:rPr>
                <w:rFonts w:hint="eastAsia" w:ascii="宋体" w:hAnsi="宋体" w:cs="宋体"/>
                <w:b/>
                <w:color w:val="000000"/>
                <w:szCs w:val="21"/>
              </w:rPr>
              <w:t xml:space="preserve">不提供不得分</w:t>
            </w:r>
            <w:r>
              <w:rPr>
                <w:rFonts w:hint="eastAsia"/>
                <w:b/>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▲体系认证</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投标人具有：</w:t>
            </w:r>
            <w:r/>
          </w:p>
          <w:p>
            <w:pPr>
              <w:pStyle w:val="884"/>
              <w:ind w:firstLine="0"/>
              <w:rPr>
                <w:rFonts w:hint="default"/>
              </w:rPr>
            </w:pPr>
            <w:r>
              <w:t xml:space="preserve">1）质量管理体系认证证书；</w:t>
            </w:r>
            <w:r/>
          </w:p>
          <w:p>
            <w:pPr>
              <w:pStyle w:val="884"/>
              <w:ind w:firstLine="0"/>
              <w:rPr>
                <w:rFonts w:hint="default"/>
              </w:rPr>
            </w:pPr>
            <w:r>
              <w:t xml:space="preserve">2）环境管理体系认证证书。</w:t>
            </w:r>
            <w:r/>
          </w:p>
          <w:p>
            <w:pPr>
              <w:widowControl/>
              <w:rPr>
                <w:rFonts w:ascii="宋体" w:hAnsi="宋体" w:cs="宋体"/>
                <w:color w:val="000000"/>
                <w:shd w:val="clear" w:color="auto" w:fill="ffffff"/>
              </w:rPr>
            </w:pPr>
            <w:r>
              <w:rPr>
                <w:rFonts w:hint="eastAsia"/>
                <w:b/>
              </w:rPr>
              <w:t xml:space="preserve">每有一个证书得</w:t>
            </w:r>
            <w:r>
              <w:rPr>
                <w:rFonts w:hint="eastAsia"/>
                <w:b/>
              </w:rPr>
              <w:t xml:space="preserve">2</w:t>
            </w:r>
            <w:r>
              <w:rPr>
                <w:rFonts w:hint="eastAsia"/>
                <w:b/>
              </w:rPr>
              <w:t xml:space="preserve">分，最高得</w:t>
            </w:r>
            <w:r>
              <w:rPr>
                <w:rFonts w:hint="eastAsia"/>
                <w:b/>
              </w:rPr>
              <w:t xml:space="preserve">4</w:t>
            </w:r>
            <w:r>
              <w:rPr>
                <w:rFonts w:hint="eastAsia"/>
                <w:b/>
              </w:rPr>
              <w:t xml:space="preserve">分。提供有效期内的相关证书扫描件并加盖投标单位公章；</w:t>
            </w:r>
            <w:r>
              <w:rPr>
                <w:rFonts w:hint="eastAsia" w:ascii="宋体" w:hAnsi="宋体" w:cs="宋体"/>
                <w:b/>
                <w:color w:val="000000"/>
                <w:szCs w:val="21"/>
              </w:rPr>
              <w:t xml:space="preserve">不提供不得分</w:t>
            </w:r>
            <w:r>
              <w:rPr>
                <w:rFonts w:hint="eastAsia"/>
                <w:b/>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4</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▲项目负责人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hd w:val="clear" w:color="auto" w:fill="ffffff"/>
              </w:rPr>
            </w:pPr>
            <w:r>
              <w:rPr>
                <w:rFonts w:hint="eastAsia" w:ascii="宋体" w:hAnsi="宋体" w:cs="宋体"/>
                <w:color w:val="000000"/>
                <w:shd w:val="clear" w:color="auto" w:fill="ffffff"/>
              </w:rPr>
              <w:t xml:space="preserve">投标人拟派的项目负责人（不与技术负责人重复）具有：</w:t>
            </w:r>
            <w:r/>
          </w:p>
          <w:p>
            <w:pPr>
              <w:pStyle w:val="884"/>
              <w:ind w:firstLine="0"/>
              <w:rPr>
                <w:rFonts w:hint="default"/>
              </w:rPr>
            </w:pPr>
            <w:r>
              <w:t xml:space="preserve">1) IT服务工程师证书；</w:t>
            </w:r>
            <w:r/>
          </w:p>
          <w:p>
            <w:pPr>
              <w:pStyle w:val="884"/>
              <w:ind w:firstLine="0"/>
              <w:rPr>
                <w:rFonts w:hint="default"/>
              </w:rPr>
            </w:pPr>
            <w:r>
              <w:t xml:space="preserve">2) 信息系统项目管理师证书；</w:t>
            </w:r>
            <w:r/>
          </w:p>
          <w:p>
            <w:pPr>
              <w:pStyle w:val="884"/>
              <w:ind w:firstLine="0"/>
              <w:rPr>
                <w:rFonts w:hint="default"/>
              </w:rPr>
            </w:pPr>
            <w:r>
              <w:t xml:space="preserve">3</w:t>
            </w:r>
            <w:r>
              <w:t xml:space="preserve">）</w:t>
            </w:r>
            <w:r>
              <w:t xml:space="preserve">中级及以上工程师</w:t>
            </w:r>
            <w:r>
              <w:t xml:space="preserve">证书。</w:t>
            </w:r>
            <w:r/>
          </w:p>
          <w:p>
            <w:pPr>
              <w:pStyle w:val="884"/>
              <w:ind w:firstLine="0"/>
              <w:rPr>
                <w:rFonts w:hint="default"/>
                <w:b/>
              </w:rPr>
            </w:pPr>
            <w:r>
              <w:rPr>
                <w:b/>
              </w:rPr>
              <w:t xml:space="preserve">每有一项证书的得1分，最高得</w:t>
            </w:r>
            <w:r>
              <w:rPr>
                <w:b/>
              </w:rPr>
              <w:t xml:space="preserve">3</w:t>
            </w:r>
            <w:r>
              <w:rPr>
                <w:b/>
              </w:rPr>
              <w:t xml:space="preserve">分。提供有效的身份证扫描件、有效期内的人员证书扫描件及社保证明扫描件，并加盖投标单位公章；</w:t>
            </w:r>
            <w:r>
              <w:rPr>
                <w:rFonts w:hAnsi="宋体" w:cs="宋体"/>
                <w:b/>
                <w:color w:val="000000"/>
                <w:szCs w:val="21"/>
              </w:rPr>
              <w:t xml:space="preserve">不提供不得分</w:t>
            </w:r>
            <w:r>
              <w:rPr>
                <w:b/>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▲项目技术负责人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hd w:val="clear" w:color="auto" w:fill="ffffff"/>
              </w:rPr>
            </w:pPr>
            <w:r>
              <w:rPr>
                <w:rFonts w:hint="eastAsia" w:ascii="宋体" w:hAnsi="宋体" w:cs="宋体"/>
                <w:color w:val="000000"/>
                <w:shd w:val="clear" w:color="auto" w:fill="ffffff"/>
              </w:rPr>
              <w:t xml:space="preserve">拟选派的项目技术负责人（不与项目负责人重复）具有：</w:t>
            </w:r>
            <w:r/>
          </w:p>
          <w:p>
            <w:pPr>
              <w:pStyle w:val="884"/>
              <w:ind w:firstLine="0"/>
              <w:rPr>
                <w:rFonts w:hint="default"/>
              </w:rPr>
            </w:pPr>
            <w:r>
              <w:t xml:space="preserve">1）</w:t>
            </w:r>
            <w:r>
              <w:t xml:space="preserve">系统集成项目管理工程师证书</w:t>
            </w:r>
            <w:r>
              <w:t xml:space="preserve">；</w:t>
            </w:r>
            <w:r/>
          </w:p>
          <w:p>
            <w:pPr>
              <w:pStyle w:val="884"/>
              <w:ind w:firstLine="0"/>
              <w:rPr>
                <w:rFonts w:hint="default"/>
              </w:rPr>
            </w:pPr>
            <w:r>
              <w:t xml:space="preserve">2）CISAW信息安全保障人员认证证书；</w:t>
            </w:r>
            <w:r/>
          </w:p>
          <w:p>
            <w:pPr>
              <w:pStyle w:val="884"/>
              <w:ind w:firstLine="0"/>
              <w:rPr>
                <w:rFonts w:hint="default"/>
              </w:rPr>
            </w:pPr>
            <w:r>
              <w:t xml:space="preserve">3</w:t>
            </w:r>
            <w:r>
              <w:t xml:space="preserve">）</w:t>
            </w:r>
            <w:r>
              <w:t xml:space="preserve">中级及以上工程师</w:t>
            </w:r>
            <w:r>
              <w:t xml:space="preserve">证书。</w:t>
            </w:r>
            <w:r/>
          </w:p>
          <w:p>
            <w:pPr>
              <w:pStyle w:val="884"/>
              <w:ind w:firstLine="0"/>
              <w:rPr>
                <w:rFonts w:hint="default"/>
                <w:b/>
              </w:rPr>
            </w:pPr>
            <w:r>
              <w:rPr>
                <w:b/>
              </w:rPr>
              <w:t xml:space="preserve">每有一项证书的得1分，最高得</w:t>
            </w:r>
            <w:r>
              <w:rPr>
                <w:b/>
              </w:rPr>
              <w:t xml:space="preserve">3</w:t>
            </w:r>
            <w:r>
              <w:rPr>
                <w:b/>
              </w:rPr>
              <w:t xml:space="preserve">分。提供有效的身份证扫描件、有效期内的证书扫描件及社保证明扫描件，并加盖投标单位公章；</w:t>
            </w:r>
            <w:r>
              <w:rPr>
                <w:rFonts w:hAnsi="宋体" w:cs="宋体"/>
                <w:b/>
                <w:color w:val="000000"/>
                <w:szCs w:val="21"/>
              </w:rPr>
              <w:t xml:space="preserve">不提供不得分</w:t>
            </w:r>
            <w:r>
              <w:rPr>
                <w:b/>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▲类似业绩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hd w:val="clear" w:color="auto" w:fill="ffffff"/>
              </w:rPr>
            </w:pPr>
            <w:r>
              <w:rPr>
                <w:rFonts w:hint="eastAsia" w:ascii="宋体" w:hAnsi="宋体" w:cs="宋体"/>
                <w:color w:val="000000"/>
                <w:szCs w:val="21"/>
              </w:rPr>
              <w:t xml:space="preserve">投标人提供2023年1月1日至今（以合同签订时间为准）已履约完成的类似项目业绩，</w:t>
            </w:r>
            <w:r>
              <w:rPr>
                <w:rFonts w:hint="eastAsia" w:ascii="宋体" w:hAnsi="宋体" w:cs="宋体"/>
                <w:b/>
                <w:color w:val="000000"/>
                <w:szCs w:val="21"/>
              </w:rPr>
              <w:t xml:space="preserve">每提供一个得3分，最高得6分。投标文件内须提供有效的项目合同扫描件，</w:t>
            </w:r>
            <w:r>
              <w:rPr>
                <w:rFonts w:hint="eastAsia"/>
                <w:b/>
              </w:rPr>
              <w:t xml:space="preserve">并加盖投标单位公章；</w:t>
            </w:r>
            <w:r>
              <w:rPr>
                <w:rFonts w:hint="eastAsia" w:ascii="宋体" w:hAnsi="宋体" w:cs="宋体"/>
                <w:b/>
                <w:color w:val="000000"/>
                <w:szCs w:val="21"/>
              </w:rPr>
              <w:t xml:space="preserve">未提供或提供不全不得分。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w:t>
            </w:r>
            <w:bookmarkEnd w:id="126"/>
            <w:r/>
            <w:bookmarkEnd w:id="127"/>
            <w:r/>
            <w:bookmarkEnd w:id="128"/>
            <w:bookmarkEnd w:id="129"/>
            <w:r/>
          </w:p>
        </w:tc>
      </w:tr>
    </w:tbl>
    <w:p>
      <w:pPr>
        <w:pStyle w:val="907"/>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7"/>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投标供应商技术及其它部分分值低于75%（52.5分）作无效投标处理。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3、涉及评审的资料均需电子件形式上传，本项目不收取纸质投标文件及相关原件等纸质材料，仅以投标人提供的电子投标文件为准。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针对评分标准中评分的每一条，投标人均应提供相关资料并作出相应说明供评委评判，不提供</w:t>
      </w:r>
      <w:r>
        <w:rPr>
          <w:rFonts w:hint="eastAsia" w:ascii="宋体" w:hAnsi="宋体"/>
          <w:szCs w:val="21"/>
        </w:rPr>
        <w:t xml:space="preserve">相关资料的视为不具备该项得分的条件。</w:t>
      </w:r>
      <w:r/>
    </w:p>
    <w:p>
      <w:pPr>
        <w:ind w:firstLine="420"/>
        <w:spacing w:line="360" w:lineRule="auto"/>
        <w:rPr>
          <w:rFonts w:ascii="宋体" w:hAnsi="宋体"/>
          <w:szCs w:val="21"/>
        </w:rPr>
      </w:pPr>
      <w:r>
        <w:rPr>
          <w:rFonts w:hint="eastAsia" w:ascii="宋体" w:hAnsi="宋体"/>
          <w:szCs w:val="21"/>
        </w:rPr>
        <w:t xml:space="preserve">5、投标单位在进行网上投标时，以收到系统自动发回的PDF格式投标回执为上传成功的唯一标志，否则视为无效投标。</w:t>
      </w:r>
      <w:r/>
    </w:p>
    <w:p>
      <w:pPr>
        <w:ind w:firstLine="420"/>
        <w:spacing w:line="360" w:lineRule="auto"/>
        <w:rPr>
          <w:rFonts w:ascii="宋体" w:hAnsi="宋体"/>
          <w:szCs w:val="21"/>
        </w:rPr>
      </w:pPr>
      <w:r>
        <w:rPr>
          <w:rFonts w:hint="eastAsia" w:ascii="宋体" w:hAnsi="宋体"/>
          <w:szCs w:val="21"/>
        </w:rPr>
        <w:t xml:space="preserve">6、招标人有权对中标人提供相关证明材料的原件进行核查，中标人须无条件配合。</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6"/>
        <w:ind w:firstLine="0"/>
        <w:jc w:val="right"/>
        <w:rPr>
          <w:rFonts w:ascii="宋体" w:cs="Arial"/>
          <w:b/>
          <w:szCs w:val="21"/>
        </w:rPr>
      </w:pPr>
      <w:r/>
      <w:bookmarkStart w:id="135" w:name="_Toc29621_WPSOffice_Level1"/>
      <w:r/>
      <w:r/>
    </w:p>
    <w:p>
      <w:pPr>
        <w:pStyle w:val="906"/>
        <w:ind w:firstLine="0"/>
        <w:jc w:val="right"/>
        <w:rPr>
          <w:rFonts w:ascii="宋体" w:cs="Arial"/>
          <w:b/>
        </w:rPr>
      </w:pPr>
      <w:r>
        <w:rPr>
          <w:rFonts w:hint="eastAsia" w:ascii="宋体" w:cs="Arial"/>
          <w:b/>
          <w:szCs w:val="21"/>
        </w:rPr>
        <w:t xml:space="preserve">（全文完）</w:t>
      </w:r>
      <w:bookmarkEnd w:id="135"/>
      <w:r/>
      <w:r/>
    </w:p>
    <w:p>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方正仿宋_GBK">
    <w:panose1 w:val="020B050302020202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8452789"/>
      <w:docPartObj>
        <w:docPartGallery w:val="Page Numbers (Bottom of Page)"/>
        <w:docPartUnique w:val="true"/>
      </w:docPartObj>
      <w:rPr/>
    </w:sdtPr>
    <w:sdtContent>
      <w:p>
        <w:pPr>
          <w:pStyle w:val="895"/>
          <w:jc w:val="center"/>
        </w:pPr>
        <w:r>
          <w:fldChar w:fldCharType="begin"/>
        </w:r>
        <w:r>
          <w:instrText xml:space="preserve">PAGE   \* MERGEFORMAT</w:instrText>
        </w:r>
        <w:r>
          <w:fldChar w:fldCharType="separate"/>
        </w:r>
        <w:r>
          <w:rPr>
            <w:lang w:val="zh-CN"/>
          </w:rPr>
          <w:t xml:space="preserve">46</w:t>
        </w:r>
        <w:r>
          <w:fldChar w:fldCharType="end"/>
        </w:r>
        <w:r/>
      </w:p>
    </w:sdtContent>
  </w:sdt>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top w:val="none" w:color="auto" w:sz="0" w:space="0"/>
        <w:bottom w:val="single" w:color="auto" w:sz="4" w:space="1"/>
      </w:pBdr>
    </w:pPr>
    <w:r>
      <w:rPr>
        <w:rFonts w:hint="eastAsia" w:ascii="宋体" w:hAnsi="宋体"/>
        <w:sz w:val="21"/>
        <w:szCs w:val="21"/>
      </w:rPr>
      <w:t xml:space="preserve">项目编号：JSZC-320583-XKYG-G2026-0004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32" w:hanging="930"/>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884"/>
    <w:qFormat/>
    <w:pPr>
      <w:jc w:val="both"/>
      <w:widowControl w:val="off"/>
    </w:pPr>
    <w:rPr>
      <w:rFonts w:ascii="Times New Roman" w:hAnsi="Times New Roman" w:eastAsia="宋体" w:cs="Times New Roman"/>
      <w:sz w:val="21"/>
      <w:szCs w:val="24"/>
    </w:rPr>
  </w:style>
  <w:style w:type="paragraph" w:styleId="697">
    <w:name w:val="Heading 1"/>
    <w:basedOn w:val="696"/>
    <w:next w:val="696"/>
    <w:link w:val="922"/>
    <w:qFormat/>
    <w:pPr>
      <w:keepLines/>
      <w:keepNext/>
      <w:spacing w:before="340" w:after="330" w:line="576" w:lineRule="auto"/>
      <w:outlineLvl w:val="0"/>
    </w:pPr>
    <w:rPr>
      <w:rFonts w:eastAsia="楷体_GB2312"/>
      <w:b/>
      <w:sz w:val="44"/>
      <w:szCs w:val="20"/>
    </w:rPr>
  </w:style>
  <w:style w:type="paragraph" w:styleId="698">
    <w:name w:val="Heading 2"/>
    <w:basedOn w:val="696"/>
    <w:next w:val="696"/>
    <w:link w:val="918"/>
    <w:qFormat/>
    <w:pPr>
      <w:keepLines/>
      <w:keepNext/>
      <w:spacing w:before="260" w:after="260" w:line="415" w:lineRule="auto"/>
      <w:outlineLvl w:val="1"/>
    </w:pPr>
    <w:rPr>
      <w:rFonts w:ascii="Cambria" w:hAnsi="Cambria"/>
      <w:b/>
      <w:bCs/>
      <w:sz w:val="32"/>
      <w:szCs w:val="32"/>
    </w:rPr>
  </w:style>
  <w:style w:type="paragraph" w:styleId="699">
    <w:name w:val="Heading 3"/>
    <w:basedOn w:val="696"/>
    <w:next w:val="696"/>
    <w:link w:val="725"/>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2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27"/>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28"/>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0"/>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1"/>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character" w:styleId="709" w:customStyle="1">
    <w:name w:val="Heading 3 Char"/>
    <w:basedOn w:val="706"/>
    <w:uiPriority w:val="9"/>
    <w:rPr>
      <w:rFonts w:ascii="Arial" w:hAnsi="Arial" w:eastAsia="Arial" w:cs="Arial"/>
      <w:sz w:val="30"/>
      <w:szCs w:val="30"/>
    </w:rPr>
  </w:style>
  <w:style w:type="character" w:styleId="710" w:customStyle="1">
    <w:name w:val="Heading 4 Char"/>
    <w:basedOn w:val="706"/>
    <w:uiPriority w:val="9"/>
    <w:rPr>
      <w:rFonts w:ascii="Arial" w:hAnsi="Arial" w:eastAsia="Arial" w:cs="Arial"/>
      <w:b/>
      <w:bCs/>
      <w:sz w:val="26"/>
      <w:szCs w:val="26"/>
    </w:rPr>
  </w:style>
  <w:style w:type="character" w:styleId="711" w:customStyle="1">
    <w:name w:val="Heading 5 Char"/>
    <w:basedOn w:val="706"/>
    <w:uiPriority w:val="9"/>
    <w:rPr>
      <w:rFonts w:ascii="Arial" w:hAnsi="Arial" w:eastAsia="Arial" w:cs="Arial"/>
      <w:b/>
      <w:bCs/>
      <w:sz w:val="24"/>
      <w:szCs w:val="24"/>
    </w:rPr>
  </w:style>
  <w:style w:type="character" w:styleId="712" w:customStyle="1">
    <w:name w:val="Heading 6 Char"/>
    <w:basedOn w:val="706"/>
    <w:uiPriority w:val="9"/>
    <w:rPr>
      <w:rFonts w:ascii="Arial" w:hAnsi="Arial" w:eastAsia="Arial" w:cs="Arial"/>
      <w:b/>
      <w:bCs/>
      <w:sz w:val="22"/>
      <w:szCs w:val="22"/>
    </w:rPr>
  </w:style>
  <w:style w:type="character" w:styleId="713" w:customStyle="1">
    <w:name w:val="Heading 7 Char"/>
    <w:basedOn w:val="706"/>
    <w:uiPriority w:val="9"/>
    <w:rPr>
      <w:rFonts w:ascii="Arial" w:hAnsi="Arial" w:eastAsia="Arial" w:cs="Arial"/>
      <w:b/>
      <w:bCs/>
      <w:i/>
      <w:iCs/>
      <w:sz w:val="22"/>
      <w:szCs w:val="22"/>
    </w:rPr>
  </w:style>
  <w:style w:type="character" w:styleId="714" w:customStyle="1">
    <w:name w:val="Heading 8 Char"/>
    <w:basedOn w:val="706"/>
    <w:uiPriority w:val="9"/>
    <w:rPr>
      <w:rFonts w:ascii="Arial" w:hAnsi="Arial" w:eastAsia="Arial" w:cs="Arial"/>
      <w:i/>
      <w:iCs/>
      <w:sz w:val="22"/>
      <w:szCs w:val="22"/>
    </w:rPr>
  </w:style>
  <w:style w:type="character" w:styleId="715" w:customStyle="1">
    <w:name w:val="Heading 9 Char"/>
    <w:basedOn w:val="706"/>
    <w:uiPriority w:val="9"/>
    <w:rPr>
      <w:rFonts w:ascii="Arial" w:hAnsi="Arial" w:eastAsia="Arial" w:cs="Arial"/>
      <w:i/>
      <w:iCs/>
      <w:sz w:val="21"/>
      <w:szCs w:val="21"/>
    </w:rPr>
  </w:style>
  <w:style w:type="character" w:styleId="716" w:customStyle="1">
    <w:name w:val="Title Char"/>
    <w:basedOn w:val="706"/>
    <w:uiPriority w:val="10"/>
    <w:rPr>
      <w:sz w:val="48"/>
      <w:szCs w:val="48"/>
    </w:rPr>
  </w:style>
  <w:style w:type="character" w:styleId="717" w:customStyle="1">
    <w:name w:val="Subtitle Char"/>
    <w:basedOn w:val="706"/>
    <w:uiPriority w:val="11"/>
    <w:rPr>
      <w:sz w:val="24"/>
      <w:szCs w:val="24"/>
    </w:rPr>
  </w:style>
  <w:style w:type="character" w:styleId="718" w:customStyle="1">
    <w:name w:val="Quote Char"/>
    <w:uiPriority w:val="29"/>
    <w:rPr>
      <w:i/>
    </w:rPr>
  </w:style>
  <w:style w:type="character" w:styleId="719" w:customStyle="1">
    <w:name w:val="Intense Quote Char"/>
    <w:uiPriority w:val="30"/>
    <w:rPr>
      <w:i/>
    </w:rPr>
  </w:style>
  <w:style w:type="character" w:styleId="720" w:customStyle="1">
    <w:name w:val="Header Char"/>
    <w:basedOn w:val="706"/>
    <w:uiPriority w:val="99"/>
  </w:style>
  <w:style w:type="character" w:styleId="721" w:customStyle="1">
    <w:name w:val="Caption Char"/>
    <w:uiPriority w:val="99"/>
  </w:style>
  <w:style w:type="character" w:styleId="722" w:customStyle="1">
    <w:name w:val="Footnote Text Char"/>
    <w:uiPriority w:val="99"/>
    <w:rPr>
      <w:sz w:val="18"/>
    </w:rPr>
  </w:style>
  <w:style w:type="character" w:styleId="723" w:customStyle="1">
    <w:name w:val="Endnote Text Char"/>
    <w:uiPriority w:val="99"/>
    <w:rPr>
      <w:sz w:val="20"/>
    </w:rPr>
  </w:style>
  <w:style w:type="character" w:styleId="724" w:customStyle="1">
    <w:name w:val="Heading 1 Char"/>
    <w:basedOn w:val="706"/>
    <w:uiPriority w:val="9"/>
    <w:rPr>
      <w:rFonts w:ascii="Arial" w:hAnsi="Arial" w:eastAsia="Arial" w:cs="Arial"/>
      <w:sz w:val="40"/>
      <w:szCs w:val="40"/>
    </w:rPr>
  </w:style>
  <w:style w:type="character" w:styleId="725" w:customStyle="1">
    <w:name w:val="标题 3 Char"/>
    <w:basedOn w:val="706"/>
    <w:link w:val="699"/>
    <w:uiPriority w:val="9"/>
    <w:rPr>
      <w:rFonts w:ascii="Arial" w:hAnsi="Arial" w:eastAsia="Arial" w:cs="Arial"/>
      <w:sz w:val="30"/>
      <w:szCs w:val="30"/>
    </w:rPr>
  </w:style>
  <w:style w:type="character" w:styleId="726" w:customStyle="1">
    <w:name w:val="标题 4 Char"/>
    <w:basedOn w:val="706"/>
    <w:link w:val="700"/>
    <w:uiPriority w:val="9"/>
    <w:rPr>
      <w:rFonts w:ascii="Arial" w:hAnsi="Arial" w:eastAsia="Arial" w:cs="Arial"/>
      <w:b/>
      <w:bCs/>
      <w:sz w:val="26"/>
      <w:szCs w:val="26"/>
    </w:rPr>
  </w:style>
  <w:style w:type="character" w:styleId="727" w:customStyle="1">
    <w:name w:val="标题 5 Char"/>
    <w:basedOn w:val="706"/>
    <w:link w:val="701"/>
    <w:uiPriority w:val="9"/>
    <w:rPr>
      <w:rFonts w:ascii="Arial" w:hAnsi="Arial" w:eastAsia="Arial" w:cs="Arial"/>
      <w:b/>
      <w:bCs/>
      <w:sz w:val="24"/>
      <w:szCs w:val="24"/>
    </w:rPr>
  </w:style>
  <w:style w:type="character" w:styleId="728" w:customStyle="1">
    <w:name w:val="标题 6 Char"/>
    <w:basedOn w:val="706"/>
    <w:link w:val="702"/>
    <w:uiPriority w:val="9"/>
    <w:rPr>
      <w:rFonts w:ascii="Arial" w:hAnsi="Arial" w:eastAsia="Arial" w:cs="Arial"/>
      <w:b/>
      <w:bCs/>
      <w:sz w:val="22"/>
      <w:szCs w:val="22"/>
    </w:rPr>
  </w:style>
  <w:style w:type="character" w:styleId="729" w:customStyle="1">
    <w:name w:val="标题 7 Char"/>
    <w:basedOn w:val="706"/>
    <w:link w:val="703"/>
    <w:uiPriority w:val="9"/>
    <w:rPr>
      <w:rFonts w:ascii="Arial" w:hAnsi="Arial" w:eastAsia="Arial" w:cs="Arial"/>
      <w:b/>
      <w:bCs/>
      <w:i/>
      <w:iCs/>
      <w:sz w:val="22"/>
      <w:szCs w:val="22"/>
    </w:rPr>
  </w:style>
  <w:style w:type="character" w:styleId="730" w:customStyle="1">
    <w:name w:val="标题 8 Char"/>
    <w:basedOn w:val="706"/>
    <w:link w:val="704"/>
    <w:uiPriority w:val="9"/>
    <w:rPr>
      <w:rFonts w:ascii="Arial" w:hAnsi="Arial" w:eastAsia="Arial" w:cs="Arial"/>
      <w:i/>
      <w:iCs/>
      <w:sz w:val="22"/>
      <w:szCs w:val="22"/>
    </w:rPr>
  </w:style>
  <w:style w:type="character" w:styleId="731" w:customStyle="1">
    <w:name w:val="标题 9 Char"/>
    <w:basedOn w:val="706"/>
    <w:link w:val="705"/>
    <w:uiPriority w:val="9"/>
    <w:rPr>
      <w:rFonts w:ascii="Arial" w:hAnsi="Arial" w:eastAsia="Arial" w:cs="Arial"/>
      <w:i/>
      <w:iCs/>
      <w:sz w:val="21"/>
      <w:szCs w:val="21"/>
    </w:rPr>
  </w:style>
  <w:style w:type="paragraph" w:styleId="732">
    <w:name w:val="No Spacing"/>
    <w:uiPriority w:val="1"/>
    <w:qFormat/>
  </w:style>
  <w:style w:type="paragraph" w:styleId="733">
    <w:name w:val="Title"/>
    <w:basedOn w:val="696"/>
    <w:next w:val="696"/>
    <w:link w:val="734"/>
    <w:uiPriority w:val="10"/>
    <w:qFormat/>
    <w:pPr>
      <w:contextualSpacing/>
      <w:spacing w:before="300" w:after="200"/>
    </w:pPr>
    <w:rPr>
      <w:sz w:val="48"/>
      <w:szCs w:val="48"/>
    </w:rPr>
  </w:style>
  <w:style w:type="character" w:styleId="734" w:customStyle="1">
    <w:name w:val="标题 Char"/>
    <w:basedOn w:val="706"/>
    <w:link w:val="733"/>
    <w:uiPriority w:val="10"/>
    <w:rPr>
      <w:sz w:val="48"/>
      <w:szCs w:val="48"/>
    </w:rPr>
  </w:style>
  <w:style w:type="paragraph" w:styleId="735">
    <w:name w:val="Subtitle"/>
    <w:basedOn w:val="696"/>
    <w:next w:val="696"/>
    <w:link w:val="736"/>
    <w:uiPriority w:val="11"/>
    <w:qFormat/>
    <w:pPr>
      <w:spacing w:before="200" w:after="200"/>
    </w:pPr>
    <w:rPr>
      <w:sz w:val="24"/>
    </w:rPr>
  </w:style>
  <w:style w:type="character" w:styleId="736" w:customStyle="1">
    <w:name w:val="副标题 Char"/>
    <w:basedOn w:val="706"/>
    <w:link w:val="735"/>
    <w:uiPriority w:val="11"/>
    <w:rPr>
      <w:sz w:val="24"/>
      <w:szCs w:val="24"/>
    </w:rPr>
  </w:style>
  <w:style w:type="paragraph" w:styleId="737">
    <w:name w:val="Quote"/>
    <w:basedOn w:val="696"/>
    <w:next w:val="696"/>
    <w:link w:val="738"/>
    <w:uiPriority w:val="29"/>
    <w:qFormat/>
    <w:pPr>
      <w:ind w:left="720" w:right="720"/>
    </w:pPr>
    <w:rPr>
      <w:i/>
    </w:rPr>
  </w:style>
  <w:style w:type="character" w:styleId="738" w:customStyle="1">
    <w:name w:val="引用 Char"/>
    <w:link w:val="737"/>
    <w:uiPriority w:val="29"/>
    <w:rPr>
      <w:i/>
    </w:rPr>
  </w:style>
  <w:style w:type="paragraph" w:styleId="739">
    <w:name w:val="Intense Quote"/>
    <w:basedOn w:val="696"/>
    <w:next w:val="696"/>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rPr>
      <w:i/>
    </w:rPr>
  </w:style>
  <w:style w:type="character" w:styleId="741" w:customStyle="1">
    <w:name w:val="页眉 Char"/>
    <w:basedOn w:val="706"/>
    <w:link w:val="896"/>
    <w:uiPriority w:val="99"/>
  </w:style>
  <w:style w:type="character" w:styleId="742" w:customStyle="1">
    <w:name w:val="Footer Char"/>
    <w:basedOn w:val="706"/>
    <w:uiPriority w:val="99"/>
  </w:style>
  <w:style w:type="paragraph" w:styleId="743">
    <w:name w:val="Caption"/>
    <w:basedOn w:val="696"/>
    <w:next w:val="696"/>
    <w:uiPriority w:val="35"/>
    <w:semiHidden/>
    <w:unhideWhenUsed/>
    <w:qFormat/>
    <w:pPr>
      <w:spacing w:line="276" w:lineRule="auto"/>
    </w:pPr>
    <w:rPr>
      <w:b/>
      <w:bCs/>
      <w:color w:val="5b9bd5" w:themeColor="accent1"/>
      <w:sz w:val="18"/>
      <w:szCs w:val="18"/>
    </w:rPr>
  </w:style>
  <w:style w:type="character" w:styleId="744" w:customStyle="1">
    <w:name w:val="页脚 Char"/>
    <w:link w:val="895"/>
    <w:uiPriority w:val="99"/>
  </w:style>
  <w:style w:type="table" w:styleId="745">
    <w:name w:val="Table Grid"/>
    <w:basedOn w:val="70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customStyle="1">
    <w:name w:val="Table Grid Light"/>
    <w:basedOn w:val="70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7" w:customStyle="1">
    <w:name w:val="Plain Table 1"/>
    <w:basedOn w:val="70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0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0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707"/>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70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70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70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707"/>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70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0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707"/>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70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70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70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707"/>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70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w:basedOn w:val="70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707"/>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70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70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70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707"/>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70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0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707"/>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5" w:customStyle="1">
    <w:name w:val="Grid Table 4 - Accent 2"/>
    <w:basedOn w:val="707"/>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6" w:customStyle="1">
    <w:name w:val="Grid Table 4 - Accent 3"/>
    <w:basedOn w:val="707"/>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707"/>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8" w:customStyle="1">
    <w:name w:val="Grid Table 4 - Accent 5"/>
    <w:basedOn w:val="707"/>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707"/>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2" w:customStyle="1">
    <w:name w:val="Grid Table 5 Dark - Accent 2"/>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3" w:customStyle="1">
    <w:name w:val="Grid Table 5 Dark - Accent 3"/>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4" w:customStyle="1">
    <w:name w:val="Grid Table 5 Dark- Accent 4"/>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5" w:customStyle="1">
    <w:name w:val="Grid Table 5 Dark - Accent 5"/>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5 Dark - Accent 6"/>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7" w:customStyle="1">
    <w:name w:val="Grid Table 6 Colorful"/>
    <w:basedOn w:val="70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707"/>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9" w:customStyle="1">
    <w:name w:val="Grid Table 6 Colorful - Accent 2"/>
    <w:basedOn w:val="70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0" w:customStyle="1">
    <w:name w:val="Grid Table 6 Colorful - Accent 3"/>
    <w:basedOn w:val="707"/>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1" w:customStyle="1">
    <w:name w:val="Grid Table 6 Colorful - Accent 4"/>
    <w:basedOn w:val="70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2" w:customStyle="1">
    <w:name w:val="Grid Table 6 Colorful - Accent 5"/>
    <w:basedOn w:val="707"/>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3" w:customStyle="1">
    <w:name w:val="Grid Table 6 Colorful - Accent 6"/>
    <w:basedOn w:val="707"/>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4" w:customStyle="1">
    <w:name w:val="Grid Table 7 Colorful"/>
    <w:basedOn w:val="70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5" w:customStyle="1">
    <w:name w:val="Grid Table 7 Colorful - Accent 1"/>
    <w:basedOn w:val="707"/>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6" w:customStyle="1">
    <w:name w:val="Grid Table 7 Colorful - Accent 2"/>
    <w:basedOn w:val="707"/>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7" w:customStyle="1">
    <w:name w:val="Grid Table 7 Colorful - Accent 3"/>
    <w:basedOn w:val="707"/>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8" w:customStyle="1">
    <w:name w:val="Grid Table 7 Colorful - Accent 4"/>
    <w:basedOn w:val="707"/>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9" w:customStyle="1">
    <w:name w:val="Grid Table 7 Colorful - Accent 5"/>
    <w:basedOn w:val="707"/>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00" w:customStyle="1">
    <w:name w:val="Grid Table 7 Colorful - Accent 6"/>
    <w:basedOn w:val="707"/>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01" w:customStyle="1">
    <w:name w:val="List Table 1 Light"/>
    <w:basedOn w:val="70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707"/>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707"/>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707"/>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707"/>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707"/>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707"/>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List Table 2"/>
    <w:basedOn w:val="70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707"/>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707"/>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707"/>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707"/>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3" w:customStyle="1">
    <w:name w:val="List Table 2 - Accent 5"/>
    <w:basedOn w:val="707"/>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707"/>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List Table 3"/>
    <w:basedOn w:val="70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707"/>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3 - Accent 2"/>
    <w:basedOn w:val="70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707"/>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70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707"/>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707"/>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2" w:customStyle="1">
    <w:name w:val="List Table 4"/>
    <w:basedOn w:val="70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707"/>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707"/>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707"/>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707"/>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707"/>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707"/>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List Table 5 Dark"/>
    <w:basedOn w:val="70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707"/>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707"/>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707"/>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707"/>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707"/>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707"/>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basedOn w:val="707"/>
    <w:uiPriority w:val="99"/>
    <w:qFormat/>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707"/>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8" w:customStyle="1">
    <w:name w:val="List Table 6 Colorful - Accent 2"/>
    <w:basedOn w:val="707"/>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9" w:customStyle="1">
    <w:name w:val="List Table 6 Colorful - Accent 3"/>
    <w:basedOn w:val="707"/>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0" w:customStyle="1">
    <w:name w:val="List Table 6 Colorful - Accent 4"/>
    <w:basedOn w:val="707"/>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1" w:customStyle="1">
    <w:name w:val="List Table 6 Colorful - Accent 5"/>
    <w:basedOn w:val="707"/>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2" w:customStyle="1">
    <w:name w:val="List Table 6 Colorful - Accent 6"/>
    <w:basedOn w:val="707"/>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3" w:customStyle="1">
    <w:name w:val="List Table 7 Colorful"/>
    <w:basedOn w:val="70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4" w:customStyle="1">
    <w:name w:val="List Table 7 Colorful - Accent 1"/>
    <w:basedOn w:val="707"/>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5" w:customStyle="1">
    <w:name w:val="List Table 7 Colorful - Accent 2"/>
    <w:basedOn w:val="707"/>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6" w:customStyle="1">
    <w:name w:val="List Table 7 Colorful - Accent 3"/>
    <w:basedOn w:val="707"/>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7" w:customStyle="1">
    <w:name w:val="List Table 7 Colorful - Accent 4"/>
    <w:basedOn w:val="707"/>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8" w:customStyle="1">
    <w:name w:val="List Table 7 Colorful - Accent 5"/>
    <w:basedOn w:val="707"/>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9" w:customStyle="1">
    <w:name w:val="List Table 7 Colorful - Accent 6"/>
    <w:basedOn w:val="707"/>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50" w:customStyle="1">
    <w:name w:val="Lined - Accent"/>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2" w:customStyle="1">
    <w:name w:val="Lined - Accent 2"/>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3" w:customStyle="1">
    <w:name w:val="Lined - Accent 3"/>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5" w:customStyle="1">
    <w:name w:val="Lined - Accent 5"/>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Lined - Accent 6"/>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70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707"/>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9" w:customStyle="1">
    <w:name w:val="Bordered &amp; Lined - Accent 2"/>
    <w:basedOn w:val="707"/>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0" w:customStyle="1">
    <w:name w:val="Bordered &amp; Lined - Accent 3"/>
    <w:basedOn w:val="707"/>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707"/>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2" w:customStyle="1">
    <w:name w:val="Bordered &amp; Lined - Accent 5"/>
    <w:basedOn w:val="707"/>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Bordered &amp; Lined - Accent 6"/>
    <w:basedOn w:val="707"/>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70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707"/>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70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7" w:customStyle="1">
    <w:name w:val="Bordered - Accent 3"/>
    <w:basedOn w:val="70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70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9" w:customStyle="1">
    <w:name w:val="Bordered - Accent 5"/>
    <w:basedOn w:val="707"/>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0" w:customStyle="1">
    <w:name w:val="Bordered - Accent 6"/>
    <w:basedOn w:val="70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71">
    <w:name w:val="footnote text"/>
    <w:basedOn w:val="696"/>
    <w:link w:val="872"/>
    <w:uiPriority w:val="99"/>
    <w:semiHidden/>
    <w:unhideWhenUsed/>
    <w:pPr>
      <w:spacing w:after="40"/>
    </w:pPr>
    <w:rPr>
      <w:sz w:val="18"/>
    </w:rPr>
  </w:style>
  <w:style w:type="character" w:styleId="872" w:customStyle="1">
    <w:name w:val="脚注文本 Char"/>
    <w:link w:val="871"/>
    <w:uiPriority w:val="99"/>
    <w:rPr>
      <w:sz w:val="18"/>
    </w:rPr>
  </w:style>
  <w:style w:type="character" w:styleId="873">
    <w:name w:val="footnote reference"/>
    <w:basedOn w:val="706"/>
    <w:uiPriority w:val="99"/>
    <w:unhideWhenUsed/>
    <w:rPr>
      <w:vertAlign w:val="superscript"/>
    </w:rPr>
  </w:style>
  <w:style w:type="paragraph" w:styleId="874">
    <w:name w:val="endnote text"/>
    <w:basedOn w:val="696"/>
    <w:link w:val="875"/>
    <w:uiPriority w:val="99"/>
    <w:semiHidden/>
    <w:unhideWhenUsed/>
    <w:rPr>
      <w:sz w:val="20"/>
    </w:rPr>
  </w:style>
  <w:style w:type="character" w:styleId="875" w:customStyle="1">
    <w:name w:val="尾注文本 Char"/>
    <w:link w:val="874"/>
    <w:uiPriority w:val="99"/>
    <w:rPr>
      <w:sz w:val="20"/>
    </w:rPr>
  </w:style>
  <w:style w:type="character" w:styleId="876">
    <w:name w:val="endnote reference"/>
    <w:basedOn w:val="706"/>
    <w:uiPriority w:val="99"/>
    <w:semiHidden/>
    <w:unhideWhenUsed/>
    <w:rPr>
      <w:vertAlign w:val="superscript"/>
    </w:rPr>
  </w:style>
  <w:style w:type="paragraph" w:styleId="877">
    <w:name w:val="toc 4"/>
    <w:basedOn w:val="696"/>
    <w:next w:val="696"/>
    <w:uiPriority w:val="39"/>
    <w:unhideWhenUsed/>
    <w:pPr>
      <w:ind w:left="850"/>
      <w:spacing w:after="57"/>
    </w:pPr>
  </w:style>
  <w:style w:type="paragraph" w:styleId="878">
    <w:name w:val="toc 5"/>
    <w:basedOn w:val="696"/>
    <w:next w:val="696"/>
    <w:uiPriority w:val="39"/>
    <w:unhideWhenUsed/>
    <w:pPr>
      <w:ind w:left="1134"/>
      <w:spacing w:after="57"/>
    </w:pPr>
  </w:style>
  <w:style w:type="paragraph" w:styleId="879">
    <w:name w:val="toc 6"/>
    <w:basedOn w:val="696"/>
    <w:next w:val="696"/>
    <w:uiPriority w:val="39"/>
    <w:unhideWhenUsed/>
    <w:pPr>
      <w:ind w:left="1417"/>
      <w:spacing w:after="57"/>
    </w:pPr>
  </w:style>
  <w:style w:type="paragraph" w:styleId="880">
    <w:name w:val="toc 8"/>
    <w:basedOn w:val="696"/>
    <w:next w:val="696"/>
    <w:uiPriority w:val="39"/>
    <w:unhideWhenUsed/>
    <w:pPr>
      <w:ind w:left="1984"/>
      <w:spacing w:after="57"/>
    </w:pPr>
  </w:style>
  <w:style w:type="paragraph" w:styleId="881">
    <w:name w:val="toc 9"/>
    <w:basedOn w:val="696"/>
    <w:next w:val="696"/>
    <w:uiPriority w:val="39"/>
    <w:unhideWhenUsed/>
    <w:pPr>
      <w:ind w:left="2268"/>
      <w:spacing w:after="57"/>
    </w:pPr>
  </w:style>
  <w:style w:type="paragraph" w:styleId="882">
    <w:name w:val="TOC Heading"/>
    <w:uiPriority w:val="39"/>
    <w:unhideWhenUsed/>
  </w:style>
  <w:style w:type="paragraph" w:styleId="883">
    <w:name w:val="table of figures"/>
    <w:basedOn w:val="696"/>
    <w:next w:val="696"/>
    <w:uiPriority w:val="99"/>
    <w:unhideWhenUsed/>
  </w:style>
  <w:style w:type="paragraph" w:styleId="884" w:customStyle="1">
    <w:name w:val="段"/>
    <w:next w:val="696"/>
    <w:qFormat/>
    <w:pPr>
      <w:ind w:firstLine="200"/>
      <w:jc w:val="both"/>
    </w:pPr>
    <w:rPr>
      <w:rFonts w:hint="eastAsia" w:ascii="宋体" w:hAnsi="Times New Roman" w:eastAsia="宋体" w:cs="Times New Roman"/>
      <w:sz w:val="21"/>
    </w:rPr>
  </w:style>
  <w:style w:type="paragraph" w:styleId="885">
    <w:name w:val="List 3"/>
    <w:basedOn w:val="696"/>
    <w:qFormat/>
    <w:pPr>
      <w:ind w:left="1260" w:hanging="420"/>
    </w:pPr>
  </w:style>
  <w:style w:type="paragraph" w:styleId="886">
    <w:name w:val="toc 7"/>
    <w:basedOn w:val="696"/>
    <w:next w:val="696"/>
    <w:unhideWhenUsed/>
    <w:qFormat/>
    <w:pPr>
      <w:ind w:left="2520"/>
    </w:pPr>
  </w:style>
  <w:style w:type="paragraph" w:styleId="887">
    <w:name w:val="Normal Indent"/>
    <w:basedOn w:val="696"/>
    <w:next w:val="696"/>
    <w:link w:val="911"/>
    <w:qFormat/>
    <w:pPr>
      <w:ind w:firstLine="420"/>
      <w:jc w:val="left"/>
    </w:pPr>
    <w:rPr>
      <w:sz w:val="24"/>
    </w:rPr>
  </w:style>
  <w:style w:type="paragraph" w:styleId="888">
    <w:name w:val="annotation text"/>
    <w:basedOn w:val="696"/>
    <w:link w:val="916"/>
    <w:qFormat/>
    <w:pPr>
      <w:jc w:val="left"/>
    </w:pPr>
  </w:style>
  <w:style w:type="paragraph" w:styleId="889">
    <w:name w:val="Body Text"/>
    <w:basedOn w:val="696"/>
    <w:unhideWhenUsed/>
    <w:qFormat/>
    <w:pPr>
      <w:jc w:val="left"/>
      <w:spacing w:after="120"/>
    </w:pPr>
  </w:style>
  <w:style w:type="paragraph" w:styleId="890">
    <w:name w:val="Body Text Indent"/>
    <w:basedOn w:val="696"/>
    <w:link w:val="928"/>
    <w:qFormat/>
    <w:pPr>
      <w:ind w:left="570"/>
      <w:spacing w:line="520" w:lineRule="exact"/>
    </w:pPr>
    <w:rPr>
      <w:rFonts w:ascii="方正仿宋简体" w:hAnsi="创艺简仿宋" w:eastAsia="方正仿宋简体"/>
      <w:sz w:val="24"/>
      <w:szCs w:val="20"/>
    </w:rPr>
  </w:style>
  <w:style w:type="paragraph" w:styleId="891">
    <w:name w:val="toc 3"/>
    <w:basedOn w:val="696"/>
    <w:next w:val="696"/>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2">
    <w:name w:val="Plain Text"/>
    <w:basedOn w:val="696"/>
    <w:link w:val="915"/>
    <w:qFormat/>
    <w:rPr>
      <w:rFonts w:ascii="宋体" w:hAnsi="Courier New" w:eastAsia="楷体_GB2312"/>
      <w:sz w:val="28"/>
      <w:szCs w:val="20"/>
    </w:rPr>
  </w:style>
  <w:style w:type="paragraph" w:styleId="893">
    <w:name w:val="Date"/>
    <w:basedOn w:val="696"/>
    <w:next w:val="696"/>
    <w:link w:val="920"/>
    <w:qFormat/>
    <w:rPr>
      <w:rFonts w:ascii="宋体" w:hAnsi="宋体" w:eastAsia="楷体_GB2312"/>
      <w:sz w:val="24"/>
      <w:szCs w:val="20"/>
    </w:rPr>
  </w:style>
  <w:style w:type="paragraph" w:styleId="894">
    <w:name w:val="Balloon Text"/>
    <w:basedOn w:val="696"/>
    <w:link w:val="908"/>
    <w:qFormat/>
    <w:rPr>
      <w:sz w:val="18"/>
      <w:szCs w:val="18"/>
    </w:rPr>
  </w:style>
  <w:style w:type="paragraph" w:styleId="895">
    <w:name w:val="Footer"/>
    <w:basedOn w:val="696"/>
    <w:link w:val="744"/>
    <w:uiPriority w:val="99"/>
    <w:qFormat/>
    <w:pPr>
      <w:jc w:val="left"/>
      <w:tabs>
        <w:tab w:val="center" w:pos="4153" w:leader="none"/>
        <w:tab w:val="right" w:pos="8306" w:leader="none"/>
      </w:tabs>
    </w:pPr>
    <w:rPr>
      <w:sz w:val="18"/>
    </w:rPr>
  </w:style>
  <w:style w:type="paragraph" w:styleId="896">
    <w:name w:val="Header"/>
    <w:basedOn w:val="696"/>
    <w:link w:val="74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7">
    <w:name w:val="toc 1"/>
    <w:basedOn w:val="696"/>
    <w:next w:val="696"/>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8">
    <w:name w:val="toc 2"/>
    <w:basedOn w:val="696"/>
    <w:next w:val="696"/>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9">
    <w:name w:val="annotation subject"/>
    <w:basedOn w:val="888"/>
    <w:next w:val="888"/>
    <w:link w:val="917"/>
    <w:qFormat/>
    <w:rPr>
      <w:b/>
      <w:bCs/>
    </w:rPr>
  </w:style>
  <w:style w:type="character" w:styleId="900">
    <w:name w:val="HTML Typewriter"/>
    <w:qFormat/>
    <w:rPr>
      <w:rFonts w:ascii="黑体" w:hAnsi="Courier New" w:eastAsia="黑体" w:cs="Courier New"/>
      <w:sz w:val="14"/>
      <w:szCs w:val="14"/>
      <w:lang w:val="en-US" w:eastAsia="zh-CN" w:bidi="ar-SA"/>
    </w:rPr>
  </w:style>
  <w:style w:type="character" w:styleId="901">
    <w:name w:val="Hyperlink"/>
    <w:basedOn w:val="706"/>
    <w:uiPriority w:val="99"/>
    <w:unhideWhenUsed/>
    <w:qFormat/>
    <w:rPr>
      <w:color w:val="0563c1" w:themeColor="hyperlink"/>
      <w:u w:val="single"/>
    </w:rPr>
  </w:style>
  <w:style w:type="character" w:styleId="902">
    <w:name w:val="annotation reference"/>
    <w:basedOn w:val="706"/>
    <w:qFormat/>
    <w:rPr>
      <w:sz w:val="21"/>
      <w:szCs w:val="21"/>
    </w:rPr>
  </w:style>
  <w:style w:type="paragraph" w:styleId="903" w:customStyle="1">
    <w:name w:val="WPSOffice手动目录 1"/>
    <w:qFormat/>
    <w:rPr>
      <w:rFonts w:ascii="Times New Roman" w:hAnsi="Times New Roman" w:eastAsia="宋体" w:cs="Times New Roman"/>
    </w:rPr>
  </w:style>
  <w:style w:type="paragraph" w:styleId="904" w:customStyle="1">
    <w:name w:val="纯文本1"/>
    <w:basedOn w:val="696"/>
    <w:link w:val="914"/>
    <w:qFormat/>
    <w:rPr>
      <w:rFonts w:ascii="宋体" w:hAnsi="宋体" w:eastAsia="楷体_GB2312"/>
      <w:sz w:val="26"/>
      <w:szCs w:val="20"/>
    </w:rPr>
  </w:style>
  <w:style w:type="paragraph" w:styleId="905" w:customStyle="1">
    <w:name w:val="纯文本2"/>
    <w:basedOn w:val="696"/>
    <w:qFormat/>
    <w:pPr>
      <w:spacing w:line="360" w:lineRule="auto"/>
    </w:pPr>
    <w:rPr>
      <w:rFonts w:ascii="宋体" w:hAnsi="宋体" w:eastAsia="楷体_GB2312"/>
      <w:sz w:val="28"/>
      <w:szCs w:val="20"/>
    </w:rPr>
  </w:style>
  <w:style w:type="paragraph" w:styleId="906">
    <w:name w:val="List Paragraph"/>
    <w:basedOn w:val="696"/>
    <w:uiPriority w:val="34"/>
    <w:unhideWhenUsed/>
    <w:qFormat/>
    <w:pPr>
      <w:ind w:firstLine="420"/>
    </w:pPr>
  </w:style>
  <w:style w:type="paragraph" w:styleId="907" w:customStyle="1">
    <w:name w:val="无间隔1"/>
    <w:qFormat/>
    <w:pPr>
      <w:spacing w:line="240" w:lineRule="atLeast"/>
    </w:pPr>
    <w:rPr>
      <w:rFonts w:ascii="Times New Roman" w:hAnsi="Times New Roman" w:eastAsia="宋体" w:cs="Times New Roman"/>
      <w:lang w:val="en-GB" w:eastAsia="en-GB"/>
    </w:rPr>
  </w:style>
  <w:style w:type="character" w:styleId="908" w:customStyle="1">
    <w:name w:val="批注框文本 Char"/>
    <w:basedOn w:val="706"/>
    <w:link w:val="894"/>
    <w:qFormat/>
    <w:rPr>
      <w:rFonts w:ascii="Times New Roman" w:hAnsi="Times New Roman" w:eastAsia="宋体" w:cs="Times New Roman"/>
      <w:sz w:val="18"/>
      <w:szCs w:val="18"/>
    </w:rPr>
  </w:style>
  <w:style w:type="paragraph" w:styleId="909" w:customStyle="1">
    <w:name w:val="首行缩进"/>
    <w:qFormat/>
    <w:pPr>
      <w:ind w:firstLine="480"/>
      <w:jc w:val="both"/>
      <w:widowControl w:val="off"/>
    </w:pPr>
    <w:rPr>
      <w:rFonts w:ascii="Times New Roman" w:hAnsi="Times New Roman" w:eastAsia="宋体" w:cs="Times New Roman"/>
      <w:sz w:val="21"/>
      <w:lang w:val="zh-CN"/>
    </w:rPr>
  </w:style>
  <w:style w:type="paragraph" w:styleId="910" w:customStyle="1">
    <w:name w:val="Plain Text11"/>
    <w:basedOn w:val="696"/>
    <w:qFormat/>
    <w:rPr>
      <w:rFonts w:ascii="宋体" w:hAnsi="Courier New" w:eastAsia="楷体_GB2312"/>
      <w:sz w:val="28"/>
      <w:szCs w:val="20"/>
    </w:rPr>
  </w:style>
  <w:style w:type="character" w:styleId="911" w:customStyle="1">
    <w:name w:val="正文缩进 Char"/>
    <w:link w:val="887"/>
    <w:qFormat/>
    <w:rPr>
      <w:rFonts w:ascii="Times New Roman" w:hAnsi="Times New Roman" w:eastAsia="宋体" w:cs="Times New Roman"/>
      <w:sz w:val="24"/>
      <w:szCs w:val="24"/>
    </w:rPr>
  </w:style>
  <w:style w:type="character" w:styleId="912" w:customStyle="1">
    <w:name w:val="font71"/>
    <w:qFormat/>
    <w:rPr>
      <w:rFonts w:hint="eastAsia" w:ascii="宋体" w:hAnsi="宋体" w:eastAsia="宋体" w:cs="宋体"/>
      <w:color w:val="000000"/>
      <w:sz w:val="21"/>
      <w:szCs w:val="21"/>
      <w:u w:val="none"/>
    </w:rPr>
  </w:style>
  <w:style w:type="paragraph" w:styleId="913" w:customStyle="1">
    <w:name w:val="纯文本12"/>
    <w:basedOn w:val="696"/>
    <w:qFormat/>
    <w:rPr>
      <w:rFonts w:hint="eastAsia" w:ascii="宋体" w:hAnsi="Courier New" w:eastAsia="楷体_GB2312"/>
      <w:bCs/>
      <w:sz w:val="28"/>
      <w:szCs w:val="20"/>
    </w:rPr>
  </w:style>
  <w:style w:type="character" w:styleId="914" w:customStyle="1">
    <w:name w:val="Plain Text Char Char"/>
    <w:link w:val="904"/>
    <w:qFormat/>
    <w:rPr>
      <w:rFonts w:ascii="宋体" w:hAnsi="宋体" w:eastAsia="楷体_GB2312" w:cs="Times New Roman"/>
      <w:sz w:val="26"/>
    </w:rPr>
  </w:style>
  <w:style w:type="character" w:styleId="915" w:customStyle="1">
    <w:name w:val="纯文本 Char"/>
    <w:basedOn w:val="706"/>
    <w:link w:val="892"/>
    <w:qFormat/>
    <w:rPr>
      <w:rFonts w:ascii="宋体" w:hAnsi="Courier New" w:eastAsia="楷体_GB2312" w:cs="Times New Roman"/>
      <w:sz w:val="28"/>
    </w:rPr>
  </w:style>
  <w:style w:type="character" w:styleId="916" w:customStyle="1">
    <w:name w:val="批注文字 Char"/>
    <w:basedOn w:val="706"/>
    <w:link w:val="888"/>
    <w:qFormat/>
    <w:rPr>
      <w:rFonts w:ascii="Times New Roman" w:hAnsi="Times New Roman" w:eastAsia="宋体" w:cs="Times New Roman"/>
      <w:sz w:val="21"/>
      <w:szCs w:val="24"/>
    </w:rPr>
  </w:style>
  <w:style w:type="character" w:styleId="917" w:customStyle="1">
    <w:name w:val="批注主题 Char"/>
    <w:basedOn w:val="916"/>
    <w:link w:val="899"/>
    <w:qFormat/>
    <w:rPr>
      <w:rFonts w:ascii="Times New Roman" w:hAnsi="Times New Roman" w:eastAsia="宋体" w:cs="Times New Roman"/>
      <w:b/>
      <w:bCs/>
      <w:sz w:val="21"/>
      <w:szCs w:val="24"/>
    </w:rPr>
  </w:style>
  <w:style w:type="character" w:styleId="918" w:customStyle="1">
    <w:name w:val="标题 2 Char"/>
    <w:basedOn w:val="706"/>
    <w:link w:val="698"/>
    <w:qFormat/>
    <w:rPr>
      <w:rFonts w:ascii="Cambria" w:hAnsi="Cambria" w:eastAsia="宋体" w:cs="Times New Roman"/>
      <w:b/>
      <w:bCs/>
      <w:sz w:val="32"/>
      <w:szCs w:val="32"/>
    </w:rPr>
  </w:style>
  <w:style w:type="paragraph" w:styleId="919" w:customStyle="1">
    <w:name w:val="TOC 标题1"/>
    <w:basedOn w:val="697"/>
    <w:next w:val="696"/>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20" w:customStyle="1">
    <w:name w:val="日期 Char"/>
    <w:link w:val="893"/>
    <w:qFormat/>
    <w:rPr>
      <w:rFonts w:ascii="宋体" w:hAnsi="宋体" w:eastAsia="楷体_GB2312" w:cs="Times New Roman"/>
      <w:sz w:val="24"/>
    </w:rPr>
  </w:style>
  <w:style w:type="character" w:styleId="921" w:customStyle="1">
    <w:name w:val="Heading 2 Char"/>
    <w:uiPriority w:val="9"/>
    <w:qFormat/>
    <w:rPr>
      <w:rFonts w:ascii="Arial" w:hAnsi="Arial" w:eastAsia="Arial" w:cs="Arial"/>
      <w:sz w:val="34"/>
    </w:rPr>
  </w:style>
  <w:style w:type="character" w:styleId="922" w:customStyle="1">
    <w:name w:val="标题 1 Char"/>
    <w:link w:val="697"/>
    <w:qFormat/>
    <w:rPr>
      <w:rFonts w:ascii="Times New Roman" w:hAnsi="Times New Roman" w:eastAsia="楷体_GB2312" w:cs="Times New Roman"/>
      <w:b/>
      <w:sz w:val="44"/>
    </w:rPr>
  </w:style>
  <w:style w:type="paragraph" w:styleId="923" w:customStyle="1">
    <w:name w:val="Plain Text2"/>
    <w:basedOn w:val="696"/>
    <w:qFormat/>
    <w:rPr>
      <w:rFonts w:hint="eastAsia" w:ascii="宋体" w:hAnsi="Courier New" w:eastAsia="楷体_GB2312"/>
      <w:sz w:val="28"/>
      <w:szCs w:val="20"/>
    </w:rPr>
  </w:style>
  <w:style w:type="paragraph" w:styleId="924" w:customStyle="1">
    <w:name w:val="Plain Text1"/>
    <w:basedOn w:val="696"/>
    <w:qFormat/>
    <w:pPr>
      <w:spacing w:line="312" w:lineRule="atLeast"/>
    </w:pPr>
    <w:rPr>
      <w:rFonts w:ascii="Arial Black" w:hAnsi="Courier New"/>
      <w:szCs w:val="20"/>
    </w:rPr>
  </w:style>
  <w:style w:type="paragraph" w:styleId="925" w:customStyle="1">
    <w:name w:val="纯文本3"/>
    <w:basedOn w:val="696"/>
    <w:qFormat/>
    <w:rPr>
      <w:rFonts w:ascii="宋体" w:hAnsi="Courier New" w:eastAsia="楷体_GB2312"/>
      <w:sz w:val="28"/>
      <w:szCs w:val="20"/>
    </w:rPr>
  </w:style>
  <w:style w:type="paragraph" w:styleId="926">
    <w:name w:val="Body Text Indent 3"/>
    <w:basedOn w:val="696"/>
    <w:link w:val="927"/>
    <w:pPr>
      <w:ind w:left="420"/>
      <w:spacing w:after="120"/>
    </w:pPr>
    <w:rPr>
      <w:sz w:val="16"/>
      <w:szCs w:val="16"/>
    </w:rPr>
  </w:style>
  <w:style w:type="character" w:styleId="927" w:customStyle="1">
    <w:name w:val="正文文本缩进 3 Char"/>
    <w:basedOn w:val="706"/>
    <w:link w:val="926"/>
    <w:rPr>
      <w:rFonts w:ascii="Times New Roman" w:hAnsi="Times New Roman" w:eastAsia="宋体" w:cs="Times New Roman"/>
      <w:sz w:val="16"/>
      <w:szCs w:val="16"/>
    </w:rPr>
  </w:style>
  <w:style w:type="character" w:styleId="928" w:customStyle="1">
    <w:name w:val="正文文本缩进 Char"/>
    <w:basedOn w:val="706"/>
    <w:link w:val="890"/>
    <w:rPr>
      <w:rFonts w:ascii="方正仿宋简体" w:hAnsi="创艺简仿宋" w:eastAsia="方正仿宋简体" w:cs="Times New Roman"/>
      <w:sz w:val="24"/>
    </w:rPr>
  </w:style>
  <w:style w:type="paragraph" w:styleId="929" w:customStyle="1">
    <w:name w:val="正文缩进1"/>
    <w:basedOn w:val="696"/>
    <w:qFormat/>
    <w:pPr>
      <w:ind w:firstLine="420"/>
      <w:jc w:val="left"/>
    </w:pPr>
    <w:rPr>
      <w:rFonts w:eastAsia="楷体_GB2312"/>
      <w:sz w:val="24"/>
      <w:szCs w:val="20"/>
    </w:rPr>
  </w:style>
  <w:style w:type="paragraph" w:styleId="930" w:customStyle="1">
    <w:name w:val="列出段落2"/>
    <w:basedOn w:val="696"/>
    <w:qFormat/>
    <w:pPr>
      <w:ind w:firstLine="420"/>
    </w:pPr>
    <w:rPr>
      <w:rFonts w:ascii="Calibri" w:hAnsi="Calibri"/>
      <w:szCs w:val="22"/>
    </w:rPr>
  </w:style>
  <w:style w:type="character" w:styleId="931">
    <w:name w:val="Strong"/>
    <w:qFormat/>
    <w:rPr>
      <w:b/>
      <w:bCs/>
    </w:rPr>
  </w:style>
  <w:style w:type="paragraph" w:styleId="932" w:customStyle="1">
    <w:name w:val="首缩正文"/>
    <w:basedOn w:val="696"/>
    <w:qFormat/>
    <w:pPr>
      <w:ind w:firstLine="200"/>
      <w:jc w:val="left"/>
      <w:spacing w:line="600" w:lineRule="exact"/>
      <w:widowControl/>
    </w:pPr>
    <w:rPr>
      <w:rFonts w:ascii="Arial" w:hAnsi="Arial" w:cs="Arial"/>
      <w:color w:val="000000"/>
      <w:sz w:val="24"/>
      <w:szCs w:val="21"/>
    </w:rPr>
  </w:style>
  <w:style w:type="paragraph" w:styleId="933" w:customStyle="1">
    <w:name w:val="e表格"/>
    <w:basedOn w:val="696"/>
    <w:qFormat/>
    <w:pPr>
      <w:jc w:val="center"/>
      <w:widowControl/>
    </w:pPr>
    <w:rPr>
      <w:rFonts w:cs="Arial"/>
      <w:color w:val="00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EF968FD-FDA0-4DEC-BC96-2E17510BE26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125</cp:revision>
  <dcterms:created xsi:type="dcterms:W3CDTF">2026-01-21T07:24:00Z</dcterms:created>
  <dcterms:modified xsi:type="dcterms:W3CDTF">2026-04-15T01:26:01Z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