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6"/>
        <w:rPr>
          <w:color w:val="auto"/>
          <w:highlight w:val="none"/>
        </w:rPr>
      </w:pPr>
      <w:r/>
      <w:bookmarkStart w:id="33" w:name="_GoBack"/>
      <w:r/>
      <w:r/>
    </w:p>
    <w:p>
      <w:pPr>
        <w:rPr>
          <w:color w:val="auto"/>
          <w:highlight w:val="none"/>
        </w:rPr>
      </w:pPr>
      <w:r>
        <w:rPr>
          <w:color w:val="auto"/>
          <w:highlight w:val="none"/>
        </w:rPr>
      </w:r>
      <w:r/>
    </w:p>
    <w:p>
      <w:pPr>
        <w:rPr>
          <w:color w:val="auto"/>
          <w:highlight w:val="none"/>
        </w:rPr>
      </w:pPr>
      <w:r>
        <w:rPr>
          <w:color w:val="auto"/>
          <w:highlight w:val="none"/>
        </w:rPr>
      </w:r>
      <w:r/>
    </w:p>
    <w:p>
      <w:pPr>
        <w:pStyle w:val="1004"/>
        <w:rPr>
          <w:rFonts w:hint="eastAsia" w:ascii="宋体" w:hAnsi="宋体"/>
          <w:color w:val="auto"/>
          <w:highlight w:val="none"/>
        </w:rPr>
      </w:pPr>
      <w:r>
        <w:rPr>
          <w:rFonts w:ascii="宋体" w:hAnsi="宋体"/>
          <w:color w:val="auto"/>
          <w:sz w:val="44"/>
          <w:szCs w:val="44"/>
          <w:highlight w:val="none"/>
        </w:rPr>
        <w:t xml:space="preserve">2026年崇川区城建中心市政道路监控项目（第四批）</w:t>
      </w:r>
      <w:r/>
    </w:p>
    <w:p>
      <w:pPr>
        <w:pStyle w:val="1004"/>
        <w:rPr>
          <w:rFonts w:hint="eastAsia" w:ascii="宋体" w:hAnsi="宋体"/>
          <w:color w:val="auto"/>
          <w:highlight w:val="none"/>
        </w:rPr>
      </w:pPr>
      <w:r>
        <w:rPr>
          <w:rFonts w:hint="eastAsia" w:ascii="宋体" w:hAnsi="宋体"/>
          <w:color w:val="auto"/>
          <w:highlight w:val="none"/>
        </w:rPr>
      </w:r>
      <w:r/>
    </w:p>
    <w:p>
      <w:pPr>
        <w:pStyle w:val="992"/>
        <w:rPr>
          <w:color w:val="auto"/>
          <w:highlight w:val="none"/>
        </w:rPr>
      </w:pPr>
      <w:r>
        <w:rPr>
          <w:color w:val="auto"/>
          <w:highlight w:val="none"/>
        </w:rPr>
      </w:r>
      <w:r/>
    </w:p>
    <w:p>
      <w:pPr>
        <w:pStyle w:val="992"/>
        <w:rPr>
          <w:color w:val="auto"/>
          <w:highlight w:val="none"/>
        </w:rPr>
      </w:pPr>
      <w:r>
        <w:rPr>
          <w:color w:val="auto"/>
          <w:highlight w:val="none"/>
        </w:rPr>
      </w:r>
      <w:r/>
    </w:p>
    <w:p>
      <w:pPr>
        <w:jc w:val="center"/>
        <w:spacing w:line="36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公开招标文件</w:t>
      </w:r>
      <w:r/>
    </w:p>
    <w:p>
      <w:pPr>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（资格后审）</w:t>
      </w:r>
      <w:r/>
    </w:p>
    <w:p>
      <w:pPr>
        <w:pStyle w:val="1004"/>
        <w:rPr>
          <w:rFonts w:hint="eastAsia" w:ascii="宋体" w:hAnsi="宋体"/>
          <w:color w:val="auto"/>
          <w:highlight w:val="none"/>
        </w:rPr>
      </w:pPr>
      <w:r>
        <w:rPr>
          <w:rFonts w:hint="eastAsia" w:ascii="宋体" w:hAnsi="宋体"/>
          <w:color w:val="auto"/>
          <w:highlight w:val="none"/>
        </w:rPr>
      </w:r>
      <w:r/>
    </w:p>
    <w:p>
      <w:pPr>
        <w:pStyle w:val="992"/>
        <w:rPr>
          <w:rFonts w:hint="eastAsia" w:ascii="宋体" w:hAnsi="宋体" w:cs="宋体"/>
          <w:color w:val="auto"/>
          <w:highlight w:val="none"/>
        </w:rPr>
      </w:pPr>
      <w:r>
        <w:rPr>
          <w:rFonts w:hint="eastAsia" w:ascii="宋体" w:hAnsi="宋体" w:cs="宋体"/>
          <w:color w:val="auto"/>
          <w:highlight w:val="none"/>
        </w:rPr>
      </w:r>
      <w:r/>
    </w:p>
    <w:p>
      <w:pPr>
        <w:pStyle w:val="966"/>
        <w:rPr>
          <w:color w:val="auto"/>
          <w:highlight w:val="none"/>
        </w:rPr>
      </w:pPr>
      <w:r>
        <w:rPr>
          <w:color w:val="auto"/>
          <w:highlight w:val="none"/>
        </w:rPr>
      </w:r>
      <w:r/>
    </w:p>
    <w:p>
      <w:pPr>
        <w:pStyle w:val="1004"/>
        <w:rPr>
          <w:rFonts w:hint="eastAsia" w:ascii="宋体" w:hAnsi="宋体"/>
          <w:color w:val="auto"/>
          <w:highlight w:val="none"/>
        </w:rPr>
      </w:pPr>
      <w:r>
        <w:rPr>
          <w:rFonts w:hint="eastAsia" w:ascii="宋体" w:hAnsi="宋体"/>
          <w:color w:val="auto"/>
          <w:highlight w:val="none"/>
        </w:rPr>
      </w:r>
      <w:r/>
    </w:p>
    <w:p>
      <w:pPr>
        <w:pStyle w:val="992"/>
        <w:rPr>
          <w:color w:val="auto"/>
          <w:highlight w:val="none"/>
        </w:rPr>
      </w:pPr>
      <w:r>
        <w:rPr>
          <w:color w:val="auto"/>
          <w:highlight w:val="none"/>
        </w:rPr>
      </w:r>
      <w:r/>
    </w:p>
    <w:p>
      <w:pPr>
        <w:pStyle w:val="992"/>
        <w:rPr>
          <w:rFonts w:hint="eastAsia" w:ascii="宋体" w:hAnsi="宋体" w:cs="宋体"/>
          <w:color w:val="auto"/>
          <w:highlight w:val="none"/>
        </w:rPr>
      </w:pPr>
      <w:r>
        <w:rPr>
          <w:rFonts w:hint="eastAsia" w:ascii="宋体" w:hAnsi="宋体" w:cs="宋体"/>
          <w:color w:val="auto"/>
          <w:highlight w:val="none"/>
        </w:rPr>
      </w:r>
      <w:r/>
    </w:p>
    <w:p>
      <w:pPr>
        <w:pStyle w:val="966"/>
        <w:rPr>
          <w:color w:val="auto"/>
          <w:highlight w:val="none"/>
        </w:rPr>
      </w:pPr>
      <w:r>
        <w:rPr>
          <w:color w:val="auto"/>
          <w:highlight w:val="none"/>
        </w:rPr>
      </w:r>
      <w:r/>
    </w:p>
    <w:p>
      <w:pPr>
        <w:pStyle w:val="969"/>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招标人：南通市崇川区城市工程建设管理中心</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代理机构：</w:t>
      </w:r>
      <w:r>
        <w:rPr>
          <w:rFonts w:ascii="宋体" w:hAnsi="宋体" w:eastAsia="宋体" w:cs="宋体"/>
          <w:b/>
          <w:color w:val="auto"/>
          <w:sz w:val="32"/>
          <w:szCs w:val="32"/>
          <w:highlight w:val="none"/>
        </w:rPr>
        <w:t xml:space="preserve">中诚智信工程咨询集团股份有限公司</w:t>
      </w:r>
      <w:r/>
    </w:p>
    <w:p>
      <w:pPr>
        <w:jc w:val="center"/>
        <w:spacing w:line="360" w:lineRule="auto"/>
        <w:rPr>
          <w:rFonts w:hint="eastAsia" w:ascii="宋体" w:hAnsi="宋体" w:eastAsia="宋体" w:cs="宋体"/>
          <w:b/>
          <w:color w:val="auto"/>
          <w:sz w:val="32"/>
          <w:szCs w:val="32"/>
          <w:highlight w:val="none"/>
        </w:rPr>
        <w:sectPr>
          <w:headerReference w:type="default" r:id="rId9"/>
          <w:headerReference w:type="first" r:id="rId10"/>
          <w:footerReference w:type="even" r:id="rId16"/>
          <w:footerReference w:type="first" r:id="rId17"/>
          <w:footnotePr/>
          <w:endnotePr/>
          <w:type w:val="nextPage"/>
          <w:pgSz w:w="11906" w:h="16838" w:orient="portrait"/>
          <w:pgMar w:top="1417" w:right="1701" w:bottom="1587" w:left="1701" w:header="851" w:footer="964" w:gutter="0"/>
          <w:pgNumType w:start="0"/>
          <w:cols w:num="1" w:sep="0" w:space="720" w:equalWidth="1"/>
          <w:docGrid w:linePitch="360"/>
          <w:titlePg/>
        </w:sectPr>
      </w:pPr>
      <w:r>
        <w:rPr>
          <w:rFonts w:hint="eastAsia" w:ascii="宋体" w:hAnsi="宋体" w:eastAsia="宋体" w:cs="宋体"/>
          <w:b/>
          <w:color w:val="auto"/>
          <w:sz w:val="32"/>
          <w:szCs w:val="32"/>
          <w:highlight w:val="none"/>
        </w:rPr>
        <w:t xml:space="preserve">二○二六年三月</w:t>
      </w:r>
      <w:r/>
    </w:p>
    <w:p>
      <w:pPr>
        <w:pStyle w:val="960"/>
        <w:rPr>
          <w:rFonts w:hint="eastAsia" w:cs="宋体"/>
          <w:color w:val="auto"/>
          <w:sz w:val="40"/>
          <w:szCs w:val="21"/>
          <w:highlight w:val="none"/>
        </w:rPr>
      </w:pPr>
      <w:r>
        <w:rPr>
          <w:rFonts w:hint="eastAsia" w:cs="宋体"/>
          <w:color w:val="auto"/>
          <w:sz w:val="40"/>
          <w:szCs w:val="21"/>
          <w:highlight w:val="none"/>
        </w:rPr>
        <w:t xml:space="preserve">目  录</w:t>
      </w:r>
      <w:r/>
    </w:p>
    <w:p>
      <w:pPr>
        <w:pStyle w:val="985"/>
        <w:spacing w:line="360" w:lineRule="auto"/>
        <w:tabs>
          <w:tab w:val="right" w:pos="8504" w:leader="none"/>
        </w:tabs>
        <w:rPr>
          <w:rFonts w:hint="eastAsia" w:ascii="宋体" w:hAnsi="宋体" w:eastAsia="宋体" w:cs="宋体"/>
          <w:b/>
          <w:bCs/>
          <w:color w:val="auto"/>
          <w:sz w:val="28"/>
          <w:szCs w:val="21"/>
          <w:highlight w:val="none"/>
        </w:rPr>
      </w:pPr>
      <w:r>
        <w:rPr>
          <w:rFonts w:hint="eastAsia" w:ascii="宋体" w:hAnsi="宋体" w:eastAsia="宋体" w:cs="宋体"/>
          <w:b/>
          <w:bCs/>
          <w:color w:val="auto"/>
          <w:sz w:val="32"/>
          <w:szCs w:val="22"/>
          <w:highlight w:val="none"/>
        </w:rPr>
        <w:fldChar w:fldCharType="begin"/>
      </w:r>
      <w:r>
        <w:rPr>
          <w:rFonts w:hint="eastAsia" w:ascii="宋体" w:hAnsi="宋体" w:eastAsia="宋体" w:cs="宋体"/>
          <w:b/>
          <w:bCs/>
          <w:color w:val="auto"/>
          <w:sz w:val="32"/>
          <w:szCs w:val="22"/>
          <w:highlight w:val="none"/>
        </w:rPr>
        <w:instrText xml:space="preserve">TOC \o "1-1" \n  \h \u </w:instrText>
      </w:r>
      <w:r>
        <w:rPr>
          <w:rFonts w:hint="eastAsia" w:ascii="宋体" w:hAnsi="宋体" w:eastAsia="宋体" w:cs="宋体"/>
          <w:b/>
          <w:bCs/>
          <w:color w:val="auto"/>
          <w:sz w:val="32"/>
          <w:szCs w:val="22"/>
          <w:highlight w:val="none"/>
        </w:rPr>
        <w:fldChar w:fldCharType="separate"/>
      </w:r>
      <w:r>
        <w:rPr>
          <w:color w:val="auto"/>
          <w:highlight w:val="none"/>
        </w:rPr>
        <w:fldChar w:fldCharType="begin"/>
      </w:r>
      <w:r>
        <w:rPr>
          <w:color w:val="auto"/>
          <w:highlight w:val="none"/>
        </w:rPr>
        <w:instrText xml:space="preserve"> HYPERLINK \l "_Toc22004" </w:instrText>
      </w:r>
      <w:r>
        <w:rPr>
          <w:color w:val="auto"/>
          <w:highlight w:val="none"/>
        </w:rPr>
        <w:fldChar w:fldCharType="separate"/>
      </w:r>
      <w:r>
        <w:rPr>
          <w:rFonts w:hint="eastAsia" w:ascii="宋体" w:hAnsi="宋体" w:eastAsia="宋体" w:cs="宋体"/>
          <w:b/>
          <w:bCs/>
          <w:color w:val="auto"/>
          <w:sz w:val="28"/>
          <w:szCs w:val="40"/>
          <w:highlight w:val="none"/>
        </w:rPr>
        <w:t xml:space="preserve">第一章 招标公告</w:t>
      </w:r>
      <w:r>
        <w:rPr>
          <w:rFonts w:hint="eastAsia" w:ascii="宋体" w:hAnsi="宋体" w:eastAsia="宋体" w:cs="宋体"/>
          <w:b/>
          <w:bCs/>
          <w:color w:val="auto"/>
          <w:sz w:val="28"/>
          <w:szCs w:val="40"/>
          <w:highlight w:val="none"/>
        </w:rPr>
        <w:fldChar w:fldCharType="end"/>
      </w:r>
      <w:r/>
    </w:p>
    <w:p>
      <w:pPr>
        <w:pStyle w:val="985"/>
        <w:spacing w:line="360" w:lineRule="auto"/>
        <w:tabs>
          <w:tab w:val="right" w:pos="8504" w:leader="none"/>
        </w:tabs>
        <w:rPr>
          <w:rFonts w:hint="eastAsia" w:ascii="宋体" w:hAnsi="宋体" w:eastAsia="宋体" w:cs="宋体"/>
          <w:b/>
          <w:bCs/>
          <w:color w:val="auto"/>
          <w:sz w:val="28"/>
          <w:szCs w:val="21"/>
          <w:highlight w:val="none"/>
        </w:rPr>
      </w:pPr>
      <w:r>
        <w:rPr>
          <w:color w:val="auto"/>
          <w:highlight w:val="none"/>
        </w:rPr>
        <w:fldChar w:fldCharType="begin"/>
      </w:r>
      <w:r>
        <w:rPr>
          <w:color w:val="auto"/>
          <w:highlight w:val="none"/>
        </w:rPr>
        <w:instrText xml:space="preserve"> HYPERLINK \l "_Toc5275" </w:instrText>
      </w:r>
      <w:r>
        <w:rPr>
          <w:color w:val="auto"/>
          <w:highlight w:val="none"/>
        </w:rPr>
        <w:fldChar w:fldCharType="separate"/>
      </w:r>
      <w:r>
        <w:rPr>
          <w:rFonts w:hint="eastAsia" w:ascii="宋体" w:hAnsi="宋体" w:eastAsia="宋体" w:cs="宋体"/>
          <w:b/>
          <w:bCs/>
          <w:color w:val="auto"/>
          <w:sz w:val="28"/>
          <w:szCs w:val="40"/>
          <w:highlight w:val="none"/>
        </w:rPr>
        <w:t xml:space="preserve">第二章 投标人须知</w:t>
      </w:r>
      <w:r>
        <w:rPr>
          <w:rFonts w:hint="eastAsia" w:ascii="宋体" w:hAnsi="宋体" w:eastAsia="宋体" w:cs="宋体"/>
          <w:b/>
          <w:bCs/>
          <w:color w:val="auto"/>
          <w:sz w:val="28"/>
          <w:szCs w:val="40"/>
          <w:highlight w:val="none"/>
        </w:rPr>
        <w:fldChar w:fldCharType="end"/>
      </w:r>
      <w:r/>
    </w:p>
    <w:p>
      <w:pPr>
        <w:pStyle w:val="985"/>
        <w:spacing w:line="360" w:lineRule="auto"/>
        <w:tabs>
          <w:tab w:val="right" w:pos="8504" w:leader="none"/>
        </w:tabs>
        <w:rPr>
          <w:rFonts w:hint="eastAsia" w:ascii="宋体" w:hAnsi="宋体" w:eastAsia="宋体" w:cs="宋体"/>
          <w:b/>
          <w:bCs/>
          <w:color w:val="auto"/>
          <w:sz w:val="28"/>
          <w:szCs w:val="21"/>
          <w:highlight w:val="none"/>
        </w:rPr>
      </w:pPr>
      <w:r>
        <w:rPr>
          <w:color w:val="auto"/>
          <w:highlight w:val="none"/>
        </w:rPr>
        <w:fldChar w:fldCharType="begin"/>
      </w:r>
      <w:r>
        <w:rPr>
          <w:color w:val="auto"/>
          <w:highlight w:val="none"/>
        </w:rPr>
        <w:instrText xml:space="preserve"> HYPERLINK \l "_Toc16035" </w:instrText>
      </w:r>
      <w:r>
        <w:rPr>
          <w:color w:val="auto"/>
          <w:highlight w:val="none"/>
        </w:rPr>
        <w:fldChar w:fldCharType="separate"/>
      </w:r>
      <w:r>
        <w:rPr>
          <w:rFonts w:hint="eastAsia" w:ascii="宋体" w:hAnsi="宋体" w:eastAsia="宋体" w:cs="宋体"/>
          <w:b/>
          <w:bCs/>
          <w:color w:val="auto"/>
          <w:sz w:val="28"/>
          <w:szCs w:val="40"/>
          <w:highlight w:val="none"/>
        </w:rPr>
        <w:t xml:space="preserve">第三章 项目需求</w:t>
      </w:r>
      <w:r>
        <w:rPr>
          <w:rFonts w:hint="eastAsia" w:ascii="宋体" w:hAnsi="宋体" w:eastAsia="宋体" w:cs="宋体"/>
          <w:b/>
          <w:bCs/>
          <w:color w:val="auto"/>
          <w:sz w:val="28"/>
          <w:szCs w:val="40"/>
          <w:highlight w:val="none"/>
        </w:rPr>
        <w:fldChar w:fldCharType="end"/>
      </w:r>
      <w:r/>
    </w:p>
    <w:p>
      <w:pPr>
        <w:pStyle w:val="985"/>
        <w:spacing w:line="360" w:lineRule="auto"/>
        <w:tabs>
          <w:tab w:val="right" w:pos="8504" w:leader="none"/>
        </w:tabs>
        <w:rPr>
          <w:rFonts w:hint="eastAsia" w:ascii="宋体" w:hAnsi="宋体" w:eastAsia="宋体" w:cs="宋体"/>
          <w:b/>
          <w:bCs/>
          <w:color w:val="auto"/>
          <w:sz w:val="28"/>
          <w:szCs w:val="21"/>
          <w:highlight w:val="none"/>
        </w:rPr>
      </w:pPr>
      <w:r>
        <w:rPr>
          <w:color w:val="auto"/>
          <w:highlight w:val="none"/>
        </w:rPr>
        <w:fldChar w:fldCharType="begin"/>
      </w:r>
      <w:r>
        <w:rPr>
          <w:color w:val="auto"/>
          <w:highlight w:val="none"/>
        </w:rPr>
        <w:instrText xml:space="preserve"> HYPERLINK \l "_Toc13700" </w:instrText>
      </w:r>
      <w:r>
        <w:rPr>
          <w:color w:val="auto"/>
          <w:highlight w:val="none"/>
        </w:rPr>
        <w:fldChar w:fldCharType="separate"/>
      </w:r>
      <w:r>
        <w:rPr>
          <w:rFonts w:hint="eastAsia" w:ascii="宋体" w:hAnsi="宋体" w:eastAsia="宋体" w:cs="宋体"/>
          <w:b/>
          <w:bCs/>
          <w:color w:val="auto"/>
          <w:sz w:val="28"/>
          <w:szCs w:val="40"/>
          <w:highlight w:val="none"/>
        </w:rPr>
        <w:t xml:space="preserve">第四章 评审方法和程序</w:t>
      </w:r>
      <w:r>
        <w:rPr>
          <w:rFonts w:hint="eastAsia" w:ascii="宋体" w:hAnsi="宋体" w:eastAsia="宋体" w:cs="宋体"/>
          <w:b/>
          <w:bCs/>
          <w:color w:val="auto"/>
          <w:sz w:val="28"/>
          <w:szCs w:val="40"/>
          <w:highlight w:val="none"/>
        </w:rPr>
        <w:fldChar w:fldCharType="end"/>
      </w:r>
      <w:r/>
    </w:p>
    <w:p>
      <w:pPr>
        <w:pStyle w:val="985"/>
        <w:spacing w:line="360" w:lineRule="auto"/>
        <w:tabs>
          <w:tab w:val="right" w:pos="8504" w:leader="none"/>
        </w:tabs>
        <w:rPr>
          <w:rFonts w:hint="eastAsia" w:ascii="宋体" w:hAnsi="宋体" w:eastAsia="宋体" w:cs="宋体"/>
          <w:b/>
          <w:bCs/>
          <w:color w:val="auto"/>
          <w:sz w:val="28"/>
          <w:szCs w:val="21"/>
          <w:highlight w:val="none"/>
        </w:rPr>
      </w:pPr>
      <w:r>
        <w:rPr>
          <w:color w:val="auto"/>
          <w:highlight w:val="none"/>
        </w:rPr>
        <w:fldChar w:fldCharType="begin"/>
      </w:r>
      <w:r>
        <w:rPr>
          <w:color w:val="auto"/>
          <w:highlight w:val="none"/>
        </w:rPr>
        <w:instrText xml:space="preserve"> HYPERLINK \l "_Toc15653" </w:instrText>
      </w:r>
      <w:r>
        <w:rPr>
          <w:color w:val="auto"/>
          <w:highlight w:val="none"/>
        </w:rPr>
        <w:fldChar w:fldCharType="separate"/>
      </w:r>
      <w:r>
        <w:rPr>
          <w:rFonts w:hint="eastAsia" w:ascii="宋体" w:hAnsi="宋体" w:eastAsia="宋体" w:cs="宋体"/>
          <w:b/>
          <w:bCs/>
          <w:color w:val="auto"/>
          <w:sz w:val="28"/>
          <w:szCs w:val="40"/>
          <w:highlight w:val="none"/>
        </w:rPr>
        <w:t xml:space="preserve">第五章 合同主要条款</w:t>
      </w:r>
      <w:r>
        <w:rPr>
          <w:rFonts w:hint="eastAsia" w:ascii="宋体" w:hAnsi="宋体" w:eastAsia="宋体" w:cs="宋体"/>
          <w:b/>
          <w:bCs/>
          <w:color w:val="auto"/>
          <w:sz w:val="28"/>
          <w:szCs w:val="40"/>
          <w:highlight w:val="none"/>
        </w:rPr>
        <w:fldChar w:fldCharType="end"/>
      </w:r>
      <w:r/>
    </w:p>
    <w:p>
      <w:pPr>
        <w:pStyle w:val="985"/>
        <w:spacing w:line="360" w:lineRule="auto"/>
        <w:tabs>
          <w:tab w:val="right" w:pos="8504" w:leader="none"/>
        </w:tabs>
        <w:rPr>
          <w:rFonts w:hint="eastAsia" w:ascii="宋体" w:hAnsi="宋体" w:eastAsia="宋体" w:cs="宋体"/>
          <w:b/>
          <w:bCs/>
          <w:color w:val="auto"/>
          <w:sz w:val="28"/>
          <w:szCs w:val="21"/>
          <w:highlight w:val="none"/>
        </w:rPr>
      </w:pPr>
      <w:r>
        <w:rPr>
          <w:color w:val="auto"/>
          <w:highlight w:val="none"/>
        </w:rPr>
        <w:fldChar w:fldCharType="begin"/>
      </w:r>
      <w:r>
        <w:rPr>
          <w:color w:val="auto"/>
          <w:highlight w:val="none"/>
        </w:rPr>
        <w:instrText xml:space="preserve"> HYPERLINK \l "_Toc16355" </w:instrText>
      </w:r>
      <w:r>
        <w:rPr>
          <w:color w:val="auto"/>
          <w:highlight w:val="none"/>
        </w:rPr>
        <w:fldChar w:fldCharType="separate"/>
      </w:r>
      <w:r>
        <w:rPr>
          <w:rFonts w:hint="eastAsia" w:ascii="宋体" w:hAnsi="宋体" w:eastAsia="宋体" w:cs="宋体"/>
          <w:b/>
          <w:bCs/>
          <w:color w:val="auto"/>
          <w:sz w:val="28"/>
          <w:szCs w:val="40"/>
          <w:highlight w:val="none"/>
        </w:rPr>
        <w:t xml:space="preserve">第六章 合同授予</w:t>
      </w:r>
      <w:r>
        <w:rPr>
          <w:rFonts w:hint="eastAsia" w:ascii="宋体" w:hAnsi="宋体" w:eastAsia="宋体" w:cs="宋体"/>
          <w:b/>
          <w:bCs/>
          <w:color w:val="auto"/>
          <w:sz w:val="28"/>
          <w:szCs w:val="40"/>
          <w:highlight w:val="none"/>
        </w:rPr>
        <w:fldChar w:fldCharType="end"/>
      </w:r>
      <w:r/>
    </w:p>
    <w:p>
      <w:pPr>
        <w:pStyle w:val="985"/>
        <w:spacing w:line="360" w:lineRule="auto"/>
        <w:tabs>
          <w:tab w:val="right" w:pos="8504" w:leader="none"/>
        </w:tabs>
        <w:rPr>
          <w:rFonts w:hint="eastAsia" w:ascii="宋体" w:hAnsi="宋体" w:eastAsia="宋体" w:cs="宋体"/>
          <w:b/>
          <w:bCs/>
          <w:color w:val="auto"/>
          <w:sz w:val="28"/>
          <w:szCs w:val="21"/>
          <w:highlight w:val="none"/>
        </w:rPr>
      </w:pPr>
      <w:r>
        <w:rPr>
          <w:color w:val="auto"/>
          <w:highlight w:val="none"/>
        </w:rPr>
        <w:fldChar w:fldCharType="begin"/>
      </w:r>
      <w:r>
        <w:rPr>
          <w:color w:val="auto"/>
          <w:highlight w:val="none"/>
        </w:rPr>
        <w:instrText xml:space="preserve"> HYPERLINK \l "_Toc3958" </w:instrText>
      </w:r>
      <w:r>
        <w:rPr>
          <w:color w:val="auto"/>
          <w:highlight w:val="none"/>
        </w:rPr>
        <w:fldChar w:fldCharType="separate"/>
      </w:r>
      <w:r>
        <w:rPr>
          <w:rFonts w:hint="eastAsia" w:ascii="宋体" w:hAnsi="宋体" w:eastAsia="宋体" w:cs="宋体"/>
          <w:b/>
          <w:bCs/>
          <w:color w:val="auto"/>
          <w:sz w:val="28"/>
          <w:szCs w:val="40"/>
          <w:highlight w:val="none"/>
        </w:rPr>
        <w:t xml:space="preserve">第七章 质疑与投诉</w:t>
      </w:r>
      <w:r>
        <w:rPr>
          <w:rFonts w:hint="eastAsia" w:ascii="宋体" w:hAnsi="宋体" w:eastAsia="宋体" w:cs="宋体"/>
          <w:b/>
          <w:bCs/>
          <w:color w:val="auto"/>
          <w:sz w:val="28"/>
          <w:szCs w:val="40"/>
          <w:highlight w:val="none"/>
        </w:rPr>
        <w:fldChar w:fldCharType="end"/>
      </w:r>
      <w:r/>
    </w:p>
    <w:p>
      <w:pPr>
        <w:pStyle w:val="985"/>
        <w:spacing w:line="360" w:lineRule="auto"/>
        <w:tabs>
          <w:tab w:val="right" w:pos="8504" w:leader="none"/>
        </w:tabs>
        <w:rPr>
          <w:rFonts w:hint="eastAsia" w:ascii="宋体" w:hAnsi="宋体" w:eastAsia="宋体" w:cs="宋体"/>
          <w:b/>
          <w:bCs/>
          <w:color w:val="auto"/>
          <w:sz w:val="32"/>
          <w:szCs w:val="22"/>
          <w:highlight w:val="none"/>
        </w:rPr>
      </w:pPr>
      <w:r>
        <w:rPr>
          <w:color w:val="auto"/>
          <w:highlight w:val="none"/>
        </w:rPr>
        <w:fldChar w:fldCharType="begin"/>
      </w:r>
      <w:r>
        <w:rPr>
          <w:color w:val="auto"/>
          <w:highlight w:val="none"/>
        </w:rPr>
        <w:instrText xml:space="preserve"> HYPERLINK \l "_Toc27466" </w:instrText>
      </w:r>
      <w:r>
        <w:rPr>
          <w:color w:val="auto"/>
          <w:highlight w:val="none"/>
        </w:rPr>
        <w:fldChar w:fldCharType="separate"/>
      </w:r>
      <w:r>
        <w:rPr>
          <w:rFonts w:hint="eastAsia" w:ascii="宋体" w:hAnsi="宋体" w:eastAsia="宋体" w:cs="宋体"/>
          <w:b/>
          <w:bCs/>
          <w:color w:val="auto"/>
          <w:sz w:val="28"/>
          <w:szCs w:val="40"/>
          <w:highlight w:val="none"/>
        </w:rPr>
        <w:t xml:space="preserve">第八章 投标文件组成及格式</w:t>
      </w:r>
      <w:r>
        <w:rPr>
          <w:rFonts w:hint="eastAsia" w:ascii="宋体" w:hAnsi="宋体" w:eastAsia="宋体" w:cs="宋体"/>
          <w:b/>
          <w:bCs/>
          <w:color w:val="auto"/>
          <w:sz w:val="28"/>
          <w:szCs w:val="40"/>
          <w:highlight w:val="none"/>
        </w:rPr>
        <w:fldChar w:fldCharType="end"/>
      </w:r>
      <w:r/>
    </w:p>
    <w:p>
      <w:pPr>
        <w:pStyle w:val="960"/>
        <w:ind w:firstLine="723"/>
        <w:rPr>
          <w:rFonts w:hint="eastAsia" w:cs="宋体"/>
          <w:color w:val="auto"/>
          <w:highlight w:val="none"/>
        </w:rPr>
      </w:pPr>
      <w:r>
        <w:rPr>
          <w:rFonts w:hint="eastAsia" w:cs="宋体"/>
          <w:bCs/>
          <w:color w:val="auto"/>
          <w:sz w:val="44"/>
          <w:szCs w:val="22"/>
          <w:highlight w:val="none"/>
        </w:rPr>
        <w:fldChar w:fldCharType="end"/>
      </w:r>
      <w:r/>
    </w:p>
    <w:p>
      <w:pPr>
        <w:jc w:val="center"/>
        <w:spacing w:line="360" w:lineRule="auto"/>
        <w:tabs>
          <w:tab w:val="left" w:pos="1050" w:leader="none"/>
          <w:tab w:val="right" w:pos="9402" w:leader="dot"/>
        </w:tabs>
        <w:rPr>
          <w:rFonts w:hint="eastAsia" w:ascii="宋体" w:hAnsi="宋体" w:eastAsia="宋体" w:cs="宋体"/>
          <w:b/>
          <w:color w:val="auto"/>
          <w:sz w:val="36"/>
          <w:szCs w:val="36"/>
          <w:highlight w:val="none"/>
        </w:rPr>
        <w:sectPr>
          <w:headerReference w:type="default" r:id="rId11"/>
          <w:footerReference w:type="default" r:id="rId18"/>
          <w:footnotePr/>
          <w:endnotePr/>
          <w:type w:val="nextPage"/>
          <w:pgSz w:w="11906" w:h="16838" w:orient="portrait"/>
          <w:pgMar w:top="1417" w:right="1701" w:bottom="1587" w:left="1701" w:header="851" w:footer="850" w:gutter="0"/>
          <w:pgNumType w:start="0"/>
          <w:cols w:num="1" w:sep="0" w:space="720" w:equalWidth="1"/>
          <w:docGrid w:linePitch="360"/>
        </w:sectPr>
        <w:outlineLvl w:val="0"/>
      </w:pPr>
      <w:r/>
      <w:bookmarkStart w:id="0" w:name="_Toc363573853"/>
      <w:r/>
      <w:bookmarkStart w:id="1" w:name="_Toc22004"/>
      <w:r/>
      <w:r/>
    </w:p>
    <w:p>
      <w:pPr>
        <w:jc w:val="center"/>
        <w:spacing w:line="360" w:lineRule="auto"/>
        <w:tabs>
          <w:tab w:val="left" w:pos="1050" w:leader="none"/>
          <w:tab w:val="right" w:pos="9402" w:leader="dot"/>
        </w:tabs>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第一章 招标公告</w:t>
      </w:r>
      <w:bookmarkEnd w:id="0"/>
      <w:r/>
      <w:bookmarkEnd w:id="1"/>
      <w:r/>
      <w:r/>
    </w:p>
    <w:p>
      <w:pPr>
        <w:ind w:firstLine="480"/>
        <w:spacing w:line="360" w:lineRule="auto"/>
        <w:rPr>
          <w:rFonts w:hint="eastAsia" w:ascii="宋体" w:hAnsi="宋体" w:eastAsia="宋体" w:cs="宋体"/>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auto"/>
          <w:sz w:val="24"/>
          <w:szCs w:val="24"/>
          <w:highlight w:val="none"/>
        </w:rPr>
        <w:t xml:space="preserve">项目概况</w:t>
      </w:r>
      <w:r/>
    </w:p>
    <w:p>
      <w:pPr>
        <w:ind w:firstLine="480"/>
        <w:spacing w:line="360" w:lineRule="auto"/>
        <w:rPr>
          <w:rFonts w:hint="eastAsia" w:ascii="宋体" w:hAnsi="宋体" w:eastAsia="宋体" w:cs="宋体"/>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auto"/>
          <w:sz w:val="24"/>
          <w:szCs w:val="24"/>
          <w:highlight w:val="none"/>
        </w:rPr>
        <w:t xml:space="preserve">2026年崇川区城建中心市政道路监控项目（第四批）的潜在投标人应在</w:t>
      </w:r>
      <w:r>
        <w:rPr>
          <w:rFonts w:hint="eastAsia" w:ascii="宋体" w:hAnsi="宋体" w:eastAsia="宋体" w:cs="宋体"/>
          <w:bCs/>
          <w:color w:val="auto"/>
          <w:sz w:val="24"/>
          <w:szCs w:val="24"/>
          <w:highlight w:val="none"/>
          <w:u w:val="single"/>
        </w:rPr>
        <w:t xml:space="preserve">江苏政府采购网苏采云系统 </w:t>
      </w:r>
      <w:r>
        <w:rPr>
          <w:rFonts w:hint="eastAsia" w:ascii="宋体" w:hAnsi="宋体" w:eastAsia="宋体" w:cs="宋体"/>
          <w:bCs/>
          <w:color w:val="auto"/>
          <w:sz w:val="24"/>
          <w:szCs w:val="24"/>
          <w:highlight w:val="none"/>
        </w:rPr>
        <w:t xml:space="preserve">获取招标文件，并于</w:t>
      </w:r>
      <w:r>
        <w:rPr>
          <w:rFonts w:hint="eastAsia" w:ascii="宋体" w:hAnsi="宋体" w:eastAsia="宋体" w:cs="宋体"/>
          <w:bCs/>
          <w:color w:val="auto"/>
          <w:sz w:val="24"/>
          <w:szCs w:val="24"/>
          <w:highlight w:val="none"/>
          <w:u w:val="single"/>
        </w:rPr>
        <w:t xml:space="preserve">2026年</w:t>
      </w:r>
      <w:r>
        <w:rPr>
          <w:rFonts w:hint="eastAsia" w:ascii="宋体" w:hAnsi="宋体" w:eastAsia="宋体" w:cs="宋体"/>
          <w:bCs/>
          <w:color w:val="auto"/>
          <w:sz w:val="24"/>
          <w:szCs w:val="24"/>
          <w:highlight w:val="none"/>
          <w:u w:val="single"/>
          <w:lang w:val="en-US" w:eastAsia="zh-CN"/>
        </w:rPr>
        <w:t xml:space="preserve">4</w:t>
      </w:r>
      <w:r>
        <w:rPr>
          <w:rFonts w:hint="eastAsia" w:ascii="宋体" w:hAnsi="宋体" w:eastAsia="宋体" w:cs="宋体"/>
          <w:bCs/>
          <w:color w:val="auto"/>
          <w:sz w:val="24"/>
          <w:szCs w:val="24"/>
          <w:highlight w:val="none"/>
          <w:u w:val="single"/>
        </w:rPr>
        <w:t xml:space="preserve">月</w:t>
      </w:r>
      <w:r>
        <w:rPr>
          <w:rFonts w:hint="eastAsia" w:ascii="宋体" w:hAnsi="宋体" w:eastAsia="宋体" w:cs="宋体"/>
          <w:bCs/>
          <w:color w:val="auto"/>
          <w:sz w:val="24"/>
          <w:szCs w:val="24"/>
          <w:highlight w:val="none"/>
          <w:u w:val="single"/>
          <w:lang w:val="en-US" w:eastAsia="zh-CN"/>
        </w:rPr>
        <w:t xml:space="preserve">24</w:t>
      </w:r>
      <w:r>
        <w:rPr>
          <w:rFonts w:hint="eastAsia" w:ascii="宋体" w:hAnsi="宋体" w:eastAsia="宋体" w:cs="宋体"/>
          <w:bCs/>
          <w:color w:val="auto"/>
          <w:sz w:val="24"/>
          <w:szCs w:val="24"/>
          <w:highlight w:val="none"/>
          <w:u w:val="single"/>
        </w:rPr>
        <w:t xml:space="preserve">日</w:t>
      </w:r>
      <w:r>
        <w:rPr>
          <w:rFonts w:hint="eastAsia" w:ascii="宋体" w:hAnsi="宋体" w:eastAsia="宋体" w:cs="宋体"/>
          <w:bCs/>
          <w:color w:val="auto"/>
          <w:sz w:val="24"/>
          <w:szCs w:val="24"/>
          <w:highlight w:val="none"/>
          <w:u w:val="single"/>
          <w:lang w:val="en-US" w:eastAsia="zh-CN"/>
        </w:rPr>
        <w:t xml:space="preserve">14</w:t>
      </w:r>
      <w:r>
        <w:rPr>
          <w:rFonts w:hint="eastAsia" w:ascii="宋体" w:hAnsi="宋体" w:eastAsia="宋体" w:cs="宋体"/>
          <w:bCs/>
          <w:color w:val="auto"/>
          <w:sz w:val="24"/>
          <w:szCs w:val="24"/>
          <w:highlight w:val="none"/>
          <w:u w:val="single"/>
        </w:rPr>
        <w:t xml:space="preserve">时00分</w:t>
      </w:r>
      <w:r>
        <w:rPr>
          <w:rFonts w:hint="eastAsia" w:ascii="宋体" w:hAnsi="宋体" w:eastAsia="宋体" w:cs="宋体"/>
          <w:bCs/>
          <w:color w:val="auto"/>
          <w:sz w:val="24"/>
          <w:szCs w:val="24"/>
          <w:highlight w:val="none"/>
        </w:rPr>
        <w:t xml:space="preserve">（北京时间）前递交投标文件。</w:t>
      </w:r>
      <w:r/>
    </w:p>
    <w:p>
      <w:pPr>
        <w:numPr>
          <w:ilvl w:val="0"/>
          <w:numId w:val="2"/>
        </w:num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项目基本情况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w:t>
      </w:r>
      <w:r>
        <w:rPr>
          <w:rFonts w:ascii="Segoe UI" w:hAnsi="Segoe UI" w:cs="Segoe UI"/>
          <w:color w:val="auto"/>
          <w:sz w:val="21"/>
          <w:szCs w:val="21"/>
          <w:highlight w:val="none"/>
          <w:shd w:val="clear" w:color="auto" w:fill="ffffff"/>
        </w:rPr>
        <w:t xml:space="preserve">JSZC-320613-ZCZX-G2026-0027</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2、项目名称：2026年崇川区城建中心市政道路监控项目（第四批）</w:t>
      </w:r>
      <w:r/>
    </w:p>
    <w:p>
      <w:pPr>
        <w:ind w:firstLine="480"/>
        <w:spacing w:line="360" w:lineRule="auto"/>
        <w:rPr>
          <w:rFonts w:hint="eastAsia" w:ascii="宋体" w:hAnsi="宋体" w:eastAsia="宋体" w:cs="宋体"/>
          <w:color w:val="auto"/>
          <w:sz w:val="24"/>
          <w:szCs w:val="24"/>
          <w:highlight w:val="none"/>
        </w:rPr>
      </w:pPr>
      <w:r/>
      <w:bookmarkStart w:id="2" w:name="_Toc387526273"/>
      <w:r/>
      <w:bookmarkStart w:id="3" w:name="_Toc387526169"/>
      <w:r/>
      <w:bookmarkStart w:id="4" w:name="_Toc387526365"/>
      <w:r/>
      <w:bookmarkStart w:id="5" w:name="_Toc20597"/>
      <w:r>
        <w:rPr>
          <w:rFonts w:hint="eastAsia" w:ascii="宋体" w:hAnsi="宋体" w:eastAsia="宋体" w:cs="宋体"/>
          <w:color w:val="auto"/>
          <w:sz w:val="24"/>
          <w:szCs w:val="24"/>
          <w:highlight w:val="none"/>
        </w:rPr>
        <w:t xml:space="preserve">3、项目类型：货物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4、预算金额：1741916.83 元</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5、最高限价：</w:t>
      </w:r>
      <w:bookmarkStart w:id="6" w:name="OLE_LINK1"/>
      <w:r>
        <w:rPr>
          <w:rFonts w:hint="eastAsia" w:ascii="宋体" w:hAnsi="宋体" w:eastAsia="宋体" w:cs="宋体"/>
          <w:b/>
          <w:color w:val="auto"/>
          <w:sz w:val="24"/>
          <w:szCs w:val="24"/>
          <w:highlight w:val="none"/>
        </w:rPr>
        <w:t xml:space="preserve">1739531.02</w:t>
      </w:r>
      <w:bookmarkEnd w:id="6"/>
      <w:r>
        <w:rPr>
          <w:rFonts w:hint="eastAsia" w:ascii="宋体" w:hAnsi="宋体" w:eastAsia="宋体" w:cs="宋体"/>
          <w:b/>
          <w:color w:val="auto"/>
          <w:sz w:val="24"/>
          <w:szCs w:val="24"/>
          <w:highlight w:val="none"/>
        </w:rPr>
        <w:t xml:space="preserve">元，投标报价超过最高限价的为无效投标。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6、项目需求：2026年崇川区城建中心市政道路监控项目（第四批），具体详见招标文件第三章项目需求。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7、合同履行期限：合同签订后120日历天内完成供货、安装调试并经验收合格，具体开工日期以招标人签发的书面开工通知为准</w:t>
      </w:r>
      <w:bookmarkEnd w:id="2"/>
      <w:r/>
      <w:bookmarkEnd w:id="3"/>
      <w:r/>
      <w:bookmarkEnd w:id="4"/>
      <w:r/>
      <w:bookmarkEnd w:id="5"/>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8、本项目（是/否）接受联合体：否。</w:t>
      </w:r>
      <w:r/>
    </w:p>
    <w:p>
      <w:pPr>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注：①集秀路（天生路-树西路）、惠农路（集秀路-长泰路）监控项目第三批实施，规划一路(幸余路-秦灶路)、顺达路西延(泰通路-工农北路)、崇川路南侧规划路(崇学路-世园路)及桃园路北侧规划路(崇学路-世园路)监控项目第四批实施，允许投标单位同时参与上述两批次投标，但同一投标单位最多只能在一个批次中标；</w:t>
      </w:r>
      <w:r/>
    </w:p>
    <w:p>
      <w:p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②若投标单位在第三批次被确定为中标人，则自动丧失第四批次中标资格，不可参与第四批次评审；如投标单位在第三批发包中未中标，可继续参与第四批评审；</w:t>
      </w:r>
      <w:r/>
    </w:p>
    <w:p>
      <w:p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③两批次投标文件将独立评审，但评审委员会有权调阅投标单位另一批次的投标文件进行关联核查；</w:t>
      </w:r>
      <w:r/>
    </w:p>
    <w:p>
      <w:p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④中标后如发现投标单位通过任何形式在两批次同时中标，采购人有权取消其中标资格并没收投标保证金（如有）。</w:t>
      </w:r>
      <w:r/>
    </w:p>
    <w:p>
      <w:pPr>
        <w:ind w:firstLine="482"/>
        <w:spacing w:line="360" w:lineRule="auto"/>
        <w:rPr>
          <w:rFonts w:hint="eastAsia" w:ascii="宋体" w:hAnsi="宋体" w:eastAsia="宋体" w:cs="宋体"/>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⑤</w:t>
      </w:r>
      <w:r>
        <w:rPr>
          <w:rFonts w:hint="eastAsia" w:ascii="宋体" w:hAnsi="宋体" w:eastAsia="宋体" w:cs="宋体"/>
          <w:b/>
          <w:bCs/>
          <w:color w:val="auto"/>
          <w:sz w:val="24"/>
          <w:szCs w:val="24"/>
          <w:highlight w:val="none"/>
          <w:u w:val="single"/>
        </w:rPr>
        <w:t xml:space="preserve">出现以下情况时，两批次投标均作无效处理：</w:t>
      </w:r>
      <w:r/>
    </w:p>
    <w:p>
      <w:p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投标单位试图通过关联公司分别投标规避本规则。</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1、满足《中华人民共和国政府采购法》第二十二条规定，提供声明函：</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2、落实政府采购政策需满足的资格要求：</w:t>
      </w:r>
      <w:bookmarkStart w:id="7" w:name="OLE_LINK4"/>
      <w:r>
        <w:rPr>
          <w:rFonts w:hint="eastAsia" w:ascii="宋体" w:hAnsi="宋体" w:eastAsia="宋体" w:cs="宋体"/>
          <w:bCs/>
          <w:color w:val="auto"/>
          <w:sz w:val="24"/>
          <w:szCs w:val="24"/>
          <w:highlight w:val="none"/>
          <w:u w:val="single"/>
        </w:rPr>
        <w:t xml:space="preserve">  无  </w:t>
      </w:r>
      <w:r>
        <w:rPr>
          <w:rFonts w:hint="eastAsia" w:ascii="宋体" w:hAnsi="宋体" w:eastAsia="宋体" w:cs="宋体"/>
          <w:b/>
          <w:color w:val="auto"/>
          <w:sz w:val="24"/>
          <w:szCs w:val="24"/>
          <w:highlight w:val="none"/>
        </w:rPr>
        <w:t xml:space="preserve">。</w:t>
      </w:r>
      <w:bookmarkEnd w:id="7"/>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3、本项目的特定资格要求：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（1）供应商须具有独立法人资格，具有有效的营业执照，有能力按本招标文件规定的要求提供招标物及提供相关伴随服务能力。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Start w:id="8" w:name="OLE_LINK5"/>
      <w:r>
        <w:rPr>
          <w:rFonts w:hint="eastAsia" w:ascii="宋体" w:hAnsi="宋体" w:eastAsia="宋体" w:cs="宋体"/>
          <w:color w:val="auto"/>
          <w:sz w:val="24"/>
          <w:szCs w:val="24"/>
          <w:highlight w:val="none"/>
        </w:rPr>
        <w:t xml:space="preserve">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w:t>
      </w:r>
      <w:bookmarkEnd w:id="8"/>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4、未被“信用中国”网站（www.creditchina.gov.cn）列入失信被执行人、重大税收违法案件当事人名单、政府采购严重失信行为记录名单；</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5、拒绝下述供应商参加本次采购活动：</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（1）供应商单位负责人为同一人或者存在直接控股、管理关系的不同供应商，不得参加同一合同项下的政府采购活动。</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（2）凡为采购项目提供整体设计、规范编制或者项目管理、监理、检测等服务的供应商，不得再参加本项目的采购活动。</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具体资格要求详见第八章中的“资格审查文件”。</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1、时间：自本项目招标公告发布之日起5个工作日。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2、地点：网上注册登记成功后系统内免费下载。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3、获取方式：本项目采用网上注册登记方式。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3.1潜在供应商访问电子招标响应交易平台的网络地址和方法：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政府采购网—资料下载中《江苏省政府采购管理交易系统（苏采云）供应商操作手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3.2潜在供应商访问“苏采云”系统的网络地址和方法：“苏采云”系统的网址：http://jszfcg.jsczt.cn/。</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3.3“CA数字证书”的获取：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3.4采购文件（后缀名为“.kedt”）、供应商操作手册及政府采购客户端工具可通过“苏采云”系统--已报名项目--报名详情页面内相应链接进行下载。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3.5采购人或招标代理机构（采购代理机构）将数据电文形式的采购文件加载至“苏采云”系统，供潜在供应商下载或者查阅。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3.6请潜在投标单位提前安装相应的控件（详见《江苏省政府采购管理交易系统（苏采云）供应商操作手册》）并使用谷歌浏览器登录“苏采云”系统参与不见面开评标。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注：如潜在供应商未按上述要求操作，将自行承担所产生的风险。</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1、投标文件提交截止时间：</w:t>
      </w:r>
      <w:r>
        <w:rPr>
          <w:rFonts w:hint="eastAsia" w:ascii="宋体" w:hAnsi="宋体" w:eastAsia="宋体" w:cs="宋体"/>
          <w:bCs/>
          <w:color w:val="auto"/>
          <w:sz w:val="24"/>
          <w:szCs w:val="24"/>
          <w:highlight w:val="none"/>
          <w:u w:val="single"/>
        </w:rPr>
        <w:t xml:space="preserve">2026年</w:t>
      </w:r>
      <w:r>
        <w:rPr>
          <w:rFonts w:hint="eastAsia" w:ascii="宋体" w:hAnsi="宋体" w:eastAsia="宋体" w:cs="宋体"/>
          <w:bCs/>
          <w:color w:val="auto"/>
          <w:sz w:val="24"/>
          <w:szCs w:val="24"/>
          <w:highlight w:val="none"/>
          <w:u w:val="single"/>
          <w:lang w:val="en-US" w:eastAsia="zh-CN"/>
        </w:rPr>
        <w:t xml:space="preserve">4</w:t>
      </w:r>
      <w:r>
        <w:rPr>
          <w:rFonts w:hint="eastAsia" w:ascii="宋体" w:hAnsi="宋体" w:eastAsia="宋体" w:cs="宋体"/>
          <w:bCs/>
          <w:color w:val="auto"/>
          <w:sz w:val="24"/>
          <w:szCs w:val="24"/>
          <w:highlight w:val="none"/>
          <w:u w:val="single"/>
        </w:rPr>
        <w:t xml:space="preserve">月</w:t>
      </w:r>
      <w:r>
        <w:rPr>
          <w:rFonts w:hint="eastAsia" w:ascii="宋体" w:hAnsi="宋体" w:eastAsia="宋体" w:cs="宋体"/>
          <w:bCs/>
          <w:color w:val="auto"/>
          <w:sz w:val="24"/>
          <w:szCs w:val="24"/>
          <w:highlight w:val="none"/>
          <w:u w:val="single"/>
          <w:lang w:val="en-US" w:eastAsia="zh-CN"/>
        </w:rPr>
        <w:t xml:space="preserve">24</w:t>
      </w:r>
      <w:r>
        <w:rPr>
          <w:rFonts w:hint="eastAsia" w:ascii="宋体" w:hAnsi="宋体" w:eastAsia="宋体" w:cs="宋体"/>
          <w:bCs/>
          <w:color w:val="auto"/>
          <w:sz w:val="24"/>
          <w:szCs w:val="24"/>
          <w:highlight w:val="none"/>
          <w:u w:val="single"/>
        </w:rPr>
        <w:t xml:space="preserve">日</w:t>
      </w:r>
      <w:r>
        <w:rPr>
          <w:rFonts w:hint="eastAsia" w:ascii="宋体" w:hAnsi="宋体" w:eastAsia="宋体" w:cs="宋体"/>
          <w:bCs/>
          <w:color w:val="auto"/>
          <w:sz w:val="24"/>
          <w:szCs w:val="24"/>
          <w:highlight w:val="none"/>
          <w:u w:val="single"/>
          <w:lang w:val="en-US" w:eastAsia="zh-CN"/>
        </w:rPr>
        <w:t xml:space="preserve">14</w:t>
      </w:r>
      <w:r>
        <w:rPr>
          <w:rFonts w:hint="eastAsia" w:ascii="宋体" w:hAnsi="宋体" w:eastAsia="宋体" w:cs="宋体"/>
          <w:bCs/>
          <w:color w:val="auto"/>
          <w:sz w:val="24"/>
          <w:szCs w:val="24"/>
          <w:highlight w:val="none"/>
          <w:u w:val="single"/>
        </w:rPr>
        <w:t xml:space="preserve">时00分</w:t>
      </w:r>
      <w:r>
        <w:rPr>
          <w:rFonts w:hint="eastAsia" w:ascii="宋体" w:hAnsi="宋体" w:eastAsia="宋体" w:cs="宋体"/>
          <w:color w:val="auto"/>
          <w:sz w:val="24"/>
          <w:szCs w:val="24"/>
          <w:highlight w:val="none"/>
        </w:rPr>
        <w:t xml:space="preserve">（北京时间）。逾时，“苏采云”系统将拒绝接受上传</w:t>
      </w:r>
      <w:r>
        <w:rPr>
          <w:rFonts w:hint="eastAsia" w:ascii="宋体" w:hAnsi="宋体" w:eastAsia="宋体" w:cs="宋体"/>
          <w:bCs/>
          <w:color w:val="auto"/>
          <w:sz w:val="24"/>
          <w:szCs w:val="24"/>
          <w:highlight w:val="none"/>
        </w:rPr>
        <w:t xml:space="preserve">投标文件</w:t>
      </w:r>
      <w:r>
        <w:rPr>
          <w:rFonts w:hint="eastAsia" w:ascii="宋体" w:hAnsi="宋体" w:eastAsia="宋体" w:cs="宋体"/>
          <w:color w:val="auto"/>
          <w:sz w:val="24"/>
          <w:szCs w:val="24"/>
          <w:highlight w:val="none"/>
        </w:rPr>
        <w:t xml:space="preserve">电子文档。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2、线上开标地点：“苏采云”系统（网址：http://jszfcg.jsczt.cn/）“开标大厅”。</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投标文件</w:t>
      </w:r>
      <w:r>
        <w:rPr>
          <w:rFonts w:hint="eastAsia" w:ascii="宋体" w:hAnsi="宋体" w:eastAsia="宋体" w:cs="宋体"/>
          <w:color w:val="auto"/>
          <w:sz w:val="24"/>
          <w:szCs w:val="24"/>
          <w:highlight w:val="none"/>
        </w:rPr>
        <w:t xml:space="preserve">的解密：开标当天各供应商及时登录不见面开标大厅，</w:t>
      </w:r>
      <w:r>
        <w:rPr>
          <w:rFonts w:hint="eastAsia" w:ascii="宋体" w:hAnsi="宋体" w:eastAsia="宋体" w:cs="宋体"/>
          <w:bCs/>
          <w:color w:val="auto"/>
          <w:sz w:val="24"/>
          <w:szCs w:val="24"/>
          <w:highlight w:val="none"/>
        </w:rPr>
        <w:t xml:space="preserve">投标文件</w:t>
      </w:r>
      <w:r>
        <w:rPr>
          <w:rFonts w:hint="eastAsia" w:ascii="宋体" w:hAnsi="宋体" w:eastAsia="宋体" w:cs="宋体"/>
          <w:color w:val="auto"/>
          <w:sz w:val="24"/>
          <w:szCs w:val="24"/>
          <w:highlight w:val="none"/>
        </w:rPr>
        <w:t xml:space="preserve">递交截止时间后，采购人将在系统内公布投标供应商名单，然后通过开标会议区发出</w:t>
      </w:r>
      <w:r>
        <w:rPr>
          <w:rFonts w:hint="eastAsia" w:ascii="宋体" w:hAnsi="宋体" w:eastAsia="宋体" w:cs="宋体"/>
          <w:bCs/>
          <w:color w:val="auto"/>
          <w:sz w:val="24"/>
          <w:szCs w:val="24"/>
          <w:highlight w:val="none"/>
        </w:rPr>
        <w:t xml:space="preserve">投标文件</w:t>
      </w:r>
      <w:r>
        <w:rPr>
          <w:rFonts w:hint="eastAsia" w:ascii="宋体" w:hAnsi="宋体" w:eastAsia="宋体" w:cs="宋体"/>
          <w:color w:val="auto"/>
          <w:sz w:val="24"/>
          <w:szCs w:val="24"/>
          <w:highlight w:val="none"/>
        </w:rPr>
        <w:t xml:space="preserve">解密的指令，投标供应商在开标室按规定时间自行实施远程解密，</w:t>
      </w:r>
      <w:r>
        <w:rPr>
          <w:rFonts w:hint="eastAsia" w:ascii="宋体" w:hAnsi="宋体" w:eastAsia="宋体" w:cs="宋体"/>
          <w:b/>
          <w:color w:val="auto"/>
          <w:sz w:val="24"/>
          <w:szCs w:val="24"/>
          <w:highlight w:val="none"/>
        </w:rPr>
        <w:t xml:space="preserve">投标供应商解密限定在开标后30分钟之内完成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注：各供应商请关注开标大厅交流区，在开标结束后，请勿离开开标大厅。</w:t>
      </w:r>
      <w:r/>
    </w:p>
    <w:p>
      <w:pPr>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五、公告期限</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自本公告发布之日起5个工作日。</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1、投标保证金：免收；本项目招标文件中涉及投标保证金的事项，均按免收投标保证金执行。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2、项目开标活动模式：不见面远程投标模式，供应商在各自地点通过不见面交易系统参加开标会。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3、项目演示、样品、答辩等（如有请描述）：无。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4、对项目需求部分（投标人其他资格</w:t>
      </w:r>
      <w:r>
        <w:rPr>
          <w:rFonts w:hint="eastAsia" w:ascii="宋体" w:hAnsi="宋体" w:eastAsia="宋体" w:cs="宋体"/>
          <w:color w:val="auto"/>
          <w:sz w:val="24"/>
          <w:highlight w:val="none"/>
        </w:rPr>
        <w:t xml:space="preserve">要求</w:t>
      </w:r>
      <w:r>
        <w:rPr>
          <w:rFonts w:hint="eastAsia" w:ascii="宋体" w:hAnsi="宋体" w:eastAsia="宋体" w:cs="宋体"/>
          <w:bCs/>
          <w:color w:val="auto"/>
          <w:sz w:val="24"/>
          <w:szCs w:val="24"/>
          <w:highlight w:val="none"/>
        </w:rPr>
        <w:t xml:space="preserve">、项目需求、评分标准）的询问、质疑请向招标人提出，由招标人负责答复；对项目招标文件其它部分的询问请向招标人或招标代理提出。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6、本次采购的有关信息将在江苏政府采购网上发布，敬请留意。</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七、对本次招标提出询问，请按以下方式联系。</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名称：南通市崇川区城市工程建设管理中心</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地址：南通市城港路56号</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联系方式：赵工</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联系电话：0513-89106020</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2、招标代理机构信息</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ascii="宋体" w:hAnsi="宋体" w:eastAsia="宋体" w:cs="宋体"/>
          <w:color w:val="auto"/>
          <w:sz w:val="24"/>
          <w:szCs w:val="24"/>
          <w:highlight w:val="none"/>
        </w:rPr>
        <w:t xml:space="preserve">中诚智信工程咨询集团股份有限公司</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bookmarkStart w:id="9" w:name="OLE_LINK2"/>
      <w:r>
        <w:rPr>
          <w:rFonts w:ascii="宋体" w:hAnsi="宋体" w:eastAsia="宋体" w:cs="宋体"/>
          <w:color w:val="auto"/>
          <w:sz w:val="24"/>
          <w:szCs w:val="24"/>
          <w:highlight w:val="none"/>
        </w:rPr>
        <w:t xml:space="preserve">南通市世纪大道18号恒隆国际B座801</w:t>
      </w:r>
      <w:r>
        <w:rPr>
          <w:rFonts w:hint="eastAsia" w:ascii="宋体" w:hAnsi="宋体" w:eastAsia="宋体" w:cs="宋体"/>
          <w:color w:val="auto"/>
          <w:sz w:val="24"/>
          <w:szCs w:val="24"/>
          <w:highlight w:val="none"/>
        </w:rPr>
        <w:t xml:space="preserve"> </w:t>
      </w:r>
      <w:bookmarkEnd w:id="9"/>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ascii="宋体" w:hAnsi="宋体" w:eastAsia="宋体" w:cs="宋体"/>
          <w:color w:val="auto"/>
          <w:sz w:val="24"/>
          <w:szCs w:val="24"/>
          <w:highlight w:val="none"/>
        </w:rPr>
        <w:t xml:space="preserve">高丽</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ascii="宋体" w:hAnsi="宋体" w:eastAsia="宋体" w:cs="宋体"/>
          <w:color w:val="auto"/>
          <w:sz w:val="24"/>
          <w:szCs w:val="24"/>
          <w:highlight w:val="none"/>
        </w:rPr>
        <w:t xml:space="preserve">13773759775</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hint="eastAsia" w:ascii="宋体" w:hAnsi="宋体" w:eastAsia="宋体" w:cs="宋体"/>
          <w:color w:val="auto"/>
          <w:sz w:val="24"/>
          <w:szCs w:val="24"/>
          <w:highlight w:val="none"/>
        </w:rPr>
      </w:pPr>
      <w:r/>
      <w:bookmarkStart w:id="10" w:name="_Toc363573854"/>
      <w:r>
        <w:rPr>
          <w:rFonts w:hint="eastAsia" w:ascii="宋体" w:hAnsi="宋体" w:eastAsia="宋体" w:cs="宋体"/>
          <w:bCs/>
          <w:color w:val="auto"/>
          <w:sz w:val="24"/>
          <w:szCs w:val="24"/>
          <w:highlight w:val="none"/>
        </w:rPr>
        <w:t xml:space="preserve">项目联系人：</w:t>
      </w:r>
      <w:r>
        <w:rPr>
          <w:rFonts w:ascii="宋体" w:hAnsi="宋体" w:eastAsia="宋体" w:cs="宋体"/>
          <w:color w:val="auto"/>
          <w:sz w:val="24"/>
          <w:szCs w:val="24"/>
          <w:highlight w:val="none"/>
        </w:rPr>
        <w:t xml:space="preserve">高丽</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4"/>
          <w:highlight w:val="none"/>
        </w:rPr>
        <w:t xml:space="preserve">电话：</w:t>
      </w:r>
      <w:r>
        <w:rPr>
          <w:rFonts w:ascii="宋体" w:hAnsi="宋体" w:eastAsia="宋体" w:cs="宋体"/>
          <w:color w:val="auto"/>
          <w:sz w:val="24"/>
          <w:szCs w:val="24"/>
          <w:highlight w:val="none"/>
        </w:rPr>
        <w:t xml:space="preserve">13773759775</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4、软件技术支持：0519-86722801。</w:t>
      </w:r>
      <w:bookmarkEnd w:id="10"/>
      <w:r/>
      <w:r/>
    </w:p>
    <w:p>
      <w:pPr>
        <w:ind w:firstLine="422"/>
        <w:spacing w:line="360" w:lineRule="auto"/>
        <w:rPr>
          <w:rFonts w:hint="eastAsia" w:ascii="宋体" w:hAnsi="宋体" w:eastAsia="宋体" w:cs="宋体"/>
          <w:b/>
          <w:bCs/>
          <w:color w:val="auto"/>
          <w:sz w:val="21"/>
          <w:szCs w:val="21"/>
          <w:highlight w:val="none"/>
        </w:rPr>
        <w:sectPr>
          <w:footerReference w:type="default" r:id="rId19"/>
          <w:footnotePr/>
          <w:endnotePr/>
          <w:type w:val="nextPage"/>
          <w:pgSz w:w="11906" w:h="16838" w:orient="portrait"/>
          <w:pgMar w:top="1417" w:right="1701" w:bottom="1587" w:left="1701" w:header="851" w:footer="850" w:gutter="0"/>
          <w:pgNumType w:start="1"/>
          <w:cols w:num="1" w:sep="0" w:space="720" w:equalWidth="1"/>
          <w:docGrid w:linePitch="360"/>
        </w:sectPr>
      </w:pPr>
      <w:r>
        <w:rPr>
          <w:rFonts w:hint="eastAsia" w:ascii="宋体" w:hAnsi="宋体" w:eastAsia="宋体" w:cs="宋体"/>
          <w:b/>
          <w:bCs/>
          <w:color w:val="auto"/>
          <w:sz w:val="21"/>
          <w:szCs w:val="21"/>
          <w:highlight w:val="none"/>
        </w:rPr>
      </w:r>
      <w:r/>
    </w:p>
    <w:p>
      <w:pPr>
        <w:contextualSpacing/>
        <w:ind w:firstLine="723"/>
        <w:jc w:val="center"/>
        <w:spacing w:line="360" w:lineRule="auto"/>
        <w:rPr>
          <w:rFonts w:hint="eastAsia" w:ascii="宋体" w:hAnsi="宋体" w:eastAsia="宋体" w:cs="宋体"/>
          <w:b/>
          <w:color w:val="auto"/>
          <w:sz w:val="36"/>
          <w:szCs w:val="36"/>
          <w:highlight w:val="none"/>
        </w:rPr>
        <w:outlineLvl w:val="0"/>
      </w:pPr>
      <w:r/>
      <w:bookmarkStart w:id="11" w:name="_Toc5275"/>
      <w:r/>
      <w:bookmarkStart w:id="12" w:name="_Toc13543213"/>
      <w:r>
        <w:rPr>
          <w:rFonts w:hint="eastAsia" w:ascii="宋体" w:hAnsi="宋体" w:eastAsia="宋体" w:cs="宋体"/>
          <w:b/>
          <w:color w:val="auto"/>
          <w:sz w:val="36"/>
          <w:szCs w:val="36"/>
          <w:highlight w:val="none"/>
        </w:rPr>
        <w:t xml:space="preserve">第二章 投标人须知</w:t>
      </w:r>
      <w:bookmarkEnd w:id="11"/>
      <w:r/>
      <w:r/>
    </w:p>
    <w:p>
      <w:pPr>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一、总则</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1.招标方式</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2.合格的投标人</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3.适用法律</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4.投标费用</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4.1投标人应自行承担所有与参加投标有关的费用，无论投标过程中的做法和结果如何，招标人及代理机构在任何情况下均无义务和责任承担这些费用。</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6.招标文件的解释</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招标文件需求部分（投标人资格要求、项目需求、商务技术评分标准）由招标人解释，其它部分由招标代理机构解释。</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二、招标文件</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1.招标文件构成</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 招标文件由以下部分组成：</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（3）项目需求</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（4）评审方法和程序</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（5）合同主要条款</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（6）合同授予</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（7）质疑与投诉</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（8）投标文件组成及格式</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bCs/>
          <w:color w:val="auto"/>
          <w:sz w:val="24"/>
          <w:szCs w:val="24"/>
          <w:highlight w:val="none"/>
        </w:rPr>
        <w:t xml:space="preserve">招标人或招标代理机构</w:t>
      </w:r>
      <w:r>
        <w:rPr>
          <w:rFonts w:hint="eastAsia" w:ascii="宋体" w:hAnsi="宋体" w:eastAsia="宋体" w:cs="宋体"/>
          <w:color w:val="auto"/>
          <w:sz w:val="24"/>
          <w:szCs w:val="24"/>
          <w:highlight w:val="none"/>
        </w:rPr>
        <w:t xml:space="preserve">联系解决。</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2.招标文件的澄清</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2.1</w:t>
      </w:r>
      <w:r>
        <w:rPr>
          <w:rFonts w:hint="eastAsia" w:ascii="宋体" w:hAnsi="宋体" w:eastAsia="宋体" w:cs="宋体"/>
          <w:color w:val="auto"/>
          <w:sz w:val="24"/>
          <w:szCs w:val="24"/>
          <w:highlight w:val="none"/>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bCs/>
          <w:color w:val="auto"/>
          <w:sz w:val="24"/>
          <w:szCs w:val="24"/>
          <w:highlight w:val="none"/>
        </w:rPr>
        <w:t xml:space="preserve">招标人</w:t>
      </w:r>
      <w:r>
        <w:rPr>
          <w:rFonts w:hint="eastAsia" w:ascii="宋体" w:hAnsi="宋体" w:eastAsia="宋体" w:cs="宋体"/>
          <w:color w:val="auto"/>
          <w:sz w:val="24"/>
          <w:szCs w:val="24"/>
          <w:highlight w:val="none"/>
        </w:rPr>
        <w:t xml:space="preserve">可以视采购项目的具体情况，组织投标人进行现场考察或召开答疑会，但不单独或分别组织只有一个投标人参加的现场考察和答疑会。</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3.招标文件的修改</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3.1在投标文件提交截止时间前，招标人或招标代理机构可以对招标文件进行修改</w:t>
      </w:r>
      <w:r>
        <w:rPr>
          <w:rFonts w:hint="eastAsia" w:ascii="宋体" w:hAnsi="宋体" w:eastAsia="宋体" w:cs="宋体"/>
          <w:color w:val="auto"/>
          <w:sz w:val="24"/>
          <w:szCs w:val="24"/>
          <w:highlight w:val="none"/>
        </w:rPr>
        <w:t xml:space="preserve">，澄清或者修改的内容作为招标文件的组成部分。</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3.2招标人或招标代理机构有权按照法定的要求推迟投标文件提交截止日期和开标日期。</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3.3招标文件的修改将在江苏政府采购网公布，补充文件将作为招标文件的组成部分，并对投标人具有约束力</w:t>
      </w:r>
      <w:r>
        <w:rPr>
          <w:rFonts w:hint="eastAsia" w:ascii="宋体" w:hAnsi="宋体" w:eastAsia="宋体" w:cs="宋体"/>
          <w:color w:val="auto"/>
          <w:sz w:val="24"/>
          <w:szCs w:val="24"/>
          <w:highlight w:val="none"/>
        </w:rPr>
        <w:t xml:space="preserve">。</w:t>
      </w:r>
      <w:r/>
    </w:p>
    <w:p>
      <w:pPr>
        <w:contextualSpacing/>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三、投标文件的编制</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1.投标文件的语言及度量衡单位</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1.1投标人提交的投标文件以及投标人与招标人或招标代理机构就有关投标的所有来往通知、函件和文件均应使用简体中文。</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1.2除技术性能另有规定外，投标文件所使用的度量衡单位，均须采用国家法定计量单位。</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2.投标文件构成</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2.1投标人编写的投标文件应包括资格审查文件、符合性证明文件、投标分项报价表、技术要求响应及偏离表、商务要求响应及偏离表、其他证明文件、投标函、开标一览表等部分。投标人按“第八章 投标文件组成及格式”要求编写投标文件。</w:t>
      </w:r>
      <w:r/>
    </w:p>
    <w:p>
      <w:pPr>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2.2如标书制作工具中格式和内容与“江苏政府采购网”发布的招标文件不一致，请以“江苏政府采购网”发布的招标文件为准。</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3.证明投标人及投标标的符合招标文件规定的文件</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3.1投标人应按照法律、法规、规章和规范性文件以及招标文件要求提交证明文件，证明其及投标标的符合招标文件规定。</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3.2招标文件对证明文件无明确形式要求的，证明文件可以以文字资料、图纸和数据等形式提交。</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4.投标分项报价表</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4.1投标人应按照招标文件规定格式填报投标分项报价表。</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4.2投标货币。投标文件中的单价和总价无特殊规定的采用人民币报价，以元为单位标注。招标文件中另有规定的按规定执行。</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5.技术要求响应及偏离表、商务要求响应及偏离表</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5.1投标人需对招标文件中的技术要求与商务要求逐项作出响应或偏离，并说明原因。</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5.2投标人可在投标文件中提供认为需要的其他技术文件或说明。</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6.投标函和开标一览表</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6.1投标人应按照招标文件中提供的格式完整、正确填写投标函、开标一览表。</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7.投标有效期</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7.1投标有效期为招标文件规定的投标文件提交截止时间后</w:t>
      </w:r>
      <w:r>
        <w:rPr>
          <w:rFonts w:hint="eastAsia" w:ascii="宋体" w:hAnsi="宋体" w:eastAsia="宋体" w:cs="宋体"/>
          <w:bCs/>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。投标有效期比规定短的将被视为非实质性响应而予以拒绝。</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8.投标有效期的延长</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9.电子投标文件其他要求</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9.1电子招标投标交易平台（即“苏采云”系统）相关要求是本招标文件的组成部分。</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9.2投标人应对CA证书妥善保管，如被他人盗用投标，因此带来的结果均由投标人自行承担。</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9.3投标人应当对招标文件提出的实质性要求和条件作出实质性响应，并在电子投标系统逐条应答。</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9.4投标人应对要求提供的资格证明文件（如资质证书、资格证书）、技术资料（如白皮书、彩页、手册、检测报告等）扫描上传至投标系统。 </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四、投标文件的提交</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1.投标文件的提交</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1.1线上提交与接收地点：投标人应当通过“苏采云”系统提交数据电文形式的投标文件（即电子投标），“苏采云”系统自动接收。</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2.提交投标文件截止日期</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2.1投标人上传电子投标文件的时间不得迟于公开招标公告中规定的投标文件提交截止时间。</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投标人应充分考虑到网络环境、网络带宽等风险因素，如因投标人自身原因造成的电子投标文件上传不成功由投标人自行承担全部责任。</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2.2招标人或招标代理机构可以按照规定，通过修改投标文件酌情延长投标文件提交截止日期，在此情况下，投标人的所有权利和义务以及投标人受制的截止日期均应以延长后新的截止日期为准。</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3.投标文件的密封（加密）要求：</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3.2投标人须通过“苏采云”系统提供的政府采购客户端工具（使用“CA数字证书”）加盖电子签章。</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说明：投标人应在用CA数字证书以及自备的能够登录“苏采云”系统的电脑，在达到开标时间后，使用CA数字证书解密各自投标文件。</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3.3投标人未按规定加密的投标文件，“苏采云”系统将拒收并提示。</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4.投标文件的拒收</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4.1招标代理机构拒绝接收在其规定的投标文件提交截止时间后上传的任何投标文件。</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5.投标文件的撤回和修改</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5.1投标文件的撤回</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5.1.1电子投标文件的撤回</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投标人可在投标文件提交截止时间前，撤回其电子投标文件，具体操作方法见“苏采云”系统供应商操作手册。</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5.1.2投标人撤回电子投标文件，则认为其不再参与本项目投标活动。</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5.2投标文件的修改</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投标人可在投标文件提交截止时间前，对其电子投标文件进行修改。具体操作方法见“苏采云”系统供应商操作手册。</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5.3在投标文件提交截止时间之后，投标人不得对其电子投标文件作任何修改。</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5.4在投标文件提交截止时间至招标文件中规定的投标有效期满之间的这段时间内，投标人不得撤回其投标文件。</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6.投标文件线上格式要求</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6.1供应商应当通过“苏采云”系统提交数据电文形式的投标文件（即电子投标）。</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6.2通过“苏采云”系统提交政府采购客户端工具导出加密的投标文件（后缀名为zip）。投标文件不得超过150M!</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6.3本项目采用线上投标，即供应商投标文件从政府采购客户端工具制作通过“苏采云”系统提交，未提供线上投标文件的，投标无效。</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1.开标</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1.1招标人或招标代理机构将在招标公告中规定的时间和地点组织公开开标。</w:t>
      </w:r>
      <w:r>
        <w:rPr>
          <w:rFonts w:hint="eastAsia" w:ascii="宋体" w:hAnsi="宋体" w:eastAsia="宋体" w:cs="宋体"/>
          <w:color w:val="auto"/>
          <w:sz w:val="24"/>
          <w:szCs w:val="24"/>
          <w:highlight w:val="none"/>
        </w:rPr>
        <w:t xml:space="preserve">投标人应当按照</w:t>
      </w:r>
      <w:r>
        <w:rPr>
          <w:rFonts w:hint="eastAsia" w:ascii="宋体" w:hAnsi="宋体" w:eastAsia="宋体" w:cs="宋体"/>
          <w:bCs/>
          <w:color w:val="auto"/>
          <w:sz w:val="24"/>
          <w:szCs w:val="24"/>
          <w:highlight w:val="none"/>
        </w:rPr>
        <w:t xml:space="preserve">“苏采云”系统供应商操作手册</w:t>
      </w:r>
      <w:r>
        <w:rPr>
          <w:rFonts w:hint="eastAsia" w:ascii="宋体" w:hAnsi="宋体" w:eastAsia="宋体" w:cs="宋体"/>
          <w:color w:val="auto"/>
          <w:sz w:val="24"/>
          <w:szCs w:val="24"/>
          <w:highlight w:val="none"/>
        </w:rPr>
        <w:t xml:space="preserve">规定，参加开标活动，在</w:t>
      </w:r>
      <w:r>
        <w:rPr>
          <w:rFonts w:hint="eastAsia" w:ascii="宋体" w:hAnsi="宋体" w:eastAsia="宋体" w:cs="宋体"/>
          <w:b/>
          <w:color w:val="auto"/>
          <w:sz w:val="24"/>
          <w:szCs w:val="24"/>
          <w:highlight w:val="none"/>
        </w:rPr>
        <w:t xml:space="preserve">开标后</w:t>
      </w:r>
      <w:r>
        <w:rPr>
          <w:rFonts w:hint="eastAsia" w:ascii="宋体" w:hAnsi="宋体" w:eastAsia="宋体" w:cs="宋体"/>
          <w:b/>
          <w:color w:val="auto"/>
          <w:sz w:val="24"/>
          <w:szCs w:val="24"/>
          <w:highlight w:val="none"/>
          <w:u w:val="single"/>
        </w:rPr>
        <w:t xml:space="preserve">30分钟</w:t>
      </w:r>
      <w:r>
        <w:rPr>
          <w:rFonts w:hint="eastAsia" w:ascii="宋体" w:hAnsi="宋体" w:eastAsia="宋体" w:cs="宋体"/>
          <w:b/>
          <w:color w:val="auto"/>
          <w:sz w:val="24"/>
          <w:szCs w:val="24"/>
          <w:highlight w:val="none"/>
        </w:rPr>
        <w:t xml:space="preserve">之内</w:t>
      </w:r>
      <w:r>
        <w:rPr>
          <w:rFonts w:hint="eastAsia" w:ascii="宋体" w:hAnsi="宋体" w:eastAsia="宋体" w:cs="宋体"/>
          <w:color w:val="auto"/>
          <w:sz w:val="24"/>
          <w:szCs w:val="24"/>
          <w:highlight w:val="none"/>
        </w:rPr>
        <w:t xml:space="preserve">对投标文件进行解密。</w:t>
      </w:r>
      <w:r/>
    </w:p>
    <w:p>
      <w:pPr>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eastAsia="宋体" w:cs="宋体"/>
          <w:b/>
          <w:color w:val="auto"/>
          <w:sz w:val="24"/>
          <w:szCs w:val="24"/>
          <w:highlight w:val="none"/>
        </w:rPr>
        <w:t xml:space="preserve">因招标人（或招标代理机构）原因或网上招投标平台发生故障，导致无法按时完成投标文件解密或开、评标工作无法进行的，可根据实际情况相应延迟解密时间或调整开、评标时间。</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w:t>
      </w:r>
      <w:r>
        <w:rPr>
          <w:rFonts w:hint="eastAsia" w:ascii="宋体" w:hAnsi="宋体" w:eastAsia="宋体" w:cs="宋体"/>
          <w:color w:val="auto"/>
          <w:sz w:val="24"/>
          <w:szCs w:val="24"/>
          <w:highlight w:val="none"/>
        </w:rPr>
        <w:t xml:space="preserve">开标仪式由</w:t>
      </w:r>
      <w:r>
        <w:rPr>
          <w:rFonts w:hint="eastAsia" w:ascii="宋体" w:hAnsi="宋体" w:eastAsia="宋体" w:cs="宋体"/>
          <w:bCs/>
          <w:color w:val="auto"/>
          <w:sz w:val="24"/>
          <w:szCs w:val="24"/>
          <w:highlight w:val="none"/>
        </w:rPr>
        <w:t xml:space="preserve">招标代理机构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1.3投标人在开标过程中涉及到的投标文件解密、开标结果确认等工作，应按照“苏采云”系统供应商操作手册规定执行。</w:t>
      </w:r>
      <w:r/>
    </w:p>
    <w:p>
      <w:pPr>
        <w:contextualSpacing/>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1.4投标人如果对开标过程和开标记录有疑义，应当根据</w:t>
      </w:r>
      <w:r>
        <w:rPr>
          <w:rFonts w:hint="eastAsia" w:ascii="宋体" w:hAnsi="宋体" w:eastAsia="宋体" w:cs="宋体"/>
          <w:bCs/>
          <w:color w:val="auto"/>
          <w:sz w:val="24"/>
          <w:szCs w:val="24"/>
          <w:highlight w:val="none"/>
        </w:rPr>
        <w:t xml:space="preserve">“苏采云”系统供应商操作手册</w:t>
      </w:r>
      <w:r>
        <w:rPr>
          <w:rFonts w:hint="eastAsia" w:ascii="宋体" w:hAnsi="宋体" w:eastAsia="宋体" w:cs="宋体"/>
          <w:color w:val="auto"/>
          <w:sz w:val="24"/>
          <w:szCs w:val="24"/>
          <w:highlight w:val="none"/>
        </w:rPr>
        <w:t xml:space="preserve">规定提出，如苏采云系统中《开标记录表》宣布后5分钟内未提出的，视同认可开标结果。</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2.1开标后，招标代理机构将立即组织评标委员会（以下简称评委会）进行评审。</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2.2评委会由招标人代表和有关技术、经济等方面的专家组成，且人员构成符合政府采购有关规定。</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2.3评标委员会独立工作，负责评审所有投标文件并确定中标候选人。</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3.评审过程的保密与公正</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3.1评标委员会、招标人或招标代理机构、相关监督人员等与评审工作有关的人员，对评审情况以及在评审过程中获悉的国家秘密、商业秘密负有保密责任。</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3.2在评审过程中，投标人不得以任何行为影响评审过程，否则其投标文件将被作为无效投标文件。</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3.4凡是与审查、澄清、评价和比较投标的有关资料以及授标建议等，招标人、评标委员会、招标代理机构均不得向投标人或与评标无关的其他人员透露。</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3.5在评审期间，招标代理机构将设专门人员与投标人联系。</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3.6招标人、招标代理机构和评标委员会不向未中标的投标人解释未中标原因，也不公布评审过程中的相关细节。</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3.7采用综合评分法的项目，未中标的投标人可于中标结果公告期限届满之日起通过苏采云系统查看自己的评审得分及排序情况。</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4.投标文件的澄清</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4.3接到评标委员会澄清、说明和更正要求的投标人如未按规定做出澄清、说明和更正，其风险由投标人自行承担。</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5.对投标文件的审查</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5.1投标文件初审分为资格性审查和符合性审查。</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5.1.1资格性检查：依据法律法规和招标文件的规定，由招标人对投标文件中的资格证明文件进行审查。资格审查的结论，招标人以书面形式向评委会进行反馈。</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招标人在进行资格性审查的同时，将在“信用中国”网站查询投标人的信用记录，以确定投标人是否具备投标资格，查询结果留存并归档。</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5.1.2符合性审查：</w:t>
      </w:r>
      <w:bookmarkStart w:id="13" w:name="OLE_LINK7"/>
      <w:r>
        <w:rPr>
          <w:rFonts w:hint="eastAsia" w:ascii="宋体" w:hAnsi="宋体" w:eastAsia="宋体" w:cs="宋体"/>
          <w:bCs/>
          <w:color w:val="auto"/>
          <w:sz w:val="24"/>
          <w:szCs w:val="24"/>
          <w:highlight w:val="none"/>
        </w:rPr>
        <w:t xml:space="preserve">依据招标文件的规定，由评标委员会从投标文件的有效性、完整性和对招标文件的响应程度进行审查，以确定是否对招标文件的实质性要求作出响应。</w:t>
      </w:r>
      <w:bookmarkEnd w:id="13"/>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5.1.3未通过资格审查或符合性审查的投标人，招标代理机构将在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中告知未通过资格审查或符合性审查的原因，评审结束后，招标代理机构将不再告知未通过资格审查或符合性审查的原因。</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w:t>
      </w:r>
      <w:r>
        <w:rPr>
          <w:rFonts w:hint="eastAsia" w:ascii="宋体" w:hAnsi="宋体" w:eastAsia="宋体" w:cs="宋体"/>
          <w:color w:val="auto"/>
          <w:sz w:val="24"/>
          <w:szCs w:val="24"/>
          <w:highlight w:val="none"/>
        </w:rPr>
        <w:t xml:space="preserve">在详细评审之前</w:t>
      </w:r>
      <w:r>
        <w:rPr>
          <w:rFonts w:hint="eastAsia" w:ascii="宋体" w:hAnsi="宋体" w:eastAsia="宋体" w:cs="宋体"/>
          <w:bCs/>
          <w:color w:val="auto"/>
          <w:sz w:val="24"/>
          <w:szCs w:val="24"/>
          <w:highlight w:val="none"/>
        </w:rPr>
        <w:t xml:space="preserve">，评标委员会将首先审查每份投标文件是否实质性响应了招标文件的要求。实质性响应的投标文件应该是与招标文件要求的全部条款、条件和规格相符，没有重大负偏离或保留。</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ascii="宋体" w:hAnsi="宋体" w:eastAsia="宋体" w:cs="宋体"/>
          <w:color w:val="auto"/>
          <w:sz w:val="24"/>
          <w:szCs w:val="24"/>
          <w:highlight w:val="none"/>
        </w:rPr>
        <w:t xml:space="preserve">重大偏离的认定需经过评委会以少数服从多数的原则作出结论</w:t>
      </w:r>
      <w:r>
        <w:rPr>
          <w:rFonts w:hint="eastAsia" w:ascii="宋体" w:hAnsi="宋体" w:eastAsia="宋体" w:cs="宋体"/>
          <w:bCs/>
          <w:color w:val="auto"/>
          <w:sz w:val="24"/>
          <w:szCs w:val="24"/>
          <w:highlight w:val="none"/>
        </w:rPr>
        <w:t xml:space="preserve">。评标委员会决定投标文件的响应性只根据投标文件本身的内容，而不寻求外部的证据。</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5.3如果投标文件实质上没有响应招标文件的要求，评标委员会将予以拒绝，投标人不得通过修改或撤销不合要求的偏离或保留而使其投标文件成为实质性响应的文件。</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5.4评标委员会将对确定为实质性响应的文件进行进一步审核，看其是否有计算上或累加上的算术错误，修正错误的原则如下：</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5.5评标委员会将按上述修正错误的方法调整投标文件中的报价，通过“苏采云系统”告知投标人，调整后的价格应对投标人具有约束力。如果投标人不接受修正后的价格，则其投标文件将被拒绝。</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5.6评标委员会将允许修正投标文件中不构成重大偏离的、微小的、非正规的、不一致的或不规则的地方，但这些修改不能影响任何投标人相应的名次排列。</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5.7</w:t>
      </w:r>
      <w:r>
        <w:rPr>
          <w:rFonts w:hint="eastAsia" w:ascii="宋体" w:hAnsi="宋体" w:eastAsia="宋体" w:cs="宋体"/>
          <w:color w:val="auto"/>
          <w:sz w:val="24"/>
          <w:szCs w:val="24"/>
          <w:highlight w:val="none"/>
        </w:rPr>
        <w:t xml:space="preserve">投标人在开、评标全过程中应保持通讯畅通，及时登录苏采云系统查阅、答复相关信息</w:t>
      </w:r>
      <w:r>
        <w:rPr>
          <w:rFonts w:hint="eastAsia" w:ascii="宋体" w:hAnsi="宋体" w:eastAsia="宋体" w:cs="宋体"/>
          <w:bCs/>
          <w:color w:val="auto"/>
          <w:sz w:val="24"/>
          <w:szCs w:val="24"/>
          <w:highlight w:val="none"/>
        </w:rPr>
        <w:t xml:space="preserve">，并安排专人与招标人或招标代理机构及评标委员会联系</w:t>
      </w:r>
      <w:r>
        <w:rPr>
          <w:rFonts w:hint="eastAsia" w:ascii="宋体" w:hAnsi="宋体" w:eastAsia="宋体" w:cs="宋体"/>
          <w:color w:val="auto"/>
          <w:sz w:val="24"/>
          <w:szCs w:val="24"/>
          <w:highlight w:val="none"/>
        </w:rPr>
        <w:t xml:space="preserve">。</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六、无效投标条款</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1.同一投标人提交两个（含两个）以上不同的投标报价的。</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2.投标人不具备招标文件中规定资格要求的。</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3.投标人的报价超过了采购预算或最高限价的。</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4.未通过符合性审查的。</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5.不符合招标文件中规定的实质性要求和条件的。</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7.投标文件含有招标人不能接受的附加条件的。</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10.投标文件未按照招标文件要求加盖CA电子公章的。</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11.投标人的商务技术部分得分相差悬殊，评标委员会一致认为得分畸低者有可能影响产品质量或者不能诚信履约的。</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12.投标人在苏采云系统规定的时间内未成功解密电子投标文件的。</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13.投标人未按照招标文件要求上传电子投标文件的，或上传的文件打不开的。</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14.不同的投标人投标文件制作机器码、文件创建标识码一致的。</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15.其他法律、法规及本招标文件规定的属无效投标的情形</w:t>
      </w:r>
      <w:r>
        <w:rPr>
          <w:rFonts w:hint="eastAsia" w:ascii="宋体" w:hAnsi="宋体" w:eastAsia="宋体" w:cs="宋体"/>
          <w:color w:val="auto"/>
          <w:sz w:val="24"/>
          <w:szCs w:val="24"/>
          <w:highlight w:val="none"/>
        </w:rPr>
        <w:t xml:space="preserve">。</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七、废标条款</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3.因重大变故，采购任务取消的。</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4.评标委员会认定招标文件存在歧义、重大缺陷导致评审工作无法进行。</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5.因苏采云系统系统故障原因造成开标不成功的。</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定标</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1.确定中标单位</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1.1中标候选人的选取原则和数量见招标文件第四章规定。</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1.2招标人应根据评委会推荐的中标候选人确定中标人。</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1.3招标代理机构将在“江苏政府采购网”发布中标结果公告，公告期限为1个工作日。</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1.4若有充分证据证明，中标人出现下列情况之一的，一经查实，将被取消中标资格：</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1.4.1提供虚假材料谋取中标的。</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1.4.2向招标人或招标代理机构行贿或者评审专家提供其他不正当利益的。</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1.4.3恶意竞争，报价明显低于其自身合理成本且又无法提供证明的。</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1.4.4属于本文件规定的无效条件，但在评审过程中又未被评标委员会发现的。</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1.4.5与评审专家、招标人、其他投标人或者招标代理机构工作人员恶意串通的。</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1.4.6采取不正当手段诋毁、排挤其他投标人的。</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1.4.7中标后无正当理由拒不与招标人签订政府采购合同或者未按照招标文件确定的事项签订政府采购合同的。</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1.4.8将政府采购合同转包的。</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1.5.有下列情形之一的，视为投标人串通参与投标，投标无效：</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1.5.1不同投标人的投标文件由同一单位或者个人编制；</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1.5.2不同投标人委托同一单位或者个人办理投标事宜；</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1.5.3不同投标人的投标文件载明的项目管理成员或者联系人员为同一人；</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1.5.4不同投标人的投标文件异常一致或者响应报价呈规律性差异；</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1.5.5不同投标人的投标文件相互混装。</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2.质疑处理</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2.1提出质疑的投标人应当是参与所质疑项目采购活动的投标人。潜在投标人依法获取其可质疑的招标文件的，可以对招标文件提出质疑。</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投标人认为招标文件、采购过程和采购结果使自己的权益受到损害的，可以在知道或应知其权益受到损害之日起七个工作日内，以书面形式向招标人或招标代理机构提出质疑。上述应知其权益受到损害之日，是指：</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2.2.1对可以质疑的招标文件提出质疑的，为收到招标文件之日或者招标文件公告期限届满之日；</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2.2.2对采购过程提出质疑的，为各采购程序环节结束之日；</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2.2.3对中标结果提出质疑的，为中标结果公告期限届满之日。</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投标人应当在法定质疑期内一次性提出针对同一采购程序环节的质疑。投标人如在法定期限内对同一采购程序环节提出多次质疑的，招标人、招标代理机构将只对投标人第一次质疑作出答复。</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2.3质疑函必须按照本招标文件中《质疑函范本》要求的格式和内容进行填写。投标人如组成联合体参加投标，则《质疑函范本》中要求签字、盖章、加盖公章之处，联合体各方均须按要求签字、盖章、加盖公章。</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2.4质疑答复依据《政府采购质疑和投诉办法》（财政部令第94号）。</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招标人或招标代理机构质疑接收人及联系方式，见招标文件第一章。</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2.5以下情形的质疑不予受理</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2.5.1内容不符合《政府采购质疑和投诉办法》第十二条规定的质疑。</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2.5.2超出政府采购法定期限的质疑。</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2.5.3未参加投标活动的投标人或在投标活动中自身权益未受到损害的投标人所提出的质疑。</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2.5.4投标人组成联合体参加投标，联合体中任何一方或多方未按要求签字、盖章、加盖公章的质疑。</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中标通知书</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特别说明：中标人在下载或收到中标通知书后须提供3套加盖红章的系统内打印的纸质投标文件交给招标代理机构存档。</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zh-CN"/>
        </w:rPr>
        <w:t xml:space="preserve">履约保证金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1.本项目中标后的履约保证金为合同总价的</w:t>
      </w:r>
      <w:r>
        <w:rPr>
          <w:rFonts w:hint="eastAsia" w:ascii="宋体" w:hAnsi="宋体" w:eastAsia="宋体" w:cs="宋体"/>
          <w:b/>
          <w:color w:val="auto"/>
          <w:sz w:val="24"/>
          <w:szCs w:val="24"/>
          <w:highlight w:val="none"/>
          <w:u w:val="single"/>
        </w:rPr>
        <w:t xml:space="preserve">10%</w:t>
      </w:r>
      <w:r>
        <w:rPr>
          <w:rFonts w:hint="eastAsia" w:ascii="宋体" w:hAnsi="宋体" w:eastAsia="宋体" w:cs="宋体"/>
          <w:bCs/>
          <w:color w:val="auto"/>
          <w:sz w:val="24"/>
          <w:szCs w:val="24"/>
          <w:highlight w:val="none"/>
        </w:rPr>
        <w:t xml:space="preserve">，缴纳方式不限。</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标人的履约保证金须在签订合同前缴纳，中标人需在中标通知书发出之日起的30日内凭中标通知书及履约保证金缴纳证明按照采购文件确定的事项与采购单位签订合同。超期或未有协商，则视为自动放弃中标资格。</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供应商全部履约合同义务，经采购人验收合格无质量、进度等问题的，采购人在验收合格后后30个工作日内一次性退还履约保证金；如采购人迟于约定时间退还履约保证金，除不可抗力因素外，自超过付款期限之日起，按照逾期部分的每日0.01%支付违约金</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4.发生以下情况的，履约保证金不予退还或部分退还：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（1）签订合同后，中标供应商不履行合同义务的，采购人有权全额扣除履约保证金，全额不予退还，同时采购人亦有权终止合同，中标供应商还须承担相应的法律赔偿责任。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（2）中标供应商在履约过程中发生违约行为，给采购人造成损失的，采购人有权在中标供应商缴纳的履约保证金中予以扣款，以弥补采购人经济损失，不足的部分中标供应商另外补齐。</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十一、授予合同</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1.签订合同</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1.l中标人应当在中标通知书发出之日起三十日内，按照招标文件确定的事项与招标人签订政府采购合同。</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1.2招标文件、中标人的投标文件及投标过程中有关澄清、承诺文件均应作为合同附件。</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1.3签订合同后，</w:t>
      </w:r>
      <w:r>
        <w:rPr>
          <w:rFonts w:hint="eastAsia" w:ascii="宋体" w:hAnsi="宋体" w:eastAsia="宋体" w:cs="宋体"/>
          <w:bCs/>
          <w:color w:val="auto"/>
          <w:sz w:val="24"/>
          <w:szCs w:val="24"/>
          <w:highlight w:val="none"/>
          <w:u w:val="single"/>
        </w:rPr>
        <w:t xml:space="preserve">中标人不得将合同标的进行转包</w:t>
      </w:r>
      <w:r>
        <w:rPr>
          <w:rFonts w:hint="eastAsia" w:ascii="宋体" w:hAnsi="宋体" w:eastAsia="宋体" w:cs="宋体"/>
          <w:bCs/>
          <w:color w:val="auto"/>
          <w:sz w:val="24"/>
          <w:szCs w:val="24"/>
          <w:highlight w:val="none"/>
        </w:rPr>
        <w:t xml:space="preserve">。未经招标人同意，中标人也不得采用分包形式履行合同，否则招标人有权终止合同。转包或分包造成招标人损失的，中标人应承担相应赔偿责任。</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2.标的物的追加</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2.2采购结束后，招标人若由于各种客观原因，必须对采购项目所牵涉的货物和服务进行适当的减少时，在双方协商一致的前提下，可以按照招标采购时的价格水平做相应的调减，并据此签订补充合同。</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3.政府采购合同信用融资扶持政策</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十二、电子招标投标交易平台</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"http://jszfcg.jsczt.cn/）相关要求是本招标文件的组成部分。" \o "http://jszfcg.jsczt.cn/）相关要求是本招标文件的组成部分。" </w:instrText>
      </w:r>
      <w:r>
        <w:rPr>
          <w:color w:val="auto"/>
          <w:highlight w:val="none"/>
        </w:rPr>
        <w:fldChar w:fldCharType="separate"/>
      </w:r>
      <w:r>
        <w:rPr>
          <w:rStyle w:val="1013"/>
          <w:rFonts w:hint="eastAsia" w:ascii="宋体" w:hAnsi="宋体" w:eastAsia="宋体" w:cs="宋体"/>
          <w:bCs/>
          <w:color w:val="auto"/>
          <w:sz w:val="24"/>
          <w:szCs w:val="24"/>
          <w:highlight w:val="none"/>
        </w:rPr>
        <w:t xml:space="preserve">http://jszfcg.jsczt.cn/）相关要求是本招标文件的组成部分。</w:t>
      </w:r>
      <w:r>
        <w:rPr>
          <w:rStyle w:val="1013"/>
          <w:rFonts w:hint="eastAsia" w:ascii="宋体" w:hAnsi="宋体" w:eastAsia="宋体" w:cs="宋体"/>
          <w:bCs/>
          <w:color w:val="auto"/>
          <w:sz w:val="24"/>
          <w:szCs w:val="24"/>
          <w:highlight w:val="none"/>
        </w:rPr>
        <w:fldChar w:fldCharType="end"/>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十三、未尽事宜</w:t>
      </w:r>
      <w:r/>
    </w:p>
    <w:p>
      <w:pPr>
        <w:contextualSpacing/>
        <w:ind w:firstLine="480"/>
        <w:spacing w:line="360" w:lineRule="auto"/>
        <w:rPr>
          <w:rFonts w:hint="eastAsia" w:ascii="宋体" w:hAnsi="宋体" w:eastAsia="宋体" w:cs="宋体"/>
          <w:b/>
          <w:bCs/>
          <w:color w:val="auto"/>
          <w:sz w:val="21"/>
          <w:szCs w:val="21"/>
          <w:highlight w:val="none"/>
        </w:rPr>
        <w:sectPr>
          <w:headerReference w:type="default" r:id="rId12"/>
          <w:footnotePr/>
          <w:endnotePr/>
          <w:type w:val="nextPage"/>
          <w:pgSz w:w="11906" w:h="16838" w:orient="portrait"/>
          <w:pgMar w:top="1417" w:right="1701" w:bottom="1587" w:left="1701" w:header="851" w:footer="850" w:gutter="0"/>
          <w:cols w:num="1" w:sep="0" w:space="1701" w:equalWidth="1"/>
          <w:docGrid w:linePitch="360"/>
        </w:sectPr>
      </w:pPr>
      <w:r>
        <w:rPr>
          <w:rFonts w:hint="eastAsia" w:ascii="宋体" w:hAnsi="宋体" w:eastAsia="宋体" w:cs="宋体"/>
          <w:color w:val="auto"/>
          <w:sz w:val="24"/>
          <w:szCs w:val="24"/>
          <w:highlight w:val="none"/>
        </w:rPr>
        <w:t xml:space="preserve">按《中华人民共和国政府采购法》及其他有关法律法规的规定执行。</w:t>
      </w:r>
      <w:r/>
    </w:p>
    <w:p>
      <w:pPr>
        <w:jc w:val="center"/>
        <w:spacing w:line="360" w:lineRule="auto"/>
        <w:rPr>
          <w:rFonts w:hint="eastAsia" w:ascii="宋体" w:hAnsi="宋体" w:eastAsia="宋体" w:cs="宋体"/>
          <w:b/>
          <w:color w:val="auto"/>
          <w:sz w:val="36"/>
          <w:szCs w:val="36"/>
          <w:highlight w:val="none"/>
        </w:rPr>
        <w:outlineLvl w:val="0"/>
      </w:pPr>
      <w:r/>
      <w:bookmarkStart w:id="14" w:name="_Toc16035"/>
      <w:r>
        <w:rPr>
          <w:rFonts w:hint="eastAsia" w:ascii="宋体" w:hAnsi="宋体" w:eastAsia="宋体" w:cs="宋体"/>
          <w:b/>
          <w:color w:val="auto"/>
          <w:sz w:val="36"/>
          <w:szCs w:val="36"/>
          <w:highlight w:val="none"/>
        </w:rPr>
        <w:t xml:space="preserve">第三章 项目需求</w:t>
      </w:r>
      <w:bookmarkEnd w:id="14"/>
      <w:r/>
      <w:r/>
    </w:p>
    <w:p>
      <w:pPr>
        <w:ind w:firstLine="480"/>
        <w:spacing w:line="360" w:lineRule="auto"/>
        <w:rPr>
          <w:rFonts w:hint="eastAsia" w:ascii="宋体" w:hAnsi="宋体" w:eastAsia="宋体" w:cs="宋体"/>
          <w:color w:val="auto"/>
          <w:sz w:val="24"/>
          <w:szCs w:val="24"/>
          <w:highlight w:val="none"/>
        </w:rPr>
      </w:pPr>
      <w:r/>
      <w:bookmarkStart w:id="15" w:name="_Toc182848996"/>
      <w:r>
        <w:rPr>
          <w:rFonts w:hint="eastAsia" w:ascii="宋体" w:hAnsi="宋体" w:eastAsia="宋体" w:cs="宋体"/>
          <w:color w:val="auto"/>
          <w:sz w:val="24"/>
          <w:szCs w:val="24"/>
          <w:highlight w:val="none"/>
          <w:lang w:val="zh-CN"/>
        </w:rPr>
        <w:t xml:space="preserve">供应商在制作投标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供应商不能简单照搬照抄采购文件项目需求说明中的技术、商务要求，必须作实事求是的响应。如供应商提供的货物和服务同采购人提出的项目需求说明中的技术、商务要求不同的，必须在进行必要的说明。</w:t>
      </w:r>
      <w:r/>
    </w:p>
    <w:p>
      <w:pPr>
        <w:contextualSpacing/>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zh-CN"/>
        </w:rPr>
        <w:t xml:space="preserve">一、有关要求说明（货物、服务、工程类通用说明）</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主要技术参数：为鼓励不同品牌的充分竞争，如某主要技术参数属于个别品牌专有，则该主要技术参数不具有限制性，供应商可对该参数进行适当调整，并说明调整的理由。</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产品要求：产品必须是全新、未使用过的原装合格正品，完全符合招标文件规定的质量、规格和性能的要求，达到国家或行业规定的标准，实行生产许可证制度的，应提供生产许可证；属于国家强制认证的产品，必须通过认证。</w:t>
      </w:r>
      <w:r/>
    </w:p>
    <w:p>
      <w:pPr>
        <w:contextualSpacing/>
        <w:ind w:firstLine="482"/>
        <w:spacing w:line="360" w:lineRule="auto"/>
        <w:rPr>
          <w:rFonts w:hint="eastAsia" w:ascii="宋体" w:hAnsi="宋体" w:eastAsia="宋体" w:cs="宋体"/>
          <w:b/>
          <w:bCs/>
          <w:color w:val="auto"/>
          <w:sz w:val="24"/>
          <w:szCs w:val="24"/>
          <w:highlight w:val="none"/>
          <w:lang w:val="zh-CN"/>
        </w:rPr>
        <w:outlineLvl w:val="1"/>
      </w:pPr>
      <w:r>
        <w:rPr>
          <w:rFonts w:hint="eastAsia" w:ascii="宋体" w:hAnsi="宋体" w:eastAsia="宋体" w:cs="宋体"/>
          <w:b/>
          <w:bCs/>
          <w:color w:val="auto"/>
          <w:sz w:val="24"/>
          <w:szCs w:val="24"/>
          <w:highlight w:val="none"/>
          <w:lang w:val="zh-CN"/>
        </w:rPr>
        <w:t xml:space="preserve">二、</w:t>
      </w:r>
      <w:r>
        <w:rPr>
          <w:rFonts w:hint="eastAsia" w:ascii="宋体" w:hAnsi="宋体" w:eastAsia="宋体" w:cs="宋体"/>
          <w:b/>
          <w:bCs/>
          <w:color w:val="auto"/>
          <w:sz w:val="24"/>
          <w:szCs w:val="24"/>
          <w:highlight w:val="none"/>
        </w:rPr>
        <w:t xml:space="preserve">需求概况</w:t>
      </w:r>
      <w:r>
        <w:rPr>
          <w:rFonts w:hint="eastAsia" w:ascii="宋体" w:hAnsi="宋体" w:eastAsia="宋体" w:cs="宋体"/>
          <w:b/>
          <w:bCs/>
          <w:color w:val="auto"/>
          <w:sz w:val="24"/>
          <w:szCs w:val="24"/>
          <w:highlight w:val="none"/>
          <w:lang w:val="zh-CN"/>
        </w:rPr>
        <w:t xml:space="preserve">：</w:t>
      </w:r>
      <w:r/>
    </w:p>
    <w:p>
      <w:pPr>
        <w:contextualSpacing/>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需求概况为</w:t>
      </w:r>
      <w:r>
        <w:rPr>
          <w:rFonts w:hint="eastAsia" w:ascii="宋体" w:hAnsi="宋体" w:eastAsia="宋体" w:cs="宋体"/>
          <w:b/>
          <w:bCs/>
          <w:color w:val="auto"/>
          <w:sz w:val="24"/>
          <w:szCs w:val="24"/>
          <w:highlight w:val="none"/>
          <w:u w:val="single"/>
          <w:lang w:val="zh-CN"/>
        </w:rPr>
        <w:t xml:space="preserve">崇川路南侧规划路(崇学路-世园路)、桃园路北侧规划路(崇学路-世园路)、规划一路(幸余路-秦灶路)、顺达路西延(泰通路-工农北路)</w:t>
      </w:r>
      <w:r>
        <w:rPr>
          <w:rFonts w:hint="eastAsia" w:ascii="宋体" w:hAnsi="宋体" w:eastAsia="宋体" w:cs="宋体"/>
          <w:color w:val="auto"/>
          <w:sz w:val="24"/>
          <w:szCs w:val="24"/>
          <w:highlight w:val="none"/>
          <w:lang w:val="zh-CN"/>
        </w:rPr>
        <w:t xml:space="preserve">工程电子警察采购及安装。</w:t>
      </w:r>
      <w:r/>
    </w:p>
    <w:p>
      <w:pPr>
        <w:contextualSpacing/>
        <w:ind w:firstLine="482"/>
        <w:spacing w:line="360" w:lineRule="auto"/>
        <w:rPr>
          <w:rFonts w:hint="eastAsia" w:ascii="宋体" w:hAnsi="宋体" w:eastAsia="宋体" w:cs="宋体"/>
          <w:b/>
          <w:bCs/>
          <w:color w:val="auto"/>
          <w:sz w:val="24"/>
          <w:szCs w:val="24"/>
          <w:highlight w:val="none"/>
          <w:lang w:val="zh-CN"/>
        </w:rPr>
        <w:outlineLvl w:val="1"/>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szCs w:val="24"/>
          <w:highlight w:val="none"/>
          <w:lang w:val="zh-CN"/>
        </w:rPr>
        <w:t xml:space="preserve">、设备清单：</w:t>
      </w:r>
      <w:r/>
    </w:p>
    <w:p>
      <w:pPr>
        <w:contextualSpacing/>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1.</w:t>
      </w:r>
      <w:r>
        <w:rPr>
          <w:rFonts w:hint="eastAsia"/>
          <w:color w:val="auto"/>
          <w:highlight w:val="none"/>
        </w:rPr>
        <w:t xml:space="preserve"> </w:t>
      </w:r>
      <w:r>
        <w:rPr>
          <w:rFonts w:hint="eastAsia" w:ascii="宋体" w:hAnsi="宋体" w:eastAsia="宋体" w:cs="宋体"/>
          <w:b/>
          <w:bCs/>
          <w:color w:val="auto"/>
          <w:sz w:val="24"/>
          <w:szCs w:val="24"/>
          <w:highlight w:val="none"/>
        </w:rPr>
        <w:t xml:space="preserve">崇川路南侧规划路（崇学路-世园路）——监控设备清单</w:t>
      </w:r>
      <w:r/>
    </w:p>
    <w:tbl>
      <w:tblPr>
        <w:tblStyle w:val="1357"/>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1"/>
        <w:gridCol w:w="3062"/>
        <w:gridCol w:w="1557"/>
        <w:gridCol w:w="807"/>
        <w:gridCol w:w="753"/>
        <w:gridCol w:w="2237"/>
      </w:tblGrid>
      <w:tr>
        <w:trPr>
          <w:jc w:val="center"/>
          <w:trHeight w:val="403"/>
          <w:tblHeader/>
        </w:trPr>
        <w:tc>
          <w:tcPr>
            <w:shd w:val="clear" w:color="auto" w:fill="c7daf1" w:themeFill="text2" w:themeFillTint="32"/>
            <w:tcW w:w="761"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序号</w:t>
            </w:r>
            <w:r/>
          </w:p>
        </w:tc>
        <w:tc>
          <w:tcPr>
            <w:shd w:val="clear" w:color="auto" w:fill="c7daf1" w:themeFill="text2" w:themeFillTint="32"/>
            <w:tcW w:w="3062"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设备材料名</w:t>
            </w:r>
            <w:r/>
          </w:p>
        </w:tc>
        <w:tc>
          <w:tcPr>
            <w:shd w:val="clear" w:color="auto" w:fill="c7daf1" w:themeFill="text2" w:themeFillTint="32"/>
            <w:tcW w:w="1557"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型号规格</w:t>
            </w:r>
            <w:r/>
          </w:p>
        </w:tc>
        <w:tc>
          <w:tcPr>
            <w:shd w:val="clear" w:color="auto" w:fill="c7daf1" w:themeFill="text2" w:themeFillTint="32"/>
            <w:tcW w:w="807"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单位</w:t>
            </w:r>
            <w:r/>
          </w:p>
        </w:tc>
        <w:tc>
          <w:tcPr>
            <w:shd w:val="clear" w:color="auto" w:fill="c7daf1" w:themeFill="text2" w:themeFillTint="32"/>
            <w:tcW w:w="753"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数量</w:t>
            </w:r>
            <w:r/>
          </w:p>
        </w:tc>
        <w:tc>
          <w:tcPr>
            <w:shd w:val="clear" w:color="auto" w:fill="c7daf1" w:themeFill="text2" w:themeFillTint="32"/>
            <w:tcW w:w="2237"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备注</w:t>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rPr>
            </w:pPr>
            <w:r>
              <w:rPr>
                <w:rFonts w:hint="eastAsia"/>
                <w:color w:val="auto"/>
                <w:sz w:val="24"/>
                <w:szCs w:val="24"/>
                <w:highlight w:val="none"/>
              </w:rPr>
              <w:t xml:space="preserve">一</w:t>
            </w:r>
            <w:r/>
          </w:p>
        </w:tc>
        <w:tc>
          <w:tcPr>
            <w:gridSpan w:val="5"/>
            <w:shd w:val="clear" w:color="auto" w:fill="ffffff"/>
            <w:tcW w:w="8416" w:type="dxa"/>
            <w:vAlign w:val="center"/>
            <w:textDirection w:val="lrTb"/>
            <w:noWrap w:val="false"/>
          </w:tcPr>
          <w:p>
            <w:pPr>
              <w:pStyle w:val="1376"/>
              <w:jc w:val="center"/>
              <w:rPr>
                <w:rFonts w:hint="eastAsia"/>
                <w:color w:val="auto"/>
                <w:sz w:val="24"/>
                <w:szCs w:val="24"/>
                <w:highlight w:val="none"/>
              </w:rPr>
            </w:pPr>
            <w:r>
              <w:rPr>
                <w:rFonts w:hint="eastAsia"/>
                <w:color w:val="auto"/>
                <w:sz w:val="24"/>
                <w:szCs w:val="24"/>
                <w:highlight w:val="none"/>
                <w:lang w:eastAsia="zh-CN"/>
              </w:rPr>
              <w:t xml:space="preserve">路段监控系统</w:t>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900W反向电警抓拍单元</w:t>
            </w:r>
            <w:r/>
          </w:p>
        </w:tc>
        <w:tc>
          <w:tcPr>
            <w:shd w:val="clear" w:color="auto" w:fill="ffffff"/>
            <w:tcW w:w="1557" w:type="dxa"/>
            <w:vAlign w:val="center"/>
            <w:vMerge w:val="restart"/>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详见主要设备技术参数及要求</w:t>
            </w:r>
            <w:r/>
          </w:p>
        </w:tc>
        <w:tc>
          <w:tcPr>
            <w:tcW w:w="807"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2</w:t>
            </w:r>
            <w:r/>
          </w:p>
        </w:tc>
        <w:tc>
          <w:tcPr>
            <w:tcW w:w="2237" w:type="dxa"/>
            <w:vAlign w:val="center"/>
            <w:textDirection w:val="lrTb"/>
            <w:noWrap w:val="false"/>
          </w:tcPr>
          <w:p>
            <w:pPr>
              <w:pStyle w:val="1376"/>
              <w:jc w:val="center"/>
              <w:rPr>
                <w:rFonts w:hint="eastAsia"/>
                <w:color w:val="auto"/>
                <w:sz w:val="24"/>
                <w:szCs w:val="24"/>
                <w:highlight w:val="none"/>
              </w:rPr>
            </w:pPr>
            <w:r>
              <w:rPr>
                <w:rFonts w:hint="eastAsia"/>
                <w:color w:val="auto"/>
                <w:sz w:val="24"/>
                <w:szCs w:val="24"/>
                <w:highlight w:val="none"/>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2</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900W逆向行驶抓拍单元</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2</w:t>
            </w:r>
            <w:r/>
          </w:p>
        </w:tc>
        <w:tc>
          <w:tcPr>
            <w:tcW w:w="2237" w:type="dxa"/>
            <w:vAlign w:val="center"/>
            <w:textDirection w:val="lrTb"/>
            <w:noWrap w:val="false"/>
          </w:tcPr>
          <w:p>
            <w:pPr>
              <w:pStyle w:val="1376"/>
              <w:jc w:val="center"/>
              <w:rPr>
                <w:rFonts w:hint="eastAsia"/>
                <w:color w:val="auto"/>
                <w:sz w:val="24"/>
                <w:szCs w:val="24"/>
                <w:highlight w:val="none"/>
              </w:rPr>
            </w:pPr>
            <w:r>
              <w:rPr>
                <w:rFonts w:hint="eastAsia"/>
                <w:color w:val="auto"/>
                <w:sz w:val="24"/>
                <w:szCs w:val="24"/>
                <w:highlight w:val="none"/>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3</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900W不礼让行人抓拍单元</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2</w:t>
            </w:r>
            <w:r/>
          </w:p>
        </w:tc>
        <w:tc>
          <w:tcPr>
            <w:tcW w:w="2237" w:type="dxa"/>
            <w:vAlign w:val="center"/>
            <w:textDirection w:val="lrTb"/>
            <w:noWrap w:val="false"/>
          </w:tcPr>
          <w:p>
            <w:pPr>
              <w:pStyle w:val="1376"/>
              <w:jc w:val="center"/>
              <w:rPr>
                <w:rFonts w:hint="eastAsia"/>
                <w:color w:val="auto"/>
                <w:sz w:val="24"/>
                <w:szCs w:val="24"/>
                <w:highlight w:val="none"/>
              </w:rPr>
            </w:pPr>
            <w:r>
              <w:rPr>
                <w:rFonts w:hint="eastAsia"/>
                <w:color w:val="auto"/>
                <w:sz w:val="24"/>
                <w:szCs w:val="24"/>
                <w:highlight w:val="none"/>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4</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400W像素球型摄像机</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2</w:t>
            </w:r>
            <w:r/>
          </w:p>
        </w:tc>
        <w:tc>
          <w:tcPr>
            <w:tcW w:w="2237" w:type="dxa"/>
            <w:vAlign w:val="center"/>
            <w:textDirection w:val="lrTb"/>
            <w:noWrap w:val="false"/>
          </w:tcPr>
          <w:p>
            <w:pPr>
              <w:pStyle w:val="1376"/>
              <w:jc w:val="center"/>
              <w:rPr>
                <w:rFonts w:hint="eastAsia"/>
                <w:color w:val="auto"/>
                <w:sz w:val="24"/>
                <w:szCs w:val="24"/>
                <w:highlight w:val="none"/>
              </w:rPr>
            </w:pPr>
            <w:r>
              <w:rPr>
                <w:rFonts w:hint="eastAsia"/>
                <w:color w:val="auto"/>
                <w:sz w:val="24"/>
                <w:szCs w:val="24"/>
                <w:highlight w:val="none"/>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5</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400W像素违停摄像机</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4</w:t>
            </w:r>
            <w:r/>
          </w:p>
        </w:tc>
        <w:tc>
          <w:tcPr>
            <w:tcW w:w="2237" w:type="dxa"/>
            <w:vAlign w:val="center"/>
            <w:textDirection w:val="lrTb"/>
            <w:noWrap w:val="false"/>
          </w:tcPr>
          <w:p>
            <w:pPr>
              <w:pStyle w:val="1376"/>
              <w:jc w:val="center"/>
              <w:rPr>
                <w:rFonts w:hint="eastAsia"/>
                <w:color w:val="auto"/>
                <w:sz w:val="24"/>
                <w:szCs w:val="24"/>
                <w:highlight w:val="none"/>
              </w:rPr>
            </w:pPr>
            <w:r>
              <w:rPr>
                <w:rFonts w:hint="eastAsia"/>
                <w:color w:val="auto"/>
                <w:sz w:val="24"/>
                <w:szCs w:val="24"/>
                <w:highlight w:val="none"/>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6</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人脸识别引擎授权</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4</w:t>
            </w:r>
            <w:r/>
          </w:p>
        </w:tc>
        <w:tc>
          <w:tcPr>
            <w:tcW w:w="2237"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7</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环境补光灯</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2</w:t>
            </w:r>
            <w:r/>
          </w:p>
        </w:tc>
        <w:tc>
          <w:tcPr>
            <w:tcW w:w="2237" w:type="dxa"/>
            <w:vAlign w:val="center"/>
            <w:textDirection w:val="lrTb"/>
            <w:noWrap w:val="false"/>
          </w:tcPr>
          <w:p>
            <w:pPr>
              <w:pStyle w:val="1376"/>
              <w:jc w:val="center"/>
              <w:rPr>
                <w:rFonts w:hint="eastAsia"/>
                <w:color w:val="auto"/>
                <w:sz w:val="24"/>
                <w:szCs w:val="24"/>
                <w:highlight w:val="none"/>
              </w:rPr>
            </w:pPr>
            <w:r>
              <w:rPr>
                <w:rFonts w:hint="eastAsia"/>
                <w:color w:val="auto"/>
                <w:sz w:val="24"/>
                <w:szCs w:val="24"/>
                <w:highlight w:val="none"/>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8</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多合一补光灯</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4</w:t>
            </w:r>
            <w:r/>
          </w:p>
        </w:tc>
        <w:tc>
          <w:tcPr>
            <w:tcW w:w="2237"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9</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抱杆箱(含工业接入交换机)</w:t>
            </w:r>
            <w:r/>
          </w:p>
        </w:tc>
        <w:tc>
          <w:tcPr>
            <w:shd w:val="clear" w:color="auto" w:fill="ffffff"/>
            <w:tcW w:w="1557" w:type="dxa"/>
            <w:vAlign w:val="center"/>
            <w:vMerge w:val="continue"/>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7</w:t>
            </w:r>
            <w:r/>
          </w:p>
        </w:tc>
        <w:tc>
          <w:tcPr>
            <w:tcW w:w="2237" w:type="dxa"/>
            <w:vAlign w:val="center"/>
            <w:textDirection w:val="lrTb"/>
            <w:noWrap w:val="false"/>
          </w:tcPr>
          <w:p>
            <w:pPr>
              <w:pStyle w:val="1376"/>
              <w:jc w:val="center"/>
              <w:rPr>
                <w:rFonts w:hint="eastAsia"/>
                <w:color w:val="auto"/>
                <w:sz w:val="24"/>
                <w:szCs w:val="24"/>
                <w:highlight w:val="none"/>
              </w:rPr>
            </w:pPr>
            <w:r>
              <w:rPr>
                <w:rFonts w:hint="eastAsia"/>
                <w:color w:val="auto"/>
                <w:sz w:val="24"/>
                <w:szCs w:val="24"/>
                <w:highlight w:val="none"/>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10</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工业级汇聚交换机</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2237" w:type="dxa"/>
            <w:vAlign w:val="center"/>
            <w:textDirection w:val="lrTb"/>
            <w:noWrap w:val="false"/>
          </w:tcPr>
          <w:p>
            <w:pPr>
              <w:pStyle w:val="1376"/>
              <w:jc w:val="center"/>
              <w:rPr>
                <w:rFonts w:hint="eastAsia"/>
                <w:color w:val="auto"/>
                <w:sz w:val="24"/>
                <w:szCs w:val="24"/>
                <w:highlight w:val="none"/>
              </w:rPr>
            </w:pPr>
            <w:r>
              <w:rPr>
                <w:rFonts w:hint="eastAsia"/>
                <w:color w:val="auto"/>
                <w:sz w:val="24"/>
                <w:szCs w:val="24"/>
                <w:highlight w:val="none"/>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11</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落地智能机箱</w:t>
            </w:r>
            <w:r/>
          </w:p>
        </w:tc>
        <w:tc>
          <w:tcPr>
            <w:shd w:val="clear" w:color="auto" w:fill="ffffff"/>
            <w:tcW w:w="1557" w:type="dxa"/>
            <w:vAlign w:val="center"/>
            <w:vMerge w:val="continue"/>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2237"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12</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智能终端</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2237"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13</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传输网络</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2237" w:type="dxa"/>
            <w:vAlign w:val="center"/>
            <w:textDirection w:val="lrTb"/>
            <w:noWrap w:val="false"/>
          </w:tcPr>
          <w:p>
            <w:pPr>
              <w:pStyle w:val="1376"/>
              <w:jc w:val="center"/>
              <w:rPr>
                <w:rFonts w:hint="eastAsia"/>
                <w:color w:val="auto"/>
                <w:sz w:val="24"/>
                <w:szCs w:val="24"/>
                <w:highlight w:val="none"/>
              </w:rPr>
            </w:pPr>
            <w:r>
              <w:rPr>
                <w:rFonts w:hint="eastAsia"/>
                <w:color w:val="auto"/>
                <w:sz w:val="24"/>
                <w:szCs w:val="24"/>
                <w:highlight w:val="none"/>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14</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边缘计算终端</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2237" w:type="dxa"/>
            <w:vAlign w:val="center"/>
            <w:textDirection w:val="lrTb"/>
            <w:noWrap w:val="false"/>
          </w:tcPr>
          <w:p>
            <w:pPr>
              <w:pStyle w:val="1376"/>
              <w:jc w:val="center"/>
              <w:rPr>
                <w:rFonts w:hint="eastAsia"/>
                <w:color w:val="auto"/>
                <w:sz w:val="24"/>
                <w:szCs w:val="24"/>
                <w:highlight w:val="none"/>
              </w:rPr>
            </w:pPr>
            <w:r>
              <w:rPr>
                <w:rFonts w:hint="eastAsia"/>
                <w:color w:val="auto"/>
                <w:sz w:val="24"/>
                <w:szCs w:val="24"/>
                <w:highlight w:val="none"/>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15</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雷视一体机</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2</w:t>
            </w:r>
            <w:r/>
          </w:p>
        </w:tc>
        <w:tc>
          <w:tcPr>
            <w:tcW w:w="2237" w:type="dxa"/>
            <w:vAlign w:val="center"/>
            <w:textDirection w:val="lrTb"/>
            <w:noWrap w:val="false"/>
          </w:tcPr>
          <w:p>
            <w:pPr>
              <w:pStyle w:val="1376"/>
              <w:jc w:val="center"/>
              <w:rPr>
                <w:rFonts w:hint="eastAsia"/>
                <w:color w:val="auto"/>
                <w:sz w:val="24"/>
                <w:szCs w:val="24"/>
                <w:highlight w:val="none"/>
              </w:rPr>
            </w:pPr>
            <w:r>
              <w:rPr>
                <w:rFonts w:hint="eastAsia"/>
                <w:color w:val="auto"/>
                <w:sz w:val="24"/>
                <w:szCs w:val="24"/>
                <w:highlight w:val="none"/>
              </w:rPr>
            </w:r>
            <w:r/>
          </w:p>
        </w:tc>
      </w:tr>
      <w:tr>
        <w:trPr>
          <w:jc w:val="center"/>
          <w:trHeight w:val="627"/>
        </w:trPr>
        <w:tc>
          <w:tcPr>
            <w:gridSpan w:val="6"/>
            <w:tcW w:w="9177"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说明：以上数量以现场实际结算为准。</w:t>
            </w:r>
            <w:r/>
          </w:p>
        </w:tc>
      </w:tr>
    </w:tbl>
    <w:p>
      <w:pPr>
        <w:pStyle w:val="1375"/>
        <w:ind w:firstLine="482"/>
        <w:spacing w:before="120" w:line="360" w:lineRule="auto"/>
        <w:rPr>
          <w:rFonts w:hint="eastAsia" w:eastAsia="宋体" w:cs="宋体"/>
          <w:b/>
          <w:bCs/>
          <w:color w:val="auto"/>
          <w:sz w:val="24"/>
          <w:szCs w:val="24"/>
          <w:highlight w:val="none"/>
        </w:rPr>
        <w:outlineLvl w:val="3"/>
      </w:pPr>
      <w:r>
        <w:rPr>
          <w:rFonts w:hint="eastAsia" w:eastAsia="宋体" w:cs="宋体"/>
          <w:b/>
          <w:bCs/>
          <w:color w:val="auto"/>
          <w:sz w:val="24"/>
          <w:szCs w:val="24"/>
          <w:highlight w:val="none"/>
        </w:rPr>
        <w:t xml:space="preserve">2、</w:t>
      </w:r>
      <w:r>
        <w:rPr>
          <w:rFonts w:hint="eastAsia" w:eastAsia="宋体" w:cs="宋体"/>
          <w:b/>
          <w:bCs/>
          <w:color w:val="auto"/>
          <w:sz w:val="24"/>
          <w:szCs w:val="24"/>
          <w:highlight w:val="none"/>
          <w:u w:val="single"/>
          <w:lang w:val="zh-CN"/>
        </w:rPr>
        <w:t xml:space="preserve">桃园路北侧规划路(崇学路-世园路)</w:t>
      </w:r>
      <w:r>
        <w:rPr>
          <w:rFonts w:hint="eastAsia" w:eastAsia="宋体" w:cs="宋体"/>
          <w:b/>
          <w:bCs/>
          <w:color w:val="auto"/>
          <w:sz w:val="24"/>
          <w:szCs w:val="24"/>
          <w:highlight w:val="none"/>
        </w:rPr>
        <w:t xml:space="preserve"> ——监控设备清单</w:t>
      </w:r>
      <w:r/>
    </w:p>
    <w:tbl>
      <w:tblPr>
        <w:tblStyle w:val="1357"/>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1"/>
        <w:gridCol w:w="3062"/>
        <w:gridCol w:w="1557"/>
        <w:gridCol w:w="807"/>
        <w:gridCol w:w="753"/>
        <w:gridCol w:w="2237"/>
      </w:tblGrid>
      <w:tr>
        <w:trPr>
          <w:jc w:val="center"/>
          <w:trHeight w:val="403"/>
          <w:tblHeader/>
        </w:trPr>
        <w:tc>
          <w:tcPr>
            <w:shd w:val="clear" w:color="auto" w:fill="c7daf1" w:themeFill="text2" w:themeFillTint="32"/>
            <w:tcW w:w="761"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序号</w:t>
            </w:r>
            <w:r/>
          </w:p>
        </w:tc>
        <w:tc>
          <w:tcPr>
            <w:shd w:val="clear" w:color="auto" w:fill="c7daf1" w:themeFill="text2" w:themeFillTint="32"/>
            <w:tcW w:w="3062"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设备材料名</w:t>
            </w:r>
            <w:r/>
          </w:p>
        </w:tc>
        <w:tc>
          <w:tcPr>
            <w:shd w:val="clear" w:color="auto" w:fill="c7daf1" w:themeFill="text2" w:themeFillTint="32"/>
            <w:tcW w:w="1557"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型号规格</w:t>
            </w:r>
            <w:r/>
          </w:p>
        </w:tc>
        <w:tc>
          <w:tcPr>
            <w:shd w:val="clear" w:color="auto" w:fill="c7daf1" w:themeFill="text2" w:themeFillTint="32"/>
            <w:tcW w:w="807"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单位</w:t>
            </w:r>
            <w:r/>
          </w:p>
        </w:tc>
        <w:tc>
          <w:tcPr>
            <w:shd w:val="clear" w:color="auto" w:fill="c7daf1" w:themeFill="text2" w:themeFillTint="32"/>
            <w:tcW w:w="753"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数量</w:t>
            </w:r>
            <w:r/>
          </w:p>
        </w:tc>
        <w:tc>
          <w:tcPr>
            <w:shd w:val="clear" w:color="auto" w:fill="c7daf1" w:themeFill="text2" w:themeFillTint="32"/>
            <w:tcW w:w="2237"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备注</w:t>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rPr>
            </w:pPr>
            <w:r>
              <w:rPr>
                <w:rFonts w:hint="eastAsia"/>
                <w:color w:val="auto"/>
                <w:sz w:val="24"/>
                <w:szCs w:val="24"/>
                <w:highlight w:val="none"/>
              </w:rPr>
              <w:t xml:space="preserve">一</w:t>
            </w:r>
            <w:r/>
          </w:p>
        </w:tc>
        <w:tc>
          <w:tcPr>
            <w:gridSpan w:val="5"/>
            <w:shd w:val="clear" w:color="auto" w:fill="ffffff"/>
            <w:tcW w:w="8416" w:type="dxa"/>
            <w:vAlign w:val="center"/>
            <w:textDirection w:val="lrTb"/>
            <w:noWrap w:val="false"/>
          </w:tcPr>
          <w:p>
            <w:pPr>
              <w:pStyle w:val="1376"/>
              <w:jc w:val="center"/>
              <w:rPr>
                <w:rFonts w:hint="eastAsia"/>
                <w:color w:val="auto"/>
                <w:sz w:val="24"/>
                <w:szCs w:val="24"/>
                <w:highlight w:val="none"/>
              </w:rPr>
            </w:pPr>
            <w:r>
              <w:rPr>
                <w:rFonts w:hint="eastAsia"/>
                <w:color w:val="auto"/>
                <w:sz w:val="24"/>
                <w:szCs w:val="24"/>
                <w:highlight w:val="none"/>
                <w:lang w:eastAsia="zh-CN"/>
              </w:rPr>
              <w:t xml:space="preserve">路段监控系统</w:t>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900W不礼让行人抓拍单元</w:t>
            </w:r>
            <w:r/>
          </w:p>
        </w:tc>
        <w:tc>
          <w:tcPr>
            <w:shd w:val="clear" w:color="auto" w:fill="ffffff"/>
            <w:tcW w:w="1557" w:type="dxa"/>
            <w:vAlign w:val="center"/>
            <w:vMerge w:val="restart"/>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详见主要设备技术参数及要求</w:t>
            </w:r>
            <w:r/>
          </w:p>
        </w:tc>
        <w:tc>
          <w:tcPr>
            <w:tcW w:w="807"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2</w:t>
            </w:r>
            <w:r/>
          </w:p>
        </w:tc>
        <w:tc>
          <w:tcPr>
            <w:tcW w:w="2237" w:type="dxa"/>
            <w:vAlign w:val="center"/>
            <w:textDirection w:val="lrTb"/>
            <w:noWrap w:val="false"/>
          </w:tcPr>
          <w:p>
            <w:pPr>
              <w:pStyle w:val="1376"/>
              <w:jc w:val="center"/>
              <w:rPr>
                <w:rFonts w:hint="eastAsia"/>
                <w:color w:val="auto"/>
                <w:sz w:val="24"/>
                <w:szCs w:val="24"/>
                <w:highlight w:val="none"/>
              </w:rPr>
            </w:pPr>
            <w:r>
              <w:rPr>
                <w:rFonts w:hint="eastAsia"/>
                <w:color w:val="auto"/>
                <w:sz w:val="24"/>
                <w:szCs w:val="24"/>
                <w:highlight w:val="none"/>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2</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400W像素全景球机</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2</w:t>
            </w:r>
            <w:r/>
          </w:p>
        </w:tc>
        <w:tc>
          <w:tcPr>
            <w:tcW w:w="2237" w:type="dxa"/>
            <w:vAlign w:val="center"/>
            <w:textDirection w:val="lrTb"/>
            <w:noWrap w:val="false"/>
          </w:tcPr>
          <w:p>
            <w:pPr>
              <w:pStyle w:val="1376"/>
              <w:jc w:val="center"/>
              <w:rPr>
                <w:rFonts w:hint="eastAsia"/>
                <w:color w:val="auto"/>
                <w:sz w:val="24"/>
                <w:szCs w:val="24"/>
                <w:highlight w:val="none"/>
              </w:rPr>
            </w:pPr>
            <w:r>
              <w:rPr>
                <w:rFonts w:hint="eastAsia"/>
                <w:color w:val="auto"/>
                <w:sz w:val="24"/>
                <w:szCs w:val="24"/>
                <w:highlight w:val="none"/>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3</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400W像素违停摄像机</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2237" w:type="dxa"/>
            <w:vAlign w:val="center"/>
            <w:textDirection w:val="lrTb"/>
            <w:noWrap w:val="false"/>
          </w:tcPr>
          <w:p>
            <w:pPr>
              <w:pStyle w:val="1376"/>
              <w:jc w:val="center"/>
              <w:rPr>
                <w:rFonts w:hint="eastAsia"/>
                <w:color w:val="auto"/>
                <w:sz w:val="24"/>
                <w:szCs w:val="24"/>
                <w:highlight w:val="none"/>
              </w:rPr>
            </w:pPr>
            <w:r>
              <w:rPr>
                <w:rFonts w:hint="eastAsia"/>
                <w:color w:val="auto"/>
                <w:sz w:val="24"/>
                <w:szCs w:val="24"/>
                <w:highlight w:val="none"/>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4</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环境补光灯</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2</w:t>
            </w:r>
            <w:r/>
          </w:p>
        </w:tc>
        <w:tc>
          <w:tcPr>
            <w:tcW w:w="2237" w:type="dxa"/>
            <w:vAlign w:val="center"/>
            <w:textDirection w:val="lrTb"/>
            <w:noWrap w:val="false"/>
          </w:tcPr>
          <w:p>
            <w:pPr>
              <w:pStyle w:val="1376"/>
              <w:jc w:val="center"/>
              <w:rPr>
                <w:rFonts w:hint="eastAsia"/>
                <w:color w:val="auto"/>
                <w:sz w:val="24"/>
                <w:szCs w:val="24"/>
                <w:highlight w:val="none"/>
              </w:rPr>
            </w:pPr>
            <w:r>
              <w:rPr>
                <w:rFonts w:hint="eastAsia"/>
                <w:color w:val="auto"/>
                <w:sz w:val="24"/>
                <w:szCs w:val="24"/>
                <w:highlight w:val="none"/>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5</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抱杆箱(含工业接入交换机)</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3</w:t>
            </w:r>
            <w:r/>
          </w:p>
        </w:tc>
        <w:tc>
          <w:tcPr>
            <w:tcW w:w="2237" w:type="dxa"/>
            <w:vAlign w:val="center"/>
            <w:textDirection w:val="lrTb"/>
            <w:noWrap w:val="false"/>
          </w:tcPr>
          <w:p>
            <w:pPr>
              <w:pStyle w:val="1376"/>
              <w:jc w:val="center"/>
              <w:rPr>
                <w:rFonts w:hint="eastAsia"/>
                <w:color w:val="auto"/>
                <w:sz w:val="24"/>
                <w:szCs w:val="24"/>
                <w:highlight w:val="none"/>
              </w:rPr>
            </w:pPr>
            <w:r>
              <w:rPr>
                <w:rFonts w:hint="eastAsia"/>
                <w:color w:val="auto"/>
                <w:sz w:val="24"/>
                <w:szCs w:val="24"/>
                <w:highlight w:val="none"/>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6</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工业级汇聚交换机</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2237"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7</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落地智能机箱</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2237" w:type="dxa"/>
            <w:vAlign w:val="center"/>
            <w:textDirection w:val="lrTb"/>
            <w:noWrap w:val="false"/>
          </w:tcPr>
          <w:p>
            <w:pPr>
              <w:pStyle w:val="1376"/>
              <w:jc w:val="center"/>
              <w:rPr>
                <w:rFonts w:hint="eastAsia"/>
                <w:color w:val="auto"/>
                <w:sz w:val="24"/>
                <w:szCs w:val="24"/>
                <w:highlight w:val="none"/>
              </w:rPr>
            </w:pPr>
            <w:r>
              <w:rPr>
                <w:rFonts w:hint="eastAsia"/>
                <w:color w:val="auto"/>
                <w:sz w:val="24"/>
                <w:szCs w:val="24"/>
                <w:highlight w:val="none"/>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8</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智能终端</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2237"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9</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传输网络</w:t>
            </w:r>
            <w:r/>
          </w:p>
        </w:tc>
        <w:tc>
          <w:tcPr>
            <w:shd w:val="clear" w:color="auto" w:fill="ffffff"/>
            <w:tcW w:w="1557" w:type="dxa"/>
            <w:vAlign w:val="center"/>
            <w:vMerge w:val="continue"/>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75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2237" w:type="dxa"/>
            <w:vAlign w:val="center"/>
            <w:textDirection w:val="lrTb"/>
            <w:noWrap w:val="false"/>
          </w:tcPr>
          <w:p>
            <w:pPr>
              <w:pStyle w:val="1376"/>
              <w:jc w:val="center"/>
              <w:rPr>
                <w:rFonts w:hint="eastAsia"/>
                <w:color w:val="auto"/>
                <w:sz w:val="24"/>
                <w:szCs w:val="24"/>
                <w:highlight w:val="none"/>
              </w:rPr>
            </w:pPr>
            <w:r>
              <w:rPr>
                <w:rFonts w:hint="eastAsia"/>
                <w:color w:val="auto"/>
                <w:sz w:val="24"/>
                <w:szCs w:val="24"/>
                <w:highlight w:val="none"/>
              </w:rPr>
            </w:r>
            <w:r/>
          </w:p>
        </w:tc>
      </w:tr>
      <w:tr>
        <w:trPr>
          <w:jc w:val="center"/>
          <w:trHeight w:val="627"/>
        </w:trPr>
        <w:tc>
          <w:tcPr>
            <w:gridSpan w:val="6"/>
            <w:tcW w:w="9177"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说明：以上数量以现场实际结算为准。</w:t>
            </w:r>
            <w:r/>
          </w:p>
        </w:tc>
      </w:tr>
    </w:tbl>
    <w:p>
      <w:pPr>
        <w:pStyle w:val="1375"/>
        <w:ind w:firstLine="482"/>
        <w:spacing w:before="120" w:line="360" w:lineRule="auto"/>
        <w:rPr>
          <w:rFonts w:hint="eastAsia" w:eastAsia="宋体" w:cs="宋体"/>
          <w:b/>
          <w:bCs/>
          <w:color w:val="auto"/>
          <w:sz w:val="24"/>
          <w:szCs w:val="24"/>
          <w:highlight w:val="none"/>
          <w:u w:val="single"/>
          <w:lang w:val="zh-CN"/>
        </w:rPr>
        <w:outlineLvl w:val="3"/>
      </w:pPr>
      <w:r>
        <w:rPr>
          <w:rFonts w:hint="eastAsia" w:eastAsia="宋体" w:cs="宋体"/>
          <w:b/>
          <w:bCs/>
          <w:color w:val="auto"/>
          <w:sz w:val="24"/>
          <w:szCs w:val="24"/>
          <w:highlight w:val="none"/>
          <w:u w:val="single"/>
          <w:lang w:val="zh-CN"/>
        </w:rPr>
        <w:t xml:space="preserve">3、规划一路(幸余路-秦灶路)</w:t>
      </w:r>
      <w:r>
        <w:rPr>
          <w:rFonts w:hint="eastAsia" w:eastAsia="宋体" w:cs="宋体"/>
          <w:b/>
          <w:bCs/>
          <w:color w:val="auto"/>
          <w:sz w:val="24"/>
          <w:szCs w:val="24"/>
          <w:highlight w:val="none"/>
        </w:rPr>
        <w:t xml:space="preserve"> ——监控设备清单</w:t>
      </w:r>
      <w:r/>
    </w:p>
    <w:tbl>
      <w:tblPr>
        <w:tblStyle w:val="1357"/>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1"/>
        <w:gridCol w:w="3062"/>
        <w:gridCol w:w="1557"/>
        <w:gridCol w:w="807"/>
        <w:gridCol w:w="1179"/>
        <w:gridCol w:w="993"/>
        <w:gridCol w:w="708"/>
      </w:tblGrid>
      <w:tr>
        <w:trPr>
          <w:jc w:val="center"/>
          <w:trHeight w:val="403"/>
          <w:tblHeader/>
        </w:trPr>
        <w:tc>
          <w:tcPr>
            <w:shd w:val="clear" w:color="auto" w:fill="c7daf1" w:themeFill="text2" w:themeFillTint="32"/>
            <w:tcW w:w="761"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序号</w:t>
            </w:r>
            <w:r/>
          </w:p>
        </w:tc>
        <w:tc>
          <w:tcPr>
            <w:shd w:val="clear" w:color="auto" w:fill="c7daf1" w:themeFill="text2" w:themeFillTint="32"/>
            <w:tcW w:w="3062"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设备材料名</w:t>
            </w:r>
            <w:r/>
          </w:p>
        </w:tc>
        <w:tc>
          <w:tcPr>
            <w:shd w:val="clear" w:color="auto" w:fill="c7daf1" w:themeFill="text2" w:themeFillTint="32"/>
            <w:tcW w:w="1557"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型号规格</w:t>
            </w:r>
            <w:r/>
          </w:p>
        </w:tc>
        <w:tc>
          <w:tcPr>
            <w:shd w:val="clear" w:color="auto" w:fill="c7daf1" w:themeFill="text2" w:themeFillTint="32"/>
            <w:tcW w:w="807"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单位</w:t>
            </w:r>
            <w:r/>
          </w:p>
        </w:tc>
        <w:tc>
          <w:tcPr>
            <w:shd w:val="clear" w:color="auto" w:fill="c7daf1" w:themeFill="text2" w:themeFillTint="32"/>
            <w:tcW w:w="1179"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数量</w:t>
            </w:r>
            <w:r>
              <w:rPr>
                <w:rFonts w:hint="eastAsia"/>
                <w:b/>
                <w:bCs/>
                <w:color w:val="auto"/>
                <w:sz w:val="24"/>
                <w:szCs w:val="24"/>
                <w:highlight w:val="none"/>
                <w:lang w:eastAsia="zh-CN"/>
              </w:rPr>
              <w:t xml:space="preserve">（一期）</w:t>
            </w:r>
            <w:r/>
          </w:p>
        </w:tc>
        <w:tc>
          <w:tcPr>
            <w:shd w:val="clear" w:color="auto" w:fill="c7daf1" w:themeFill="text2" w:themeFillTint="32"/>
            <w:tcW w:w="993"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数量</w:t>
            </w:r>
            <w:r>
              <w:rPr>
                <w:rFonts w:hint="eastAsia"/>
                <w:b/>
                <w:bCs/>
                <w:color w:val="auto"/>
                <w:sz w:val="24"/>
                <w:szCs w:val="24"/>
                <w:highlight w:val="none"/>
                <w:lang w:eastAsia="zh-CN"/>
              </w:rPr>
              <w:t xml:space="preserve">（二期）</w:t>
            </w:r>
            <w:r/>
          </w:p>
        </w:tc>
        <w:tc>
          <w:tcPr>
            <w:tcW w:w="708" w:type="dxa"/>
            <w:vAlign w:val="center"/>
            <w:textDirection w:val="lrTb"/>
            <w:noWrap w:val="false"/>
          </w:tcPr>
          <w:p>
            <w:pPr>
              <w:jc w:val="left"/>
              <w:widowControl/>
              <w:rPr>
                <w:color w:val="auto"/>
                <w:szCs w:val="22"/>
                <w:highlight w:val="none"/>
                <w:lang w:eastAsia="en-US"/>
              </w:rPr>
            </w:pPr>
            <w:r>
              <w:rPr>
                <w:rFonts w:hint="eastAsia"/>
                <w:b/>
                <w:bCs/>
                <w:color w:val="auto"/>
                <w:sz w:val="24"/>
                <w:szCs w:val="24"/>
                <w:highlight w:val="none"/>
                <w:lang w:eastAsia="en-US"/>
              </w:rPr>
              <w:t xml:space="preserve"> 备注</w:t>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900W正向电警抓拍单元</w:t>
            </w:r>
            <w:r/>
          </w:p>
        </w:tc>
        <w:tc>
          <w:tcPr>
            <w:shd w:val="clear" w:color="auto" w:fill="ffffff"/>
            <w:tcW w:w="1557" w:type="dxa"/>
            <w:vAlign w:val="center"/>
            <w:vMerge w:val="restart"/>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详见主要设备技术参数及要求</w:t>
            </w:r>
            <w:r/>
          </w:p>
        </w:tc>
        <w:tc>
          <w:tcPr>
            <w:tcW w:w="807"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台</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3</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2</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900W反向电警抓拍单元</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台</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3</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2</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3</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不礼让行人抓拍</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台</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4</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出入口枪球一体机</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台</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0</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5</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人脸识别引擎授权</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路</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10</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6</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6</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环保环境补光灯</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台</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13</w:t>
            </w:r>
            <w:r/>
          </w:p>
        </w:tc>
        <w:tc>
          <w:tcPr>
            <w:tcW w:w="993"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7</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7</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环保红外频闪一体灯</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台</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6</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3</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8</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360°全景摄像机</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台</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2</w:t>
            </w:r>
            <w:r/>
          </w:p>
        </w:tc>
        <w:tc>
          <w:tcPr>
            <w:tcW w:w="993"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0</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9</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违停监控</w:t>
            </w:r>
            <w:r/>
          </w:p>
        </w:tc>
        <w:tc>
          <w:tcPr>
            <w:shd w:val="clear" w:color="auto" w:fill="ffffff"/>
            <w:tcW w:w="1557" w:type="dxa"/>
            <w:vAlign w:val="center"/>
            <w:vMerge w:val="continue"/>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台</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4</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3</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10</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抱杆箱</w:t>
            </w:r>
            <w:r/>
          </w:p>
        </w:tc>
        <w:tc>
          <w:tcPr>
            <w:shd w:val="clear" w:color="auto" w:fill="ffffff"/>
            <w:tcW w:w="1557" w:type="dxa"/>
            <w:vAlign w:val="center"/>
            <w:vMerge w:val="continue"/>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5</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3</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11</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电警智能终端</w:t>
            </w:r>
            <w:r/>
          </w:p>
        </w:tc>
        <w:tc>
          <w:tcPr>
            <w:shd w:val="clear" w:color="auto" w:fill="ffffff"/>
            <w:tcW w:w="1557" w:type="dxa"/>
            <w:vAlign w:val="center"/>
            <w:vMerge w:val="continue"/>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0</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12</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落地智能机箱</w:t>
            </w:r>
            <w:r/>
          </w:p>
        </w:tc>
        <w:tc>
          <w:tcPr>
            <w:shd w:val="clear" w:color="auto" w:fill="ffffff"/>
            <w:tcW w:w="1557" w:type="dxa"/>
            <w:vAlign w:val="center"/>
            <w:vMerge w:val="continue"/>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0</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13</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工业级汇聚交换机</w:t>
            </w:r>
            <w:r/>
          </w:p>
        </w:tc>
        <w:tc>
          <w:tcPr>
            <w:shd w:val="clear" w:color="auto" w:fill="ffffff"/>
            <w:tcW w:w="1557" w:type="dxa"/>
            <w:vAlign w:val="center"/>
            <w:vMerge w:val="continue"/>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台</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2</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0</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14</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运营商线路(5年)</w:t>
            </w:r>
            <w:r/>
          </w:p>
        </w:tc>
        <w:tc>
          <w:tcPr>
            <w:shd w:val="clear" w:color="auto" w:fill="ffffff"/>
            <w:tcW w:w="1557" w:type="dxa"/>
            <w:vAlign w:val="center"/>
            <w:vMerge w:val="continue"/>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条</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gridSpan w:val="7"/>
            <w:shd w:val="clear" w:color="auto" w:fill="ffffff"/>
            <w:tcW w:w="9067" w:type="dxa"/>
            <w:vAlign w:val="center"/>
            <w:textDirection w:val="lrTb"/>
            <w:noWrap w:val="false"/>
          </w:tcPr>
          <w:p>
            <w:pPr>
              <w:jc w:val="left"/>
              <w:widowControl/>
              <w:rPr>
                <w:color w:val="auto"/>
                <w:szCs w:val="22"/>
                <w:highlight w:val="none"/>
                <w:lang w:eastAsia="zh-CN"/>
              </w:rPr>
            </w:pPr>
            <w:r>
              <w:rPr>
                <w:rFonts w:hint="eastAsia" w:ascii="宋体" w:hAnsi="宋体" w:eastAsia="宋体" w:cs="宋体"/>
                <w:b/>
                <w:bCs/>
                <w:color w:val="auto"/>
                <w:sz w:val="24"/>
                <w:szCs w:val="24"/>
                <w:highlight w:val="none"/>
                <w:lang w:eastAsia="zh-CN" w:bidi="ar"/>
              </w:rPr>
              <w:t xml:space="preserve">说明：以上数量以现场实际结算为准。</w:t>
            </w:r>
            <w:r/>
          </w:p>
        </w:tc>
      </w:tr>
    </w:tbl>
    <w:p>
      <w:pPr>
        <w:pStyle w:val="1375"/>
        <w:ind w:firstLine="482"/>
        <w:spacing w:before="120" w:line="360" w:lineRule="auto"/>
        <w:rPr>
          <w:rFonts w:hint="eastAsia" w:eastAsia="宋体" w:cs="宋体"/>
          <w:b/>
          <w:bCs/>
          <w:color w:val="auto"/>
          <w:sz w:val="24"/>
          <w:szCs w:val="24"/>
          <w:highlight w:val="none"/>
        </w:rPr>
        <w:outlineLvl w:val="3"/>
      </w:pPr>
      <w:r>
        <w:rPr>
          <w:rFonts w:hint="eastAsia" w:eastAsia="宋体" w:cs="宋体"/>
          <w:b/>
          <w:bCs/>
          <w:color w:val="auto"/>
          <w:sz w:val="24"/>
          <w:szCs w:val="24"/>
          <w:highlight w:val="none"/>
          <w:u w:val="single"/>
          <w:lang w:val="zh-CN"/>
        </w:rPr>
        <w:t xml:space="preserve">4、顺达路西延(泰通路-工农北路)</w:t>
      </w:r>
      <w:r>
        <w:rPr>
          <w:rFonts w:hint="eastAsia" w:eastAsia="宋体" w:cs="宋体"/>
          <w:b/>
          <w:bCs/>
          <w:color w:val="auto"/>
          <w:sz w:val="24"/>
          <w:szCs w:val="24"/>
          <w:highlight w:val="none"/>
        </w:rPr>
        <w:t xml:space="preserve"> ——监控设备清单</w:t>
      </w:r>
      <w:r/>
    </w:p>
    <w:tbl>
      <w:tblPr>
        <w:tblStyle w:val="1357"/>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1"/>
        <w:gridCol w:w="3062"/>
        <w:gridCol w:w="1557"/>
        <w:gridCol w:w="807"/>
        <w:gridCol w:w="1179"/>
        <w:gridCol w:w="993"/>
        <w:gridCol w:w="708"/>
      </w:tblGrid>
      <w:tr>
        <w:trPr>
          <w:jc w:val="center"/>
          <w:trHeight w:val="403"/>
          <w:tblHeader/>
        </w:trPr>
        <w:tc>
          <w:tcPr>
            <w:shd w:val="clear" w:color="auto" w:fill="c7daf1" w:themeFill="text2" w:themeFillTint="32"/>
            <w:tcW w:w="761"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序号</w:t>
            </w:r>
            <w:r/>
          </w:p>
        </w:tc>
        <w:tc>
          <w:tcPr>
            <w:shd w:val="clear" w:color="auto" w:fill="c7daf1" w:themeFill="text2" w:themeFillTint="32"/>
            <w:tcW w:w="3062"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设备材料名</w:t>
            </w:r>
            <w:r/>
          </w:p>
        </w:tc>
        <w:tc>
          <w:tcPr>
            <w:shd w:val="clear" w:color="auto" w:fill="c7daf1" w:themeFill="text2" w:themeFillTint="32"/>
            <w:tcW w:w="1557"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型号规格</w:t>
            </w:r>
            <w:r/>
          </w:p>
        </w:tc>
        <w:tc>
          <w:tcPr>
            <w:shd w:val="clear" w:color="auto" w:fill="c7daf1" w:themeFill="text2" w:themeFillTint="32"/>
            <w:tcW w:w="807"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单位</w:t>
            </w:r>
            <w:r/>
          </w:p>
        </w:tc>
        <w:tc>
          <w:tcPr>
            <w:shd w:val="clear" w:color="auto" w:fill="c7daf1" w:themeFill="text2" w:themeFillTint="32"/>
            <w:tcW w:w="1179"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数量</w:t>
            </w:r>
            <w:r>
              <w:rPr>
                <w:rFonts w:hint="eastAsia"/>
                <w:b/>
                <w:bCs/>
                <w:color w:val="auto"/>
                <w:sz w:val="24"/>
                <w:szCs w:val="24"/>
                <w:highlight w:val="none"/>
                <w:lang w:eastAsia="zh-CN"/>
              </w:rPr>
              <w:t xml:space="preserve">（一期）</w:t>
            </w:r>
            <w:r/>
          </w:p>
        </w:tc>
        <w:tc>
          <w:tcPr>
            <w:shd w:val="clear" w:color="auto" w:fill="c7daf1" w:themeFill="text2" w:themeFillTint="32"/>
            <w:tcW w:w="993" w:type="dxa"/>
            <w:vAlign w:val="center"/>
            <w:textDirection w:val="lrTb"/>
            <w:noWrap w:val="false"/>
          </w:tcPr>
          <w:p>
            <w:pPr>
              <w:pStyle w:val="1376"/>
              <w:jc w:val="center"/>
              <w:rPr>
                <w:rFonts w:hint="eastAsia"/>
                <w:b/>
                <w:bCs/>
                <w:color w:val="auto"/>
                <w:sz w:val="24"/>
                <w:szCs w:val="24"/>
                <w:highlight w:val="none"/>
              </w:rPr>
            </w:pPr>
            <w:r>
              <w:rPr>
                <w:rFonts w:hint="eastAsia"/>
                <w:b/>
                <w:bCs/>
                <w:color w:val="auto"/>
                <w:sz w:val="24"/>
                <w:szCs w:val="24"/>
                <w:highlight w:val="none"/>
              </w:rPr>
              <w:t xml:space="preserve">数量</w:t>
            </w:r>
            <w:r>
              <w:rPr>
                <w:rFonts w:hint="eastAsia"/>
                <w:b/>
                <w:bCs/>
                <w:color w:val="auto"/>
                <w:sz w:val="24"/>
                <w:szCs w:val="24"/>
                <w:highlight w:val="none"/>
                <w:lang w:eastAsia="zh-CN"/>
              </w:rPr>
              <w:t xml:space="preserve">（二期）</w:t>
            </w:r>
            <w:r/>
          </w:p>
        </w:tc>
        <w:tc>
          <w:tcPr>
            <w:tcW w:w="708" w:type="dxa"/>
            <w:vAlign w:val="center"/>
            <w:textDirection w:val="lrTb"/>
            <w:noWrap w:val="false"/>
          </w:tcPr>
          <w:p>
            <w:pPr>
              <w:jc w:val="left"/>
              <w:widowControl/>
              <w:rPr>
                <w:color w:val="auto"/>
                <w:szCs w:val="22"/>
                <w:highlight w:val="none"/>
                <w:lang w:eastAsia="en-US"/>
              </w:rPr>
            </w:pPr>
            <w:r>
              <w:rPr>
                <w:rFonts w:hint="eastAsia"/>
                <w:b/>
                <w:bCs/>
                <w:color w:val="auto"/>
                <w:sz w:val="24"/>
                <w:szCs w:val="24"/>
                <w:highlight w:val="none"/>
                <w:lang w:eastAsia="en-US"/>
              </w:rPr>
              <w:t xml:space="preserve"> 备注</w:t>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900W正向电警抓拍单元</w:t>
            </w:r>
            <w:r/>
          </w:p>
        </w:tc>
        <w:tc>
          <w:tcPr>
            <w:shd w:val="clear" w:color="auto" w:fill="ffffff"/>
            <w:tcW w:w="1557" w:type="dxa"/>
            <w:vAlign w:val="center"/>
            <w:vMerge w:val="restart"/>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详见主要设备技术参数及要求</w:t>
            </w:r>
            <w:r/>
          </w:p>
        </w:tc>
        <w:tc>
          <w:tcPr>
            <w:tcW w:w="807"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台</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4</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0</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2</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900W反向电警抓拍单元</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台</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4</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3</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不礼让行人抓拍</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台</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2</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0</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4</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出入口枪球一体机</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台</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2</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0</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5</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人脸识别引擎授权</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路</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6</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6</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环保环境补光灯</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台</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6</w:t>
            </w:r>
            <w:r/>
          </w:p>
        </w:tc>
        <w:tc>
          <w:tcPr>
            <w:tcW w:w="993"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0</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7</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环保红外频闪一体灯</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台</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2</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4</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8</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360°全景摄像机</w:t>
            </w:r>
            <w:r/>
          </w:p>
        </w:tc>
        <w:tc>
          <w:tcPr>
            <w:shd w:val="clear" w:color="auto" w:fill="ffffff"/>
            <w:tcW w:w="1557" w:type="dxa"/>
            <w:vAlign w:val="center"/>
            <w:vMerge w:val="continue"/>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台</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993"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9</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违停监控</w:t>
            </w:r>
            <w:r/>
          </w:p>
        </w:tc>
        <w:tc>
          <w:tcPr>
            <w:shd w:val="clear" w:color="auto" w:fill="ffffff"/>
            <w:tcW w:w="1557" w:type="dxa"/>
            <w:vAlign w:val="center"/>
            <w:vMerge w:val="continue"/>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台</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2</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10</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抱杆箱</w:t>
            </w:r>
            <w:r/>
          </w:p>
        </w:tc>
        <w:tc>
          <w:tcPr>
            <w:shd w:val="clear" w:color="auto" w:fill="ffffff"/>
            <w:tcW w:w="1557" w:type="dxa"/>
            <w:vAlign w:val="center"/>
            <w:vMerge w:val="continue"/>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5</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11</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电警智能终端</w:t>
            </w:r>
            <w:r/>
          </w:p>
        </w:tc>
        <w:tc>
          <w:tcPr>
            <w:shd w:val="clear" w:color="auto" w:fill="ffffff"/>
            <w:tcW w:w="1557" w:type="dxa"/>
            <w:vAlign w:val="center"/>
            <w:vMerge w:val="continue"/>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套</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2</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0</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12</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工业级汇聚交换机</w:t>
            </w:r>
            <w:r/>
          </w:p>
        </w:tc>
        <w:tc>
          <w:tcPr>
            <w:shd w:val="clear" w:color="auto" w:fill="ffffff"/>
            <w:tcW w:w="1557" w:type="dxa"/>
            <w:vAlign w:val="center"/>
            <w:vMerge w:val="continue"/>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台</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0</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13</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运营商线路(5年)</w:t>
            </w:r>
            <w:r/>
          </w:p>
        </w:tc>
        <w:tc>
          <w:tcPr>
            <w:shd w:val="clear" w:color="auto" w:fill="ffffff"/>
            <w:tcW w:w="1557" w:type="dxa"/>
            <w:vAlign w:val="center"/>
            <w:vMerge w:val="continue"/>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条</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shd w:val="clear" w:color="auto" w:fill="ffffff"/>
            <w:tcW w:w="761"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14</w:t>
            </w:r>
            <w:r/>
          </w:p>
        </w:tc>
        <w:tc>
          <w:tcPr>
            <w:shd w:val="clear" w:color="auto" w:fill="ffffff"/>
            <w:tcW w:w="3062"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图片分析处理终端</w:t>
            </w:r>
            <w:r/>
          </w:p>
        </w:tc>
        <w:tc>
          <w:tcPr>
            <w:shd w:val="clear" w:color="auto" w:fill="ffffff"/>
            <w:tcW w:w="1557" w:type="dxa"/>
            <w:vAlign w:val="center"/>
            <w:vMerge w:val="continue"/>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807" w:type="dxa"/>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台</w:t>
            </w:r>
            <w:r/>
          </w:p>
        </w:tc>
        <w:tc>
          <w:tcPr>
            <w:tcW w:w="1179"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1</w:t>
            </w:r>
            <w:r/>
          </w:p>
        </w:tc>
        <w:tc>
          <w:tcPr>
            <w:tcW w:w="993" w:type="dxa"/>
            <w:vAlign w:val="center"/>
            <w:textDirection w:val="lrTb"/>
            <w:noWrap w:val="false"/>
          </w:tcPr>
          <w:p>
            <w:pPr>
              <w:pStyle w:val="1376"/>
              <w:jc w:val="center"/>
              <w:rPr>
                <w:rFonts w:hint="eastAsia"/>
                <w:color w:val="auto"/>
                <w:sz w:val="24"/>
                <w:szCs w:val="24"/>
                <w:highlight w:val="none"/>
                <w:lang w:eastAsia="zh-CN"/>
              </w:rPr>
            </w:pPr>
            <w:r>
              <w:rPr>
                <w:rFonts w:hint="eastAsia"/>
                <w:color w:val="auto"/>
                <w:sz w:val="24"/>
                <w:szCs w:val="24"/>
                <w:highlight w:val="none"/>
                <w:lang w:eastAsia="zh-CN"/>
              </w:rPr>
              <w:t xml:space="preserve">0</w:t>
            </w:r>
            <w:r/>
          </w:p>
        </w:tc>
        <w:tc>
          <w:tcPr>
            <w:tcW w:w="708" w:type="dxa"/>
            <w:vAlign w:val="center"/>
            <w:textDirection w:val="lrTb"/>
            <w:noWrap w:val="false"/>
          </w:tcPr>
          <w:p>
            <w:pPr>
              <w:jc w:val="left"/>
              <w:widowControl/>
              <w:rPr>
                <w:color w:val="auto"/>
                <w:szCs w:val="22"/>
                <w:highlight w:val="none"/>
                <w:lang w:eastAsia="en-US"/>
              </w:rPr>
            </w:pPr>
            <w:r>
              <w:rPr>
                <w:color w:val="auto"/>
                <w:szCs w:val="22"/>
                <w:highlight w:val="none"/>
                <w:lang w:eastAsia="en-US"/>
              </w:rPr>
            </w:r>
            <w:r/>
          </w:p>
        </w:tc>
      </w:tr>
      <w:tr>
        <w:trPr>
          <w:jc w:val="center"/>
          <w:trHeight w:val="454"/>
        </w:trPr>
        <w:tc>
          <w:tcPr>
            <w:gridSpan w:val="7"/>
            <w:shd w:val="clear" w:color="auto" w:fill="ffffff"/>
            <w:tcW w:w="9067" w:type="dxa"/>
            <w:vAlign w:val="center"/>
            <w:textDirection w:val="lrTb"/>
            <w:noWrap w:val="false"/>
          </w:tcPr>
          <w:p>
            <w:pPr>
              <w:jc w:val="left"/>
              <w:widowControl/>
              <w:rPr>
                <w:color w:val="auto"/>
                <w:szCs w:val="22"/>
                <w:highlight w:val="none"/>
                <w:lang w:eastAsia="zh-CN"/>
              </w:rPr>
            </w:pPr>
            <w:r>
              <w:rPr>
                <w:rFonts w:hint="eastAsia" w:ascii="宋体" w:hAnsi="宋体" w:eastAsia="宋体" w:cs="宋体"/>
                <w:b/>
                <w:bCs/>
                <w:color w:val="auto"/>
                <w:sz w:val="24"/>
                <w:szCs w:val="24"/>
                <w:highlight w:val="none"/>
                <w:lang w:eastAsia="zh-CN" w:bidi="ar"/>
              </w:rPr>
              <w:t xml:space="preserve">说明：以上数量以现场实际结算为准。</w:t>
            </w:r>
            <w:r/>
          </w:p>
        </w:tc>
      </w:tr>
    </w:tbl>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清单为实现该系统功能要求和达到技术指标所必备的器料和项目，详细参数见技术服务要求、全费用清单报价表及图纸。“若在工程实施中发现标书清单中漏项或数量短缺，必须满足点位基数建设需求，配置到位，视为中标单位无条件赠送，一律不予工程增补”。</w:t>
      </w:r>
      <w:r/>
    </w:p>
    <w:p>
      <w:pPr>
        <w:pStyle w:val="1377"/>
        <w:ind w:firstLine="480"/>
        <w:spacing w:line="360" w:lineRule="auto"/>
        <w:rPr>
          <w:rFonts w:hint="eastAsia" w:hAnsi="宋体"/>
          <w:color w:val="auto"/>
          <w:sz w:val="24"/>
          <w:szCs w:val="24"/>
          <w:highlight w:val="none"/>
          <w:u w:val="single"/>
        </w:rPr>
      </w:pPr>
      <w:r>
        <w:rPr>
          <w:rFonts w:hint="eastAsia" w:hAnsi="宋体"/>
          <w:color w:val="auto"/>
          <w:sz w:val="24"/>
          <w:szCs w:val="24"/>
          <w:highlight w:val="none"/>
          <w:u w:val="single"/>
        </w:rPr>
        <w:t xml:space="preserve">投标单位报价时须按照招标人提供的</w:t>
      </w:r>
      <w:r>
        <w:rPr>
          <w:rFonts w:hint="eastAsia" w:hAnsi="宋体"/>
          <w:b/>
          <w:bCs/>
          <w:color w:val="auto"/>
          <w:sz w:val="24"/>
          <w:szCs w:val="24"/>
          <w:highlight w:val="none"/>
          <w:u w:val="single"/>
        </w:rPr>
        <w:t xml:space="preserve">全费用清单报价表（公告附件）</w:t>
      </w:r>
      <w:r>
        <w:rPr>
          <w:rFonts w:hint="eastAsia" w:hAnsi="宋体"/>
          <w:color w:val="auto"/>
          <w:sz w:val="24"/>
          <w:szCs w:val="24"/>
          <w:highlight w:val="none"/>
          <w:u w:val="single"/>
        </w:rPr>
        <w:t xml:space="preserve">进行报价，投标单位不得改变招标人提供的全费用清单报价表的项目名称、项目特征、计量单位及工程量，否则作无效投标处理。</w:t>
      </w:r>
      <w:r/>
    </w:p>
    <w:p>
      <w:pPr>
        <w:pStyle w:val="1377"/>
        <w:ind w:firstLine="480"/>
        <w:spacing w:line="360" w:lineRule="auto"/>
        <w:rPr>
          <w:rFonts w:hint="eastAsia" w:hAnsi="宋体"/>
          <w:color w:val="auto"/>
          <w:sz w:val="24"/>
          <w:szCs w:val="24"/>
          <w:highlight w:val="none"/>
          <w:u w:val="single"/>
        </w:rPr>
      </w:pPr>
      <w:r>
        <w:rPr>
          <w:rFonts w:hint="eastAsia" w:hAnsi="宋体"/>
          <w:color w:val="auto"/>
          <w:sz w:val="24"/>
          <w:szCs w:val="24"/>
          <w:highlight w:val="none"/>
          <w:u w:val="single"/>
        </w:rPr>
        <w:t xml:space="preserve">说明：</w:t>
      </w:r>
      <w:r/>
    </w:p>
    <w:p>
      <w:pPr>
        <w:pStyle w:val="1377"/>
        <w:ind w:firstLine="480"/>
        <w:spacing w:line="360" w:lineRule="auto"/>
        <w:rPr>
          <w:rFonts w:hint="eastAsia" w:hAnsi="宋体"/>
          <w:color w:val="auto"/>
          <w:sz w:val="24"/>
          <w:szCs w:val="24"/>
          <w:highlight w:val="none"/>
          <w:u w:val="single"/>
        </w:rPr>
      </w:pPr>
      <w:r>
        <w:rPr>
          <w:rFonts w:hint="eastAsia" w:hAnsi="宋体"/>
          <w:color w:val="auto"/>
          <w:sz w:val="24"/>
          <w:szCs w:val="24"/>
          <w:highlight w:val="none"/>
          <w:u w:val="single"/>
        </w:rPr>
        <w:t xml:space="preserve">1、投标单位所投产品必须保证是原厂正品，特别是照明补光及其他相关配件不得为贴牌产品，如投标单位所投产品侵害业主方权益的后果自负。</w:t>
      </w:r>
      <w:r/>
    </w:p>
    <w:p>
      <w:pPr>
        <w:pStyle w:val="1377"/>
        <w:ind w:firstLine="480"/>
        <w:spacing w:line="360" w:lineRule="auto"/>
        <w:rPr>
          <w:rFonts w:hint="eastAsia" w:hAnsi="宋体"/>
          <w:color w:val="auto"/>
          <w:sz w:val="24"/>
          <w:szCs w:val="24"/>
          <w:highlight w:val="none"/>
          <w:u w:val="single"/>
        </w:rPr>
      </w:pPr>
      <w:r>
        <w:rPr>
          <w:rFonts w:hint="eastAsia" w:hAnsi="宋体"/>
          <w:color w:val="auto"/>
          <w:sz w:val="24"/>
          <w:szCs w:val="24"/>
          <w:highlight w:val="none"/>
          <w:u w:val="single"/>
        </w:rPr>
        <w:t xml:space="preserve">2、本工程后期需移交接入公安系统平台，投标单位应慎重选择投标设备，否则不能通过公安部门验收责任自负。</w:t>
      </w:r>
      <w:r/>
    </w:p>
    <w:p>
      <w:pPr>
        <w:pStyle w:val="1377"/>
        <w:ind w:firstLine="480"/>
        <w:spacing w:line="360" w:lineRule="auto"/>
        <w:rPr>
          <w:rFonts w:hint="eastAsia" w:hAnsi="宋体"/>
          <w:color w:val="auto"/>
          <w:sz w:val="24"/>
          <w:szCs w:val="24"/>
          <w:highlight w:val="none"/>
          <w:u w:val="single"/>
        </w:rPr>
      </w:pPr>
      <w:r>
        <w:rPr>
          <w:rFonts w:hint="eastAsia" w:hAnsi="宋体"/>
          <w:color w:val="auto"/>
          <w:sz w:val="24"/>
          <w:szCs w:val="24"/>
          <w:highlight w:val="none"/>
          <w:u w:val="single"/>
        </w:rPr>
        <w:t xml:space="preserve">3、中标后所有设备报招标人确认后方可采购进场，未做品牌要求的设备要求采购国产中、高档产品。</w:t>
      </w:r>
      <w:r/>
    </w:p>
    <w:p>
      <w:pPr>
        <w:pStyle w:val="1377"/>
        <w:ind w:firstLine="480"/>
        <w:spacing w:line="360" w:lineRule="auto"/>
        <w:rPr>
          <w:rFonts w:hint="eastAsia" w:hAnsi="宋体"/>
          <w:color w:val="auto"/>
          <w:sz w:val="24"/>
          <w:szCs w:val="24"/>
          <w:highlight w:val="none"/>
          <w:u w:val="single"/>
        </w:rPr>
      </w:pPr>
      <w:r>
        <w:rPr>
          <w:rFonts w:hint="eastAsia" w:hAnsi="宋体"/>
          <w:color w:val="auto"/>
          <w:sz w:val="24"/>
          <w:szCs w:val="24"/>
          <w:highlight w:val="none"/>
          <w:u w:val="single"/>
        </w:rPr>
        <w:t xml:space="preserve">4、本清单为主要设备清单，如未列出管线等辅材，投标文件中设备清单必须包含但不限于上述产品，并提供具体技术指标。</w:t>
      </w:r>
      <w:r/>
    </w:p>
    <w:p>
      <w:pPr>
        <w:pStyle w:val="1377"/>
        <w:ind w:firstLine="480"/>
        <w:spacing w:line="360" w:lineRule="auto"/>
        <w:rPr>
          <w:rFonts w:hint="eastAsia" w:hAnsi="宋体"/>
          <w:color w:val="auto"/>
          <w:sz w:val="24"/>
          <w:szCs w:val="24"/>
          <w:highlight w:val="none"/>
          <w:u w:val="single"/>
        </w:rPr>
      </w:pPr>
      <w:r>
        <w:rPr>
          <w:rFonts w:hint="eastAsia" w:hAnsi="宋体"/>
          <w:color w:val="auto"/>
          <w:sz w:val="24"/>
          <w:szCs w:val="24"/>
          <w:highlight w:val="none"/>
          <w:u w:val="single"/>
        </w:rPr>
        <w:t xml:space="preserve">5、本工程清单所列数量均以满足实际功能需求为准，投标单位可根据设备选型和现场勘查情况自行确定。清单中未列出具体数量的，由投标单位根据采购文件、图纸要求及现场状况自行确定，在投标文件中需明确数量。</w:t>
      </w:r>
      <w:r/>
    </w:p>
    <w:p>
      <w:pPr>
        <w:pStyle w:val="1377"/>
        <w:ind w:firstLine="480"/>
        <w:spacing w:line="360" w:lineRule="auto"/>
        <w:rPr>
          <w:rFonts w:hint="eastAsia" w:hAnsi="宋体"/>
          <w:color w:val="auto"/>
          <w:sz w:val="24"/>
          <w:szCs w:val="24"/>
          <w:highlight w:val="none"/>
          <w:u w:val="single"/>
        </w:rPr>
      </w:pPr>
      <w:r>
        <w:rPr>
          <w:rFonts w:hint="eastAsia" w:hAnsi="宋体"/>
          <w:color w:val="auto"/>
          <w:sz w:val="24"/>
          <w:szCs w:val="24"/>
          <w:highlight w:val="none"/>
          <w:u w:val="single"/>
        </w:rPr>
        <w:t xml:space="preserve">6、本项目具体数量以现场实际结算为准。</w:t>
      </w:r>
      <w:r/>
    </w:p>
    <w:p>
      <w:pPr>
        <w:contextualSpacing/>
        <w:ind w:firstLine="482"/>
        <w:spacing w:line="360" w:lineRule="auto"/>
        <w:rPr>
          <w:rFonts w:hint="eastAsia" w:ascii="宋体" w:hAnsi="宋体" w:eastAsia="宋体" w:cs="宋体"/>
          <w:b/>
          <w:bCs/>
          <w:color w:val="auto"/>
          <w:sz w:val="24"/>
          <w:szCs w:val="24"/>
          <w:highlight w:val="none"/>
          <w:lang w:val="zh-CN"/>
        </w:rPr>
        <w:outlineLvl w:val="1"/>
      </w:pPr>
      <w:r>
        <w:rPr>
          <w:rFonts w:hint="eastAsia" w:ascii="宋体" w:hAnsi="宋体" w:eastAsia="宋体" w:cs="宋体"/>
          <w:b/>
          <w:bCs/>
          <w:color w:val="auto"/>
          <w:sz w:val="24"/>
          <w:szCs w:val="24"/>
          <w:highlight w:val="none"/>
        </w:rPr>
        <w:t xml:space="preserve">四</w:t>
      </w:r>
      <w:r>
        <w:rPr>
          <w:rFonts w:hint="eastAsia" w:ascii="宋体" w:hAnsi="宋体" w:eastAsia="宋体" w:cs="宋体"/>
          <w:b/>
          <w:bCs/>
          <w:color w:val="auto"/>
          <w:sz w:val="24"/>
          <w:szCs w:val="24"/>
          <w:highlight w:val="none"/>
          <w:lang w:val="zh-CN"/>
        </w:rPr>
        <w:t xml:space="preserve">、相关配置、质量及技术要求：</w:t>
      </w:r>
      <w:r/>
    </w:p>
    <w:p>
      <w:pPr>
        <w:pStyle w:val="950"/>
        <w:spacing w:before="72" w:after="24"/>
        <w:rPr>
          <w:rFonts w:hint="eastAsia" w:eastAsia="宋体" w:cs="宋体"/>
          <w:bCs/>
          <w:color w:val="auto"/>
          <w:sz w:val="24"/>
          <w:szCs w:val="24"/>
          <w:highlight w:val="none"/>
          <w:lang w:val="zh-CN"/>
        </w:rPr>
      </w:pPr>
      <w:r>
        <w:rPr>
          <w:rFonts w:hint="eastAsia" w:eastAsia="宋体" w:cs="宋体"/>
          <w:bCs/>
          <w:color w:val="auto"/>
          <w:sz w:val="24"/>
          <w:szCs w:val="24"/>
          <w:highlight w:val="none"/>
          <w:lang w:val="zh-CN"/>
        </w:rPr>
        <w:t xml:space="preserve">1、崇川路南侧规划路(崇学路-世园路) 监控设施参数要求</w:t>
      </w:r>
      <w:r/>
    </w:p>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（1）反向电警抓拍相机（含人脸识别引擎）</w:t>
      </w:r>
      <w:r/>
    </w:p>
    <w:tbl>
      <w:tblPr>
        <w:tblStyle w:val="959"/>
        <w:tblW w:w="8354" w:type="dxa"/>
        <w:jc w:val="center"/>
        <w:tblLayout w:type="autofit"/>
        <w:tblCellMar>
          <w:left w:w="108" w:type="dxa"/>
          <w:top w:w="0" w:type="dxa"/>
          <w:right w:w="108" w:type="dxa"/>
          <w:bottom w:w="0" w:type="dxa"/>
        </w:tblCellMar>
        <w:tblLook w:val="04A0" w:firstRow="1" w:lastRow="0" w:firstColumn="1" w:lastColumn="0" w:noHBand="0" w:noVBand="1"/>
      </w:tblPr>
      <w:tblGrid>
        <w:gridCol w:w="1836"/>
        <w:gridCol w:w="6518"/>
      </w:tblGrid>
      <w:tr>
        <w:trPr>
          <w:jc w:val="center"/>
          <w:trHeight w:val="397"/>
          <w:tblHeader/>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序号</w:t>
            </w:r>
            <w:r/>
          </w:p>
        </w:tc>
        <w:tc>
          <w:tcPr>
            <w:tcBorders>
              <w:top w:val="single" w:color="000000" w:sz="4" w:space="0"/>
              <w:left w:val="none" w:color="000000" w:sz="4" w:space="0"/>
              <w:bottom w:val="single" w:color="000000" w:sz="4" w:space="0"/>
              <w:right w:val="single" w:color="000000" w:sz="4" w:space="0"/>
            </w:tcBorders>
            <w:tcW w:w="75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技术和功能要求</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w:t>
            </w:r>
            <w:r/>
          </w:p>
        </w:tc>
        <w:tc>
          <w:tcPr>
            <w:tcBorders>
              <w:top w:val="none" w:color="000000" w:sz="4" w:space="0"/>
              <w:left w:val="none" w:color="000000" w:sz="4" w:space="0"/>
              <w:bottom w:val="single" w:color="000000" w:sz="4" w:space="0"/>
              <w:right w:val="single" w:color="000000" w:sz="4" w:space="0"/>
            </w:tcBorders>
            <w:tcW w:w="75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包含摄像机、高清镜头、室外防护罩、防雷器、电源适配器等；</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w:t>
            </w:r>
            <w:r/>
          </w:p>
        </w:tc>
        <w:tc>
          <w:tcPr>
            <w:tcBorders>
              <w:top w:val="none" w:color="000000" w:sz="4" w:space="0"/>
              <w:left w:val="none" w:color="000000" w:sz="4" w:space="0"/>
              <w:bottom w:val="single" w:color="000000" w:sz="4" w:space="0"/>
              <w:right w:val="single" w:color="000000" w:sz="4" w:space="0"/>
            </w:tcBorders>
            <w:tcW w:w="75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不低于1英寸CMOS;</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w:t>
            </w:r>
            <w:r/>
          </w:p>
        </w:tc>
        <w:tc>
          <w:tcPr>
            <w:tcBorders>
              <w:top w:val="none" w:color="000000" w:sz="4" w:space="0"/>
              <w:left w:val="none" w:color="000000" w:sz="4" w:space="0"/>
              <w:bottom w:val="single" w:color="000000" w:sz="4" w:space="0"/>
              <w:right w:val="single" w:color="000000" w:sz="4" w:space="0"/>
            </w:tcBorders>
            <w:tcW w:w="75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采用智能图像处理技术(包括但不限于多帧图像融合、多个图像传感器、多个图像处理芯片等技术)可分别输出黑白及彩色图像，可对视频图像和抓拍图片进行融合输出 ；</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4</w:t>
            </w:r>
            <w:r/>
          </w:p>
        </w:tc>
        <w:tc>
          <w:tcPr>
            <w:tcBorders>
              <w:top w:val="none" w:color="000000" w:sz="4" w:space="0"/>
              <w:left w:val="none" w:color="000000" w:sz="4" w:space="0"/>
              <w:bottom w:val="single" w:color="000000" w:sz="4" w:space="0"/>
              <w:right w:val="single" w:color="000000" w:sz="4" w:space="0"/>
            </w:tcBorders>
            <w:tcW w:w="75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最大图像尺寸：不低于4096×2160像素；</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75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可通过RS485联动爆闪灯，夜间联动红外爆闪灯，白天可以联动白光爆闪灯：</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6</w:t>
            </w:r>
            <w:r/>
          </w:p>
        </w:tc>
        <w:tc>
          <w:tcPr>
            <w:tcBorders>
              <w:top w:val="none" w:color="000000" w:sz="4" w:space="0"/>
              <w:left w:val="none" w:color="000000" w:sz="4" w:space="0"/>
              <w:bottom w:val="single" w:color="000000" w:sz="4" w:space="0"/>
              <w:right w:val="single" w:color="000000" w:sz="4" w:space="0"/>
            </w:tcBorders>
            <w:tcW w:w="75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视频编码方式支持：H.265、H.264;</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7</w:t>
            </w:r>
            <w:r/>
          </w:p>
        </w:tc>
        <w:tc>
          <w:tcPr>
            <w:tcBorders>
              <w:top w:val="none" w:color="000000" w:sz="4" w:space="0"/>
              <w:left w:val="none" w:color="000000" w:sz="4" w:space="0"/>
              <w:bottom w:val="single" w:color="000000" w:sz="4" w:space="0"/>
              <w:right w:val="single" w:color="000000" w:sz="4" w:space="0"/>
            </w:tcBorders>
            <w:tcW w:w="75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支持车辆捕获功能，白天准确率不低于99%,晚上捕获率不低于99%;</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8</w:t>
            </w:r>
            <w:r/>
          </w:p>
        </w:tc>
        <w:tc>
          <w:tcPr>
            <w:tcBorders>
              <w:top w:val="none" w:color="000000" w:sz="4" w:space="0"/>
              <w:left w:val="none" w:color="000000" w:sz="4" w:space="0"/>
              <w:bottom w:val="single" w:color="000000" w:sz="4" w:space="0"/>
              <w:right w:val="single" w:color="000000" w:sz="4" w:space="0"/>
            </w:tcBorders>
            <w:tcW w:w="75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支持车辆识别功能，白天准确率不低于99%,晚上捕获率不低于99%;</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9</w:t>
            </w:r>
            <w:r/>
          </w:p>
        </w:tc>
        <w:tc>
          <w:tcPr>
            <w:tcBorders>
              <w:top w:val="none" w:color="000000" w:sz="4" w:space="0"/>
              <w:left w:val="none" w:color="000000" w:sz="4" w:space="0"/>
              <w:bottom w:val="single" w:color="000000" w:sz="4" w:space="0"/>
              <w:right w:val="single" w:color="000000" w:sz="4" w:space="0"/>
            </w:tcBorders>
            <w:tcW w:w="75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支持识别多种车型，包括轻型普通货车、小型轿车、小型客车、小大型普通客车、面包车等，准确率不低于97%;</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10</w:t>
            </w:r>
            <w:r/>
          </w:p>
        </w:tc>
        <w:tc>
          <w:tcPr>
            <w:tcBorders>
              <w:top w:val="none" w:color="000000" w:sz="4" w:space="0"/>
              <w:left w:val="none" w:color="000000" w:sz="4" w:space="0"/>
              <w:bottom w:val="single" w:color="000000" w:sz="4" w:space="0"/>
              <w:right w:val="single" w:color="000000" w:sz="4" w:space="0"/>
            </w:tcBorders>
            <w:tcW w:w="75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支持驾驶室人脸抠图；</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11</w:t>
            </w:r>
            <w:r/>
          </w:p>
        </w:tc>
        <w:tc>
          <w:tcPr>
            <w:tcBorders>
              <w:top w:val="none" w:color="000000" w:sz="4" w:space="0"/>
              <w:left w:val="none" w:color="000000" w:sz="4" w:space="0"/>
              <w:bottom w:val="single" w:color="000000" w:sz="4" w:space="0"/>
              <w:right w:val="single" w:color="000000" w:sz="4" w:space="0"/>
            </w:tcBorders>
            <w:tcW w:w="75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支持识别车头多种车辆子品牌，白天识别率不低于98%,晚上识别率不低于95%;</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12</w:t>
            </w:r>
            <w:r/>
          </w:p>
        </w:tc>
        <w:tc>
          <w:tcPr>
            <w:tcBorders>
              <w:top w:val="none" w:color="000000" w:sz="4" w:space="0"/>
              <w:left w:val="none" w:color="000000" w:sz="4" w:space="0"/>
              <w:bottom w:val="single" w:color="000000" w:sz="4" w:space="0"/>
              <w:right w:val="single" w:color="000000" w:sz="4" w:space="0"/>
            </w:tcBorders>
            <w:tcW w:w="75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至少支持250种车标识别，白天准确率不低于98%,晚上准确率不低于98%;</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13</w:t>
            </w:r>
            <w:r/>
          </w:p>
        </w:tc>
        <w:tc>
          <w:tcPr>
            <w:tcBorders>
              <w:top w:val="none" w:color="000000" w:sz="4" w:space="0"/>
              <w:left w:val="none" w:color="000000" w:sz="4" w:space="0"/>
              <w:bottom w:val="single" w:color="000000" w:sz="4" w:space="0"/>
              <w:right w:val="single" w:color="000000" w:sz="4" w:space="0"/>
            </w:tcBorders>
            <w:tcW w:w="75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至少支持13种车身颜色识别，包括：黑、白、灰、红、绿、蓝、黄、粉、紫、棕、青、金橙，白天准确率不低于99%,晚上准确率不低于95%;</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14</w:t>
            </w:r>
            <w:r/>
          </w:p>
        </w:tc>
        <w:tc>
          <w:tcPr>
            <w:tcBorders>
              <w:top w:val="none" w:color="000000" w:sz="4" w:space="0"/>
              <w:left w:val="none" w:color="000000" w:sz="4" w:space="0"/>
              <w:bottom w:val="single" w:color="000000" w:sz="4" w:space="0"/>
              <w:right w:val="single" w:color="000000" w:sz="4" w:space="0"/>
            </w:tcBorders>
            <w:tcW w:w="75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可在抓拍图片上叠加抓拍时间、地点、车道号、限速值、车长、车速、车身颜色、车牌号码等信息：</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15</w:t>
            </w:r>
            <w:r/>
          </w:p>
        </w:tc>
        <w:tc>
          <w:tcPr>
            <w:tcBorders>
              <w:top w:val="none" w:color="000000" w:sz="4" w:space="0"/>
              <w:left w:val="none" w:color="000000" w:sz="4" w:space="0"/>
              <w:bottom w:val="single" w:color="000000" w:sz="4" w:space="0"/>
              <w:right w:val="single" w:color="000000" w:sz="4" w:space="0"/>
            </w:tcBorders>
            <w:tcW w:w="75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至少1个SFP光纤接口(含光模块)、1个RJ4510M/100M/1000M自适应网口、2个RS-485接口；</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16</w:t>
            </w:r>
            <w:r/>
          </w:p>
        </w:tc>
        <w:tc>
          <w:tcPr>
            <w:tcBorders>
              <w:top w:val="none" w:color="000000" w:sz="4" w:space="0"/>
              <w:left w:val="none" w:color="000000" w:sz="4" w:space="0"/>
              <w:bottom w:val="single" w:color="000000" w:sz="4" w:space="0"/>
              <w:right w:val="single" w:color="000000" w:sz="4" w:space="0"/>
            </w:tcBorders>
            <w:tcW w:w="75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外部触发不低于7路，可作为补光灯同步输出控制，具有外部频率源同步接口，可与外部灯光或红绿灯同步；</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17</w:t>
            </w:r>
            <w:r/>
          </w:p>
        </w:tc>
        <w:tc>
          <w:tcPr>
            <w:tcBorders>
              <w:top w:val="none" w:color="000000" w:sz="4" w:space="0"/>
              <w:left w:val="none" w:color="000000" w:sz="4" w:space="0"/>
              <w:bottom w:val="single" w:color="000000" w:sz="4" w:space="0"/>
              <w:right w:val="single" w:color="000000" w:sz="4" w:space="0"/>
            </w:tcBorders>
            <w:tcW w:w="75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至少支持IP66的外壳防护能力：</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77"/>
              <w:jc w:val="left"/>
              <w:rPr>
                <w:rFonts w:hint="eastAsia" w:ascii="宋体" w:hAnsi="宋体"/>
                <w:b w:val="0"/>
                <w:bCs w:val="0"/>
                <w:i w:val="0"/>
                <w:color w:val="auto"/>
                <w:sz w:val="18"/>
                <w:szCs w:val="18"/>
                <w:highlight w:val="none"/>
              </w:rPr>
            </w:pPr>
            <w:r>
              <w:rPr>
                <w:rFonts w:hint="eastAsia" w:ascii="宋体" w:hAnsi="宋体"/>
                <w:b w:val="0"/>
                <w:bCs w:val="0"/>
                <w:i w:val="0"/>
                <w:color w:val="auto"/>
                <w:sz w:val="18"/>
                <w:szCs w:val="18"/>
                <w:highlight w:val="none"/>
              </w:rPr>
              <w:t xml:space="preserve">18</w:t>
            </w:r>
            <w:r/>
          </w:p>
        </w:tc>
        <w:tc>
          <w:tcPr>
            <w:tcBorders>
              <w:top w:val="none" w:color="000000" w:sz="4" w:space="0"/>
              <w:left w:val="none" w:color="000000" w:sz="4" w:space="0"/>
              <w:bottom w:val="single" w:color="000000" w:sz="4" w:space="0"/>
              <w:right w:val="single" w:color="000000" w:sz="4" w:space="0"/>
            </w:tcBorders>
            <w:tcW w:w="7504" w:type="dxa"/>
            <w:vAlign w:val="center"/>
            <w:textDirection w:val="lrTb"/>
            <w:noWrap w:val="false"/>
          </w:tcPr>
          <w:p>
            <w:pPr>
              <w:pStyle w:val="1077"/>
              <w:jc w:val="left"/>
              <w:rPr>
                <w:rFonts w:hint="eastAsia" w:ascii="宋体" w:hAnsi="宋体"/>
                <w:b w:val="0"/>
                <w:bCs w:val="0"/>
                <w:i w:val="0"/>
                <w:color w:val="auto"/>
                <w:sz w:val="18"/>
                <w:szCs w:val="18"/>
                <w:highlight w:val="none"/>
              </w:rPr>
            </w:pPr>
            <w:r>
              <w:rPr>
                <w:rFonts w:hint="eastAsia" w:ascii="宋体" w:hAnsi="宋体"/>
                <w:b w:val="0"/>
                <w:bCs w:val="0"/>
                <w:i w:val="0"/>
                <w:color w:val="auto"/>
                <w:sz w:val="18"/>
                <w:szCs w:val="18"/>
                <w:highlight w:val="none"/>
              </w:rPr>
              <w:t xml:space="preserve">五年质保，须提供产品生产商5年原厂质保函</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19</w:t>
            </w:r>
            <w:r/>
          </w:p>
        </w:tc>
        <w:tc>
          <w:tcPr>
            <w:tcBorders>
              <w:top w:val="none" w:color="000000" w:sz="4" w:space="0"/>
              <w:left w:val="none" w:color="000000" w:sz="4" w:space="0"/>
              <w:bottom w:val="single" w:color="000000" w:sz="4" w:space="0"/>
              <w:right w:val="single" w:color="000000" w:sz="4" w:space="0"/>
            </w:tcBorders>
            <w:tcW w:w="75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配置一张256GB存储卡</w:t>
            </w:r>
            <w:r/>
          </w:p>
        </w:tc>
      </w:tr>
    </w:tbl>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（2）正向电警抓拍相机</w:t>
      </w:r>
      <w:r/>
    </w:p>
    <w:tbl>
      <w:tblPr>
        <w:tblStyle w:val="959"/>
        <w:tblW w:w="8250" w:type="dxa"/>
        <w:tblInd w:w="250" w:type="dxa"/>
        <w:tblLayout w:type="autofit"/>
        <w:tblCellMar>
          <w:left w:w="108" w:type="dxa"/>
          <w:top w:w="0" w:type="dxa"/>
          <w:right w:w="108" w:type="dxa"/>
          <w:bottom w:w="0" w:type="dxa"/>
        </w:tblCellMar>
        <w:tblLook w:val="04A0" w:firstRow="1" w:lastRow="0" w:firstColumn="1" w:lastColumn="0" w:noHBand="0" w:noVBand="1"/>
      </w:tblPr>
      <w:tblGrid>
        <w:gridCol w:w="1836"/>
        <w:gridCol w:w="6414"/>
      </w:tblGrid>
      <w:tr>
        <w:trPr>
          <w:trHeight w:val="397"/>
          <w:tblHead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序号</w:t>
            </w:r>
            <w:r/>
          </w:p>
        </w:tc>
        <w:tc>
          <w:tcPr>
            <w:tcBorders>
              <w:top w:val="singl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技术和功能要求</w:t>
            </w:r>
            <w:r/>
          </w:p>
        </w:tc>
      </w:tr>
      <w:tr>
        <w:trPr>
          <w:trHeight w:val="397"/>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w:t>
            </w:r>
            <w:r/>
          </w:p>
        </w:tc>
        <w:tc>
          <w:tcPr>
            <w:tcBorders>
              <w:top w:val="singl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包含摄像机、高清镜头、室外防护罩、内置补光灯、相机内置网络信号防雷器、电源适配器等；</w:t>
            </w:r>
            <w:r/>
          </w:p>
        </w:tc>
      </w:tr>
      <w:tr>
        <w:trPr>
          <w:trHeight w:val="397"/>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w:t>
            </w:r>
            <w:r/>
          </w:p>
        </w:tc>
        <w:tc>
          <w:tcPr>
            <w:tcBorders>
              <w:top w:val="singl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不低于1英寸CMOS;</w:t>
            </w:r>
            <w:r/>
          </w:p>
        </w:tc>
      </w:tr>
      <w:tr>
        <w:trPr>
          <w:trHeight w:val="397"/>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w:t>
            </w:r>
            <w:r/>
          </w:p>
        </w:tc>
        <w:tc>
          <w:tcPr>
            <w:tcBorders>
              <w:top w:val="singl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采用智能图像处理技术(包括但不限于多帧图像融合、多个图像传感器、多个图像处理芯片等技术)可分别输出黑白及彩色图像，可对视频图像和抓拍图片进行融合输出 ；</w:t>
            </w:r>
            <w:r/>
          </w:p>
        </w:tc>
      </w:tr>
      <w:tr>
        <w:trPr>
          <w:trHeight w:val="397"/>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4</w:t>
            </w:r>
            <w:r/>
          </w:p>
        </w:tc>
        <w:tc>
          <w:tcPr>
            <w:tcBorders>
              <w:top w:val="singl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最大图像尺寸：不低于4096×2160像素；</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全天候输出彩色图像；</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6</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视频编码方式支持： H.265、H.264；</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7</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支持车辆捕获功能，白天准确率不低于97%,晚上捕获率不低于95%；</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8</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支持车辆识别功能，白天准确率不低于97%;晚上捕获率不低于95%；</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9</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支持识别多种车型，包括轻型普通货车、小型轿车、小型客车、小大型普通客车、面包车等，准确率不低于97%；</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10</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支持识别车尾车辆子品牌，白天识别率不低于98%,晚上识别率不低于95%；</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11</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支持不按车道行驶功能，白天捕获率不低于98%,夜间捕获率不低于98%；</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12</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支持违法掉头抓拍功能，对违法掉头行为进行抓拍；</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13</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支持违法占用应急车道/非机动车道抓拍功能；</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14</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支持新能源车牌识别，白天准确率不低于97%,晚上准确率不低于95%；</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15</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至少支持13种车身颜色识别，包括：黑、白、灰、红、绿、蓝、黄、粉、紫、</w:t>
            </w:r>
            <w:r>
              <w:rPr>
                <w:rFonts w:hint="eastAsia" w:ascii="宋体" w:hAnsi="宋体"/>
                <w:i w:val="0"/>
                <w:color w:val="auto"/>
                <w:sz w:val="18"/>
                <w:szCs w:val="18"/>
                <w:highlight w:val="none"/>
              </w:rPr>
              <w:br/>
            </w:r>
            <w:r>
              <w:rPr>
                <w:rFonts w:hint="eastAsia" w:ascii="宋体" w:hAnsi="宋体"/>
                <w:i w:val="0"/>
                <w:color w:val="auto"/>
                <w:sz w:val="18"/>
                <w:szCs w:val="18"/>
                <w:highlight w:val="none"/>
              </w:rPr>
              <w:t xml:space="preserve">棕、青、金、橙，白天准确率不低于99%,晚上准确率不低于95%;</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16</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支持闯红灯抓拍功能，捕获率不低于97%;</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17</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可在抓拍图片上叠加抓拍时间、地点、车道号、限速值、车速、车身颜色、车牌号码等信息；</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18</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至少1个SFP光纤接口(含光模块)、1个RJ4510M/100M/1000M自适应网口、</w:t>
            </w:r>
            <w:r>
              <w:rPr>
                <w:rFonts w:hint="eastAsia" w:ascii="宋体" w:hAnsi="宋体"/>
                <w:i w:val="0"/>
                <w:color w:val="auto"/>
                <w:sz w:val="18"/>
                <w:szCs w:val="18"/>
                <w:highlight w:val="none"/>
              </w:rPr>
              <w:br/>
            </w:r>
            <w:r>
              <w:rPr>
                <w:rFonts w:hint="eastAsia" w:ascii="宋体" w:hAnsi="宋体"/>
                <w:i w:val="0"/>
                <w:color w:val="auto"/>
                <w:sz w:val="18"/>
                <w:szCs w:val="18"/>
                <w:highlight w:val="none"/>
              </w:rPr>
              <w:t xml:space="preserve">2个RS-485接口</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19</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外部触发不低于7路，可作为补光灯同步输出控制；</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20</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至少支持IP65的外壳防护能力：</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21</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亮度(灰度)鉴别等级不低于12级</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22</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支持透雾、强光抑制等功能</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23</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五年质保，须提供产品生产商5年原厂质保函</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24</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配置一张256GB存储卡</w:t>
            </w:r>
            <w:r/>
          </w:p>
        </w:tc>
      </w:tr>
    </w:tbl>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（3）多合一补光灯</w:t>
      </w:r>
      <w:r/>
    </w:p>
    <w:tbl>
      <w:tblPr>
        <w:tblStyle w:val="959"/>
        <w:tblW w:w="83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6"/>
        <w:gridCol w:w="6513"/>
      </w:tblGrid>
      <w:tr>
        <w:trPr>
          <w:jc w:val="center"/>
          <w:trHeight w:val="397"/>
          <w:tblHeader/>
        </w:trPr>
        <w:tc>
          <w:tcPr>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序号</w:t>
            </w:r>
            <w:r/>
          </w:p>
        </w:tc>
        <w:tc>
          <w:tcPr>
            <w:tcW w:w="74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技术和功能要求</w:t>
            </w:r>
            <w:r/>
          </w:p>
        </w:tc>
      </w:tr>
      <w:tr>
        <w:trPr>
          <w:jc w:val="center"/>
          <w:trHeight w:val="397"/>
        </w:trPr>
        <w:tc>
          <w:tcPr>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w:t>
            </w:r>
            <w:r/>
          </w:p>
        </w:tc>
        <w:tc>
          <w:tcPr>
            <w:tcW w:w="74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支持白天可见光、晚上红外光补光模式；</w:t>
            </w:r>
            <w:r/>
          </w:p>
        </w:tc>
      </w:tr>
      <w:tr>
        <w:trPr>
          <w:jc w:val="center"/>
          <w:trHeight w:val="397"/>
        </w:trPr>
        <w:tc>
          <w:tcPr>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w:t>
            </w:r>
            <w:r/>
          </w:p>
        </w:tc>
        <w:tc>
          <w:tcPr>
            <w:tcW w:w="74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至少支持IP65的外壳防护能力；</w:t>
            </w:r>
            <w:r/>
          </w:p>
        </w:tc>
      </w:tr>
      <w:tr>
        <w:trPr>
          <w:jc w:val="center"/>
          <w:trHeight w:val="397"/>
        </w:trPr>
        <w:tc>
          <w:tcPr>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w:t>
            </w:r>
            <w:r/>
          </w:p>
        </w:tc>
        <w:tc>
          <w:tcPr>
            <w:tcW w:w="74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最小闪光间隔不低于65ms;</w:t>
            </w:r>
            <w:r/>
          </w:p>
        </w:tc>
      </w:tr>
      <w:tr>
        <w:trPr>
          <w:jc w:val="center"/>
          <w:trHeight w:val="397"/>
        </w:trPr>
        <w:tc>
          <w:tcPr>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4</w:t>
            </w:r>
            <w:r/>
          </w:p>
        </w:tc>
        <w:tc>
          <w:tcPr>
            <w:tcW w:w="74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符合《交通技术监控成像补光装置通用技术条件》中一级标准</w:t>
            </w:r>
            <w:r/>
          </w:p>
        </w:tc>
      </w:tr>
      <w:tr>
        <w:trPr>
          <w:jc w:val="center"/>
          <w:trHeight w:val="397"/>
        </w:trPr>
        <w:tc>
          <w:tcPr>
            <w:tcW w:w="85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5</w:t>
            </w:r>
            <w:r/>
          </w:p>
        </w:tc>
        <w:tc>
          <w:tcPr>
            <w:tcW w:w="74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五年质保，须提供产品生产商5年原厂质保函</w:t>
            </w:r>
            <w:r/>
          </w:p>
        </w:tc>
      </w:tr>
    </w:tbl>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（4）环保环境补光灯</w:t>
      </w:r>
      <w:r/>
    </w:p>
    <w:tbl>
      <w:tblPr>
        <w:tblStyle w:val="959"/>
        <w:tblW w:w="8770" w:type="dxa"/>
        <w:jc w:val="center"/>
        <w:tblLayout w:type="autofit"/>
        <w:tblCellMar>
          <w:left w:w="108" w:type="dxa"/>
          <w:top w:w="0" w:type="dxa"/>
          <w:right w:w="108" w:type="dxa"/>
          <w:bottom w:w="0" w:type="dxa"/>
        </w:tblCellMar>
        <w:tblLook w:val="04A0" w:firstRow="1" w:lastRow="0" w:firstColumn="1" w:lastColumn="0" w:noHBand="0" w:noVBand="1"/>
      </w:tblPr>
      <w:tblGrid>
        <w:gridCol w:w="1836"/>
        <w:gridCol w:w="6934"/>
      </w:tblGrid>
      <w:tr>
        <w:trPr>
          <w:jc w:val="center"/>
          <w:trHeight w:val="397"/>
          <w:tblHeader/>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序号</w:t>
            </w:r>
            <w:r/>
          </w:p>
        </w:tc>
        <w:tc>
          <w:tcPr>
            <w:tcBorders>
              <w:top w:val="single" w:color="000000" w:sz="4" w:space="0"/>
              <w:left w:val="none" w:color="000000" w:sz="4" w:space="0"/>
              <w:bottom w:val="single" w:color="000000" w:sz="4" w:space="0"/>
              <w:right w:val="single" w:color="000000" w:sz="4" w:space="0"/>
            </w:tcBorders>
            <w:tcW w:w="79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技术和功能要求</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w:t>
            </w:r>
            <w:r/>
          </w:p>
        </w:tc>
        <w:tc>
          <w:tcPr>
            <w:tcBorders>
              <w:top w:val="none" w:color="000000" w:sz="4" w:space="0"/>
              <w:left w:val="none" w:color="000000" w:sz="4" w:space="0"/>
              <w:bottom w:val="single" w:color="000000" w:sz="4" w:space="0"/>
              <w:right w:val="single" w:color="000000" w:sz="4" w:space="0"/>
            </w:tcBorders>
            <w:tcW w:w="79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光源类型：LED,单车道环境补光；</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w:t>
            </w:r>
            <w:r/>
          </w:p>
        </w:tc>
        <w:tc>
          <w:tcPr>
            <w:tcBorders>
              <w:top w:val="none" w:color="000000" w:sz="4" w:space="0"/>
              <w:left w:val="none" w:color="000000" w:sz="4" w:space="0"/>
              <w:bottom w:val="single" w:color="000000" w:sz="4" w:space="0"/>
              <w:right w:val="single" w:color="000000" w:sz="4" w:space="0"/>
            </w:tcBorders>
            <w:tcW w:w="79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LED灯珠数量：≥16颗；</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w:t>
            </w:r>
            <w:r/>
          </w:p>
        </w:tc>
        <w:tc>
          <w:tcPr>
            <w:tcBorders>
              <w:top w:val="none" w:color="000000" w:sz="4" w:space="0"/>
              <w:left w:val="none" w:color="000000" w:sz="4" w:space="0"/>
              <w:bottom w:val="single" w:color="000000" w:sz="4" w:space="0"/>
              <w:right w:val="single" w:color="000000" w:sz="4" w:space="0"/>
            </w:tcBorders>
            <w:tcW w:w="79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最佳补光距离：16米-25米：</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4</w:t>
            </w:r>
            <w:r/>
          </w:p>
        </w:tc>
        <w:tc>
          <w:tcPr>
            <w:tcBorders>
              <w:top w:val="none" w:color="000000" w:sz="4" w:space="0"/>
              <w:left w:val="none" w:color="000000" w:sz="4" w:space="0"/>
              <w:bottom w:val="single" w:color="000000" w:sz="4" w:space="0"/>
              <w:right w:val="single" w:color="000000" w:sz="4" w:space="0"/>
            </w:tcBorders>
            <w:tcW w:w="79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触发方式：支持5V电平量触发(可选配开关量触发);</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79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支持补光灯自带光敏控制，在低照度下自动开启：</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6</w:t>
            </w:r>
            <w:r/>
          </w:p>
        </w:tc>
        <w:tc>
          <w:tcPr>
            <w:tcBorders>
              <w:top w:val="none" w:color="000000" w:sz="4" w:space="0"/>
              <w:left w:val="none" w:color="000000" w:sz="4" w:space="0"/>
              <w:bottom w:val="single" w:color="000000" w:sz="4" w:space="0"/>
              <w:right w:val="single" w:color="000000" w:sz="4" w:space="0"/>
            </w:tcBorders>
            <w:tcW w:w="79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支持自闪、跟随、自动频闪模式：</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7</w:t>
            </w:r>
            <w:r/>
          </w:p>
        </w:tc>
        <w:tc>
          <w:tcPr>
            <w:tcBorders>
              <w:top w:val="none" w:color="000000" w:sz="4" w:space="0"/>
              <w:left w:val="none" w:color="000000" w:sz="4" w:space="0"/>
              <w:bottom w:val="single" w:color="000000" w:sz="4" w:space="0"/>
              <w:right w:val="single" w:color="000000" w:sz="4" w:space="0"/>
            </w:tcBorders>
            <w:tcW w:w="79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频率0-250HZ可调，支持通过调整占空比1%~39%进行亮度调节：</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8</w:t>
            </w:r>
            <w:r/>
          </w:p>
        </w:tc>
        <w:tc>
          <w:tcPr>
            <w:tcBorders>
              <w:top w:val="none" w:color="000000" w:sz="4" w:space="0"/>
              <w:left w:val="none" w:color="000000" w:sz="4" w:space="0"/>
              <w:bottom w:val="single" w:color="000000" w:sz="4" w:space="0"/>
              <w:right w:val="single" w:color="000000" w:sz="4" w:space="0"/>
            </w:tcBorders>
            <w:tcW w:w="79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支持频率及占空比保护功能，支持爆闪功能，爆闪持续时间、延迟时间及最小间隔时间可设；</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9</w:t>
            </w:r>
            <w:r/>
          </w:p>
        </w:tc>
        <w:tc>
          <w:tcPr>
            <w:tcBorders>
              <w:top w:val="none" w:color="000000" w:sz="4" w:space="0"/>
              <w:left w:val="none" w:color="000000" w:sz="4" w:space="0"/>
              <w:bottom w:val="single" w:color="000000" w:sz="4" w:space="0"/>
              <w:right w:val="single" w:color="000000" w:sz="4" w:space="0"/>
            </w:tcBorders>
            <w:tcW w:w="79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支持通过同步输出端口级联；</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10</w:t>
            </w:r>
            <w:r/>
          </w:p>
        </w:tc>
        <w:tc>
          <w:tcPr>
            <w:tcBorders>
              <w:top w:val="none" w:color="000000" w:sz="4" w:space="0"/>
              <w:left w:val="none" w:color="000000" w:sz="4" w:space="0"/>
              <w:bottom w:val="single" w:color="000000" w:sz="4" w:space="0"/>
              <w:right w:val="single" w:color="000000" w:sz="4" w:space="0"/>
            </w:tcBorders>
            <w:tcW w:w="79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支持通过RS485远程控制补光灯的亮度、开启/关闭：</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11</w:t>
            </w:r>
            <w:r/>
          </w:p>
        </w:tc>
        <w:tc>
          <w:tcPr>
            <w:tcBorders>
              <w:top w:val="none" w:color="000000" w:sz="4" w:space="0"/>
              <w:left w:val="none" w:color="000000" w:sz="4" w:space="0"/>
              <w:bottom w:val="single" w:color="000000" w:sz="4" w:space="0"/>
              <w:right w:val="single" w:color="000000" w:sz="4" w:space="0"/>
            </w:tcBorders>
            <w:tcW w:w="79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支持通过RS485对补光灯升级程序；</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12</w:t>
            </w:r>
            <w:r/>
          </w:p>
        </w:tc>
        <w:tc>
          <w:tcPr>
            <w:tcBorders>
              <w:top w:val="none" w:color="000000" w:sz="4" w:space="0"/>
              <w:left w:val="none" w:color="000000" w:sz="4" w:space="0"/>
              <w:bottom w:val="single" w:color="000000" w:sz="4" w:space="0"/>
              <w:right w:val="single" w:color="000000" w:sz="4" w:space="0"/>
            </w:tcBorders>
            <w:tcW w:w="79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支持远程显示补光灯故障、正常、开启、关闭等工作状态：</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13</w:t>
            </w:r>
            <w:r/>
          </w:p>
        </w:tc>
        <w:tc>
          <w:tcPr>
            <w:tcBorders>
              <w:top w:val="none" w:color="000000" w:sz="4" w:space="0"/>
              <w:left w:val="none" w:color="000000" w:sz="4" w:space="0"/>
              <w:bottom w:val="single" w:color="000000" w:sz="4" w:space="0"/>
              <w:right w:val="single" w:color="000000" w:sz="4" w:space="0"/>
            </w:tcBorders>
            <w:tcW w:w="79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频闪响应时间不大于20us;</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14</w:t>
            </w:r>
            <w:r/>
          </w:p>
        </w:tc>
        <w:tc>
          <w:tcPr>
            <w:tcBorders>
              <w:top w:val="none" w:color="000000" w:sz="4" w:space="0"/>
              <w:left w:val="none" w:color="000000" w:sz="4" w:space="0"/>
              <w:bottom w:val="single" w:color="000000" w:sz="4" w:space="0"/>
              <w:right w:val="single" w:color="000000" w:sz="4" w:space="0"/>
            </w:tcBorders>
            <w:tcW w:w="79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防护等级：IP65;</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15</w:t>
            </w:r>
            <w:r/>
          </w:p>
        </w:tc>
        <w:tc>
          <w:tcPr>
            <w:tcBorders>
              <w:top w:val="none" w:color="000000" w:sz="4" w:space="0"/>
              <w:left w:val="none" w:color="000000" w:sz="4" w:space="0"/>
              <w:bottom w:val="single" w:color="000000" w:sz="4" w:space="0"/>
              <w:right w:val="single" w:color="000000" w:sz="4" w:space="0"/>
            </w:tcBorders>
            <w:tcW w:w="79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符合《交通技术监控成像补光装置通用技术条件》中一级标准：</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16</w:t>
            </w:r>
            <w:r/>
          </w:p>
        </w:tc>
        <w:tc>
          <w:tcPr>
            <w:tcBorders>
              <w:top w:val="none" w:color="000000" w:sz="4" w:space="0"/>
              <w:left w:val="none" w:color="000000" w:sz="4" w:space="0"/>
              <w:bottom w:val="single" w:color="000000" w:sz="4" w:space="0"/>
              <w:right w:val="single" w:color="000000" w:sz="4" w:space="0"/>
            </w:tcBorders>
            <w:tcW w:w="790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五年质保，须提供产品生产商5年原厂质保函</w:t>
            </w:r>
            <w:r/>
          </w:p>
        </w:tc>
      </w:tr>
    </w:tbl>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（5）工业级交换机</w:t>
      </w:r>
      <w:r/>
    </w:p>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①工业级汇聚交换机</w:t>
      </w:r>
      <w:r/>
    </w:p>
    <w:tbl>
      <w:tblPr>
        <w:tblStyle w:val="959"/>
        <w:tblW w:w="8737" w:type="dxa"/>
        <w:jc w:val="center"/>
        <w:tblLayout w:type="autofit"/>
        <w:tblCellMar>
          <w:left w:w="108" w:type="dxa"/>
          <w:top w:w="0" w:type="dxa"/>
          <w:right w:w="108" w:type="dxa"/>
          <w:bottom w:w="0" w:type="dxa"/>
        </w:tblCellMar>
        <w:tblLook w:val="04A0" w:firstRow="1" w:lastRow="0" w:firstColumn="1" w:lastColumn="0" w:noHBand="0" w:noVBand="1"/>
      </w:tblPr>
      <w:tblGrid>
        <w:gridCol w:w="1836"/>
        <w:gridCol w:w="6901"/>
      </w:tblGrid>
      <w:tr>
        <w:trPr>
          <w:jc w:val="center"/>
          <w:trHeight w:val="397"/>
          <w:tblHeader/>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序号</w:t>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技术和功能要求</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配置24个千兆SFP口（满配模块与摄像机兼容、端口速率自适应）、不少于4个Combo口，4个万兆SFP+口，1个网管口；</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整机交换容量≥144Gbps，包转发率≥102MppS，MAC≥16K;</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物理接口：光接口LC、光电复合接口；</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4</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传输距离：单模：0~25km;</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支持VLAN划分、端口流量分析；</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6</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支持生成树STP/RSTP/MSTP，环网自愈时间小于50毫秒，支持异常端口自动重启恢复或手动恢复；</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7</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支持端口安全，IP+MAC+端口绑定，远程控制端口开启和关闭；</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8</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支持QOS，支持链路聚合功能、LLDP协议功能，支持静态路由、动态路由；</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9</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支持NTP网络时钟同步；</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10</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支持WEB、Telnet、SSH、SNMP等网管功能，支持SNMPv1/v2/v3,支持修改网络协议默认端口号，可对接第三方标准SNMP网管平台；</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11</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电源输入：AC100-240V输入，冗余电源；</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12</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工作温度： -40～85℃运行；</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13</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散热方式：全封闭、自然散热；</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14</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防水防尘等级：不低于IP40；</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15</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工作湿度：10%～95%（无冷凝）；</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16</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电磁兼容：内置浪涌和静电保护。</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17</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五年质保，须提供产品生产商5年原厂质保函</w:t>
            </w:r>
            <w:r/>
          </w:p>
        </w:tc>
      </w:tr>
    </w:tbl>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②工业接入交换机</w:t>
      </w:r>
      <w:r/>
    </w:p>
    <w:tbl>
      <w:tblPr>
        <w:tblStyle w:val="959"/>
        <w:tblW w:w="8763" w:type="dxa"/>
        <w:jc w:val="center"/>
        <w:tblLayout w:type="autofit"/>
        <w:tblCellMar>
          <w:left w:w="108" w:type="dxa"/>
          <w:top w:w="0" w:type="dxa"/>
          <w:right w:w="108" w:type="dxa"/>
          <w:bottom w:w="0" w:type="dxa"/>
        </w:tblCellMar>
        <w:tblLook w:val="04A0" w:firstRow="1" w:lastRow="0" w:firstColumn="1" w:lastColumn="0" w:noHBand="0" w:noVBand="1"/>
      </w:tblPr>
      <w:tblGrid>
        <w:gridCol w:w="1836"/>
        <w:gridCol w:w="6927"/>
      </w:tblGrid>
      <w:tr>
        <w:trPr>
          <w:jc w:val="center"/>
          <w:trHeight w:val="397"/>
          <w:tblHead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序号</w:t>
            </w:r>
            <w:r/>
          </w:p>
        </w:tc>
        <w:tc>
          <w:tcPr>
            <w:tcBorders>
              <w:top w:val="single" w:color="000000" w:sz="4" w:space="0"/>
              <w:left w:val="none" w:color="000000" w:sz="4" w:space="0"/>
              <w:bottom w:val="single" w:color="000000" w:sz="4" w:space="0"/>
              <w:right w:val="single" w:color="000000" w:sz="4" w:space="0"/>
            </w:tcBorders>
            <w:tcW w:w="7912"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技术和功能要求</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w:t>
            </w:r>
            <w:r/>
          </w:p>
        </w:tc>
        <w:tc>
          <w:tcPr>
            <w:tcBorders>
              <w:top w:val="none" w:color="000000" w:sz="4" w:space="0"/>
              <w:left w:val="none" w:color="000000" w:sz="4" w:space="0"/>
              <w:bottom w:val="single" w:color="000000" w:sz="4" w:space="0"/>
              <w:right w:val="single" w:color="000000" w:sz="4" w:space="0"/>
            </w:tcBorders>
            <w:tcW w:w="7912"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硬件性能：交换容量≥160Gbps,包转发率≥30Mpps</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w:t>
            </w:r>
            <w:r/>
          </w:p>
        </w:tc>
        <w:tc>
          <w:tcPr>
            <w:tcBorders>
              <w:top w:val="none" w:color="000000" w:sz="4" w:space="0"/>
              <w:left w:val="none" w:color="000000" w:sz="4" w:space="0"/>
              <w:bottom w:val="single" w:color="000000" w:sz="4" w:space="0"/>
              <w:right w:val="single" w:color="000000" w:sz="4" w:space="0"/>
            </w:tcBorders>
            <w:tcW w:w="7912"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端口：≥8个千兆电口，≥2个千兆SFP+光口(满配模块与摄像机兼容)</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w:t>
            </w:r>
            <w:r/>
          </w:p>
        </w:tc>
        <w:tc>
          <w:tcPr>
            <w:tcBorders>
              <w:top w:val="none" w:color="000000" w:sz="4" w:space="0"/>
              <w:left w:val="none" w:color="000000" w:sz="4" w:space="0"/>
              <w:bottom w:val="single" w:color="000000" w:sz="4" w:space="0"/>
              <w:right w:val="single" w:color="000000" w:sz="4" w:space="0"/>
            </w:tcBorders>
            <w:tcW w:w="7912"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硬件：一体机集成交换机、防护外壳、防雷器、熔纤盒、多路电源输出、机械锁等多个模块为一体，可实现室外接入点一站式交付：SUS201壁厚1.5mm尺寸550*500*256mm(应根据实际设备规格适当调整，并保持全线规格一致)；支持交直流对外输出：支持5路12VDC输出：支持2路24VAC输出</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4</w:t>
            </w:r>
            <w:r/>
          </w:p>
        </w:tc>
        <w:tc>
          <w:tcPr>
            <w:tcBorders>
              <w:top w:val="none" w:color="000000" w:sz="4" w:space="0"/>
              <w:left w:val="none" w:color="000000" w:sz="4" w:space="0"/>
              <w:bottom w:val="single" w:color="000000" w:sz="4" w:space="0"/>
              <w:right w:val="single" w:color="000000" w:sz="4" w:space="0"/>
            </w:tcBorders>
            <w:tcW w:w="7912"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二层：支持4K个VLAN,支持Voice VLAN，基于端口的VLAN,基于MAC的VLAN,基于协议的VLAN</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7912"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三层：支持RIP、RIPng、OSPF、OSPFv3、ISIS、BGP等路由协议</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7912"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安全功能：支持802.1x、MAC认证和Portal认证；支持DoS攻击防护、ARP攻击防护、ICMP攻击防护，支持端口隔离、端口安全；支持对端口接收报文速率和发送报文速率进行限制，支持DRR、SP、DRR+SP队</w:t>
            </w:r>
            <w:r>
              <w:rPr>
                <w:rFonts w:hint="eastAsia" w:ascii="宋体" w:hAnsi="宋体"/>
                <w:i w:val="0"/>
                <w:color w:val="auto"/>
                <w:sz w:val="18"/>
                <w:szCs w:val="18"/>
                <w:highlight w:val="none"/>
              </w:rPr>
              <w:br/>
            </w:r>
            <w:r>
              <w:rPr>
                <w:rFonts w:hint="eastAsia" w:ascii="宋体" w:hAnsi="宋体"/>
                <w:i w:val="0"/>
                <w:color w:val="auto"/>
                <w:sz w:val="18"/>
                <w:szCs w:val="18"/>
                <w:highlight w:val="none"/>
              </w:rPr>
              <w:t xml:space="preserve">列调度算法</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6</w:t>
            </w:r>
            <w:r/>
          </w:p>
        </w:tc>
        <w:tc>
          <w:tcPr>
            <w:tcBorders>
              <w:top w:val="none" w:color="000000" w:sz="4" w:space="0"/>
              <w:left w:val="none" w:color="000000" w:sz="4" w:space="0"/>
              <w:bottom w:val="single" w:color="000000" w:sz="4" w:space="0"/>
              <w:right w:val="single" w:color="000000" w:sz="4" w:space="0"/>
            </w:tcBorders>
            <w:tcW w:w="7912"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室外工作可靠性：支持工业级工作温度范围：-40至85℃工作温度；支持户外防雷，适用于室外各种环境；</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7</w:t>
            </w:r>
            <w:r/>
          </w:p>
        </w:tc>
        <w:tc>
          <w:tcPr>
            <w:tcBorders>
              <w:top w:val="none" w:color="000000" w:sz="4" w:space="0"/>
              <w:left w:val="none" w:color="000000" w:sz="4" w:space="0"/>
              <w:bottom w:val="single" w:color="000000" w:sz="4" w:space="0"/>
              <w:right w:val="single" w:color="000000" w:sz="4" w:space="0"/>
            </w:tcBorders>
            <w:tcW w:w="7912"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视频监控感知：支持智能IPC离线诊断，配合网管平台，可快速对IPC所在网络路径的设备管理状态、端口状态、告警进行故障诊断，快速定界IPC故障类型：支持机械锁和开箱告警，及时感知对一体机的破坏和入侵行为，保护监控设备安全</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8</w:t>
            </w:r>
            <w:r/>
          </w:p>
        </w:tc>
        <w:tc>
          <w:tcPr>
            <w:tcBorders>
              <w:top w:val="none" w:color="000000" w:sz="4" w:space="0"/>
              <w:left w:val="none" w:color="000000" w:sz="4" w:space="0"/>
              <w:bottom w:val="single" w:color="000000" w:sz="4" w:space="0"/>
              <w:right w:val="single" w:color="000000" w:sz="4" w:space="0"/>
            </w:tcBorders>
            <w:tcW w:w="7912"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管理维护：支持SNMP vl/v2/v3、Telnet、RMON:支持通过命令行、Web、中文图形化配置软件等方式进行配置和管理</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9</w:t>
            </w:r>
            <w:r/>
          </w:p>
        </w:tc>
        <w:tc>
          <w:tcPr>
            <w:tcBorders>
              <w:top w:val="none" w:color="000000" w:sz="4" w:space="0"/>
              <w:left w:val="none" w:color="000000" w:sz="4" w:space="0"/>
              <w:bottom w:val="single" w:color="000000" w:sz="4" w:space="0"/>
              <w:right w:val="single" w:color="000000" w:sz="4" w:space="0"/>
            </w:tcBorders>
            <w:tcW w:w="7912"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五年质保，须提供产品生产商5年原厂质保函</w:t>
            </w:r>
            <w:r/>
          </w:p>
        </w:tc>
      </w:tr>
    </w:tbl>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w:t>
      </w:r>
      <w:r>
        <w:rPr>
          <w:rFonts w:hint="eastAsia" w:ascii="宋体" w:hAnsi="宋体" w:eastAsia="宋体"/>
          <w:color w:val="auto"/>
          <w:sz w:val="18"/>
          <w:szCs w:val="18"/>
          <w:highlight w:val="none"/>
        </w:rPr>
        <w:t xml:space="preserve">6</w:t>
      </w:r>
      <w:r>
        <w:rPr>
          <w:rFonts w:ascii="宋体" w:hAnsi="宋体" w:eastAsia="宋体"/>
          <w:color w:val="auto"/>
          <w:sz w:val="18"/>
          <w:szCs w:val="18"/>
          <w:highlight w:val="none"/>
        </w:rPr>
        <w:t xml:space="preserve">）落地智能机箱</w:t>
      </w:r>
      <w:r/>
    </w:p>
    <w:tbl>
      <w:tblPr>
        <w:tblStyle w:val="959"/>
        <w:tblW w:w="8746" w:type="dxa"/>
        <w:jc w:val="center"/>
        <w:tblLayout w:type="autofit"/>
        <w:tblCellMar>
          <w:left w:w="108" w:type="dxa"/>
          <w:top w:w="0" w:type="dxa"/>
          <w:right w:w="108" w:type="dxa"/>
          <w:bottom w:w="0" w:type="dxa"/>
        </w:tblCellMar>
        <w:tblLook w:val="04A0" w:firstRow="1" w:lastRow="0" w:firstColumn="1" w:lastColumn="0" w:noHBand="0" w:noVBand="1"/>
      </w:tblPr>
      <w:tblGrid>
        <w:gridCol w:w="1836"/>
        <w:gridCol w:w="6910"/>
      </w:tblGrid>
      <w:tr>
        <w:trPr>
          <w:jc w:val="center"/>
          <w:trHeight w:val="397"/>
          <w:tblHeade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序号</w:t>
            </w:r>
            <w:r/>
          </w:p>
        </w:tc>
        <w:tc>
          <w:tcPr>
            <w:tcBorders>
              <w:top w:val="single" w:color="000000" w:sz="4" w:space="0"/>
              <w:left w:val="none" w:color="000000" w:sz="4" w:space="0"/>
              <w:bottom w:val="single" w:color="000000" w:sz="4" w:space="0"/>
              <w:right w:val="single" w:color="000000" w:sz="4" w:space="0"/>
            </w:tcBorders>
            <w:tcW w:w="79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技术和功能要求</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w:t>
            </w:r>
            <w:r/>
          </w:p>
        </w:tc>
        <w:tc>
          <w:tcPr>
            <w:tcBorders>
              <w:top w:val="none" w:color="000000" w:sz="4" w:space="0"/>
              <w:left w:val="none" w:color="000000" w:sz="4" w:space="0"/>
              <w:bottom w:val="single" w:color="000000" w:sz="4" w:space="0"/>
              <w:right w:val="single" w:color="000000" w:sz="4" w:space="0"/>
            </w:tcBorders>
            <w:tcW w:w="79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箱体使用材料应具备防腐、防水等功能，SUS201板材厚度板材厚度2mm。防护等级≥IP55。   具体规格可根据管理部门意见适当调整。</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w:t>
            </w:r>
            <w:r/>
          </w:p>
        </w:tc>
        <w:tc>
          <w:tcPr>
            <w:tcBorders>
              <w:top w:val="none" w:color="000000" w:sz="4" w:space="0"/>
              <w:left w:val="none" w:color="000000" w:sz="4" w:space="0"/>
              <w:bottom w:val="single" w:color="000000" w:sz="4" w:space="0"/>
              <w:right w:val="single" w:color="000000" w:sz="4" w:space="0"/>
            </w:tcBorders>
            <w:tcW w:w="79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配件需求为：电源防雷器*1、三芯插座*8、隔离闸*2、熔断器6个、4芯融纤盘*1、16A断路器、市电检测模块*1、电动操作附件*1、运维节点主机*1、智能锁*1、散热风扇、电源配电模块*1。</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w:t>
            </w:r>
            <w:r/>
          </w:p>
        </w:tc>
        <w:tc>
          <w:tcPr>
            <w:tcBorders>
              <w:top w:val="none" w:color="000000" w:sz="4" w:space="0"/>
              <w:left w:val="none" w:color="000000" w:sz="4" w:space="0"/>
              <w:bottom w:val="single" w:color="000000" w:sz="4" w:space="0"/>
              <w:right w:val="single" w:color="000000" w:sz="4" w:space="0"/>
            </w:tcBorders>
            <w:tcW w:w="79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具有远程开锁和手工锁功能。</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4</w:t>
            </w:r>
            <w:r/>
          </w:p>
        </w:tc>
        <w:tc>
          <w:tcPr>
            <w:tcBorders>
              <w:top w:val="none" w:color="000000" w:sz="4" w:space="0"/>
              <w:left w:val="none" w:color="000000" w:sz="4" w:space="0"/>
              <w:bottom w:val="single" w:color="000000" w:sz="4" w:space="0"/>
              <w:right w:val="single" w:color="000000" w:sz="4" w:space="0"/>
            </w:tcBorders>
            <w:tcW w:w="79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散热系统应为智能风道设计，不少于风扇*2,需支持温控并配备专用防尘罩电动操作附件需支持双支点平行驱动，应可配装分闸安全挂锁：需支持电动分合、手/自动切换等功能。</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79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设备加密：设备支持SNMPV3版本加密协议，802.1X认证协议运维节点主机其有远程控制设备重新启动或状态显示；不少于8个输入/输出通道，RS485串口不少于1个，网络不少于1个：需支持断路器分/合状态，远程控制断路器分/合：需支持连接第三方24VDC的电器设备；</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6</w:t>
            </w:r>
            <w:r/>
          </w:p>
        </w:tc>
        <w:tc>
          <w:tcPr>
            <w:tcBorders>
              <w:top w:val="none" w:color="000000" w:sz="4" w:space="0"/>
              <w:left w:val="none" w:color="000000" w:sz="4" w:space="0"/>
              <w:bottom w:val="single" w:color="000000" w:sz="4" w:space="0"/>
              <w:right w:val="single" w:color="000000" w:sz="4" w:space="0"/>
            </w:tcBorders>
            <w:tcW w:w="79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需提供相关配套系统软件：能够精确定位摄像机断电，断网、设备损环等问题;一旦设备发生故障时，需向平台发送状态信息;需支持远程重启功能;需支持远程升级。</w:t>
            </w:r>
            <w:r/>
          </w:p>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具有远程控制功能:接受监控中心管理平台指今，实施远程断电重合，可控制摄像机、传输设备的开启和关闭。</w:t>
            </w:r>
            <w:r/>
          </w:p>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电压变化抗扰度:一段时间内，功能暂时丧失或降低，应能自行恢复，不需要操作干预温度显示:中心可显示机箱内温度、风扇开关状态;</w:t>
            </w:r>
            <w:r/>
          </w:p>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具有防盗报警功能:打开/关闭机箱门，中心可收到报警提示:</w:t>
            </w:r>
            <w:r/>
          </w:p>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具备 GPS/BeiDou 定位功能模块</w:t>
            </w:r>
            <w:r/>
          </w:p>
        </w:tc>
      </w:tr>
    </w:tbl>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w:t>
      </w:r>
      <w:r>
        <w:rPr>
          <w:rFonts w:hint="eastAsia" w:ascii="宋体" w:hAnsi="宋体" w:eastAsia="宋体"/>
          <w:color w:val="auto"/>
          <w:sz w:val="18"/>
          <w:szCs w:val="18"/>
          <w:highlight w:val="none"/>
        </w:rPr>
        <w:t xml:space="preserve">7</w:t>
      </w:r>
      <w:r>
        <w:rPr>
          <w:rFonts w:ascii="宋体" w:hAnsi="宋体" w:eastAsia="宋体"/>
          <w:color w:val="auto"/>
          <w:sz w:val="18"/>
          <w:szCs w:val="18"/>
          <w:highlight w:val="none"/>
        </w:rPr>
        <w:t xml:space="preserve">）全景摄像机</w:t>
      </w:r>
      <w:r/>
    </w:p>
    <w:tbl>
      <w:tblPr>
        <w:tblStyle w:val="959"/>
        <w:tblW w:w="8746" w:type="dxa"/>
        <w:jc w:val="center"/>
        <w:tblLayout w:type="autofit"/>
        <w:tblCellMar>
          <w:left w:w="108" w:type="dxa"/>
          <w:top w:w="0" w:type="dxa"/>
          <w:right w:w="108" w:type="dxa"/>
          <w:bottom w:w="0" w:type="dxa"/>
        </w:tblCellMar>
        <w:tblLook w:val="04A0" w:firstRow="1" w:lastRow="0" w:firstColumn="1" w:lastColumn="0" w:noHBand="0" w:noVBand="1"/>
      </w:tblPr>
      <w:tblGrid>
        <w:gridCol w:w="1836"/>
        <w:gridCol w:w="6910"/>
      </w:tblGrid>
      <w:tr>
        <w:trPr>
          <w:jc w:val="center"/>
          <w:trHeight w:val="397"/>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序号</w:t>
            </w:r>
            <w:r/>
          </w:p>
        </w:tc>
        <w:tc>
          <w:tcPr>
            <w:tcBorders>
              <w:top w:val="singl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技术和功能要求</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摄像机由2路全景摄像机和1路细节摄像机组成，CMOS靶面尺寸均为1/1.8英寸 ；</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内置GPU芯片；</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像素：全景：400万；</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4</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最大分辨率：全景：3840×1080细节：2560×1440;</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补光灯数量：全景：4颗(白光灯)细节：6颗(红外灯)2颗(白光灯);</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6</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最大补光距离：全景：30米(白光),细节：200米(红外);</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7</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镜头焦距：全景：2.8mm细节；5.5mm~220mm;</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8</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光学变倍：40倍；</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9</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全景通道可输出2个镜头无缝拼接的全景图像，纵向拼接偏差像素≤4个像素点：全景通道水平视场角≥200°;全景通道可垂直旋转，旋转范围≥12°:</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10</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细节相机：水平范围：0°~360°、垂直范围：-30°~90°；</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11</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支持300个预置位，8条巡航路径；</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12</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视频结构化功能：支持机动车抓拍、机动车属性提取，支持非机动车抓拍、非机动车属性提取，支持人体抓拍、人体属性提取，支持人脸抓拍、人脸属性提取：</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13</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支持电子透雾功能，全景AR标签；</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14</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接入协议：GB/T28181,ONVIF(Profile S&amp;G&amp;T),GA/T 1400;</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15</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支持快速智能切换，当更换智能模式时设备不重启，新智能使能后即可生效；</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16</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音频输入：1路，音频输出：1路，报警输入：7路，报输出：2路；</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17</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供电方式：DC36V/2.25A(-10%~+10%);</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18</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工作温度： -40℃~+70℃;</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19</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支持IP67防护等级，8000V防雷、防浪涌和防突波保护。</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20</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至少1个SFP光纤接口(含光模块),1个RJ4510M/100M/1000M自适应网口、2个RS - 485接口</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21</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配置1张256GB的存储卡</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22</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五年质保，须提供产品生产商5年原厂质保函</w:t>
            </w:r>
            <w:r/>
          </w:p>
        </w:tc>
      </w:tr>
    </w:tbl>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（8）高清违停抓拍球机</w:t>
      </w:r>
      <w:r/>
    </w:p>
    <w:tbl>
      <w:tblPr>
        <w:tblStyle w:val="959"/>
        <w:tblW w:w="86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6"/>
        <w:gridCol w:w="6863"/>
      </w:tblGrid>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序号</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技术和功能要求</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不低于1/1.8英寸CMOS;</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内置GPU芯片</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采用智能图像处理技术(包括但不限于多帧图像融合、多个图像传感器、多个图像处理芯片等技术)</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4</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最大图像尺寸：不低于2560x1440像素；</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5</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最低照度不低于彩色：0.00021x,黑白：0.00011x;</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6</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30倍光学变倍以上；</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7</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支持快速聚焦功能：</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8</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具有三种滤光片，在白天、夜晚及有雾情况下可自动切换不同的滤光片进行成像；</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9</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至少支持8条巡航路径，每条巡航至少可以添加32个预置点；</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10</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视频编码方式支持H.265、H.264、MJPEG;</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11</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支持违法停车抓拍功能，违停车辆捕获率白天不小于98%,晚上不小于96%；</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12</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至少具有1个RJ45接口、1个音频输入接口、1个音频输出接口、7个报警输入接口、2个报警输出接口、1个RS485接口和1个SD卡插槽；1路光纤接口(含光模块);</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13</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至少支持IP67的外壳防护能力；</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14</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五年质保，须提供产品生产商5年原厂质保函</w:t>
            </w:r>
            <w:r/>
          </w:p>
        </w:tc>
      </w:tr>
    </w:tbl>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（9）电警智能终端</w:t>
      </w:r>
      <w:r/>
    </w:p>
    <w:tbl>
      <w:tblPr>
        <w:tblStyle w:val="9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6"/>
        <w:gridCol w:w="6884"/>
      </w:tblGrid>
      <w:tr>
        <w:trPr>
          <w:jc w:val="center"/>
          <w:trHeight w:val="397"/>
        </w:trPr>
        <w:tc>
          <w:tcPr>
            <w:tcW w:w="445"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序号</w:t>
            </w:r>
            <w:r/>
          </w:p>
        </w:tc>
        <w:tc>
          <w:tcPr>
            <w:tcW w:w="4555"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技术和功能要求</w:t>
            </w:r>
            <w:r/>
          </w:p>
        </w:tc>
      </w:tr>
      <w:tr>
        <w:trPr>
          <w:jc w:val="center"/>
          <w:trHeight w:val="397"/>
        </w:trPr>
        <w:tc>
          <w:tcPr>
            <w:tcW w:w="445"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w:t>
            </w:r>
            <w:r/>
          </w:p>
        </w:tc>
        <w:tc>
          <w:tcPr>
            <w:tcW w:w="4555" w:type="pct"/>
            <w:vAlign w:val="center"/>
            <w:textDirection w:val="lrTb"/>
            <w:noWrap w:val="false"/>
          </w:tcPr>
          <w:p>
            <w:pPr>
              <w:pStyle w:val="1077"/>
              <w:jc w:val="left"/>
              <w:rPr>
                <w:rFonts w:hint="eastAsia" w:ascii="宋体" w:hAnsi="宋体"/>
                <w:i w:val="0"/>
                <w:color w:val="auto"/>
                <w:sz w:val="18"/>
                <w:szCs w:val="18"/>
                <w:highlight w:val="none"/>
              </w:rPr>
            </w:pPr>
            <w:r>
              <w:rPr>
                <w:rFonts w:ascii="宋体" w:hAnsi="宋体"/>
                <w:i w:val="0"/>
                <w:color w:val="auto"/>
                <w:sz w:val="18"/>
                <w:szCs w:val="18"/>
                <w:highlight w:val="none"/>
              </w:rPr>
              <w:t xml:space="preserve">网络接口：16个1000M以太网接口，1个内部和1个外部10/100/1000M自适应以太网 接口，1个内部和1个外部千兆可光电切换光纤接口（满配光模块）</w:t>
            </w:r>
            <w:r>
              <w:rPr>
                <w:rFonts w:hint="eastAsia" w:ascii="宋体" w:hAnsi="宋体"/>
                <w:i w:val="0"/>
                <w:color w:val="auto"/>
                <w:sz w:val="18"/>
                <w:szCs w:val="18"/>
                <w:highlight w:val="none"/>
              </w:rPr>
              <w:t xml:space="preserve">；</w:t>
            </w:r>
            <w:r/>
          </w:p>
        </w:tc>
      </w:tr>
      <w:tr>
        <w:trPr>
          <w:jc w:val="center"/>
          <w:trHeight w:val="397"/>
        </w:trPr>
        <w:tc>
          <w:tcPr>
            <w:tcW w:w="445"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w:t>
            </w:r>
            <w:r/>
          </w:p>
        </w:tc>
        <w:tc>
          <w:tcPr>
            <w:tcW w:w="4555"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至少支持4个SATA硬盘接口，内置一块3.5寸8TB硬盘；</w:t>
            </w:r>
            <w:r/>
          </w:p>
        </w:tc>
      </w:tr>
      <w:tr>
        <w:trPr>
          <w:jc w:val="center"/>
          <w:trHeight w:val="397"/>
        </w:trPr>
        <w:tc>
          <w:tcPr>
            <w:tcW w:w="445"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w:t>
            </w:r>
            <w:r/>
          </w:p>
        </w:tc>
        <w:tc>
          <w:tcPr>
            <w:tcW w:w="4555"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至少1个DC12V输出接口、1个HDMI接口、1个VGA接口、1个eSATA接口，2个RS232接口、4个RS485接口、4个报警输入接口、4个报警输出接口、1个音频输入接口、1个音频输出接口、2个USB接口；</w:t>
            </w:r>
            <w:r/>
          </w:p>
        </w:tc>
      </w:tr>
      <w:tr>
        <w:trPr>
          <w:jc w:val="center"/>
          <w:trHeight w:val="397"/>
        </w:trPr>
        <w:tc>
          <w:tcPr>
            <w:tcW w:w="445"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4</w:t>
            </w:r>
            <w:r/>
          </w:p>
        </w:tc>
        <w:tc>
          <w:tcPr>
            <w:tcW w:w="4555"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可接入不低于12路高清网络摄像机；</w:t>
            </w:r>
            <w:r/>
          </w:p>
        </w:tc>
      </w:tr>
      <w:tr>
        <w:trPr>
          <w:jc w:val="center"/>
          <w:trHeight w:val="397"/>
        </w:trPr>
        <w:tc>
          <w:tcPr>
            <w:tcW w:w="445"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5</w:t>
            </w:r>
            <w:r/>
          </w:p>
        </w:tc>
        <w:tc>
          <w:tcPr>
            <w:tcW w:w="4555"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支持通过VGA、HDMI输出功能进行图片、视频实时预览，支持历时图片查看；</w:t>
            </w:r>
            <w:r/>
          </w:p>
        </w:tc>
      </w:tr>
      <w:tr>
        <w:trPr>
          <w:jc w:val="center"/>
          <w:trHeight w:val="397"/>
        </w:trPr>
        <w:tc>
          <w:tcPr>
            <w:tcW w:w="445"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6</w:t>
            </w:r>
            <w:r/>
          </w:p>
        </w:tc>
        <w:tc>
          <w:tcPr>
            <w:tcW w:w="4555"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支持图片、录像远程查询、备份功能；</w:t>
            </w:r>
            <w:r/>
          </w:p>
        </w:tc>
      </w:tr>
      <w:tr>
        <w:trPr>
          <w:jc w:val="center"/>
          <w:trHeight w:val="397"/>
        </w:trPr>
        <w:tc>
          <w:tcPr>
            <w:tcW w:w="445"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7</w:t>
            </w:r>
            <w:r/>
          </w:p>
        </w:tc>
        <w:tc>
          <w:tcPr>
            <w:tcW w:w="4555"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支持各违章图片合成；</w:t>
            </w:r>
            <w:r/>
          </w:p>
        </w:tc>
      </w:tr>
      <w:tr>
        <w:trPr>
          <w:jc w:val="center"/>
          <w:trHeight w:val="397"/>
        </w:trPr>
        <w:tc>
          <w:tcPr>
            <w:tcW w:w="445"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8</w:t>
            </w:r>
            <w:r/>
          </w:p>
        </w:tc>
        <w:tc>
          <w:tcPr>
            <w:tcW w:w="4555"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支持数据上传功能；</w:t>
            </w:r>
            <w:r/>
          </w:p>
        </w:tc>
      </w:tr>
      <w:tr>
        <w:trPr>
          <w:jc w:val="center"/>
          <w:trHeight w:val="397"/>
        </w:trPr>
        <w:tc>
          <w:tcPr>
            <w:tcW w:w="445"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9</w:t>
            </w:r>
            <w:r/>
          </w:p>
        </w:tc>
        <w:tc>
          <w:tcPr>
            <w:tcW w:w="4555"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配置图片和录像的存储空间配额，支持自动覆盖；</w:t>
            </w:r>
            <w:r/>
          </w:p>
        </w:tc>
      </w:tr>
      <w:tr>
        <w:trPr>
          <w:jc w:val="center"/>
          <w:trHeight w:val="397"/>
        </w:trPr>
        <w:tc>
          <w:tcPr>
            <w:tcW w:w="445"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10</w:t>
            </w:r>
            <w:r/>
          </w:p>
        </w:tc>
        <w:tc>
          <w:tcPr>
            <w:tcW w:w="4555"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五年质保，须提供产品生产商5年原厂质保函</w:t>
            </w:r>
            <w:r/>
          </w:p>
        </w:tc>
      </w:tr>
    </w:tbl>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（10）边缘计算终端</w:t>
      </w:r>
      <w:r/>
    </w:p>
    <w:tbl>
      <w:tblPr>
        <w:tblStyle w:val="10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6"/>
        <w:gridCol w:w="6884"/>
      </w:tblGrid>
      <w:tr>
        <w:trPr>
          <w:jc w:val="center"/>
          <w:trHeight w:val="39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序号</w:t>
            </w:r>
            <w:r/>
          </w:p>
        </w:tc>
        <w:tc>
          <w:tcPr>
            <w:tcBorders>
              <w:top w:val="single" w:color="auto" w:sz="4" w:space="0"/>
              <w:left w:val="single" w:color="auto" w:sz="4" w:space="0"/>
              <w:bottom w:val="single" w:color="auto" w:sz="4" w:space="0"/>
              <w:right w:val="single" w:color="auto" w:sz="4" w:space="0"/>
            </w:tcBorders>
            <w:tcW w:w="7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技术和功能要求</w:t>
            </w:r>
            <w:r/>
          </w:p>
        </w:tc>
      </w:tr>
      <w:tr>
        <w:trPr>
          <w:jc w:val="center"/>
          <w:trHeight w:val="39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w:t>
            </w:r>
            <w:r/>
          </w:p>
        </w:tc>
        <w:tc>
          <w:tcPr>
            <w:tcBorders>
              <w:top w:val="single" w:color="auto" w:sz="4" w:space="0"/>
              <w:left w:val="single" w:color="auto" w:sz="4" w:space="0"/>
              <w:bottom w:val="single" w:color="auto" w:sz="4" w:space="0"/>
              <w:right w:val="single" w:color="auto" w:sz="4" w:space="0"/>
            </w:tcBorders>
            <w:tcW w:w="7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用于视频结构化、雷视数据融合等，实现实时交通流数据采集；</w:t>
            </w:r>
            <w:r/>
          </w:p>
        </w:tc>
      </w:tr>
      <w:tr>
        <w:trPr>
          <w:jc w:val="center"/>
          <w:trHeight w:val="39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w:t>
            </w:r>
            <w:r/>
          </w:p>
        </w:tc>
        <w:tc>
          <w:tcPr>
            <w:tcBorders>
              <w:top w:val="single" w:color="auto" w:sz="4" w:space="0"/>
              <w:left w:val="single" w:color="auto" w:sz="4" w:space="0"/>
              <w:bottom w:val="single" w:color="auto" w:sz="4" w:space="0"/>
              <w:right w:val="single" w:color="auto" w:sz="4" w:space="0"/>
            </w:tcBorders>
            <w:tcW w:w="7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cs="宋体"/>
                <w:i w:val="0"/>
                <w:iCs/>
                <w:color w:val="auto"/>
                <w:sz w:val="24"/>
                <w:szCs w:val="24"/>
                <w:highlight w:val="none"/>
              </w:rPr>
              <w:t xml:space="preserve">★</w:t>
            </w:r>
            <w:r>
              <w:rPr>
                <w:rFonts w:hint="eastAsia" w:ascii="宋体" w:hAnsi="宋体"/>
                <w:i w:val="0"/>
                <w:color w:val="auto"/>
                <w:sz w:val="18"/>
                <w:szCs w:val="18"/>
                <w:highlight w:val="none"/>
              </w:rPr>
              <w:t xml:space="preserve">支持与信号机联动实现感应控制、实时自适应控制等（提供公安部权威检测机构检测或检验报告）；</w:t>
            </w:r>
            <w:r/>
          </w:p>
        </w:tc>
      </w:tr>
      <w:tr>
        <w:trPr>
          <w:jc w:val="center"/>
          <w:trHeight w:val="39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w:t>
            </w:r>
            <w:r/>
          </w:p>
        </w:tc>
        <w:tc>
          <w:tcPr>
            <w:tcBorders>
              <w:top w:val="single" w:color="auto" w:sz="4" w:space="0"/>
              <w:left w:val="single" w:color="auto" w:sz="4" w:space="0"/>
              <w:bottom w:val="single" w:color="auto" w:sz="4" w:space="0"/>
              <w:right w:val="single" w:color="auto" w:sz="4" w:space="0"/>
            </w:tcBorders>
            <w:tcW w:w="7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支持全息路网边缘侧计算场景，实现路网交通态势呈现、交通问题诊断、交通评价、交通组织优化、交通事件监测等业务功能；</w:t>
            </w:r>
            <w:r/>
          </w:p>
        </w:tc>
      </w:tr>
      <w:tr>
        <w:trPr>
          <w:jc w:val="center"/>
          <w:trHeight w:val="39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4</w:t>
            </w:r>
            <w:r/>
          </w:p>
        </w:tc>
        <w:tc>
          <w:tcPr>
            <w:tcBorders>
              <w:top w:val="single" w:color="auto" w:sz="4" w:space="0"/>
              <w:left w:val="single" w:color="auto" w:sz="4" w:space="0"/>
              <w:bottom w:val="single" w:color="auto" w:sz="4" w:space="0"/>
              <w:right w:val="single" w:color="auto" w:sz="4" w:space="0"/>
            </w:tcBorders>
            <w:tcW w:w="7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cs="宋体"/>
                <w:i w:val="0"/>
                <w:iCs/>
                <w:color w:val="auto"/>
                <w:sz w:val="24"/>
                <w:szCs w:val="24"/>
                <w:highlight w:val="none"/>
              </w:rPr>
              <w:t xml:space="preserve">★</w:t>
            </w:r>
            <w:r>
              <w:rPr>
                <w:rFonts w:hint="eastAsia" w:ascii="宋体" w:hAnsi="宋体"/>
                <w:i w:val="0"/>
                <w:color w:val="auto"/>
                <w:sz w:val="18"/>
                <w:szCs w:val="18"/>
                <w:highlight w:val="none"/>
              </w:rPr>
              <w:t xml:space="preserve">最多支持接入16路视频前端设备，支持多种视频/雷达接入协议（提供公安部权威检测机构检测或检验报告）；</w:t>
            </w:r>
            <w:r/>
          </w:p>
        </w:tc>
      </w:tr>
      <w:tr>
        <w:trPr>
          <w:jc w:val="center"/>
          <w:trHeight w:val="39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5</w:t>
            </w:r>
            <w:r/>
          </w:p>
        </w:tc>
        <w:tc>
          <w:tcPr>
            <w:tcBorders>
              <w:top w:val="single" w:color="auto" w:sz="4" w:space="0"/>
              <w:left w:val="single" w:color="auto" w:sz="4" w:space="0"/>
              <w:bottom w:val="single" w:color="auto" w:sz="4" w:space="0"/>
              <w:right w:val="single" w:color="auto" w:sz="4" w:space="0"/>
            </w:tcBorders>
            <w:tcW w:w="7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支持多路视频码流存储、转发；</w:t>
            </w:r>
            <w:r/>
          </w:p>
        </w:tc>
      </w:tr>
      <w:tr>
        <w:trPr>
          <w:jc w:val="center"/>
          <w:trHeight w:val="39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6</w:t>
            </w:r>
            <w:r/>
          </w:p>
        </w:tc>
        <w:tc>
          <w:tcPr>
            <w:tcBorders>
              <w:top w:val="single" w:color="auto" w:sz="4" w:space="0"/>
              <w:left w:val="single" w:color="auto" w:sz="4" w:space="0"/>
              <w:bottom w:val="single" w:color="auto" w:sz="4" w:space="0"/>
              <w:right w:val="single" w:color="auto" w:sz="4" w:space="0"/>
            </w:tcBorders>
            <w:tcW w:w="7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最大支持3盘位数据存储，内置不低于1块512GB硬盘；</w:t>
            </w:r>
            <w:r/>
          </w:p>
        </w:tc>
      </w:tr>
      <w:tr>
        <w:trPr>
          <w:jc w:val="center"/>
          <w:trHeight w:val="39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7</w:t>
            </w:r>
            <w:r/>
          </w:p>
        </w:tc>
        <w:tc>
          <w:tcPr>
            <w:tcBorders>
              <w:top w:val="single" w:color="auto" w:sz="4" w:space="0"/>
              <w:left w:val="single" w:color="auto" w:sz="4" w:space="0"/>
              <w:bottom w:val="single" w:color="auto" w:sz="4" w:space="0"/>
              <w:right w:val="single" w:color="auto" w:sz="4" w:space="0"/>
            </w:tcBorders>
            <w:tcW w:w="7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支持数据信息上传智能交通管理平台；</w:t>
            </w:r>
            <w:r/>
          </w:p>
        </w:tc>
      </w:tr>
      <w:tr>
        <w:trPr>
          <w:jc w:val="center"/>
          <w:trHeight w:val="39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8</w:t>
            </w:r>
            <w:r/>
          </w:p>
        </w:tc>
        <w:tc>
          <w:tcPr>
            <w:tcBorders>
              <w:top w:val="single" w:color="auto" w:sz="4" w:space="0"/>
              <w:left w:val="single" w:color="auto" w:sz="4" w:space="0"/>
              <w:bottom w:val="single" w:color="auto" w:sz="4" w:space="0"/>
              <w:right w:val="single" w:color="auto" w:sz="4" w:space="0"/>
            </w:tcBorders>
            <w:tcW w:w="7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通过视频雷达融合算法实现对数据的融合，实现雷达感知的机动车ID、位置、速度、角度、时间与视频感知的机动车ID、身份、位置、时间、结构化属性的融合，综合输出交通目标的车牌、车速、车辆位置、车辆姿态和车辆属性等数据输出；</w:t>
            </w:r>
            <w:r/>
          </w:p>
        </w:tc>
      </w:tr>
      <w:tr>
        <w:trPr>
          <w:jc w:val="center"/>
          <w:trHeight w:val="39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9</w:t>
            </w:r>
            <w:r/>
          </w:p>
        </w:tc>
        <w:tc>
          <w:tcPr>
            <w:tcBorders>
              <w:top w:val="single" w:color="auto" w:sz="4" w:space="0"/>
              <w:left w:val="single" w:color="auto" w:sz="4" w:space="0"/>
              <w:bottom w:val="single" w:color="auto" w:sz="4" w:space="0"/>
              <w:right w:val="single" w:color="auto" w:sz="4" w:space="0"/>
            </w:tcBorders>
            <w:tcW w:w="7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支持捕捉轨迹信息拟合，还原目标精准轨迹；</w:t>
            </w:r>
            <w:r/>
          </w:p>
        </w:tc>
      </w:tr>
      <w:tr>
        <w:trPr>
          <w:jc w:val="center"/>
          <w:trHeight w:val="39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10</w:t>
            </w:r>
            <w:r/>
          </w:p>
        </w:tc>
        <w:tc>
          <w:tcPr>
            <w:tcBorders>
              <w:top w:val="single" w:color="auto" w:sz="4" w:space="0"/>
              <w:left w:val="single" w:color="auto" w:sz="4" w:space="0"/>
              <w:bottom w:val="single" w:color="auto" w:sz="4" w:space="0"/>
              <w:right w:val="single" w:color="auto" w:sz="4" w:space="0"/>
            </w:tcBorders>
            <w:tcW w:w="7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支持雷达与电警（或利旧电警）融合标定及雷达与雷达拟合标定；</w:t>
            </w:r>
            <w:r/>
          </w:p>
        </w:tc>
      </w:tr>
      <w:tr>
        <w:trPr>
          <w:jc w:val="center"/>
          <w:trHeight w:val="39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11</w:t>
            </w:r>
            <w:r/>
          </w:p>
        </w:tc>
        <w:tc>
          <w:tcPr>
            <w:tcBorders>
              <w:top w:val="single" w:color="auto" w:sz="4" w:space="0"/>
              <w:left w:val="single" w:color="auto" w:sz="4" w:space="0"/>
              <w:bottom w:val="single" w:color="auto" w:sz="4" w:space="0"/>
              <w:right w:val="single" w:color="auto" w:sz="4" w:space="0"/>
            </w:tcBorders>
            <w:tcW w:w="7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具备NTP校时功能，可通过Web端软件对设备进行校时；</w:t>
            </w:r>
            <w:r/>
          </w:p>
        </w:tc>
      </w:tr>
      <w:tr>
        <w:trPr>
          <w:jc w:val="center"/>
          <w:trHeight w:val="39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12</w:t>
            </w:r>
            <w:r/>
          </w:p>
        </w:tc>
        <w:tc>
          <w:tcPr>
            <w:tcBorders>
              <w:top w:val="single" w:color="auto" w:sz="4" w:space="0"/>
              <w:left w:val="single" w:color="auto" w:sz="4" w:space="0"/>
              <w:bottom w:val="single" w:color="auto" w:sz="4" w:space="0"/>
              <w:right w:val="single" w:color="auto" w:sz="4" w:space="0"/>
            </w:tcBorders>
            <w:tcW w:w="7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可与信号机进行数据交互,提供车道流量、转向流量等多种机动车交通参量感知数据输出；</w:t>
            </w:r>
            <w:r/>
          </w:p>
        </w:tc>
      </w:tr>
      <w:tr>
        <w:trPr>
          <w:jc w:val="center"/>
          <w:trHeight w:val="39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13</w:t>
            </w:r>
            <w:r/>
          </w:p>
        </w:tc>
        <w:tc>
          <w:tcPr>
            <w:tcBorders>
              <w:top w:val="single" w:color="auto" w:sz="4" w:space="0"/>
              <w:left w:val="single" w:color="auto" w:sz="4" w:space="0"/>
              <w:bottom w:val="single" w:color="auto" w:sz="4" w:space="0"/>
              <w:right w:val="single" w:color="auto" w:sz="4" w:space="0"/>
            </w:tcBorders>
            <w:tcW w:w="7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动态AR标签以及球机自动指向功能；</w:t>
            </w:r>
            <w:r/>
          </w:p>
        </w:tc>
      </w:tr>
      <w:tr>
        <w:trPr>
          <w:jc w:val="center"/>
          <w:trHeight w:val="39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14</w:t>
            </w:r>
            <w:r/>
          </w:p>
        </w:tc>
        <w:tc>
          <w:tcPr>
            <w:tcBorders>
              <w:top w:val="single" w:color="auto" w:sz="4" w:space="0"/>
              <w:left w:val="single" w:color="auto" w:sz="4" w:space="0"/>
              <w:bottom w:val="single" w:color="auto" w:sz="4" w:space="0"/>
              <w:right w:val="single" w:color="auto" w:sz="4" w:space="0"/>
            </w:tcBorders>
            <w:tcW w:w="7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可对车辆违法全过程进行录像；</w:t>
            </w:r>
            <w:r/>
          </w:p>
        </w:tc>
      </w:tr>
      <w:tr>
        <w:trPr>
          <w:jc w:val="center"/>
          <w:trHeight w:val="39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15</w:t>
            </w:r>
            <w:r/>
          </w:p>
        </w:tc>
        <w:tc>
          <w:tcPr>
            <w:tcBorders>
              <w:top w:val="single" w:color="auto" w:sz="4" w:space="0"/>
              <w:left w:val="single" w:color="auto" w:sz="4" w:space="0"/>
              <w:bottom w:val="single" w:color="auto" w:sz="4" w:space="0"/>
              <w:right w:val="single" w:color="auto" w:sz="4" w:space="0"/>
            </w:tcBorders>
            <w:tcW w:w="7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cs="宋体"/>
                <w:i w:val="0"/>
                <w:iCs/>
                <w:color w:val="auto"/>
                <w:sz w:val="24"/>
                <w:szCs w:val="24"/>
                <w:highlight w:val="none"/>
              </w:rPr>
              <w:t xml:space="preserve">★</w:t>
            </w:r>
            <w:r>
              <w:rPr>
                <w:rFonts w:hint="eastAsia" w:ascii="宋体" w:hAnsi="宋体"/>
                <w:i w:val="0"/>
                <w:color w:val="auto"/>
                <w:sz w:val="18"/>
                <w:szCs w:val="18"/>
                <w:highlight w:val="none"/>
              </w:rPr>
              <w:t xml:space="preserve">最大支持同时接入配置2个注册平台（提供公安部权威检测机构检测或检验报告）；</w:t>
            </w:r>
            <w:r/>
          </w:p>
        </w:tc>
      </w:tr>
      <w:tr>
        <w:trPr>
          <w:jc w:val="center"/>
          <w:trHeight w:val="39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16</w:t>
            </w:r>
            <w:r/>
          </w:p>
        </w:tc>
        <w:tc>
          <w:tcPr>
            <w:tcBorders>
              <w:top w:val="single" w:color="auto" w:sz="4" w:space="0"/>
              <w:left w:val="single" w:color="auto" w:sz="4" w:space="0"/>
              <w:bottom w:val="single" w:color="auto" w:sz="4" w:space="0"/>
              <w:right w:val="single" w:color="auto" w:sz="4" w:space="0"/>
            </w:tcBorders>
            <w:tcW w:w="7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具备本地备份功能，可通过USB接口备份录像数据；</w:t>
            </w:r>
            <w:r/>
          </w:p>
        </w:tc>
      </w:tr>
      <w:tr>
        <w:trPr>
          <w:jc w:val="center"/>
          <w:trHeight w:val="39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17</w:t>
            </w:r>
            <w:r/>
          </w:p>
        </w:tc>
        <w:tc>
          <w:tcPr>
            <w:tcBorders>
              <w:top w:val="single" w:color="auto" w:sz="4" w:space="0"/>
              <w:left w:val="single" w:color="auto" w:sz="4" w:space="0"/>
              <w:bottom w:val="single" w:color="auto" w:sz="4" w:space="0"/>
              <w:right w:val="single" w:color="auto" w:sz="4" w:space="0"/>
            </w:tcBorders>
            <w:tcW w:w="7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支持断网恢复后的断点续传功能；支持NAT穿越；</w:t>
            </w:r>
            <w:r/>
          </w:p>
        </w:tc>
      </w:tr>
      <w:tr>
        <w:trPr>
          <w:jc w:val="center"/>
          <w:trHeight w:val="39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18</w:t>
            </w:r>
            <w:r/>
          </w:p>
        </w:tc>
        <w:tc>
          <w:tcPr>
            <w:tcBorders>
              <w:top w:val="single" w:color="auto" w:sz="4" w:space="0"/>
              <w:left w:val="single" w:color="auto" w:sz="4" w:space="0"/>
              <w:bottom w:val="single" w:color="auto" w:sz="4" w:space="0"/>
              <w:right w:val="single" w:color="auto" w:sz="4" w:space="0"/>
            </w:tcBorders>
            <w:tcW w:w="7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CPU≥4核，主频≥1.8GHz，内存≥16GB，NPU算力≥32Tops@INT8;</w:t>
            </w:r>
            <w:r/>
          </w:p>
        </w:tc>
      </w:tr>
      <w:tr>
        <w:trPr>
          <w:jc w:val="center"/>
          <w:trHeight w:val="39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19</w:t>
            </w:r>
            <w:r/>
          </w:p>
        </w:tc>
        <w:tc>
          <w:tcPr>
            <w:tcBorders>
              <w:top w:val="single" w:color="auto" w:sz="4" w:space="0"/>
              <w:left w:val="single" w:color="auto" w:sz="4" w:space="0"/>
              <w:bottom w:val="single" w:color="auto" w:sz="4" w:space="0"/>
              <w:right w:val="single" w:color="auto" w:sz="4" w:space="0"/>
            </w:tcBorders>
            <w:tcW w:w="7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cs="宋体"/>
                <w:i w:val="0"/>
                <w:iCs/>
                <w:color w:val="auto"/>
                <w:sz w:val="24"/>
                <w:szCs w:val="24"/>
                <w:highlight w:val="none"/>
              </w:rPr>
              <w:t xml:space="preserve">★</w:t>
            </w:r>
            <w:r>
              <w:rPr>
                <w:rFonts w:hint="eastAsia" w:ascii="宋体" w:hAnsi="宋体"/>
                <w:i w:val="0"/>
                <w:iCs/>
                <w:color w:val="auto"/>
                <w:sz w:val="18"/>
                <w:szCs w:val="18"/>
                <w:highlight w:val="none"/>
              </w:rPr>
              <w:t xml:space="preserve"> </w:t>
            </w:r>
            <w:r>
              <w:rPr>
                <w:rFonts w:hint="eastAsia" w:ascii="宋体" w:hAnsi="宋体"/>
                <w:i w:val="0"/>
                <w:color w:val="auto"/>
                <w:sz w:val="18"/>
                <w:szCs w:val="18"/>
                <w:highlight w:val="none"/>
              </w:rPr>
              <w:t xml:space="preserve">LAN网络接口：1个Eth 100M/1000M自适应，16个以上Eth 10M/100M自适应；4个以上开关量报警输入接口，4个以上开关量报警输出接口；3个以上RS485串口，3个以上USB接口。（需提供公安部下属检测机构相关检测报告）</w:t>
            </w:r>
            <w:r/>
          </w:p>
        </w:tc>
      </w:tr>
      <w:tr>
        <w:trPr>
          <w:jc w:val="center"/>
          <w:trHeight w:val="39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20</w:t>
            </w:r>
            <w:r/>
          </w:p>
        </w:tc>
        <w:tc>
          <w:tcPr>
            <w:tcBorders>
              <w:top w:val="single" w:color="auto" w:sz="4" w:space="0"/>
              <w:left w:val="single" w:color="auto" w:sz="4" w:space="0"/>
              <w:bottom w:val="single" w:color="auto" w:sz="4" w:space="0"/>
              <w:right w:val="single" w:color="auto" w:sz="4" w:space="0"/>
            </w:tcBorders>
            <w:tcW w:w="7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五年质保，须提供产品生产商5年原厂质保函</w:t>
            </w:r>
            <w:r/>
          </w:p>
        </w:tc>
      </w:tr>
    </w:tbl>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（11）雷视一体机</w:t>
      </w:r>
      <w:r/>
    </w:p>
    <w:tbl>
      <w:tblPr>
        <w:tblStyle w:val="10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6"/>
        <w:gridCol w:w="6884"/>
      </w:tblGrid>
      <w:tr>
        <w:trPr>
          <w:jc w:val="center"/>
          <w:trHeight w:val="397"/>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序号</w:t>
            </w:r>
            <w:r/>
          </w:p>
        </w:tc>
        <w:tc>
          <w:tcPr>
            <w:tcBorders>
              <w:top w:val="single" w:color="auto" w:sz="4" w:space="0"/>
              <w:left w:val="single" w:color="auto" w:sz="4" w:space="0"/>
              <w:bottom w:val="single" w:color="auto" w:sz="4" w:space="0"/>
              <w:right w:val="single" w:color="auto" w:sz="4" w:space="0"/>
            </w:tcBorders>
            <w:tcW w:w="778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技术和功能要求</w:t>
            </w:r>
            <w:r/>
          </w:p>
        </w:tc>
      </w:tr>
      <w:tr>
        <w:trPr>
          <w:jc w:val="center"/>
          <w:trHeight w:val="397"/>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w:t>
            </w:r>
            <w:r/>
          </w:p>
        </w:tc>
        <w:tc>
          <w:tcPr>
            <w:tcBorders>
              <w:top w:val="single" w:color="auto" w:sz="4" w:space="0"/>
              <w:left w:val="single" w:color="auto" w:sz="4" w:space="0"/>
              <w:bottom w:val="single" w:color="auto" w:sz="4" w:space="0"/>
              <w:right w:val="single" w:color="auto" w:sz="4" w:space="0"/>
            </w:tcBorders>
            <w:tcW w:w="778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雷视一体机工作频段应符合国家相关标准规定；</w:t>
            </w:r>
            <w:r/>
          </w:p>
        </w:tc>
      </w:tr>
      <w:tr>
        <w:trPr>
          <w:jc w:val="center"/>
          <w:trHeight w:val="397"/>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w:t>
            </w:r>
            <w:r/>
          </w:p>
        </w:tc>
        <w:tc>
          <w:tcPr>
            <w:tcBorders>
              <w:top w:val="single" w:color="auto" w:sz="4" w:space="0"/>
              <w:left w:val="single" w:color="auto" w:sz="4" w:space="0"/>
              <w:bottom w:val="single" w:color="auto" w:sz="4" w:space="0"/>
              <w:right w:val="single" w:color="auto" w:sz="4" w:space="0"/>
            </w:tcBorders>
            <w:tcW w:w="778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正常检测距离不小于 250 米；每个检测方向提供不少于 8 车道（含正向车道和反向车道），检测范围内同时检测目标数不少于256个；</w:t>
            </w:r>
            <w:r/>
          </w:p>
        </w:tc>
      </w:tr>
      <w:tr>
        <w:trPr>
          <w:jc w:val="center"/>
          <w:trHeight w:val="397"/>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w:t>
            </w:r>
            <w:r/>
          </w:p>
        </w:tc>
        <w:tc>
          <w:tcPr>
            <w:tcBorders>
              <w:top w:val="single" w:color="auto" w:sz="4" w:space="0"/>
              <w:left w:val="single" w:color="auto" w:sz="4" w:space="0"/>
              <w:bottom w:val="single" w:color="auto" w:sz="4" w:space="0"/>
              <w:right w:val="single" w:color="auto" w:sz="4" w:space="0"/>
            </w:tcBorders>
            <w:tcW w:w="778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支持通过软件在全部车道上设置至少8个检测断面，检测断面可在检测区域内任意设置，支持显示每个检测断面上的车流量、平均速度、时间占有率、车头时距等信息；</w:t>
            </w:r>
            <w:r/>
          </w:p>
        </w:tc>
      </w:tr>
      <w:tr>
        <w:trPr>
          <w:jc w:val="center"/>
          <w:trHeight w:val="397"/>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4</w:t>
            </w:r>
            <w:r/>
          </w:p>
        </w:tc>
        <w:tc>
          <w:tcPr>
            <w:tcBorders>
              <w:top w:val="single" w:color="auto" w:sz="4" w:space="0"/>
              <w:left w:val="single" w:color="auto" w:sz="4" w:space="0"/>
              <w:bottom w:val="single" w:color="auto" w:sz="4" w:space="0"/>
              <w:right w:val="single" w:color="auto" w:sz="4" w:space="0"/>
            </w:tcBorders>
            <w:tcW w:w="778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内置摄像头不低于800万像素，实现毫米波检测与视频检测融合，车牌识别叠加等功能；</w:t>
            </w:r>
            <w:r/>
          </w:p>
        </w:tc>
      </w:tr>
      <w:tr>
        <w:trPr>
          <w:jc w:val="center"/>
          <w:trHeight w:val="397"/>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5</w:t>
            </w:r>
            <w:r/>
          </w:p>
        </w:tc>
        <w:tc>
          <w:tcPr>
            <w:tcBorders>
              <w:top w:val="single" w:color="auto" w:sz="4" w:space="0"/>
              <w:left w:val="single" w:color="auto" w:sz="4" w:space="0"/>
              <w:bottom w:val="single" w:color="auto" w:sz="4" w:space="0"/>
              <w:right w:val="single" w:color="auto" w:sz="4" w:space="0"/>
            </w:tcBorders>
            <w:tcW w:w="7783" w:type="dxa"/>
            <w:vAlign w:val="center"/>
            <w:textDirection w:val="lrTb"/>
            <w:noWrap w:val="false"/>
          </w:tcPr>
          <w:p>
            <w:pPr>
              <w:pStyle w:val="1077"/>
              <w:ind w:left="780"/>
              <w:jc w:val="left"/>
              <w:rPr>
                <w:rFonts w:hint="eastAsia" w:ascii="宋体" w:hAnsi="宋体"/>
                <w:i w:val="0"/>
                <w:iCs/>
                <w:color w:val="auto"/>
                <w:sz w:val="18"/>
                <w:szCs w:val="18"/>
                <w:highlight w:val="none"/>
              </w:rPr>
            </w:pPr>
            <w:r>
              <w:rPr>
                <w:rFonts w:hint="eastAsia" w:ascii="宋体" w:hAnsi="宋体" w:cs="宋体"/>
                <w:i w:val="0"/>
                <w:iCs/>
                <w:color w:val="auto"/>
                <w:sz w:val="24"/>
                <w:szCs w:val="24"/>
                <w:highlight w:val="none"/>
              </w:rPr>
              <w:t xml:space="preserve">★</w:t>
            </w:r>
            <w:r>
              <w:rPr>
                <w:rFonts w:hint="eastAsia" w:ascii="宋体" w:hAnsi="宋体"/>
                <w:i w:val="0"/>
                <w:iCs/>
                <w:color w:val="auto"/>
                <w:sz w:val="18"/>
                <w:szCs w:val="18"/>
                <w:highlight w:val="none"/>
              </w:rPr>
              <w:t xml:space="preserve">内置10颗以上LED灯珠进行补光，通过摄像机配置工具亮度0~100可调；（需提供公安部下属检测机构相关检测报告）</w:t>
            </w:r>
            <w:r/>
          </w:p>
        </w:tc>
      </w:tr>
      <w:tr>
        <w:trPr>
          <w:jc w:val="center"/>
          <w:trHeight w:val="397"/>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6</w:t>
            </w:r>
            <w:r/>
          </w:p>
        </w:tc>
        <w:tc>
          <w:tcPr>
            <w:tcBorders>
              <w:top w:val="single" w:color="auto" w:sz="4" w:space="0"/>
              <w:left w:val="single" w:color="auto" w:sz="4" w:space="0"/>
              <w:bottom w:val="single" w:color="auto" w:sz="4" w:space="0"/>
              <w:right w:val="single" w:color="auto" w:sz="4" w:space="0"/>
            </w:tcBorders>
            <w:tcW w:w="778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cs="宋体"/>
                <w:i w:val="0"/>
                <w:iCs/>
                <w:color w:val="auto"/>
                <w:sz w:val="24"/>
                <w:szCs w:val="24"/>
                <w:highlight w:val="none"/>
              </w:rPr>
              <w:t xml:space="preserve">★</w:t>
            </w:r>
            <w:r>
              <w:rPr>
                <w:rFonts w:hint="eastAsia" w:ascii="宋体" w:hAnsi="宋体"/>
                <w:i w:val="0"/>
                <w:color w:val="auto"/>
                <w:sz w:val="18"/>
                <w:szCs w:val="18"/>
                <w:highlight w:val="none"/>
              </w:rPr>
              <w:t xml:space="preserve">支持通过摄像机配置工具对摄像机进行上、下、左、右四个方向调节，适应侧装应用场合，环境适应性强；（需提供公安部下属检测机构相关检测报告）</w:t>
            </w:r>
            <w:r/>
          </w:p>
        </w:tc>
      </w:tr>
      <w:tr>
        <w:trPr>
          <w:jc w:val="center"/>
          <w:trHeight w:val="397"/>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7</w:t>
            </w:r>
            <w:r/>
          </w:p>
        </w:tc>
        <w:tc>
          <w:tcPr>
            <w:tcBorders>
              <w:top w:val="single" w:color="auto" w:sz="4" w:space="0"/>
              <w:left w:val="single" w:color="auto" w:sz="4" w:space="0"/>
              <w:bottom w:val="single" w:color="auto" w:sz="4" w:space="0"/>
              <w:right w:val="single" w:color="auto" w:sz="4" w:space="0"/>
            </w:tcBorders>
            <w:tcW w:w="778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支持查看实时视频图像和抓拍参数信息，可对网络配置、视频参数、图像参数、报警参数等进行设置和修改；</w:t>
            </w:r>
            <w:r/>
          </w:p>
        </w:tc>
      </w:tr>
      <w:tr>
        <w:trPr>
          <w:jc w:val="center"/>
          <w:trHeight w:val="397"/>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8</w:t>
            </w:r>
            <w:r/>
          </w:p>
        </w:tc>
        <w:tc>
          <w:tcPr>
            <w:tcBorders>
              <w:top w:val="single" w:color="auto" w:sz="4" w:space="0"/>
              <w:left w:val="single" w:color="auto" w:sz="4" w:space="0"/>
              <w:bottom w:val="single" w:color="auto" w:sz="4" w:space="0"/>
              <w:right w:val="single" w:color="auto" w:sz="4" w:space="0"/>
            </w:tcBorders>
            <w:tcW w:w="778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实现毫米波交通流检测数据和视频检测数据的有效融合；</w:t>
            </w:r>
            <w:r/>
          </w:p>
        </w:tc>
      </w:tr>
      <w:tr>
        <w:trPr>
          <w:jc w:val="center"/>
          <w:trHeight w:val="397"/>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9</w:t>
            </w:r>
            <w:r/>
          </w:p>
        </w:tc>
        <w:tc>
          <w:tcPr>
            <w:tcBorders>
              <w:top w:val="single" w:color="auto" w:sz="4" w:space="0"/>
              <w:left w:val="single" w:color="auto" w:sz="4" w:space="0"/>
              <w:bottom w:val="single" w:color="auto" w:sz="4" w:space="0"/>
              <w:right w:val="single" w:color="auto" w:sz="4" w:space="0"/>
            </w:tcBorders>
            <w:tcW w:w="778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具备非机动车和行人检测功能，可在监控界面显示目标的实时运行情况；</w:t>
            </w:r>
            <w:r/>
          </w:p>
        </w:tc>
      </w:tr>
      <w:tr>
        <w:trPr>
          <w:jc w:val="center"/>
          <w:trHeight w:val="397"/>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10</w:t>
            </w:r>
            <w:r/>
          </w:p>
        </w:tc>
        <w:tc>
          <w:tcPr>
            <w:tcBorders>
              <w:top w:val="single" w:color="auto" w:sz="4" w:space="0"/>
              <w:left w:val="single" w:color="auto" w:sz="4" w:space="0"/>
              <w:bottom w:val="single" w:color="auto" w:sz="4" w:space="0"/>
              <w:right w:val="single" w:color="auto" w:sz="4" w:space="0"/>
            </w:tcBorders>
            <w:tcW w:w="778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支持目标轨迹跟踪和显示，可在监控界面显示目标的实时运行情况，包括车 牌、速度、车型、位置等信息，支持以车辆图标大小区分车型大小和非机动车、行人；支持检测到运动目标后，在软件界面上同步显示视频图像；</w:t>
            </w:r>
            <w:r/>
          </w:p>
        </w:tc>
      </w:tr>
      <w:tr>
        <w:trPr>
          <w:jc w:val="center"/>
          <w:trHeight w:val="397"/>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11</w:t>
            </w:r>
            <w:r/>
          </w:p>
        </w:tc>
        <w:tc>
          <w:tcPr>
            <w:tcBorders>
              <w:top w:val="single" w:color="auto" w:sz="4" w:space="0"/>
              <w:left w:val="single" w:color="auto" w:sz="4" w:space="0"/>
              <w:bottom w:val="single" w:color="auto" w:sz="4" w:space="0"/>
              <w:right w:val="single" w:color="auto" w:sz="4" w:space="0"/>
            </w:tcBorders>
            <w:tcW w:w="778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当检测到机动车低于或高于设定车速、车流拥堵、缓行、跟车过近时，可通过软件输出排队长度超限日志信息；</w:t>
            </w:r>
            <w:r/>
          </w:p>
        </w:tc>
      </w:tr>
      <w:tr>
        <w:trPr>
          <w:jc w:val="center"/>
          <w:trHeight w:val="397"/>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12</w:t>
            </w:r>
            <w:r/>
          </w:p>
        </w:tc>
        <w:tc>
          <w:tcPr>
            <w:tcBorders>
              <w:top w:val="single" w:color="auto" w:sz="4" w:space="0"/>
              <w:left w:val="single" w:color="auto" w:sz="4" w:space="0"/>
              <w:bottom w:val="single" w:color="auto" w:sz="4" w:space="0"/>
              <w:right w:val="single" w:color="auto" w:sz="4" w:space="0"/>
            </w:tcBorders>
            <w:tcW w:w="778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支持统计检测区域内各个车道上的机动车排队长度，并通过软件输出排队长度。当检测到机动车排队长度超过设定的长度检测线时，可通过软件输出排队长度超限日志信息；</w:t>
            </w:r>
            <w:r/>
          </w:p>
        </w:tc>
      </w:tr>
      <w:tr>
        <w:trPr>
          <w:jc w:val="center"/>
          <w:trHeight w:val="397"/>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13</w:t>
            </w:r>
            <w:r/>
          </w:p>
        </w:tc>
        <w:tc>
          <w:tcPr>
            <w:tcBorders>
              <w:top w:val="single" w:color="auto" w:sz="4" w:space="0"/>
              <w:left w:val="single" w:color="auto" w:sz="4" w:space="0"/>
              <w:bottom w:val="single" w:color="auto" w:sz="4" w:space="0"/>
              <w:right w:val="single" w:color="auto" w:sz="4" w:space="0"/>
            </w:tcBorders>
            <w:tcW w:w="778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可按照车道和时段进行车流量、平均速度、车辆类型、占有率、平均车头时距、平均排队长度、饱和度、车道空间占有率、车道时间占有率等数据的统计，所有统计数据支持以报表形式输出；</w:t>
            </w:r>
            <w:r/>
          </w:p>
        </w:tc>
      </w:tr>
      <w:tr>
        <w:trPr>
          <w:jc w:val="center"/>
          <w:trHeight w:val="397"/>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14</w:t>
            </w:r>
            <w:r/>
          </w:p>
        </w:tc>
        <w:tc>
          <w:tcPr>
            <w:tcBorders>
              <w:top w:val="single" w:color="auto" w:sz="4" w:space="0"/>
              <w:left w:val="single" w:color="auto" w:sz="4" w:space="0"/>
              <w:bottom w:val="single" w:color="auto" w:sz="4" w:space="0"/>
              <w:right w:val="single" w:color="auto" w:sz="4" w:space="0"/>
            </w:tcBorders>
            <w:tcW w:w="778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可按照车道和时段实时检测交通流量、平均速度、转向比、实际排队长度等数据，满足交通信号感应控制、线协调控制、自适应控制、可变车道控制等多种控制方式检测需求；</w:t>
            </w:r>
            <w:r/>
          </w:p>
        </w:tc>
      </w:tr>
      <w:tr>
        <w:trPr>
          <w:jc w:val="center"/>
          <w:trHeight w:val="397"/>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15</w:t>
            </w:r>
            <w:r/>
          </w:p>
        </w:tc>
        <w:tc>
          <w:tcPr>
            <w:tcBorders>
              <w:top w:val="single" w:color="auto" w:sz="4" w:space="0"/>
              <w:left w:val="single" w:color="auto" w:sz="4" w:space="0"/>
              <w:bottom w:val="single" w:color="auto" w:sz="4" w:space="0"/>
              <w:right w:val="single" w:color="auto" w:sz="4" w:space="0"/>
            </w:tcBorders>
            <w:tcW w:w="778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当检测到反向车道上的机动车排队超过设定的机动车排队溢出检测线时，可通过软件输出机动车排队溢出日志信息；</w:t>
            </w:r>
            <w:r/>
          </w:p>
        </w:tc>
      </w:tr>
      <w:tr>
        <w:trPr>
          <w:jc w:val="center"/>
          <w:trHeight w:val="397"/>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16</w:t>
            </w:r>
            <w:r/>
          </w:p>
        </w:tc>
        <w:tc>
          <w:tcPr>
            <w:tcBorders>
              <w:top w:val="single" w:color="auto" w:sz="4" w:space="0"/>
              <w:left w:val="single" w:color="auto" w:sz="4" w:space="0"/>
              <w:bottom w:val="single" w:color="auto" w:sz="4" w:space="0"/>
              <w:right w:val="single" w:color="auto" w:sz="4" w:space="0"/>
            </w:tcBorders>
            <w:tcW w:w="778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兼容《道路交通信号控制机与车辆检测器间的通信协议》（GA/T 920）</w:t>
            </w:r>
            <w:r/>
          </w:p>
        </w:tc>
      </w:tr>
      <w:tr>
        <w:trPr>
          <w:jc w:val="center"/>
          <w:trHeight w:val="397"/>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17</w:t>
            </w:r>
            <w:r/>
          </w:p>
        </w:tc>
        <w:tc>
          <w:tcPr>
            <w:tcBorders>
              <w:top w:val="single" w:color="auto" w:sz="4" w:space="0"/>
              <w:left w:val="single" w:color="auto" w:sz="4" w:space="0"/>
              <w:bottom w:val="single" w:color="auto" w:sz="4" w:space="0"/>
              <w:right w:val="single" w:color="auto" w:sz="4" w:space="0"/>
            </w:tcBorders>
            <w:tcW w:w="778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实时输出检测断面上车辆存在状态数据，数据更新时间间隔不高于 250 毫秒；</w:t>
            </w:r>
            <w:r/>
          </w:p>
        </w:tc>
      </w:tr>
      <w:tr>
        <w:trPr>
          <w:jc w:val="center"/>
          <w:trHeight w:val="397"/>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18</w:t>
            </w:r>
            <w:r/>
          </w:p>
        </w:tc>
        <w:tc>
          <w:tcPr>
            <w:tcBorders>
              <w:top w:val="single" w:color="auto" w:sz="4" w:space="0"/>
              <w:left w:val="single" w:color="auto" w:sz="4" w:space="0"/>
              <w:bottom w:val="single" w:color="auto" w:sz="4" w:space="0"/>
              <w:right w:val="single" w:color="auto" w:sz="4" w:space="0"/>
            </w:tcBorders>
            <w:tcW w:w="778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检测器可通过软件设置数据统计周期，统计数据设置时间范围 为 1～3600s，车辆存在信息实时传输；</w:t>
            </w:r>
            <w:r/>
          </w:p>
        </w:tc>
      </w:tr>
      <w:tr>
        <w:trPr>
          <w:jc w:val="center"/>
          <w:trHeight w:val="397"/>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19</w:t>
            </w:r>
            <w:r/>
          </w:p>
        </w:tc>
        <w:tc>
          <w:tcPr>
            <w:tcBorders>
              <w:top w:val="single" w:color="auto" w:sz="4" w:space="0"/>
              <w:left w:val="single" w:color="auto" w:sz="4" w:space="0"/>
              <w:bottom w:val="single" w:color="auto" w:sz="4" w:space="0"/>
              <w:right w:val="single" w:color="auto" w:sz="4" w:space="0"/>
            </w:tcBorders>
            <w:tcW w:w="778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防护等级IP67</w:t>
            </w:r>
            <w:r/>
          </w:p>
        </w:tc>
      </w:tr>
    </w:tbl>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（12）标签打印及黏贴</w:t>
      </w:r>
      <w:r/>
    </w:p>
    <w:tbl>
      <w:tblPr>
        <w:tblStyle w:val="959"/>
        <w:tblW w:w="8699" w:type="dxa"/>
        <w:jc w:val="center"/>
        <w:tblLayout w:type="autofit"/>
        <w:tblCellMar>
          <w:left w:w="108" w:type="dxa"/>
          <w:top w:w="0" w:type="dxa"/>
          <w:right w:w="108" w:type="dxa"/>
          <w:bottom w:w="0" w:type="dxa"/>
        </w:tblCellMar>
        <w:tblLook w:val="04A0" w:firstRow="1" w:lastRow="0" w:firstColumn="1" w:lastColumn="0" w:noHBand="0" w:noVBand="1"/>
      </w:tblPr>
      <w:tblGrid>
        <w:gridCol w:w="1836"/>
        <w:gridCol w:w="6863"/>
      </w:tblGrid>
      <w:tr>
        <w:trPr>
          <w:jc w:val="center"/>
          <w:trHeight w:val="397"/>
          <w:tblHeader/>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序号</w:t>
            </w:r>
            <w:r/>
          </w:p>
        </w:tc>
        <w:tc>
          <w:tcPr>
            <w:tcBorders>
              <w:top w:val="single" w:color="000000" w:sz="4" w:space="0"/>
              <w:left w:val="none" w:color="000000" w:sz="4" w:space="0"/>
              <w:bottom w:val="single" w:color="000000" w:sz="4" w:space="0"/>
              <w:right w:val="single" w:color="000000" w:sz="4" w:space="0"/>
            </w:tcBorders>
            <w:tcW w:w="769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技术和功能要求</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w:t>
            </w:r>
            <w:r/>
          </w:p>
        </w:tc>
        <w:tc>
          <w:tcPr>
            <w:tcBorders>
              <w:top w:val="none" w:color="000000" w:sz="4" w:space="0"/>
              <w:left w:val="none" w:color="000000" w:sz="4" w:space="0"/>
              <w:bottom w:val="single" w:color="000000" w:sz="4" w:space="0"/>
              <w:right w:val="single" w:color="000000" w:sz="4" w:space="0"/>
            </w:tcBorders>
            <w:tcW w:w="769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PC材质，须满足室外防水、耐、耐刮、耐撞击、耐高温、符合 UL969 标准</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w:t>
            </w:r>
            <w:r/>
          </w:p>
        </w:tc>
        <w:tc>
          <w:tcPr>
            <w:tcBorders>
              <w:top w:val="none" w:color="000000" w:sz="4" w:space="0"/>
              <w:left w:val="none" w:color="000000" w:sz="4" w:space="0"/>
              <w:bottom w:val="single" w:color="000000" w:sz="4" w:space="0"/>
              <w:right w:val="single" w:color="000000" w:sz="4" w:space="0"/>
            </w:tcBorders>
            <w:tcW w:w="769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耐冲洗、耐汽油、柴油等溶剂</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w:t>
            </w:r>
            <w:r/>
          </w:p>
        </w:tc>
        <w:tc>
          <w:tcPr>
            <w:tcBorders>
              <w:top w:val="none" w:color="000000" w:sz="4" w:space="0"/>
              <w:left w:val="none" w:color="000000" w:sz="4" w:space="0"/>
              <w:bottom w:val="single" w:color="000000" w:sz="4" w:space="0"/>
              <w:right w:val="single" w:color="000000" w:sz="4" w:space="0"/>
            </w:tcBorders>
            <w:tcW w:w="769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背胶强度大，不腐蚀杆件漆面</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4</w:t>
            </w:r>
            <w:r/>
          </w:p>
        </w:tc>
        <w:tc>
          <w:tcPr>
            <w:tcBorders>
              <w:top w:val="none" w:color="000000" w:sz="4" w:space="0"/>
              <w:left w:val="none" w:color="000000" w:sz="4" w:space="0"/>
              <w:bottom w:val="single" w:color="000000" w:sz="4" w:space="0"/>
              <w:right w:val="single" w:color="000000" w:sz="4" w:space="0"/>
            </w:tcBorders>
            <w:tcW w:w="769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具有超强反光性能，良好的广角性能</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769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耐候性佳，在-40 度至 70 度条件下性能正常</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6</w:t>
            </w:r>
            <w:r/>
          </w:p>
        </w:tc>
        <w:tc>
          <w:tcPr>
            <w:tcBorders>
              <w:top w:val="none" w:color="000000" w:sz="4" w:space="0"/>
              <w:left w:val="none" w:color="000000" w:sz="4" w:space="0"/>
              <w:bottom w:val="single" w:color="000000" w:sz="4" w:space="0"/>
              <w:right w:val="single" w:color="000000" w:sz="4" w:space="0"/>
            </w:tcBorders>
            <w:tcW w:w="769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使用期不得少于5年。5年内张贴的标贴出现非人为因素造成的破损、材质形变、颜色明显变化的，由中标人负责重新制作并张贴，招标人不再支付费用</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7</w:t>
            </w:r>
            <w:r/>
          </w:p>
        </w:tc>
        <w:tc>
          <w:tcPr>
            <w:tcBorders>
              <w:top w:val="none" w:color="000000" w:sz="4" w:space="0"/>
              <w:left w:val="none" w:color="000000" w:sz="4" w:space="0"/>
              <w:bottom w:val="single" w:color="000000" w:sz="4" w:space="0"/>
              <w:right w:val="single" w:color="000000" w:sz="4" w:space="0"/>
            </w:tcBorders>
            <w:tcW w:w="769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五年质保</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8</w:t>
            </w:r>
            <w:r/>
          </w:p>
        </w:tc>
        <w:tc>
          <w:tcPr>
            <w:tcBorders>
              <w:top w:val="none" w:color="000000" w:sz="4" w:space="0"/>
              <w:left w:val="none" w:color="000000" w:sz="4" w:space="0"/>
              <w:bottom w:val="single" w:color="000000" w:sz="4" w:space="0"/>
              <w:right w:val="single" w:color="000000" w:sz="4" w:space="0"/>
            </w:tcBorders>
            <w:tcW w:w="7691" w:type="dxa"/>
            <w:vAlign w:val="center"/>
            <w:textDirection w:val="lrTb"/>
            <w:noWrap w:val="false"/>
          </w:tcPr>
          <w:p>
            <w:pPr>
              <w:pStyle w:val="1077"/>
              <w:jc w:val="left"/>
              <w:rPr>
                <w:rFonts w:hint="eastAsia" w:ascii="宋体" w:hAnsi="宋体"/>
                <w:i w:val="0"/>
                <w:color w:val="auto"/>
                <w:sz w:val="18"/>
                <w:szCs w:val="18"/>
                <w:highlight w:val="none"/>
              </w:rPr>
            </w:pPr>
            <w:r>
              <w:rPr>
                <w:rFonts w:ascii="宋体" w:hAnsi="宋体"/>
                <w:i w:val="0"/>
                <w:color w:val="auto"/>
                <w:sz w:val="18"/>
                <w:szCs w:val="18"/>
                <w:highlight w:val="none"/>
              </w:rPr>
              <mc:AlternateContent>
                <mc:Choice Requires="wpg">
                  <w:drawing>
                    <wp:inline xmlns:wp="http://schemas.openxmlformats.org/drawingml/2006/wordprocessingDrawing" distT="0" distB="0" distL="0" distR="0">
                      <wp:extent cx="1028700" cy="1291590"/>
                      <wp:effectExtent l="19050" t="19050" r="19050" b="22860"/>
                      <wp:docPr id="6" name="图片 37369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691029" name="图片 373691029"/>
                              <pic:cNvPicPr>
                                <a:picLocks noChangeAspect="1"/>
                              </pic:cNvPicPr>
                              <pic:nvPr/>
                            </pic:nvPicPr>
                            <pic:blipFill>
                              <a:blip r:embed="rId26"/>
                              <a:stretch/>
                            </pic:blipFill>
                            <pic:spPr bwMode="auto">
                              <a:xfrm>
                                <a:off x="0" y="0"/>
                                <a:ext cx="1030289" cy="1294101"/>
                              </a:xfrm>
                              <a:prstGeom prst="rect">
                                <a:avLst/>
                              </a:prstGeom>
                              <a:ln>
                                <a:solidFill>
                                  <a:schemeClr val="tx1"/>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1.0pt;height:101.7pt;mso-wrap-distance-left:0.0pt;mso-wrap-distance-top:0.0pt;mso-wrap-distance-right:0.0pt;mso-wrap-distance-bottom:0.0pt;" strokecolor="#000000">
                      <v:path textboxrect="0,0,0,0"/>
                      <v:imagedata r:id="rId26" o:title=""/>
                    </v:shape>
                  </w:pict>
                </mc:Fallback>
              </mc:AlternateContent>
            </w:r>
            <w:r>
              <w:rPr>
                <w:rFonts w:hint="eastAsia" w:ascii="宋体" w:hAnsi="宋体"/>
                <w:i w:val="0"/>
                <w:color w:val="auto"/>
                <w:sz w:val="18"/>
                <w:szCs w:val="18"/>
                <w:highlight w:val="none"/>
              </w:rPr>
              <w:t xml:space="preserve">最终尺寸及颜色以交警要求为准</w:t>
            </w:r>
            <w:r/>
          </w:p>
        </w:tc>
      </w:tr>
    </w:tbl>
    <w:p>
      <w:pPr>
        <w:jc w:val="left"/>
        <w:rPr>
          <w:rFonts w:hint="eastAsia" w:ascii="宋体" w:hAnsi="宋体" w:eastAsia="宋体" w:cs="宋体"/>
          <w:b/>
          <w:bCs/>
          <w:color w:val="auto"/>
          <w:sz w:val="18"/>
          <w:szCs w:val="18"/>
          <w:highlight w:val="none"/>
          <w:u w:val="single"/>
        </w:rPr>
      </w:pPr>
      <w:r>
        <w:rPr>
          <w:rFonts w:hint="eastAsia" w:ascii="宋体" w:hAnsi="宋体" w:eastAsia="宋体" w:cs="宋体"/>
          <w:b/>
          <w:bCs/>
          <w:color w:val="auto"/>
          <w:sz w:val="18"/>
          <w:szCs w:val="18"/>
          <w:highlight w:val="none"/>
          <w:u w:val="single"/>
        </w:rPr>
      </w:r>
      <w:r/>
    </w:p>
    <w:p>
      <w:pPr>
        <w:pStyle w:val="950"/>
        <w:spacing w:before="72" w:after="24"/>
        <w:rPr>
          <w:rFonts w:hint="eastAsia" w:eastAsia="宋体" w:cs="宋体"/>
          <w:bCs/>
          <w:color w:val="auto"/>
          <w:sz w:val="24"/>
          <w:szCs w:val="24"/>
          <w:highlight w:val="none"/>
          <w:lang w:val="zh-CN"/>
        </w:rPr>
      </w:pPr>
      <w:r>
        <w:rPr>
          <w:rFonts w:hint="eastAsia" w:eastAsia="宋体" w:cs="宋体"/>
          <w:bCs/>
          <w:color w:val="auto"/>
          <w:sz w:val="24"/>
          <w:szCs w:val="24"/>
          <w:highlight w:val="none"/>
          <w:lang w:val="zh-CN"/>
        </w:rPr>
        <w:t xml:space="preserve">2、桃园路北侧规划路(崇学路-世园路) 监控设施参数要求</w:t>
      </w:r>
      <w:r/>
    </w:p>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（1）正向电警抓拍相机</w:t>
      </w:r>
      <w:r/>
    </w:p>
    <w:tbl>
      <w:tblPr>
        <w:tblStyle w:val="959"/>
        <w:tblW w:w="8250" w:type="dxa"/>
        <w:tblInd w:w="250" w:type="dxa"/>
        <w:tblLayout w:type="autofit"/>
        <w:tblCellMar>
          <w:left w:w="108" w:type="dxa"/>
          <w:top w:w="0" w:type="dxa"/>
          <w:right w:w="108" w:type="dxa"/>
          <w:bottom w:w="0" w:type="dxa"/>
        </w:tblCellMar>
        <w:tblLook w:val="04A0" w:firstRow="1" w:lastRow="0" w:firstColumn="1" w:lastColumn="0" w:noHBand="0" w:noVBand="1"/>
      </w:tblPr>
      <w:tblGrid>
        <w:gridCol w:w="1836"/>
        <w:gridCol w:w="6414"/>
      </w:tblGrid>
      <w:tr>
        <w:trPr>
          <w:trHeight w:val="397"/>
          <w:tblHead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ind w:left="0"/>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序号</w:t>
            </w:r>
            <w:r/>
          </w:p>
        </w:tc>
        <w:tc>
          <w:tcPr>
            <w:tcBorders>
              <w:top w:val="singl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技术和功能要求</w:t>
            </w:r>
            <w:r/>
          </w:p>
        </w:tc>
      </w:tr>
      <w:tr>
        <w:trPr>
          <w:trHeight w:val="397"/>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w:t>
            </w:r>
            <w:r/>
          </w:p>
        </w:tc>
        <w:tc>
          <w:tcPr>
            <w:tcBorders>
              <w:top w:val="singl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包含摄像机、高清镜头、室外防护罩、内置补光灯、相机内置网络信号防雷器、电源适配器等；</w:t>
            </w:r>
            <w:r/>
          </w:p>
        </w:tc>
      </w:tr>
      <w:tr>
        <w:trPr>
          <w:trHeight w:val="397"/>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w:t>
            </w:r>
            <w:r/>
          </w:p>
        </w:tc>
        <w:tc>
          <w:tcPr>
            <w:tcBorders>
              <w:top w:val="singl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不低于1英寸CMOS;</w:t>
            </w:r>
            <w:r/>
          </w:p>
        </w:tc>
      </w:tr>
      <w:tr>
        <w:trPr>
          <w:trHeight w:val="397"/>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w:t>
            </w:r>
            <w:r/>
          </w:p>
        </w:tc>
        <w:tc>
          <w:tcPr>
            <w:tcBorders>
              <w:top w:val="singl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采用智能图像处理技术(包括但不限于多帧图像融合、多个图像传感器、多个图像处理芯片等技术)可分别输出黑白及彩色图像，可对视频图像和抓拍图片进行融合输出 ；</w:t>
            </w:r>
            <w:r/>
          </w:p>
        </w:tc>
      </w:tr>
      <w:tr>
        <w:trPr>
          <w:trHeight w:val="397"/>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4</w:t>
            </w:r>
            <w:r/>
          </w:p>
        </w:tc>
        <w:tc>
          <w:tcPr>
            <w:tcBorders>
              <w:top w:val="singl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最大图像尺寸：不低于4096×2160像素；</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全天候输出彩色图像；</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6</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视频编码方式支持： H.265、H.264；</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7</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支持车辆捕获功能，白天准确率不低于97%,晚上捕获率不低于95%；</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8</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支持车辆识别功能，白天准确率不低于97%;晚上捕获率不低于95%；</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9</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支持识别多种车型，包括轻型普通货车、小型轿车、小型客车、小大型普通客车、面包车等，准确率不低于97%；</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10</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支持识别车尾车辆子品牌，白天识别率不低于98%,晚上识别率不低于95%；</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11</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支持不按车道行驶功能，白天捕获率不低于98%,夜间捕获率不低于98%；</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12</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支持违法掉头抓拍功能，对违法掉头行为进行抓拍；</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13</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支持违法占用应急车道/非机动车道抓拍功能；</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14</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支持新能源车牌识别，白天准确率不低于97%,晚上准确率不低于95%；</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15</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至少支持13种车身颜色识别，包括：黑、白、灰、红、绿、蓝、黄、粉、紫、</w:t>
            </w:r>
            <w:r>
              <w:rPr>
                <w:rFonts w:hint="eastAsia" w:ascii="宋体" w:hAnsi="宋体"/>
                <w:i w:val="0"/>
                <w:color w:val="auto"/>
                <w:sz w:val="18"/>
                <w:szCs w:val="18"/>
                <w:highlight w:val="none"/>
              </w:rPr>
              <w:br/>
            </w:r>
            <w:r>
              <w:rPr>
                <w:rFonts w:hint="eastAsia" w:ascii="宋体" w:hAnsi="宋体"/>
                <w:i w:val="0"/>
                <w:color w:val="auto"/>
                <w:sz w:val="18"/>
                <w:szCs w:val="18"/>
                <w:highlight w:val="none"/>
              </w:rPr>
              <w:t xml:space="preserve">棕、青、金、橙，白天准确率不低于99%,晚上准确率不低于95%;</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16</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支持闯红灯抓拍功能，捕获率不低于97%;</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17</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可在抓拍图片上叠加抓拍时间、地点、车道号、限速值、车速、车身颜色、车牌号码等信息；</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18</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至少1个SFP光纤接口(含光模块)、1个RJ4510M/100M/1000M自适应网口、</w:t>
            </w:r>
            <w:r>
              <w:rPr>
                <w:rFonts w:hint="eastAsia" w:ascii="宋体" w:hAnsi="宋体"/>
                <w:i w:val="0"/>
                <w:color w:val="auto"/>
                <w:sz w:val="18"/>
                <w:szCs w:val="18"/>
                <w:highlight w:val="none"/>
              </w:rPr>
              <w:br/>
            </w:r>
            <w:r>
              <w:rPr>
                <w:rFonts w:hint="eastAsia" w:ascii="宋体" w:hAnsi="宋体"/>
                <w:i w:val="0"/>
                <w:color w:val="auto"/>
                <w:sz w:val="18"/>
                <w:szCs w:val="18"/>
                <w:highlight w:val="none"/>
              </w:rPr>
              <w:t xml:space="preserve">2个RS-485接口</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19</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外部触发不低于7路，可作为补光灯同步输出控制；</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20</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至少支持IP65的外壳防护能力：</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21</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亮度(灰度)鉴别等级不低于12级</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22</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支持透雾、强光抑制等功能</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23</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五年质保，须提供产品生产商5年原厂质保函</w:t>
            </w:r>
            <w:r/>
          </w:p>
        </w:tc>
      </w:tr>
      <w:tr>
        <w:trP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24</w:t>
            </w:r>
            <w:r/>
          </w:p>
        </w:tc>
        <w:tc>
          <w:tcPr>
            <w:tcBorders>
              <w:top w:val="none" w:color="000000" w:sz="4" w:space="0"/>
              <w:left w:val="none" w:color="000000" w:sz="4" w:space="0"/>
              <w:bottom w:val="single" w:color="000000" w:sz="4" w:space="0"/>
              <w:right w:val="single" w:color="000000" w:sz="4" w:space="0"/>
            </w:tcBorders>
            <w:tcW w:w="73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配置一张256GB存储卡</w:t>
            </w:r>
            <w:r/>
          </w:p>
        </w:tc>
      </w:tr>
    </w:tbl>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（2）环保环境补光灯</w:t>
      </w:r>
      <w:r/>
    </w:p>
    <w:tbl>
      <w:tblPr>
        <w:tblStyle w:val="959"/>
        <w:tblW w:w="8491" w:type="dxa"/>
        <w:jc w:val="center"/>
        <w:tblLayout w:type="autofit"/>
        <w:tblCellMar>
          <w:left w:w="108" w:type="dxa"/>
          <w:top w:w="0" w:type="dxa"/>
          <w:right w:w="108" w:type="dxa"/>
          <w:bottom w:w="0" w:type="dxa"/>
        </w:tblCellMar>
        <w:tblLook w:val="04A0" w:firstRow="1" w:lastRow="0" w:firstColumn="1" w:lastColumn="0" w:noHBand="0" w:noVBand="1"/>
      </w:tblPr>
      <w:tblGrid>
        <w:gridCol w:w="1836"/>
        <w:gridCol w:w="6655"/>
      </w:tblGrid>
      <w:tr>
        <w:trPr>
          <w:jc w:val="center"/>
          <w:trHeight w:val="397"/>
          <w:tblHeader/>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序号</w:t>
            </w:r>
            <w:r/>
          </w:p>
        </w:tc>
        <w:tc>
          <w:tcPr>
            <w:tcBorders>
              <w:top w:val="single" w:color="000000" w:sz="4" w:space="0"/>
              <w:left w:val="none" w:color="000000" w:sz="4" w:space="0"/>
              <w:bottom w:val="single" w:color="000000" w:sz="4" w:space="0"/>
              <w:right w:val="single" w:color="000000" w:sz="4" w:space="0"/>
            </w:tcBorders>
            <w:tcW w:w="750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技术和功能要求</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w:t>
            </w:r>
            <w:r/>
          </w:p>
        </w:tc>
        <w:tc>
          <w:tcPr>
            <w:tcBorders>
              <w:top w:val="none" w:color="000000" w:sz="4" w:space="0"/>
              <w:left w:val="none" w:color="000000" w:sz="4" w:space="0"/>
              <w:bottom w:val="single" w:color="000000" w:sz="4" w:space="0"/>
              <w:right w:val="single" w:color="000000" w:sz="4" w:space="0"/>
            </w:tcBorders>
            <w:tcW w:w="750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光源类型：LED,单车道环境补光；</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w:t>
            </w:r>
            <w:r/>
          </w:p>
        </w:tc>
        <w:tc>
          <w:tcPr>
            <w:tcBorders>
              <w:top w:val="none" w:color="000000" w:sz="4" w:space="0"/>
              <w:left w:val="none" w:color="000000" w:sz="4" w:space="0"/>
              <w:bottom w:val="single" w:color="000000" w:sz="4" w:space="0"/>
              <w:right w:val="single" w:color="000000" w:sz="4" w:space="0"/>
            </w:tcBorders>
            <w:tcW w:w="750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LED灯珠数量：≥16颗；</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w:t>
            </w:r>
            <w:r/>
          </w:p>
        </w:tc>
        <w:tc>
          <w:tcPr>
            <w:tcBorders>
              <w:top w:val="none" w:color="000000" w:sz="4" w:space="0"/>
              <w:left w:val="none" w:color="000000" w:sz="4" w:space="0"/>
              <w:bottom w:val="single" w:color="000000" w:sz="4" w:space="0"/>
              <w:right w:val="single" w:color="000000" w:sz="4" w:space="0"/>
            </w:tcBorders>
            <w:tcW w:w="750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最佳补光距离：16米-25米：</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4</w:t>
            </w:r>
            <w:r/>
          </w:p>
        </w:tc>
        <w:tc>
          <w:tcPr>
            <w:tcBorders>
              <w:top w:val="none" w:color="000000" w:sz="4" w:space="0"/>
              <w:left w:val="none" w:color="000000" w:sz="4" w:space="0"/>
              <w:bottom w:val="single" w:color="000000" w:sz="4" w:space="0"/>
              <w:right w:val="single" w:color="000000" w:sz="4" w:space="0"/>
            </w:tcBorders>
            <w:tcW w:w="750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触发方式：支持5V电平量触发(可选配开关量触发);</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750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支持补光灯自带光敏控制，在低照度下自动开启：</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6</w:t>
            </w:r>
            <w:r/>
          </w:p>
        </w:tc>
        <w:tc>
          <w:tcPr>
            <w:tcBorders>
              <w:top w:val="none" w:color="000000" w:sz="4" w:space="0"/>
              <w:left w:val="none" w:color="000000" w:sz="4" w:space="0"/>
              <w:bottom w:val="single" w:color="000000" w:sz="4" w:space="0"/>
              <w:right w:val="single" w:color="000000" w:sz="4" w:space="0"/>
            </w:tcBorders>
            <w:tcW w:w="750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支持自闪、跟随、自动频闪模式：</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7</w:t>
            </w:r>
            <w:r/>
          </w:p>
        </w:tc>
        <w:tc>
          <w:tcPr>
            <w:tcBorders>
              <w:top w:val="none" w:color="000000" w:sz="4" w:space="0"/>
              <w:left w:val="none" w:color="000000" w:sz="4" w:space="0"/>
              <w:bottom w:val="single" w:color="000000" w:sz="4" w:space="0"/>
              <w:right w:val="single" w:color="000000" w:sz="4" w:space="0"/>
            </w:tcBorders>
            <w:tcW w:w="750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频率0-250HZ可调，支持通过调整占空比1%~39%进行亮度调节：</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8</w:t>
            </w:r>
            <w:r/>
          </w:p>
        </w:tc>
        <w:tc>
          <w:tcPr>
            <w:tcBorders>
              <w:top w:val="none" w:color="000000" w:sz="4" w:space="0"/>
              <w:left w:val="none" w:color="000000" w:sz="4" w:space="0"/>
              <w:bottom w:val="single" w:color="000000" w:sz="4" w:space="0"/>
              <w:right w:val="single" w:color="000000" w:sz="4" w:space="0"/>
            </w:tcBorders>
            <w:tcW w:w="750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支持频率及占空比保护功能，支持爆闪功能，爆闪持续时间、延迟时间及最小间隔时间可设；</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9</w:t>
            </w:r>
            <w:r/>
          </w:p>
        </w:tc>
        <w:tc>
          <w:tcPr>
            <w:tcBorders>
              <w:top w:val="none" w:color="000000" w:sz="4" w:space="0"/>
              <w:left w:val="none" w:color="000000" w:sz="4" w:space="0"/>
              <w:bottom w:val="single" w:color="000000" w:sz="4" w:space="0"/>
              <w:right w:val="single" w:color="000000" w:sz="4" w:space="0"/>
            </w:tcBorders>
            <w:tcW w:w="750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支持通过同步输出端口级联；</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10</w:t>
            </w:r>
            <w:r/>
          </w:p>
        </w:tc>
        <w:tc>
          <w:tcPr>
            <w:tcBorders>
              <w:top w:val="none" w:color="000000" w:sz="4" w:space="0"/>
              <w:left w:val="none" w:color="000000" w:sz="4" w:space="0"/>
              <w:bottom w:val="single" w:color="000000" w:sz="4" w:space="0"/>
              <w:right w:val="single" w:color="000000" w:sz="4" w:space="0"/>
            </w:tcBorders>
            <w:tcW w:w="750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支持通过RS485远程控制补光灯的亮度、开启/关闭：</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11</w:t>
            </w:r>
            <w:r/>
          </w:p>
        </w:tc>
        <w:tc>
          <w:tcPr>
            <w:tcBorders>
              <w:top w:val="none" w:color="000000" w:sz="4" w:space="0"/>
              <w:left w:val="none" w:color="000000" w:sz="4" w:space="0"/>
              <w:bottom w:val="single" w:color="000000" w:sz="4" w:space="0"/>
              <w:right w:val="single" w:color="000000" w:sz="4" w:space="0"/>
            </w:tcBorders>
            <w:tcW w:w="750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支持通过RS485对补光灯升级程序；</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12</w:t>
            </w:r>
            <w:r/>
          </w:p>
        </w:tc>
        <w:tc>
          <w:tcPr>
            <w:tcBorders>
              <w:top w:val="none" w:color="000000" w:sz="4" w:space="0"/>
              <w:left w:val="none" w:color="000000" w:sz="4" w:space="0"/>
              <w:bottom w:val="single" w:color="000000" w:sz="4" w:space="0"/>
              <w:right w:val="single" w:color="000000" w:sz="4" w:space="0"/>
            </w:tcBorders>
            <w:tcW w:w="750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支持远程显示补光灯故障、正常、开启、关闭等工作状态：</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13</w:t>
            </w:r>
            <w:r/>
          </w:p>
        </w:tc>
        <w:tc>
          <w:tcPr>
            <w:tcBorders>
              <w:top w:val="none" w:color="000000" w:sz="4" w:space="0"/>
              <w:left w:val="none" w:color="000000" w:sz="4" w:space="0"/>
              <w:bottom w:val="single" w:color="000000" w:sz="4" w:space="0"/>
              <w:right w:val="single" w:color="000000" w:sz="4" w:space="0"/>
            </w:tcBorders>
            <w:tcW w:w="750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频闪响应时间不大于20us;</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14</w:t>
            </w:r>
            <w:r/>
          </w:p>
        </w:tc>
        <w:tc>
          <w:tcPr>
            <w:tcBorders>
              <w:top w:val="none" w:color="000000" w:sz="4" w:space="0"/>
              <w:left w:val="none" w:color="000000" w:sz="4" w:space="0"/>
              <w:bottom w:val="single" w:color="000000" w:sz="4" w:space="0"/>
              <w:right w:val="single" w:color="000000" w:sz="4" w:space="0"/>
            </w:tcBorders>
            <w:tcW w:w="750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防护等级：IP65;</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15</w:t>
            </w:r>
            <w:r/>
          </w:p>
        </w:tc>
        <w:tc>
          <w:tcPr>
            <w:tcBorders>
              <w:top w:val="none" w:color="000000" w:sz="4" w:space="0"/>
              <w:left w:val="none" w:color="000000" w:sz="4" w:space="0"/>
              <w:bottom w:val="single" w:color="000000" w:sz="4" w:space="0"/>
              <w:right w:val="single" w:color="000000" w:sz="4" w:space="0"/>
            </w:tcBorders>
            <w:tcW w:w="750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符合《交通技术监控成像补光装置通用技术条件》中一级标准：</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16</w:t>
            </w:r>
            <w:r/>
          </w:p>
        </w:tc>
        <w:tc>
          <w:tcPr>
            <w:tcBorders>
              <w:top w:val="none" w:color="000000" w:sz="4" w:space="0"/>
              <w:left w:val="none" w:color="000000" w:sz="4" w:space="0"/>
              <w:bottom w:val="single" w:color="000000" w:sz="4" w:space="0"/>
              <w:right w:val="single" w:color="000000" w:sz="4" w:space="0"/>
            </w:tcBorders>
            <w:tcW w:w="750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五年质保，须提供产品生产商5年原厂质保函</w:t>
            </w:r>
            <w:r/>
          </w:p>
        </w:tc>
      </w:tr>
    </w:tbl>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（3）工业级交换机</w:t>
      </w:r>
      <w:r/>
    </w:p>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①工业级汇聚交换机</w:t>
      </w:r>
      <w:r/>
    </w:p>
    <w:tbl>
      <w:tblPr>
        <w:tblStyle w:val="959"/>
        <w:tblW w:w="8737" w:type="dxa"/>
        <w:jc w:val="center"/>
        <w:tblLayout w:type="autofit"/>
        <w:tblCellMar>
          <w:left w:w="108" w:type="dxa"/>
          <w:top w:w="0" w:type="dxa"/>
          <w:right w:w="108" w:type="dxa"/>
          <w:bottom w:w="0" w:type="dxa"/>
        </w:tblCellMar>
        <w:tblLook w:val="04A0" w:firstRow="1" w:lastRow="0" w:firstColumn="1" w:lastColumn="0" w:noHBand="0" w:noVBand="1"/>
      </w:tblPr>
      <w:tblGrid>
        <w:gridCol w:w="1836"/>
        <w:gridCol w:w="6901"/>
      </w:tblGrid>
      <w:tr>
        <w:trPr>
          <w:jc w:val="center"/>
          <w:trHeight w:val="397"/>
          <w:tblHeader/>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序号</w:t>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技术和功能要求</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配置24个千兆SFP口（满配模块与摄像机兼容、端口速率自适应）、不少于4个Combo口，4个万兆SFP+口，1个网管口；</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整机交换容量≥144Gbps，包转发率≥102MppS，MAC≥16K;</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物理接口：光接口LC、光电复合接口；</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4</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传输距离：单模：0~25km;</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支持VLAN划分、端口流量分析；</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6</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支持生成树STP/RSTP/MSTP，环网自愈时间小于50毫秒，支持异常端口自动重启恢复或手动恢复；</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7</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支持端口安全，IP+MAC+端口绑定，远程控制端口开启和关闭；</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8</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支持QOS，支持链路聚合功能、LLDP协议功能，支持静态路由、动态路由；</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9</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支持NTP网络时钟同步；</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10</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支持WEB、Telnet、SSH、SNMP等网管功能，支持SNMPv1/v2/v3,支持修改网络协议默认端口号，可对接第三方标准SNMP网管平台；</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11</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电源输入：AC100-240V输入，冗余电源；</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12</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工作温度： -40～85℃运行；</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13</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散热方式：全封闭、自然散热；</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14</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防水防尘等级：不低于IP40；</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15</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工作湿度：10%～95%（无冷凝）；</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16</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电磁兼容：内置浪涌和静电保护。</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17</w:t>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五年质保，须提供产品生产商5年原厂质保函</w:t>
            </w:r>
            <w:r/>
          </w:p>
        </w:tc>
      </w:tr>
    </w:tbl>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②工业接入交换机</w:t>
      </w:r>
      <w:r/>
    </w:p>
    <w:tbl>
      <w:tblPr>
        <w:tblStyle w:val="959"/>
        <w:tblW w:w="8763" w:type="dxa"/>
        <w:jc w:val="center"/>
        <w:tblLayout w:type="autofit"/>
        <w:tblCellMar>
          <w:left w:w="108" w:type="dxa"/>
          <w:top w:w="0" w:type="dxa"/>
          <w:right w:w="108" w:type="dxa"/>
          <w:bottom w:w="0" w:type="dxa"/>
        </w:tblCellMar>
        <w:tblLook w:val="04A0" w:firstRow="1" w:lastRow="0" w:firstColumn="1" w:lastColumn="0" w:noHBand="0" w:noVBand="1"/>
      </w:tblPr>
      <w:tblGrid>
        <w:gridCol w:w="1836"/>
        <w:gridCol w:w="6927"/>
      </w:tblGrid>
      <w:tr>
        <w:trPr>
          <w:jc w:val="center"/>
          <w:trHeight w:val="397"/>
          <w:tblHead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序号</w:t>
            </w:r>
            <w:r/>
          </w:p>
        </w:tc>
        <w:tc>
          <w:tcPr>
            <w:tcBorders>
              <w:top w:val="single" w:color="000000" w:sz="4" w:space="0"/>
              <w:left w:val="none" w:color="000000" w:sz="4" w:space="0"/>
              <w:bottom w:val="single" w:color="000000" w:sz="4" w:space="0"/>
              <w:right w:val="single" w:color="000000" w:sz="4" w:space="0"/>
            </w:tcBorders>
            <w:tcW w:w="7912"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技术和功能要求</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w:t>
            </w:r>
            <w:r/>
          </w:p>
        </w:tc>
        <w:tc>
          <w:tcPr>
            <w:tcBorders>
              <w:top w:val="none" w:color="000000" w:sz="4" w:space="0"/>
              <w:left w:val="none" w:color="000000" w:sz="4" w:space="0"/>
              <w:bottom w:val="single" w:color="000000" w:sz="4" w:space="0"/>
              <w:right w:val="single" w:color="000000" w:sz="4" w:space="0"/>
            </w:tcBorders>
            <w:tcW w:w="7912"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硬件性能：交换容量≥160Gbps,包转发率≥30Mpps</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w:t>
            </w:r>
            <w:r/>
          </w:p>
        </w:tc>
        <w:tc>
          <w:tcPr>
            <w:tcBorders>
              <w:top w:val="none" w:color="000000" w:sz="4" w:space="0"/>
              <w:left w:val="none" w:color="000000" w:sz="4" w:space="0"/>
              <w:bottom w:val="single" w:color="000000" w:sz="4" w:space="0"/>
              <w:right w:val="single" w:color="000000" w:sz="4" w:space="0"/>
            </w:tcBorders>
            <w:tcW w:w="7912"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端口：≥8个千兆电口，≥2个千兆SFP+光口(满配模块与摄像机兼容)</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w:t>
            </w:r>
            <w:r/>
          </w:p>
        </w:tc>
        <w:tc>
          <w:tcPr>
            <w:tcBorders>
              <w:top w:val="none" w:color="000000" w:sz="4" w:space="0"/>
              <w:left w:val="none" w:color="000000" w:sz="4" w:space="0"/>
              <w:bottom w:val="single" w:color="000000" w:sz="4" w:space="0"/>
              <w:right w:val="single" w:color="000000" w:sz="4" w:space="0"/>
            </w:tcBorders>
            <w:tcW w:w="7912"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硬件：一体机集成交换机、防护外壳、防雷器、熔纤盒、多路电源输出、机械锁等多个模块为一体，可实现室外接入点一站式交付：SUS201壁厚1.5mm尺寸550*500*256mm(应根据实际设备规格适当调整，并保持全线规格一致)；支持交直流对外输出：支持5路12VDC输出：支持2路24VAC输出</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4</w:t>
            </w:r>
            <w:r/>
          </w:p>
        </w:tc>
        <w:tc>
          <w:tcPr>
            <w:tcBorders>
              <w:top w:val="none" w:color="000000" w:sz="4" w:space="0"/>
              <w:left w:val="none" w:color="000000" w:sz="4" w:space="0"/>
              <w:bottom w:val="single" w:color="000000" w:sz="4" w:space="0"/>
              <w:right w:val="single" w:color="000000" w:sz="4" w:space="0"/>
            </w:tcBorders>
            <w:tcW w:w="7912"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二层：支持4K个VLAN,支持Voice VLAN，基于端口的VLAN,基于MAC的VLAN,基于协议的VLAN</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7912"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三层：支持RIP、RIPng、OSPF、OSPFv3、ISIS、BGP等路由协议</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7912"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安全功能：支持802.1x、MAC认证和Portal认证；支持DoS攻击防护、ARP攻击防护、ICMP攻击防护，支持端口隔离、端口安全；支持对端口接收报文速率和发送报文速率进行限制，支持DRR、SP、DRR+SP队</w:t>
            </w:r>
            <w:r>
              <w:rPr>
                <w:rFonts w:hint="eastAsia" w:ascii="宋体" w:hAnsi="宋体"/>
                <w:i w:val="0"/>
                <w:color w:val="auto"/>
                <w:sz w:val="18"/>
                <w:szCs w:val="18"/>
                <w:highlight w:val="none"/>
              </w:rPr>
              <w:br/>
            </w:r>
            <w:r>
              <w:rPr>
                <w:rFonts w:hint="eastAsia" w:ascii="宋体" w:hAnsi="宋体"/>
                <w:i w:val="0"/>
                <w:color w:val="auto"/>
                <w:sz w:val="18"/>
                <w:szCs w:val="18"/>
                <w:highlight w:val="none"/>
              </w:rPr>
              <w:t xml:space="preserve">列调度算法</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6</w:t>
            </w:r>
            <w:r/>
          </w:p>
        </w:tc>
        <w:tc>
          <w:tcPr>
            <w:tcBorders>
              <w:top w:val="none" w:color="000000" w:sz="4" w:space="0"/>
              <w:left w:val="none" w:color="000000" w:sz="4" w:space="0"/>
              <w:bottom w:val="single" w:color="000000" w:sz="4" w:space="0"/>
              <w:right w:val="single" w:color="000000" w:sz="4" w:space="0"/>
            </w:tcBorders>
            <w:tcW w:w="7912"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室外工作可靠性：支持工业级工作温度范围：-40至85℃工作温度；支持户外防雷，适用于室外各种环境；</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7</w:t>
            </w:r>
            <w:r/>
          </w:p>
        </w:tc>
        <w:tc>
          <w:tcPr>
            <w:tcBorders>
              <w:top w:val="none" w:color="000000" w:sz="4" w:space="0"/>
              <w:left w:val="none" w:color="000000" w:sz="4" w:space="0"/>
              <w:bottom w:val="single" w:color="000000" w:sz="4" w:space="0"/>
              <w:right w:val="single" w:color="000000" w:sz="4" w:space="0"/>
            </w:tcBorders>
            <w:tcW w:w="7912"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视频监控感知：支持智能IPC离线诊断，配合网管平台，可快速对IPC所在网络路径的设备管理状态、端口状态、告警进行故障诊断，快速定界IPC故障类型：支持机械锁和开箱告警，及时感知对一体机的破坏和入侵行为，保护监控设备安全</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8</w:t>
            </w:r>
            <w:r/>
          </w:p>
        </w:tc>
        <w:tc>
          <w:tcPr>
            <w:tcBorders>
              <w:top w:val="none" w:color="000000" w:sz="4" w:space="0"/>
              <w:left w:val="none" w:color="000000" w:sz="4" w:space="0"/>
              <w:bottom w:val="single" w:color="000000" w:sz="4" w:space="0"/>
              <w:right w:val="single" w:color="000000" w:sz="4" w:space="0"/>
            </w:tcBorders>
            <w:tcW w:w="7912"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管理维护：支持SNMP vl/v2/v3、Telnet、RMON:支持通过命令行、Web、中文图形化配置软件等方式进行配置和管理</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9</w:t>
            </w:r>
            <w:r/>
          </w:p>
        </w:tc>
        <w:tc>
          <w:tcPr>
            <w:tcBorders>
              <w:top w:val="none" w:color="000000" w:sz="4" w:space="0"/>
              <w:left w:val="none" w:color="000000" w:sz="4" w:space="0"/>
              <w:bottom w:val="single" w:color="000000" w:sz="4" w:space="0"/>
              <w:right w:val="single" w:color="000000" w:sz="4" w:space="0"/>
            </w:tcBorders>
            <w:tcW w:w="7912"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五年质保，须提供产品生产商5年原厂质保函</w:t>
            </w:r>
            <w:r/>
          </w:p>
        </w:tc>
      </w:tr>
    </w:tbl>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w:t>
      </w:r>
      <w:r>
        <w:rPr>
          <w:rFonts w:hint="eastAsia" w:ascii="宋体" w:hAnsi="宋体" w:eastAsia="宋体"/>
          <w:color w:val="auto"/>
          <w:sz w:val="18"/>
          <w:szCs w:val="18"/>
          <w:highlight w:val="none"/>
        </w:rPr>
        <w:t xml:space="preserve">4</w:t>
      </w:r>
      <w:r>
        <w:rPr>
          <w:rFonts w:ascii="宋体" w:hAnsi="宋体" w:eastAsia="宋体"/>
          <w:color w:val="auto"/>
          <w:sz w:val="18"/>
          <w:szCs w:val="18"/>
          <w:highlight w:val="none"/>
        </w:rPr>
        <w:t xml:space="preserve">）落地智能机箱</w:t>
      </w:r>
      <w:r/>
    </w:p>
    <w:tbl>
      <w:tblPr>
        <w:tblStyle w:val="959"/>
        <w:tblW w:w="8746" w:type="dxa"/>
        <w:jc w:val="center"/>
        <w:tblLayout w:type="autofit"/>
        <w:tblCellMar>
          <w:left w:w="108" w:type="dxa"/>
          <w:top w:w="0" w:type="dxa"/>
          <w:right w:w="108" w:type="dxa"/>
          <w:bottom w:w="0" w:type="dxa"/>
        </w:tblCellMar>
        <w:tblLook w:val="04A0" w:firstRow="1" w:lastRow="0" w:firstColumn="1" w:lastColumn="0" w:noHBand="0" w:noVBand="1"/>
      </w:tblPr>
      <w:tblGrid>
        <w:gridCol w:w="1836"/>
        <w:gridCol w:w="6910"/>
      </w:tblGrid>
      <w:tr>
        <w:trPr>
          <w:jc w:val="center"/>
          <w:trHeight w:val="397"/>
          <w:tblHeade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序号</w:t>
            </w:r>
            <w:r/>
          </w:p>
        </w:tc>
        <w:tc>
          <w:tcPr>
            <w:tcBorders>
              <w:top w:val="single" w:color="000000" w:sz="4" w:space="0"/>
              <w:left w:val="none" w:color="000000" w:sz="4" w:space="0"/>
              <w:bottom w:val="single" w:color="000000" w:sz="4" w:space="0"/>
              <w:right w:val="single" w:color="000000" w:sz="4" w:space="0"/>
            </w:tcBorders>
            <w:tcW w:w="79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技术和功能要求</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w:t>
            </w:r>
            <w:r/>
          </w:p>
        </w:tc>
        <w:tc>
          <w:tcPr>
            <w:tcBorders>
              <w:top w:val="none" w:color="000000" w:sz="4" w:space="0"/>
              <w:left w:val="none" w:color="000000" w:sz="4" w:space="0"/>
              <w:bottom w:val="single" w:color="000000" w:sz="4" w:space="0"/>
              <w:right w:val="single" w:color="000000" w:sz="4" w:space="0"/>
            </w:tcBorders>
            <w:tcW w:w="79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箱体使用材料应具备防腐、防水等功能，SUS201板材厚度板材厚度2mm。防护等级≥IP55。   具体规格可根据管理部门意见适当调整。</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w:t>
            </w:r>
            <w:r/>
          </w:p>
        </w:tc>
        <w:tc>
          <w:tcPr>
            <w:tcBorders>
              <w:top w:val="none" w:color="000000" w:sz="4" w:space="0"/>
              <w:left w:val="none" w:color="000000" w:sz="4" w:space="0"/>
              <w:bottom w:val="single" w:color="000000" w:sz="4" w:space="0"/>
              <w:right w:val="single" w:color="000000" w:sz="4" w:space="0"/>
            </w:tcBorders>
            <w:tcW w:w="79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配件需求为：电源防雷器*1、三芯插座*8、隔离闸*2、熔断器6个、4芯融纤盘*1、16A断路器、市电检测模块*1、电动操作附件*1、运维节点主机*1、智能锁*1、散热风扇、电源配电模块*1。</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w:t>
            </w:r>
            <w:r/>
          </w:p>
        </w:tc>
        <w:tc>
          <w:tcPr>
            <w:tcBorders>
              <w:top w:val="none" w:color="000000" w:sz="4" w:space="0"/>
              <w:left w:val="none" w:color="000000" w:sz="4" w:space="0"/>
              <w:bottom w:val="single" w:color="000000" w:sz="4" w:space="0"/>
              <w:right w:val="single" w:color="000000" w:sz="4" w:space="0"/>
            </w:tcBorders>
            <w:tcW w:w="79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具有远程开锁和手工锁功能。</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4</w:t>
            </w:r>
            <w:r/>
          </w:p>
        </w:tc>
        <w:tc>
          <w:tcPr>
            <w:tcBorders>
              <w:top w:val="none" w:color="000000" w:sz="4" w:space="0"/>
              <w:left w:val="none" w:color="000000" w:sz="4" w:space="0"/>
              <w:bottom w:val="single" w:color="000000" w:sz="4" w:space="0"/>
              <w:right w:val="single" w:color="000000" w:sz="4" w:space="0"/>
            </w:tcBorders>
            <w:tcW w:w="79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散热系统应为智能风道设计，不少于风扇*2,需支持温控并配备专用防尘罩电动操作附件需支持双支点平行驱动，应可配装分闸安全挂锁：需支持电动分合、手/自动切换等功能。</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79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设备加密：设备支持SNMPV3版本加密协议，802.1X认证协议运维节点主机其有远程控制设备重新启动或状态显示；不少于8个输入/输出通道，RS485串口不少于1个，网络不少于1个：需支持断路器分/合状态，远程控制断路器分/合：需支持连接第三方24VDC的电器设备；</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6</w:t>
            </w:r>
            <w:r/>
          </w:p>
        </w:tc>
        <w:tc>
          <w:tcPr>
            <w:tcBorders>
              <w:top w:val="none" w:color="000000" w:sz="4" w:space="0"/>
              <w:left w:val="none" w:color="000000" w:sz="4" w:space="0"/>
              <w:bottom w:val="single" w:color="000000" w:sz="4" w:space="0"/>
              <w:right w:val="single" w:color="000000" w:sz="4" w:space="0"/>
            </w:tcBorders>
            <w:tcW w:w="79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需提供相关配套系统软件：能够精确定位摄像机断电，断网、设备损环等问题;一旦设备发生故障时，需向平台发送状态信息;需支持远程重启功能;需支持远程升级。</w:t>
            </w:r>
            <w:r/>
          </w:p>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具有远程控制功能:接受监控中心管理平台指今，实施远程断电重合，可控制摄像机、传输设备的开启和关闭。</w:t>
            </w:r>
            <w:r/>
          </w:p>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电压变化抗扰度:一段时间内，功能暂时丧失或降低，应能自行恢复，不需要操作干预温度显示:中心可显示机箱内温度、风扇开关状态;</w:t>
            </w:r>
            <w:r/>
          </w:p>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具有防盗报警功能:打开/关闭机箱门，中心可收到报警提示:</w:t>
            </w:r>
            <w:r/>
          </w:p>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具备 GPS/BeiDou 定位功能模块</w:t>
            </w:r>
            <w:r/>
          </w:p>
        </w:tc>
      </w:tr>
    </w:tbl>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w:t>
      </w:r>
      <w:r>
        <w:rPr>
          <w:rFonts w:hint="eastAsia" w:ascii="宋体" w:hAnsi="宋体" w:eastAsia="宋体"/>
          <w:color w:val="auto"/>
          <w:sz w:val="18"/>
          <w:szCs w:val="18"/>
          <w:highlight w:val="none"/>
        </w:rPr>
        <w:t xml:space="preserve">5</w:t>
      </w:r>
      <w:r>
        <w:rPr>
          <w:rFonts w:ascii="宋体" w:hAnsi="宋体" w:eastAsia="宋体"/>
          <w:color w:val="auto"/>
          <w:sz w:val="18"/>
          <w:szCs w:val="18"/>
          <w:highlight w:val="none"/>
        </w:rPr>
        <w:t xml:space="preserve">）全景摄像机</w:t>
      </w:r>
      <w:r/>
    </w:p>
    <w:tbl>
      <w:tblPr>
        <w:tblStyle w:val="959"/>
        <w:tblW w:w="8746" w:type="dxa"/>
        <w:jc w:val="center"/>
        <w:tblLayout w:type="autofit"/>
        <w:tblCellMar>
          <w:left w:w="108" w:type="dxa"/>
          <w:top w:w="0" w:type="dxa"/>
          <w:right w:w="108" w:type="dxa"/>
          <w:bottom w:w="0" w:type="dxa"/>
        </w:tblCellMar>
        <w:tblLook w:val="04A0" w:firstRow="1" w:lastRow="0" w:firstColumn="1" w:lastColumn="0" w:noHBand="0" w:noVBand="1"/>
      </w:tblPr>
      <w:tblGrid>
        <w:gridCol w:w="1836"/>
        <w:gridCol w:w="6910"/>
      </w:tblGrid>
      <w:tr>
        <w:trPr>
          <w:jc w:val="center"/>
          <w:trHeight w:val="397"/>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序号</w:t>
            </w:r>
            <w:r/>
          </w:p>
        </w:tc>
        <w:tc>
          <w:tcPr>
            <w:tcBorders>
              <w:top w:val="singl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技术和功能要求</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摄像机由2路全景摄像机和1路细节摄像机组成，CMOS靶面尺寸均为1/1.8英寸 ；</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内置GPU芯片；</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像素：全景：400万；</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4</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最大分辨率：全景：3840×1080细节：2560×1440;</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补光灯数量：全景：4颗(白光灯)细节：6颗(红外灯)2颗(白光灯);</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6</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最大补光距离：全景：30米(白光),细节：200米(红外);</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7</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镜头焦距：全景：2.8mm细节；5.5mm~220mm;</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8</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光学变倍：40倍；</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9</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全景通道可输出2个镜头无缝拼接的全景图像，纵向拼接偏差像素≤4个像素点：全景通道水平视场角≥200°;全景通道可垂直旋转，旋转范围≥12°:</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10</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细节相机：水平范围：0°~360°、垂直范围：-30°~90°；</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11</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支持300个预置位，8条巡航路径；</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12</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视频结构化功能：支持机动车抓拍、机动车属性提取，支持非机动车抓拍、非机动车属性提取，支持人体抓拍、人体属性提取，支持人脸抓拍、人脸属性提取：</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13</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支持电子透雾功能，全景AR标签；</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14</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接入协议：GB/T28181,ONVIF(Profile S&amp;G&amp;T),GA/T 1400;</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15</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支持快速智能切换，当更换智能模式时设备不重启，新智能使能后即可生效；</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16</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音频输入：1路，音频输出：1路，报警输入：7路，报输出：2路；</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17</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供电方式：DC36V/2.25A(-10%~+10%);</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18</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工作温度： -40℃~+70℃;</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19</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支持IP67防护等级，8000V防雷、防浪涌和防突波保护。</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20</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至少1个SFP光纤接口(含光模块),1个RJ4510M/100M/1000M自适应网口、2个RS - 485接口</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21</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配置1张256GB的存储卡</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22</w:t>
            </w:r>
            <w:r/>
          </w:p>
        </w:tc>
        <w:tc>
          <w:tcPr>
            <w:tcBorders>
              <w:top w:val="none" w:color="000000" w:sz="4" w:space="0"/>
              <w:left w:val="none" w:color="000000" w:sz="4" w:space="0"/>
              <w:bottom w:val="single" w:color="000000" w:sz="4" w:space="0"/>
              <w:right w:val="single" w:color="000000" w:sz="4" w:space="0"/>
            </w:tcBorders>
            <w:tcW w:w="7929"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五年质保，须提供产品生产商5年原厂质保函</w:t>
            </w:r>
            <w:r/>
          </w:p>
        </w:tc>
      </w:tr>
    </w:tbl>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（6）高清违停抓拍球机</w:t>
      </w:r>
      <w:r/>
    </w:p>
    <w:tbl>
      <w:tblPr>
        <w:tblStyle w:val="959"/>
        <w:tblW w:w="86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6"/>
        <w:gridCol w:w="6863"/>
      </w:tblGrid>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序号</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技术和功能要求</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不低于1/1.8英寸CMOS;</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内置GPU芯片</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采用智能图像处理技术(包括但不限于多帧图像融合、多个图像传感器、多个图像处理芯片等技术)</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4</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最大图像尺寸：不低于2560x1440像素；</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5</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最低照度不低于彩色：0.00021x,黑白：0.00011x;</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6</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30倍光学变倍以上；</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7</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支持快速聚焦功能：</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8</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具有三种滤光片，在白天、夜晚及有雾情况下可自动切换不同的滤光片进行成像；</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9</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至少支持8条巡航路径，每条巡航至少可以添加32个预置点；</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10</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视频编码方式支持H.265、H.264、MJPEG;</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11</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支持违法停车抓拍功能，违停车辆捕获率白天不小于98%,晚上不小于96%；</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12</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至少具有1个RJ45接口、1个音频输入接口、1个音频输出接口、7个报警输入接口、2个报警输出接口、1个RS485接口和1个SD卡插槽；1路光纤接口(含光模块);</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13</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至少支持IP67的外壳防护能力；</w:t>
            </w:r>
            <w:r/>
          </w:p>
        </w:tc>
      </w:tr>
      <w:tr>
        <w:trPr>
          <w:jc w:val="center"/>
          <w:trHeight w:val="397"/>
        </w:trPr>
        <w:tc>
          <w:tcPr>
            <w:tcW w:w="866"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14</w:t>
            </w:r>
            <w:r/>
          </w:p>
        </w:tc>
        <w:tc>
          <w:tcPr>
            <w:tcW w:w="7833"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五年质保，须提供产品生产商5年原厂质保函</w:t>
            </w:r>
            <w:r/>
          </w:p>
        </w:tc>
      </w:tr>
    </w:tbl>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（7）电警智能终端</w:t>
      </w:r>
      <w:r/>
    </w:p>
    <w:tbl>
      <w:tblPr>
        <w:tblStyle w:val="9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6"/>
        <w:gridCol w:w="6884"/>
      </w:tblGrid>
      <w:tr>
        <w:trPr>
          <w:jc w:val="center"/>
          <w:trHeight w:val="397"/>
        </w:trPr>
        <w:tc>
          <w:tcPr>
            <w:tcW w:w="452"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序号</w:t>
            </w:r>
            <w:r/>
          </w:p>
        </w:tc>
        <w:tc>
          <w:tcPr>
            <w:tcW w:w="4548"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技术和功能要求</w:t>
            </w:r>
            <w:r/>
          </w:p>
        </w:tc>
      </w:tr>
      <w:tr>
        <w:trPr>
          <w:jc w:val="center"/>
          <w:trHeight w:val="397"/>
        </w:trPr>
        <w:tc>
          <w:tcPr>
            <w:tcW w:w="452"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w:t>
            </w:r>
            <w:r/>
          </w:p>
        </w:tc>
        <w:tc>
          <w:tcPr>
            <w:tcW w:w="4548" w:type="pct"/>
            <w:vAlign w:val="center"/>
            <w:textDirection w:val="lrTb"/>
            <w:noWrap w:val="false"/>
          </w:tcPr>
          <w:p>
            <w:pPr>
              <w:pStyle w:val="1077"/>
              <w:jc w:val="left"/>
              <w:rPr>
                <w:rFonts w:hint="eastAsia" w:ascii="宋体" w:hAnsi="宋体"/>
                <w:i w:val="0"/>
                <w:color w:val="auto"/>
                <w:sz w:val="18"/>
                <w:szCs w:val="18"/>
                <w:highlight w:val="none"/>
              </w:rPr>
            </w:pPr>
            <w:r>
              <w:rPr>
                <w:rFonts w:ascii="宋体" w:hAnsi="宋体"/>
                <w:i w:val="0"/>
                <w:color w:val="auto"/>
                <w:sz w:val="18"/>
                <w:szCs w:val="18"/>
                <w:highlight w:val="none"/>
              </w:rPr>
              <w:t xml:space="preserve">网络接口：16个1000M以太网接口，1个内部和1个外部10/100/1000M自适应以太网 接口，1个内部和1个外部千兆可光电切换光纤接口（满配光模块）</w:t>
            </w:r>
            <w:r>
              <w:rPr>
                <w:rFonts w:hint="eastAsia" w:ascii="宋体" w:hAnsi="宋体"/>
                <w:i w:val="0"/>
                <w:color w:val="auto"/>
                <w:sz w:val="18"/>
                <w:szCs w:val="18"/>
                <w:highlight w:val="none"/>
              </w:rPr>
              <w:t xml:space="preserve">；</w:t>
            </w:r>
            <w:r/>
          </w:p>
        </w:tc>
      </w:tr>
      <w:tr>
        <w:trPr>
          <w:jc w:val="center"/>
          <w:trHeight w:val="397"/>
        </w:trPr>
        <w:tc>
          <w:tcPr>
            <w:tcW w:w="452"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w:t>
            </w:r>
            <w:r/>
          </w:p>
        </w:tc>
        <w:tc>
          <w:tcPr>
            <w:tcW w:w="4548"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至少支持4个SATA硬盘接口，内置一块3.5寸8TB硬盘；</w:t>
            </w:r>
            <w:r/>
          </w:p>
        </w:tc>
      </w:tr>
      <w:tr>
        <w:trPr>
          <w:jc w:val="center"/>
          <w:trHeight w:val="397"/>
        </w:trPr>
        <w:tc>
          <w:tcPr>
            <w:tcW w:w="452"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w:t>
            </w:r>
            <w:r/>
          </w:p>
        </w:tc>
        <w:tc>
          <w:tcPr>
            <w:tcW w:w="4548"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至少1个DC12V输出接口、1个HDMI接口、1个VGA接口、1个eSATA接口，2个RS232接口、4个RS485接口、4个报警输入接口、4个报警输出接口、1个音频输入接口、1个音频输出接口、2个USB接口；</w:t>
            </w:r>
            <w:r/>
          </w:p>
        </w:tc>
      </w:tr>
      <w:tr>
        <w:trPr>
          <w:jc w:val="center"/>
          <w:trHeight w:val="397"/>
        </w:trPr>
        <w:tc>
          <w:tcPr>
            <w:tcW w:w="452"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4</w:t>
            </w:r>
            <w:r/>
          </w:p>
        </w:tc>
        <w:tc>
          <w:tcPr>
            <w:tcW w:w="4548"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可接入不低于12路高清网络摄像机；</w:t>
            </w:r>
            <w:r/>
          </w:p>
        </w:tc>
      </w:tr>
      <w:tr>
        <w:trPr>
          <w:jc w:val="center"/>
          <w:trHeight w:val="397"/>
        </w:trPr>
        <w:tc>
          <w:tcPr>
            <w:tcW w:w="452"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5</w:t>
            </w:r>
            <w:r/>
          </w:p>
        </w:tc>
        <w:tc>
          <w:tcPr>
            <w:tcW w:w="4548"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支持通过VGA、HDMI输出功能进行图片、视频实时预览，支持历时图片查看；</w:t>
            </w:r>
            <w:r/>
          </w:p>
        </w:tc>
      </w:tr>
      <w:tr>
        <w:trPr>
          <w:jc w:val="center"/>
          <w:trHeight w:val="397"/>
        </w:trPr>
        <w:tc>
          <w:tcPr>
            <w:tcW w:w="452"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6</w:t>
            </w:r>
            <w:r/>
          </w:p>
        </w:tc>
        <w:tc>
          <w:tcPr>
            <w:tcW w:w="4548"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支持图片、录像远程查询、备份功能；</w:t>
            </w:r>
            <w:r/>
          </w:p>
        </w:tc>
      </w:tr>
      <w:tr>
        <w:trPr>
          <w:jc w:val="center"/>
          <w:trHeight w:val="397"/>
        </w:trPr>
        <w:tc>
          <w:tcPr>
            <w:tcW w:w="452"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7</w:t>
            </w:r>
            <w:r/>
          </w:p>
        </w:tc>
        <w:tc>
          <w:tcPr>
            <w:tcW w:w="4548"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支持各违章图片合成；</w:t>
            </w:r>
            <w:r/>
          </w:p>
        </w:tc>
      </w:tr>
      <w:tr>
        <w:trPr>
          <w:jc w:val="center"/>
          <w:trHeight w:val="397"/>
        </w:trPr>
        <w:tc>
          <w:tcPr>
            <w:tcW w:w="452"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8</w:t>
            </w:r>
            <w:r/>
          </w:p>
        </w:tc>
        <w:tc>
          <w:tcPr>
            <w:tcW w:w="4548"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支持数据上传功能；</w:t>
            </w:r>
            <w:r/>
          </w:p>
        </w:tc>
      </w:tr>
      <w:tr>
        <w:trPr>
          <w:jc w:val="center"/>
          <w:trHeight w:val="397"/>
        </w:trPr>
        <w:tc>
          <w:tcPr>
            <w:tcW w:w="452"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9</w:t>
            </w:r>
            <w:r/>
          </w:p>
        </w:tc>
        <w:tc>
          <w:tcPr>
            <w:tcW w:w="4548"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配置图片和录像的存储空间配额，支持自动覆盖；</w:t>
            </w:r>
            <w:r/>
          </w:p>
        </w:tc>
      </w:tr>
      <w:tr>
        <w:trPr>
          <w:jc w:val="center"/>
          <w:trHeight w:val="397"/>
        </w:trPr>
        <w:tc>
          <w:tcPr>
            <w:tcW w:w="452"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10</w:t>
            </w:r>
            <w:r/>
          </w:p>
        </w:tc>
        <w:tc>
          <w:tcPr>
            <w:tcW w:w="4548" w:type="pct"/>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五年质保，须提供产品生产商5年原厂质保函</w:t>
            </w:r>
            <w:r/>
          </w:p>
        </w:tc>
      </w:tr>
    </w:tbl>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r>
      <w:r/>
    </w:p>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（8）标签打印及黏贴</w:t>
      </w:r>
      <w:r/>
    </w:p>
    <w:tbl>
      <w:tblPr>
        <w:tblStyle w:val="959"/>
        <w:tblW w:w="8699" w:type="dxa"/>
        <w:jc w:val="center"/>
        <w:tblLayout w:type="autofit"/>
        <w:tblCellMar>
          <w:left w:w="108" w:type="dxa"/>
          <w:top w:w="0" w:type="dxa"/>
          <w:right w:w="108" w:type="dxa"/>
          <w:bottom w:w="0" w:type="dxa"/>
        </w:tblCellMar>
        <w:tblLook w:val="04A0" w:firstRow="1" w:lastRow="0" w:firstColumn="1" w:lastColumn="0" w:noHBand="0" w:noVBand="1"/>
      </w:tblPr>
      <w:tblGrid>
        <w:gridCol w:w="1836"/>
        <w:gridCol w:w="6863"/>
      </w:tblGrid>
      <w:tr>
        <w:trPr>
          <w:jc w:val="center"/>
          <w:trHeight w:val="397"/>
          <w:tblHeader/>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序号</w:t>
            </w:r>
            <w:r/>
          </w:p>
        </w:tc>
        <w:tc>
          <w:tcPr>
            <w:tcBorders>
              <w:top w:val="single" w:color="000000" w:sz="4" w:space="0"/>
              <w:left w:val="none" w:color="000000" w:sz="4" w:space="0"/>
              <w:bottom w:val="single" w:color="000000" w:sz="4" w:space="0"/>
              <w:right w:val="single" w:color="000000" w:sz="4" w:space="0"/>
            </w:tcBorders>
            <w:tcW w:w="769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技术和功能要求</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1</w:t>
            </w:r>
            <w:r/>
          </w:p>
        </w:tc>
        <w:tc>
          <w:tcPr>
            <w:tcBorders>
              <w:top w:val="none" w:color="000000" w:sz="4" w:space="0"/>
              <w:left w:val="none" w:color="000000" w:sz="4" w:space="0"/>
              <w:bottom w:val="single" w:color="000000" w:sz="4" w:space="0"/>
              <w:right w:val="single" w:color="000000" w:sz="4" w:space="0"/>
            </w:tcBorders>
            <w:tcW w:w="769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PC材质，须满足室外防水、耐、耐刮、耐撞击、耐高温、符合 UL969 标准</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2</w:t>
            </w:r>
            <w:r/>
          </w:p>
        </w:tc>
        <w:tc>
          <w:tcPr>
            <w:tcBorders>
              <w:top w:val="none" w:color="000000" w:sz="4" w:space="0"/>
              <w:left w:val="none" w:color="000000" w:sz="4" w:space="0"/>
              <w:bottom w:val="single" w:color="000000" w:sz="4" w:space="0"/>
              <w:right w:val="single" w:color="000000" w:sz="4" w:space="0"/>
            </w:tcBorders>
            <w:tcW w:w="769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耐冲洗、耐汽油、柴油等溶剂</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3</w:t>
            </w:r>
            <w:r/>
          </w:p>
        </w:tc>
        <w:tc>
          <w:tcPr>
            <w:tcBorders>
              <w:top w:val="none" w:color="000000" w:sz="4" w:space="0"/>
              <w:left w:val="none" w:color="000000" w:sz="4" w:space="0"/>
              <w:bottom w:val="single" w:color="000000" w:sz="4" w:space="0"/>
              <w:right w:val="single" w:color="000000" w:sz="4" w:space="0"/>
            </w:tcBorders>
            <w:tcW w:w="769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背胶强度大，不腐蚀杆件漆面</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4</w:t>
            </w:r>
            <w:r/>
          </w:p>
        </w:tc>
        <w:tc>
          <w:tcPr>
            <w:tcBorders>
              <w:top w:val="none" w:color="000000" w:sz="4" w:space="0"/>
              <w:left w:val="none" w:color="000000" w:sz="4" w:space="0"/>
              <w:bottom w:val="single" w:color="000000" w:sz="4" w:space="0"/>
              <w:right w:val="single" w:color="000000" w:sz="4" w:space="0"/>
            </w:tcBorders>
            <w:tcW w:w="769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具有超强反光性能，良好的广角性能</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769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耐候性佳，在-40 度至 70 度条件下性能正常</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6</w:t>
            </w:r>
            <w:r/>
          </w:p>
        </w:tc>
        <w:tc>
          <w:tcPr>
            <w:tcBorders>
              <w:top w:val="none" w:color="000000" w:sz="4" w:space="0"/>
              <w:left w:val="none" w:color="000000" w:sz="4" w:space="0"/>
              <w:bottom w:val="single" w:color="000000" w:sz="4" w:space="0"/>
              <w:right w:val="single" w:color="000000" w:sz="4" w:space="0"/>
            </w:tcBorders>
            <w:tcW w:w="769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使用期不得少于5年。5年内张贴的标贴出现非人为因素造成的破损、材质形变、颜色明显变化的，由中标人负责重新制作并张贴，招标人不再支付费用</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7</w:t>
            </w:r>
            <w:r/>
          </w:p>
        </w:tc>
        <w:tc>
          <w:tcPr>
            <w:tcBorders>
              <w:top w:val="none" w:color="000000" w:sz="4" w:space="0"/>
              <w:left w:val="none" w:color="000000" w:sz="4" w:space="0"/>
              <w:bottom w:val="single" w:color="000000" w:sz="4" w:space="0"/>
              <w:right w:val="single" w:color="000000" w:sz="4" w:space="0"/>
            </w:tcBorders>
            <w:tcW w:w="7691"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五年质保</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7"/>
              <w:jc w:val="left"/>
              <w:rPr>
                <w:rFonts w:hint="eastAsia" w:ascii="宋体" w:hAnsi="宋体"/>
                <w:i w:val="0"/>
                <w:color w:val="auto"/>
                <w:sz w:val="18"/>
                <w:szCs w:val="18"/>
                <w:highlight w:val="none"/>
              </w:rPr>
            </w:pPr>
            <w:r>
              <w:rPr>
                <w:rFonts w:hint="eastAsia" w:ascii="宋体" w:hAnsi="宋体"/>
                <w:i w:val="0"/>
                <w:color w:val="auto"/>
                <w:sz w:val="18"/>
                <w:szCs w:val="18"/>
                <w:highlight w:val="none"/>
              </w:rPr>
              <w:t xml:space="preserve">8</w:t>
            </w:r>
            <w:r/>
          </w:p>
        </w:tc>
        <w:tc>
          <w:tcPr>
            <w:tcBorders>
              <w:top w:val="none" w:color="000000" w:sz="4" w:space="0"/>
              <w:left w:val="none" w:color="000000" w:sz="4" w:space="0"/>
              <w:bottom w:val="single" w:color="000000" w:sz="4" w:space="0"/>
              <w:right w:val="single" w:color="000000" w:sz="4" w:space="0"/>
            </w:tcBorders>
            <w:tcW w:w="7691" w:type="dxa"/>
            <w:vAlign w:val="center"/>
            <w:textDirection w:val="lrTb"/>
            <w:noWrap w:val="false"/>
          </w:tcPr>
          <w:p>
            <w:pPr>
              <w:pStyle w:val="1077"/>
              <w:jc w:val="left"/>
              <w:rPr>
                <w:rFonts w:hint="eastAsia" w:ascii="宋体" w:hAnsi="宋体"/>
                <w:i w:val="0"/>
                <w:color w:val="auto"/>
                <w:sz w:val="18"/>
                <w:szCs w:val="18"/>
                <w:highlight w:val="none"/>
              </w:rPr>
            </w:pPr>
            <w:r>
              <w:rPr>
                <w:rFonts w:ascii="宋体" w:hAnsi="宋体"/>
                <w:i w:val="0"/>
                <w:color w:val="auto"/>
                <w:sz w:val="18"/>
                <w:szCs w:val="18"/>
                <w:highlight w:val="none"/>
              </w:rPr>
              <mc:AlternateContent>
                <mc:Choice Requires="wpg">
                  <w:drawing>
                    <wp:inline xmlns:wp="http://schemas.openxmlformats.org/drawingml/2006/wordprocessingDrawing" distT="0" distB="0" distL="0" distR="0">
                      <wp:extent cx="914400" cy="1148080"/>
                      <wp:effectExtent l="19050" t="19050" r="19050" b="13970"/>
                      <wp:docPr id="7" name="图片 2048098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098499" name="图片 2048098499"/>
                              <pic:cNvPicPr>
                                <a:picLocks noChangeAspect="1"/>
                              </pic:cNvPicPr>
                              <pic:nvPr/>
                            </pic:nvPicPr>
                            <pic:blipFill>
                              <a:blip r:embed="rId26"/>
                              <a:stretch/>
                            </pic:blipFill>
                            <pic:spPr bwMode="auto">
                              <a:xfrm>
                                <a:off x="0" y="0"/>
                                <a:ext cx="917186" cy="1152037"/>
                              </a:xfrm>
                              <a:prstGeom prst="rect">
                                <a:avLst/>
                              </a:prstGeom>
                              <a:ln>
                                <a:solidFill>
                                  <a:schemeClr val="tx1"/>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0pt;height:90.4pt;mso-wrap-distance-left:0.0pt;mso-wrap-distance-top:0.0pt;mso-wrap-distance-right:0.0pt;mso-wrap-distance-bottom:0.0pt;" strokecolor="#000000">
                      <v:path textboxrect="0,0,0,0"/>
                      <v:imagedata r:id="rId26" o:title=""/>
                    </v:shape>
                  </w:pict>
                </mc:Fallback>
              </mc:AlternateContent>
            </w:r>
            <w:r>
              <w:rPr>
                <w:rFonts w:hint="eastAsia" w:ascii="宋体" w:hAnsi="宋体"/>
                <w:i w:val="0"/>
                <w:color w:val="auto"/>
                <w:sz w:val="18"/>
                <w:szCs w:val="18"/>
                <w:highlight w:val="none"/>
              </w:rPr>
              <w:t xml:space="preserve">最终尺寸及颜色以交警要求为准</w:t>
            </w:r>
            <w:r/>
          </w:p>
        </w:tc>
      </w:tr>
    </w:tbl>
    <w:p>
      <w:pPr>
        <w:jc w:val="left"/>
        <w:rPr>
          <w:rFonts w:hint="eastAsia" w:ascii="宋体" w:hAnsi="宋体" w:eastAsia="宋体" w:cs="宋体"/>
          <w:b/>
          <w:bCs/>
          <w:color w:val="auto"/>
          <w:sz w:val="18"/>
          <w:szCs w:val="18"/>
          <w:highlight w:val="none"/>
          <w:u w:val="single"/>
          <w:lang w:val="zh-CN"/>
        </w:rPr>
      </w:pPr>
      <w:r>
        <w:rPr>
          <w:rFonts w:hint="eastAsia" w:ascii="宋体" w:hAnsi="宋体" w:eastAsia="宋体" w:cs="宋体"/>
          <w:b/>
          <w:bCs/>
          <w:color w:val="auto"/>
          <w:sz w:val="18"/>
          <w:szCs w:val="18"/>
          <w:highlight w:val="none"/>
          <w:u w:val="single"/>
          <w:lang w:val="zh-CN"/>
        </w:rPr>
      </w:r>
      <w:r/>
    </w:p>
    <w:p>
      <w:pPr>
        <w:pStyle w:val="950"/>
        <w:spacing w:before="72" w:after="24"/>
        <w:rPr>
          <w:rFonts w:hint="eastAsia" w:eastAsia="宋体" w:cs="宋体"/>
          <w:bCs/>
          <w:color w:val="auto"/>
          <w:sz w:val="24"/>
          <w:szCs w:val="24"/>
          <w:highlight w:val="none"/>
          <w:lang w:val="zh-CN"/>
        </w:rPr>
      </w:pPr>
      <w:r>
        <w:rPr>
          <w:rFonts w:hint="eastAsia" w:eastAsia="宋体" w:cs="宋体"/>
          <w:bCs/>
          <w:color w:val="auto"/>
          <w:sz w:val="24"/>
          <w:szCs w:val="24"/>
          <w:highlight w:val="none"/>
          <w:lang w:val="zh-CN"/>
        </w:rPr>
        <w:t xml:space="preserve">3、规划一路(幸余路-秦灶路) 设施参数要求</w:t>
      </w:r>
      <w:r/>
    </w:p>
    <w:p>
      <w:pPr>
        <w:jc w:val="left"/>
        <w:spacing w:line="360" w:lineRule="auto"/>
        <w:rPr>
          <w:rFonts w:hint="eastAsia" w:ascii="宋体" w:hAnsi="宋体" w:eastAsia="宋体"/>
          <w:b/>
          <w:bCs/>
          <w:color w:val="auto"/>
          <w:sz w:val="18"/>
          <w:szCs w:val="18"/>
          <w:highlight w:val="none"/>
        </w:rPr>
        <w:outlineLvl w:val="2"/>
      </w:pPr>
      <w:r/>
      <w:bookmarkStart w:id="16" w:name="_Hlk140739344"/>
      <w:r>
        <w:rPr>
          <w:rFonts w:ascii="宋体" w:hAnsi="宋体" w:eastAsia="宋体"/>
          <w:b/>
          <w:bCs/>
          <w:color w:val="auto"/>
          <w:sz w:val="18"/>
          <w:szCs w:val="18"/>
          <w:highlight w:val="none"/>
        </w:rPr>
        <w:t xml:space="preserve">（1）反向电警抓拍相机（含人脸识别引擎）</w:t>
      </w:r>
      <w:r/>
    </w:p>
    <w:tbl>
      <w:tblPr>
        <w:tblStyle w:val="95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7964"/>
      </w:tblGrid>
      <w:tr>
        <w:trPr>
          <w:trHeight w:val="23"/>
        </w:trPr>
        <w:tc>
          <w:tcPr>
            <w:tcW w:w="432"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序号</w:t>
            </w:r>
            <w:r/>
          </w:p>
        </w:tc>
        <w:tc>
          <w:tcPr>
            <w:tcW w:w="4567"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技术和功能要求</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w:t>
            </w:r>
            <w:r/>
          </w:p>
        </w:tc>
        <w:tc>
          <w:tcPr>
            <w:tcW w:w="456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包含摄像机、高清镜头、室外防护罩、防雷器、电源适配器等；</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w:t>
            </w:r>
            <w:r/>
          </w:p>
        </w:tc>
        <w:tc>
          <w:tcPr>
            <w:tcW w:w="456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不低于1英寸CMOS；</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3</w:t>
            </w:r>
            <w:r/>
          </w:p>
        </w:tc>
        <w:tc>
          <w:tcPr>
            <w:tcW w:w="456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采用智能图像处理技术（包括但不限于多帧图像融合、多个图像传感器、多个图像处理芯片等技术）可分别输出黑白及彩色图像，可对视频图像和抓拍图片进行融合输出；</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4</w:t>
            </w:r>
            <w:r/>
          </w:p>
        </w:tc>
        <w:tc>
          <w:tcPr>
            <w:tcW w:w="456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最大图像尺寸：不低于4096×2160像素；</w:t>
            </w:r>
            <w:r/>
          </w:p>
        </w:tc>
      </w:tr>
      <w:tr>
        <w:trPr>
          <w:trHeight w:val="90"/>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5</w:t>
            </w:r>
            <w:r/>
          </w:p>
        </w:tc>
        <w:tc>
          <w:tcPr>
            <w:tcW w:w="456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可通过RS485联动爆闪灯，夜间联动红外爆闪灯，白天可以联动白光爆闪灯；</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6</w:t>
            </w:r>
            <w:r/>
          </w:p>
        </w:tc>
        <w:tc>
          <w:tcPr>
            <w:tcW w:w="456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视频编码方式支持：H.265、H.264；</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7</w:t>
            </w:r>
            <w:r/>
          </w:p>
        </w:tc>
        <w:tc>
          <w:tcPr>
            <w:tcW w:w="456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支持车辆捕获功能，白天准确率不低于99%，晚上捕获率不低于99%；</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8</w:t>
            </w:r>
            <w:r/>
          </w:p>
        </w:tc>
        <w:tc>
          <w:tcPr>
            <w:tcW w:w="456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支持车辆识别功能，白天准确率不低于99%，晚上捕获率不低于99%；</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9</w:t>
            </w:r>
            <w:r/>
          </w:p>
        </w:tc>
        <w:tc>
          <w:tcPr>
            <w:tcW w:w="456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支持识别多种车型，包括轻型普通货车、小型轿车、小型客车、小大型普通客车、面包车等，准确率不低于97%；</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10</w:t>
            </w:r>
            <w:r/>
          </w:p>
        </w:tc>
        <w:tc>
          <w:tcPr>
            <w:tcW w:w="456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支持驾驶室人脸抠图；</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11</w:t>
            </w:r>
            <w:r/>
          </w:p>
        </w:tc>
        <w:tc>
          <w:tcPr>
            <w:tcW w:w="456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支持识别车头多种车辆子品牌，白天识别率不低于98%，晚上识别率不低于95%；</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12</w:t>
            </w:r>
            <w:r/>
          </w:p>
        </w:tc>
        <w:tc>
          <w:tcPr>
            <w:tcW w:w="456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至少支持250种车标识别，白天准确率不低于98%，晚上准确率不低于98%；</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13</w:t>
            </w:r>
            <w:r/>
          </w:p>
        </w:tc>
        <w:tc>
          <w:tcPr>
            <w:tcW w:w="456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至少支持13种车身颜色识别，包括：黑、白、灰、红、绿、蓝、黄、粉、紫、棕、青、金 橙，白天准确率不低于99%，晚上准确率不低于95%；</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14</w:t>
            </w:r>
            <w:r/>
          </w:p>
        </w:tc>
        <w:tc>
          <w:tcPr>
            <w:tcW w:w="456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可在抓拍图片上叠加抓拍时间、地点、车道号、限速值、车长、车速、车身颜色、车牌号码 等信息；</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15</w:t>
            </w:r>
            <w:r/>
          </w:p>
        </w:tc>
        <w:tc>
          <w:tcPr>
            <w:tcW w:w="456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至少1个SFP光纤接口(含光模块)、1个RJ4510M/100M/1000M自适应网口、2个RS-485接口；</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16</w:t>
            </w:r>
            <w:r/>
          </w:p>
        </w:tc>
        <w:tc>
          <w:tcPr>
            <w:tcW w:w="456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外部触发不低于7路，可作为补光灯同步输出控制，具有外部频率源同步接口，可与外部灯光 或红绿灯同步；</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17</w:t>
            </w:r>
            <w:r/>
          </w:p>
        </w:tc>
        <w:tc>
          <w:tcPr>
            <w:tcW w:w="456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至少支持IP66的外壳防护能力；</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18</w:t>
            </w:r>
            <w:r/>
          </w:p>
        </w:tc>
        <w:tc>
          <w:tcPr>
            <w:tcW w:w="4567"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五年质保，需提供原厂5年质保承诺书</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19</w:t>
            </w:r>
            <w:r/>
          </w:p>
        </w:tc>
        <w:tc>
          <w:tcPr>
            <w:tcW w:w="456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配置一张256GB存储卡</w:t>
            </w:r>
            <w:r/>
          </w:p>
        </w:tc>
      </w:tr>
    </w:tbl>
    <w:p>
      <w:pPr>
        <w:jc w:val="left"/>
        <w:spacing w:line="360" w:lineRule="auto"/>
        <w:rPr>
          <w:rFonts w:hint="eastAsia" w:ascii="宋体" w:hAnsi="宋体" w:eastAsia="宋体"/>
          <w:b/>
          <w:bCs/>
          <w:color w:val="auto"/>
          <w:sz w:val="18"/>
          <w:szCs w:val="18"/>
          <w:highlight w:val="none"/>
        </w:rPr>
        <w:outlineLvl w:val="2"/>
      </w:pPr>
      <w:r>
        <w:rPr>
          <w:rFonts w:ascii="宋体" w:hAnsi="宋体" w:eastAsia="宋体"/>
          <w:b/>
          <w:bCs/>
          <w:color w:val="auto"/>
          <w:sz w:val="18"/>
          <w:szCs w:val="18"/>
          <w:highlight w:val="none"/>
        </w:rPr>
        <w:t xml:space="preserve">（2）正向电警抓拍相机（不礼让行人抓拍）</w:t>
      </w:r>
      <w:r/>
    </w:p>
    <w:tbl>
      <w:tblPr>
        <w:tblStyle w:val="95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7758"/>
      </w:tblGrid>
      <w:tr>
        <w:trPr>
          <w:trHeight w:val="23"/>
        </w:trPr>
        <w:tc>
          <w:tcPr>
            <w:tcW w:w="550"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序号</w:t>
            </w:r>
            <w:r/>
          </w:p>
        </w:tc>
        <w:tc>
          <w:tcPr>
            <w:tcW w:w="4449"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技术和功能要求</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包含摄像机、高清镜头、室外防护罩、内置补光灯、相机内置网络信号防雷器、电源适配器等；</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不低于1英寸CMOS；</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3</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采用智能图像处理技术（包括但不限于多帧图像融合、多个图像传感器、多个图像处理芯片等技术）可分别输出黑白及彩色图像，可对视频图像和抓拍图片进行融合输出；</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4</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最大图像尺寸：不低于4096×2160像素；</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5</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全天候输出彩色图像；</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6</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视频编码方式支持：H.265、H.264；</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7</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支持车辆捕获功能，白天准确率不低于97%，晚上捕获率不低于95%；</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8</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支持车辆识别功能，白天准确率不低于97%，晚上捕获率不低于95%；</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9</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支持识别多种车型，包括轻型普通货车、小型轿车、小型客车、小大型普通客车、面包车等，准确率不低于97%；</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10</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支持识别车尾车辆子品牌，白天识别率不低于98%，晚上识别率不低于95%；</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11</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支持不按车道行驶功能，白天捕获率不低于98%，夜间捕获率不低于98%；</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12</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支持违法掉头抓拍功能，对违法掉头行为进行抓拍；</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13</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支持违法占用应急车道/非机动车道抓拍功能；</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14</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支持新能源车牌识别，白天准确率不低于97%，晚上准确率不低于95%；</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15</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至少支持13种车身颜色识别，包括：黑、白、灰、红、绿、蓝、黄、粉、紫、棕、青、金、橙，白天准确率不低于99%，晚上准确率不低于95%；</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16</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支持闯红灯抓拍功能，捕获率不低于97%；</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17</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可在抓拍图片上叠加抓拍时间、地点、车道号、限速值、车速、车身颜色、车牌号码等信息；</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18</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至少1个SFP光纤接口（含光模块）、1个RJ45 10M/100M/1000M自适应网口、2个RS-485接口</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19</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外部触发不低于7路,可作为补光灯同步输出控制；</w:t>
            </w:r>
            <w:r/>
          </w:p>
        </w:tc>
      </w:tr>
      <w:tr>
        <w:trPr>
          <w:trHeight w:val="90"/>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20</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至少支持IP65的外壳防护能力；</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21</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亮度（灰度）鉴别等级不低于12级</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22</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支持透雾、强光抑制等功能</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23</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五年质保，需提供原厂5年质保承诺书</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24</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配置一张256GB存储卡</w:t>
            </w:r>
            <w:r/>
          </w:p>
        </w:tc>
      </w:tr>
    </w:tbl>
    <w:p>
      <w:pPr>
        <w:jc w:val="left"/>
        <w:spacing w:line="360" w:lineRule="auto"/>
        <w:rPr>
          <w:rFonts w:hint="eastAsia" w:ascii="宋体" w:hAnsi="宋体" w:eastAsia="宋体"/>
          <w:b/>
          <w:bCs/>
          <w:color w:val="auto"/>
          <w:sz w:val="18"/>
          <w:szCs w:val="18"/>
          <w:highlight w:val="none"/>
        </w:rPr>
        <w:outlineLvl w:val="2"/>
      </w:pPr>
      <w:r>
        <w:rPr>
          <w:rFonts w:ascii="宋体" w:hAnsi="宋体" w:eastAsia="宋体"/>
          <w:b/>
          <w:bCs/>
          <w:color w:val="auto"/>
          <w:sz w:val="18"/>
          <w:szCs w:val="18"/>
          <w:highlight w:val="none"/>
        </w:rPr>
        <w:t xml:space="preserve">（3）环保红外频闪一体灯（暖光）</w:t>
      </w:r>
      <w:r/>
    </w:p>
    <w:tbl>
      <w:tblPr>
        <w:tblStyle w:val="95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2"/>
        <w:gridCol w:w="7755"/>
      </w:tblGrid>
      <w:tr>
        <w:trPr>
          <w:trHeight w:val="23"/>
        </w:trPr>
        <w:tc>
          <w:tcPr>
            <w:tcW w:w="552"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序号</w:t>
            </w:r>
            <w:r/>
          </w:p>
        </w:tc>
        <w:tc>
          <w:tcPr>
            <w:tcW w:w="4447"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技术和功能要求</w:t>
            </w:r>
            <w:r/>
          </w:p>
        </w:tc>
      </w:tr>
      <w:tr>
        <w:trPr>
          <w:trHeight w:val="23"/>
        </w:trPr>
        <w:tc>
          <w:tcPr>
            <w:tcW w:w="1065"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w:t>
            </w:r>
            <w:r/>
          </w:p>
        </w:tc>
        <w:tc>
          <w:tcPr>
            <w:tcW w:w="757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支持白天可见光、晚上红外光补光模式；</w:t>
            </w:r>
            <w:r/>
          </w:p>
        </w:tc>
      </w:tr>
      <w:tr>
        <w:trPr>
          <w:trHeight w:val="23"/>
        </w:trPr>
        <w:tc>
          <w:tcPr>
            <w:tcW w:w="1065"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w:t>
            </w:r>
            <w:r/>
          </w:p>
        </w:tc>
        <w:tc>
          <w:tcPr>
            <w:tcW w:w="757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至少支持IP65的外壳防护能力；</w:t>
            </w:r>
            <w:r/>
          </w:p>
        </w:tc>
      </w:tr>
      <w:tr>
        <w:trPr>
          <w:trHeight w:val="23"/>
        </w:trPr>
        <w:tc>
          <w:tcPr>
            <w:tcW w:w="1065"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3</w:t>
            </w:r>
            <w:r/>
          </w:p>
        </w:tc>
        <w:tc>
          <w:tcPr>
            <w:tcW w:w="757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最小闪光间隔不低于65ms；</w:t>
            </w:r>
            <w:r/>
          </w:p>
        </w:tc>
      </w:tr>
      <w:tr>
        <w:trPr>
          <w:trHeight w:val="23"/>
        </w:trPr>
        <w:tc>
          <w:tcPr>
            <w:tcW w:w="1065"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4</w:t>
            </w:r>
            <w:r/>
          </w:p>
        </w:tc>
        <w:tc>
          <w:tcPr>
            <w:tcW w:w="7579" w:type="dxa"/>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五年质保，需提供原厂5年质保承诺书</w:t>
            </w:r>
            <w:r/>
          </w:p>
        </w:tc>
      </w:tr>
      <w:tr>
        <w:trPr>
          <w:trHeight w:val="23"/>
        </w:trPr>
        <w:tc>
          <w:tcPr>
            <w:tcW w:w="1065"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5</w:t>
            </w:r>
            <w:r/>
          </w:p>
        </w:tc>
        <w:tc>
          <w:tcPr>
            <w:tcW w:w="757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符合《交通技术监控成像补光装置通用技术条件》</w:t>
            </w:r>
            <w:r>
              <w:rPr>
                <w:rFonts w:hint="eastAsia" w:ascii="宋体" w:hAnsi="宋体" w:eastAsia="宋体"/>
                <w:color w:val="auto"/>
                <w:sz w:val="18"/>
                <w:szCs w:val="18"/>
                <w:highlight w:val="none"/>
              </w:rPr>
              <w:t xml:space="preserve">中一级标准</w:t>
            </w:r>
            <w:r/>
          </w:p>
        </w:tc>
      </w:tr>
    </w:tbl>
    <w:p>
      <w:pPr>
        <w:jc w:val="left"/>
        <w:spacing w:line="360" w:lineRule="auto"/>
        <w:rPr>
          <w:rFonts w:hint="eastAsia" w:ascii="宋体" w:hAnsi="宋体" w:eastAsia="宋体"/>
          <w:b/>
          <w:bCs/>
          <w:color w:val="auto"/>
          <w:sz w:val="18"/>
          <w:szCs w:val="18"/>
          <w:highlight w:val="none"/>
        </w:rPr>
        <w:outlineLvl w:val="2"/>
      </w:pPr>
      <w:r>
        <w:rPr>
          <w:rFonts w:ascii="宋体" w:hAnsi="宋体" w:eastAsia="宋体"/>
          <w:b/>
          <w:bCs/>
          <w:color w:val="auto"/>
          <w:sz w:val="18"/>
          <w:szCs w:val="18"/>
          <w:highlight w:val="none"/>
        </w:rPr>
        <w:t xml:space="preserve">（4）环保环境补光灯</w:t>
      </w:r>
      <w:r/>
    </w:p>
    <w:tbl>
      <w:tblPr>
        <w:tblStyle w:val="95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7964"/>
      </w:tblGrid>
      <w:tr>
        <w:trPr>
          <w:trHeight w:val="23"/>
        </w:trPr>
        <w:tc>
          <w:tcPr>
            <w:tcW w:w="432"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序号</w:t>
            </w:r>
            <w:r/>
          </w:p>
        </w:tc>
        <w:tc>
          <w:tcPr>
            <w:tcW w:w="4567"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技术和功能要求</w:t>
            </w:r>
            <w:r/>
          </w:p>
        </w:tc>
      </w:tr>
      <w:tr>
        <w:trPr>
          <w:trHeight w:val="90"/>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w:t>
            </w:r>
            <w:r/>
          </w:p>
        </w:tc>
        <w:tc>
          <w:tcPr>
            <w:tcW w:w="4567"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光源类型：LED，单车道环境补光；</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w:t>
            </w:r>
            <w:r/>
          </w:p>
        </w:tc>
        <w:tc>
          <w:tcPr>
            <w:tcW w:w="4567"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LED灯珠数量：≥16颗；</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3</w:t>
            </w:r>
            <w:r/>
          </w:p>
        </w:tc>
        <w:tc>
          <w:tcPr>
            <w:tcW w:w="4567"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最佳补光距离：16米-25米；</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4</w:t>
            </w:r>
            <w:r/>
          </w:p>
        </w:tc>
        <w:tc>
          <w:tcPr>
            <w:tcW w:w="4567"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触发方式：支持5V电平量触发(可选配开关量触发)；</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5</w:t>
            </w:r>
            <w:r/>
          </w:p>
        </w:tc>
        <w:tc>
          <w:tcPr>
            <w:tcW w:w="4567"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支持补光灯自带光敏控制，在低照度下自动开启：</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6</w:t>
            </w:r>
            <w:r/>
          </w:p>
        </w:tc>
        <w:tc>
          <w:tcPr>
            <w:tcW w:w="4567"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支持自闪、跟随、自动频闪模式：</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7</w:t>
            </w:r>
            <w:r/>
          </w:p>
        </w:tc>
        <w:tc>
          <w:tcPr>
            <w:tcW w:w="4567"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频率0-250HZ可调，支持通过调整占空比1%~39%进行亮度调节：</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8</w:t>
            </w:r>
            <w:r/>
          </w:p>
        </w:tc>
        <w:tc>
          <w:tcPr>
            <w:tcW w:w="4567"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支持频率及占空比保护功能，支持爆闪功能，爆闪持续时间、延迟时间及最小间隔时间可设；</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9</w:t>
            </w:r>
            <w:r/>
          </w:p>
        </w:tc>
        <w:tc>
          <w:tcPr>
            <w:tcW w:w="4567"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支持通过同步输出端口级联；</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10</w:t>
            </w:r>
            <w:r/>
          </w:p>
        </w:tc>
        <w:tc>
          <w:tcPr>
            <w:tcW w:w="4567"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支持通过RS485远程控制补光灯的亮度、开启/关闭；</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11</w:t>
            </w:r>
            <w:r/>
          </w:p>
        </w:tc>
        <w:tc>
          <w:tcPr>
            <w:tcW w:w="4567"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支持通过RS485对补光灯升级程序；</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12</w:t>
            </w:r>
            <w:r/>
          </w:p>
        </w:tc>
        <w:tc>
          <w:tcPr>
            <w:tcW w:w="4567"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支持远程显示补光灯故障、正常、开启、关闭等工作状态；</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13</w:t>
            </w:r>
            <w:r/>
          </w:p>
        </w:tc>
        <w:tc>
          <w:tcPr>
            <w:tcW w:w="4567"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频闪响应时间不大于20us；</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14</w:t>
            </w:r>
            <w:r/>
          </w:p>
        </w:tc>
        <w:tc>
          <w:tcPr>
            <w:tcW w:w="4567"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防护等级：IP65；</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15</w:t>
            </w:r>
            <w:r/>
          </w:p>
        </w:tc>
        <w:tc>
          <w:tcPr>
            <w:tcW w:w="4567"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符合《交通技术监控成像补光装置通用技术条件》中一级标准</w:t>
            </w:r>
            <w:r>
              <w:rPr>
                <w:rFonts w:hint="eastAsia" w:ascii="宋体" w:hAnsi="宋体" w:eastAsia="宋体"/>
                <w:color w:val="auto"/>
                <w:sz w:val="18"/>
                <w:szCs w:val="18"/>
                <w:highlight w:val="none"/>
              </w:rPr>
              <w:t xml:space="preserve">；</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16</w:t>
            </w:r>
            <w:r/>
          </w:p>
        </w:tc>
        <w:tc>
          <w:tcPr>
            <w:tcW w:w="4567" w:type="pct"/>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五年质保，需提供原厂5年质保承诺书。</w:t>
            </w:r>
            <w:r/>
          </w:p>
        </w:tc>
      </w:tr>
    </w:tbl>
    <w:p>
      <w:pPr>
        <w:jc w:val="left"/>
        <w:spacing w:line="360" w:lineRule="auto"/>
        <w:rPr>
          <w:rFonts w:hint="eastAsia" w:ascii="宋体" w:hAnsi="宋体" w:eastAsia="宋体"/>
          <w:b/>
          <w:bCs/>
          <w:color w:val="auto"/>
          <w:sz w:val="18"/>
          <w:szCs w:val="18"/>
          <w:highlight w:val="none"/>
        </w:rPr>
        <w:outlineLvl w:val="2"/>
      </w:pPr>
      <w:r>
        <w:rPr>
          <w:rFonts w:hint="eastAsia" w:ascii="宋体" w:hAnsi="宋体" w:eastAsia="宋体"/>
          <w:b/>
          <w:bCs/>
          <w:color w:val="auto"/>
          <w:sz w:val="18"/>
          <w:szCs w:val="18"/>
          <w:highlight w:val="none"/>
        </w:rPr>
        <w:t xml:space="preserve">（5）</w:t>
      </w:r>
      <w:r>
        <w:rPr>
          <w:rFonts w:ascii="宋体" w:hAnsi="宋体" w:eastAsia="宋体"/>
          <w:b/>
          <w:bCs/>
          <w:color w:val="auto"/>
          <w:sz w:val="18"/>
          <w:szCs w:val="18"/>
          <w:highlight w:val="none"/>
        </w:rPr>
        <w:t xml:space="preserve">工业级</w:t>
      </w:r>
      <w:r>
        <w:rPr>
          <w:rFonts w:hint="eastAsia" w:ascii="宋体" w:hAnsi="宋体" w:eastAsia="宋体"/>
          <w:b/>
          <w:bCs/>
          <w:color w:val="auto"/>
          <w:sz w:val="18"/>
          <w:szCs w:val="18"/>
          <w:highlight w:val="none"/>
        </w:rPr>
        <w:t xml:space="preserve">汇聚</w:t>
      </w:r>
      <w:r>
        <w:rPr>
          <w:rFonts w:ascii="宋体" w:hAnsi="宋体" w:eastAsia="宋体"/>
          <w:b/>
          <w:bCs/>
          <w:color w:val="auto"/>
          <w:sz w:val="18"/>
          <w:szCs w:val="18"/>
          <w:highlight w:val="none"/>
        </w:rPr>
        <w:t xml:space="preserve">交换机</w:t>
      </w:r>
      <w:r/>
    </w:p>
    <w:tbl>
      <w:tblPr>
        <w:tblStyle w:val="95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7979"/>
      </w:tblGrid>
      <w:tr>
        <w:trPr>
          <w:trHeight w:val="420"/>
        </w:trPr>
        <w:tc>
          <w:tcPr>
            <w:tcW w:w="785" w:type="dxa"/>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序号</w:t>
            </w:r>
            <w:r/>
          </w:p>
        </w:tc>
        <w:tc>
          <w:tcPr>
            <w:tcW w:w="8863"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bCs/>
                <w:color w:val="auto"/>
                <w:sz w:val="18"/>
                <w:szCs w:val="18"/>
                <w:highlight w:val="none"/>
              </w:rPr>
              <w:t xml:space="preserve">技术和功能要求</w:t>
            </w:r>
            <w:r/>
          </w:p>
        </w:tc>
      </w:tr>
      <w:tr>
        <w:trPr>
          <w:trHeight w:val="90"/>
        </w:trPr>
        <w:tc>
          <w:tcPr>
            <w:tcW w:w="785" w:type="dxa"/>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color w:val="auto"/>
                <w:sz w:val="18"/>
                <w:szCs w:val="18"/>
                <w:highlight w:val="none"/>
              </w:rPr>
              <w:t xml:space="preserve">1</w:t>
            </w:r>
            <w:r/>
          </w:p>
        </w:tc>
        <w:tc>
          <w:tcPr>
            <w:tcW w:w="8863" w:type="dxa"/>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配置24个千兆 SFP口(满配模块与摄像机兼容、端口速率自适应)、不少于4个</w:t>
            </w:r>
            <w:r>
              <w:rPr>
                <w:rFonts w:ascii="宋体" w:hAnsi="宋体" w:eastAsia="宋体"/>
                <w:color w:val="auto"/>
                <w:sz w:val="18"/>
                <w:szCs w:val="18"/>
                <w:highlight w:val="none"/>
              </w:rPr>
              <w:t xml:space="preserve">Combo口</w:t>
            </w:r>
            <w:r>
              <w:rPr>
                <w:rFonts w:hint="eastAsia" w:ascii="宋体" w:hAnsi="宋体" w:eastAsia="宋体"/>
                <w:color w:val="auto"/>
                <w:sz w:val="18"/>
                <w:szCs w:val="18"/>
                <w:highlight w:val="none"/>
              </w:rPr>
              <w:t xml:space="preserve">，4个万兆SFP+口，1个网管口；</w:t>
            </w:r>
            <w:r/>
          </w:p>
        </w:tc>
      </w:tr>
      <w:tr>
        <w:trPr>
          <w:trHeight w:val="90"/>
        </w:trPr>
        <w:tc>
          <w:tcPr>
            <w:tcW w:w="785" w:type="dxa"/>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color w:val="auto"/>
                <w:sz w:val="18"/>
                <w:szCs w:val="18"/>
                <w:highlight w:val="none"/>
              </w:rPr>
              <w:t xml:space="preserve">2</w:t>
            </w:r>
            <w:r/>
          </w:p>
        </w:tc>
        <w:tc>
          <w:tcPr>
            <w:tcW w:w="8863" w:type="dxa"/>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整机交换容量≥144Gbps，包转发率≥102MppS，MAC≥16K；</w:t>
            </w:r>
            <w:r/>
          </w:p>
        </w:tc>
      </w:tr>
      <w:tr>
        <w:trPr>
          <w:trHeight w:val="90"/>
        </w:trPr>
        <w:tc>
          <w:tcPr>
            <w:tcW w:w="785" w:type="dxa"/>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color w:val="auto"/>
                <w:sz w:val="18"/>
                <w:szCs w:val="18"/>
                <w:highlight w:val="none"/>
              </w:rPr>
              <w:t xml:space="preserve">3</w:t>
            </w:r>
            <w:r/>
          </w:p>
        </w:tc>
        <w:tc>
          <w:tcPr>
            <w:tcW w:w="8863" w:type="dxa"/>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物理接口：光接口LC、光电复合接口；</w:t>
            </w:r>
            <w:r/>
          </w:p>
        </w:tc>
      </w:tr>
      <w:tr>
        <w:trPr>
          <w:trHeight w:val="349"/>
        </w:trPr>
        <w:tc>
          <w:tcPr>
            <w:tcW w:w="785" w:type="dxa"/>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color w:val="auto"/>
                <w:sz w:val="18"/>
                <w:szCs w:val="18"/>
                <w:highlight w:val="none"/>
              </w:rPr>
              <w:t xml:space="preserve">4</w:t>
            </w:r>
            <w:r/>
          </w:p>
        </w:tc>
        <w:tc>
          <w:tcPr>
            <w:tcW w:w="8863" w:type="dxa"/>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传输距离:单模：0~25km；</w:t>
            </w:r>
            <w:r/>
          </w:p>
        </w:tc>
      </w:tr>
      <w:tr>
        <w:trPr>
          <w:trHeight w:val="187"/>
        </w:trPr>
        <w:tc>
          <w:tcPr>
            <w:tcW w:w="785" w:type="dxa"/>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color w:val="auto"/>
                <w:sz w:val="18"/>
                <w:szCs w:val="18"/>
                <w:highlight w:val="none"/>
              </w:rPr>
              <w:t xml:space="preserve">5</w:t>
            </w:r>
            <w:r/>
          </w:p>
        </w:tc>
        <w:tc>
          <w:tcPr>
            <w:tcW w:w="8863" w:type="dxa"/>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支持VLAN划分、</w:t>
            </w:r>
            <w:r>
              <w:rPr>
                <w:rFonts w:ascii="宋体" w:hAnsi="宋体" w:eastAsia="宋体"/>
                <w:color w:val="auto"/>
                <w:sz w:val="18"/>
                <w:szCs w:val="18"/>
                <w:highlight w:val="none"/>
              </w:rPr>
              <w:t xml:space="preserve">端口流量分析</w:t>
            </w:r>
            <w:r>
              <w:rPr>
                <w:rFonts w:hint="eastAsia" w:ascii="宋体" w:hAnsi="宋体" w:eastAsia="宋体"/>
                <w:color w:val="auto"/>
                <w:sz w:val="18"/>
                <w:szCs w:val="18"/>
                <w:highlight w:val="none"/>
              </w:rPr>
              <w:t xml:space="preserve">；</w:t>
            </w:r>
            <w:r/>
          </w:p>
        </w:tc>
      </w:tr>
      <w:tr>
        <w:trPr>
          <w:trHeight w:val="203"/>
        </w:trPr>
        <w:tc>
          <w:tcPr>
            <w:tcW w:w="785" w:type="dxa"/>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color w:val="auto"/>
                <w:sz w:val="18"/>
                <w:szCs w:val="18"/>
                <w:highlight w:val="none"/>
              </w:rPr>
              <w:t xml:space="preserve">6</w:t>
            </w:r>
            <w:r/>
          </w:p>
        </w:tc>
        <w:tc>
          <w:tcPr>
            <w:tcW w:w="8863" w:type="dxa"/>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支持生成树STP/RSTP/MSTP，环网自愈时间小于50毫秒</w:t>
            </w:r>
            <w:r>
              <w:rPr>
                <w:rFonts w:ascii="宋体" w:hAnsi="宋体" w:eastAsia="宋体"/>
                <w:color w:val="auto"/>
                <w:sz w:val="18"/>
                <w:szCs w:val="18"/>
                <w:highlight w:val="none"/>
              </w:rPr>
              <w:t xml:space="preserve">，</w:t>
            </w:r>
            <w:r>
              <w:rPr>
                <w:rFonts w:hint="eastAsia" w:ascii="宋体" w:hAnsi="宋体" w:eastAsia="宋体"/>
                <w:color w:val="auto"/>
                <w:sz w:val="18"/>
                <w:szCs w:val="18"/>
                <w:highlight w:val="none"/>
              </w:rPr>
              <w:t xml:space="preserve">支持</w:t>
            </w:r>
            <w:r>
              <w:rPr>
                <w:rFonts w:ascii="宋体" w:hAnsi="宋体" w:eastAsia="宋体"/>
                <w:color w:val="auto"/>
                <w:sz w:val="18"/>
                <w:szCs w:val="18"/>
                <w:highlight w:val="none"/>
              </w:rPr>
              <w:t xml:space="preserve">异常端口自动重启恢</w:t>
            </w:r>
            <w:r>
              <w:rPr>
                <w:rFonts w:hint="eastAsia" w:ascii="宋体" w:hAnsi="宋体" w:eastAsia="宋体"/>
                <w:color w:val="auto"/>
                <w:sz w:val="18"/>
                <w:szCs w:val="18"/>
                <w:highlight w:val="none"/>
              </w:rPr>
              <w:t xml:space="preserve">复或手动恢复；</w:t>
            </w:r>
            <w:r/>
          </w:p>
        </w:tc>
      </w:tr>
      <w:tr>
        <w:trPr>
          <w:trHeight w:val="420"/>
        </w:trPr>
        <w:tc>
          <w:tcPr>
            <w:tcW w:w="785" w:type="dxa"/>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color w:val="auto"/>
                <w:sz w:val="18"/>
                <w:szCs w:val="18"/>
                <w:highlight w:val="none"/>
              </w:rPr>
              <w:t xml:space="preserve">7</w:t>
            </w:r>
            <w:r/>
          </w:p>
        </w:tc>
        <w:tc>
          <w:tcPr>
            <w:tcW w:w="8863" w:type="dxa"/>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支持端口安全，IP+MAC+端口绑定，远程控制端口开启和关闭；</w:t>
            </w:r>
            <w:r/>
          </w:p>
        </w:tc>
      </w:tr>
      <w:tr>
        <w:trPr>
          <w:trHeight w:val="229"/>
        </w:trPr>
        <w:tc>
          <w:tcPr>
            <w:tcW w:w="785" w:type="dxa"/>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color w:val="auto"/>
                <w:sz w:val="18"/>
                <w:szCs w:val="18"/>
                <w:highlight w:val="none"/>
              </w:rPr>
              <w:t xml:space="preserve">8</w:t>
            </w:r>
            <w:r/>
          </w:p>
        </w:tc>
        <w:tc>
          <w:tcPr>
            <w:tcW w:w="8863" w:type="dxa"/>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支持QOS，</w:t>
            </w:r>
            <w:r>
              <w:rPr>
                <w:rFonts w:ascii="宋体" w:hAnsi="宋体" w:eastAsia="宋体"/>
                <w:color w:val="auto"/>
                <w:sz w:val="18"/>
                <w:szCs w:val="18"/>
                <w:highlight w:val="none"/>
              </w:rPr>
              <w:t xml:space="preserve">支持链路聚合功能</w:t>
            </w:r>
            <w:r>
              <w:rPr>
                <w:rFonts w:hint="eastAsia" w:ascii="宋体" w:hAnsi="宋体" w:eastAsia="宋体"/>
                <w:color w:val="auto"/>
                <w:sz w:val="18"/>
                <w:szCs w:val="18"/>
                <w:highlight w:val="none"/>
              </w:rPr>
              <w:t xml:space="preserve">、LLDP</w:t>
            </w:r>
            <w:r>
              <w:rPr>
                <w:rFonts w:ascii="宋体" w:hAnsi="宋体" w:eastAsia="宋体"/>
                <w:color w:val="auto"/>
                <w:sz w:val="18"/>
                <w:szCs w:val="18"/>
                <w:highlight w:val="none"/>
              </w:rPr>
              <w:t xml:space="preserve">协议功</w:t>
            </w:r>
            <w:r>
              <w:rPr>
                <w:rFonts w:hint="eastAsia" w:ascii="宋体" w:hAnsi="宋体" w:eastAsia="宋体"/>
                <w:color w:val="auto"/>
                <w:sz w:val="18"/>
                <w:szCs w:val="18"/>
                <w:highlight w:val="none"/>
              </w:rPr>
              <w:t xml:space="preserve">能，</w:t>
            </w:r>
            <w:r>
              <w:rPr>
                <w:rFonts w:ascii="宋体" w:hAnsi="宋体" w:eastAsia="宋体"/>
                <w:color w:val="auto"/>
                <w:sz w:val="18"/>
                <w:szCs w:val="18"/>
                <w:highlight w:val="none"/>
              </w:rPr>
              <w:t xml:space="preserve">支持静态路由</w:t>
            </w:r>
            <w:r>
              <w:rPr>
                <w:rFonts w:hint="eastAsia" w:ascii="宋体" w:hAnsi="宋体" w:eastAsia="宋体"/>
                <w:color w:val="auto"/>
                <w:sz w:val="18"/>
                <w:szCs w:val="18"/>
                <w:highlight w:val="none"/>
              </w:rPr>
              <w:t xml:space="preserve">、动态路由；</w:t>
            </w:r>
            <w:r/>
          </w:p>
        </w:tc>
      </w:tr>
      <w:tr>
        <w:trPr>
          <w:trHeight w:val="171"/>
        </w:trPr>
        <w:tc>
          <w:tcPr>
            <w:tcW w:w="785" w:type="dxa"/>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color w:val="auto"/>
                <w:sz w:val="18"/>
                <w:szCs w:val="18"/>
                <w:highlight w:val="none"/>
              </w:rPr>
              <w:t xml:space="preserve">9</w:t>
            </w:r>
            <w:r/>
          </w:p>
        </w:tc>
        <w:tc>
          <w:tcPr>
            <w:tcW w:w="8863" w:type="dxa"/>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支持NTP网络时钟同步；</w:t>
            </w:r>
            <w:r/>
          </w:p>
        </w:tc>
      </w:tr>
      <w:tr>
        <w:trPr>
          <w:trHeight w:val="90"/>
        </w:trPr>
        <w:tc>
          <w:tcPr>
            <w:tcW w:w="785" w:type="dxa"/>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color w:val="auto"/>
                <w:sz w:val="18"/>
                <w:szCs w:val="18"/>
                <w:highlight w:val="none"/>
              </w:rPr>
              <w:t xml:space="preserve">10</w:t>
            </w:r>
            <w:r/>
          </w:p>
        </w:tc>
        <w:tc>
          <w:tcPr>
            <w:tcW w:w="8863" w:type="dxa"/>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支持WEB、Telnet、SSH、SNMP等网管功能，支持SNMP v1/v2/v3，支持修改网络协议默认端口号，可对接第三方标准SNMP网管平台；</w:t>
            </w:r>
            <w:r/>
          </w:p>
        </w:tc>
      </w:tr>
      <w:tr>
        <w:trPr>
          <w:trHeight w:val="90"/>
        </w:trPr>
        <w:tc>
          <w:tcPr>
            <w:tcW w:w="785" w:type="dxa"/>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color w:val="auto"/>
                <w:sz w:val="18"/>
                <w:szCs w:val="18"/>
                <w:highlight w:val="none"/>
              </w:rPr>
              <w:t xml:space="preserve">11</w:t>
            </w:r>
            <w:r/>
          </w:p>
        </w:tc>
        <w:tc>
          <w:tcPr>
            <w:tcW w:w="8863"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电源输</w:t>
            </w:r>
            <w:r>
              <w:rPr>
                <w:rFonts w:hint="eastAsia" w:ascii="宋体" w:hAnsi="宋体" w:eastAsia="宋体"/>
                <w:color w:val="auto"/>
                <w:sz w:val="18"/>
                <w:szCs w:val="18"/>
                <w:highlight w:val="none"/>
              </w:rPr>
              <w:t xml:space="preserve">入：A</w:t>
            </w:r>
            <w:r>
              <w:rPr>
                <w:rFonts w:ascii="宋体" w:hAnsi="宋体" w:eastAsia="宋体"/>
                <w:color w:val="auto"/>
                <w:sz w:val="18"/>
                <w:szCs w:val="18"/>
                <w:highlight w:val="none"/>
              </w:rPr>
              <w:t xml:space="preserve">C100-240V输入</w:t>
            </w:r>
            <w:r>
              <w:rPr>
                <w:rFonts w:hint="eastAsia" w:ascii="宋体" w:hAnsi="宋体" w:eastAsia="宋体"/>
                <w:color w:val="auto"/>
                <w:sz w:val="18"/>
                <w:szCs w:val="18"/>
                <w:highlight w:val="none"/>
              </w:rPr>
              <w:t xml:space="preserve">，</w:t>
            </w:r>
            <w:r>
              <w:rPr>
                <w:rFonts w:ascii="宋体" w:hAnsi="宋体" w:eastAsia="宋体"/>
                <w:color w:val="auto"/>
                <w:sz w:val="18"/>
                <w:szCs w:val="18"/>
                <w:highlight w:val="none"/>
              </w:rPr>
              <w:t xml:space="preserve">冗余</w:t>
            </w:r>
            <w:r>
              <w:rPr>
                <w:rFonts w:hint="eastAsia" w:ascii="宋体" w:hAnsi="宋体" w:eastAsia="宋体"/>
                <w:color w:val="auto"/>
                <w:sz w:val="18"/>
                <w:szCs w:val="18"/>
                <w:highlight w:val="none"/>
              </w:rPr>
              <w:t xml:space="preserve">电源；</w:t>
            </w:r>
            <w:r/>
          </w:p>
        </w:tc>
      </w:tr>
      <w:tr>
        <w:trPr>
          <w:trHeight w:val="90"/>
        </w:trPr>
        <w:tc>
          <w:tcPr>
            <w:tcW w:w="785" w:type="dxa"/>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color w:val="auto"/>
                <w:sz w:val="18"/>
                <w:szCs w:val="18"/>
                <w:highlight w:val="none"/>
              </w:rPr>
              <w:t xml:space="preserve">12</w:t>
            </w:r>
            <w:r/>
          </w:p>
        </w:tc>
        <w:tc>
          <w:tcPr>
            <w:tcW w:w="8863" w:type="dxa"/>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工作温度：-40～85</w:t>
            </w:r>
            <w:r>
              <w:rPr>
                <w:rFonts w:ascii="宋体" w:hAnsi="宋体" w:eastAsia="宋体"/>
                <w:color w:val="auto"/>
                <w:sz w:val="18"/>
                <w:szCs w:val="18"/>
                <w:highlight w:val="none"/>
              </w:rPr>
              <w:t xml:space="preserve">℃运行</w:t>
            </w:r>
            <w:r>
              <w:rPr>
                <w:rFonts w:hint="eastAsia" w:ascii="宋体" w:hAnsi="宋体" w:eastAsia="宋体"/>
                <w:color w:val="auto"/>
                <w:sz w:val="18"/>
                <w:szCs w:val="18"/>
                <w:highlight w:val="none"/>
              </w:rPr>
              <w:t xml:space="preserve">；</w:t>
            </w:r>
            <w:r/>
          </w:p>
        </w:tc>
      </w:tr>
      <w:tr>
        <w:trPr>
          <w:trHeight w:val="90"/>
        </w:trPr>
        <w:tc>
          <w:tcPr>
            <w:tcW w:w="785" w:type="dxa"/>
            <w:vAlign w:val="center"/>
            <w:textDirection w:val="lrTb"/>
            <w:noWrap w:val="false"/>
          </w:tcPr>
          <w:p>
            <w:pPr>
              <w:pStyle w:val="969"/>
              <w:jc w:val="left"/>
              <w:rPr>
                <w:rFonts w:hint="eastAsia" w:ascii="宋体" w:hAnsi="宋体" w:eastAsia="宋体"/>
                <w:bCs/>
                <w:color w:val="auto"/>
                <w:sz w:val="18"/>
                <w:szCs w:val="18"/>
                <w:highlight w:val="none"/>
              </w:rPr>
            </w:pPr>
            <w:r>
              <w:rPr>
                <w:rFonts w:hint="eastAsia" w:ascii="宋体" w:hAnsi="宋体" w:eastAsia="宋体"/>
                <w:color w:val="auto"/>
                <w:sz w:val="18"/>
                <w:szCs w:val="18"/>
                <w:highlight w:val="none"/>
              </w:rPr>
              <w:t xml:space="preserve">13</w:t>
            </w:r>
            <w:r/>
          </w:p>
        </w:tc>
        <w:tc>
          <w:tcPr>
            <w:tcW w:w="8863" w:type="dxa"/>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散热方式：全封闭、自然散热；</w:t>
            </w:r>
            <w:r/>
          </w:p>
        </w:tc>
      </w:tr>
      <w:tr>
        <w:trPr>
          <w:trHeight w:val="90"/>
        </w:trPr>
        <w:tc>
          <w:tcPr>
            <w:tcW w:w="785" w:type="dxa"/>
            <w:vAlign w:val="center"/>
            <w:textDirection w:val="lrTb"/>
            <w:noWrap w:val="false"/>
          </w:tcPr>
          <w:p>
            <w:pPr>
              <w:pStyle w:val="969"/>
              <w:jc w:val="left"/>
              <w:rPr>
                <w:rFonts w:hint="eastAsia" w:ascii="宋体" w:hAnsi="宋体" w:eastAsia="宋体"/>
                <w:bCs/>
                <w:color w:val="auto"/>
                <w:sz w:val="18"/>
                <w:szCs w:val="18"/>
                <w:highlight w:val="none"/>
              </w:rPr>
            </w:pPr>
            <w:r>
              <w:rPr>
                <w:rFonts w:hint="eastAsia" w:ascii="宋体" w:hAnsi="宋体" w:eastAsia="宋体"/>
                <w:color w:val="auto"/>
                <w:sz w:val="18"/>
                <w:szCs w:val="18"/>
                <w:highlight w:val="none"/>
              </w:rPr>
              <w:t xml:space="preserve">14</w:t>
            </w:r>
            <w:r/>
          </w:p>
        </w:tc>
        <w:tc>
          <w:tcPr>
            <w:tcW w:w="8863" w:type="dxa"/>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防水防尘等级：不低于IP40；</w:t>
            </w:r>
            <w:r/>
          </w:p>
        </w:tc>
      </w:tr>
      <w:tr>
        <w:trPr>
          <w:trHeight w:val="90"/>
        </w:trPr>
        <w:tc>
          <w:tcPr>
            <w:tcW w:w="785" w:type="dxa"/>
            <w:vAlign w:val="center"/>
            <w:textDirection w:val="lrTb"/>
            <w:noWrap w:val="false"/>
          </w:tcPr>
          <w:p>
            <w:pPr>
              <w:pStyle w:val="969"/>
              <w:jc w:val="left"/>
              <w:rPr>
                <w:rFonts w:hint="eastAsia" w:ascii="宋体" w:hAnsi="宋体" w:eastAsia="宋体"/>
                <w:bCs/>
                <w:color w:val="auto"/>
                <w:sz w:val="18"/>
                <w:szCs w:val="18"/>
                <w:highlight w:val="none"/>
              </w:rPr>
            </w:pPr>
            <w:r>
              <w:rPr>
                <w:rFonts w:hint="eastAsia" w:ascii="宋体" w:hAnsi="宋体" w:eastAsia="宋体"/>
                <w:color w:val="auto"/>
                <w:sz w:val="18"/>
                <w:szCs w:val="18"/>
                <w:highlight w:val="none"/>
              </w:rPr>
              <w:t xml:space="preserve">15</w:t>
            </w:r>
            <w:r/>
          </w:p>
        </w:tc>
        <w:tc>
          <w:tcPr>
            <w:tcW w:w="8863"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工作湿度：10%～95%（无冷凝）</w:t>
            </w:r>
            <w:r>
              <w:rPr>
                <w:rFonts w:hint="eastAsia" w:ascii="宋体" w:hAnsi="宋体" w:eastAsia="宋体"/>
                <w:color w:val="auto"/>
                <w:sz w:val="18"/>
                <w:szCs w:val="18"/>
                <w:highlight w:val="none"/>
              </w:rPr>
              <w:t xml:space="preserve">；</w:t>
            </w:r>
            <w:r/>
          </w:p>
        </w:tc>
      </w:tr>
      <w:tr>
        <w:trPr>
          <w:trHeight w:val="90"/>
        </w:trPr>
        <w:tc>
          <w:tcPr>
            <w:tcW w:w="785" w:type="dxa"/>
            <w:vAlign w:val="center"/>
            <w:textDirection w:val="lrTb"/>
            <w:noWrap w:val="false"/>
          </w:tcPr>
          <w:p>
            <w:pPr>
              <w:pStyle w:val="969"/>
              <w:jc w:val="left"/>
              <w:rPr>
                <w:rFonts w:hint="eastAsia" w:ascii="宋体" w:hAnsi="宋体" w:eastAsia="宋体"/>
                <w:bCs/>
                <w:color w:val="auto"/>
                <w:sz w:val="18"/>
                <w:szCs w:val="18"/>
                <w:highlight w:val="none"/>
              </w:rPr>
            </w:pPr>
            <w:r>
              <w:rPr>
                <w:rFonts w:hint="eastAsia" w:ascii="宋体" w:hAnsi="宋体" w:eastAsia="宋体"/>
                <w:color w:val="auto"/>
                <w:sz w:val="18"/>
                <w:szCs w:val="18"/>
                <w:highlight w:val="none"/>
              </w:rPr>
              <w:t xml:space="preserve">16</w:t>
            </w:r>
            <w:r/>
          </w:p>
        </w:tc>
        <w:tc>
          <w:tcPr>
            <w:tcW w:w="8863" w:type="dxa"/>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电磁兼容：内置浪涌和静电保护。</w:t>
            </w:r>
            <w:r/>
          </w:p>
        </w:tc>
      </w:tr>
      <w:tr>
        <w:trPr>
          <w:trHeight w:val="90"/>
        </w:trPr>
        <w:tc>
          <w:tcPr>
            <w:tcW w:w="785" w:type="dxa"/>
            <w:vAlign w:val="center"/>
            <w:textDirection w:val="lrTb"/>
            <w:noWrap w:val="false"/>
          </w:tcPr>
          <w:p>
            <w:pPr>
              <w:jc w:val="left"/>
              <w:rPr>
                <w:rFonts w:hint="eastAsia" w:ascii="宋体" w:hAnsi="宋体" w:eastAsia="宋体"/>
                <w:bCs/>
                <w:color w:val="auto"/>
                <w:sz w:val="18"/>
                <w:szCs w:val="18"/>
                <w:highlight w:val="none"/>
              </w:rPr>
            </w:pPr>
            <w:r>
              <w:rPr>
                <w:rFonts w:hint="eastAsia" w:ascii="宋体" w:hAnsi="宋体" w:eastAsia="宋体"/>
                <w:bCs/>
                <w:color w:val="auto"/>
                <w:sz w:val="18"/>
                <w:szCs w:val="18"/>
                <w:highlight w:val="none"/>
              </w:rPr>
              <w:t xml:space="preserve">17</w:t>
            </w:r>
            <w:r/>
          </w:p>
        </w:tc>
        <w:tc>
          <w:tcPr>
            <w:tcW w:w="8863" w:type="dxa"/>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五年质保，需提供原厂5年质保承诺书。</w:t>
            </w:r>
            <w:r/>
          </w:p>
        </w:tc>
      </w:tr>
    </w:tbl>
    <w:p>
      <w:pPr>
        <w:jc w:val="left"/>
        <w:spacing w:line="360" w:lineRule="auto"/>
        <w:rPr>
          <w:rFonts w:hint="eastAsia" w:ascii="宋体" w:hAnsi="宋体" w:eastAsia="宋体"/>
          <w:b/>
          <w:bCs/>
          <w:color w:val="auto"/>
          <w:sz w:val="18"/>
          <w:szCs w:val="18"/>
          <w:highlight w:val="none"/>
        </w:rPr>
        <w:outlineLvl w:val="2"/>
      </w:pPr>
      <w:r>
        <w:rPr>
          <w:rFonts w:ascii="宋体" w:hAnsi="宋体" w:eastAsia="宋体"/>
          <w:b/>
          <w:bCs/>
          <w:color w:val="auto"/>
          <w:sz w:val="18"/>
          <w:szCs w:val="18"/>
          <w:highlight w:val="none"/>
        </w:rPr>
        <w:t xml:space="preserve">（</w:t>
      </w:r>
      <w:r>
        <w:rPr>
          <w:rFonts w:hint="eastAsia" w:ascii="宋体" w:hAnsi="宋体" w:eastAsia="宋体"/>
          <w:b/>
          <w:bCs/>
          <w:color w:val="auto"/>
          <w:sz w:val="18"/>
          <w:szCs w:val="18"/>
          <w:highlight w:val="none"/>
        </w:rPr>
        <w:t xml:space="preserve">6</w:t>
      </w:r>
      <w:r>
        <w:rPr>
          <w:rFonts w:ascii="宋体" w:hAnsi="宋体" w:eastAsia="宋体"/>
          <w:b/>
          <w:bCs/>
          <w:color w:val="auto"/>
          <w:sz w:val="18"/>
          <w:szCs w:val="18"/>
          <w:highlight w:val="none"/>
        </w:rPr>
        <w:t xml:space="preserve">）落地智能机箱</w:t>
      </w:r>
      <w:r/>
    </w:p>
    <w:tbl>
      <w:tblPr>
        <w:tblStyle w:val="95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7757"/>
      </w:tblGrid>
      <w:tr>
        <w:trPr>
          <w:trHeight w:val="23"/>
        </w:trPr>
        <w:tc>
          <w:tcPr>
            <w:tcW w:w="551"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序号</w:t>
            </w:r>
            <w:r/>
          </w:p>
        </w:tc>
        <w:tc>
          <w:tcPr>
            <w:tcW w:w="4448"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技术和功能要求</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w:t>
            </w:r>
            <w:r/>
          </w:p>
        </w:tc>
        <w:tc>
          <w:tcPr>
            <w:tcW w:w="444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箱体使用材料应具备防腐、防水等功能，SUS201板材厚度板材厚度2mm。防护等级≥IP55。 具体规格可根据管理部门意见适当调整。</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w:t>
            </w:r>
            <w:r/>
          </w:p>
        </w:tc>
        <w:tc>
          <w:tcPr>
            <w:tcW w:w="444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配件需求为：电源防雷器*1、三芯插座*8、隔离闸*2、熔断器6个、4芯融纤盘*1、16A断 路器、市电检测模块*1、电动操作附件*1、运维节点主机*1、智能锁*1、散热风扇、电源配 电模块*1。</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3</w:t>
            </w:r>
            <w:r/>
          </w:p>
        </w:tc>
        <w:tc>
          <w:tcPr>
            <w:tcW w:w="444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具有远程开锁和手工锁功能。</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4</w:t>
            </w:r>
            <w:r/>
          </w:p>
        </w:tc>
        <w:tc>
          <w:tcPr>
            <w:tcW w:w="444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散热系统应为智能风道设计，不少于风扇*2,需支持温控并配备专用防尘罩电动操作附件需 支持双支点平行驱动，应可配装分闸安全挂锁；需支持电动分合、手/自动切换等功能。</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5</w:t>
            </w:r>
            <w:r/>
          </w:p>
        </w:tc>
        <w:tc>
          <w:tcPr>
            <w:tcW w:w="444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设备加密：设备支持SNMPV3版本加密协议，802.1X认证协议运维节点主机具有远程控制设备重新启动或状态显示；不少于8个输入/输出通道，RS485串口不少于1个，网络不少于1个；需支持断路器分/合状态，远程控制断路器</w:t>
            </w:r>
            <w:r/>
          </w:p>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分/合；需支持连接第三方24VDC的电器设备；</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6</w:t>
            </w:r>
            <w:r/>
          </w:p>
        </w:tc>
        <w:tc>
          <w:tcPr>
            <w:tcW w:w="444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需提供相关配套系统软件：</w:t>
            </w:r>
            <w:r/>
          </w:p>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能够精确定位摄像机断电，断网、设备损环等问题；一旦设备发生故障时，需向平台发送状态信息；需支持远程重启功能；需支持远程升级。</w:t>
            </w:r>
            <w:r/>
          </w:p>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具有远程控制功能：接受监控中心管理平台指今，实施远程断电重合，可控制摄像机、传输设备的开启和关闭。</w:t>
            </w:r>
            <w:r/>
          </w:p>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电压变化抗扰度：一段时间内，功能暂时丧失或降低，应能自行恢复，不需要操作干预温度显示：中心可显示机箱内温度、风扇开关状态；</w:t>
            </w:r>
            <w:r/>
          </w:p>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具有防盗报警功能：打开/关闭机箱门，中心可收到报警提示；</w:t>
            </w:r>
            <w:r/>
          </w:p>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具备GPS/BeiDou定位功能模块</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7</w:t>
            </w:r>
            <w:r/>
          </w:p>
        </w:tc>
        <w:tc>
          <w:tcPr>
            <w:tcW w:w="4448"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五年质保，需提供原厂5年质保承诺书</w:t>
            </w:r>
            <w:r/>
          </w:p>
        </w:tc>
      </w:tr>
    </w:tbl>
    <w:p>
      <w:pPr>
        <w:jc w:val="left"/>
        <w:spacing w:line="360" w:lineRule="auto"/>
        <w:rPr>
          <w:rFonts w:hint="eastAsia" w:ascii="宋体" w:hAnsi="宋体" w:eastAsia="宋体"/>
          <w:b/>
          <w:bCs/>
          <w:color w:val="auto"/>
          <w:sz w:val="18"/>
          <w:szCs w:val="18"/>
          <w:highlight w:val="none"/>
        </w:rPr>
        <w:outlineLvl w:val="2"/>
      </w:pPr>
      <w:r>
        <w:rPr>
          <w:rFonts w:ascii="宋体" w:hAnsi="宋体" w:eastAsia="宋体"/>
          <w:b/>
          <w:bCs/>
          <w:color w:val="auto"/>
          <w:sz w:val="18"/>
          <w:szCs w:val="18"/>
          <w:highlight w:val="none"/>
        </w:rPr>
        <w:t xml:space="preserve">（</w:t>
      </w:r>
      <w:r>
        <w:rPr>
          <w:rFonts w:hint="eastAsia" w:ascii="宋体" w:hAnsi="宋体" w:eastAsia="宋体"/>
          <w:b/>
          <w:bCs/>
          <w:color w:val="auto"/>
          <w:sz w:val="18"/>
          <w:szCs w:val="18"/>
          <w:highlight w:val="none"/>
        </w:rPr>
        <w:t xml:space="preserve">7</w:t>
      </w:r>
      <w:r>
        <w:rPr>
          <w:rFonts w:ascii="宋体" w:hAnsi="宋体" w:eastAsia="宋体"/>
          <w:b/>
          <w:bCs/>
          <w:color w:val="auto"/>
          <w:sz w:val="18"/>
          <w:szCs w:val="18"/>
          <w:highlight w:val="none"/>
        </w:rPr>
        <w:t xml:space="preserve">）360°全景摄像机</w:t>
      </w:r>
      <w:r/>
    </w:p>
    <w:tbl>
      <w:tblPr>
        <w:tblStyle w:val="95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0"/>
        <w:gridCol w:w="7733"/>
      </w:tblGrid>
      <w:tr>
        <w:trPr>
          <w:trHeight w:val="23"/>
        </w:trPr>
        <w:tc>
          <w:tcPr>
            <w:tcW w:w="1059" w:type="dxa"/>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序号</w:t>
            </w:r>
            <w:r/>
          </w:p>
        </w:tc>
        <w:tc>
          <w:tcPr>
            <w:tcW w:w="8583" w:type="dxa"/>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技术和功能要求</w:t>
            </w:r>
            <w:r/>
          </w:p>
        </w:tc>
      </w:tr>
      <w:tr>
        <w:trPr>
          <w:trHeight w:val="23"/>
        </w:trPr>
        <w:tc>
          <w:tcPr>
            <w:tcW w:w="105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w:t>
            </w:r>
            <w:r/>
          </w:p>
        </w:tc>
        <w:tc>
          <w:tcPr>
            <w:tcW w:w="8583" w:type="dxa"/>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摄像机由2路全景摄像机和1路细节摄像机组成，CMOS靶面尺寸均为1/1.8英寸；</w:t>
            </w:r>
            <w:r/>
          </w:p>
        </w:tc>
      </w:tr>
      <w:tr>
        <w:trPr>
          <w:trHeight w:val="23"/>
        </w:trPr>
        <w:tc>
          <w:tcPr>
            <w:tcW w:w="105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w:t>
            </w:r>
            <w:r/>
          </w:p>
        </w:tc>
        <w:tc>
          <w:tcPr>
            <w:tcW w:w="8583" w:type="dxa"/>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内置GPU芯片；</w:t>
            </w:r>
            <w:r/>
          </w:p>
        </w:tc>
      </w:tr>
      <w:tr>
        <w:trPr>
          <w:trHeight w:val="23"/>
        </w:trPr>
        <w:tc>
          <w:tcPr>
            <w:tcW w:w="105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3</w:t>
            </w:r>
            <w:r/>
          </w:p>
        </w:tc>
        <w:tc>
          <w:tcPr>
            <w:tcW w:w="8583" w:type="dxa"/>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像素：全景：400万；</w:t>
            </w:r>
            <w:r/>
          </w:p>
        </w:tc>
      </w:tr>
      <w:tr>
        <w:trPr>
          <w:trHeight w:val="23"/>
        </w:trPr>
        <w:tc>
          <w:tcPr>
            <w:tcW w:w="105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4</w:t>
            </w:r>
            <w:r/>
          </w:p>
        </w:tc>
        <w:tc>
          <w:tcPr>
            <w:tcW w:w="8583" w:type="dxa"/>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最大分辨率：全景：3840×1080</w:t>
            </w:r>
            <w:r>
              <w:rPr>
                <w:rFonts w:hint="eastAsia" w:ascii="宋体" w:hAnsi="宋体" w:eastAsia="宋体"/>
                <w:color w:val="auto"/>
                <w:sz w:val="18"/>
                <w:szCs w:val="18"/>
                <w:highlight w:val="none"/>
              </w:rPr>
              <w:t xml:space="preserve"> </w:t>
            </w:r>
            <w:r>
              <w:rPr>
                <w:rFonts w:ascii="宋体" w:hAnsi="宋体" w:eastAsia="宋体"/>
                <w:color w:val="auto"/>
                <w:sz w:val="18"/>
                <w:szCs w:val="18"/>
                <w:highlight w:val="none"/>
              </w:rPr>
              <w:t xml:space="preserve">细节：2560×1440；</w:t>
            </w:r>
            <w:r/>
          </w:p>
        </w:tc>
      </w:tr>
      <w:tr>
        <w:trPr>
          <w:trHeight w:val="23"/>
        </w:trPr>
        <w:tc>
          <w:tcPr>
            <w:tcW w:w="105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5</w:t>
            </w:r>
            <w:r/>
          </w:p>
        </w:tc>
        <w:tc>
          <w:tcPr>
            <w:tcW w:w="8583" w:type="dxa"/>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补光灯数量：全景：4颗(白光灯)细节：6颗(红外灯)2颗(白光灯)；</w:t>
            </w:r>
            <w:r/>
          </w:p>
        </w:tc>
      </w:tr>
      <w:tr>
        <w:trPr>
          <w:trHeight w:val="23"/>
        </w:trPr>
        <w:tc>
          <w:tcPr>
            <w:tcW w:w="105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6</w:t>
            </w:r>
            <w:r/>
          </w:p>
        </w:tc>
        <w:tc>
          <w:tcPr>
            <w:tcW w:w="8583" w:type="dxa"/>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最大补光距离：全景：30米(白光)，细节：200米(红外)；</w:t>
            </w:r>
            <w:r/>
          </w:p>
        </w:tc>
      </w:tr>
      <w:tr>
        <w:trPr>
          <w:trHeight w:val="23"/>
        </w:trPr>
        <w:tc>
          <w:tcPr>
            <w:tcW w:w="105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7</w:t>
            </w:r>
            <w:r/>
          </w:p>
        </w:tc>
        <w:tc>
          <w:tcPr>
            <w:tcW w:w="8583" w:type="dxa"/>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镜头焦距：全景：2.8mm细节：5.5mm~220mm；</w:t>
            </w:r>
            <w:r/>
          </w:p>
        </w:tc>
      </w:tr>
      <w:tr>
        <w:trPr>
          <w:trHeight w:val="23"/>
        </w:trPr>
        <w:tc>
          <w:tcPr>
            <w:tcW w:w="105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8</w:t>
            </w:r>
            <w:r/>
          </w:p>
        </w:tc>
        <w:tc>
          <w:tcPr>
            <w:tcW w:w="8583" w:type="dxa"/>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光学变倍：40倍；</w:t>
            </w:r>
            <w:r/>
          </w:p>
        </w:tc>
      </w:tr>
      <w:tr>
        <w:trPr>
          <w:trHeight w:val="23"/>
        </w:trPr>
        <w:tc>
          <w:tcPr>
            <w:tcW w:w="105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9</w:t>
            </w:r>
            <w:r/>
          </w:p>
        </w:tc>
        <w:tc>
          <w:tcPr>
            <w:tcW w:w="8583" w:type="dxa"/>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全景通道可输出2个镜头无缝拼接的全景图像，纵向拼接偏差像素≤4个像素点；全景通道水 平视场角≥200°；全景通道可垂直旋转，旋转范围≥12°；</w:t>
            </w:r>
            <w:r/>
          </w:p>
        </w:tc>
      </w:tr>
      <w:tr>
        <w:trPr>
          <w:trHeight w:val="23"/>
        </w:trPr>
        <w:tc>
          <w:tcPr>
            <w:tcW w:w="105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10</w:t>
            </w:r>
            <w:r/>
          </w:p>
        </w:tc>
        <w:tc>
          <w:tcPr>
            <w:tcW w:w="8583" w:type="dxa"/>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细节相机：水平范围：0°~360°、垂直范围： -30°~90°；</w:t>
            </w:r>
            <w:r/>
          </w:p>
        </w:tc>
      </w:tr>
      <w:tr>
        <w:trPr>
          <w:trHeight w:val="90"/>
        </w:trPr>
        <w:tc>
          <w:tcPr>
            <w:tcW w:w="105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11</w:t>
            </w:r>
            <w:r/>
          </w:p>
        </w:tc>
        <w:tc>
          <w:tcPr>
            <w:tcW w:w="8583" w:type="dxa"/>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支持300个预置位，8条巡航路径；</w:t>
            </w:r>
            <w:r/>
          </w:p>
        </w:tc>
      </w:tr>
      <w:tr>
        <w:trPr>
          <w:trHeight w:val="23"/>
        </w:trPr>
        <w:tc>
          <w:tcPr>
            <w:tcW w:w="105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12</w:t>
            </w:r>
            <w:r/>
          </w:p>
        </w:tc>
        <w:tc>
          <w:tcPr>
            <w:tcW w:w="8583" w:type="dxa"/>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视频结构化功能：支持机动车抓拍、机动车属性提取，支持非机动车抓拍、非机动车属性提取， 支持人体抓拍、人体属性提取，支持人脸抓拍、人脸属性提取；</w:t>
            </w:r>
            <w:r/>
          </w:p>
        </w:tc>
      </w:tr>
      <w:tr>
        <w:trPr>
          <w:trHeight w:val="23"/>
        </w:trPr>
        <w:tc>
          <w:tcPr>
            <w:tcW w:w="105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13</w:t>
            </w:r>
            <w:r/>
          </w:p>
        </w:tc>
        <w:tc>
          <w:tcPr>
            <w:tcW w:w="8583" w:type="dxa"/>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支持电子透雾功能，全景AR标签；</w:t>
            </w:r>
            <w:r/>
          </w:p>
        </w:tc>
      </w:tr>
      <w:tr>
        <w:trPr>
          <w:trHeight w:val="23"/>
        </w:trPr>
        <w:tc>
          <w:tcPr>
            <w:tcW w:w="105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14</w:t>
            </w:r>
            <w:r/>
          </w:p>
        </w:tc>
        <w:tc>
          <w:tcPr>
            <w:tcW w:w="8583" w:type="dxa"/>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接入协议：GB/T28181，ONVIF(Profile S&amp;G&amp;T)， GA/T 1400；</w:t>
            </w:r>
            <w:r/>
          </w:p>
        </w:tc>
      </w:tr>
      <w:tr>
        <w:trPr>
          <w:trHeight w:val="23"/>
        </w:trPr>
        <w:tc>
          <w:tcPr>
            <w:tcW w:w="105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15</w:t>
            </w:r>
            <w:r/>
          </w:p>
        </w:tc>
        <w:tc>
          <w:tcPr>
            <w:tcW w:w="8583" w:type="dxa"/>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支持快速智能切换，当更换智能模式时设备不重启，新智能使能后即可生效；</w:t>
            </w:r>
            <w:r/>
          </w:p>
        </w:tc>
      </w:tr>
      <w:tr>
        <w:trPr>
          <w:trHeight w:val="23"/>
        </w:trPr>
        <w:tc>
          <w:tcPr>
            <w:tcW w:w="105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16</w:t>
            </w:r>
            <w:r/>
          </w:p>
        </w:tc>
        <w:tc>
          <w:tcPr>
            <w:tcW w:w="8583" w:type="dxa"/>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音频输入：1路，音频输出：1路，报警输入：7路，报输出：2路；</w:t>
            </w:r>
            <w:r/>
          </w:p>
        </w:tc>
      </w:tr>
      <w:tr>
        <w:trPr>
          <w:trHeight w:val="23"/>
        </w:trPr>
        <w:tc>
          <w:tcPr>
            <w:tcW w:w="105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17</w:t>
            </w:r>
            <w:r/>
          </w:p>
        </w:tc>
        <w:tc>
          <w:tcPr>
            <w:tcW w:w="8583" w:type="dxa"/>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供电方式：DC36V/2.25A(-10%~+10%)；</w:t>
            </w:r>
            <w:r/>
          </w:p>
        </w:tc>
      </w:tr>
      <w:tr>
        <w:trPr>
          <w:trHeight w:val="23"/>
        </w:trPr>
        <w:tc>
          <w:tcPr>
            <w:tcW w:w="105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18</w:t>
            </w:r>
            <w:r/>
          </w:p>
        </w:tc>
        <w:tc>
          <w:tcPr>
            <w:tcW w:w="8583" w:type="dxa"/>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工作温度： -40℃~+70℃；</w:t>
            </w:r>
            <w:r/>
          </w:p>
        </w:tc>
      </w:tr>
      <w:tr>
        <w:trPr>
          <w:trHeight w:val="23"/>
        </w:trPr>
        <w:tc>
          <w:tcPr>
            <w:tcW w:w="105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19</w:t>
            </w:r>
            <w:r/>
          </w:p>
        </w:tc>
        <w:tc>
          <w:tcPr>
            <w:tcW w:w="8583" w:type="dxa"/>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支持IP67防护等级，8000V防雷、防浪涌和防突波保护。</w:t>
            </w:r>
            <w:r/>
          </w:p>
        </w:tc>
      </w:tr>
      <w:tr>
        <w:trPr>
          <w:trHeight w:val="90"/>
        </w:trPr>
        <w:tc>
          <w:tcPr>
            <w:tcW w:w="105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20</w:t>
            </w:r>
            <w:r/>
          </w:p>
        </w:tc>
        <w:tc>
          <w:tcPr>
            <w:tcW w:w="8583" w:type="dxa"/>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至少1个SFP光纤接口(含光模块)，1个RJ45 10M/100M/1000M自适应网口、2个RS-485接 口</w:t>
            </w:r>
            <w:r/>
          </w:p>
        </w:tc>
      </w:tr>
      <w:tr>
        <w:trPr>
          <w:trHeight w:val="23"/>
        </w:trPr>
        <w:tc>
          <w:tcPr>
            <w:tcW w:w="105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21</w:t>
            </w:r>
            <w:r/>
          </w:p>
        </w:tc>
        <w:tc>
          <w:tcPr>
            <w:tcW w:w="8583" w:type="dxa"/>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配置1张256GB的存储卡</w:t>
            </w:r>
            <w:r/>
          </w:p>
        </w:tc>
      </w:tr>
      <w:tr>
        <w:trPr>
          <w:trHeight w:val="23"/>
        </w:trPr>
        <w:tc>
          <w:tcPr>
            <w:tcW w:w="1059" w:type="dxa"/>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22</w:t>
            </w:r>
            <w:r/>
          </w:p>
        </w:tc>
        <w:tc>
          <w:tcPr>
            <w:tcW w:w="8583" w:type="dxa"/>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五年质保，需提供原厂5年质保承诺书。</w:t>
            </w:r>
            <w:r/>
          </w:p>
        </w:tc>
      </w:tr>
    </w:tbl>
    <w:p>
      <w:pPr>
        <w:jc w:val="left"/>
        <w:spacing w:line="360" w:lineRule="auto"/>
        <w:rPr>
          <w:rFonts w:hint="eastAsia" w:ascii="宋体" w:hAnsi="宋体" w:eastAsia="宋体"/>
          <w:b/>
          <w:bCs/>
          <w:color w:val="auto"/>
          <w:sz w:val="18"/>
          <w:szCs w:val="18"/>
          <w:highlight w:val="none"/>
        </w:rPr>
        <w:outlineLvl w:val="2"/>
      </w:pPr>
      <w:r>
        <w:rPr>
          <w:rFonts w:ascii="宋体" w:hAnsi="宋体" w:eastAsia="宋体"/>
          <w:b/>
          <w:bCs/>
          <w:color w:val="auto"/>
          <w:sz w:val="18"/>
          <w:szCs w:val="18"/>
          <w:highlight w:val="none"/>
        </w:rPr>
        <w:t xml:space="preserve">（</w:t>
      </w:r>
      <w:r>
        <w:rPr>
          <w:rFonts w:hint="eastAsia" w:ascii="宋体" w:hAnsi="宋体" w:eastAsia="宋体"/>
          <w:b/>
          <w:bCs/>
          <w:color w:val="auto"/>
          <w:sz w:val="18"/>
          <w:szCs w:val="18"/>
          <w:highlight w:val="none"/>
        </w:rPr>
        <w:t xml:space="preserve">8</w:t>
      </w:r>
      <w:r>
        <w:rPr>
          <w:rFonts w:ascii="宋体" w:hAnsi="宋体" w:eastAsia="宋体"/>
          <w:b/>
          <w:bCs/>
          <w:color w:val="auto"/>
          <w:sz w:val="18"/>
          <w:szCs w:val="18"/>
          <w:highlight w:val="none"/>
        </w:rPr>
        <w:t xml:space="preserve">）高清违停抓拍球机</w:t>
      </w:r>
      <w:r/>
    </w:p>
    <w:tbl>
      <w:tblPr>
        <w:tblStyle w:val="95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7758"/>
      </w:tblGrid>
      <w:tr>
        <w:trPr>
          <w:trHeight w:val="23"/>
        </w:trPr>
        <w:tc>
          <w:tcPr>
            <w:tcW w:w="550"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序号</w:t>
            </w:r>
            <w:r/>
          </w:p>
        </w:tc>
        <w:tc>
          <w:tcPr>
            <w:tcW w:w="4449"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技术和功能要求</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w:t>
            </w:r>
            <w:r/>
          </w:p>
        </w:tc>
        <w:tc>
          <w:tcPr>
            <w:tcW w:w="4449"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不低于1/1.8英寸CMOS;</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w:t>
            </w:r>
            <w:r/>
          </w:p>
        </w:tc>
        <w:tc>
          <w:tcPr>
            <w:tcW w:w="4449"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内置GPU芯片</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3</w:t>
            </w:r>
            <w:r/>
          </w:p>
        </w:tc>
        <w:tc>
          <w:tcPr>
            <w:tcW w:w="4449"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采用智能图像处理技术（包括但不限于多帧图像融合、多个图像传感器、多个图像处理芯片等技术）</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4</w:t>
            </w:r>
            <w:r/>
          </w:p>
        </w:tc>
        <w:tc>
          <w:tcPr>
            <w:tcW w:w="4449"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最大图像尺寸：不低于2560x1440像素；</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5</w:t>
            </w:r>
            <w:r/>
          </w:p>
        </w:tc>
        <w:tc>
          <w:tcPr>
            <w:tcW w:w="4449"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最低照度不低于彩色：0.00021x,黑白：0.00011x;</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6</w:t>
            </w:r>
            <w:r/>
          </w:p>
        </w:tc>
        <w:tc>
          <w:tcPr>
            <w:tcW w:w="4449"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30倍光学变倍以上；</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7</w:t>
            </w:r>
            <w:r/>
          </w:p>
        </w:tc>
        <w:tc>
          <w:tcPr>
            <w:tcW w:w="4449"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支持快速聚焦功能；</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8</w:t>
            </w:r>
            <w:r/>
          </w:p>
        </w:tc>
        <w:tc>
          <w:tcPr>
            <w:tcW w:w="4449"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具有三种滤光片，在白天、夜晚及有雾情况下可自动切换不同的滤光片进行成像；</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9</w:t>
            </w:r>
            <w:r/>
          </w:p>
        </w:tc>
        <w:tc>
          <w:tcPr>
            <w:tcW w:w="4449"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至少支持8条巡航路径，每条巡航至少可以添加32个预置点；</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10</w:t>
            </w:r>
            <w:r/>
          </w:p>
        </w:tc>
        <w:tc>
          <w:tcPr>
            <w:tcW w:w="4449"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视频编码方式支持H.265、H.264、MJPEG;</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11</w:t>
            </w:r>
            <w:r/>
          </w:p>
        </w:tc>
        <w:tc>
          <w:tcPr>
            <w:tcW w:w="4449" w:type="pct"/>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s="宋体"/>
                <w:color w:val="auto"/>
                <w:sz w:val="24"/>
                <w:szCs w:val="24"/>
                <w:highlight w:val="none"/>
              </w:rPr>
              <w:t xml:space="preserve">★</w:t>
            </w:r>
            <w:r>
              <w:rPr>
                <w:rFonts w:ascii="宋体" w:hAnsi="宋体" w:eastAsia="宋体"/>
                <w:color w:val="auto"/>
                <w:sz w:val="18"/>
                <w:szCs w:val="18"/>
                <w:highlight w:val="none"/>
              </w:rPr>
              <w:t xml:space="preserve">支持违法停车抓拍功能，违停车辆捕获率白天不小于98%,晚上不小于96%；提供检测报告</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12</w:t>
            </w:r>
            <w:r/>
          </w:p>
        </w:tc>
        <w:tc>
          <w:tcPr>
            <w:tcW w:w="4449"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至少具有1个RJ45接口、1个音频输入接口、1个音频输出接口、7个报警输入接口、 2个报警输出接口、1个RS485接口和1个SD卡插槽；1路光纤接口(含光模块)；</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13</w:t>
            </w:r>
            <w:r/>
          </w:p>
        </w:tc>
        <w:tc>
          <w:tcPr>
            <w:tcW w:w="4449"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至少支持IP67的外壳防护能力；</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14</w:t>
            </w:r>
            <w:r/>
          </w:p>
        </w:tc>
        <w:tc>
          <w:tcPr>
            <w:tcW w:w="4449" w:type="pct"/>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五年质保，需提供原厂5年质保承诺书</w:t>
            </w:r>
            <w:r/>
          </w:p>
        </w:tc>
      </w:tr>
      <w:tr>
        <w:trPr>
          <w:trHeight w:val="227"/>
        </w:trPr>
        <w:tc>
          <w:tcPr>
            <w:tcW w:w="550" w:type="pct"/>
            <w:vAlign w:val="center"/>
            <w:textDirection w:val="lrTb"/>
            <w:noWrap w:val="false"/>
          </w:tcPr>
          <w:p>
            <w:pPr>
              <w:jc w:val="left"/>
              <w:rPr>
                <w:rFonts w:hint="eastAsia" w:ascii="宋体" w:hAnsi="宋体" w:eastAsia="宋体"/>
                <w:color w:val="auto"/>
                <w:sz w:val="18"/>
                <w:szCs w:val="18"/>
                <w:highlight w:val="none"/>
              </w:rPr>
            </w:pPr>
            <w:r/>
            <w:bookmarkStart w:id="17" w:name="_Toc28103149"/>
            <w:r>
              <w:rPr>
                <w:rFonts w:ascii="宋体" w:hAnsi="宋体" w:eastAsia="宋体"/>
                <w:color w:val="auto"/>
                <w:sz w:val="18"/>
                <w:szCs w:val="18"/>
                <w:highlight w:val="none"/>
              </w:rPr>
              <w:t xml:space="preserve">15</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配置1张256GB的存储卡</w:t>
            </w:r>
            <w:bookmarkEnd w:id="17"/>
            <w:r/>
          </w:p>
        </w:tc>
      </w:tr>
    </w:tbl>
    <w:p>
      <w:pPr>
        <w:jc w:val="left"/>
        <w:spacing w:line="360" w:lineRule="auto"/>
        <w:rPr>
          <w:rFonts w:hint="eastAsia" w:ascii="宋体" w:hAnsi="宋体" w:eastAsia="宋体"/>
          <w:b/>
          <w:bCs/>
          <w:color w:val="auto"/>
          <w:sz w:val="18"/>
          <w:szCs w:val="18"/>
          <w:highlight w:val="none"/>
        </w:rPr>
        <w:outlineLvl w:val="2"/>
      </w:pPr>
      <w:r>
        <w:rPr>
          <w:rFonts w:ascii="宋体" w:hAnsi="宋体" w:eastAsia="宋体"/>
          <w:b/>
          <w:bCs/>
          <w:color w:val="auto"/>
          <w:sz w:val="18"/>
          <w:szCs w:val="18"/>
          <w:highlight w:val="none"/>
        </w:rPr>
        <w:t xml:space="preserve">（</w:t>
      </w:r>
      <w:r>
        <w:rPr>
          <w:rFonts w:hint="eastAsia" w:ascii="宋体" w:hAnsi="宋体" w:eastAsia="宋体"/>
          <w:b/>
          <w:bCs/>
          <w:color w:val="auto"/>
          <w:sz w:val="18"/>
          <w:szCs w:val="18"/>
          <w:highlight w:val="none"/>
        </w:rPr>
        <w:t xml:space="preserve">9</w:t>
      </w:r>
      <w:r>
        <w:rPr>
          <w:rFonts w:ascii="宋体" w:hAnsi="宋体" w:eastAsia="宋体"/>
          <w:b/>
          <w:bCs/>
          <w:color w:val="auto"/>
          <w:sz w:val="18"/>
          <w:szCs w:val="18"/>
          <w:highlight w:val="none"/>
        </w:rPr>
        <w:t xml:space="preserve">）枪球一体摄像机</w:t>
      </w:r>
      <w:r/>
    </w:p>
    <w:tbl>
      <w:tblPr>
        <w:tblStyle w:val="95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7756"/>
      </w:tblGrid>
      <w:tr>
        <w:trPr>
          <w:trHeight w:val="23"/>
        </w:trPr>
        <w:tc>
          <w:tcPr>
            <w:tcW w:w="549"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序号</w:t>
            </w:r>
            <w:r/>
          </w:p>
        </w:tc>
        <w:tc>
          <w:tcPr>
            <w:tcW w:w="4450"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技术和功能要求</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枪球一体摄像机内置三个变焦镜头。</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摄像机靶面尺寸不小于1/1.8英寸。</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3</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设备内置2个焦距范围2.8-12mm和13-52mm的镜头</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4</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摄像机内置镜头，支持不小于40倍光学变倍，镜头最大焦距不小于240mm</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5</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枪球一体机内置不少于2个GPU芯片</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6</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支持最低照度可达彩色0.00021x,黑白0.00011x</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7</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视频分辨率与帧率不小于2560X 1440、60帧/秒</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8</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枪机红外灯开启时，可识别距设备不小于50米处的人体轮廓：枪机白光灯开启时，可识别距设各不小于30米处的人体轮廓</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9</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球机红外距离不小于250米</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10</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全景摄像头水平旋转范围：0°~230°,垂直旋转范围： -10°~90°。两个全景摄像机可以独立垂直旋转，全景摄像机水平旋转时，护罩可保持静止。 一个全景摄像机水平旋转时， 另一个全景摄像机可保持静止</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11</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设备具备遮挡跟踪功能，当设备正在跟踪的人员全身被遮挡时，设备可保持跟踪状态并持续框选提示，若4s以内被跟踪人员又出现在监控画面中，可重新开始进行水平360°跟踪</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12</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设备具备布控接力跟踪功能，多台设备外接平台并布控成功后，当布控人脸和车牌目标经过监控区域内时，监控区域所属的设备应按照人脸和车牌目标经过顺序进行跟踪，并可通过平台持续显示视频图像</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13</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设备可对检测区域内不小于40个人脸进行检测、跟踪和抓拍</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14</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具备自动标定功能，可通过客户端软件对枪机进行一键自动标定，实现枪机与球机之间检测区域的定位，标定点的数量不小于6个。</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15</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球机可抓拍距设备100米处的人脸，可抓拍距设备150米处的人体及车辆。</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16</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设备可设置8个人脸抓拍场景，可按照设置的布防时间实现各个场景之间的巡航，布防时间可设。</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17</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在混合目标检测模式下，可同时对行人、非机动车、机动车进行检测、跟踪及抓拍，可支持人脸与人体、车牌与车辆的关联显示。</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18</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在混合目标检测模式下，可同时对行人、非机动车、机动车进行分类计数，准确率不低于99%。</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19</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电压在DC36V士25%范围内变化时，设备可正常工作。工作温度范围可达-40℃-70℃，支持 IP67。支持IK10防暴等级。</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20</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 1 个 SFP 光纤接口（含光模块）、1 个 RJ45 10M/100M/1000M 自适应网口、2 个 RS-485接口</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21</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配置 1 张 256GB的存储卡</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22</w:t>
            </w:r>
            <w:r/>
          </w:p>
        </w:tc>
        <w:tc>
          <w:tcPr>
            <w:tcW w:w="4450" w:type="pct"/>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五年质保，需提供原厂5年质保承诺书</w:t>
            </w:r>
            <w:r/>
          </w:p>
        </w:tc>
      </w:tr>
    </w:tbl>
    <w:p>
      <w:pPr>
        <w:jc w:val="left"/>
        <w:spacing w:line="360" w:lineRule="auto"/>
        <w:rPr>
          <w:rFonts w:hint="eastAsia" w:ascii="宋体" w:hAnsi="宋体" w:eastAsia="宋体"/>
          <w:b/>
          <w:bCs/>
          <w:color w:val="auto"/>
          <w:sz w:val="18"/>
          <w:szCs w:val="18"/>
          <w:highlight w:val="none"/>
        </w:rPr>
        <w:outlineLvl w:val="2"/>
      </w:pPr>
      <w:r>
        <w:rPr>
          <w:rFonts w:ascii="宋体" w:hAnsi="宋体" w:eastAsia="宋体"/>
          <w:b/>
          <w:bCs/>
          <w:color w:val="auto"/>
          <w:sz w:val="18"/>
          <w:szCs w:val="18"/>
          <w:highlight w:val="none"/>
        </w:rPr>
        <w:t xml:space="preserve">（1</w:t>
      </w:r>
      <w:r>
        <w:rPr>
          <w:rFonts w:hint="eastAsia" w:ascii="宋体" w:hAnsi="宋体" w:eastAsia="宋体"/>
          <w:b/>
          <w:bCs/>
          <w:color w:val="auto"/>
          <w:sz w:val="18"/>
          <w:szCs w:val="18"/>
          <w:highlight w:val="none"/>
        </w:rPr>
        <w:t xml:space="preserve">0</w:t>
      </w:r>
      <w:r>
        <w:rPr>
          <w:rFonts w:ascii="宋体" w:hAnsi="宋体" w:eastAsia="宋体"/>
          <w:b/>
          <w:bCs/>
          <w:color w:val="auto"/>
          <w:sz w:val="18"/>
          <w:szCs w:val="18"/>
          <w:highlight w:val="none"/>
        </w:rPr>
        <w:t xml:space="preserve">）电警智能终端</w:t>
      </w:r>
      <w:r/>
    </w:p>
    <w:tbl>
      <w:tblPr>
        <w:tblStyle w:val="95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0"/>
        <w:gridCol w:w="7753"/>
      </w:tblGrid>
      <w:tr>
        <w:trPr>
          <w:trHeight w:val="23"/>
        </w:trPr>
        <w:tc>
          <w:tcPr>
            <w:tcW w:w="551"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序号</w:t>
            </w:r>
            <w:r/>
          </w:p>
        </w:tc>
        <w:tc>
          <w:tcPr>
            <w:tcW w:w="4448"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技术和功能要求</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w:t>
            </w:r>
            <w:r/>
          </w:p>
        </w:tc>
        <w:tc>
          <w:tcPr>
            <w:tcW w:w="444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 8 个 RJ45100M 网口、2 个 RJ451000M 网口；2 个 1000M SFP 接口（满配模块）；</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w:t>
            </w:r>
            <w:r/>
          </w:p>
        </w:tc>
        <w:tc>
          <w:tcPr>
            <w:tcW w:w="444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至少支持 4 个 SATA 硬盘接口，内置 1 块 3.5 寸 8TB 硬盘；；</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3</w:t>
            </w:r>
            <w:r/>
          </w:p>
        </w:tc>
        <w:tc>
          <w:tcPr>
            <w:tcW w:w="444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 1 个 DC12V 输出接口、1 个 HDMI 接口、1 个 VGA 接口、1 个 eSATA 接口，2 个 RS232接口、4 个 RS485 接口、4 个报警输入接口、4 个报警输出接口、1 个音频输入接口、1个音频输出接口、2 个 USB 接口；；</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4</w:t>
            </w:r>
            <w:r/>
          </w:p>
        </w:tc>
        <w:tc>
          <w:tcPr>
            <w:tcW w:w="444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可接入不低于 12 路高清网络摄像机；</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5</w:t>
            </w:r>
            <w:r/>
          </w:p>
        </w:tc>
        <w:tc>
          <w:tcPr>
            <w:tcW w:w="444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支持通过 VGA、HDMI 输出功能进行图片、视频实时预览，支持历时图片查看；</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6</w:t>
            </w:r>
            <w:r/>
          </w:p>
        </w:tc>
        <w:tc>
          <w:tcPr>
            <w:tcW w:w="444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支持图片、录像远程查询、备份功能；</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7</w:t>
            </w:r>
            <w:r/>
          </w:p>
        </w:tc>
        <w:tc>
          <w:tcPr>
            <w:tcW w:w="444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支持各违章图片合成；</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8</w:t>
            </w:r>
            <w:r/>
          </w:p>
        </w:tc>
        <w:tc>
          <w:tcPr>
            <w:tcW w:w="444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支持数据上传功能；</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9</w:t>
            </w:r>
            <w:r/>
          </w:p>
        </w:tc>
        <w:tc>
          <w:tcPr>
            <w:tcW w:w="444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配置图片和录像的存储空间配额，支持自动覆盖；</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10</w:t>
            </w:r>
            <w:r/>
          </w:p>
        </w:tc>
        <w:tc>
          <w:tcPr>
            <w:tcW w:w="4448"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五年质保，需提供原厂5年质保承诺书</w:t>
            </w:r>
            <w:bookmarkEnd w:id="16"/>
            <w:r/>
          </w:p>
        </w:tc>
      </w:tr>
    </w:tbl>
    <w:p>
      <w:pPr>
        <w:jc w:val="left"/>
        <w:spacing w:line="360" w:lineRule="auto"/>
        <w:rPr>
          <w:rFonts w:hint="eastAsia" w:ascii="宋体" w:hAnsi="宋体" w:eastAsia="宋体"/>
          <w:b/>
          <w:bCs/>
          <w:color w:val="auto"/>
          <w:sz w:val="18"/>
          <w:szCs w:val="18"/>
          <w:highlight w:val="none"/>
        </w:rPr>
        <w:outlineLvl w:val="2"/>
      </w:pPr>
      <w:r>
        <w:rPr>
          <w:rFonts w:hint="eastAsia" w:ascii="宋体" w:hAnsi="宋体" w:eastAsia="宋体"/>
          <w:b/>
          <w:bCs/>
          <w:color w:val="auto"/>
          <w:sz w:val="18"/>
          <w:szCs w:val="18"/>
          <w:highlight w:val="none"/>
        </w:rPr>
        <w:t xml:space="preserve">（11）标签打印及黏贴</w:t>
      </w:r>
      <w:r/>
    </w:p>
    <w:tbl>
      <w:tblPr>
        <w:tblStyle w:val="95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7702"/>
      </w:tblGrid>
      <w:tr>
        <w:trPr>
          <w:trHeight w:val="482"/>
          <w:tblHeader/>
        </w:trPr>
        <w:tc>
          <w:tcPr>
            <w:tcW w:w="582" w:type="pct"/>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序号</w:t>
            </w:r>
            <w:r/>
          </w:p>
        </w:tc>
        <w:tc>
          <w:tcPr>
            <w:tcW w:w="4418" w:type="pct"/>
            <w:vAlign w:val="center"/>
            <w:textDirection w:val="lrTb"/>
            <w:noWrap w:val="false"/>
          </w:tcPr>
          <w:p>
            <w:pPr>
              <w:jc w:val="left"/>
              <w:rPr>
                <w:rFonts w:hint="eastAsia" w:ascii="宋体" w:hAnsi="宋体" w:eastAsia="宋体" w:cs="宋体"/>
                <w:bCs/>
                <w:color w:val="auto"/>
                <w:sz w:val="18"/>
                <w:szCs w:val="18"/>
                <w:highlight w:val="none"/>
              </w:rPr>
            </w:pPr>
            <w:r>
              <w:rPr>
                <w:rFonts w:hint="eastAsia" w:ascii="宋体" w:hAnsi="宋体" w:eastAsia="宋体" w:cs="宋体"/>
                <w:color w:val="auto"/>
                <w:sz w:val="18"/>
                <w:szCs w:val="18"/>
                <w:highlight w:val="none"/>
              </w:rPr>
              <w:t xml:space="preserve">技术和功能要求</w:t>
            </w:r>
            <w:r/>
          </w:p>
        </w:tc>
      </w:tr>
      <w:tr>
        <w:trPr>
          <w:trHeight w:val="454"/>
        </w:trPr>
        <w:tc>
          <w:tcPr>
            <w:tcW w:w="582" w:type="pct"/>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tcW w:w="4418" w:type="pct"/>
            <w:vAlign w:val="center"/>
            <w:textDirection w:val="lrTb"/>
            <w:noWrap w:val="false"/>
          </w:tcPr>
          <w:p>
            <w:pPr>
              <w:jc w:val="left"/>
              <w:rPr>
                <w:rFonts w:hint="eastAsia" w:ascii="宋体" w:hAnsi="宋体" w:eastAsia="宋体" w:cs="宋体"/>
                <w:bCs/>
                <w:color w:val="auto"/>
                <w:sz w:val="18"/>
                <w:szCs w:val="18"/>
                <w:highlight w:val="none"/>
              </w:rPr>
            </w:pPr>
            <w:r>
              <w:rPr>
                <w:rFonts w:ascii="宋体" w:hAnsi="宋体" w:eastAsia="宋体"/>
                <w:bCs/>
                <w:color w:val="auto"/>
                <w:sz w:val="18"/>
                <w:szCs w:val="18"/>
                <w:highlight w:val="none"/>
              </w:rPr>
              <w:t xml:space="preserve">PC材质，须满足室外防水、耐磨、耐刮、耐撞击、耐高温、符合UL969 标准</w:t>
            </w:r>
            <w:r/>
          </w:p>
        </w:tc>
      </w:tr>
      <w:tr>
        <w:trPr>
          <w:trHeight w:val="454"/>
        </w:trPr>
        <w:tc>
          <w:tcPr>
            <w:tcW w:w="582" w:type="pct"/>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tcW w:w="4418" w:type="pct"/>
            <w:vAlign w:val="center"/>
            <w:textDirection w:val="lrTb"/>
            <w:noWrap w:val="false"/>
          </w:tcPr>
          <w:p>
            <w:pPr>
              <w:jc w:val="left"/>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耐冲洗、耐汽油、柴油等溶剂</w:t>
            </w:r>
            <w:r/>
          </w:p>
        </w:tc>
      </w:tr>
      <w:tr>
        <w:trPr>
          <w:trHeight w:val="454"/>
        </w:trPr>
        <w:tc>
          <w:tcPr>
            <w:tcW w:w="582" w:type="pct"/>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tcW w:w="4418" w:type="pct"/>
            <w:vAlign w:val="center"/>
            <w:textDirection w:val="lrTb"/>
            <w:noWrap w:val="false"/>
          </w:tcPr>
          <w:p>
            <w:pPr>
              <w:jc w:val="left"/>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背胶强度大，不腐蚀杆件漆面</w:t>
            </w:r>
            <w:r/>
          </w:p>
        </w:tc>
      </w:tr>
      <w:tr>
        <w:trPr>
          <w:trHeight w:val="454"/>
        </w:trPr>
        <w:tc>
          <w:tcPr>
            <w:tcW w:w="582" w:type="pct"/>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tcW w:w="4418" w:type="pct"/>
            <w:vAlign w:val="center"/>
            <w:textDirection w:val="lrTb"/>
            <w:noWrap w:val="false"/>
          </w:tcPr>
          <w:p>
            <w:pPr>
              <w:jc w:val="left"/>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具有超强反光性能，良好的广角性能</w:t>
            </w:r>
            <w:r/>
          </w:p>
        </w:tc>
      </w:tr>
      <w:tr>
        <w:trPr>
          <w:trHeight w:val="454"/>
        </w:trPr>
        <w:tc>
          <w:tcPr>
            <w:tcW w:w="582" w:type="pct"/>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tcW w:w="4418" w:type="pct"/>
            <w:vAlign w:val="center"/>
            <w:textDirection w:val="lrTb"/>
            <w:noWrap w:val="false"/>
          </w:tcPr>
          <w:p>
            <w:pPr>
              <w:jc w:val="left"/>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耐候性佳，在-40度至70度条件下性能正常</w:t>
            </w:r>
            <w:r/>
          </w:p>
        </w:tc>
      </w:tr>
      <w:tr>
        <w:trPr>
          <w:trHeight w:val="454"/>
        </w:trPr>
        <w:tc>
          <w:tcPr>
            <w:tcW w:w="582" w:type="pct"/>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tcW w:w="4418" w:type="pct"/>
            <w:vAlign w:val="center"/>
            <w:textDirection w:val="lrTb"/>
            <w:noWrap w:val="false"/>
          </w:tcPr>
          <w:p>
            <w:pPr>
              <w:jc w:val="left"/>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使用期不得少于5年。5年内张贴的标贴出现非人为因素造成的破损、材质形变、颜色明显变化的，由中标人负责重新制作并张贴，招标人不再支付费用</w:t>
            </w:r>
            <w:r/>
          </w:p>
        </w:tc>
      </w:tr>
      <w:tr>
        <w:trPr>
          <w:trHeight w:val="454"/>
        </w:trPr>
        <w:tc>
          <w:tcPr>
            <w:tcW w:w="582" w:type="pct"/>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tcW w:w="4418" w:type="pct"/>
            <w:vAlign w:val="center"/>
            <w:textDirection w:val="lrTb"/>
            <w:noWrap w:val="false"/>
          </w:tcPr>
          <w:p>
            <w:pPr>
              <w:jc w:val="left"/>
              <w:rPr>
                <w:rFonts w:hint="eastAsia" w:ascii="宋体" w:hAnsi="宋体" w:eastAsia="宋体" w:cs="宋体"/>
                <w:bCs/>
                <w:color w:val="auto"/>
                <w:sz w:val="18"/>
                <w:szCs w:val="18"/>
                <w:highlight w:val="none"/>
              </w:rPr>
            </w:pPr>
            <w:r>
              <w:rPr>
                <w:rFonts w:hint="eastAsia" w:ascii="宋体" w:hAnsi="宋体" w:eastAsia="宋体"/>
                <w:color w:val="auto"/>
                <w:sz w:val="18"/>
                <w:szCs w:val="18"/>
                <w:highlight w:val="none"/>
              </w:rPr>
              <w:t xml:space="preserve">五年质保</w:t>
            </w:r>
            <w:r/>
          </w:p>
        </w:tc>
      </w:tr>
      <w:tr>
        <w:trPr>
          <w:trHeight w:val="454"/>
        </w:trPr>
        <w:tc>
          <w:tcPr>
            <w:tcW w:w="582" w:type="pct"/>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c>
          <w:tcPr>
            <w:tcW w:w="441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mc:AlternateContent>
                <mc:Choice Requires="wpg">
                  <w:drawing>
                    <wp:inline xmlns:wp="http://schemas.openxmlformats.org/drawingml/2006/wordprocessingDrawing" distT="0" distB="0" distL="0" distR="0">
                      <wp:extent cx="1047750" cy="1308100"/>
                      <wp:effectExtent l="0" t="0" r="0" b="635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220580" name="图片 1"/>
                              <pic:cNvPicPr>
                                <a:picLocks noChangeAspect="1"/>
                              </pic:cNvPicPr>
                              <pic:nvPr/>
                            </pic:nvPicPr>
                            <pic:blipFill>
                              <a:blip r:embed="rId27"/>
                              <a:stretch/>
                            </pic:blipFill>
                            <pic:spPr bwMode="auto">
                              <a:xfrm>
                                <a:off x="0" y="0"/>
                                <a:ext cx="1050252" cy="13114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2.5pt;height:103.0pt;mso-wrap-distance-left:0.0pt;mso-wrap-distance-top:0.0pt;mso-wrap-distance-right:0.0pt;mso-wrap-distance-bottom:0.0pt;" stroked="f">
                      <v:path textboxrect="0,0,0,0"/>
                      <v:imagedata r:id="rId27" o:title=""/>
                    </v:shape>
                  </w:pict>
                </mc:Fallback>
              </mc:AlternateContent>
            </w:r>
            <w:r>
              <w:rPr>
                <w:rFonts w:hint="eastAsia" w:ascii="宋体" w:hAnsi="宋体" w:eastAsia="宋体"/>
                <w:color w:val="auto"/>
                <w:sz w:val="18"/>
                <w:szCs w:val="18"/>
                <w:highlight w:val="none"/>
              </w:rPr>
              <w:t xml:space="preserve">最终尺寸及颜色以交警要求为准</w:t>
            </w:r>
            <w:r/>
          </w:p>
        </w:tc>
      </w:tr>
    </w:tbl>
    <w:p>
      <w:pPr>
        <w:pStyle w:val="950"/>
        <w:spacing w:before="72" w:after="24"/>
        <w:rPr>
          <w:rFonts w:hint="eastAsia" w:eastAsia="宋体" w:cs="宋体"/>
          <w:bCs/>
          <w:color w:val="auto"/>
          <w:sz w:val="24"/>
          <w:szCs w:val="24"/>
          <w:highlight w:val="none"/>
          <w:lang w:val="zh-CN"/>
        </w:rPr>
      </w:pPr>
      <w:r>
        <w:rPr>
          <w:rFonts w:hint="eastAsia" w:eastAsia="宋体" w:cs="宋体"/>
          <w:bCs/>
          <w:color w:val="auto"/>
          <w:sz w:val="24"/>
          <w:szCs w:val="24"/>
          <w:highlight w:val="none"/>
          <w:lang w:val="zh-CN"/>
        </w:rPr>
        <w:t xml:space="preserve">4、顺达路西延(泰通路-工农北路) 设施参数要求</w:t>
      </w:r>
      <w:r/>
    </w:p>
    <w:p>
      <w:pPr>
        <w:jc w:val="left"/>
        <w:spacing w:line="360" w:lineRule="auto"/>
        <w:rPr>
          <w:rFonts w:hint="eastAsia" w:ascii="宋体" w:hAnsi="宋体" w:eastAsia="宋体"/>
          <w:b/>
          <w:bCs/>
          <w:color w:val="auto"/>
          <w:sz w:val="18"/>
          <w:szCs w:val="18"/>
          <w:highlight w:val="none"/>
        </w:rPr>
        <w:outlineLvl w:val="2"/>
      </w:pPr>
      <w:r>
        <w:rPr>
          <w:rFonts w:ascii="宋体" w:hAnsi="宋体" w:eastAsia="宋体"/>
          <w:b/>
          <w:bCs/>
          <w:color w:val="auto"/>
          <w:sz w:val="18"/>
          <w:szCs w:val="18"/>
          <w:highlight w:val="none"/>
        </w:rPr>
        <w:t xml:space="preserve">（1）反向电警抓拍相机（含人脸识别引擎）</w:t>
      </w:r>
      <w:r/>
    </w:p>
    <w:tbl>
      <w:tblPr>
        <w:tblStyle w:val="95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7965"/>
      </w:tblGrid>
      <w:tr>
        <w:trPr>
          <w:trHeight w:val="23"/>
        </w:trPr>
        <w:tc>
          <w:tcPr>
            <w:tcW w:w="432"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序号</w:t>
            </w:r>
            <w:r/>
          </w:p>
        </w:tc>
        <w:tc>
          <w:tcPr>
            <w:tcW w:w="4568"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技术和功能要求</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w:t>
            </w:r>
            <w:r/>
          </w:p>
        </w:tc>
        <w:tc>
          <w:tcPr>
            <w:tcW w:w="456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包含摄像机、高清镜头、室外防护罩、防雷器、电源适配器等；</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w:t>
            </w:r>
            <w:r/>
          </w:p>
        </w:tc>
        <w:tc>
          <w:tcPr>
            <w:tcW w:w="456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不低于1英寸CMOS；</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3</w:t>
            </w:r>
            <w:r/>
          </w:p>
        </w:tc>
        <w:tc>
          <w:tcPr>
            <w:tcW w:w="456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采用智能图像处理技术（包括但不限于多帧图像融合、多个图像传感器、多个图像处理芯片等技术）可分别输出黑白及彩色图像，可对视频图像和抓拍图片进行融合输出；</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4</w:t>
            </w:r>
            <w:r/>
          </w:p>
        </w:tc>
        <w:tc>
          <w:tcPr>
            <w:tcW w:w="456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最大图像尺寸：不低于4096×2160像素；</w:t>
            </w:r>
            <w:r/>
          </w:p>
        </w:tc>
      </w:tr>
      <w:tr>
        <w:trPr>
          <w:trHeight w:val="90"/>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5</w:t>
            </w:r>
            <w:r/>
          </w:p>
        </w:tc>
        <w:tc>
          <w:tcPr>
            <w:tcW w:w="456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可通过RS485联动爆闪灯，夜间联动红外爆闪灯，白天可以联动白光爆闪灯；</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6</w:t>
            </w:r>
            <w:r/>
          </w:p>
        </w:tc>
        <w:tc>
          <w:tcPr>
            <w:tcW w:w="456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视频编码方式支持：H.265、H.264；</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7</w:t>
            </w:r>
            <w:r/>
          </w:p>
        </w:tc>
        <w:tc>
          <w:tcPr>
            <w:tcW w:w="456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支持车辆捕获功能，白天准确率不低于99%，晚上捕获率不低于99%；</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8</w:t>
            </w:r>
            <w:r/>
          </w:p>
        </w:tc>
        <w:tc>
          <w:tcPr>
            <w:tcW w:w="456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支持车辆识别功能，白天准确率不低于99%，晚上捕获率不低于99%；</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9</w:t>
            </w:r>
            <w:r/>
          </w:p>
        </w:tc>
        <w:tc>
          <w:tcPr>
            <w:tcW w:w="456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支持识别多种车型，包括轻型普通货车、小型轿车、小型客车、小大型普通客车、面包车等，准确率不低于97%；</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10</w:t>
            </w:r>
            <w:r/>
          </w:p>
        </w:tc>
        <w:tc>
          <w:tcPr>
            <w:tcW w:w="456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支持驾驶室人脸抠图；</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11</w:t>
            </w:r>
            <w:r/>
          </w:p>
        </w:tc>
        <w:tc>
          <w:tcPr>
            <w:tcW w:w="456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支持识别车头多种车辆子品牌，白天识别率不低于98%，晚上识别率不低于95%；</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12</w:t>
            </w:r>
            <w:r/>
          </w:p>
        </w:tc>
        <w:tc>
          <w:tcPr>
            <w:tcW w:w="456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至少支持250种车标识别，白天准确率不低于98%，晚上准确率不低于98%；</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13</w:t>
            </w:r>
            <w:r/>
          </w:p>
        </w:tc>
        <w:tc>
          <w:tcPr>
            <w:tcW w:w="456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至少支持13种车身颜色识别，包括：黑、白、灰、红、绿、蓝、黄、粉、紫、棕、青、金 橙，白天准确率不低于99%，晚上准确率不低于95%；</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14</w:t>
            </w:r>
            <w:r/>
          </w:p>
        </w:tc>
        <w:tc>
          <w:tcPr>
            <w:tcW w:w="456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可在抓拍图片上叠加抓拍时间、地点、车道号、限速值、车长、车速、车身颜色、车牌号码 等信息；</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15</w:t>
            </w:r>
            <w:r/>
          </w:p>
        </w:tc>
        <w:tc>
          <w:tcPr>
            <w:tcW w:w="456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至少1个SFP光纤接口(含光模块)、1个RJ4510M/100M/1000M自适应网口、2个RS-485接口；</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16</w:t>
            </w:r>
            <w:r/>
          </w:p>
        </w:tc>
        <w:tc>
          <w:tcPr>
            <w:tcW w:w="456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外部触发不低于7路，可作为补光灯同步输出控制，具有外部频率源同步接口，可与外部灯光 或红绿灯同步；</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17</w:t>
            </w:r>
            <w:r/>
          </w:p>
        </w:tc>
        <w:tc>
          <w:tcPr>
            <w:tcW w:w="456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至少支持IP66的外壳防护能力；</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18</w:t>
            </w:r>
            <w:r/>
          </w:p>
        </w:tc>
        <w:tc>
          <w:tcPr>
            <w:tcW w:w="4568"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五年质保，需提供原厂5年质保承诺书</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19</w:t>
            </w:r>
            <w:r/>
          </w:p>
        </w:tc>
        <w:tc>
          <w:tcPr>
            <w:tcW w:w="4568"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配置一张256GB存储卡</w:t>
            </w:r>
            <w:r/>
          </w:p>
        </w:tc>
      </w:tr>
    </w:tbl>
    <w:p>
      <w:pPr>
        <w:jc w:val="left"/>
        <w:spacing w:line="360" w:lineRule="auto"/>
        <w:rPr>
          <w:rFonts w:hint="eastAsia" w:ascii="宋体" w:hAnsi="宋体" w:eastAsia="宋体"/>
          <w:b/>
          <w:bCs/>
          <w:color w:val="auto"/>
          <w:sz w:val="18"/>
          <w:szCs w:val="18"/>
          <w:highlight w:val="none"/>
        </w:rPr>
        <w:outlineLvl w:val="2"/>
      </w:pPr>
      <w:r>
        <w:rPr>
          <w:rFonts w:ascii="宋体" w:hAnsi="宋体" w:eastAsia="宋体"/>
          <w:b/>
          <w:bCs/>
          <w:color w:val="auto"/>
          <w:sz w:val="18"/>
          <w:szCs w:val="18"/>
          <w:highlight w:val="none"/>
        </w:rPr>
        <w:t xml:space="preserve">（2）正向电警抓拍相机（不礼让行人抓拍）</w:t>
      </w:r>
      <w:r/>
    </w:p>
    <w:tbl>
      <w:tblPr>
        <w:tblStyle w:val="95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7757"/>
      </w:tblGrid>
      <w:tr>
        <w:trPr>
          <w:trHeight w:val="23"/>
        </w:trPr>
        <w:tc>
          <w:tcPr>
            <w:tcW w:w="551"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序号</w:t>
            </w:r>
            <w:r/>
          </w:p>
        </w:tc>
        <w:tc>
          <w:tcPr>
            <w:tcW w:w="4449"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技术和功能要求</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包含摄像机、高清镜头、室外防护罩、内置补光灯、相机内置网络信号防雷器、电源适配器等；</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不低于1英寸CMOS；</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3</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采用智能图像处理技术（包括但不限于多帧图像融合、多个图像传感器、多个图像处理芯片等技术）可分别输出黑白及彩色图像，可对视频图像和抓拍图片进行融合输出；</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4</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最大图像尺寸：不低于4096×2160像素；</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5</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全天候输出彩色图像；</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6</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视频编码方式支持：H.265、H.264；</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7</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支持车辆捕获功能，白天准确率不低于97%，晚上捕获率不低于95%；</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8</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支持车辆识别功能，白天准确率不低于97%，晚上捕获率不低于95%；</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9</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支持识别多种车型，包括轻型普通货车、小型轿车、小型客车、小大型普通客车、面包车等，准确率不低于97%；</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10</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支持识别车尾车辆子品牌，白天识别率不低于98%，晚上识别率不低于95%；</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11</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支持不按车道行驶功能，白天捕获率不低于98%，夜间捕获率不低于98%；</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12</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支持违法掉头抓拍功能，对违法掉头行为进行抓拍；</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13</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支持违法占用应急车道/非机动车道抓拍功能；</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14</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支持新能源车牌识别，白天准确率不低于97%，晚上准确率不低于95%；</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15</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至少支持13种车身颜色识别，包括：黑、白、灰、红、绿、蓝、黄、粉、紫、棕、青、金、橙，白天准确率不低于99%，晚上准确率不低于95%；</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16</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支持闯红灯抓拍功能，捕获率不低于97%；</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17</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可在抓拍图片上叠加抓拍时间、地点、车道号、限速值、车速、车身颜色、车牌号码等信息；</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18</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至少1个SFP光纤接口（含光模块）、1个RJ45 10M/100M/1000M自适应网口、2个RS-485接口</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19</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外部触发不低于7路,可作为补光灯同步输出控制；</w:t>
            </w:r>
            <w:r/>
          </w:p>
        </w:tc>
      </w:tr>
      <w:tr>
        <w:trPr>
          <w:trHeight w:val="90"/>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20</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至少支持IP65的外壳防护能力；</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21</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亮度（灰度）鉴别等级不低于12级</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22</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支持透雾、强光抑制等功能</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23</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五年质保，需提供原厂5年质保承诺书</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24</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配置一张256GB存储卡</w:t>
            </w:r>
            <w:r/>
          </w:p>
        </w:tc>
      </w:tr>
    </w:tbl>
    <w:p>
      <w:pPr>
        <w:jc w:val="left"/>
        <w:spacing w:line="360" w:lineRule="auto"/>
        <w:rPr>
          <w:rFonts w:hint="eastAsia" w:ascii="宋体" w:hAnsi="宋体" w:eastAsia="宋体"/>
          <w:b/>
          <w:bCs/>
          <w:color w:val="auto"/>
          <w:sz w:val="18"/>
          <w:szCs w:val="18"/>
          <w:highlight w:val="none"/>
        </w:rPr>
        <w:outlineLvl w:val="2"/>
      </w:pPr>
      <w:r>
        <w:rPr>
          <w:rFonts w:ascii="宋体" w:hAnsi="宋体" w:eastAsia="宋体"/>
          <w:b/>
          <w:bCs/>
          <w:color w:val="auto"/>
          <w:sz w:val="18"/>
          <w:szCs w:val="18"/>
          <w:highlight w:val="none"/>
        </w:rPr>
        <w:t xml:space="preserve">（3）环保红外频闪一体灯（暖光）</w:t>
      </w:r>
      <w:r/>
    </w:p>
    <w:tbl>
      <w:tblPr>
        <w:tblStyle w:val="95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2"/>
        <w:gridCol w:w="7755"/>
      </w:tblGrid>
      <w:tr>
        <w:trPr>
          <w:trHeight w:val="23"/>
        </w:trPr>
        <w:tc>
          <w:tcPr>
            <w:tcW w:w="552"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序号</w:t>
            </w:r>
            <w:r/>
          </w:p>
        </w:tc>
        <w:tc>
          <w:tcPr>
            <w:tcW w:w="4447"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技术和功能要求</w:t>
            </w:r>
            <w:r/>
          </w:p>
        </w:tc>
      </w:tr>
      <w:tr>
        <w:trPr>
          <w:trHeight w:val="23"/>
        </w:trPr>
        <w:tc>
          <w:tcPr>
            <w:tcW w:w="55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w:t>
            </w:r>
            <w:r/>
          </w:p>
        </w:tc>
        <w:tc>
          <w:tcPr>
            <w:tcW w:w="757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支持白天可见光、晚上红外光补光模式；</w:t>
            </w:r>
            <w:r/>
          </w:p>
        </w:tc>
      </w:tr>
      <w:tr>
        <w:trPr>
          <w:trHeight w:val="23"/>
        </w:trPr>
        <w:tc>
          <w:tcPr>
            <w:tcW w:w="55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w:t>
            </w:r>
            <w:r/>
          </w:p>
        </w:tc>
        <w:tc>
          <w:tcPr>
            <w:tcW w:w="757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至少支持IP65的外壳防护能力；</w:t>
            </w:r>
            <w:r/>
          </w:p>
        </w:tc>
      </w:tr>
      <w:tr>
        <w:trPr>
          <w:trHeight w:val="23"/>
        </w:trPr>
        <w:tc>
          <w:tcPr>
            <w:tcW w:w="55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3</w:t>
            </w:r>
            <w:r/>
          </w:p>
        </w:tc>
        <w:tc>
          <w:tcPr>
            <w:tcW w:w="757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最小闪光间隔不低于65ms；</w:t>
            </w:r>
            <w:r/>
          </w:p>
        </w:tc>
      </w:tr>
      <w:tr>
        <w:trPr>
          <w:trHeight w:val="23"/>
        </w:trPr>
        <w:tc>
          <w:tcPr>
            <w:tcW w:w="55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4</w:t>
            </w:r>
            <w:r/>
          </w:p>
        </w:tc>
        <w:tc>
          <w:tcPr>
            <w:tcW w:w="7579" w:type="dxa"/>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五年质保，需提供原厂5年质保承诺书</w:t>
            </w:r>
            <w:r/>
          </w:p>
        </w:tc>
      </w:tr>
      <w:tr>
        <w:trPr>
          <w:trHeight w:val="23"/>
        </w:trPr>
        <w:tc>
          <w:tcPr>
            <w:tcW w:w="55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5</w:t>
            </w:r>
            <w:r/>
          </w:p>
        </w:tc>
        <w:tc>
          <w:tcPr>
            <w:tcW w:w="7579" w:type="dxa"/>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符合《交通技术监控成像补光装置通用技术条件》</w:t>
            </w:r>
            <w:r>
              <w:rPr>
                <w:rFonts w:hint="eastAsia" w:ascii="宋体" w:hAnsi="宋体" w:eastAsia="宋体"/>
                <w:color w:val="auto"/>
                <w:sz w:val="18"/>
                <w:szCs w:val="18"/>
                <w:highlight w:val="none"/>
              </w:rPr>
              <w:t xml:space="preserve">中一级标准</w:t>
            </w:r>
            <w:r/>
          </w:p>
        </w:tc>
      </w:tr>
    </w:tbl>
    <w:p>
      <w:pPr>
        <w:jc w:val="left"/>
        <w:spacing w:line="360" w:lineRule="auto"/>
        <w:rPr>
          <w:rFonts w:hint="eastAsia" w:ascii="宋体" w:hAnsi="宋体" w:eastAsia="宋体"/>
          <w:b/>
          <w:bCs/>
          <w:color w:val="auto"/>
          <w:sz w:val="18"/>
          <w:szCs w:val="18"/>
          <w:highlight w:val="none"/>
        </w:rPr>
        <w:outlineLvl w:val="2"/>
      </w:pPr>
      <w:r>
        <w:rPr>
          <w:rFonts w:ascii="宋体" w:hAnsi="宋体" w:eastAsia="宋体"/>
          <w:b/>
          <w:bCs/>
          <w:color w:val="auto"/>
          <w:sz w:val="18"/>
          <w:szCs w:val="18"/>
          <w:highlight w:val="none"/>
        </w:rPr>
        <w:t xml:space="preserve">（4）环保环境补光灯</w:t>
      </w:r>
      <w:r/>
    </w:p>
    <w:tbl>
      <w:tblPr>
        <w:tblStyle w:val="95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7965"/>
      </w:tblGrid>
      <w:tr>
        <w:trPr>
          <w:trHeight w:val="23"/>
        </w:trPr>
        <w:tc>
          <w:tcPr>
            <w:tcW w:w="432"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序号</w:t>
            </w:r>
            <w:r/>
          </w:p>
        </w:tc>
        <w:tc>
          <w:tcPr>
            <w:tcW w:w="4568"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技术和功能要求</w:t>
            </w:r>
            <w:r/>
          </w:p>
        </w:tc>
      </w:tr>
      <w:tr>
        <w:trPr>
          <w:trHeight w:val="90"/>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w:t>
            </w:r>
            <w:r/>
          </w:p>
        </w:tc>
        <w:tc>
          <w:tcPr>
            <w:tcW w:w="4568"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光源类型：LED，单车道环境补光；</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w:t>
            </w:r>
            <w:r/>
          </w:p>
        </w:tc>
        <w:tc>
          <w:tcPr>
            <w:tcW w:w="4568"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LED灯珠数量：≥16颗；</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3</w:t>
            </w:r>
            <w:r/>
          </w:p>
        </w:tc>
        <w:tc>
          <w:tcPr>
            <w:tcW w:w="4568"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最佳补光距离：16米-25米；</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4</w:t>
            </w:r>
            <w:r/>
          </w:p>
        </w:tc>
        <w:tc>
          <w:tcPr>
            <w:tcW w:w="4568"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触发方式：支持5V电平量触发(可选配开关量触发)；</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5</w:t>
            </w:r>
            <w:r/>
          </w:p>
        </w:tc>
        <w:tc>
          <w:tcPr>
            <w:tcW w:w="4568"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支持补光灯自带光敏控制，在低照度下自动开启：</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6</w:t>
            </w:r>
            <w:r/>
          </w:p>
        </w:tc>
        <w:tc>
          <w:tcPr>
            <w:tcW w:w="4568"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支持自闪、跟随、自动频闪模式：</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7</w:t>
            </w:r>
            <w:r/>
          </w:p>
        </w:tc>
        <w:tc>
          <w:tcPr>
            <w:tcW w:w="4568"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频率0-250HZ可调，支持通过调整占空比1%~39%进行亮度调节：</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8</w:t>
            </w:r>
            <w:r/>
          </w:p>
        </w:tc>
        <w:tc>
          <w:tcPr>
            <w:tcW w:w="4568"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支持频率及占空比保护功能，支持爆闪功能，爆闪持续时间、延迟时间及最小间隔时间可设；</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9</w:t>
            </w:r>
            <w:r/>
          </w:p>
        </w:tc>
        <w:tc>
          <w:tcPr>
            <w:tcW w:w="4568"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支持通过同步输出端口级联；</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10</w:t>
            </w:r>
            <w:r/>
          </w:p>
        </w:tc>
        <w:tc>
          <w:tcPr>
            <w:tcW w:w="4568"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支持通过RS485远程控制补光灯的亮度、开启/关闭；</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11</w:t>
            </w:r>
            <w:r/>
          </w:p>
        </w:tc>
        <w:tc>
          <w:tcPr>
            <w:tcW w:w="4568"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支持通过RS485对补光灯升级程序；</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12</w:t>
            </w:r>
            <w:r/>
          </w:p>
        </w:tc>
        <w:tc>
          <w:tcPr>
            <w:tcW w:w="4568"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支持远程显示补光灯故障、正常、开启、关闭等工作状态；</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13</w:t>
            </w:r>
            <w:r/>
          </w:p>
        </w:tc>
        <w:tc>
          <w:tcPr>
            <w:tcW w:w="4568"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频闪响应时间不大于20us；</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14</w:t>
            </w:r>
            <w:r/>
          </w:p>
        </w:tc>
        <w:tc>
          <w:tcPr>
            <w:tcW w:w="4568"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防护等级：IP65；</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15</w:t>
            </w:r>
            <w:r/>
          </w:p>
        </w:tc>
        <w:tc>
          <w:tcPr>
            <w:tcW w:w="4568"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符合《交通技术监控成像补光装置通用技术条件》中一级标准</w:t>
            </w:r>
            <w:r>
              <w:rPr>
                <w:rFonts w:hint="eastAsia" w:ascii="宋体" w:hAnsi="宋体" w:eastAsia="宋体"/>
                <w:color w:val="auto"/>
                <w:sz w:val="18"/>
                <w:szCs w:val="18"/>
                <w:highlight w:val="none"/>
              </w:rPr>
              <w:t xml:space="preserve">；</w:t>
            </w:r>
            <w:r/>
          </w:p>
        </w:tc>
      </w:tr>
      <w:tr>
        <w:trPr>
          <w:trHeight w:val="23"/>
        </w:trPr>
        <w:tc>
          <w:tcPr>
            <w:tcW w:w="432"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16</w:t>
            </w:r>
            <w:r/>
          </w:p>
        </w:tc>
        <w:tc>
          <w:tcPr>
            <w:tcW w:w="4568" w:type="pct"/>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五年质保，需提供原厂5年质保承诺书。</w:t>
            </w:r>
            <w:r/>
          </w:p>
        </w:tc>
      </w:tr>
    </w:tbl>
    <w:p>
      <w:pPr>
        <w:jc w:val="left"/>
        <w:spacing w:line="360" w:lineRule="auto"/>
        <w:rPr>
          <w:rFonts w:hint="eastAsia" w:ascii="宋体" w:hAnsi="宋体" w:eastAsia="宋体"/>
          <w:b/>
          <w:bCs/>
          <w:color w:val="auto"/>
          <w:sz w:val="18"/>
          <w:szCs w:val="18"/>
          <w:highlight w:val="none"/>
        </w:rPr>
        <w:outlineLvl w:val="2"/>
      </w:pPr>
      <w:r>
        <w:rPr>
          <w:rFonts w:hint="eastAsia" w:ascii="宋体" w:hAnsi="宋体" w:eastAsia="宋体"/>
          <w:b/>
          <w:bCs/>
          <w:color w:val="auto"/>
          <w:sz w:val="18"/>
          <w:szCs w:val="18"/>
          <w:highlight w:val="none"/>
        </w:rPr>
        <w:t xml:space="preserve">（5）</w:t>
      </w:r>
      <w:r>
        <w:rPr>
          <w:rFonts w:ascii="宋体" w:hAnsi="宋体" w:eastAsia="宋体"/>
          <w:b/>
          <w:bCs/>
          <w:color w:val="auto"/>
          <w:sz w:val="18"/>
          <w:szCs w:val="18"/>
          <w:highlight w:val="none"/>
        </w:rPr>
        <w:t xml:space="preserve">工业级汇聚交换机</w:t>
      </w:r>
      <w:r/>
    </w:p>
    <w:tbl>
      <w:tblPr>
        <w:tblStyle w:val="95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8008"/>
      </w:tblGrid>
      <w:tr>
        <w:trPr>
          <w:trHeight w:val="420"/>
        </w:trPr>
        <w:tc>
          <w:tcPr>
            <w:shd w:val="clear" w:color="000000" w:fill="ffffff"/>
            <w:tcW w:w="407"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序号</w:t>
            </w:r>
            <w:r/>
          </w:p>
        </w:tc>
        <w:tc>
          <w:tcPr>
            <w:shd w:val="clear" w:color="000000" w:fill="ffffff"/>
            <w:tcW w:w="4593"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技术和功能要求</w:t>
            </w:r>
            <w:r/>
          </w:p>
        </w:tc>
      </w:tr>
      <w:tr>
        <w:trPr>
          <w:trHeight w:val="420"/>
        </w:trPr>
        <w:tc>
          <w:tcPr>
            <w:tcW w:w="40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w:t>
            </w:r>
            <w:r/>
          </w:p>
        </w:tc>
        <w:tc>
          <w:tcPr>
            <w:tcW w:w="4593"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配置24个千兆 SFP口(满配模块与摄像机兼容、端口速率自适应)、不少于4个</w:t>
            </w:r>
            <w:r>
              <w:rPr>
                <w:rFonts w:ascii="宋体" w:hAnsi="宋体" w:eastAsia="宋体"/>
                <w:color w:val="auto"/>
                <w:sz w:val="18"/>
                <w:szCs w:val="18"/>
                <w:highlight w:val="none"/>
              </w:rPr>
              <w:t xml:space="preserve">Combo口</w:t>
            </w:r>
            <w:r>
              <w:rPr>
                <w:rFonts w:hint="eastAsia" w:ascii="宋体" w:hAnsi="宋体" w:eastAsia="宋体"/>
                <w:color w:val="auto"/>
                <w:sz w:val="18"/>
                <w:szCs w:val="18"/>
                <w:highlight w:val="none"/>
              </w:rPr>
              <w:t xml:space="preserve">，4个万兆SFP+口，1个网管口；</w:t>
            </w:r>
            <w:r/>
          </w:p>
        </w:tc>
      </w:tr>
      <w:tr>
        <w:trPr>
          <w:trHeight w:val="90"/>
        </w:trPr>
        <w:tc>
          <w:tcPr>
            <w:tcW w:w="40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w:t>
            </w:r>
            <w:r/>
          </w:p>
        </w:tc>
        <w:tc>
          <w:tcPr>
            <w:tcW w:w="4593"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整机交换容量≥144Gbps，包转发率≥102MppS，MAC≥16K；</w:t>
            </w:r>
            <w:r/>
          </w:p>
        </w:tc>
      </w:tr>
      <w:tr>
        <w:trPr>
          <w:trHeight w:val="90"/>
        </w:trPr>
        <w:tc>
          <w:tcPr>
            <w:tcW w:w="40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3</w:t>
            </w:r>
            <w:r/>
          </w:p>
        </w:tc>
        <w:tc>
          <w:tcPr>
            <w:tcW w:w="4593"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物理接口：光接口LC、光电复合接口；</w:t>
            </w:r>
            <w:r/>
          </w:p>
        </w:tc>
      </w:tr>
      <w:tr>
        <w:trPr>
          <w:trHeight w:val="90"/>
        </w:trPr>
        <w:tc>
          <w:tcPr>
            <w:tcW w:w="40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4</w:t>
            </w:r>
            <w:r/>
          </w:p>
        </w:tc>
        <w:tc>
          <w:tcPr>
            <w:tcW w:w="4593"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传输距离：单模：0~25km；</w:t>
            </w:r>
            <w:r/>
          </w:p>
        </w:tc>
      </w:tr>
      <w:tr>
        <w:trPr>
          <w:trHeight w:val="349"/>
        </w:trPr>
        <w:tc>
          <w:tcPr>
            <w:tcW w:w="40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5</w:t>
            </w:r>
            <w:r/>
          </w:p>
        </w:tc>
        <w:tc>
          <w:tcPr>
            <w:tcW w:w="4593"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支持VLAN划分、</w:t>
            </w:r>
            <w:r>
              <w:rPr>
                <w:rFonts w:ascii="宋体" w:hAnsi="宋体" w:eastAsia="宋体"/>
                <w:color w:val="auto"/>
                <w:sz w:val="18"/>
                <w:szCs w:val="18"/>
                <w:highlight w:val="none"/>
              </w:rPr>
              <w:t xml:space="preserve">端口流量分析</w:t>
            </w:r>
            <w:r>
              <w:rPr>
                <w:rFonts w:hint="eastAsia" w:ascii="宋体" w:hAnsi="宋体" w:eastAsia="宋体"/>
                <w:color w:val="auto"/>
                <w:sz w:val="18"/>
                <w:szCs w:val="18"/>
                <w:highlight w:val="none"/>
              </w:rPr>
              <w:t xml:space="preserve">；</w:t>
            </w:r>
            <w:r/>
          </w:p>
        </w:tc>
      </w:tr>
      <w:tr>
        <w:trPr>
          <w:trHeight w:val="187"/>
        </w:trPr>
        <w:tc>
          <w:tcPr>
            <w:tcW w:w="40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6</w:t>
            </w:r>
            <w:r/>
          </w:p>
        </w:tc>
        <w:tc>
          <w:tcPr>
            <w:tcW w:w="4593"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支持生成树STP/RSTP/MSTP，环网自愈时间小于50毫秒</w:t>
            </w:r>
            <w:r>
              <w:rPr>
                <w:rFonts w:ascii="宋体" w:hAnsi="宋体" w:eastAsia="宋体"/>
                <w:color w:val="auto"/>
                <w:sz w:val="18"/>
                <w:szCs w:val="18"/>
                <w:highlight w:val="none"/>
              </w:rPr>
              <w:t xml:space="preserve">，</w:t>
            </w:r>
            <w:r>
              <w:rPr>
                <w:rFonts w:hint="eastAsia" w:ascii="宋体" w:hAnsi="宋体" w:eastAsia="宋体"/>
                <w:color w:val="auto"/>
                <w:sz w:val="18"/>
                <w:szCs w:val="18"/>
                <w:highlight w:val="none"/>
              </w:rPr>
              <w:t xml:space="preserve">支持</w:t>
            </w:r>
            <w:r>
              <w:rPr>
                <w:rFonts w:ascii="宋体" w:hAnsi="宋体" w:eastAsia="宋体"/>
                <w:color w:val="auto"/>
                <w:sz w:val="18"/>
                <w:szCs w:val="18"/>
                <w:highlight w:val="none"/>
              </w:rPr>
              <w:t xml:space="preserve">异常端口自动重启恢</w:t>
            </w:r>
            <w:r>
              <w:rPr>
                <w:rFonts w:hint="eastAsia" w:ascii="宋体" w:hAnsi="宋体" w:eastAsia="宋体"/>
                <w:color w:val="auto"/>
                <w:sz w:val="18"/>
                <w:szCs w:val="18"/>
                <w:highlight w:val="none"/>
              </w:rPr>
              <w:t xml:space="preserve">复或手动恢复；</w:t>
            </w:r>
            <w:r/>
          </w:p>
        </w:tc>
      </w:tr>
      <w:tr>
        <w:trPr>
          <w:trHeight w:val="203"/>
        </w:trPr>
        <w:tc>
          <w:tcPr>
            <w:tcW w:w="40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7</w:t>
            </w:r>
            <w:r/>
          </w:p>
        </w:tc>
        <w:tc>
          <w:tcPr>
            <w:tcW w:w="4593"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支持端口安全，IP+MAC+端口绑定，远程控制端口开启和关闭；</w:t>
            </w:r>
            <w:r/>
          </w:p>
        </w:tc>
      </w:tr>
      <w:tr>
        <w:trPr>
          <w:trHeight w:val="420"/>
        </w:trPr>
        <w:tc>
          <w:tcPr>
            <w:tcW w:w="40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8</w:t>
            </w:r>
            <w:r/>
          </w:p>
        </w:tc>
        <w:tc>
          <w:tcPr>
            <w:tcW w:w="4593"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支持QOS，</w:t>
            </w:r>
            <w:r>
              <w:rPr>
                <w:rFonts w:ascii="宋体" w:hAnsi="宋体" w:eastAsia="宋体"/>
                <w:color w:val="auto"/>
                <w:sz w:val="18"/>
                <w:szCs w:val="18"/>
                <w:highlight w:val="none"/>
              </w:rPr>
              <w:t xml:space="preserve">支持链路聚合功能</w:t>
            </w:r>
            <w:r>
              <w:rPr>
                <w:rFonts w:hint="eastAsia" w:ascii="宋体" w:hAnsi="宋体" w:eastAsia="宋体"/>
                <w:color w:val="auto"/>
                <w:sz w:val="18"/>
                <w:szCs w:val="18"/>
                <w:highlight w:val="none"/>
              </w:rPr>
              <w:t xml:space="preserve">、LLDP</w:t>
            </w:r>
            <w:r>
              <w:rPr>
                <w:rFonts w:ascii="宋体" w:hAnsi="宋体" w:eastAsia="宋体"/>
                <w:color w:val="auto"/>
                <w:sz w:val="18"/>
                <w:szCs w:val="18"/>
                <w:highlight w:val="none"/>
              </w:rPr>
              <w:t xml:space="preserve">协议功</w:t>
            </w:r>
            <w:r>
              <w:rPr>
                <w:rFonts w:hint="eastAsia" w:ascii="宋体" w:hAnsi="宋体" w:eastAsia="宋体"/>
                <w:color w:val="auto"/>
                <w:sz w:val="18"/>
                <w:szCs w:val="18"/>
                <w:highlight w:val="none"/>
              </w:rPr>
              <w:t xml:space="preserve">能，</w:t>
            </w:r>
            <w:r>
              <w:rPr>
                <w:rFonts w:ascii="宋体" w:hAnsi="宋体" w:eastAsia="宋体"/>
                <w:color w:val="auto"/>
                <w:sz w:val="18"/>
                <w:szCs w:val="18"/>
                <w:highlight w:val="none"/>
              </w:rPr>
              <w:t xml:space="preserve">支持静态路由</w:t>
            </w:r>
            <w:r>
              <w:rPr>
                <w:rFonts w:hint="eastAsia" w:ascii="宋体" w:hAnsi="宋体" w:eastAsia="宋体"/>
                <w:color w:val="auto"/>
                <w:sz w:val="18"/>
                <w:szCs w:val="18"/>
                <w:highlight w:val="none"/>
              </w:rPr>
              <w:t xml:space="preserve">、动态路由；</w:t>
            </w:r>
            <w:r/>
          </w:p>
        </w:tc>
      </w:tr>
      <w:tr>
        <w:trPr>
          <w:trHeight w:val="229"/>
        </w:trPr>
        <w:tc>
          <w:tcPr>
            <w:tcW w:w="40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9</w:t>
            </w:r>
            <w:r/>
          </w:p>
        </w:tc>
        <w:tc>
          <w:tcPr>
            <w:tcW w:w="4593"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支持NTP网络时钟同步；</w:t>
            </w:r>
            <w:r/>
          </w:p>
        </w:tc>
      </w:tr>
      <w:tr>
        <w:trPr>
          <w:trHeight w:val="171"/>
        </w:trPr>
        <w:tc>
          <w:tcPr>
            <w:tcW w:w="40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10</w:t>
            </w:r>
            <w:r/>
          </w:p>
        </w:tc>
        <w:tc>
          <w:tcPr>
            <w:tcW w:w="4593"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支持WEB、Telnet、SSH、SNMP等网管功能，支持SNMP v1/v2/v3，支持修改网络协议默认端口号，可对接第三方标准SNMP网管平台；</w:t>
            </w:r>
            <w:r/>
          </w:p>
        </w:tc>
      </w:tr>
      <w:tr>
        <w:trPr>
          <w:trHeight w:val="90"/>
        </w:trPr>
        <w:tc>
          <w:tcPr>
            <w:tcW w:w="40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11</w:t>
            </w:r>
            <w:r/>
          </w:p>
        </w:tc>
        <w:tc>
          <w:tcPr>
            <w:tcW w:w="4593"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电源输</w:t>
            </w:r>
            <w:r>
              <w:rPr>
                <w:rFonts w:hint="eastAsia" w:ascii="宋体" w:hAnsi="宋体" w:eastAsia="宋体"/>
                <w:color w:val="auto"/>
                <w:sz w:val="18"/>
                <w:szCs w:val="18"/>
                <w:highlight w:val="none"/>
              </w:rPr>
              <w:t xml:space="preserve">入：A</w:t>
            </w:r>
            <w:r>
              <w:rPr>
                <w:rFonts w:ascii="宋体" w:hAnsi="宋体" w:eastAsia="宋体"/>
                <w:color w:val="auto"/>
                <w:sz w:val="18"/>
                <w:szCs w:val="18"/>
                <w:highlight w:val="none"/>
              </w:rPr>
              <w:t xml:space="preserve">C100-240V输入</w:t>
            </w:r>
            <w:r>
              <w:rPr>
                <w:rFonts w:hint="eastAsia" w:ascii="宋体" w:hAnsi="宋体" w:eastAsia="宋体"/>
                <w:color w:val="auto"/>
                <w:sz w:val="18"/>
                <w:szCs w:val="18"/>
                <w:highlight w:val="none"/>
              </w:rPr>
              <w:t xml:space="preserve">，</w:t>
            </w:r>
            <w:r>
              <w:rPr>
                <w:rFonts w:ascii="宋体" w:hAnsi="宋体" w:eastAsia="宋体"/>
                <w:color w:val="auto"/>
                <w:sz w:val="18"/>
                <w:szCs w:val="18"/>
                <w:highlight w:val="none"/>
              </w:rPr>
              <w:t xml:space="preserve">冗余</w:t>
            </w:r>
            <w:r>
              <w:rPr>
                <w:rFonts w:hint="eastAsia" w:ascii="宋体" w:hAnsi="宋体" w:eastAsia="宋体"/>
                <w:color w:val="auto"/>
                <w:sz w:val="18"/>
                <w:szCs w:val="18"/>
                <w:highlight w:val="none"/>
              </w:rPr>
              <w:t xml:space="preserve">电源；</w:t>
            </w:r>
            <w:r/>
          </w:p>
        </w:tc>
      </w:tr>
      <w:tr>
        <w:trPr>
          <w:trHeight w:val="90"/>
        </w:trPr>
        <w:tc>
          <w:tcPr>
            <w:tcW w:w="407"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12</w:t>
            </w:r>
            <w:r/>
          </w:p>
        </w:tc>
        <w:tc>
          <w:tcPr>
            <w:tcW w:w="4593"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工作温度：-40～85</w:t>
            </w:r>
            <w:r>
              <w:rPr>
                <w:rFonts w:ascii="宋体" w:hAnsi="宋体" w:eastAsia="宋体"/>
                <w:color w:val="auto"/>
                <w:sz w:val="18"/>
                <w:szCs w:val="18"/>
                <w:highlight w:val="none"/>
              </w:rPr>
              <w:t xml:space="preserve">℃运行</w:t>
            </w:r>
            <w:r>
              <w:rPr>
                <w:rFonts w:hint="eastAsia" w:ascii="宋体" w:hAnsi="宋体" w:eastAsia="宋体"/>
                <w:color w:val="auto"/>
                <w:sz w:val="18"/>
                <w:szCs w:val="18"/>
                <w:highlight w:val="none"/>
              </w:rPr>
              <w:t xml:space="preserve">；</w:t>
            </w:r>
            <w:r/>
          </w:p>
        </w:tc>
      </w:tr>
      <w:tr>
        <w:trPr>
          <w:trHeight w:val="90"/>
        </w:trPr>
        <w:tc>
          <w:tcPr>
            <w:tcW w:w="407" w:type="pct"/>
            <w:vAlign w:val="center"/>
            <w:textDirection w:val="lrTb"/>
            <w:noWrap w:val="false"/>
          </w:tcPr>
          <w:p>
            <w:pPr>
              <w:pStyle w:val="969"/>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13</w:t>
            </w:r>
            <w:r/>
          </w:p>
        </w:tc>
        <w:tc>
          <w:tcPr>
            <w:tcW w:w="4593"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散热方式：全封闭、自然散热；</w:t>
            </w:r>
            <w:r/>
          </w:p>
        </w:tc>
      </w:tr>
      <w:tr>
        <w:trPr>
          <w:trHeight w:val="90"/>
        </w:trPr>
        <w:tc>
          <w:tcPr>
            <w:tcW w:w="407" w:type="pct"/>
            <w:vAlign w:val="center"/>
            <w:textDirection w:val="lrTb"/>
            <w:noWrap w:val="false"/>
          </w:tcPr>
          <w:p>
            <w:pPr>
              <w:pStyle w:val="969"/>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14</w:t>
            </w:r>
            <w:r/>
          </w:p>
        </w:tc>
        <w:tc>
          <w:tcPr>
            <w:tcW w:w="4593"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防水防尘等级：不低于IP40；</w:t>
            </w:r>
            <w:r/>
          </w:p>
        </w:tc>
      </w:tr>
      <w:tr>
        <w:trPr>
          <w:trHeight w:val="90"/>
        </w:trPr>
        <w:tc>
          <w:tcPr>
            <w:tcW w:w="407" w:type="pct"/>
            <w:vAlign w:val="center"/>
            <w:textDirection w:val="lrTb"/>
            <w:noWrap w:val="false"/>
          </w:tcPr>
          <w:p>
            <w:pPr>
              <w:pStyle w:val="969"/>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15</w:t>
            </w:r>
            <w:r/>
          </w:p>
        </w:tc>
        <w:tc>
          <w:tcPr>
            <w:tcW w:w="4593"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工作湿度：10%～95%（无冷凝）</w:t>
            </w:r>
            <w:r>
              <w:rPr>
                <w:rFonts w:hint="eastAsia" w:ascii="宋体" w:hAnsi="宋体" w:eastAsia="宋体"/>
                <w:color w:val="auto"/>
                <w:sz w:val="18"/>
                <w:szCs w:val="18"/>
                <w:highlight w:val="none"/>
              </w:rPr>
              <w:t xml:space="preserve">；</w:t>
            </w:r>
            <w:r/>
          </w:p>
        </w:tc>
      </w:tr>
      <w:tr>
        <w:trPr>
          <w:trHeight w:val="90"/>
        </w:trPr>
        <w:tc>
          <w:tcPr>
            <w:tcW w:w="407" w:type="pct"/>
            <w:vAlign w:val="center"/>
            <w:textDirection w:val="lrTb"/>
            <w:noWrap w:val="false"/>
          </w:tcPr>
          <w:p>
            <w:pPr>
              <w:pStyle w:val="969"/>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16</w:t>
            </w:r>
            <w:r/>
          </w:p>
        </w:tc>
        <w:tc>
          <w:tcPr>
            <w:tcW w:w="4593"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电磁兼容：内置浪涌和静电保护。</w:t>
            </w:r>
            <w:r/>
          </w:p>
        </w:tc>
      </w:tr>
      <w:tr>
        <w:trPr>
          <w:trHeight w:val="90"/>
        </w:trPr>
        <w:tc>
          <w:tcPr>
            <w:tcW w:w="407" w:type="pct"/>
            <w:vAlign w:val="center"/>
            <w:textDirection w:val="lrTb"/>
            <w:noWrap w:val="false"/>
          </w:tcPr>
          <w:p>
            <w:pPr>
              <w:jc w:val="left"/>
              <w:rPr>
                <w:rFonts w:hint="eastAsia" w:ascii="宋体" w:hAnsi="宋体" w:eastAsia="宋体"/>
                <w:bCs/>
                <w:color w:val="auto"/>
                <w:sz w:val="18"/>
                <w:szCs w:val="18"/>
                <w:highlight w:val="none"/>
              </w:rPr>
            </w:pPr>
            <w:r>
              <w:rPr>
                <w:rFonts w:hint="eastAsia" w:ascii="宋体" w:hAnsi="宋体" w:eastAsia="宋体"/>
                <w:bCs/>
                <w:color w:val="auto"/>
                <w:sz w:val="18"/>
                <w:szCs w:val="18"/>
                <w:highlight w:val="none"/>
              </w:rPr>
              <w:t xml:space="preserve">17</w:t>
            </w:r>
            <w:r/>
          </w:p>
        </w:tc>
        <w:tc>
          <w:tcPr>
            <w:tcW w:w="4593"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五年质保，需提供原厂5年质保承诺书。</w:t>
            </w:r>
            <w:r/>
          </w:p>
        </w:tc>
      </w:tr>
    </w:tbl>
    <w:p>
      <w:pPr>
        <w:jc w:val="left"/>
        <w:spacing w:line="360" w:lineRule="auto"/>
        <w:rPr>
          <w:rFonts w:hint="eastAsia" w:ascii="宋体" w:hAnsi="宋体" w:eastAsia="宋体"/>
          <w:b/>
          <w:bCs/>
          <w:color w:val="auto"/>
          <w:sz w:val="18"/>
          <w:szCs w:val="18"/>
          <w:highlight w:val="none"/>
        </w:rPr>
        <w:outlineLvl w:val="2"/>
      </w:pPr>
      <w:r>
        <w:rPr>
          <w:rFonts w:ascii="宋体" w:hAnsi="宋体" w:eastAsia="宋体"/>
          <w:b/>
          <w:bCs/>
          <w:color w:val="auto"/>
          <w:sz w:val="18"/>
          <w:szCs w:val="18"/>
          <w:highlight w:val="none"/>
        </w:rPr>
        <w:t xml:space="preserve">（</w:t>
      </w:r>
      <w:r>
        <w:rPr>
          <w:rFonts w:hint="eastAsia" w:ascii="宋体" w:hAnsi="宋体" w:eastAsia="宋体"/>
          <w:b/>
          <w:bCs/>
          <w:color w:val="auto"/>
          <w:sz w:val="18"/>
          <w:szCs w:val="18"/>
          <w:highlight w:val="none"/>
        </w:rPr>
        <w:t xml:space="preserve">6</w:t>
      </w:r>
      <w:r>
        <w:rPr>
          <w:rFonts w:ascii="宋体" w:hAnsi="宋体" w:eastAsia="宋体"/>
          <w:b/>
          <w:bCs/>
          <w:color w:val="auto"/>
          <w:sz w:val="18"/>
          <w:szCs w:val="18"/>
          <w:highlight w:val="none"/>
        </w:rPr>
        <w:t xml:space="preserve">）落地智能机箱</w:t>
      </w:r>
      <w:r/>
    </w:p>
    <w:tbl>
      <w:tblPr>
        <w:tblStyle w:val="95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7757"/>
      </w:tblGrid>
      <w:tr>
        <w:trPr>
          <w:trHeight w:val="23"/>
        </w:trPr>
        <w:tc>
          <w:tcPr>
            <w:tcW w:w="551"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序号</w:t>
            </w:r>
            <w:r/>
          </w:p>
        </w:tc>
        <w:tc>
          <w:tcPr>
            <w:tcW w:w="4449"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技术和功能要求</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箱体使用材料应具备防腐、防水等功能，SUS201板材厚度板材厚度2mm。防护等级≥IP55。 具体规格可根据管理部门意见适当调整。</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配件需求为：电源防雷器*1、三芯插座*8、隔离闸*2、熔断器6个、4芯融纤盘*1、16A断 路器、市电检测模块*1、电动操作附件*1、运维节点主机*1、智能锁*1、散热风扇、电源配 电模块*1。</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3</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具有远程开锁和手工锁功能。</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4</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散热系统应为智能风道设计，不少于风扇*2，需支持温控并配备专用防尘罩电动操作附件需 支持双支点平行驱动，应可配装分闸安全挂锁；需支持电动分合、手/自动切换等功能。</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5</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设备加密：设备支持SNMPV3版本加密协议，802.1X认证协议运维节点主机具有远程控制设备重新启动或状态显示；不少于8个输入/输出通道，RS485串口不少于1个，网络不少于1个；需支持断路器分/合状态，远程控制断路器</w:t>
            </w:r>
            <w:r/>
          </w:p>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分/合；需支持连接第三方24VDC的电器设备；</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6</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需提供相关配套系统软件：</w:t>
            </w:r>
            <w:r/>
          </w:p>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能够精确定位摄像机断电，断网、设备损环等问题；一旦设备发生故障时，需向平台发送状态信息；需支持远程重启功能；需支持远程升级。</w:t>
            </w:r>
            <w:r/>
          </w:p>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具有远程控制功能：接受监控中心管理平台指今，实施远程断电重合，可控制摄像机、传输设备的开启和关闭。</w:t>
            </w:r>
            <w:r/>
          </w:p>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电压变化抗扰度：一段时间内，功能暂时丧失或降低，应能自行恢复，不需要操作干预温度显示：中心可显示机箱内温度、风扇开关状态；</w:t>
            </w:r>
            <w:r/>
          </w:p>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具有防盗报警功能：打开/关闭机箱门，中心可收到报警提示；</w:t>
            </w:r>
            <w:r/>
          </w:p>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具备GPS/BeiDou定位功能模块</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7</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五年质保，需提供原厂5年质保承诺书</w:t>
            </w:r>
            <w:r/>
          </w:p>
        </w:tc>
      </w:tr>
    </w:tbl>
    <w:p>
      <w:pPr>
        <w:jc w:val="left"/>
        <w:spacing w:line="360" w:lineRule="auto"/>
        <w:rPr>
          <w:rFonts w:hint="eastAsia" w:ascii="宋体" w:hAnsi="宋体" w:eastAsia="宋体"/>
          <w:b/>
          <w:bCs/>
          <w:color w:val="auto"/>
          <w:sz w:val="18"/>
          <w:szCs w:val="18"/>
          <w:highlight w:val="none"/>
        </w:rPr>
        <w:outlineLvl w:val="2"/>
      </w:pPr>
      <w:r>
        <w:rPr>
          <w:rFonts w:ascii="宋体" w:hAnsi="宋体" w:eastAsia="宋体"/>
          <w:b/>
          <w:bCs/>
          <w:color w:val="auto"/>
          <w:sz w:val="18"/>
          <w:szCs w:val="18"/>
          <w:highlight w:val="none"/>
        </w:rPr>
        <w:t xml:space="preserve">（</w:t>
      </w:r>
      <w:r>
        <w:rPr>
          <w:rFonts w:hint="eastAsia" w:ascii="宋体" w:hAnsi="宋体" w:eastAsia="宋体"/>
          <w:b/>
          <w:bCs/>
          <w:color w:val="auto"/>
          <w:sz w:val="18"/>
          <w:szCs w:val="18"/>
          <w:highlight w:val="none"/>
        </w:rPr>
        <w:t xml:space="preserve">7</w:t>
      </w:r>
      <w:r>
        <w:rPr>
          <w:rFonts w:ascii="宋体" w:hAnsi="宋体" w:eastAsia="宋体"/>
          <w:b/>
          <w:bCs/>
          <w:color w:val="auto"/>
          <w:sz w:val="18"/>
          <w:szCs w:val="18"/>
          <w:highlight w:val="none"/>
        </w:rPr>
        <w:t xml:space="preserve">）360°全景摄像机</w:t>
      </w:r>
      <w:r/>
    </w:p>
    <w:tbl>
      <w:tblPr>
        <w:tblStyle w:val="95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7756"/>
      </w:tblGrid>
      <w:tr>
        <w:trPr>
          <w:trHeight w:val="23"/>
        </w:trPr>
        <w:tc>
          <w:tcPr>
            <w:tcW w:w="549"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序号</w:t>
            </w:r>
            <w:r/>
          </w:p>
        </w:tc>
        <w:tc>
          <w:tcPr>
            <w:tcW w:w="4451"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技术和功能要求</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摄像机由2路全景摄像机和1路细节摄像机组成，CMOS靶面尺寸均为1/1.8英寸；</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内置GPU芯片；</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3</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像素：全景：400万；</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4</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最大分辨率：全景：3840×1080</w:t>
            </w:r>
            <w:r>
              <w:rPr>
                <w:rFonts w:hint="eastAsia" w:ascii="宋体" w:hAnsi="宋体" w:eastAsia="宋体"/>
                <w:color w:val="auto"/>
                <w:sz w:val="18"/>
                <w:szCs w:val="18"/>
                <w:highlight w:val="none"/>
              </w:rPr>
              <w:t xml:space="preserve"> </w:t>
            </w:r>
            <w:r>
              <w:rPr>
                <w:rFonts w:ascii="宋体" w:hAnsi="宋体" w:eastAsia="宋体"/>
                <w:color w:val="auto"/>
                <w:sz w:val="18"/>
                <w:szCs w:val="18"/>
                <w:highlight w:val="none"/>
              </w:rPr>
              <w:t xml:space="preserve">细节：2560×1440；</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5</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补光灯数量：全景：4颗(白光灯)细节：6颗(红外灯)2颗(白光灯)；</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6</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最大补光距离：全景：30米(白光)，细节：200米(红外)；</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7</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镜头焦距：全景：2.8mm细节：5.5mm~220mm；</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8</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光学变倍：40倍；</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9</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全景通道可输出2个镜头无缝拼接的全景图像，纵向拼接偏差像素≤4个像素点；全景通道水 平视场角≥200°；全景通道可垂直旋转，旋转范围≥12°；</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10</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细节相机：水平范围：0°~360°、垂直范围： -30°~90°；</w:t>
            </w:r>
            <w:r/>
          </w:p>
        </w:tc>
      </w:tr>
      <w:tr>
        <w:trPr>
          <w:trHeight w:val="90"/>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11</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支持300个预置位，8条巡航路径；</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12</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视频结构化功能：支持机动车抓拍、机动车属性提取，支持非机动车抓拍、非机动车属性提取， 支持人体抓拍、人体属性提取，支持人脸抓拍、人脸属性提取；</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13</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支持电子透雾功能，全景AR标签；</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14</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接入协议：GB/T28181，ONVIF(Profile S&amp;G&amp;T)， GA/T 1400；</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15</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支持快速智能切换，当更换智能模式时设备不重启，新智能使能后即可生效；</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16</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音频输入：1路，音频输出：1路，报警输入：7路，报输出：2路；</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17</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供电方式：DC36V/2.25A(-10%~+10%)；</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18</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工作温度： -40℃~+70℃；</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19</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支持IP67防护等级，8000V防雷、防浪涌和防突波保护。</w:t>
            </w:r>
            <w:r/>
          </w:p>
        </w:tc>
      </w:tr>
      <w:tr>
        <w:trPr>
          <w:trHeight w:val="90"/>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20</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至少1个SFP光纤接口(含光模块)，1个RJ45 10M/100M/1000M自适应网口、2个RS-485接 口</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21</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配置1张256GB的存储卡</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22</w:t>
            </w:r>
            <w:r/>
          </w:p>
        </w:tc>
        <w:tc>
          <w:tcPr>
            <w:tcW w:w="4451" w:type="pct"/>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五年质保，需提供原厂5年质保承诺书。</w:t>
            </w:r>
            <w:r/>
          </w:p>
        </w:tc>
      </w:tr>
    </w:tbl>
    <w:p>
      <w:pPr>
        <w:jc w:val="left"/>
        <w:spacing w:line="360" w:lineRule="auto"/>
        <w:rPr>
          <w:rFonts w:hint="eastAsia" w:ascii="宋体" w:hAnsi="宋体" w:eastAsia="宋体"/>
          <w:b/>
          <w:bCs/>
          <w:color w:val="auto"/>
          <w:sz w:val="18"/>
          <w:szCs w:val="18"/>
          <w:highlight w:val="none"/>
        </w:rPr>
        <w:outlineLvl w:val="2"/>
      </w:pPr>
      <w:r>
        <w:rPr>
          <w:rFonts w:ascii="宋体" w:hAnsi="宋体" w:eastAsia="宋体"/>
          <w:b/>
          <w:bCs/>
          <w:color w:val="auto"/>
          <w:sz w:val="18"/>
          <w:szCs w:val="18"/>
          <w:highlight w:val="none"/>
        </w:rPr>
        <w:t xml:space="preserve">（</w:t>
      </w:r>
      <w:r>
        <w:rPr>
          <w:rFonts w:hint="eastAsia" w:ascii="宋体" w:hAnsi="宋体" w:eastAsia="宋体"/>
          <w:b/>
          <w:bCs/>
          <w:color w:val="auto"/>
          <w:sz w:val="18"/>
          <w:szCs w:val="18"/>
          <w:highlight w:val="none"/>
        </w:rPr>
        <w:t xml:space="preserve">8</w:t>
      </w:r>
      <w:r>
        <w:rPr>
          <w:rFonts w:ascii="宋体" w:hAnsi="宋体" w:eastAsia="宋体"/>
          <w:b/>
          <w:bCs/>
          <w:color w:val="auto"/>
          <w:sz w:val="18"/>
          <w:szCs w:val="18"/>
          <w:highlight w:val="none"/>
        </w:rPr>
        <w:t xml:space="preserve">）高清违停抓拍球机</w:t>
      </w:r>
      <w:r/>
    </w:p>
    <w:tbl>
      <w:tblPr>
        <w:tblStyle w:val="95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7758"/>
      </w:tblGrid>
      <w:tr>
        <w:trPr>
          <w:trHeight w:val="23"/>
        </w:trPr>
        <w:tc>
          <w:tcPr>
            <w:tcW w:w="550"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序号</w:t>
            </w:r>
            <w:r/>
          </w:p>
        </w:tc>
        <w:tc>
          <w:tcPr>
            <w:tcW w:w="4450"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技术和功能要求</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不低于1/1.8英寸CMOS</w:t>
            </w:r>
            <w:r>
              <w:rPr>
                <w:rFonts w:hint="eastAsia" w:ascii="宋体" w:hAnsi="宋体" w:eastAsia="宋体"/>
                <w:color w:val="auto"/>
                <w:sz w:val="18"/>
                <w:szCs w:val="18"/>
                <w:highlight w:val="none"/>
              </w:rPr>
              <w:t xml:space="preserve">；</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内置GPU芯片</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3</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采用智能图像处理技术（包括但不限于多帧图像融合、多个图像传感器、多个图像处理芯片等技术）</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4</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最大图像尺寸：不低于2560x1440像素；</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5</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最低照度不低于彩色：0.00021x</w:t>
            </w:r>
            <w:r>
              <w:rPr>
                <w:rFonts w:hint="eastAsia" w:ascii="宋体" w:hAnsi="宋体" w:eastAsia="宋体"/>
                <w:color w:val="auto"/>
                <w:sz w:val="18"/>
                <w:szCs w:val="18"/>
                <w:highlight w:val="none"/>
              </w:rPr>
              <w:t xml:space="preserve">，</w:t>
            </w:r>
            <w:r>
              <w:rPr>
                <w:rFonts w:ascii="宋体" w:hAnsi="宋体" w:eastAsia="宋体"/>
                <w:color w:val="auto"/>
                <w:sz w:val="18"/>
                <w:szCs w:val="18"/>
                <w:highlight w:val="none"/>
              </w:rPr>
              <w:t xml:space="preserve">黑白：0.00011x；</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6</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30倍光学变倍以上；</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7</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支持快速聚焦功能；</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8</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具有三种滤光片，在白天、夜晚及有雾情况下可自动切换不同的滤光片进行成像；</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9</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至少支持8条巡航路径，每条巡航至少可以添加32个预置点；</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10</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视频编码方式支持H.265、H.264、MJPEG；</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11</w:t>
            </w:r>
            <w:r/>
          </w:p>
        </w:tc>
        <w:tc>
          <w:tcPr>
            <w:tcW w:w="4450" w:type="pct"/>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s="宋体"/>
                <w:color w:val="auto"/>
                <w:sz w:val="24"/>
                <w:szCs w:val="24"/>
                <w:highlight w:val="none"/>
              </w:rPr>
              <w:t xml:space="preserve">★</w:t>
            </w:r>
            <w:r>
              <w:rPr>
                <w:rFonts w:ascii="宋体" w:hAnsi="宋体" w:eastAsia="宋体"/>
                <w:color w:val="auto"/>
                <w:sz w:val="18"/>
                <w:szCs w:val="18"/>
                <w:highlight w:val="none"/>
              </w:rPr>
              <w:t xml:space="preserve">支持违法停车抓拍功能，违停车辆捕获率白天不小于98%，晚上不小于96%；提供检测报告</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12</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至少具有1个RJ45接口、1个音频输入接口、1个音频输出接口、7个报警输入接口、 2个报警输出接口、1个RS485接口和1个SD卡插槽；1路光纤接口(含光模块)；</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13</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至少支持IP67的外壳防护能力；</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14</w:t>
            </w:r>
            <w:r/>
          </w:p>
        </w:tc>
        <w:tc>
          <w:tcPr>
            <w:tcW w:w="4450" w:type="pct"/>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五年质保，需提供原厂5年质保承诺书。</w:t>
            </w:r>
            <w:r/>
          </w:p>
        </w:tc>
      </w:tr>
      <w:tr>
        <w:trPr>
          <w:trHeight w:val="23"/>
        </w:trPr>
        <w:tc>
          <w:tcPr>
            <w:tcW w:w="550"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15</w:t>
            </w:r>
            <w:r/>
          </w:p>
        </w:tc>
        <w:tc>
          <w:tcPr>
            <w:tcW w:w="4450"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配置 1 张 256GB的存储卡</w:t>
            </w:r>
            <w:r/>
          </w:p>
        </w:tc>
      </w:tr>
    </w:tbl>
    <w:p>
      <w:pPr>
        <w:jc w:val="left"/>
        <w:spacing w:line="360" w:lineRule="auto"/>
        <w:rPr>
          <w:rFonts w:hint="eastAsia" w:ascii="宋体" w:hAnsi="宋体" w:eastAsia="宋体"/>
          <w:b/>
          <w:bCs/>
          <w:color w:val="auto"/>
          <w:sz w:val="18"/>
          <w:szCs w:val="18"/>
          <w:highlight w:val="none"/>
        </w:rPr>
        <w:outlineLvl w:val="2"/>
      </w:pPr>
      <w:r>
        <w:rPr>
          <w:rFonts w:ascii="宋体" w:hAnsi="宋体" w:eastAsia="宋体"/>
          <w:b/>
          <w:bCs/>
          <w:color w:val="auto"/>
          <w:sz w:val="18"/>
          <w:szCs w:val="18"/>
          <w:highlight w:val="none"/>
        </w:rPr>
        <w:t xml:space="preserve">（</w:t>
      </w:r>
      <w:r>
        <w:rPr>
          <w:rFonts w:hint="eastAsia" w:ascii="宋体" w:hAnsi="宋体" w:eastAsia="宋体"/>
          <w:b/>
          <w:bCs/>
          <w:color w:val="auto"/>
          <w:sz w:val="18"/>
          <w:szCs w:val="18"/>
          <w:highlight w:val="none"/>
        </w:rPr>
        <w:t xml:space="preserve">9</w:t>
      </w:r>
      <w:r>
        <w:rPr>
          <w:rFonts w:ascii="宋体" w:hAnsi="宋体" w:eastAsia="宋体"/>
          <w:b/>
          <w:bCs/>
          <w:color w:val="auto"/>
          <w:sz w:val="18"/>
          <w:szCs w:val="18"/>
          <w:highlight w:val="none"/>
        </w:rPr>
        <w:t xml:space="preserve">）枪球一体摄像机</w:t>
      </w:r>
      <w:r/>
    </w:p>
    <w:tbl>
      <w:tblPr>
        <w:tblStyle w:val="95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7756"/>
      </w:tblGrid>
      <w:tr>
        <w:trPr>
          <w:trHeight w:val="23"/>
        </w:trPr>
        <w:tc>
          <w:tcPr>
            <w:tcW w:w="549"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序号</w:t>
            </w:r>
            <w:r/>
          </w:p>
        </w:tc>
        <w:tc>
          <w:tcPr>
            <w:tcW w:w="4451"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技术和功能要求</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枪球一体摄像机内置三个变焦镜头。</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摄像机靶面尺寸不小于1/1.8英寸。</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3</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设备内置2个焦距范围2.8-12mm和13-52mm的镜头</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4</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摄像机内置镜头，支持不小于40倍光学变倍，镜头最大焦距不小于240mm</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5</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枪球一体机内置不少于2个GPU芯片</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6</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支持最低照度可达彩色0.00021x,黑白0.00011x</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7</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视频分辨率与帧率不小于2560X 1440、60帧/秒</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8</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枪机红外灯开启时，可识别距设备不小于50米处的人体轮廓：枪机白光灯开启时，可识别距设各不小于30米处的人体轮廓</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9</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球机红外距离不小于250米</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10</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全景摄像头水平旋转范围：0°~230°,垂直旋转范围： -10°~90°。两个全景摄像机可以独立垂直旋转，全景摄像机水平旋转时，护罩可保持静止。 一个全景摄像机水平旋转时， 另一个全景摄像机可保持静止</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11</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设备具备遮挡跟踪功能，当设备正在跟踪的人员全身被遮挡时，设备可保持跟踪状态并持续框选提示，若4s以内被跟踪人员又出现在监控画面中，可重新开始进行水平360°跟踪</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12</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设备具备布控接力跟踪功能，多台设备外接平台并布控成功后，当布控人脸和车牌目标经过监控区域内时，监控区域所属的设备应按照人脸和车牌目标经过顺序进行跟踪，并可通过平台持续显示视频图像</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13</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设备可对检测区域内不小于40个人脸进行检测、跟踪和抓拍</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14</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具备自动标定功能，可通过客户端软件对枪机进行一键自动标定，实现枪机与球机之间检测区域的定位，标定点的数量不小于6个。</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15</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球机可抓拍距设备100米处的人脸，可抓拍距设备150米处的人体及车辆。</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16</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设备可设置8个人脸抓拍场景，可按照设置的布防时间实现各个场景之间的巡航，布防时间可设。</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17</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在混合目标检测模式下，可同时对行人、非机动车、机动车进行检测、跟踪及抓拍，可支持人脸与人体、车牌与车辆的关联显示。</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18</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在混合目标检测模式下，可同时对行人、非机动车、机动车进行分类计数，准确率不低于99%。</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19</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电压在DC36V士25%范围内变化时，设备可正常工作。工作温度范围可达-40℃-70℃，支持 IP67。支持IK10防暴等级。</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20</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 1 个 SFP 光纤接口（含光模块）、1 个 RJ45 10M/100M/1000M 自适应网口、2 个 RS-485接口</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21</w:t>
            </w:r>
            <w:r/>
          </w:p>
        </w:tc>
        <w:tc>
          <w:tcPr>
            <w:tcW w:w="4451" w:type="pct"/>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配置 1 张 256GB的存储卡</w:t>
            </w:r>
            <w:r/>
          </w:p>
        </w:tc>
      </w:tr>
      <w:tr>
        <w:trPr>
          <w:trHeight w:val="23"/>
        </w:trPr>
        <w:tc>
          <w:tcPr>
            <w:tcW w:w="549" w:type="pct"/>
            <w:vAlign w:val="center"/>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2</w:t>
            </w:r>
            <w:r>
              <w:rPr>
                <w:rFonts w:ascii="宋体" w:hAnsi="宋体" w:eastAsia="宋体"/>
                <w:color w:val="auto"/>
                <w:sz w:val="18"/>
                <w:szCs w:val="18"/>
                <w:highlight w:val="none"/>
              </w:rPr>
              <w:t xml:space="preserve">2</w:t>
            </w:r>
            <w:r/>
          </w:p>
        </w:tc>
        <w:tc>
          <w:tcPr>
            <w:tcW w:w="4451" w:type="pct"/>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五年质保，需提供原厂5年质保承诺书。</w:t>
            </w:r>
            <w:r/>
          </w:p>
        </w:tc>
      </w:tr>
    </w:tbl>
    <w:p>
      <w:pPr>
        <w:jc w:val="left"/>
        <w:spacing w:line="360" w:lineRule="auto"/>
        <w:rPr>
          <w:rFonts w:hint="eastAsia" w:ascii="宋体" w:hAnsi="宋体" w:eastAsia="宋体"/>
          <w:b/>
          <w:bCs/>
          <w:color w:val="auto"/>
          <w:sz w:val="18"/>
          <w:szCs w:val="18"/>
          <w:highlight w:val="none"/>
        </w:rPr>
        <w:outlineLvl w:val="2"/>
      </w:pPr>
      <w:r>
        <w:rPr>
          <w:rFonts w:ascii="宋体" w:hAnsi="宋体" w:eastAsia="宋体"/>
          <w:b/>
          <w:bCs/>
          <w:color w:val="auto"/>
          <w:sz w:val="18"/>
          <w:szCs w:val="18"/>
          <w:highlight w:val="none"/>
        </w:rPr>
        <w:t xml:space="preserve">（1</w:t>
      </w:r>
      <w:r>
        <w:rPr>
          <w:rFonts w:hint="eastAsia" w:ascii="宋体" w:hAnsi="宋体" w:eastAsia="宋体"/>
          <w:b/>
          <w:bCs/>
          <w:color w:val="auto"/>
          <w:sz w:val="18"/>
          <w:szCs w:val="18"/>
          <w:highlight w:val="none"/>
        </w:rPr>
        <w:t xml:space="preserve">0</w:t>
      </w:r>
      <w:r>
        <w:rPr>
          <w:rFonts w:ascii="宋体" w:hAnsi="宋体" w:eastAsia="宋体"/>
          <w:b/>
          <w:bCs/>
          <w:color w:val="auto"/>
          <w:sz w:val="18"/>
          <w:szCs w:val="18"/>
          <w:highlight w:val="none"/>
        </w:rPr>
        <w:t xml:space="preserve">）电警智能终端</w:t>
      </w:r>
      <w:r/>
    </w:p>
    <w:tbl>
      <w:tblPr>
        <w:tblStyle w:val="95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0"/>
        <w:gridCol w:w="7753"/>
      </w:tblGrid>
      <w:tr>
        <w:trPr>
          <w:trHeight w:val="23"/>
        </w:trPr>
        <w:tc>
          <w:tcPr>
            <w:tcW w:w="551"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序号</w:t>
            </w:r>
            <w:r/>
          </w:p>
        </w:tc>
        <w:tc>
          <w:tcPr>
            <w:tcW w:w="4449" w:type="pct"/>
            <w:vAlign w:val="center"/>
            <w:textDirection w:val="lrTb"/>
            <w:noWrap w:val="false"/>
          </w:tcPr>
          <w:p>
            <w:pPr>
              <w:jc w:val="left"/>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技术和功能要求</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 8 个 RJ45100M 网口、2 个 RJ451000M 网口；2 个 1000M SFP 接口（满配模块）；</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至少支持 4 个 SATA 硬盘接口，内置 1 块 3.5 寸 8TB 硬盘；；</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3</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至少 1 个 DC12V 输出接口、1 个 HDMI 接口、1 个 VGA 接口、1 个 eSATA 接口，2 个 RS232接口、4 个 RS485 接口、4 个报警输入接口、4 个报警输出接口、1 个音频输入接口、1个音频输出接口、2 个 USB 接口；</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4</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可接入不低于 12 路高清网络摄像机；</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5</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支持通过 VGA、HDMI 输出功能进行图片、视频实时预览，支持历时图片查看；</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6</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支持图片、录像远程查询、备份功能；</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7</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支持各违章图片合成；</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8</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支持数据上传功能；</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9</w:t>
            </w:r>
            <w:r/>
          </w:p>
        </w:tc>
        <w:tc>
          <w:tcPr>
            <w:tcW w:w="4449"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配置图片和录像的存储空间配额，支持自动覆盖；</w:t>
            </w:r>
            <w:r/>
          </w:p>
        </w:tc>
      </w:tr>
      <w:tr>
        <w:trPr>
          <w:trHeight w:val="23"/>
        </w:trPr>
        <w:tc>
          <w:tcPr>
            <w:tcW w:w="551" w:type="pct"/>
            <w:vAlign w:val="center"/>
            <w:textDirection w:val="lrTb"/>
            <w:noWrap w:val="false"/>
          </w:tcPr>
          <w:p>
            <w:pPr>
              <w:jc w:val="left"/>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10</w:t>
            </w:r>
            <w:r/>
          </w:p>
        </w:tc>
        <w:tc>
          <w:tcPr>
            <w:tcW w:w="4449" w:type="pct"/>
            <w:textDirection w:val="lrTb"/>
            <w:noWrap w:val="false"/>
          </w:tcPr>
          <w:p>
            <w:pPr>
              <w:jc w:val="left"/>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五年质保，需提供原厂5年质保承诺书。</w:t>
            </w:r>
            <w:r/>
          </w:p>
        </w:tc>
      </w:tr>
    </w:tbl>
    <w:p>
      <w:pPr>
        <w:jc w:val="left"/>
        <w:spacing w:line="360" w:lineRule="auto"/>
        <w:rPr>
          <w:rFonts w:hint="eastAsia" w:ascii="宋体" w:hAnsi="宋体" w:eastAsia="宋体"/>
          <w:b/>
          <w:bCs/>
          <w:color w:val="auto"/>
          <w:sz w:val="18"/>
          <w:szCs w:val="18"/>
          <w:highlight w:val="none"/>
        </w:rPr>
        <w:outlineLvl w:val="2"/>
      </w:pPr>
      <w:r>
        <w:rPr>
          <w:rFonts w:hint="eastAsia" w:ascii="宋体" w:hAnsi="宋体" w:eastAsia="宋体"/>
          <w:b/>
          <w:bCs/>
          <w:color w:val="auto"/>
          <w:sz w:val="18"/>
          <w:szCs w:val="18"/>
          <w:highlight w:val="none"/>
        </w:rPr>
        <w:t xml:space="preserve">（11）图片分析处理终端</w:t>
      </w:r>
      <w:r/>
    </w:p>
    <w:tbl>
      <w:tblPr>
        <w:tblStyle w:val="95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5"/>
        <w:gridCol w:w="7213"/>
      </w:tblGrid>
      <w:tr>
        <w:trPr>
          <w:trHeight w:val="23"/>
        </w:trPr>
        <w:tc>
          <w:tcPr>
            <w:shd w:val="clear" w:color="000000" w:fill="ffffff"/>
            <w:tcW w:w="863" w:type="pct"/>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指标项</w:t>
            </w:r>
            <w:r/>
          </w:p>
        </w:tc>
        <w:tc>
          <w:tcPr>
            <w:shd w:val="clear" w:color="000000" w:fill="ffffff"/>
            <w:tcW w:w="4137" w:type="pct"/>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技术和功能要求</w:t>
            </w:r>
            <w:r/>
          </w:p>
        </w:tc>
      </w:tr>
      <w:tr>
        <w:trPr>
          <w:trHeight w:val="23"/>
        </w:trPr>
        <w:tc>
          <w:tcPr>
            <w:tcW w:w="863" w:type="pct"/>
            <w:vAlign w:val="center"/>
            <w:textDirection w:val="lrTb"/>
            <w:noWrap w:val="false"/>
          </w:tcPr>
          <w:p>
            <w:pPr>
              <w:jc w:val="left"/>
              <w:rPr>
                <w:rFonts w:hint="eastAsia" w:ascii="宋体" w:hAnsi="宋体" w:eastAsia="宋体" w:cs="宋体"/>
                <w:bCs/>
                <w:color w:val="auto"/>
                <w:sz w:val="18"/>
                <w:szCs w:val="18"/>
                <w:highlight w:val="none"/>
              </w:rPr>
            </w:pPr>
            <w:r>
              <w:rPr>
                <w:rFonts w:ascii="宋体" w:hAnsi="宋体" w:eastAsia="宋体" w:cs="宋体"/>
                <w:bCs/>
                <w:color w:val="auto"/>
                <w:sz w:val="18"/>
                <w:szCs w:val="18"/>
                <w:highlight w:val="none"/>
              </w:rPr>
              <w:t xml:space="preserve">CPU</w:t>
            </w:r>
            <w:r/>
          </w:p>
        </w:tc>
        <w:tc>
          <w:tcPr>
            <w:tcW w:w="4137" w:type="pct"/>
            <w:textDirection w:val="lrTb"/>
            <w:noWrap w:val="false"/>
          </w:tcPr>
          <w:p>
            <w:pPr>
              <w:jc w:val="left"/>
              <w:rPr>
                <w:rFonts w:hint="eastAsia" w:ascii="宋体" w:hAnsi="宋体" w:eastAsia="宋体" w:cs="宋体"/>
                <w:bCs/>
                <w:color w:val="auto"/>
                <w:sz w:val="18"/>
                <w:szCs w:val="18"/>
                <w:highlight w:val="none"/>
              </w:rPr>
            </w:pPr>
            <w:r>
              <w:rPr>
                <w:rFonts w:ascii="宋体" w:hAnsi="宋体" w:eastAsia="宋体" w:cs="宋体"/>
                <w:bCs/>
                <w:color w:val="auto"/>
                <w:sz w:val="18"/>
                <w:szCs w:val="18"/>
                <w:highlight w:val="none"/>
              </w:rPr>
              <w:t xml:space="preserve">14900K</w:t>
            </w:r>
            <w:r>
              <w:rPr>
                <w:rFonts w:hint="eastAsia" w:ascii="宋体" w:hAnsi="宋体" w:eastAsia="宋体" w:cs="宋体"/>
                <w:bCs/>
                <w:color w:val="auto"/>
                <w:sz w:val="18"/>
                <w:szCs w:val="18"/>
                <w:highlight w:val="none"/>
              </w:rPr>
              <w:t xml:space="preserve">。</w:t>
            </w:r>
            <w:r/>
          </w:p>
        </w:tc>
      </w:tr>
      <w:tr>
        <w:trPr>
          <w:trHeight w:val="23"/>
        </w:trPr>
        <w:tc>
          <w:tcPr>
            <w:tcW w:w="863" w:type="pct"/>
            <w:vAlign w:val="center"/>
            <w:textDirection w:val="lrTb"/>
            <w:noWrap w:val="false"/>
          </w:tcPr>
          <w:p>
            <w:pPr>
              <w:jc w:val="left"/>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RAM</w:t>
            </w:r>
            <w:r/>
          </w:p>
        </w:tc>
        <w:tc>
          <w:tcPr>
            <w:tcW w:w="4137" w:type="pct"/>
            <w:textDirection w:val="lrTb"/>
            <w:noWrap w:val="false"/>
          </w:tcPr>
          <w:p>
            <w:pPr>
              <w:jc w:val="left"/>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128G DDR5内存。</w:t>
            </w:r>
            <w:r/>
          </w:p>
        </w:tc>
      </w:tr>
      <w:tr>
        <w:trPr>
          <w:trHeight w:val="23"/>
        </w:trPr>
        <w:tc>
          <w:tcPr>
            <w:tcW w:w="863" w:type="pct"/>
            <w:vAlign w:val="center"/>
            <w:textDirection w:val="lrTb"/>
            <w:noWrap w:val="false"/>
          </w:tcPr>
          <w:p>
            <w:pPr>
              <w:jc w:val="left"/>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硬盘</w:t>
            </w:r>
            <w:r/>
          </w:p>
        </w:tc>
        <w:tc>
          <w:tcPr>
            <w:tcW w:w="4137" w:type="pct"/>
            <w:textDirection w:val="lrTb"/>
            <w:noWrap w:val="false"/>
          </w:tcPr>
          <w:p>
            <w:pPr>
              <w:jc w:val="left"/>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2T固态。</w:t>
            </w:r>
            <w:r/>
          </w:p>
        </w:tc>
      </w:tr>
      <w:tr>
        <w:trPr>
          <w:trHeight w:val="23"/>
        </w:trPr>
        <w:tc>
          <w:tcPr>
            <w:tcW w:w="863" w:type="pct"/>
            <w:vAlign w:val="center"/>
            <w:textDirection w:val="lrTb"/>
            <w:noWrap w:val="false"/>
          </w:tcPr>
          <w:p>
            <w:pPr>
              <w:jc w:val="left"/>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显卡</w:t>
            </w:r>
            <w:r/>
          </w:p>
        </w:tc>
        <w:tc>
          <w:tcPr>
            <w:tcW w:w="4137" w:type="pct"/>
            <w:textDirection w:val="lrTb"/>
            <w:noWrap w:val="false"/>
          </w:tcPr>
          <w:p>
            <w:pPr>
              <w:jc w:val="left"/>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RTX5080</w:t>
            </w:r>
            <w:r/>
          </w:p>
        </w:tc>
      </w:tr>
      <w:tr>
        <w:trPr>
          <w:trHeight w:val="23"/>
        </w:trPr>
        <w:tc>
          <w:tcPr>
            <w:tcW w:w="863" w:type="pct"/>
            <w:vAlign w:val="center"/>
            <w:textDirection w:val="lrTb"/>
            <w:noWrap w:val="false"/>
          </w:tcPr>
          <w:p>
            <w:pPr>
              <w:jc w:val="left"/>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显示器</w:t>
            </w:r>
            <w:r/>
          </w:p>
        </w:tc>
        <w:tc>
          <w:tcPr>
            <w:tcW w:w="4137" w:type="pct"/>
            <w:textDirection w:val="lrTb"/>
            <w:noWrap w:val="false"/>
          </w:tcPr>
          <w:p>
            <w:pPr>
              <w:jc w:val="left"/>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31.5英寸商用办公4K显示器；</w:t>
            </w:r>
            <w:r/>
          </w:p>
          <w:p>
            <w:pPr>
              <w:jc w:val="left"/>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至少1个Type-C、HDMI2.0、1个DP1.4视频接口；</w:t>
            </w:r>
            <w:r/>
          </w:p>
          <w:p>
            <w:pPr>
              <w:pStyle w:val="1004"/>
              <w:jc w:val="left"/>
              <w:spacing w:line="240" w:lineRule="auto"/>
              <w:rPr>
                <w:rFonts w:hint="eastAsia" w:ascii="宋体" w:hAnsi="宋体"/>
                <w:color w:val="auto"/>
                <w:sz w:val="18"/>
                <w:szCs w:val="18"/>
                <w:highlight w:val="none"/>
              </w:rPr>
            </w:pPr>
            <w:r>
              <w:rPr>
                <w:rFonts w:hint="eastAsia" w:ascii="宋体" w:hAnsi="宋体"/>
                <w:color w:val="auto"/>
                <w:sz w:val="18"/>
                <w:szCs w:val="18"/>
                <w:highlight w:val="none"/>
              </w:rPr>
              <w:t xml:space="preserve">不少于4个下行USB3.2Gen1，不少于1个上行USB3.2·Gen1；</w:t>
            </w:r>
            <w:r/>
          </w:p>
          <w:p>
            <w:pPr>
              <w:pStyle w:val="992"/>
              <w:ind w:firstLine="0"/>
              <w:jc w:val="left"/>
              <w:spacing w:line="240" w:lineRule="auto"/>
              <w:rPr>
                <w:rFonts w:hint="eastAsia" w:ascii="宋体" w:hAnsi="宋体"/>
                <w:color w:val="auto"/>
                <w:sz w:val="18"/>
                <w:szCs w:val="18"/>
                <w:highlight w:val="none"/>
              </w:rPr>
            </w:pPr>
            <w:r>
              <w:rPr>
                <w:rFonts w:hint="eastAsia" w:ascii="宋体" w:hAnsi="宋体"/>
                <w:color w:val="auto"/>
                <w:sz w:val="18"/>
                <w:szCs w:val="18"/>
                <w:highlight w:val="none"/>
              </w:rPr>
              <w:t xml:space="preserve">≥75W Type-C反向供电。</w:t>
            </w:r>
            <w:r/>
          </w:p>
        </w:tc>
      </w:tr>
      <w:tr>
        <w:trPr>
          <w:trHeight w:val="23"/>
        </w:trPr>
        <w:tc>
          <w:tcPr>
            <w:tcW w:w="863" w:type="pct"/>
            <w:vAlign w:val="center"/>
            <w:textDirection w:val="lrTb"/>
            <w:noWrap w:val="false"/>
          </w:tcPr>
          <w:p>
            <w:pPr>
              <w:jc w:val="left"/>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显示器支架</w:t>
            </w:r>
            <w:r/>
          </w:p>
        </w:tc>
        <w:tc>
          <w:tcPr>
            <w:tcW w:w="4137" w:type="pct"/>
            <w:textDirection w:val="lrTb"/>
            <w:noWrap w:val="false"/>
          </w:tcPr>
          <w:p>
            <w:pPr>
              <w:jc w:val="left"/>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双屏显示器支架；</w:t>
            </w:r>
            <w:r/>
          </w:p>
          <w:p>
            <w:pPr>
              <w:pStyle w:val="1004"/>
              <w:jc w:val="left"/>
              <w:spacing w:line="240" w:lineRule="auto"/>
              <w:rPr>
                <w:rFonts w:hint="eastAsia" w:ascii="宋体" w:hAnsi="宋体"/>
                <w:color w:val="auto"/>
                <w:sz w:val="18"/>
                <w:szCs w:val="18"/>
                <w:highlight w:val="none"/>
              </w:rPr>
            </w:pPr>
            <w:r>
              <w:rPr>
                <w:rFonts w:hint="eastAsia" w:ascii="宋体" w:hAnsi="宋体"/>
                <w:color w:val="auto"/>
                <w:sz w:val="18"/>
                <w:szCs w:val="18"/>
                <w:highlight w:val="none"/>
              </w:rPr>
              <w:t xml:space="preserve">承重范围：2-9kg；</w:t>
            </w:r>
            <w:r/>
          </w:p>
          <w:p>
            <w:pPr>
              <w:pStyle w:val="992"/>
              <w:ind w:firstLine="0"/>
              <w:jc w:val="left"/>
              <w:spacing w:line="240" w:lineRule="auto"/>
              <w:rPr>
                <w:rFonts w:hint="eastAsia" w:ascii="宋体" w:hAnsi="宋体"/>
                <w:color w:val="auto"/>
                <w:sz w:val="18"/>
                <w:szCs w:val="18"/>
                <w:highlight w:val="none"/>
              </w:rPr>
            </w:pPr>
            <w:r>
              <w:rPr>
                <w:rFonts w:hint="eastAsia" w:ascii="宋体" w:hAnsi="宋体"/>
                <w:color w:val="auto"/>
                <w:sz w:val="18"/>
                <w:szCs w:val="18"/>
                <w:highlight w:val="none"/>
              </w:rPr>
              <w:t xml:space="preserve">适配尺寸：17-32英寸。</w:t>
            </w:r>
            <w:r/>
          </w:p>
        </w:tc>
      </w:tr>
    </w:tbl>
    <w:p>
      <w:pPr>
        <w:jc w:val="left"/>
        <w:spacing w:line="360" w:lineRule="auto"/>
        <w:rPr>
          <w:rFonts w:hint="eastAsia" w:ascii="宋体" w:hAnsi="宋体" w:eastAsia="宋体"/>
          <w:b/>
          <w:bCs/>
          <w:color w:val="auto"/>
          <w:sz w:val="18"/>
          <w:szCs w:val="18"/>
          <w:highlight w:val="none"/>
        </w:rPr>
        <w:outlineLvl w:val="2"/>
      </w:pPr>
      <w:r>
        <w:rPr>
          <w:rFonts w:hint="eastAsia" w:ascii="宋体" w:hAnsi="宋体" w:eastAsia="宋体"/>
          <w:b/>
          <w:bCs/>
          <w:color w:val="auto"/>
          <w:sz w:val="18"/>
          <w:szCs w:val="18"/>
          <w:highlight w:val="none"/>
        </w:rPr>
        <w:t xml:space="preserve">（12）标签打印及黏贴</w:t>
      </w:r>
      <w:r/>
    </w:p>
    <w:tbl>
      <w:tblPr>
        <w:tblStyle w:val="959"/>
        <w:tblW w:w="48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7780"/>
      </w:tblGrid>
      <w:tr>
        <w:trPr>
          <w:trHeight w:val="328"/>
          <w:tblHeader/>
        </w:trPr>
        <w:tc>
          <w:tcPr>
            <w:tcW w:w="434" w:type="pct"/>
            <w:vAlign w:val="center"/>
            <w:textDirection w:val="lrTb"/>
            <w:noWrap w:val="false"/>
          </w:tcPr>
          <w:p>
            <w:pPr>
              <w:jc w:val="left"/>
              <w:spacing w:line="360" w:lineRule="auto"/>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序号</w:t>
            </w:r>
            <w:r/>
          </w:p>
        </w:tc>
        <w:tc>
          <w:tcPr>
            <w:tcW w:w="4566" w:type="pct"/>
            <w:vAlign w:val="center"/>
            <w:textDirection w:val="lrTb"/>
            <w:noWrap w:val="false"/>
          </w:tcPr>
          <w:p>
            <w:pPr>
              <w:jc w:val="left"/>
              <w:spacing w:line="360" w:lineRule="auto"/>
              <w:rPr>
                <w:rFonts w:hint="eastAsia" w:ascii="宋体" w:hAnsi="宋体" w:eastAsia="宋体"/>
                <w:bCs/>
                <w:color w:val="auto"/>
                <w:sz w:val="18"/>
                <w:szCs w:val="18"/>
                <w:highlight w:val="none"/>
              </w:rPr>
            </w:pPr>
            <w:r>
              <w:rPr>
                <w:rFonts w:ascii="宋体" w:hAnsi="宋体" w:eastAsia="宋体"/>
                <w:color w:val="auto"/>
                <w:sz w:val="18"/>
                <w:szCs w:val="18"/>
                <w:highlight w:val="none"/>
              </w:rPr>
              <w:t xml:space="preserve">技术和功能要求</w:t>
            </w:r>
            <w:r/>
          </w:p>
        </w:tc>
      </w:tr>
      <w:tr>
        <w:trPr>
          <w:trHeight w:val="309"/>
        </w:trPr>
        <w:tc>
          <w:tcPr>
            <w:tcW w:w="434" w:type="pct"/>
            <w:vAlign w:val="center"/>
            <w:textDirection w:val="lrTb"/>
            <w:noWrap w:val="false"/>
          </w:tcPr>
          <w:p>
            <w:pPr>
              <w:jc w:val="left"/>
              <w:spacing w:line="360" w:lineRule="auto"/>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1</w:t>
            </w:r>
            <w:r/>
          </w:p>
        </w:tc>
        <w:tc>
          <w:tcPr>
            <w:tcW w:w="4566" w:type="pct"/>
            <w:vAlign w:val="center"/>
            <w:textDirection w:val="lrTb"/>
            <w:noWrap w:val="false"/>
          </w:tcPr>
          <w:p>
            <w:pPr>
              <w:jc w:val="left"/>
              <w:spacing w:line="360" w:lineRule="auto"/>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PC材质，须满足室外防水、耐磨、耐刮、耐撞击、耐高温、符合UL969 标准</w:t>
            </w:r>
            <w:r/>
          </w:p>
        </w:tc>
      </w:tr>
      <w:tr>
        <w:trPr>
          <w:trHeight w:val="309"/>
        </w:trPr>
        <w:tc>
          <w:tcPr>
            <w:tcW w:w="434" w:type="pct"/>
            <w:vAlign w:val="center"/>
            <w:textDirection w:val="lrTb"/>
            <w:noWrap w:val="false"/>
          </w:tcPr>
          <w:p>
            <w:pPr>
              <w:jc w:val="left"/>
              <w:spacing w:line="360" w:lineRule="auto"/>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2</w:t>
            </w:r>
            <w:r/>
          </w:p>
        </w:tc>
        <w:tc>
          <w:tcPr>
            <w:tcW w:w="4566" w:type="pct"/>
            <w:vAlign w:val="center"/>
            <w:textDirection w:val="lrTb"/>
            <w:noWrap w:val="false"/>
          </w:tcPr>
          <w:p>
            <w:pPr>
              <w:jc w:val="left"/>
              <w:spacing w:line="360" w:lineRule="auto"/>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耐冲洗、耐汽油、柴油等溶剂</w:t>
            </w:r>
            <w:r/>
          </w:p>
        </w:tc>
      </w:tr>
      <w:tr>
        <w:trPr>
          <w:trHeight w:val="309"/>
        </w:trPr>
        <w:tc>
          <w:tcPr>
            <w:tcW w:w="434" w:type="pct"/>
            <w:vAlign w:val="center"/>
            <w:textDirection w:val="lrTb"/>
            <w:noWrap w:val="false"/>
          </w:tcPr>
          <w:p>
            <w:pPr>
              <w:jc w:val="left"/>
              <w:spacing w:line="360" w:lineRule="auto"/>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3</w:t>
            </w:r>
            <w:r/>
          </w:p>
        </w:tc>
        <w:tc>
          <w:tcPr>
            <w:tcW w:w="4566" w:type="pct"/>
            <w:vAlign w:val="center"/>
            <w:textDirection w:val="lrTb"/>
            <w:noWrap w:val="false"/>
          </w:tcPr>
          <w:p>
            <w:pPr>
              <w:jc w:val="left"/>
              <w:spacing w:line="360" w:lineRule="auto"/>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背胶强度大，不腐蚀杆件漆面</w:t>
            </w:r>
            <w:r/>
          </w:p>
        </w:tc>
      </w:tr>
      <w:tr>
        <w:trPr>
          <w:trHeight w:val="309"/>
        </w:trPr>
        <w:tc>
          <w:tcPr>
            <w:tcW w:w="434" w:type="pct"/>
            <w:vAlign w:val="center"/>
            <w:textDirection w:val="lrTb"/>
            <w:noWrap w:val="false"/>
          </w:tcPr>
          <w:p>
            <w:pPr>
              <w:jc w:val="left"/>
              <w:spacing w:line="360" w:lineRule="auto"/>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4</w:t>
            </w:r>
            <w:r/>
          </w:p>
        </w:tc>
        <w:tc>
          <w:tcPr>
            <w:tcW w:w="4566" w:type="pct"/>
            <w:vAlign w:val="center"/>
            <w:textDirection w:val="lrTb"/>
            <w:noWrap w:val="false"/>
          </w:tcPr>
          <w:p>
            <w:pPr>
              <w:jc w:val="left"/>
              <w:spacing w:line="360" w:lineRule="auto"/>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具有超强反光性能，良好的广角性能</w:t>
            </w:r>
            <w:r/>
          </w:p>
        </w:tc>
      </w:tr>
      <w:tr>
        <w:trPr>
          <w:trHeight w:val="309"/>
        </w:trPr>
        <w:tc>
          <w:tcPr>
            <w:tcW w:w="434" w:type="pct"/>
            <w:vAlign w:val="center"/>
            <w:textDirection w:val="lrTb"/>
            <w:noWrap w:val="false"/>
          </w:tcPr>
          <w:p>
            <w:pPr>
              <w:jc w:val="left"/>
              <w:spacing w:line="360" w:lineRule="auto"/>
              <w:rPr>
                <w:rFonts w:hint="eastAsia" w:ascii="宋体" w:hAnsi="宋体" w:eastAsia="宋体"/>
                <w:color w:val="auto"/>
                <w:sz w:val="18"/>
                <w:szCs w:val="18"/>
                <w:highlight w:val="none"/>
              </w:rPr>
            </w:pPr>
            <w:r>
              <w:rPr>
                <w:rFonts w:ascii="宋体" w:hAnsi="宋体" w:eastAsia="宋体"/>
                <w:color w:val="auto"/>
                <w:sz w:val="18"/>
                <w:szCs w:val="18"/>
                <w:highlight w:val="none"/>
              </w:rPr>
              <w:t xml:space="preserve">5</w:t>
            </w:r>
            <w:r/>
          </w:p>
        </w:tc>
        <w:tc>
          <w:tcPr>
            <w:tcW w:w="4566" w:type="pct"/>
            <w:vAlign w:val="center"/>
            <w:textDirection w:val="lrTb"/>
            <w:noWrap w:val="false"/>
          </w:tcPr>
          <w:p>
            <w:pPr>
              <w:jc w:val="left"/>
              <w:spacing w:line="360" w:lineRule="auto"/>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耐候性佳，在-40度至70度条件下性能正常</w:t>
            </w:r>
            <w:r/>
          </w:p>
        </w:tc>
      </w:tr>
      <w:tr>
        <w:trPr>
          <w:trHeight w:val="309"/>
        </w:trPr>
        <w:tc>
          <w:tcPr>
            <w:tcW w:w="434" w:type="pct"/>
            <w:vAlign w:val="center"/>
            <w:textDirection w:val="lrTb"/>
            <w:noWrap w:val="false"/>
          </w:tcPr>
          <w:p>
            <w:pPr>
              <w:jc w:val="left"/>
              <w:spacing w:line="360" w:lineRule="auto"/>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6</w:t>
            </w:r>
            <w:r/>
          </w:p>
        </w:tc>
        <w:tc>
          <w:tcPr>
            <w:tcW w:w="4566" w:type="pct"/>
            <w:vAlign w:val="center"/>
            <w:textDirection w:val="lrTb"/>
            <w:noWrap w:val="false"/>
          </w:tcPr>
          <w:p>
            <w:pPr>
              <w:jc w:val="left"/>
              <w:spacing w:line="360" w:lineRule="auto"/>
              <w:rPr>
                <w:rFonts w:hint="eastAsia" w:ascii="宋体" w:hAnsi="宋体" w:eastAsia="宋体"/>
                <w:bCs/>
                <w:color w:val="auto"/>
                <w:sz w:val="18"/>
                <w:szCs w:val="18"/>
                <w:highlight w:val="none"/>
              </w:rPr>
            </w:pPr>
            <w:r>
              <w:rPr>
                <w:rFonts w:ascii="宋体" w:hAnsi="宋体" w:eastAsia="宋体"/>
                <w:bCs/>
                <w:color w:val="auto"/>
                <w:sz w:val="18"/>
                <w:szCs w:val="18"/>
                <w:highlight w:val="none"/>
              </w:rPr>
              <w:t xml:space="preserve">使用期不得少于5年。5年内张贴的标贴出现非人为因素造成的破损、材质形变、颜色明显变化的，由中标人负责重新制作并张贴，招标人不再支付费用</w:t>
            </w:r>
            <w:r/>
          </w:p>
        </w:tc>
      </w:tr>
      <w:tr>
        <w:trPr>
          <w:trHeight w:val="309"/>
        </w:trPr>
        <w:tc>
          <w:tcPr>
            <w:tcW w:w="434" w:type="pct"/>
            <w:vAlign w:val="center"/>
            <w:textDirection w:val="lrTb"/>
            <w:noWrap w:val="false"/>
          </w:tcPr>
          <w:p>
            <w:pPr>
              <w:jc w:val="left"/>
              <w:spacing w:line="360" w:lineRule="auto"/>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7</w:t>
            </w:r>
            <w:r/>
          </w:p>
        </w:tc>
        <w:tc>
          <w:tcPr>
            <w:tcW w:w="4566" w:type="pct"/>
            <w:vAlign w:val="center"/>
            <w:textDirection w:val="lrTb"/>
            <w:noWrap w:val="false"/>
          </w:tcPr>
          <w:p>
            <w:pPr>
              <w:jc w:val="left"/>
              <w:spacing w:line="360" w:lineRule="auto"/>
              <w:rPr>
                <w:rFonts w:hint="eastAsia" w:ascii="宋体" w:hAnsi="宋体" w:eastAsia="宋体"/>
                <w:bCs/>
                <w:color w:val="auto"/>
                <w:sz w:val="18"/>
                <w:szCs w:val="18"/>
                <w:highlight w:val="none"/>
              </w:rPr>
            </w:pPr>
            <w:r>
              <w:rPr>
                <w:rFonts w:ascii="宋体" w:hAnsi="宋体" w:eastAsia="宋体"/>
                <w:color w:val="auto"/>
                <w:sz w:val="18"/>
                <w:szCs w:val="18"/>
                <w:highlight w:val="none"/>
              </w:rPr>
              <w:t xml:space="preserve">五年质保</w:t>
            </w:r>
            <w:r/>
          </w:p>
        </w:tc>
      </w:tr>
      <w:tr>
        <w:trPr>
          <w:trHeight w:val="309"/>
        </w:trPr>
        <w:tc>
          <w:tcPr>
            <w:tcW w:w="434" w:type="pct"/>
            <w:vAlign w:val="center"/>
            <w:textDirection w:val="lrTb"/>
            <w:noWrap w:val="false"/>
          </w:tcPr>
          <w:p>
            <w:pPr>
              <w:jc w:val="left"/>
              <w:spacing w:line="360" w:lineRule="auto"/>
              <w:rPr>
                <w:rFonts w:hint="eastAsia" w:ascii="宋体" w:hAnsi="宋体" w:eastAsia="宋体"/>
                <w:color w:val="auto"/>
                <w:sz w:val="18"/>
                <w:szCs w:val="18"/>
                <w:highlight w:val="none"/>
              </w:rPr>
            </w:pPr>
            <w:r>
              <w:rPr>
                <w:rFonts w:hint="eastAsia" w:ascii="宋体" w:hAnsi="宋体" w:eastAsia="宋体"/>
                <w:color w:val="auto"/>
                <w:sz w:val="18"/>
                <w:szCs w:val="18"/>
                <w:highlight w:val="none"/>
              </w:rPr>
              <w:t xml:space="preserve">8</w:t>
            </w:r>
            <w:r/>
          </w:p>
        </w:tc>
        <w:tc>
          <w:tcPr>
            <w:tcW w:w="4566" w:type="pct"/>
            <w:vAlign w:val="center"/>
            <w:textDirection w:val="lrTb"/>
            <w:noWrap w:val="false"/>
          </w:tcPr>
          <w:p>
            <w:pPr>
              <w:jc w:val="left"/>
              <w:spacing w:line="360" w:lineRule="auto"/>
              <w:rPr>
                <w:rFonts w:hint="eastAsia" w:ascii="宋体" w:hAnsi="宋体" w:eastAsia="宋体"/>
                <w:color w:val="auto"/>
                <w:sz w:val="18"/>
                <w:szCs w:val="18"/>
                <w:highlight w:val="none"/>
              </w:rPr>
            </w:pPr>
            <w:r>
              <w:rPr>
                <w:rFonts w:ascii="宋体" w:hAnsi="宋体" w:eastAsia="宋体"/>
                <w:color w:val="auto"/>
                <w:sz w:val="18"/>
                <w:szCs w:val="18"/>
                <w:highlight w:val="none"/>
              </w:rPr>
              <mc:AlternateContent>
                <mc:Choice Requires="wpg">
                  <w:drawing>
                    <wp:inline xmlns:wp="http://schemas.openxmlformats.org/drawingml/2006/wordprocessingDrawing" distT="0" distB="0" distL="0" distR="0">
                      <wp:extent cx="800100" cy="998855"/>
                      <wp:effectExtent l="0" t="0" r="0" b="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480184" name="图片 2"/>
                              <pic:cNvPicPr>
                                <a:picLocks noChangeAspect="1"/>
                              </pic:cNvPicPr>
                              <pic:nvPr/>
                            </pic:nvPicPr>
                            <pic:blipFill>
                              <a:blip r:embed="rId28"/>
                              <a:stretch/>
                            </pic:blipFill>
                            <pic:spPr bwMode="auto">
                              <a:xfrm>
                                <a:off x="0" y="0"/>
                                <a:ext cx="802519" cy="10020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3.0pt;height:78.6pt;mso-wrap-distance-left:0.0pt;mso-wrap-distance-top:0.0pt;mso-wrap-distance-right:0.0pt;mso-wrap-distance-bottom:0.0pt;" stroked="f">
                      <v:path textboxrect="0,0,0,0"/>
                      <v:imagedata r:id="rId28" o:title=""/>
                    </v:shape>
                  </w:pict>
                </mc:Fallback>
              </mc:AlternateContent>
            </w:r>
            <w:r>
              <w:rPr>
                <w:rFonts w:ascii="宋体" w:hAnsi="宋体" w:eastAsia="宋体"/>
                <w:color w:val="auto"/>
                <w:sz w:val="18"/>
                <w:szCs w:val="18"/>
                <w:highlight w:val="none"/>
              </w:rPr>
              <w:t xml:space="preserve">最终尺寸及颜色以交警要求为准</w:t>
            </w:r>
            <w:r/>
          </w:p>
        </w:tc>
      </w:tr>
    </w:tbl>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其它相关要求详见图纸</w:t>
      </w:r>
      <w:r/>
    </w:p>
    <w:p>
      <w:pPr>
        <w:contextualSpacing/>
        <w:ind w:firstLine="482"/>
        <w:spacing w:line="360" w:lineRule="auto"/>
        <w:rPr>
          <w:rFonts w:hint="eastAsia" w:ascii="宋体" w:hAnsi="宋体" w:eastAsia="宋体" w:cs="宋体"/>
          <w:b/>
          <w:bCs/>
          <w:color w:val="auto"/>
          <w:sz w:val="24"/>
          <w:szCs w:val="24"/>
          <w:highlight w:val="none"/>
          <w:lang w:val="zh-CN"/>
        </w:rPr>
        <w:outlineLvl w:val="1"/>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zh-CN"/>
        </w:rPr>
        <w:t xml:space="preserve">、技术标准和需求：</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1、建设要求：</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①线路传输要求：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（1）所有相机须具备光接口(不得通过其他方式进行光电接口转换),相机通过光纤与路口汇聚机箱内的汇聚交换机通过光纤直连。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（2）非灯控路口的设备通过光纤汇聚至就近的灯控路口汇聚交换机中。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（3）路段中的设备通过光纤汇聚至就近路口汇聚交换机中。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（4）项目建设时以路口为单位，路口及就近路段的设备均汇聚至路口交换机中。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负责各设备电路接入、近汇聚点的光纤网络接入、上行裸纤线路传输、破路、绿化地占用以及高架(快速路)、地面道路、绿化的恢复等相关费用。设备取电须接入就近路灯箱变，相关事宜由中标方全权负责，如果在质保期内出现设备供电不足等系列问题均由中标方无偿解决。</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②设备接入要求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方案中各类网络终端设备接入须符合公安机关网络接入工作规范，须履行网络P地址申请手续，审核审批通过后方可接入，路口汇聚交换机配置网管模式，符合网络管理需要。</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2、基础信息采集要求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所有外场设备(包括但不限于摄像机、设备箱、杆件)须按照要求实地采集经纬度等相关数据，数据格式须符合南通市公安局“一机一档”相关要求。本工程中涉及的所有设备、杆件、机箱等需纳入使用单位外场设施管理系统进行规范管理，并粘贴统一标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中标人需满足设备标签按照全省统一的“开展点位体系化档案治理”要求，严格规范点位信息，确保前端设备档案关键属性信息100%合格归档，所有外场设备、杆件、落地箱，设计图纸须明确北斗卫星定位经纬度坐标，中标人最终验收须按照南通市公安局相关要求将有关信息统一对接江苏省公安厅“江苏省感知网资产运营服务平台”。</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3、施工人员要求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①施工人员对工程涉及有关信息负有保密义务，未经许可不得私自传递，拟派项目组成员须接受南通市公安局网络安全培训，未经培训合格，不得签订合同。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②相关施工人员须通过公安部“信息化合作企业人员”备案审查。</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4、维保要求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①投标单位需在缺陷责任期内派驻一位工程师驻现场维护。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②投标单位为本项目配备24小时服务电话，确保7x24小时保持畅通。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③投标单位应有相应数量的备品备件，保证系统及时修复，系统出现故障时，保证5分钟内响应，一般问题应在2小时内解决。</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5、其他要求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b/>
          <w:bCs/>
          <w:color w:val="auto"/>
          <w:sz w:val="24"/>
          <w:szCs w:val="24"/>
          <w:highlight w:val="none"/>
        </w:rPr>
        <w:t xml:space="preserve">所涉及监控设备、网络设备、算力设备等报验时，须经设备厂商技术人员到场确认，并提供质保函。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②本项目为交钥匙工程，要求提供一系列解决方案及维护方案，为招标人提供从方案设计、设备集成、工程设计、系统建设、联调测试、培训、维护、后续接入等专业化服务。</w:t>
      </w:r>
      <w:r>
        <w:rPr>
          <w:rFonts w:hint="eastAsia" w:ascii="宋体" w:hAnsi="宋体" w:eastAsia="宋体" w:cs="宋体"/>
          <w:b/>
          <w:bCs/>
          <w:color w:val="auto"/>
          <w:sz w:val="24"/>
          <w:szCs w:val="24"/>
          <w:highlight w:val="none"/>
        </w:rPr>
        <w:t xml:space="preserve">投标报价(含一切必须的辅助材料费用及相关服务费等)，应包含但不限于下列费用：包含所有设备费、线路（专线且需得到租赁单位授权）5年租赁费、预存5年电费、安装调试、运输到指定地点的装运费用（含装卸力资）、相关安装辅助材料费、以及企业利润、税金、相关服务费、招投标费和政策性文件规定及合同包含的所有风险、责任等各项应有费用。即招标物交付使用前的所有费用以及免保期内的服务费用等包含响应采购文件采购要求的所有费用。在本合同履行期间,该价格不受市场任何因素影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③项目整体(含所有硬件设施设备及软件)自验收合格日起质保期不低于5年。</w:t>
      </w:r>
      <w:r/>
    </w:p>
    <w:p>
      <w:pPr>
        <w:contextualSpacing/>
        <w:ind w:firstLine="482"/>
        <w:spacing w:line="360" w:lineRule="auto"/>
        <w:rPr>
          <w:rFonts w:hint="eastAsia" w:ascii="宋体" w:hAnsi="宋体" w:eastAsia="宋体" w:cs="宋体"/>
          <w:b/>
          <w:bCs/>
          <w:color w:val="auto"/>
          <w:sz w:val="24"/>
          <w:szCs w:val="24"/>
          <w:highlight w:val="none"/>
          <w:lang w:val="zh-CN"/>
        </w:rPr>
        <w:outlineLvl w:val="1"/>
      </w:pPr>
      <w:r>
        <w:rPr>
          <w:rFonts w:hint="eastAsia" w:ascii="宋体" w:hAnsi="宋体" w:eastAsia="宋体" w:cs="宋体"/>
          <w:b/>
          <w:bCs/>
          <w:color w:val="auto"/>
          <w:sz w:val="24"/>
          <w:szCs w:val="24"/>
          <w:highlight w:val="none"/>
          <w:lang w:val="zh-CN"/>
        </w:rPr>
        <w:t xml:space="preserve">六、供货期限：</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合同履行期限：合同签订后120日历天内完成供货、安装调试并经验收合格，具体开工日期以招标人签发的书面开工通知为准。</w:t>
      </w:r>
      <w:r/>
    </w:p>
    <w:p>
      <w:pPr>
        <w:contextualSpacing/>
        <w:ind w:firstLine="482"/>
        <w:spacing w:line="360" w:lineRule="auto"/>
        <w:rPr>
          <w:rFonts w:hint="eastAsia" w:ascii="宋体" w:hAnsi="宋体" w:eastAsia="宋体" w:cs="宋体"/>
          <w:b/>
          <w:bCs/>
          <w:color w:val="auto"/>
          <w:sz w:val="24"/>
          <w:szCs w:val="24"/>
          <w:highlight w:val="none"/>
          <w:lang w:val="zh-CN"/>
        </w:rPr>
        <w:outlineLvl w:val="1"/>
      </w:pPr>
      <w:r>
        <w:rPr>
          <w:rFonts w:hint="eastAsia" w:ascii="宋体" w:hAnsi="宋体" w:eastAsia="宋体" w:cs="宋体"/>
          <w:b/>
          <w:bCs/>
          <w:color w:val="auto"/>
          <w:sz w:val="24"/>
          <w:szCs w:val="24"/>
          <w:highlight w:val="none"/>
          <w:lang w:val="zh-CN"/>
        </w:rPr>
        <w:t xml:space="preserve">七、付款方式：</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（1）项目验收合格且移交手续完成，付至合同价的80%；</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（2）结算审计完成后，付至审定价的95%；</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（3）其余尾款在验收合格满五年且运行良好的情况下，一次性付清；</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（4）每次付款前，中标单位须向招标方提供对应金额的发票。</w:t>
      </w:r>
      <w:r/>
    </w:p>
    <w:p>
      <w:pPr>
        <w:contextualSpacing/>
        <w:ind w:firstLine="482"/>
        <w:spacing w:line="360" w:lineRule="auto"/>
        <w:rPr>
          <w:rFonts w:hint="eastAsia" w:ascii="宋体" w:hAnsi="宋体" w:eastAsia="宋体" w:cs="宋体"/>
          <w:b/>
          <w:bCs/>
          <w:color w:val="auto"/>
          <w:sz w:val="24"/>
          <w:szCs w:val="24"/>
          <w:highlight w:val="none"/>
          <w:lang w:val="zh-CN"/>
        </w:rPr>
        <w:outlineLvl w:val="1"/>
      </w:pPr>
      <w:r>
        <w:rPr>
          <w:rFonts w:hint="eastAsia" w:ascii="宋体" w:hAnsi="宋体" w:eastAsia="宋体" w:cs="宋体"/>
          <w:b/>
          <w:bCs/>
          <w:color w:val="auto"/>
          <w:sz w:val="24"/>
          <w:szCs w:val="24"/>
          <w:highlight w:val="none"/>
          <w:lang w:val="zh-CN"/>
        </w:rPr>
        <w:t xml:space="preserve">八、</w:t>
      </w:r>
      <w:r>
        <w:rPr>
          <w:rFonts w:hint="eastAsia" w:ascii="宋体" w:hAnsi="宋体" w:eastAsia="宋体" w:cs="宋体"/>
          <w:b/>
          <w:bCs/>
          <w:color w:val="auto"/>
          <w:sz w:val="24"/>
          <w:szCs w:val="24"/>
          <w:highlight w:val="none"/>
        </w:rPr>
        <w:t xml:space="preserve">其他</w:t>
      </w:r>
      <w:r>
        <w:rPr>
          <w:rFonts w:hint="eastAsia" w:ascii="宋体" w:hAnsi="宋体" w:eastAsia="宋体" w:cs="宋体"/>
          <w:b/>
          <w:bCs/>
          <w:color w:val="auto"/>
          <w:sz w:val="24"/>
          <w:szCs w:val="24"/>
          <w:highlight w:val="none"/>
          <w:lang w:val="zh-CN"/>
        </w:rPr>
        <w:t xml:space="preserve">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（1）本项目核心产品为：监控摄像机。</w:t>
      </w:r>
      <w:r/>
    </w:p>
    <w:p>
      <w:pPr>
        <w:ind w:firstLine="42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（2）如招标文件中的技术要求及技术参数等与设计图纸不一致时以设计图纸为准。</w:t>
      </w:r>
      <w:r/>
    </w:p>
    <w:p>
      <w:pPr>
        <w:contextualSpacing/>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zh-CN"/>
        </w:rPr>
        <w:t xml:space="preserve">九、</w:t>
      </w:r>
      <w:r>
        <w:rPr>
          <w:rFonts w:hint="eastAsia" w:ascii="宋体" w:hAnsi="宋体" w:eastAsia="宋体" w:cs="宋体"/>
          <w:b/>
          <w:bCs/>
          <w:color w:val="auto"/>
          <w:sz w:val="24"/>
          <w:szCs w:val="24"/>
          <w:highlight w:val="none"/>
        </w:rPr>
        <w:t xml:space="preserve">采购需求中必须满足的实质性要求</w:t>
      </w:r>
      <w:r/>
    </w:p>
    <w:p>
      <w:pPr>
        <w:ind w:firstLine="482"/>
        <w:spacing w:line="360" w:lineRule="auto"/>
        <w:tabs>
          <w:tab w:val="left" w:pos="10080" w:leader="none"/>
          <w:tab w:val="left" w:pos="10440" w:leader="none"/>
        </w:tabs>
        <w:rPr>
          <w:rFonts w:hint="eastAsia" w:ascii="宋体" w:hAnsi="宋体" w:eastAsia="宋体" w:cs="宋体"/>
          <w:b/>
          <w:bCs/>
          <w:color w:val="auto"/>
          <w:sz w:val="24"/>
          <w:szCs w:val="21"/>
          <w:highlight w:val="none"/>
          <w:u w:val="single"/>
        </w:rPr>
      </w:pPr>
      <w:r>
        <w:rPr>
          <w:rFonts w:hint="eastAsia" w:ascii="宋体" w:hAnsi="宋体" w:eastAsia="宋体" w:cs="宋体"/>
          <w:b/>
          <w:bCs/>
          <w:color w:val="auto"/>
          <w:sz w:val="24"/>
          <w:szCs w:val="24"/>
          <w:highlight w:val="none"/>
          <w:u w:val="single"/>
        </w:rPr>
        <w:t xml:space="preserve">1、</w:t>
      </w:r>
      <w:r>
        <w:rPr>
          <w:rFonts w:hint="eastAsia" w:ascii="宋体" w:hAnsi="宋体" w:eastAsia="宋体" w:cs="宋体"/>
          <w:b/>
          <w:bCs/>
          <w:color w:val="auto"/>
          <w:sz w:val="24"/>
          <w:szCs w:val="21"/>
          <w:highlight w:val="none"/>
          <w:u w:val="single"/>
        </w:rPr>
        <w:t xml:space="preserve">供应商需提供运营商授权承诺函（格式参见第八章），未提供承诺函的或提供承诺函不符合要求的视为无效投标。</w:t>
      </w:r>
      <w:r/>
    </w:p>
    <w:p>
      <w:pPr>
        <w:ind w:firstLine="482"/>
        <w:spacing w:line="360" w:lineRule="auto"/>
        <w:tabs>
          <w:tab w:val="left" w:pos="10080" w:leader="none"/>
          <w:tab w:val="left" w:pos="10440" w:leader="none"/>
        </w:tabs>
        <w:rPr>
          <w:rFonts w:hint="eastAsia" w:ascii="宋体" w:hAnsi="宋体" w:eastAsia="宋体" w:cs="宋体"/>
          <w:b/>
          <w:bCs/>
          <w:color w:val="auto"/>
          <w:sz w:val="24"/>
          <w:szCs w:val="21"/>
          <w:highlight w:val="none"/>
          <w:u w:val="single"/>
        </w:rPr>
      </w:pPr>
      <w:r>
        <w:rPr>
          <w:rFonts w:hint="eastAsia" w:ascii="宋体" w:hAnsi="宋体" w:eastAsia="宋体" w:cs="宋体"/>
          <w:b/>
          <w:bCs/>
          <w:color w:val="auto"/>
          <w:sz w:val="24"/>
          <w:szCs w:val="21"/>
          <w:highlight w:val="none"/>
          <w:u w:val="single"/>
        </w:rPr>
        <w:t xml:space="preserve">2、本工程所有子系统的外场设备均需无缝接入南通市交警支队交控中心现有的管理平台中，提供承诺函（格式自拟）。</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color w:val="auto"/>
          <w:sz w:val="24"/>
          <w:szCs w:val="24"/>
          <w:highlight w:val="none"/>
        </w:rPr>
        <w:sectPr>
          <w:footerReference w:type="default" r:id="rId20"/>
          <w:footnotePr/>
          <w:endnotePr/>
          <w:type w:val="nextPage"/>
          <w:pgSz w:w="11906" w:h="16838" w:orient="portrait"/>
          <w:pgMar w:top="1417" w:right="1701" w:bottom="1587" w:left="1701" w:header="851" w:footer="992" w:gutter="0"/>
          <w:cols w:num="1" w:sep="0" w:space="720" w:equalWidth="1"/>
          <w:docGrid w:linePitch="360"/>
        </w:sect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highlight w:val="none"/>
        </w:rPr>
        <w:outlineLvl w:val="0"/>
      </w:pPr>
      <w:r/>
      <w:bookmarkStart w:id="18" w:name="_Toc13700"/>
      <w:r>
        <w:rPr>
          <w:rFonts w:hint="eastAsia" w:ascii="宋体" w:hAnsi="宋体" w:eastAsia="宋体" w:cs="宋体"/>
          <w:b/>
          <w:color w:val="auto"/>
          <w:sz w:val="36"/>
          <w:szCs w:val="36"/>
          <w:highlight w:val="none"/>
        </w:rPr>
        <w:t xml:space="preserve">第四章 评审方法和程序</w:t>
      </w:r>
      <w:bookmarkEnd w:id="15"/>
      <w:r/>
      <w:bookmarkEnd w:id="18"/>
      <w:r/>
      <w:r/>
    </w:p>
    <w:p>
      <w:pPr>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注：①集秀路（天生路-树西路）、惠农路（集秀路-长泰路）监控项目第三批实施，规划一路(幸余路-秦灶路)、顺达路西延(泰通路-工农北路)、崇川路南侧规划路(崇学路-世园路)及桃园路北侧规划路(崇学路-世园路)监控项目第四批实施，允许投标单位同时参与上述两批次投标，但同一投标单位最多只能在一个批次中标；</w:t>
      </w:r>
      <w:r/>
    </w:p>
    <w:p>
      <w:p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②若投标单位在第三批次被确定为中标人，则自动丧失第四批次中标资格，不可参与第四批次评审；如投标单位在第三批发包中未中标，可继续参与第四批评审；</w:t>
      </w:r>
      <w:r/>
    </w:p>
    <w:p>
      <w:p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③两批次投标文件将独立评审，但评审委员会有权调阅投标单位另一批次的投标文件进行关联核查；</w:t>
      </w:r>
      <w:r/>
    </w:p>
    <w:p>
      <w:p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④中标后如发现投标单位通过任何形式在两批次同时中标，采购人有权取消其中标资格并没收投标保证金（如有）。</w:t>
      </w:r>
      <w:r/>
    </w:p>
    <w:p>
      <w:pPr>
        <w:ind w:firstLine="482"/>
        <w:spacing w:line="360" w:lineRule="auto"/>
        <w:rPr>
          <w:rFonts w:hint="eastAsia" w:ascii="宋体" w:hAnsi="宋体" w:eastAsia="宋体" w:cs="宋体"/>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⑤</w:t>
      </w:r>
      <w:r>
        <w:rPr>
          <w:rFonts w:hint="eastAsia" w:ascii="宋体" w:hAnsi="宋体" w:eastAsia="宋体" w:cs="宋体"/>
          <w:b/>
          <w:bCs/>
          <w:color w:val="auto"/>
          <w:sz w:val="24"/>
          <w:szCs w:val="24"/>
          <w:highlight w:val="none"/>
          <w:u w:val="single"/>
        </w:rPr>
        <w:t xml:space="preserve">出现以下情况时，两批次投标均作无效处理：</w:t>
      </w:r>
      <w:r/>
    </w:p>
    <w:p>
      <w:p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投标单位试图通过关联公司分别投标规避本规则。</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一、招标人委托招标代理机构组织招标</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1、成立评标委员会小组，评标委员会由招标人代表和评审专家组成，成员人数应当为5人以上单数，其中评审专家不得少于成员总数的三分之二。</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二、开标</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不见面远程开标模式：开标当天各投标人在各自地点通过苏采云系统及时登录不见面开标大厅，参加投标活动。</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2、招标代理机构主持开标并记录，及时处理投标人代表提出的询问或者回避申请。</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3、投标人不足3家的不得开标。</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三、资格审查</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1、开标后，招标人及其委托的采购代理机构依据相关法律政策的规定，根据招标文件载明的资格审查要求，对投标人的资格进行审查。</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2、资格审查合格的投标人进入评标。</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3、合格投标人不足3家的，不得评标。</w:t>
      </w:r>
      <w:r/>
    </w:p>
    <w:p>
      <w:pPr>
        <w:contextualSpacing/>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四、评标</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1、评标时间</w:t>
      </w:r>
      <w:r>
        <w:rPr>
          <w:rFonts w:hint="eastAsia" w:ascii="宋体" w:hAnsi="宋体" w:eastAsia="宋体" w:cs="宋体"/>
          <w:b/>
          <w:color w:val="auto"/>
          <w:sz w:val="24"/>
          <w:szCs w:val="24"/>
          <w:highlight w:val="none"/>
        </w:rPr>
        <w:t xml:space="preserve">：资格审查结束以后。</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2、招标代理机构负责组织评标工作，并履行下列职责：</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（1）核对评审专家身份和招标人代表授权函，对评审专家在招标采购活动中的职责履行情况予以记录，并及时将有关违法违规行为向相关部门报告。</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（3）公布投标人名单，告知评审专家应当回避的情形。</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（4）组织评标委员会推选评标组长，招标人代表不得担任组长。</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（6）根据评标委员会的要求介绍采购相关政策法规、招标文件。</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（8）核对评标结果，有下列规定情形的，要求评标委员会复核或者书面说明理由，评标委员会拒绝的，则予以书面记录并向本级相关部门报告：</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①分值汇总计算错误的；</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②分项评分超出评分标准范围的；</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③评标委员会成员对客观评审因素评分不一致的；</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④经评标委员会认定评分畸高、畸低的。</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3、评标委员会负责具体评标事务：</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4、评标委员会成员独立履行以下职责与义务：</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（1）遵纪守法，客观、公正、廉洁地履行职责；</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（2）审查合格投标人的投标文件是否实质性响应招标文件要求，并做出评价；</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（3）按照招标文件规定的评标办法和评标标准进行评标，对评审意见承担个人责任；</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（4）可以要求投标人对投标文件有关事项做出解释或澄清；</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（5）对评标过程和结果，以及投标人的商业秘密保密；</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（6）配合相关部门的投诉处理工作；</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（7）配合招标人或招标代理机构答复投标人提出的质疑。</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5、除招标人代表、评标现场组织人员外，招标人的其他工作人员以及与评标工作无关的人员不得进入评标现场；有关人员对评标情况以及在评标过程中获悉的国家秘密、商业秘密负有保密责任。</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7、评审期间，合格投标人的投标文件仍有可能被评标委员会根据规定判为无效投标。</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8、在投标文件的评审、澄清、评价和比较以及授予合同的过程中，投标人对招标人和评标委员会成员有施加影响的任何行为，都将取消其可能的中标资格。</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五、评审原则</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1、本项目采用</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综合评分法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，即指投标文件满足本项目招标文件全部实质性要求，且按照评审因素的量化指标，经评审后得分最高的投标人推荐为中标人的评标方法。</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3、评标委员会严格按照招标文件规定的要求、条件、评分标准，对投标人所提供的完整计划标的物的科学性、可行性、产品质量、服务质量的保证及承诺等实质性响应内容进行比较评价。</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4、对投标文件的评审判定，只依据投标文件内容本身，不依靠开标后任何外来证明文件。</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六、评审方法</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1、评标程序：</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资格符合性评审——商务技术标评审——价格标评审——确定中标候选人。</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本次资格审查采用资格后审，各投标人资格审查通过后方能进入商务技术标的开标。先开商务技术标，商务技术标打分结束后再开价格标。</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2、评标委员会将仅对按本招标文件载明的方法与规定，为实质上响应招标文件要求的投标文件评审并进行评价和比较。</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3、本次项目的商务技术标和价格标评审总分值为100分。两部分评审因素比重如下：</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商务技术标分值占总分值的比重为</w:t>
      </w:r>
      <w:r>
        <w:rPr>
          <w:rFonts w:hint="eastAsia" w:ascii="宋体" w:hAnsi="宋体" w:eastAsia="宋体" w:cs="宋体"/>
          <w:b/>
          <w:color w:val="auto"/>
          <w:sz w:val="24"/>
          <w:szCs w:val="24"/>
          <w:highlight w:val="none"/>
          <w:u w:val="single"/>
        </w:rPr>
        <w:t xml:space="preserve">70%</w:t>
      </w:r>
      <w:r>
        <w:rPr>
          <w:rFonts w:hint="eastAsia" w:ascii="宋体" w:hAnsi="宋体" w:eastAsia="宋体" w:cs="宋体"/>
          <w:b/>
          <w:color w:val="auto"/>
          <w:sz w:val="24"/>
          <w:szCs w:val="24"/>
          <w:highlight w:val="none"/>
        </w:rPr>
        <w:t xml:space="preserve">（权重）</w:t>
      </w:r>
      <w:r>
        <w:rPr>
          <w:rFonts w:hint="eastAsia" w:ascii="宋体" w:hAnsi="宋体" w:eastAsia="宋体" w:cs="宋体"/>
          <w:color w:val="auto"/>
          <w:sz w:val="24"/>
          <w:szCs w:val="24"/>
          <w:highlight w:val="none"/>
        </w:rPr>
        <w:t xml:space="preserve">（计算结果均四舍五入保留两位小数）；</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价格标分值占总分值的比重为</w:t>
      </w:r>
      <w:r>
        <w:rPr>
          <w:rFonts w:hint="eastAsia" w:ascii="宋体" w:hAnsi="宋体" w:eastAsia="宋体" w:cs="宋体"/>
          <w:b/>
          <w:color w:val="auto"/>
          <w:sz w:val="24"/>
          <w:szCs w:val="24"/>
          <w:highlight w:val="none"/>
          <w:u w:val="single"/>
        </w:rPr>
        <w:t xml:space="preserve">30%</w:t>
      </w:r>
      <w:r>
        <w:rPr>
          <w:rFonts w:hint="eastAsia" w:ascii="宋体" w:hAnsi="宋体" w:eastAsia="宋体" w:cs="宋体"/>
          <w:b/>
          <w:color w:val="auto"/>
          <w:sz w:val="24"/>
          <w:szCs w:val="24"/>
          <w:highlight w:val="none"/>
        </w:rPr>
        <w:t xml:space="preserve">（权重）</w:t>
      </w:r>
      <w:r>
        <w:rPr>
          <w:rFonts w:hint="eastAsia" w:ascii="宋体" w:hAnsi="宋体" w:eastAsia="宋体" w:cs="宋体"/>
          <w:color w:val="auto"/>
          <w:sz w:val="24"/>
          <w:szCs w:val="24"/>
          <w:highlight w:val="none"/>
        </w:rPr>
        <w:t xml:space="preserve">（计算结果均四舍五入保留两位小数）；</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4、评标委员会严格按照招标文件的要求、条件、评分标准，对投标人所提供服务的先进性、可靠性、售后服务承诺、质量保证承诺等实质性响应内容进行比较。</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5、评标专家确定方式：在专家库中随机抽取。评标委员会各成员独立对每个进入打分程序的有效投标人的投标文件的商务技术部分以打分的形式进行评审和评价。</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6、商务技术分按评委的算术平均值计算（计算结果均四舍五入保留两位小数）。</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7、开启投标人的价格报价标，现场唱标后由投标人代表在苏采云系统确认。</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8、投标人的价格标评审得分直接计算取得，并与其商务技术标得分相加为该投标人的综合得分（计算结果均四舍五入保留两位小数）。</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标结果按评审后得分由高到低顺序排列。评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七、关于投标价格评审</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1、针对投标价格实质响应的评审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 </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2、针对投标价格合理性的评审</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2.1评审过程中出现下列情形之一的，评标委员会应当启动异常低价投标（响应）审查程序：</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2.1.1投标（响应）报价低于全部通过符合性审查供应商投标（响应）报价平均值50%的，即投标（响应）报价&lt;全部通过符合性审查供应商投标（响应）报价平均值×50%；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2.1.2投标（响应）报价低于通过符合性审查的次低报价供应商投标（响应）报价50%的，即投标（响应）报价&lt;通过符合性审查的次低报价供应商投标（响应）报价×50%；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2.1.3投标（响应）报价低于采购项目最高限价45%的，即投标（响应）报价&lt;采购项目最高限价×45%；</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2.1.4评标委员会基于专业判断，认为供应商报价过低，有可能影响产品质量或者不能诚信履约的其他情形。</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2.2启动异常低价投标（响应）审查后，属于前述第2.1.1项至第2.1.4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分钟。其中，属于第2.1.3项情形，供应商已随投标（响应）文件一并提交相关书面说明及必要的证明材料的，在评审时可不再重复提交。</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八、评审评分项 </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（一）商务技术标评分：（70分）</w:t>
      </w:r>
      <w:r/>
    </w:p>
    <w:tbl>
      <w:tblPr>
        <w:tblStyle w:val="959"/>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273"/>
        <w:gridCol w:w="6153"/>
        <w:gridCol w:w="788"/>
      </w:tblGrid>
      <w:tr>
        <w:trPr>
          <w:jc w:val="center"/>
          <w:trHeight w:val="555"/>
        </w:trPr>
        <w:tc>
          <w:tcPr>
            <w:shd w:val="clear" w:color="auto" w:fill="dce6f2" w:themeFill="accent1" w:themeFillTint="32"/>
            <w:tcW w:w="717" w:type="dxa"/>
            <w:vAlign w:val="center"/>
            <w:textDirection w:val="lrTb"/>
            <w:noWrap w:val="false"/>
          </w:tcPr>
          <w:p>
            <w:pPr>
              <w:jc w:val="center"/>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shd w:val="clear" w:color="auto" w:fill="dce6f2" w:themeFill="accent1" w:themeFillTint="32"/>
            <w:tcW w:w="1273" w:type="dxa"/>
            <w:vAlign w:val="center"/>
            <w:textDirection w:val="lrTb"/>
            <w:noWrap w:val="false"/>
          </w:tcPr>
          <w:p>
            <w:pPr>
              <w:jc w:val="center"/>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评分因素</w:t>
            </w:r>
            <w:r/>
          </w:p>
        </w:tc>
        <w:tc>
          <w:tcPr>
            <w:shd w:val="clear" w:color="auto" w:fill="dce6f2" w:themeFill="accent1" w:themeFillTint="32"/>
            <w:tcW w:w="6153" w:type="dxa"/>
            <w:vAlign w:val="center"/>
            <w:textDirection w:val="lrTb"/>
            <w:noWrap w:val="false"/>
          </w:tcPr>
          <w:p>
            <w:pPr>
              <w:jc w:val="center"/>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各评分因素细分项</w:t>
            </w:r>
            <w:r/>
          </w:p>
        </w:tc>
        <w:tc>
          <w:tcPr>
            <w:shd w:val="clear" w:color="auto" w:fill="dce6f2" w:themeFill="accent1" w:themeFillTint="32"/>
            <w:tcW w:w="788" w:type="dxa"/>
            <w:vAlign w:val="center"/>
            <w:textDirection w:val="lrTb"/>
            <w:noWrap w:val="false"/>
          </w:tcPr>
          <w:p>
            <w:pPr>
              <w:jc w:val="center"/>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r>
      <w:tr>
        <w:trPr>
          <w:jc w:val="center"/>
          <w:trHeight w:val="402"/>
        </w:trPr>
        <w:tc>
          <w:tcPr>
            <w:tcW w:w="717"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73" w:type="dxa"/>
            <w:vAlign w:val="center"/>
            <w:textDirection w:val="lrTb"/>
            <w:noWrap w:val="false"/>
          </w:tcPr>
          <w:p>
            <w:pPr>
              <w:jc w:val="center"/>
              <w:spacing w:line="420" w:lineRule="exact"/>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highlight w:val="none"/>
              </w:rPr>
              <w:t xml:space="preserve">技术要求</w:t>
            </w:r>
            <w:r/>
          </w:p>
        </w:tc>
        <w:tc>
          <w:tcPr>
            <w:tcW w:w="615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投标供应商提供的相关设备材料的技术参数、配置、性能是否符合采购文件要求进行评价。完全符合技术要求的得18分，带“★”参数为重要参数，负偏离或不提供证明材料每有一项扣2分，其他技术条款如有负偏离每项扣1分，扣完为止。</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须在《技术条款响应正负偏离表》中详细列明，如需提供相关证明材料的必须提供相关证明材料作为评审依据，否则不得分。</w:t>
            </w:r>
            <w:r/>
          </w:p>
        </w:tc>
        <w:tc>
          <w:tcPr>
            <w:tcW w:w="788"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18分</w:t>
            </w:r>
            <w:r/>
          </w:p>
        </w:tc>
      </w:tr>
      <w:tr>
        <w:trPr>
          <w:jc w:val="center"/>
          <w:trHeight w:val="402"/>
        </w:trPr>
        <w:tc>
          <w:tcPr>
            <w:tcW w:w="717"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73" w:type="dxa"/>
            <w:vAlign w:val="center"/>
            <w:textDirection w:val="lrTb"/>
            <w:noWrap w:val="false"/>
          </w:tcPr>
          <w:p>
            <w:pPr>
              <w:jc w:val="center"/>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w:t>
            </w:r>
            <w:r/>
          </w:p>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Cs w:val="21"/>
                <w:highlight w:val="none"/>
              </w:rPr>
              <w:t xml:space="preserve">资信</w:t>
            </w:r>
            <w:r/>
          </w:p>
        </w:tc>
        <w:tc>
          <w:tcPr>
            <w:tcW w:w="6153"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1、投标人取得有效的质量管理体系、环境管理体系、信息技术服务管理体系、信息安全管理体系、职业健康安全管理体系认证证书的，每项得1分，最高得5分。（须提供证书复印件并加盖公章，否则不得分）；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2、具有ISO22301业务连续性管理体系认证证书的得1分；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3、具有ISO27701隐私信息管理体系认证证书的得1分。</w:t>
            </w:r>
            <w:r/>
          </w:p>
        </w:tc>
        <w:tc>
          <w:tcPr>
            <w:tcW w:w="788"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7分</w:t>
            </w:r>
            <w:r/>
          </w:p>
        </w:tc>
      </w:tr>
      <w:tr>
        <w:trPr>
          <w:jc w:val="center"/>
          <w:trHeight w:val="402"/>
        </w:trPr>
        <w:tc>
          <w:tcPr>
            <w:tcW w:w="717"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73" w:type="dxa"/>
            <w:vAlign w:val="center"/>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项目管理团队</w:t>
            </w:r>
            <w:r/>
          </w:p>
        </w:tc>
        <w:tc>
          <w:tcPr>
            <w:tcW w:w="6153"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1、拟派项目负责人具有机电专业二级注册建造师的，得2分；具有机电专业一级注册建造师的，得4分；本项最高得4分；建造师注册单位为投标单位。</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2、拟派项目负责人同时具有高级职称、注册信息安全专业人员（CISP），具备一项证书得1分；本项最高得2分；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3、拟派项目组成员具有系统集成项目管理工程师的得1分；具有中级及以上网络工程师，得1分；本项最高得2分。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需提供相关证书、社保机构出具的供应商为其拟派人员缴纳的</w:t>
            </w:r>
            <w:r>
              <w:rPr>
                <w:rFonts w:hint="eastAsia" w:ascii="宋体" w:hAnsi="宋体" w:eastAsia="宋体" w:cs="宋体"/>
                <w:b/>
                <w:bCs/>
                <w:color w:val="auto"/>
                <w:sz w:val="24"/>
                <w:szCs w:val="24"/>
                <w:highlight w:val="none"/>
                <w:lang w:eastAsia="zh-CN"/>
              </w:rPr>
              <w:t xml:space="preserve">2025年12月</w:t>
            </w:r>
            <w:r>
              <w:rPr>
                <w:rFonts w:hint="eastAsia" w:ascii="宋体" w:hAnsi="宋体" w:eastAsia="宋体" w:cs="宋体"/>
                <w:b/>
                <w:bCs/>
                <w:color w:val="auto"/>
                <w:sz w:val="24"/>
                <w:szCs w:val="24"/>
                <w:highlight w:val="none"/>
              </w:rPr>
              <w:t xml:space="preserve">份以来任意一个月的社保证明材料，否则不予计分</w:t>
            </w:r>
            <w:r>
              <w:rPr>
                <w:rFonts w:hint="eastAsia" w:ascii="宋体" w:hAnsi="宋体" w:eastAsia="宋体" w:cs="宋体"/>
                <w:color w:val="auto"/>
                <w:sz w:val="24"/>
                <w:szCs w:val="24"/>
                <w:highlight w:val="none"/>
              </w:rPr>
              <w:t xml:space="preserve">。</w:t>
            </w:r>
            <w:r/>
          </w:p>
        </w:tc>
        <w:tc>
          <w:tcPr>
            <w:tcW w:w="788"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8分</w:t>
            </w:r>
            <w:r/>
          </w:p>
        </w:tc>
      </w:tr>
      <w:tr>
        <w:trPr>
          <w:jc w:val="center"/>
          <w:trHeight w:val="402"/>
        </w:trPr>
        <w:tc>
          <w:tcPr>
            <w:tcW w:w="717"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27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tc>
        <w:tc>
          <w:tcPr>
            <w:tcW w:w="615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2023年3月1日以后（以竣工验收时间为准），供应商承担过类似道路监控的业绩，提供1个得2分，本项最多得8分。</w:t>
            </w:r>
            <w:r>
              <w:rPr>
                <w:rFonts w:hint="eastAsia" w:ascii="宋体" w:hAnsi="宋体" w:eastAsia="宋体" w:cs="宋体"/>
                <w:b/>
                <w:bCs/>
                <w:color w:val="auto"/>
                <w:sz w:val="24"/>
                <w:szCs w:val="24"/>
                <w:highlight w:val="none"/>
              </w:rPr>
              <w:t xml:space="preserve">须提供合同、验收证明文件的复印件，缺一不可，否则不予计分。</w:t>
            </w:r>
            <w:r/>
          </w:p>
        </w:tc>
        <w:tc>
          <w:tcPr>
            <w:tcW w:w="788"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8分</w:t>
            </w:r>
            <w:r/>
          </w:p>
        </w:tc>
      </w:tr>
      <w:tr>
        <w:trPr>
          <w:jc w:val="center"/>
          <w:trHeight w:val="402"/>
        </w:trPr>
        <w:tc>
          <w:tcPr>
            <w:tcW w:w="717" w:type="dxa"/>
            <w:vAlign w:val="center"/>
            <w:vMerge w:val="restart"/>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273" w:type="dxa"/>
            <w:vAlign w:val="center"/>
            <w:vMerge w:val="restart"/>
            <w:textDirection w:val="lrTb"/>
            <w:noWrap w:val="false"/>
          </w:tcPr>
          <w:p>
            <w:pPr>
              <w:pStyle w:val="1004"/>
              <w:spacing w:line="440" w:lineRule="exact"/>
              <w:rPr>
                <w:rFonts w:hint="eastAsia" w:ascii="宋体" w:hAnsi="宋体"/>
                <w:b w:val="0"/>
                <w:bCs/>
                <w:color w:val="auto"/>
                <w:sz w:val="24"/>
                <w:szCs w:val="24"/>
                <w:highlight w:val="none"/>
                <w:lang w:val="zh-CN"/>
              </w:rPr>
            </w:pPr>
            <w:r>
              <w:rPr>
                <w:rFonts w:hint="eastAsia" w:ascii="宋体" w:hAnsi="宋体"/>
                <w:b w:val="0"/>
                <w:bCs/>
                <w:color w:val="auto"/>
                <w:sz w:val="24"/>
                <w:szCs w:val="24"/>
                <w:highlight w:val="none"/>
                <w:lang w:val="zh-CN"/>
              </w:rPr>
              <w:t xml:space="preserve">技术方案</w:t>
            </w:r>
            <w:r/>
          </w:p>
        </w:tc>
        <w:tc>
          <w:tcPr>
            <w:tcW w:w="6153" w:type="dxa"/>
            <w:textDirection w:val="lrTb"/>
            <w:noWrap w:val="false"/>
          </w:tcPr>
          <w:p>
            <w:pPr>
              <w:pStyle w:val="1004"/>
              <w:numPr>
                <w:ilvl w:val="0"/>
                <w:numId w:val="3"/>
              </w:numPr>
              <w:jc w:val="both"/>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供应商需对本工程有清晰的理解，对①项目的建设目的②建设需求③后续建设方向有建设性的规划④设备与后端平台的接入方案，提供方案；</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上述4项，每缺少一项内容扣2分，每有一处方案内容存在缺陷或不足的扣1分，扣完为止。最多得8分。</w:t>
            </w:r>
            <w:r/>
          </w:p>
          <w:p>
            <w:pPr>
              <w:pStyle w:val="1004"/>
              <w:jc w:val="both"/>
              <w:rPr>
                <w:rFonts w:hint="eastAsia" w:ascii="宋体" w:hAnsi="宋体"/>
                <w:b w:val="0"/>
                <w:bCs/>
                <w:color w:val="auto"/>
                <w:sz w:val="24"/>
                <w:szCs w:val="24"/>
                <w:highlight w:val="none"/>
                <w:lang w:val="zh-CN"/>
              </w:rPr>
            </w:pPr>
            <w:r>
              <w:rPr>
                <w:rFonts w:hint="eastAsia" w:ascii="宋体" w:hAnsi="宋体"/>
                <w:b w:val="0"/>
                <w:bCs/>
                <w:color w:val="auto"/>
                <w:sz w:val="24"/>
                <w:szCs w:val="24"/>
                <w:highlight w:val="none"/>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p>
        </w:tc>
        <w:tc>
          <w:tcPr>
            <w:tcW w:w="788"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8分</w:t>
            </w:r>
            <w:r/>
          </w:p>
        </w:tc>
      </w:tr>
      <w:tr>
        <w:trPr>
          <w:jc w:val="center"/>
          <w:trHeight w:val="402"/>
        </w:trPr>
        <w:tc>
          <w:tcPr>
            <w:tcW w:w="717" w:type="dxa"/>
            <w:vAlign w:val="center"/>
            <w:vMerge w:val="continue"/>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3" w:type="dxa"/>
            <w:vAlign w:val="center"/>
            <w:vMerge w:val="continue"/>
            <w:textDirection w:val="lrTb"/>
            <w:noWrap w:val="false"/>
          </w:tcPr>
          <w:p>
            <w:pPr>
              <w:pStyle w:val="1004"/>
              <w:spacing w:line="440" w:lineRule="exact"/>
              <w:rPr>
                <w:rFonts w:hint="eastAsia" w:ascii="宋体" w:hAnsi="宋体"/>
                <w:b w:val="0"/>
                <w:bCs/>
                <w:color w:val="auto"/>
                <w:sz w:val="24"/>
                <w:szCs w:val="24"/>
                <w:highlight w:val="none"/>
                <w:lang w:val="zh-CN"/>
              </w:rPr>
            </w:pPr>
            <w:r>
              <w:rPr>
                <w:rFonts w:hint="eastAsia" w:ascii="宋体" w:hAnsi="宋体"/>
                <w:b w:val="0"/>
                <w:bCs/>
                <w:color w:val="auto"/>
                <w:sz w:val="24"/>
                <w:szCs w:val="24"/>
                <w:highlight w:val="none"/>
                <w:lang w:val="zh-CN"/>
              </w:rPr>
            </w:r>
            <w:r/>
          </w:p>
        </w:tc>
        <w:tc>
          <w:tcPr>
            <w:tcW w:w="6153" w:type="dxa"/>
            <w:textDirection w:val="lrTb"/>
            <w:noWrap w:val="false"/>
          </w:tcPr>
          <w:p>
            <w:pPr>
              <w:pStyle w:val="1004"/>
              <w:jc w:val="both"/>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2、投标人提供针对该项目的详细技术方案，方案包含：①立杆施工②设备安装③设备取电④线路施工</w:t>
            </w:r>
            <w:r>
              <w:rPr>
                <w:rFonts w:hint="eastAsia" w:ascii="仿宋" w:hAnsi="仿宋" w:eastAsia="仿宋" w:cs="仿宋"/>
                <w:b w:val="0"/>
                <w:bCs/>
                <w:color w:val="auto"/>
                <w:sz w:val="24"/>
                <w:szCs w:val="24"/>
                <w:highlight w:val="none"/>
              </w:rPr>
              <w:t xml:space="preserve">⑤</w:t>
            </w:r>
            <w:r>
              <w:rPr>
                <w:rFonts w:hint="eastAsia" w:ascii="宋体" w:hAnsi="宋体"/>
                <w:b w:val="0"/>
                <w:bCs/>
                <w:color w:val="auto"/>
                <w:sz w:val="24"/>
                <w:szCs w:val="24"/>
                <w:highlight w:val="none"/>
              </w:rPr>
              <w:t xml:space="preserve">系统调试。</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上述5项，每缺少一项内容扣1分，每有一处方案内容存在缺陷或不足的扣0.5分，扣完为止。最多得5分。</w:t>
            </w:r>
            <w:r/>
          </w:p>
          <w:p>
            <w:pPr>
              <w:pStyle w:val="1004"/>
              <w:jc w:val="both"/>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p>
        </w:tc>
        <w:tc>
          <w:tcPr>
            <w:tcW w:w="788"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r>
      <w:tr>
        <w:trPr>
          <w:jc w:val="center"/>
          <w:trHeight w:val="402"/>
        </w:trPr>
        <w:tc>
          <w:tcPr>
            <w:tcW w:w="717"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273" w:type="dxa"/>
            <w:vAlign w:val="center"/>
            <w:textDirection w:val="lrTb"/>
            <w:noWrap w:val="false"/>
          </w:tcPr>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施工方案</w:t>
            </w:r>
            <w:r/>
          </w:p>
        </w:tc>
        <w:tc>
          <w:tcPr>
            <w:tcW w:w="615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投标供应商根据本次招标内容设计详细施工方案，方案包含：①时间进度控制②质量保证措施③安全保证措施④施工部署⑤施工技术⑥与相关单位的合作（配合）⑦设备报验等⑧验收方案。</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上述8项，每缺少一项内容扣1分，每有一处方案内容存在缺陷或不足的扣0.5分，扣完为止。最多得8分。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p>
        </w:tc>
        <w:tc>
          <w:tcPr>
            <w:tcW w:w="788"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8分</w:t>
            </w:r>
            <w:r/>
          </w:p>
        </w:tc>
      </w:tr>
      <w:tr>
        <w:trPr>
          <w:jc w:val="center"/>
          <w:trHeight w:val="402"/>
        </w:trPr>
        <w:tc>
          <w:tcPr>
            <w:tcW w:w="717" w:type="dxa"/>
            <w:vAlign w:val="center"/>
            <w:vMerge w:val="restart"/>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273" w:type="dxa"/>
            <w:vAlign w:val="center"/>
            <w:vMerge w:val="restart"/>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售后服务能力</w:t>
            </w:r>
            <w:r/>
          </w:p>
        </w:tc>
        <w:tc>
          <w:tcPr>
            <w:tcW w:w="615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1、投标人提供针对该项目的售后服务方案，方案包含：①售后服务体系②售后服务内容③售后队伍配置④售后管理办法</w:t>
            </w:r>
            <w:r>
              <w:rPr>
                <w:rFonts w:hint="eastAsia" w:ascii="仿宋" w:hAnsi="仿宋" w:eastAsia="仿宋" w:cs="仿宋"/>
                <w:color w:val="auto"/>
                <w:sz w:val="24"/>
                <w:szCs w:val="24"/>
                <w:highlight w:val="none"/>
              </w:rPr>
              <w:t xml:space="preserve">⑤</w:t>
            </w:r>
            <w:r>
              <w:rPr>
                <w:rFonts w:hint="eastAsia" w:ascii="宋体" w:hAnsi="宋体" w:eastAsia="宋体" w:cs="宋体"/>
                <w:color w:val="auto"/>
                <w:sz w:val="24"/>
                <w:szCs w:val="24"/>
                <w:highlight w:val="none"/>
              </w:rPr>
              <w:t xml:space="preserve">故障响应速度⑥故障解决方案。</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上述6项，每缺少一项内容扣1分，每有一处方案内容存在缺陷或不足的扣0.5分，扣完为止。最多得6分。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p>
        </w:tc>
        <w:tc>
          <w:tcPr>
            <w:tcW w:w="788"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r>
      <w:tr>
        <w:trPr>
          <w:jc w:val="center"/>
          <w:trHeight w:val="402"/>
        </w:trPr>
        <w:tc>
          <w:tcPr>
            <w:tcW w:w="717" w:type="dxa"/>
            <w:vAlign w:val="center"/>
            <w:vMerge w:val="continue"/>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3" w:type="dxa"/>
            <w:vAlign w:val="center"/>
            <w:vMerge w:val="continue"/>
            <w:textDirection w:val="lrTb"/>
            <w:noWrap w:val="false"/>
          </w:tcPr>
          <w:p>
            <w:pPr>
              <w:jc w:val="center"/>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153" w:type="dxa"/>
            <w:vAlign w:val="center"/>
            <w:textDirection w:val="lrTb"/>
            <w:noWrap w:val="false"/>
          </w:tcPr>
          <w:p>
            <w:pPr>
              <w:numPr>
                <w:ilvl w:val="0"/>
                <w:numId w:val="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投标单位能够为本项目配备专职售后服务人员，且专职售后服务人员具有高级职称的，每有1人得2分，最多得2分。</w:t>
            </w:r>
            <w:r/>
          </w:p>
          <w:p>
            <w:pPr>
              <w:pStyle w:val="1020"/>
              <w:ind w:firstLine="0"/>
              <w:rPr>
                <w:rFonts w:hint="eastAsia"/>
                <w:color w:val="auto"/>
                <w:highlight w:val="none"/>
              </w:rPr>
            </w:pPr>
            <w:r>
              <w:rPr>
                <w:rFonts w:hint="eastAsia" w:ascii="宋体" w:hAnsi="宋体" w:eastAsia="宋体" w:cs="宋体"/>
                <w:b/>
                <w:bCs/>
                <w:color w:val="auto"/>
                <w:sz w:val="24"/>
                <w:szCs w:val="24"/>
                <w:highlight w:val="none"/>
              </w:rPr>
              <w:t xml:space="preserve">需提供相关证书、社保机构出具的供应商为其拟派人员缴纳的</w:t>
            </w:r>
            <w:r>
              <w:rPr>
                <w:rFonts w:hint="eastAsia" w:ascii="宋体" w:hAnsi="宋体" w:eastAsia="宋体" w:cs="宋体"/>
                <w:b/>
                <w:bCs/>
                <w:color w:val="auto"/>
                <w:sz w:val="24"/>
                <w:szCs w:val="24"/>
                <w:highlight w:val="none"/>
                <w:lang w:eastAsia="zh-CN"/>
              </w:rPr>
              <w:t xml:space="preserve">2025年12月</w:t>
            </w:r>
            <w:r>
              <w:rPr>
                <w:rFonts w:hint="eastAsia" w:ascii="宋体" w:hAnsi="宋体" w:eastAsia="宋体" w:cs="宋体"/>
                <w:b/>
                <w:bCs/>
                <w:color w:val="auto"/>
                <w:sz w:val="24"/>
                <w:szCs w:val="24"/>
                <w:highlight w:val="none"/>
              </w:rPr>
              <w:t xml:space="preserve">份以来任意一个月的社保证明材料，否则不予计分</w:t>
            </w:r>
            <w:r>
              <w:rPr>
                <w:rFonts w:hint="eastAsia" w:ascii="宋体" w:hAnsi="宋体" w:eastAsia="宋体" w:cs="宋体"/>
                <w:color w:val="auto"/>
                <w:sz w:val="24"/>
                <w:szCs w:val="24"/>
                <w:highlight w:val="none"/>
              </w:rPr>
              <w:t xml:space="preserve">。</w:t>
            </w:r>
            <w:r/>
          </w:p>
        </w:tc>
        <w:tc>
          <w:tcPr>
            <w:tcW w:w="788"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w:t>
            </w:r>
            <w:r/>
          </w:p>
        </w:tc>
      </w:tr>
    </w:tbl>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以上所提供材料必须真实可靠，伪造证书证件、伪造合同等一切弄虚作假行为，一经发现和查实（含在本项目合同履行期间被查实），采购方有权终止合同，没收履约保证金，并追究供应商经济和法律责任，同时上报有关部门列入诚信黑名单。</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2.评委依据招标文件载明的方法评分，评分四舍五入精确到小数点后两位。</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zh-CN"/>
        </w:rPr>
        <w:t xml:space="preserve">价格标</w:t>
      </w:r>
      <w:r>
        <w:rPr>
          <w:rFonts w:hint="eastAsia" w:ascii="宋体" w:hAnsi="宋体" w:eastAsia="宋体" w:cs="宋体"/>
          <w:b/>
          <w:color w:val="auto"/>
          <w:sz w:val="24"/>
          <w:szCs w:val="24"/>
          <w:highlight w:val="none"/>
        </w:rPr>
        <w:t xml:space="preserve">评分：（30分）</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1、本次项目最高限价：1739531.02元；超过限价作无效标处理。</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2、满足招标文件要求且投标报价最低的报价为评标基准价，其商务标得分为满分。</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3、其他投标供应商的商务标得分按照下列公式计算：</w:t>
      </w:r>
      <w:r/>
    </w:p>
    <w:p>
      <w:pPr>
        <w:contextualSpacing/>
        <w:ind w:firstLine="48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商务标得分=（评标基准价/投标报价）×30%×100</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（三）政府采购政策功能落实 </w:t>
      </w:r>
      <w:bookmarkEnd w:id="12"/>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3.1小微型企业价格扣除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（1）本项目对小型和微型企业产品给予10%的扣除价格，用扣除后的价格参与评审。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（2）供应商需按照《政府采购促进中小企业发展管理办法》（财库﹝2020﹞46号）的规定提供相应的《中小企业声明函》。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（4）本次采购对应的中小企业划分标准所属行业为：</w:t>
      </w:r>
      <w:r>
        <w:rPr>
          <w:rFonts w:hint="eastAsia" w:ascii="宋体" w:hAnsi="宋体" w:eastAsia="宋体" w:cs="宋体"/>
          <w:b/>
          <w:bCs/>
          <w:color w:val="auto"/>
          <w:sz w:val="24"/>
          <w:szCs w:val="24"/>
          <w:highlight w:val="none"/>
          <w:u w:val="single"/>
        </w:rPr>
        <w:t xml:space="preserve">工业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3.2残疾人福利单位价格扣除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（1）本项目对残疾人福利性单位，给予10%的价格扣除，用扣除后的价格参与评审。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3.3监狱和戒毒企业价格扣除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（1）本项目对监狱和戒毒企业（简称监狱企业）给予10%的价格扣除，用扣除后的价格参与评审。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3.4残疾人福利单位、监狱企业属于小型、微型企业的，不重复享受政策。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3.6联合体各方均为小型、微型企业（残疾人福利单位、监狱企业）的，联合体享受上述同类价格扣除，用扣除后的价格参与评审。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3.7专门面向中小企业采购的项目或者采购包，不再执行价格评审优惠的扶持政策。</w:t>
      </w:r>
      <w:r/>
    </w:p>
    <w:p>
      <w:pPr>
        <w:ind w:firstLine="480"/>
        <w:spacing w:line="360" w:lineRule="auto"/>
        <w:rPr>
          <w:rFonts w:hint="eastAsia" w:ascii="宋体" w:hAnsi="宋体" w:eastAsia="宋体" w:cs="宋体"/>
          <w:b/>
          <w:color w:val="auto"/>
          <w:sz w:val="24"/>
          <w:szCs w:val="24"/>
          <w:highlight w:val="none"/>
        </w:rPr>
      </w:pPr>
      <w:r/>
      <w:bookmarkStart w:id="19" w:name="_Toc363573857"/>
      <w:r>
        <w:rPr>
          <w:rFonts w:hint="eastAsia" w:ascii="宋体" w:hAnsi="宋体" w:eastAsia="宋体" w:cs="宋体"/>
          <w:b/>
          <w:color w:val="auto"/>
          <w:sz w:val="24"/>
          <w:szCs w:val="24"/>
          <w:highlight w:val="none"/>
        </w:rPr>
        <w:t xml:space="preserve">（四）中标人的确定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汇总各评委评分后，按照综合得分从高到低的顺序推荐前三名中标候选人，得分相同的，按投标报价由低到高顺序排列。得分且投标报价相同的并列。投标文件满足招标文件全部实质性要求，且按照评审因素的量化指标评审得分最高的投标人为排名第一的中标候选人，并编写评标报告。</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招标人委托评标委员会直接确定中标人。</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九、评标争议</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评标时评委对评标的细则若有争议，由评标委员会评委集体讨论确定，并对未尽情况有最终解释权。</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十、落标原因</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评标委员会不对落标的投标人做落标原因的解释。</w:t>
      </w:r>
      <w:r/>
    </w:p>
    <w:p>
      <w:pPr>
        <w:jc w:val="left"/>
        <w:widowControl/>
        <w:rPr>
          <w:rFonts w:hint="eastAsia" w:ascii="宋体" w:hAnsi="宋体" w:eastAsia="宋体" w:cs="宋体"/>
          <w:b/>
          <w:color w:val="auto"/>
          <w:sz w:val="36"/>
          <w:szCs w:val="36"/>
          <w:highlight w:val="none"/>
        </w:rPr>
      </w:pPr>
      <w:r/>
      <w:bookmarkStart w:id="20" w:name="_Toc15653"/>
      <w:r>
        <w:rPr>
          <w:rFonts w:hint="eastAsia" w:ascii="宋体" w:hAnsi="宋体" w:eastAsia="宋体" w:cs="宋体"/>
          <w:b/>
          <w:color w:val="auto"/>
          <w:sz w:val="36"/>
          <w:szCs w:val="36"/>
          <w:highlight w:val="none"/>
        </w:rPr>
        <w:br w:type="page" w:clear="all"/>
      </w:r>
      <w:r/>
    </w:p>
    <w:p>
      <w:pPr>
        <w:ind w:firstLine="723"/>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第五章 合同主要条款</w:t>
      </w:r>
      <w:bookmarkEnd w:id="20"/>
      <w:r/>
      <w:r/>
    </w:p>
    <w:p>
      <w:pPr>
        <w:pStyle w:val="969"/>
        <w:jc w:val="center"/>
        <w:rPr>
          <w:rFonts w:hint="eastAsia" w:ascii="宋体" w:hAnsi="宋体" w:cs="宋体"/>
          <w:b/>
          <w:bCs/>
          <w:color w:val="auto"/>
          <w:sz w:val="48"/>
          <w:szCs w:val="48"/>
          <w:highlight w:val="none"/>
        </w:rPr>
      </w:pPr>
      <w:r/>
      <w:bookmarkStart w:id="21" w:name="_Toc3995"/>
      <w:r/>
      <w:r/>
    </w:p>
    <w:p>
      <w:pPr>
        <w:pStyle w:val="969"/>
        <w:jc w:val="center"/>
        <w:rPr>
          <w:rFonts w:hint="eastAsia" w:ascii="宋体" w:hAnsi="宋体" w:cs="宋体"/>
          <w:b/>
          <w:bCs/>
          <w:color w:val="auto"/>
          <w:sz w:val="48"/>
          <w:szCs w:val="48"/>
          <w:highlight w:val="none"/>
        </w:rPr>
      </w:pPr>
      <w:r>
        <w:rPr>
          <w:rFonts w:hint="eastAsia" w:ascii="宋体" w:hAnsi="宋体" w:cs="宋体"/>
          <w:b/>
          <w:bCs/>
          <w:color w:val="auto"/>
          <w:sz w:val="48"/>
          <w:szCs w:val="48"/>
          <w:highlight w:val="none"/>
        </w:rPr>
      </w:r>
      <w:r/>
    </w:p>
    <w:p>
      <w:pPr>
        <w:pStyle w:val="969"/>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pStyle w:val="969"/>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pStyle w:val="969"/>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pStyle w:val="969"/>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政府采购货物买卖合同</w:t>
      </w:r>
      <w:r/>
    </w:p>
    <w:p>
      <w:pPr>
        <w:pStyle w:val="969"/>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（试行）</w:t>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pStyle w:val="969"/>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pStyle w:val="969"/>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pStyle w:val="969"/>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pStyle w:val="969"/>
        <w:rPr>
          <w:color w:val="auto"/>
          <w:highlight w:val="none"/>
        </w:rPr>
      </w:pPr>
      <w:r>
        <w:rPr>
          <w:color w:val="auto"/>
          <w:highlight w:val="none"/>
        </w:rPr>
      </w:r>
      <w:r/>
    </w:p>
    <w:p>
      <w:pPr>
        <w:ind w:left="5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30"/>
          <w:szCs w:val="30"/>
          <w:highlight w:val="none"/>
        </w:rPr>
        <w:t xml:space="preserve">项目名称：</w:t>
      </w:r>
      <w:r>
        <w:rPr>
          <w:rFonts w:hint="eastAsia" w:ascii="宋体" w:hAnsi="宋体" w:eastAsia="宋体" w:cs="宋体"/>
          <w:color w:val="auto"/>
          <w:sz w:val="28"/>
          <w:szCs w:val="28"/>
          <w:highlight w:val="none"/>
          <w:u w:val="single"/>
        </w:rPr>
        <w:t xml:space="preserve">2026年崇川区城建中心市政道路监控项目（第四批）</w:t>
      </w:r>
      <w:r/>
    </w:p>
    <w:p>
      <w:pPr>
        <w:ind w:left="520"/>
        <w:spacing w:line="360" w:lineRule="auto"/>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合同编号：</w:t>
      </w:r>
      <w:r>
        <w:rPr>
          <w:rFonts w:hint="eastAsia" w:ascii="宋体" w:hAnsi="宋体" w:eastAsia="宋体" w:cs="宋体"/>
          <w:color w:val="auto"/>
          <w:sz w:val="30"/>
          <w:szCs w:val="30"/>
          <w:highlight w:val="none"/>
          <w:u w:val="single"/>
        </w:rPr>
        <w:t xml:space="preserve">                                         </w:t>
      </w:r>
      <w:r/>
    </w:p>
    <w:p>
      <w:pPr>
        <w:ind w:left="52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甲    方：</w:t>
      </w:r>
      <w:r>
        <w:rPr>
          <w:rFonts w:hint="eastAsia" w:ascii="宋体" w:hAnsi="宋体" w:eastAsia="宋体" w:cs="宋体"/>
          <w:color w:val="auto"/>
          <w:sz w:val="30"/>
          <w:szCs w:val="30"/>
          <w:highlight w:val="none"/>
          <w:u w:val="single"/>
        </w:rPr>
        <w:t xml:space="preserve">                                         </w:t>
      </w:r>
      <w:r/>
    </w:p>
    <w:p>
      <w:pPr>
        <w:ind w:left="520"/>
        <w:spacing w:line="360" w:lineRule="auto"/>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乙    方：</w:t>
      </w:r>
      <w:r>
        <w:rPr>
          <w:rFonts w:hint="eastAsia" w:ascii="宋体" w:hAnsi="宋体" w:eastAsia="宋体" w:cs="宋体"/>
          <w:color w:val="auto"/>
          <w:sz w:val="30"/>
          <w:szCs w:val="30"/>
          <w:highlight w:val="none"/>
          <w:u w:val="single"/>
        </w:rPr>
        <w:t xml:space="preserve">                                         </w:t>
      </w:r>
      <w:r/>
    </w:p>
    <w:p>
      <w:pPr>
        <w:ind w:left="52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签订时间：</w:t>
      </w:r>
      <w:r>
        <w:rPr>
          <w:rFonts w:hint="eastAsia" w:ascii="宋体" w:hAnsi="宋体" w:eastAsia="宋体" w:cs="宋体"/>
          <w:color w:val="auto"/>
          <w:sz w:val="30"/>
          <w:szCs w:val="30"/>
          <w:highlight w:val="none"/>
          <w:u w:val="single"/>
        </w:rPr>
        <w:t xml:space="preserve">                                         </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b/>
          <w:bCs/>
          <w:color w:val="auto"/>
          <w:sz w:val="40"/>
          <w:szCs w:val="40"/>
          <w:highlight w:val="none"/>
        </w:rPr>
      </w:pPr>
      <w:r>
        <w:rPr>
          <w:rFonts w:hint="eastAsia" w:ascii="宋体" w:hAnsi="宋体" w:eastAsia="宋体" w:cs="宋体"/>
          <w:color w:val="auto"/>
          <w:sz w:val="44"/>
          <w:szCs w:val="44"/>
          <w:highlight w:val="none"/>
        </w:rPr>
        <w:br w:type="page" w:clear="all"/>
      </w:r>
      <w:r>
        <w:rPr>
          <w:rFonts w:hint="eastAsia" w:ascii="宋体" w:hAnsi="宋体" w:eastAsia="宋体" w:cs="宋体"/>
          <w:b/>
          <w:bCs/>
          <w:color w:val="auto"/>
          <w:sz w:val="40"/>
          <w:szCs w:val="40"/>
          <w:highlight w:val="none"/>
        </w:rPr>
        <w:t xml:space="preserve">使用说明</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1.本合同标准文本适用于购买现成货物的采购项目，不包括需要供应商定制开发、创新研发的货物采购项目。</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2.本合同标准文本为政府采购货物买卖合同编制提供参考，可以结合采购项目具体情况，对文本作必要的调整修订后使用。</w:t>
      </w:r>
      <w:r/>
    </w:p>
    <w:p>
      <w:pPr>
        <w:ind w:firstLine="560"/>
        <w:rPr>
          <w:rFonts w:hint="eastAsia" w:ascii="宋体" w:hAnsi="宋体" w:eastAsia="宋体" w:cs="宋体"/>
          <w:color w:val="auto"/>
          <w:sz w:val="32"/>
          <w:szCs w:val="32"/>
          <w:highlight w:val="none"/>
        </w:rPr>
      </w:pPr>
      <w:r>
        <w:rPr>
          <w:rFonts w:hint="eastAsia" w:ascii="宋体" w:hAnsi="宋体" w:eastAsia="宋体" w:cs="宋体"/>
          <w:color w:val="auto"/>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hint="eastAsia" w:ascii="宋体" w:hAnsi="宋体" w:eastAsia="宋体" w:cs="宋体"/>
          <w:color w:val="auto"/>
          <w:sz w:val="44"/>
          <w:szCs w:val="44"/>
          <w:highlight w:val="none"/>
        </w:rPr>
        <w:sectPr>
          <w:headerReference w:type="default" r:id="rId13"/>
          <w:footerReference w:type="default" r:id="rId2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44"/>
          <w:szCs w:val="44"/>
          <w:highlight w:val="none"/>
        </w:rPr>
      </w:r>
      <w:bookmarkEnd w:id="21"/>
      <w:r/>
    </w:p>
    <w:p>
      <w:pPr>
        <w:pStyle w:val="950"/>
        <w:jc w:val="center"/>
        <w:spacing w:line="400" w:lineRule="exact"/>
        <w:rPr>
          <w:rFonts w:hint="eastAsia" w:eastAsia="宋体" w:cs="宋体"/>
          <w:bCs/>
          <w:color w:val="auto"/>
          <w:sz w:val="28"/>
          <w:szCs w:val="28"/>
          <w:highlight w:val="none"/>
        </w:rPr>
      </w:pPr>
      <w:r/>
      <w:bookmarkStart w:id="22" w:name="_Toc22209"/>
      <w:r>
        <w:rPr>
          <w:rFonts w:hint="eastAsia" w:eastAsia="宋体" w:cs="宋体"/>
          <w:bCs/>
          <w:color w:val="auto"/>
          <w:sz w:val="28"/>
          <w:szCs w:val="28"/>
          <w:highlight w:val="none"/>
        </w:rPr>
        <w:t xml:space="preserve">第一节 政府采购合同协议书</w:t>
      </w:r>
      <w:bookmarkEnd w:id="22"/>
      <w:r/>
      <w:r/>
    </w:p>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4800" w:hanging="48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（采购人、受采购人委托签订合同的单位或采购文件约定的合同甲方）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乙方1（全称）：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w:t>
      </w:r>
      <w:r/>
    </w:p>
    <w:p>
      <w:pPr>
        <w:ind w:left="4800" w:hanging="48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乙方2（全称）：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（联合体成员供应商或其他合同主体）（如有）</w:t>
      </w:r>
      <w:r/>
    </w:p>
    <w:p>
      <w:pPr>
        <w:ind w:left="4800" w:hanging="48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乙方3（全称）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（联合体成员供应商或其他合同主体）（如有）</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0"/>
        <w:ind w:left="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项目信息</w:t>
      </w:r>
      <w:r/>
    </w:p>
    <w:p>
      <w:pPr>
        <w:pStyle w:val="970"/>
        <w:numPr>
          <w:ilvl w:val="0"/>
          <w:numId w:val="5"/>
        </w:numPr>
        <w:ind w:left="0" w:firstLine="480"/>
        <w:spacing w:line="360" w:lineRule="auto"/>
        <w:rPr>
          <w:rFonts w:ascii="宋体" w:hAnsi="宋体" w:eastAsia="宋体" w:cs="宋体"/>
          <w:color w:val="auto"/>
          <w:sz w:val="24"/>
          <w:szCs w:val="24"/>
          <w:highlight w:val="none"/>
          <w:u w:val="single"/>
        </w:rPr>
      </w:pPr>
      <w:r>
        <w:rPr>
          <w:rFonts w:ascii="宋体" w:hAnsi="宋体" w:eastAsia="宋体" w:cs="宋体"/>
          <w:color w:val="auto"/>
          <w:sz w:val="24"/>
          <w:szCs w:val="24"/>
          <w:highlight w:val="none"/>
        </w:rPr>
        <w:t xml:space="preserve">采购项目名称：</w:t>
      </w:r>
      <w:r>
        <w:rPr>
          <w:rFonts w:ascii="宋体" w:hAnsi="宋体" w:eastAsia="宋体" w:cs="宋体"/>
          <w:color w:val="auto"/>
          <w:sz w:val="24"/>
          <w:szCs w:val="24"/>
          <w:highlight w:val="none"/>
          <w:u w:val="single"/>
        </w:rPr>
        <w:t xml:space="preserve">                                          </w:t>
      </w:r>
      <w:r/>
    </w:p>
    <w:p>
      <w:pPr>
        <w:pStyle w:val="970"/>
        <w:numPr>
          <w:ilvl w:val="255"/>
          <w:numId w:val="0"/>
        </w:numPr>
        <w:ind w:firstLine="480"/>
        <w:spacing w:line="360" w:lineRule="auto"/>
        <w:tabs>
          <w:tab w:val="left" w:pos="999"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采购项目编号：</w:t>
      </w:r>
      <w:r>
        <w:rPr>
          <w:rFonts w:ascii="宋体" w:hAnsi="宋体" w:eastAsia="宋体" w:cs="宋体"/>
          <w:color w:val="auto"/>
          <w:sz w:val="24"/>
          <w:szCs w:val="24"/>
          <w:highlight w:val="none"/>
          <w:u w:val="single"/>
        </w:rPr>
        <w:t xml:space="preserve">                                          </w:t>
      </w:r>
      <w:r/>
    </w:p>
    <w:p>
      <w:pPr>
        <w:pStyle w:val="970"/>
        <w:ind w:left="0"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（2）采购计划编号：</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采购标的及数量（台/套</w:t>
      </w:r>
      <w:r>
        <w:rPr>
          <w:rFonts w:hint="eastAsia" w:ascii="宋体" w:hAnsi="宋体" w:eastAsia="宋体" w:cs="宋体"/>
          <w:color w:val="auto"/>
          <w:sz w:val="24"/>
          <w:szCs w:val="24"/>
          <w:highlight w:val="none"/>
          <w:lang w:val="en"/>
        </w:rPr>
        <w:t xml:space="preserve">/个/架/组等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numPr>
          <w:ilvl w:val="255"/>
          <w:numId w:val="0"/>
        </w:numPr>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
        </w:rPr>
        <w:t xml:space="preserve">     </w:t>
      </w:r>
      <w:r>
        <w:rPr>
          <w:rFonts w:hint="eastAsia" w:ascii="宋体" w:hAnsi="宋体" w:eastAsia="宋体" w:cs="宋体"/>
          <w:color w:val="auto"/>
          <w:sz w:val="24"/>
          <w:szCs w:val="24"/>
          <w:highlight w:val="none"/>
        </w:rPr>
        <w:t xml:space="preserve">规格型号：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采购标的的技术要求、商务要求具体见附件。</w:t>
      </w:r>
      <w:r/>
    </w:p>
    <w:p>
      <w:pPr>
        <w:numPr>
          <w:ilvl w:val="255"/>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①涉及信息类产品，请填写该产品关键部件的品牌、型号：</w:t>
      </w:r>
      <w:r/>
    </w:p>
    <w:p>
      <w:pPr>
        <w:numPr>
          <w:ilvl w:val="255"/>
          <w:numId w:val="0"/>
        </w:num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标的名称：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p>
    <w:p>
      <w:pPr>
        <w:numPr>
          <w:ilvl w:val="255"/>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1020"/>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1020"/>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p>
    <w:p>
      <w:pPr>
        <w:pStyle w:val="1020"/>
        <w:numPr>
          <w:ilvl w:val="255"/>
          <w:numId w:val="0"/>
        </w:num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1020"/>
        <w:numPr>
          <w:ilvl w:val="255"/>
          <w:numId w:val="0"/>
        </w:num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②涉及车辆采购，请填写是否属于新能源汽车：</w:t>
      </w:r>
      <w:r/>
    </w:p>
    <w:p>
      <w:pPr>
        <w:pStyle w:val="1020"/>
        <w:numPr>
          <w:ilvl w:val="255"/>
          <w:numId w:val="0"/>
        </w:numPr>
        <w:ind w:firstLine="480"/>
        <w:jc w:val="both"/>
        <w:spacing w:line="360" w:lineRule="auto"/>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是，《政府采购品目分类目录》底级品目名称：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数量：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金额：</w:t>
      </w:r>
      <w:r/>
    </w:p>
    <w:p>
      <w:pPr>
        <w:pStyle w:val="1020"/>
        <w:numPr>
          <w:ilvl w:val="255"/>
          <w:numId w:val="0"/>
        </w:numPr>
        <w:ind w:firstLine="480"/>
        <w:jc w:val="both"/>
        <w:spacing w:line="360" w:lineRule="auto"/>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否</w:t>
      </w:r>
      <w:r/>
    </w:p>
    <w:p>
      <w:pPr>
        <w:pStyle w:val="1020"/>
        <w:numPr>
          <w:ilvl w:val="255"/>
          <w:numId w:val="0"/>
        </w:num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4</w:t>
      </w:r>
      <w:r>
        <w:rPr>
          <w:rFonts w:hint="eastAsia" w:ascii="宋体" w:hAnsi="宋体" w:eastAsia="宋体" w:cs="宋体"/>
          <w:color w:val="auto"/>
          <w:sz w:val="24"/>
          <w:szCs w:val="24"/>
          <w:highlight w:val="none"/>
        </w:rPr>
        <w:t xml:space="preserve">）政府采购组织形式：</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政府集中采购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部门集中采购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分散采购</w:t>
      </w:r>
      <w:r/>
    </w:p>
    <w:p>
      <w:pPr>
        <w:pStyle w:val="1020"/>
        <w:numPr>
          <w:ilvl w:val="255"/>
          <w:numId w:val="0"/>
        </w:num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5</w:t>
      </w:r>
      <w:r>
        <w:rPr>
          <w:rFonts w:hint="eastAsia" w:ascii="宋体" w:hAnsi="宋体" w:eastAsia="宋体" w:cs="宋体"/>
          <w:color w:val="auto"/>
          <w:sz w:val="24"/>
          <w:szCs w:val="24"/>
          <w:highlight w:val="none"/>
        </w:rPr>
        <w:t xml:space="preserve">）政府采购方式：</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公开招标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邀请招标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竞争性谈判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竞争性磋商</w:t>
      </w:r>
      <w:r/>
    </w:p>
    <w:p>
      <w:pPr>
        <w:pStyle w:val="1020"/>
        <w:numPr>
          <w:ilvl w:val="255"/>
          <w:numId w:val="0"/>
        </w:numPr>
        <w:ind w:firstLine="480"/>
        <w:jc w:val="both"/>
        <w:spacing w:line="360" w:lineRule="auto"/>
        <w:rPr>
          <w:rFonts w:hint="eastAsia" w:ascii="宋体" w:hAnsi="宋体" w:eastAsia="宋体" w:cs="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询价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单一来源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框架协议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u w:val="single"/>
        </w:rPr>
        <w:t xml:space="preserve">          </w:t>
      </w:r>
      <w:r/>
    </w:p>
    <w:p>
      <w:pPr>
        <w:pStyle w:val="1020"/>
        <w:numPr>
          <w:ilvl w:val="255"/>
          <w:numId w:val="0"/>
        </w:num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（注：在框架协议采购的第二阶段，可选择使用该合同文本）</w:t>
      </w:r>
      <w:r/>
    </w:p>
    <w:p>
      <w:pPr>
        <w:pStyle w:val="1020"/>
        <w:numPr>
          <w:ilvl w:val="255"/>
          <w:numId w:val="0"/>
        </w:num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6</w:t>
      </w:r>
      <w:r>
        <w:rPr>
          <w:rFonts w:hint="eastAsia" w:ascii="宋体" w:hAnsi="宋体" w:eastAsia="宋体" w:cs="宋体"/>
          <w:color w:val="auto"/>
          <w:sz w:val="24"/>
          <w:szCs w:val="24"/>
          <w:highlight w:val="none"/>
        </w:rPr>
        <w:t xml:space="preserve">）中标（成交）采购标的制造商是否为中小企业：</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numPr>
          <w:ilvl w:val="255"/>
          <w:numId w:val="0"/>
        </w:numPr>
        <w:ind w:firstLine="480"/>
        <w:spacing w:line="360" w:lineRule="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本合同是否为专门面向中小企业的采购合同（中小企业预留合同）：</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numPr>
          <w:ilvl w:val="255"/>
          <w:numId w:val="0"/>
        </w:numPr>
        <w:ind w:firstLine="480"/>
        <w:spacing w:line="360" w:lineRule="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若本项目不专门面向中小企业采购，是否给予小微企业评审优惠：</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numPr>
          <w:ilvl w:val="255"/>
          <w:numId w:val="0"/>
        </w:numPr>
        <w:ind w:firstLine="480"/>
        <w:spacing w:line="360" w:lineRule="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中标（成交）采购标的制造商是否为残疾人福利性单位：</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中标（成交）采购标的制造商是否为监狱企业：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7</w:t>
      </w:r>
      <w:r>
        <w:rPr>
          <w:rFonts w:hint="eastAsia" w:ascii="宋体" w:hAnsi="宋体" w:eastAsia="宋体" w:cs="宋体"/>
          <w:color w:val="auto"/>
          <w:sz w:val="24"/>
          <w:szCs w:val="24"/>
          <w:highlight w:val="none"/>
        </w:rPr>
        <w:t xml:space="preserve">）合同是否分包：</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分包主要内容：</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分包供应商/制造商名称（如供应商和制造商不同，请分别填写）：</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分包供应商/制造商类型（如果供应商和制造商不同，只填写制造商类型）：</w:t>
      </w:r>
      <w:r/>
    </w:p>
    <w:p>
      <w:pPr>
        <w:ind w:firstLine="480"/>
        <w:spacing w:line="360" w:lineRule="auto"/>
        <w:rPr>
          <w:rFonts w:hint="eastAsia" w:ascii="宋体" w:hAnsi="宋体" w:eastAsia="宋体" w:cs="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大型企业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中型企业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小微型企业  </w:t>
      </w:r>
      <w:r/>
    </w:p>
    <w:p>
      <w:pPr>
        <w:ind w:firstLine="480"/>
        <w:spacing w:line="360" w:lineRule="auto"/>
        <w:rPr>
          <w:rFonts w:hint="eastAsia" w:ascii="宋体" w:hAnsi="宋体" w:eastAsia="宋体" w:cs="宋体"/>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残疾人福利性单位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监狱企业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其他</w:t>
      </w:r>
      <w:r/>
    </w:p>
    <w:p>
      <w:pPr>
        <w:numPr>
          <w:ilvl w:val="255"/>
          <w:numId w:val="0"/>
        </w:numPr>
        <w:ind w:firstLine="480"/>
        <w:spacing w:line="360" w:lineRule="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8</w:t>
      </w:r>
      <w:r>
        <w:rPr>
          <w:rFonts w:hint="eastAsia" w:ascii="宋体" w:hAnsi="宋体" w:eastAsia="宋体" w:cs="宋体"/>
          <w:color w:val="auto"/>
          <w:sz w:val="24"/>
          <w:szCs w:val="24"/>
          <w:highlight w:val="none"/>
        </w:rPr>
        <w:t xml:space="preserve">）中标（成交）供应商是否为外商投资企业：</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pStyle w:val="1020"/>
        <w:ind w:firstLine="480"/>
        <w:jc w:val="both"/>
        <w:spacing w:line="360" w:lineRule="auto"/>
        <w:tabs>
          <w:tab w:val="left" w:pos="134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外商投资企业类型：</w:t>
      </w:r>
      <w:r>
        <w:rPr>
          <w:rFonts w:ascii="Wingdings" w:hAnsi="Wingdings" w:eastAsia="Wingdings" w:cs="Wingdings"/>
          <w:iCs/>
          <w:color w:val="auto"/>
          <w:sz w:val="24"/>
          <w:szCs w:val="24"/>
          <w:highlight w:val="none"/>
        </w:rPr>
        <w:t xml:space="preserve">¨</w:t>
      </w:r>
      <w:r>
        <w:rPr>
          <w:rFonts w:hint="eastAsia" w:ascii="宋体" w:hAnsi="宋体" w:eastAsia="宋体" w:cs="宋体"/>
          <w:color w:val="auto"/>
          <w:sz w:val="24"/>
          <w:szCs w:val="24"/>
          <w:highlight w:val="none"/>
        </w:rPr>
        <w:t xml:space="preserve">全部由外国投资者投资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部分由外国投资者投资</w:t>
      </w:r>
      <w:r/>
    </w:p>
    <w:p>
      <w:pPr>
        <w:numPr>
          <w:ilvl w:val="255"/>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9</w:t>
      </w:r>
      <w:r>
        <w:rPr>
          <w:rFonts w:hint="eastAsia" w:ascii="宋体" w:hAnsi="宋体" w:eastAsia="宋体" w:cs="宋体"/>
          <w:color w:val="auto"/>
          <w:sz w:val="24"/>
          <w:szCs w:val="24"/>
          <w:highlight w:val="none"/>
        </w:rPr>
        <w:t xml:space="preserve">）是否涉及进口产品：</w:t>
      </w:r>
      <w:r/>
    </w:p>
    <w:p>
      <w:pPr>
        <w:numPr>
          <w:ilvl w:val="255"/>
          <w:numId w:val="0"/>
        </w:numPr>
        <w:ind w:firstLine="480"/>
        <w:spacing w:line="360" w:lineRule="auto"/>
        <w:rPr>
          <w:rFonts w:hint="eastAsia" w:ascii="宋体" w:hAnsi="宋体" w:eastAsia="宋体" w:cs="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是，《政府采购品目分类目录》底级品目名称：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金额：</w:t>
      </w:r>
      <w:r>
        <w:rPr>
          <w:rFonts w:hint="eastAsia" w:ascii="宋体" w:hAnsi="宋体" w:eastAsia="宋体" w:cs="宋体"/>
          <w:color w:val="auto"/>
          <w:sz w:val="24"/>
          <w:szCs w:val="24"/>
          <w:highlight w:val="none"/>
          <w:u w:val="single"/>
        </w:rPr>
        <w:t xml:space="preserve">        </w:t>
      </w:r>
      <w:r/>
    </w:p>
    <w:p>
      <w:pPr>
        <w:numPr>
          <w:ilvl w:val="255"/>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规格型号：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numPr>
          <w:ilvl w:val="255"/>
          <w:numId w:val="0"/>
        </w:numPr>
        <w:ind w:firstLine="480"/>
        <w:spacing w:line="360" w:lineRule="auto"/>
        <w:tabs>
          <w:tab w:val="left" w:pos="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
        </w:rPr>
        <w:t xml:space="preserve">0</w:t>
      </w:r>
      <w:r>
        <w:rPr>
          <w:rFonts w:hint="eastAsia" w:ascii="宋体" w:hAnsi="宋体" w:eastAsia="宋体" w:cs="宋体"/>
          <w:color w:val="auto"/>
          <w:sz w:val="24"/>
          <w:szCs w:val="24"/>
          <w:highlight w:val="none"/>
        </w:rPr>
        <w:t xml:space="preserve">）是否涉及节能产品：</w:t>
      </w:r>
      <w:r/>
    </w:p>
    <w:p>
      <w:pPr>
        <w:numPr>
          <w:ilvl w:val="255"/>
          <w:numId w:val="0"/>
        </w:numPr>
        <w:ind w:firstLine="480"/>
        <w:spacing w:line="360" w:lineRule="auto"/>
        <w:tabs>
          <w:tab w:val="left" w:pos="740" w:leader="none"/>
        </w:tabs>
        <w:rPr>
          <w:rFonts w:hint="eastAsia" w:ascii="宋体" w:hAnsi="宋体" w:eastAsia="宋体" w:cs="宋体"/>
          <w:iCs/>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是，《节能产品政府采购品目清单》的底级品目名称：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iCs/>
          <w:color w:val="auto"/>
          <w:sz w:val="24"/>
          <w:szCs w:val="24"/>
          <w:highlight w:val="none"/>
        </w:rPr>
        <w:t xml:space="preserve">     </w:t>
      </w:r>
      <w:r/>
    </w:p>
    <w:p>
      <w:pPr>
        <w:numPr>
          <w:ilvl w:val="255"/>
          <w:numId w:val="0"/>
        </w:numPr>
        <w:ind w:firstLine="480"/>
        <w:spacing w:line="360" w:lineRule="auto"/>
        <w:tabs>
          <w:tab w:val="left" w:pos="740" w:leader="none"/>
        </w:tabs>
        <w:rPr>
          <w:rFonts w:hint="eastAsia" w:ascii="宋体" w:hAnsi="宋体" w:eastAsia="宋体" w:cs="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优先采购    </w:t>
      </w:r>
      <w:r/>
    </w:p>
    <w:p>
      <w:pPr>
        <w:numPr>
          <w:ilvl w:val="255"/>
          <w:numId w:val="0"/>
        </w:numPr>
        <w:ind w:firstLine="480"/>
        <w:spacing w:line="360" w:lineRule="auto"/>
        <w:tabs>
          <w:tab w:val="left" w:pos="740" w:leader="none"/>
        </w:tabs>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numPr>
          <w:ilvl w:val="255"/>
          <w:numId w:val="0"/>
        </w:numPr>
        <w:ind w:firstLine="480"/>
        <w:spacing w:line="360" w:lineRule="auto"/>
        <w:tabs>
          <w:tab w:val="left" w:pos="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是否涉及环境标志产品：</w:t>
      </w:r>
      <w:r/>
    </w:p>
    <w:p>
      <w:pPr>
        <w:numPr>
          <w:ilvl w:val="255"/>
          <w:numId w:val="0"/>
        </w:numPr>
        <w:ind w:firstLine="480"/>
        <w:spacing w:line="360" w:lineRule="auto"/>
        <w:tabs>
          <w:tab w:val="left" w:pos="740" w:leader="none"/>
        </w:tabs>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是，《环境标志产品政府采购品目清单》的底级品目名称：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iCs/>
          <w:color w:val="auto"/>
          <w:sz w:val="24"/>
          <w:szCs w:val="24"/>
          <w:highlight w:val="none"/>
        </w:rPr>
        <w:t xml:space="preserve"> </w:t>
      </w:r>
      <w:r/>
    </w:p>
    <w:p>
      <w:pPr>
        <w:numPr>
          <w:ilvl w:val="255"/>
          <w:numId w:val="0"/>
        </w:numPr>
        <w:ind w:firstLine="480"/>
        <w:spacing w:line="360" w:lineRule="auto"/>
        <w:tabs>
          <w:tab w:val="left" w:pos="740" w:leader="none"/>
        </w:tabs>
        <w:rPr>
          <w:rFonts w:hint="eastAsia" w:ascii="宋体" w:hAnsi="宋体" w:eastAsia="宋体" w:cs="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优先采购    </w:t>
      </w:r>
      <w:r/>
    </w:p>
    <w:p>
      <w:pPr>
        <w:numPr>
          <w:ilvl w:val="255"/>
          <w:numId w:val="0"/>
        </w:numPr>
        <w:ind w:firstLine="480"/>
        <w:spacing w:line="360" w:lineRule="auto"/>
        <w:tabs>
          <w:tab w:val="left" w:pos="740" w:leader="none"/>
        </w:tabs>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1020"/>
        <w:numPr>
          <w:ilvl w:val="255"/>
          <w:numId w:val="0"/>
        </w:num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是否涉及绿色产品： </w:t>
      </w:r>
      <w:r/>
    </w:p>
    <w:p>
      <w:pPr>
        <w:pStyle w:val="1020"/>
        <w:ind w:firstLine="480"/>
        <w:jc w:val="both"/>
        <w:spacing w:line="360" w:lineRule="auto"/>
        <w:rPr>
          <w:rFonts w:hint="eastAsia" w:ascii="宋体" w:hAnsi="宋体" w:eastAsia="宋体" w:cs="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是，绿色产品政府采购相关政策确定的底级品目名称：</w:t>
      </w:r>
      <w:r>
        <w:rPr>
          <w:rFonts w:hint="eastAsia" w:ascii="宋体" w:hAnsi="宋体" w:eastAsia="宋体" w:cs="宋体"/>
          <w:color w:val="auto"/>
          <w:sz w:val="24"/>
          <w:szCs w:val="24"/>
          <w:highlight w:val="none"/>
          <w:u w:val="single"/>
        </w:rPr>
        <w:t xml:space="preserve">         </w:t>
      </w:r>
      <w:r/>
    </w:p>
    <w:p>
      <w:pPr>
        <w:numPr>
          <w:ilvl w:val="255"/>
          <w:numId w:val="0"/>
        </w:numPr>
        <w:ind w:firstLine="480"/>
        <w:spacing w:line="360" w:lineRule="auto"/>
        <w:tabs>
          <w:tab w:val="left" w:pos="740" w:leader="none"/>
        </w:tabs>
        <w:rPr>
          <w:rFonts w:hint="eastAsia" w:ascii="宋体" w:hAnsi="宋体" w:eastAsia="宋体" w:cs="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优先采购    </w:t>
      </w:r>
      <w:r/>
    </w:p>
    <w:p>
      <w:pPr>
        <w:pStyle w:val="1020"/>
        <w:ind w:firstLine="480"/>
        <w:jc w:val="both"/>
        <w:spacing w:line="360" w:lineRule="auto"/>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numPr>
          <w:ilvl w:val="255"/>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
        </w:rPr>
        <w:t xml:space="preserve">1</w:t>
      </w:r>
      <w:r>
        <w:rPr>
          <w:rFonts w:hint="eastAsia" w:ascii="宋体" w:hAnsi="宋体" w:eastAsia="宋体" w:cs="宋体"/>
          <w:color w:val="auto"/>
          <w:sz w:val="24"/>
          <w:szCs w:val="24"/>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480"/>
        <w:spacing w:line="360" w:lineRule="auto"/>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不涉及</w:t>
      </w:r>
      <w:r/>
    </w:p>
    <w:p>
      <w:pPr>
        <w:numPr>
          <w:ilvl w:val="0"/>
          <w:numId w:val="4"/>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合同金额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（1）合同金额小写：</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分包金额（如有）小写：</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（注：固定单价合同应填写单价和最高限价）</w:t>
      </w:r>
      <w:r/>
    </w:p>
    <w:p>
      <w:pPr>
        <w:numPr>
          <w:ilvl w:val="255"/>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（2）合同定价方式（采用组合定价方式的，可以勾选多项）：</w:t>
      </w:r>
      <w:r/>
    </w:p>
    <w:p>
      <w:pPr>
        <w:ind w:firstLine="480"/>
        <w:spacing w:line="360" w:lineRule="auto"/>
        <w:rPr>
          <w:rFonts w:hint="eastAsia" w:ascii="宋体" w:hAnsi="宋体" w:eastAsia="宋体" w:cs="宋体"/>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固定总价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固定单价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固定费率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成本补偿 </w:t>
      </w:r>
      <w:r>
        <w:rPr>
          <w:rFonts w:ascii="Wingdings" w:hAnsi="Wingdings" w:eastAsia="Wingdings" w:cs="Wingdings"/>
          <w:iCs/>
          <w:color w:val="auto"/>
          <w:sz w:val="24"/>
          <w:szCs w:val="24"/>
          <w:highlight w:val="none"/>
        </w:rPr>
        <w:t xml:space="preserve">¨</w:t>
      </w:r>
      <w:r>
        <w:rPr>
          <w:rFonts w:hint="eastAsia" w:ascii="宋体" w:hAnsi="宋体" w:eastAsia="宋体" w:cs="宋体"/>
          <w:iCs/>
          <w:color w:val="auto"/>
          <w:sz w:val="24"/>
          <w:szCs w:val="24"/>
          <w:highlight w:val="none"/>
        </w:rPr>
        <w:t xml:space="preserve">绩效激励 </w:t>
      </w:r>
      <w:r>
        <w:rPr>
          <w:rFonts w:ascii="Wingdings" w:hAnsi="Wingdings" w:eastAsia="Wingdings" w:cs="Wingdings"/>
          <w:iCs/>
          <w:color w:val="auto"/>
          <w:sz w:val="24"/>
          <w:szCs w:val="24"/>
          <w:highlight w:val="none"/>
        </w:rPr>
        <w:t xml:space="preserve">þ</w:t>
      </w:r>
      <w:r>
        <w:rPr>
          <w:rFonts w:hint="eastAsia" w:ascii="宋体" w:hAnsi="宋体" w:eastAsia="宋体" w:cs="宋体"/>
          <w:iCs/>
          <w:color w:val="auto"/>
          <w:sz w:val="24"/>
          <w:szCs w:val="24"/>
          <w:highlight w:val="none"/>
        </w:rPr>
        <w:t xml:space="preserve">其他</w:t>
      </w:r>
      <w:r>
        <w:rPr>
          <w:rFonts w:hint="eastAsia" w:ascii="宋体" w:hAnsi="宋体" w:eastAsia="宋体" w:cs="宋体"/>
          <w:color w:val="auto"/>
          <w:sz w:val="24"/>
          <w:szCs w:val="24"/>
          <w:highlight w:val="none"/>
          <w:u w:val="single"/>
        </w:rPr>
        <w:t xml:space="preserve"> 全费用固定单价 </w:t>
      </w:r>
      <w:r/>
    </w:p>
    <w:p>
      <w:pPr>
        <w:pStyle w:val="1256"/>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（3）付款方式（按项目实际勾选填写）：</w:t>
      </w:r>
      <w:r/>
    </w:p>
    <w:p>
      <w:pPr>
        <w:ind w:firstLine="480"/>
        <w:spacing w:line="360" w:lineRule="auto"/>
        <w:rPr>
          <w:rFonts w:hint="eastAsia" w:ascii="宋体" w:hAnsi="宋体" w:eastAsia="宋体" w:cs="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全额付款：</w:t>
      </w:r>
      <w:r>
        <w:rPr>
          <w:rFonts w:hint="eastAsia" w:ascii="宋体" w:hAnsi="宋体" w:eastAsia="宋体" w:cs="宋体"/>
          <w:color w:val="auto"/>
          <w:sz w:val="24"/>
          <w:szCs w:val="24"/>
          <w:highlight w:val="none"/>
          <w:u w:val="single"/>
        </w:rPr>
        <w:t xml:space="preserve">     （应明确一次性支付合同款项的条件）                    </w:t>
      </w:r>
      <w:r/>
    </w:p>
    <w:p>
      <w:pPr>
        <w:ind w:firstLine="480"/>
        <w:spacing w:line="360" w:lineRule="auto"/>
        <w:rPr>
          <w:rFonts w:hint="eastAsia" w:ascii="宋体" w:hAnsi="宋体" w:eastAsia="宋体" w:cs="宋体"/>
          <w:color w:val="auto"/>
          <w:sz w:val="24"/>
          <w:szCs w:val="24"/>
          <w:highlight w:val="none"/>
          <w:u w:val="singl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分期付款：</w:t>
      </w:r>
      <w:r>
        <w:rPr>
          <w:rFonts w:hint="eastAsia" w:ascii="宋体" w:hAnsi="宋体" w:eastAsia="宋体" w:cs="宋体"/>
          <w:color w:val="auto"/>
          <w:sz w:val="24"/>
          <w:szCs w:val="24"/>
          <w:highlight w:val="none"/>
          <w:u w:val="single"/>
        </w:rPr>
        <w:t xml:space="preserve"> （1）项目验收合格且移交手续完成，付至合同价的80%；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（2）结算审计完成后，付至审定价的95%；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（3）其余尾款在验收合格满五年且运行良好的情况下，一次性付清；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（4）每次付款前，中标单位须向招标方提供对应金额的发票。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其中涉及预付款的：</w:t>
      </w:r>
      <w:r>
        <w:rPr>
          <w:rFonts w:hint="eastAsia" w:ascii="宋体" w:hAnsi="宋体" w:eastAsia="宋体" w:cs="宋体"/>
          <w:color w:val="auto"/>
          <w:sz w:val="24"/>
          <w:szCs w:val="24"/>
          <w:highlight w:val="none"/>
          <w:u w:val="single"/>
        </w:rPr>
        <w:t xml:space="preserve"> / </w:t>
      </w:r>
      <w:r/>
    </w:p>
    <w:p>
      <w:pPr>
        <w:ind w:firstLine="480"/>
        <w:spacing w:line="360" w:lineRule="auto"/>
        <w:rPr>
          <w:rFonts w:hint="eastAsia" w:ascii="宋体" w:hAnsi="宋体" w:eastAsia="宋体" w:cs="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成本补偿：</w:t>
      </w:r>
      <w:r>
        <w:rPr>
          <w:rFonts w:hint="eastAsia" w:ascii="宋体" w:hAnsi="宋体" w:eastAsia="宋体" w:cs="宋体"/>
          <w:color w:val="auto"/>
          <w:sz w:val="24"/>
          <w:szCs w:val="24"/>
          <w:highlight w:val="none"/>
          <w:u w:val="single"/>
        </w:rPr>
        <w:t xml:space="preserve">      （应明确按照成本补偿方式的支付方式和支付条件）   </w:t>
      </w:r>
      <w:r/>
    </w:p>
    <w:p>
      <w:pPr>
        <w:ind w:firstLine="480"/>
        <w:spacing w:line="360" w:lineRule="auto"/>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绩效激励：</w:t>
      </w:r>
      <w:r>
        <w:rPr>
          <w:rFonts w:hint="eastAsia" w:ascii="宋体" w:hAnsi="宋体" w:eastAsia="宋体" w:cs="宋体"/>
          <w:color w:val="auto"/>
          <w:sz w:val="24"/>
          <w:szCs w:val="24"/>
          <w:highlight w:val="none"/>
          <w:u w:val="single"/>
        </w:rPr>
        <w:t xml:space="preserve">      （应明确按照绩效激励方式的支付方式和支付条件）   </w:t>
      </w:r>
      <w:r/>
    </w:p>
    <w:p>
      <w:pPr>
        <w:numPr>
          <w:ilvl w:val="0"/>
          <w:numId w:val="4"/>
        </w:numPr>
        <w:ind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合同履行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（1）起始日期：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日，完成日期：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（2）履约地点</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（3）履约担保：</w:t>
      </w:r>
      <w:r>
        <w:rPr>
          <w:rFonts w:hint="eastAsia" w:ascii="宋体" w:hAnsi="宋体" w:eastAsia="宋体" w:cs="宋体"/>
          <w:color w:val="auto"/>
          <w:sz w:val="24"/>
          <w:szCs w:val="24"/>
          <w:highlight w:val="none"/>
        </w:rPr>
        <w:t xml:space="preserve">是否收取履约保证金：</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1020"/>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收取履约保证金形式：</w:t>
      </w:r>
      <w:r>
        <w:rPr>
          <w:rFonts w:hint="eastAsia" w:ascii="宋体" w:hAnsi="宋体" w:eastAsia="宋体" w:cs="宋体"/>
          <w:bCs/>
          <w:color w:val="auto"/>
          <w:sz w:val="24"/>
          <w:szCs w:val="24"/>
          <w:highlight w:val="none"/>
          <w:u w:val="single"/>
        </w:rPr>
        <w:t xml:space="preserve">   缴纳方式不限              </w:t>
      </w:r>
      <w:r/>
    </w:p>
    <w:p>
      <w:pPr>
        <w:pStyle w:val="1020"/>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收取履约保证金金额：</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履约担保期限：</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（4）分期履行要求：</w:t>
      </w:r>
      <w:r>
        <w:rPr>
          <w:rFonts w:hint="eastAsia" w:ascii="宋体" w:hAnsi="宋体" w:eastAsia="宋体" w:cs="宋体"/>
          <w:bCs/>
          <w:color w:val="auto"/>
          <w:sz w:val="24"/>
          <w:szCs w:val="24"/>
          <w:highlight w:val="none"/>
          <w:u w:val="single"/>
        </w:rPr>
        <w:t xml:space="preserve">乙方全部履约合同义务，经甲方验收合格无质量、进度等问题的，甲方在验收合格后后30个工作日内一次性退还履约保证金；如甲方迟于约定时间退还履约保证金，除不可抗力因素外，自超过付款期限之日起，按照逾期部分的每日0.01%支付违约金。</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（5）风险处置措施和替代方案：</w:t>
      </w:r>
      <w:r>
        <w:rPr>
          <w:rFonts w:hint="eastAsia" w:ascii="宋体" w:hAnsi="宋体" w:eastAsia="宋体" w:cs="宋体"/>
          <w:bCs/>
          <w:color w:val="auto"/>
          <w:sz w:val="24"/>
          <w:szCs w:val="24"/>
          <w:highlight w:val="none"/>
          <w:u w:val="single"/>
        </w:rPr>
        <w:t xml:space="preserve">发生以下情况的，履约保证金不予退还或部分退还：①签订合同后，乙方不履行合同义务的，甲方有权全额扣除履约保证金，全额不予退还，同时甲方亦有权终止合同，乙方还须承担相应的法律赔偿责任。②乙方在履约过程中发生违约行为，给甲方造成损失的，甲方有权在乙方缴纳的履约保证金中予以扣款，以弥补甲方经济损失，不足的部分乙方另外补齐。</w:t>
      </w:r>
      <w:r/>
    </w:p>
    <w:p>
      <w:pPr>
        <w:numPr>
          <w:ilvl w:val="0"/>
          <w:numId w:val="4"/>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合同验收</w:t>
      </w:r>
      <w:r/>
    </w:p>
    <w:p>
      <w:pPr>
        <w:numPr>
          <w:ilvl w:val="0"/>
          <w:numId w:val="6"/>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验收组织方式：</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自行组织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委托第三方组织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验收主体：</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是否邀请本项目的其他供应商参加验收：</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是否邀请专家参加验收：</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是否邀请服务对象参加验收：</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是否邀请第三方检测机构参加验收：</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是否进行抽查检测：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是，抽查比例：</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是否存在破坏性检测：</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u w:val="single"/>
        </w:rPr>
        <w:t xml:space="preserve">（应明确对被破坏的检测产品的处理方式）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验收组织的其他事项：</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（2）履约验收时间：</w:t>
      </w:r>
      <w:r>
        <w:rPr>
          <w:rFonts w:hint="eastAsia" w:ascii="宋体" w:hAnsi="宋体" w:eastAsia="宋体" w:cs="宋体"/>
          <w:bCs/>
          <w:color w:val="auto"/>
          <w:sz w:val="24"/>
          <w:szCs w:val="24"/>
          <w:highlight w:val="none"/>
          <w:u w:val="single"/>
        </w:rPr>
        <w:t xml:space="preserve">（计划于何时验收/供应商提出验收申请之日起   日内组织验收）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一次性验收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分期/分项验收：</w:t>
      </w:r>
      <w:r>
        <w:rPr>
          <w:rFonts w:hint="eastAsia" w:ascii="宋体" w:hAnsi="宋体" w:eastAsia="宋体" w:cs="宋体"/>
          <w:bCs/>
          <w:color w:val="auto"/>
          <w:sz w:val="24"/>
          <w:szCs w:val="24"/>
          <w:highlight w:val="none"/>
          <w:u w:val="single"/>
        </w:rPr>
        <w:t xml:space="preserve">（应明确分期</w:t>
      </w:r>
      <w:r>
        <w:rPr>
          <w:rFonts w:hint="eastAsia" w:ascii="宋体" w:hAnsi="宋体" w:eastAsia="宋体" w:cs="宋体"/>
          <w:bCs/>
          <w:color w:val="auto"/>
          <w:sz w:val="24"/>
          <w:szCs w:val="24"/>
          <w:highlight w:val="none"/>
          <w:u w:val="single"/>
          <w:lang w:val="en"/>
        </w:rPr>
        <w:t xml:space="preserve">/分项验收的工作安排</w:t>
      </w:r>
      <w:r>
        <w:rPr>
          <w:rFonts w:hint="eastAsia" w:ascii="宋体" w:hAnsi="宋体" w:eastAsia="宋体" w:cs="宋体"/>
          <w:bCs/>
          <w:color w:val="auto"/>
          <w:sz w:val="24"/>
          <w:szCs w:val="24"/>
          <w:highlight w:val="none"/>
          <w:u w:val="singl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（4）履约验收程序：</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（5）履约验收的内容：</w:t>
      </w:r>
      <w:r>
        <w:rPr>
          <w:rFonts w:hint="eastAsia" w:ascii="宋体" w:hAnsi="宋体" w:eastAsia="宋体" w:cs="宋体"/>
          <w:bCs/>
          <w:color w:val="auto"/>
          <w:sz w:val="24"/>
          <w:szCs w:val="24"/>
          <w:highlight w:val="none"/>
          <w:u w:val="single"/>
        </w:rPr>
        <w:t xml:space="preserve"> （应当包括每一项技术和商务要求的履约情况，特别是落实政府采购扶持中小企业，支持绿色发展和乡村振兴等政策情况）       </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（6）履约验收标准：</w:t>
      </w:r>
      <w:r>
        <w:rPr>
          <w:rFonts w:hint="eastAsia" w:ascii="宋体" w:hAnsi="宋体" w:eastAsia="宋体" w:cs="宋体"/>
          <w:bCs/>
          <w:color w:val="auto"/>
          <w:sz w:val="24"/>
          <w:szCs w:val="24"/>
          <w:highlight w:val="none"/>
          <w:u w:val="single"/>
        </w:rPr>
        <w:t xml:space="preserve">                                         </w:t>
      </w:r>
      <w:r/>
    </w:p>
    <w:p>
      <w:pPr>
        <w:pStyle w:val="1020"/>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（7）是否以采购活动中供应商提供的样品作为参考：</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bCs/>
          <w:color w:val="auto"/>
          <w:sz w:val="24"/>
          <w:szCs w:val="24"/>
          <w:highlight w:val="none"/>
        </w:rPr>
        <w:t xml:space="preserve">否</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（8）履约验收其他事项：</w:t>
      </w:r>
      <w:r>
        <w:rPr>
          <w:rFonts w:hint="eastAsia" w:ascii="宋体" w:hAnsi="宋体" w:eastAsia="宋体" w:cs="宋体"/>
          <w:bCs/>
          <w:color w:val="auto"/>
          <w:sz w:val="24"/>
          <w:szCs w:val="24"/>
          <w:highlight w:val="none"/>
          <w:u w:val="single"/>
        </w:rPr>
        <w:t xml:space="preserve">      （产权过户登记等）          </w:t>
      </w:r>
      <w:r/>
    </w:p>
    <w:p>
      <w:pPr>
        <w:numPr>
          <w:ilvl w:val="0"/>
          <w:numId w:val="4"/>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组成合同的文件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本协议书与下列文件一起构成合同文件，如下述文件之间有任何抵触、矛盾或歧义，应按以下顺序解释：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（1）政府采购合同协议书及其变更、补充协议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（2）政府采购合同专用条款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（3）政府采购合同通用条款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（5）投标（响应）文件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（7）有关技术文件，图纸</w:t>
      </w:r>
      <w:r/>
    </w:p>
    <w:p>
      <w:pPr>
        <w:pStyle w:val="1020"/>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（8）国家法律、行政法规和规章制度规定或合同约定的作为合同组成部分的其他文件</w:t>
      </w:r>
      <w:r/>
    </w:p>
    <w:p>
      <w:pPr>
        <w:numPr>
          <w:ilvl w:val="0"/>
          <w:numId w:val="4"/>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生效。</w:t>
      </w:r>
      <w:r/>
    </w:p>
    <w:p>
      <w:pPr>
        <w:numPr>
          <w:ilvl w:val="0"/>
          <w:numId w:val="4"/>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合同份数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份，甲方执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份，均具有同等法律效力。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合同订立地点：</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附件：具体标的及其技术要求和商务要求、联合协议、分包意向协议等。</w:t>
      </w:r>
      <w:r/>
    </w:p>
    <w:tbl>
      <w:tblPr>
        <w:tblStyle w:val="95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35"/>
        <w:gridCol w:w="2468"/>
        <w:gridCol w:w="2025"/>
        <w:gridCol w:w="2165"/>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szCs w:val="24"/>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ind w:firstLine="115"/>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86"/>
        </w:trPr>
        <w:tc>
          <w:tcPr>
            <w:gridSpan w:val="4"/>
            <w:tcBorders>
              <w:top w:val="single" w:color="auto" w:sz="2" w:space="0"/>
            </w:tcBorders>
            <w:tcW w:w="5000" w:type="pct"/>
            <w:vAlign w:val="center"/>
            <w:textDirection w:val="lrTb"/>
            <w:noWrap w:val="false"/>
          </w:tcPr>
          <w:p>
            <w:pPr>
              <w:pStyle w:val="970"/>
              <w:ind w:left="0"/>
              <w:jc w:val="left"/>
              <w:spacing w:before="120"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注：涉及联合体或其他合同主体的信息应按上表格式加列。</w:t>
            </w:r>
            <w:r/>
          </w:p>
        </w:tc>
      </w:tr>
    </w:tbl>
    <w:p>
      <w:pPr>
        <w:pStyle w:val="950"/>
        <w:jc w:val="center"/>
        <w:spacing w:before="120"/>
        <w:rPr>
          <w:rFonts w:hint="eastAsia" w:eastAsia="宋体" w:cs="宋体"/>
          <w:bCs/>
          <w:color w:val="auto"/>
          <w:sz w:val="28"/>
          <w:szCs w:val="28"/>
          <w:highlight w:val="none"/>
        </w:rPr>
      </w:pPr>
      <w:r>
        <w:rPr>
          <w:rFonts w:hint="eastAsia" w:eastAsia="宋体" w:cs="宋体"/>
          <w:color w:val="auto"/>
          <w:sz w:val="21"/>
          <w:szCs w:val="21"/>
          <w:highlight w:val="none"/>
          <w:u w:val="single"/>
        </w:rPr>
        <w:br w:type="page" w:clear="all"/>
      </w:r>
      <w:bookmarkStart w:id="23" w:name="_Toc27624"/>
      <w:r>
        <w:rPr>
          <w:rFonts w:hint="eastAsia" w:eastAsia="宋体" w:cs="宋体"/>
          <w:bCs/>
          <w:color w:val="auto"/>
          <w:sz w:val="28"/>
          <w:szCs w:val="28"/>
          <w:highlight w:val="none"/>
        </w:rPr>
        <w:t xml:space="preserve">第二节 政府采购合同通用条款</w:t>
      </w:r>
      <w:bookmarkEnd w:id="23"/>
      <w:r/>
      <w:r/>
    </w:p>
    <w:p>
      <w:pPr>
        <w:ind w:firstLine="482"/>
        <w:spacing w:line="360" w:lineRule="auto"/>
        <w:tabs>
          <w:tab w:val="left" w:pos="8820" w:leader="none"/>
          <w:tab w:val="left" w:pos="9345" w:leader="none"/>
          <w:tab w:val="left" w:pos="9765"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定义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1.1合同当事人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（1）采购人（以下称甲方）是指使用财政性资金，通过政府采购方式向供应商购买货物及其相关服务的国家机关、事业单位、团体组织。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（2）供应商（以下称乙方）是指参加政府采购活动并且中标（成交），向采购人提供合同约定的货物及其相关服务的法人、非法人组织或者自然人。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（3）其他合同主体是指除采购人和供应商以外，</w:t>
      </w:r>
      <w:r>
        <w:rPr>
          <w:rFonts w:hint="eastAsia" w:ascii="宋体" w:hAnsi="宋体" w:eastAsia="宋体" w:cs="宋体"/>
          <w:bCs/>
          <w:color w:val="auto"/>
          <w:sz w:val="24"/>
          <w:szCs w:val="24"/>
          <w:highlight w:val="none"/>
        </w:rPr>
        <w:t xml:space="preserve">依法参与合同缔结或履行，享有权利、承担义务的合同当事人</w:t>
      </w:r>
      <w:r>
        <w:rPr>
          <w:rFonts w:hint="eastAsia" w:ascii="宋体" w:hAnsi="宋体" w:eastAsia="宋体" w:cs="宋体"/>
          <w:color w:val="auto"/>
          <w:sz w:val="24"/>
          <w:szCs w:val="24"/>
          <w:highlight w:val="none"/>
        </w:rPr>
        <w:t xml:space="preserve">。</w:t>
      </w:r>
      <w:r/>
    </w:p>
    <w:p>
      <w:pPr>
        <w:ind w:firstLine="48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1.2本合同下列术语应解释为：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w:t>
      </w:r>
      <w:r>
        <w:rPr>
          <w:rFonts w:hint="eastAsia" w:ascii="宋体" w:hAnsi="宋体" w:eastAsia="宋体" w:cs="宋体"/>
          <w:bCs/>
          <w:color w:val="auto"/>
          <w:sz w:val="24"/>
          <w:szCs w:val="24"/>
          <w:highlight w:val="none"/>
        </w:rPr>
        <w:t xml:space="preserve">合同当事人意思表示达成一致的任何协议，包括签署的</w:t>
      </w:r>
      <w:r>
        <w:rPr>
          <w:rFonts w:hint="eastAsia" w:ascii="宋体" w:hAnsi="宋体" w:eastAsia="宋体" w:cs="宋体"/>
          <w:color w:val="auto"/>
          <w:sz w:val="24"/>
          <w:szCs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技术资料和材料等。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（4）“相关服务”系指根据合同规定，乙方应提供的与货物有关的技术、管理和</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ind w:firstLine="48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（7）其他术语解释，见【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numPr>
          <w:ilvl w:val="0"/>
          <w:numId w:val="7"/>
        </w:num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合同标的及金额</w:t>
      </w:r>
      <w:r/>
    </w:p>
    <w:p>
      <w:pPr>
        <w:ind w:firstLine="480"/>
        <w:spacing w:line="360" w:lineRule="auto"/>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rPr>
        <w:t xml:space="preserve">2.1合同标的及金额应与中标（成交）结果一致。乙方为履行本合同而发生的所有费用均应包含在合同价款中，甲方不再另行支付</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任何费用。</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3.履行合同的时间、地点和方式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3.1乙方应当在约定的时间、地点，按照约定方式履行合同。</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4.甲方的权利和义务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4.2甲方有权要求乙方按时提交各阶段有关安排计划，并有权定期核对乙方提供货物数量、规格、质量等内容。甲方有权督促乙方工作并要求乙方更换不符合要求的货物。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4.3甲方有权要求乙方对缺陷部分予以修复，并按合同约定享有货物保修及其他合同约定的权利。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4.4甲方应当按照合同约定及时对交付的货物进行验收，未在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约定的期限内对乙方履约提出任何异议或者向乙方作出任何说明的，视为验收通过。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4.5甲方应当根据合同约定及时向乙方支付合同价款，不得以内部人员变更、履行内部付款流程等为由，拒绝或迟延支付。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约定应由甲方承担的其他义务和责任。</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5.乙方的权利和义务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5.1签署合同后，乙方应确定项目负责人（或项目联系人），负责与本合同有关的事务。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6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5.3乙方有权根据合同约定向甲方收取合同价款。</w:t>
      </w:r>
      <w:r/>
    </w:p>
    <w:p>
      <w:pPr>
        <w:pStyle w:val="96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约定应由乙方承担的其他义务和责任。</w:t>
      </w:r>
      <w:r/>
    </w:p>
    <w:p>
      <w:pPr>
        <w:numPr>
          <w:ilvl w:val="0"/>
          <w:numId w:val="8"/>
        </w:num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合同履行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6.1甲乙双方应当按照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约定顺序履行合同义务；如果没有先后顺序的，应当同时履行。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7.货物包装、运输、保险和交付要求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7.1本合同</w:t>
      </w:r>
      <w:r>
        <w:rPr>
          <w:rFonts w:hint="eastAsia" w:ascii="宋体" w:hAnsi="宋体" w:eastAsia="宋体" w:cs="宋体"/>
          <w:bCs/>
          <w:color w:val="auto"/>
          <w:sz w:val="24"/>
          <w:szCs w:val="24"/>
          <w:highlight w:val="none"/>
        </w:rPr>
        <w:t xml:space="preserve">涉及商品包装、快递包装的，</w:t>
      </w:r>
      <w:r>
        <w:rPr>
          <w:rFonts w:hint="eastAsia" w:ascii="宋体" w:hAnsi="宋体" w:eastAsia="宋体" w:cs="宋体"/>
          <w:color w:val="auto"/>
          <w:sz w:val="24"/>
          <w:szCs w:val="24"/>
          <w:highlight w:val="none"/>
        </w:rPr>
        <w:t xml:space="preserve">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约定的</w:t>
      </w:r>
      <w:r>
        <w:rPr>
          <w:rFonts w:hint="eastAsia" w:ascii="宋体" w:hAnsi="宋体" w:eastAsia="宋体" w:cs="宋体"/>
          <w:color w:val="auto"/>
          <w:sz w:val="24"/>
          <w:szCs w:val="24"/>
          <w:highlight w:val="none"/>
        </w:rPr>
        <w:t xml:space="preserve">指定现场。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乙方负责办理将货物运抵本合同规定的交货地点，并装卸、交付至甲方的一切运输事项，相关费用应包含在合同价款中。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7.3货物保险要求按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规定执行</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7.5乙方在运输到达之前应提前通知甲方，并提示货物运输装卸的注意事项，甲方配合乙方做好货物的接收工作。</w:t>
      </w:r>
      <w:r/>
    </w:p>
    <w:p>
      <w:pPr>
        <w:pStyle w:val="1020"/>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7.6如因包装、运输问题导致货物损毁、丢失或者品质下降，甲方有权要求降价、换货、拒收部分或整批货物，由此产生的费用和损失，均由乙方承担。</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8.质量标准和保证</w:t>
      </w:r>
      <w:r/>
    </w:p>
    <w:p>
      <w:pPr>
        <w:pStyle w:val="974"/>
        <w:ind w:firstLine="480"/>
        <w:spacing w:line="360" w:lineRule="auto"/>
        <w:rPr>
          <w:rFonts w:hint="eastAsia" w:hAnsi="宋体" w:eastAsia="宋体" w:cs="宋体"/>
          <w:b/>
          <w:color w:val="auto"/>
          <w:sz w:val="24"/>
          <w:szCs w:val="24"/>
          <w:highlight w:val="none"/>
        </w:rPr>
      </w:pPr>
      <w:r>
        <w:rPr>
          <w:rFonts w:hint="eastAsia" w:hAnsi="宋体" w:eastAsia="宋体" w:cs="宋体"/>
          <w:color w:val="auto"/>
          <w:sz w:val="24"/>
          <w:szCs w:val="24"/>
          <w:highlight w:val="none"/>
        </w:rPr>
        <w:t xml:space="preserve">8.1质量标准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7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（2）采用中华人民共和国法定计量单位。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（3）乙方所提供的货物应符合国家有关安全、环保、卫生的规定。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8.2保证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规定或乙方书面承诺（两者以较长的为准）的质量保证期内，本保证保持有效。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（2）在质量保证期内所发现的缺陷，甲方应尽快以书面形式通知乙方。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（3）乙方收到通知后，应在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规定的响应时间内以合理的速度免费维修或更换有缺陷的货物或部件。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9.权利瑕疵担保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9.1乙方保证对其出售的货物享有合法的权利。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乙方保证在交付的货物上不存在抵押权等担保物权。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如甲方使用上述货物构成对第三人侵权的，则由乙方承担全部责任。</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 知识产权保护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乙方对其所销售的货物应当享有知识产权或经权利人合法授权，保证没有侵犯任何第三人的知识产权等权利。</w:t>
      </w:r>
      <w:bookmarkStart w:id="24" w:name="_Hlk163047038"/>
      <w:r>
        <w:rPr>
          <w:rFonts w:hint="eastAsia" w:ascii="宋体" w:hAnsi="宋体" w:eastAsia="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24"/>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 保密义务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合同价款支付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合同价款支付按照国库集中支付制度及财政管理相关规定执行。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pStyle w:val="969"/>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 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乙方应当以支票、汇票、本票或者金融机构、担保机构出具的保函等非现金形式提交。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如果乙方出现</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甲方在项目通过验收后按照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规定支付。</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14. </w:t>
      </w:r>
      <w:r>
        <w:rPr>
          <w:rFonts w:hint="eastAsia" w:ascii="宋体" w:hAnsi="宋体" w:eastAsia="宋体" w:cs="宋体"/>
          <w:b/>
          <w:color w:val="auto"/>
          <w:sz w:val="24"/>
          <w:szCs w:val="24"/>
          <w:highlight w:val="none"/>
        </w:rPr>
        <w:t xml:space="preserve">售后服务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除项目不涉及或采购活动中明确约定无须承担外，乙方还应提供下列服务：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（1）货物的现场移动、安装、调试、启动监督及技术支持；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（2）提供货物组装和维修所需的专用工具和辅助材料；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约定的期限内对所有的货物实施运行监督、维修，但前提条件是该服务并不能免除乙方在质量保证期内所承担的义务；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（4）在制造商所在地或指定现场就货物的安装、启动、运营、维护、废弃处置等对甲方操作人员进行培训；</w:t>
      </w:r>
      <w:r/>
    </w:p>
    <w:p>
      <w:pPr>
        <w:pStyle w:val="1020"/>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规定由乙方提供的其他服务。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乙方提供的售后服务的费用已包含在合同价款中，甲方不再另行支付。</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 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15.1质量瑕疵的违约责任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乙方提供的产品不符合合同约定的质量标准或存在产品质量缺陷，甲方有权要求乙方根据</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要求</w:t>
      </w:r>
      <w:r>
        <w:rPr>
          <w:rFonts w:hint="eastAsia" w:ascii="宋体" w:hAnsi="宋体" w:eastAsia="宋体" w:cs="宋体"/>
          <w:color w:val="auto"/>
          <w:sz w:val="24"/>
          <w:szCs w:val="24"/>
          <w:highlight w:val="none"/>
        </w:rPr>
        <w:t xml:space="preserve">及时修理、重作、更换，并承担由此给甲方造成的损失。</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 迟延交货的违约责任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规定执行。如果涉及公共利益，且赔偿金额无法弥补公共利益损失，甲方可要求继续履行或者采取其他补救措施。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迟延支付的违约责任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甲方存在迟延支付乙方合同款项的，应当承担</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规定的逾期付款利息。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15.4其他违约责任根据项目实际需要按</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w:t>
      </w:r>
      <w:r/>
    </w:p>
    <w:p>
      <w:pPr>
        <w:numPr>
          <w:ilvl w:val="0"/>
          <w:numId w:val="9"/>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合同变更、中止与终止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16.1合同的变更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16.2合同的中止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（1）合同履行过程中因供应商就采购文件、采购过程或结果提起投诉的，甲方认为有必要的，可以中止合同的履行。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20"/>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（4）甲方不得以行政区划调整、政府换届、机构或者职能调整以及相关责任人更替为由中止合同。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16.3合同的终止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（2）乙方未按合同约定履行，构成根本性违约的，甲方有权终止合同，并追究乙方的违约责任。</w:t>
      </w:r>
      <w:r/>
    </w:p>
    <w:p>
      <w:pPr>
        <w:pStyle w:val="1020"/>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涉及国家利益、社会公共利益的情形</w:t>
      </w:r>
      <w:r/>
    </w:p>
    <w:p>
      <w:pPr>
        <w:pStyle w:val="1020"/>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17.合同分包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乙方不得将合同转包给其他供应商。涉及合同分包的，乙方应根据采购文件和投标（响应）文件规定进行合同分包。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 不可抗力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不可抗力是指合同双方不能预见、不能避免且不能克服的客观情况。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任何一方对由于不可抗力造成的部分或全部不能履行合同不承担违约责任。但迟延履行后发生不可抗力的，不能免除责任。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 解决争议的方法</w:t>
      </w:r>
      <w:r/>
    </w:p>
    <w:p>
      <w:pPr>
        <w:pStyle w:val="1020"/>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20"/>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pStyle w:val="1020"/>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如甲乙双方有争议的事项不影响合同其他部分的履行，在争议解决期间，合同其他部分应当继续履行。</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20. 政府采购政策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val="en-GB"/>
        </w:rPr>
        <w:t xml:space="preserve">本合同应当按照规定执行政府采购政策。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本合同依法执行政府采购政策的方式和内容，属于合同履约验收的范围。甲乙双方</w:t>
      </w:r>
      <w:r>
        <w:rPr>
          <w:rFonts w:hint="eastAsia" w:ascii="宋体" w:hAnsi="宋体" w:eastAsia="宋体" w:cs="宋体"/>
          <w:color w:val="auto"/>
          <w:sz w:val="24"/>
          <w:szCs w:val="24"/>
          <w:highlight w:val="none"/>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pStyle w:val="96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 法律适用</w:t>
      </w:r>
      <w:r/>
    </w:p>
    <w:p>
      <w:pPr>
        <w:pStyle w:val="1020"/>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本合同的订立、生效、解释、履行及与本合同有关的争议解决，均适用法律、行政法规。</w:t>
      </w:r>
      <w:r/>
    </w:p>
    <w:p>
      <w:pPr>
        <w:pStyle w:val="1020"/>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本合同条款与法律、行政法规的强制性规定不一致的，双方当事人应按照法律、行政法规的强制性规定修改本合同的相关条款。</w:t>
      </w:r>
      <w:r/>
    </w:p>
    <w:p>
      <w:pPr>
        <w:numPr>
          <w:ilvl w:val="255"/>
          <w:numId w:val="0"/>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 通知</w:t>
      </w:r>
      <w:r/>
    </w:p>
    <w:p>
      <w:pPr>
        <w:pStyle w:val="1020"/>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1020"/>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22.3本合同一方给另一方的通知均应采用书面形式，传真或快递送到本合同中规定的对方的地址和办理签收手续。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22.4通知以送达之日或通知书中规定的生效之日起生效，两者中以较迟之日为准。</w:t>
      </w:r>
      <w:r/>
    </w:p>
    <w:p>
      <w:pPr>
        <w:numPr>
          <w:ilvl w:val="0"/>
          <w:numId w:val="10"/>
        </w:num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合同未尽事项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23.1合同未尽事项见</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23.2 合同附件与合同正文具有同等的法律效力。</w:t>
      </w:r>
      <w:bookmarkStart w:id="25" w:name="_Toc20313"/>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pStyle w:val="950"/>
        <w:jc w:val="center"/>
        <w:spacing w:line="360" w:lineRule="auto"/>
        <w:rPr>
          <w:rFonts w:hint="eastAsia" w:eastAsia="宋体" w:cs="宋体"/>
          <w:bCs/>
          <w:color w:val="auto"/>
          <w:sz w:val="28"/>
          <w:szCs w:val="28"/>
          <w:highlight w:val="none"/>
        </w:rPr>
      </w:pPr>
      <w:r>
        <w:rPr>
          <w:rFonts w:hint="eastAsia" w:eastAsia="宋体" w:cs="宋体"/>
          <w:bCs/>
          <w:color w:val="auto"/>
          <w:sz w:val="28"/>
          <w:szCs w:val="28"/>
          <w:highlight w:val="none"/>
        </w:rPr>
        <w:t xml:space="preserve">第三节 政府采购合同专用条款</w:t>
      </w:r>
      <w:bookmarkEnd w:id="25"/>
      <w:r/>
      <w:r/>
    </w:p>
    <w:tbl>
      <w:tblPr>
        <w:tblStyle w:val="95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第1.2（6）项</w:t>
            </w:r>
            <w:r/>
          </w:p>
        </w:tc>
        <w:tc>
          <w:tcPr>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联合体具体要求</w:t>
            </w:r>
            <w:r/>
          </w:p>
        </w:tc>
        <w:tc>
          <w:tcPr>
            <w:tcW w:w="51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604"/>
        </w:trPr>
        <w:tc>
          <w:tcPr>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第1.2（7）项</w:t>
            </w:r>
            <w:r/>
          </w:p>
        </w:tc>
        <w:tc>
          <w:tcPr>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其他术语解释</w:t>
            </w:r>
            <w:r/>
          </w:p>
        </w:tc>
        <w:tc>
          <w:tcPr>
            <w:tcW w:w="51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第4.4款</w:t>
            </w:r>
            <w:r/>
          </w:p>
        </w:tc>
        <w:tc>
          <w:tcPr>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履约验收中甲方提出异议或作出说明的期限</w:t>
            </w:r>
            <w:r/>
          </w:p>
        </w:tc>
        <w:tc>
          <w:tcPr>
            <w:tcW w:w="51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第4.6款</w:t>
            </w:r>
            <w:r/>
          </w:p>
        </w:tc>
        <w:tc>
          <w:tcPr>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约定甲方承担的其他义务和责任</w:t>
            </w:r>
            <w:r/>
          </w:p>
        </w:tc>
        <w:tc>
          <w:tcPr>
            <w:tcW w:w="51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第5.4款</w:t>
            </w:r>
            <w:r/>
          </w:p>
        </w:tc>
        <w:tc>
          <w:tcPr>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约定乙方承担的其他义务和责任</w:t>
            </w:r>
            <w:r/>
          </w:p>
        </w:tc>
        <w:tc>
          <w:tcPr>
            <w:tcW w:w="51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第6.1款</w:t>
            </w:r>
            <w:r/>
          </w:p>
        </w:tc>
        <w:tc>
          <w:tcPr>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履行合同义务的顺序</w:t>
            </w:r>
            <w:r/>
          </w:p>
        </w:tc>
        <w:tc>
          <w:tcPr>
            <w:tcW w:w="51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67"/>
        </w:trPr>
        <w:tc>
          <w:tcPr>
            <w:tcW w:w="1607"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第7.1款</w:t>
            </w:r>
            <w:r/>
          </w:p>
        </w:tc>
        <w:tc>
          <w:tcPr>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包装特殊要求</w:t>
            </w:r>
            <w:r/>
          </w:p>
        </w:tc>
        <w:tc>
          <w:tcPr>
            <w:tcW w:w="51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标的物产品的包装，国家或行业主管部门有规定的，按规定执行</w:t>
            </w:r>
            <w:r/>
          </w:p>
        </w:tc>
      </w:tr>
      <w:tr>
        <w:trPr>
          <w:trHeight w:val="667"/>
        </w:trPr>
        <w:tc>
          <w:tcPr>
            <w:tcW w:w="160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指定现场</w:t>
            </w:r>
            <w:r/>
          </w:p>
        </w:tc>
        <w:tc>
          <w:tcPr>
            <w:tcW w:w="51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采购人指定现场</w:t>
            </w:r>
            <w:r/>
          </w:p>
        </w:tc>
      </w:tr>
      <w:tr>
        <w:trPr>
          <w:trHeight w:val="772"/>
        </w:trPr>
        <w:tc>
          <w:tcPr>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第7.2款</w:t>
            </w:r>
            <w:r/>
          </w:p>
        </w:tc>
        <w:tc>
          <w:tcPr>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运输特殊要求</w:t>
            </w:r>
            <w:r/>
          </w:p>
        </w:tc>
        <w:tc>
          <w:tcPr>
            <w:tcW w:w="51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67"/>
        </w:trPr>
        <w:tc>
          <w:tcPr>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第7.3款</w:t>
            </w:r>
            <w:r/>
          </w:p>
        </w:tc>
        <w:tc>
          <w:tcPr>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保险要求</w:t>
            </w:r>
            <w:r/>
          </w:p>
        </w:tc>
        <w:tc>
          <w:tcPr>
            <w:tcW w:w="51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第8.2（1）项</w:t>
            </w:r>
            <w:r/>
          </w:p>
        </w:tc>
        <w:tc>
          <w:tcPr>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质量保证期</w:t>
            </w:r>
            <w:r/>
          </w:p>
        </w:tc>
        <w:tc>
          <w:tcPr>
            <w:tcW w:w="51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五年质保</w:t>
            </w:r>
            <w:r/>
          </w:p>
        </w:tc>
      </w:tr>
      <w:tr>
        <w:trPr>
          <w:trHeight w:val="736"/>
        </w:trPr>
        <w:tc>
          <w:tcPr>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第8.2（3）项</w:t>
            </w:r>
            <w:r/>
          </w:p>
        </w:tc>
        <w:tc>
          <w:tcPr>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货物质量缺陷</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响应时间</w:t>
            </w:r>
            <w:r/>
          </w:p>
        </w:tc>
        <w:tc>
          <w:tcPr>
            <w:tcW w:w="51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①乙方需在缺陷责任期内派驻一位工程师驻现场维护。</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②乙方为本项目配备24小时服务电话，确保7x24小时保持畅通。</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③乙方应有相应数量的备品备件，保证系统及时修复，系统出现故障时，保证5分钟内响应，一般问题应在2小时内解决。</w:t>
            </w:r>
            <w:r/>
          </w:p>
        </w:tc>
      </w:tr>
      <w:tr>
        <w:trPr>
          <w:trHeight w:val="736"/>
        </w:trPr>
        <w:tc>
          <w:tcPr>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pStyle w:val="1020"/>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第11.1款</w:t>
            </w:r>
            <w:r/>
          </w:p>
        </w:tc>
        <w:tc>
          <w:tcPr>
            <w:tcW w:w="174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其他应当保密的信息</w:t>
            </w:r>
            <w:r/>
          </w:p>
        </w:tc>
        <w:tc>
          <w:tcPr>
            <w:tcW w:w="51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97"/>
        </w:trPr>
        <w:tc>
          <w:tcPr>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第12.2款</w:t>
            </w:r>
            <w:r/>
          </w:p>
        </w:tc>
        <w:tc>
          <w:tcPr>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合同价款支付时间</w:t>
            </w:r>
            <w:r/>
          </w:p>
        </w:tc>
        <w:tc>
          <w:tcPr>
            <w:tcW w:w="51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97"/>
        </w:trPr>
        <w:tc>
          <w:tcPr>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第13.2款</w:t>
            </w:r>
            <w:r/>
          </w:p>
        </w:tc>
        <w:tc>
          <w:tcPr>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履约保证金不予退还的情形</w:t>
            </w:r>
            <w:r/>
          </w:p>
        </w:tc>
        <w:tc>
          <w:tcPr>
            <w:tcW w:w="51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（1）签订合同后，乙方不履行合同义务的，甲方有权全额扣除履约保证金，全额不予退还，同时甲方亦有权终止合同，乙方还须承担相应的法律赔偿责任。</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（2）乙方在履约过程中发生违约行为，给甲方造成损失的，甲方有权在乙方缴纳的履约保证金中予以扣款，以弥补甲方经济损失，不足的部分乙方另外补齐。</w:t>
            </w:r>
            <w:r/>
          </w:p>
        </w:tc>
      </w:tr>
      <w:tr>
        <w:trPr>
          <w:trHeight w:val="736"/>
        </w:trPr>
        <w:tc>
          <w:tcPr>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第13.3款</w:t>
            </w:r>
            <w:r/>
          </w:p>
        </w:tc>
        <w:tc>
          <w:tcPr>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履约保证金退还时间及逾期退还的违约金</w:t>
            </w:r>
            <w:r/>
          </w:p>
        </w:tc>
        <w:tc>
          <w:tcPr>
            <w:tcW w:w="51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乙方全部履约合同义务，经甲方验收合格无质量、进度等问题的，甲方在验收合格后后30个工作日内一次性退还履约保证金；如甲方迟于约定时间退还履约保证金，除不可抗力因素外，自超过付款期限之日起，按照逾期部分的每日0.01%支付违约金。</w:t>
            </w:r>
            <w:r/>
          </w:p>
        </w:tc>
      </w:tr>
      <w:tr>
        <w:trPr>
          <w:trHeight w:val="784"/>
        </w:trPr>
        <w:tc>
          <w:tcPr>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第14.1（3）项</w:t>
            </w:r>
            <w:r/>
          </w:p>
        </w:tc>
        <w:tc>
          <w:tcPr>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运行监督、维修期限</w:t>
            </w:r>
            <w:r/>
          </w:p>
        </w:tc>
        <w:tc>
          <w:tcPr>
            <w:tcW w:w="51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84"/>
        </w:trPr>
        <w:tc>
          <w:tcPr>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第14.1（5）项</w:t>
            </w:r>
            <w:r/>
          </w:p>
        </w:tc>
        <w:tc>
          <w:tcPr>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货物回收的约定</w:t>
            </w:r>
            <w:r/>
          </w:p>
        </w:tc>
        <w:tc>
          <w:tcPr>
            <w:tcW w:w="51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第14.1（6）项</w:t>
            </w:r>
            <w:r/>
          </w:p>
        </w:tc>
        <w:tc>
          <w:tcPr>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乙方提供的其他服务</w:t>
            </w:r>
            <w:r/>
          </w:p>
        </w:tc>
        <w:tc>
          <w:tcPr>
            <w:tcW w:w="51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第15.1款</w:t>
            </w:r>
            <w:r/>
          </w:p>
        </w:tc>
        <w:tc>
          <w:tcPr>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修理、重作、更换相关具体规定</w:t>
            </w:r>
            <w:r/>
          </w:p>
        </w:tc>
        <w:tc>
          <w:tcPr>
            <w:tcW w:w="51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第15.2（2）项</w:t>
            </w:r>
            <w:r/>
          </w:p>
        </w:tc>
        <w:tc>
          <w:tcPr>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迟延交货赔偿费</w:t>
            </w:r>
            <w:r/>
          </w:p>
        </w:tc>
        <w:tc>
          <w:tcPr>
            <w:tcW w:w="5170" w:type="dxa"/>
            <w:vAlign w:val="center"/>
            <w:textDirection w:val="lrTb"/>
            <w:noWrap w:val="false"/>
          </w:tcPr>
          <w:p>
            <w:pPr>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r>
      <w:tr>
        <w:trPr>
          <w:trHeight w:val="736"/>
        </w:trPr>
        <w:tc>
          <w:tcPr>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第15.3款</w:t>
            </w:r>
            <w:r/>
          </w:p>
        </w:tc>
        <w:tc>
          <w:tcPr>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逾期付款利息</w:t>
            </w:r>
            <w:r/>
          </w:p>
        </w:tc>
        <w:tc>
          <w:tcPr>
            <w:tcW w:w="5170" w:type="dxa"/>
            <w:vAlign w:val="center"/>
            <w:textDirection w:val="lrTb"/>
            <w:noWrap w:val="false"/>
          </w:tcPr>
          <w:p>
            <w:pPr>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1.更换项目负责人不得低于投标文件标准，擅自更换处以1万元/人/次违约金。</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2.甲方无正当理由未按合同规定的期限向乙方支付货款的，每逾期1天甲方向乙方支付货款总额的0.05%违约金，累计违约金总额不超过欠款总额的1%。</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逾期交付货物的，每逾期1天，乙方向甲方偿付支付货款总额的0.05%违约金。如乙方逾期交货达一周，则视为乙方不能交付货物，按照根本违约情形处理,甲方有权解除合同，解除合同的通知自到达乙方时生效，乙方还应向甲方支付货款总额10%的违约金。</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有权拒收全部货物的情形：乙方所交付的货物品种、型号、规格、数量、质量不符合合同规定或甲方随机抽样检测不合格的，甲方拒收全部货物的，乙方需在20个日历天内完成更换，因退换货造成逾期交付的，乙方需交纳逾期违约金，逾期违约金按原收货截止日次日起计至合格货物收到之日止，每逾期1天，按货款总额的0.05%计算，若更换后仍无法通过验收的，甲方拒收全部货物，解除合同，扣除全部履约保证金。</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5.乙方未按本合同的规定和“服务承诺”提供售后服务的，应按合同总价款的10%向甲方承担违约责任。</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6.任意一方无故解除合同或因一方过错导致合同不能履约，需赔偿对方合同总价的10%违约金，对方实际损失超出违约金的部分应由违约方补齐。</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因本合同及合同有关事项发生的争议，按下列第</w:t>
            </w:r>
            <w:r>
              <w:rPr>
                <w:rFonts w:hint="eastAsia" w:ascii="宋体" w:hAnsi="宋体" w:eastAsia="宋体" w:cs="宋体"/>
                <w:iCs/>
                <w:color w:val="auto"/>
                <w:sz w:val="24"/>
                <w:szCs w:val="24"/>
                <w:highlight w:val="none"/>
                <w:u w:val="single"/>
              </w:rPr>
              <w:t xml:space="preserve">   </w:t>
            </w:r>
            <w:r>
              <w:rPr>
                <w:rFonts w:hint="eastAsia" w:ascii="宋体" w:hAnsi="宋体" w:eastAsia="宋体" w:cs="宋体"/>
                <w:iCs/>
                <w:color w:val="auto"/>
                <w:sz w:val="24"/>
                <w:szCs w:val="24"/>
                <w:highlight w:val="none"/>
              </w:rPr>
              <w:t xml:space="preserve">种方式解决：</w:t>
            </w:r>
            <w:r/>
          </w:p>
          <w:p>
            <w:pPr>
              <w:jc w:val="left"/>
              <w:spacing w:line="40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（1）向</w:t>
            </w:r>
            <w:r>
              <w:rPr>
                <w:rFonts w:hint="eastAsia" w:ascii="宋体" w:hAnsi="宋体" w:eastAsia="宋体" w:cs="宋体"/>
                <w:iCs/>
                <w:color w:val="auto"/>
                <w:sz w:val="24"/>
                <w:szCs w:val="24"/>
                <w:highlight w:val="none"/>
                <w:u w:val="single"/>
              </w:rPr>
              <w:t xml:space="preserve">                    </w:t>
            </w:r>
            <w:r>
              <w:rPr>
                <w:rFonts w:hint="eastAsia" w:ascii="宋体" w:hAnsi="宋体" w:eastAsia="宋体" w:cs="宋体"/>
                <w:iCs/>
                <w:color w:val="auto"/>
                <w:sz w:val="24"/>
                <w:szCs w:val="24"/>
                <w:highlight w:val="none"/>
              </w:rPr>
              <w:t xml:space="preserve">仲裁委员会申请仲裁，仲裁地点为</w:t>
            </w:r>
            <w:r>
              <w:rPr>
                <w:rFonts w:hint="eastAsia" w:ascii="宋体" w:hAnsi="宋体" w:eastAsia="宋体" w:cs="宋体"/>
                <w:iCs/>
                <w:color w:val="auto"/>
                <w:sz w:val="24"/>
                <w:szCs w:val="24"/>
                <w:highlight w:val="none"/>
                <w:u w:val="single"/>
              </w:rPr>
              <w:t xml:space="preserve">           </w:t>
            </w:r>
            <w:r>
              <w:rPr>
                <w:rFonts w:hint="eastAsia" w:ascii="宋体" w:hAnsi="宋体" w:eastAsia="宋体" w:cs="宋体"/>
                <w:iCs/>
                <w:color w:val="auto"/>
                <w:sz w:val="24"/>
                <w:szCs w:val="24"/>
                <w:highlight w:val="none"/>
              </w:rPr>
              <w:t xml:space="preserve">；</w:t>
            </w:r>
            <w:r/>
          </w:p>
          <w:p>
            <w:pPr>
              <w:jc w:val="left"/>
              <w:rPr>
                <w:rFonts w:hint="eastAsia" w:ascii="宋体" w:hAnsi="宋体" w:eastAsia="宋体" w:cs="宋体"/>
                <w:color w:val="auto"/>
                <w:sz w:val="24"/>
                <w:szCs w:val="24"/>
                <w:highlight w:val="none"/>
                <w:u w:val="single"/>
              </w:rPr>
            </w:pPr>
            <w:r>
              <w:rPr>
                <w:rFonts w:hint="eastAsia" w:ascii="宋体" w:hAnsi="宋体" w:eastAsia="宋体" w:cs="宋体"/>
                <w:iCs/>
                <w:color w:val="auto"/>
                <w:sz w:val="24"/>
                <w:szCs w:val="24"/>
                <w:highlight w:val="none"/>
              </w:rPr>
              <w:t xml:space="preserve">（2）向</w:t>
            </w:r>
            <w:r>
              <w:rPr>
                <w:rFonts w:hint="eastAsia" w:ascii="宋体" w:hAnsi="宋体" w:eastAsia="宋体" w:cs="宋体"/>
                <w:iCs/>
                <w:color w:val="auto"/>
                <w:sz w:val="24"/>
                <w:szCs w:val="24"/>
                <w:highlight w:val="none"/>
                <w:u w:val="single"/>
              </w:rPr>
              <w:t xml:space="preserve">                    </w:t>
            </w:r>
            <w:r>
              <w:rPr>
                <w:rFonts w:hint="eastAsia" w:ascii="宋体" w:hAnsi="宋体" w:eastAsia="宋体" w:cs="宋体"/>
                <w:iCs/>
                <w:color w:val="auto"/>
                <w:sz w:val="24"/>
                <w:szCs w:val="24"/>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第23.1款</w:t>
            </w:r>
            <w:r/>
          </w:p>
        </w:tc>
        <w:tc>
          <w:tcPr>
            <w:tcW w:w="17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其他专用条款</w:t>
            </w:r>
            <w:r/>
          </w:p>
        </w:tc>
        <w:tc>
          <w:tcPr>
            <w:tcW w:w="51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color w:val="auto"/>
          <w:highlight w:val="none"/>
        </w:rPr>
      </w:pPr>
      <w:r>
        <w:rPr>
          <w:color w:val="auto"/>
          <w:highlight w:val="none"/>
        </w:rPr>
      </w:r>
      <w:r/>
    </w:p>
    <w:p>
      <w:pPr>
        <w:rPr>
          <w:rFonts w:hint="eastAsia" w:ascii="宋体" w:hAnsi="宋体" w:eastAsia="宋体" w:cs="宋体"/>
          <w:b/>
          <w:bCs/>
          <w:color w:val="auto"/>
          <w:sz w:val="28"/>
          <w:szCs w:val="44"/>
          <w:highlight w:val="none"/>
        </w:rPr>
      </w:pPr>
      <w:r>
        <w:rPr>
          <w:rFonts w:hint="eastAsia" w:ascii="宋体" w:hAnsi="宋体" w:eastAsia="宋体" w:cs="宋体"/>
          <w:b/>
          <w:bCs/>
          <w:color w:val="auto"/>
          <w:sz w:val="28"/>
          <w:szCs w:val="4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采购人保留对合同修改和完善的权利。</w:t>
      </w:r>
      <w:bookmarkEnd w:id="19"/>
      <w:r/>
      <w:r/>
    </w:p>
    <w:p>
      <w:pPr>
        <w:contextualSpacing/>
        <w:ind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723"/>
        <w:jc w:val="left"/>
        <w:widowControl/>
        <w:rPr>
          <w:rFonts w:hint="eastAsia" w:ascii="宋体" w:hAnsi="宋体" w:eastAsia="宋体" w:cs="宋体"/>
          <w:b/>
          <w:color w:val="auto"/>
          <w:sz w:val="36"/>
          <w:szCs w:val="36"/>
          <w:highlight w:val="none"/>
        </w:rPr>
      </w:pPr>
      <w:r/>
      <w:bookmarkStart w:id="26" w:name="_Toc363573859"/>
      <w:r/>
      <w:r/>
    </w:p>
    <w:p>
      <w:pPr>
        <w:ind w:firstLine="723"/>
        <w:jc w:val="left"/>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contextualSpacing/>
        <w:jc w:val="center"/>
        <w:spacing w:line="360" w:lineRule="auto"/>
        <w:rPr>
          <w:rFonts w:hint="eastAsia" w:ascii="宋体" w:hAnsi="宋体" w:eastAsia="宋体" w:cs="宋体"/>
          <w:b/>
          <w:color w:val="auto"/>
          <w:sz w:val="36"/>
          <w:szCs w:val="36"/>
          <w:highlight w:val="none"/>
        </w:rPr>
        <w:outlineLvl w:val="0"/>
      </w:pPr>
      <w:r/>
      <w:bookmarkStart w:id="27" w:name="_Toc16355"/>
      <w:r>
        <w:rPr>
          <w:rFonts w:hint="eastAsia" w:ascii="宋体" w:hAnsi="宋体" w:eastAsia="宋体" w:cs="宋体"/>
          <w:b/>
          <w:color w:val="auto"/>
          <w:sz w:val="36"/>
          <w:szCs w:val="36"/>
          <w:highlight w:val="none"/>
        </w:rPr>
        <w:t xml:space="preserve">第六章 合同授予</w:t>
      </w:r>
      <w:bookmarkEnd w:id="27"/>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w:t>
      </w:r>
      <w:r>
        <w:rPr>
          <w:rFonts w:hint="eastAsia" w:ascii="宋体" w:hAnsi="宋体" w:eastAsia="宋体" w:cs="宋体"/>
          <w:bCs/>
          <w:color w:val="auto"/>
          <w:sz w:val="24"/>
          <w:szCs w:val="24"/>
          <w:highlight w:val="none"/>
        </w:rPr>
        <w:t xml:space="preserve">自中标通知书发出之日起30日内，中标人凭“中标通知书”及履约缴纳凭证与招标人签订合同。</w:t>
      </w:r>
      <w:r>
        <w:rPr>
          <w:rFonts w:hint="eastAsia" w:ascii="宋体" w:hAnsi="宋体" w:eastAsia="宋体" w:cs="宋体"/>
          <w:color w:val="auto"/>
          <w:sz w:val="24"/>
          <w:szCs w:val="21"/>
          <w:highlight w:val="none"/>
        </w:rPr>
        <w:t xml:space="preserve">合同一式肆份，招标人、中标人各贰份。所签合同不得对招标文件作实质性修改。招标人不得向中标人提出不合理的要求作为签订合同的条件，不得与中标人私下订立背离招标文件实质性内容的协议。</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二、招标人按合同约定积极配合中标人履约，中标人履约到位后，请以书面形式向招标人提出验收申请。</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三、中标人出现违约情形，应当及时纠正或补偿；造成损失的，按合同约定追究违约责任。</w:t>
      </w:r>
      <w:bookmarkEnd w:id="26"/>
      <w:r/>
      <w:r/>
    </w:p>
    <w:p>
      <w:pPr>
        <w:contextualSpacing/>
        <w:ind w:firstLine="480"/>
        <w:spacing w:line="360" w:lineRule="auto"/>
        <w:rPr>
          <w:rFonts w:hint="eastAsia" w:ascii="宋体" w:hAnsi="宋体" w:eastAsia="宋体" w:cs="宋体"/>
          <w:color w:val="auto"/>
          <w:sz w:val="24"/>
          <w:szCs w:val="21"/>
          <w:highlight w:val="none"/>
        </w:rPr>
      </w:pPr>
      <w:r/>
      <w:bookmarkStart w:id="28" w:name="_Toc363573860"/>
      <w:r>
        <w:rPr>
          <w:rFonts w:hint="eastAsia" w:ascii="宋体" w:hAnsi="宋体" w:eastAsia="宋体" w:cs="宋体"/>
          <w:color w:val="auto"/>
          <w:sz w:val="24"/>
          <w:szCs w:val="21"/>
          <w:highlight w:val="none"/>
        </w:rPr>
        <w:t xml:space="preserve">四、不响应付款方式的，视同投标文件无效，按无效投标文件处理。</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五、付款方式详见招标文件第五章，以上项目款的支付不计息。</w:t>
      </w:r>
      <w:r/>
    </w:p>
    <w:p>
      <w:pPr>
        <w:contextualSpacing/>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98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bookmarkStart w:id="29" w:name="_Toc3958"/>
      <w:r>
        <w:rPr>
          <w:rFonts w:hint="eastAsia" w:ascii="宋体" w:hAnsi="宋体" w:eastAsia="宋体" w:cs="宋体"/>
          <w:b/>
          <w:color w:val="auto"/>
          <w:sz w:val="36"/>
          <w:szCs w:val="36"/>
          <w:highlight w:val="none"/>
        </w:rPr>
        <w:t xml:space="preserve">第七章 质疑与投诉</w:t>
      </w:r>
      <w:bookmarkEnd w:id="29"/>
      <w:r/>
      <w:r/>
    </w:p>
    <w:p>
      <w:pPr>
        <w:contextualSpacing/>
        <w:ind w:firstLine="482"/>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一、质疑的提出</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1、提出质疑的投标人应当是参与所质疑项目采购活动的投标人。潜在投标人依法获取其可质疑的招标文件的，可以对招标文件提出质疑。</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2、投标人认为招标文件、招投标过程和招标结果使自己的权益受到损害的，可以在知道或应知其权益受到损害之日起七个工作日内，以书面形式向招标人提出质疑。上述应知其权益受到损害之日，是指：</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2.1对可以质疑的招标文件提出质疑的，为收到招标文件之日或者招标文件公告期限届满之日；</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2.2对采购过程提出质疑的，为各采购程序环节结束之日；</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2.3对中标结果提出质疑的，为中标结果公告期限届满之日。</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投标人应当在法定质疑期内一次性提出针对同一采购程序环节的质疑。</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质疑函必须按照本招标文件中《质疑函范本》要求的格式和内容进行填写。投标人如组成联合体参加招投标活动，则《质疑函范本》中要求签字、盖章、加盖公章之处，联合体各方均须按要求签字、盖章、加盖公章。</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4、对招标方式、招标文件中项目需求、投标人资格条件、评审方法和评审标准、资格审查结果等应当由招标人答复的质疑，请向招标人提出，由招标人负责答复。</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招标人质疑接收人及联系方式，见招标文件第一章。</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 以下情形的质疑不予受理</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5.1 内容不符合《政府采购质疑和投诉办法》财政部第94号令第十二条规定的质疑。</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5.2 超出政府采购法定期限的质疑。</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5.3 未参加招投标活动的投标人。</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5.4投标人组成联合体参加招投标活动，联合体中任何一方或多方未按要求签字、盖章、加盖公章的质疑。</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p>
    <w:p>
      <w:pPr>
        <w:contextualSpacing/>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br w:type="page" w:clear="all"/>
      </w:r>
      <w:r>
        <w:rPr>
          <w:rFonts w:hint="eastAsia" w:ascii="宋体" w:hAnsi="宋体" w:eastAsia="宋体" w:cs="宋体"/>
          <w:color w:val="auto"/>
          <w:sz w:val="24"/>
          <w:szCs w:val="21"/>
          <w:highlight w:val="none"/>
        </w:rPr>
        <w:t xml:space="preserve">附件：</w:t>
      </w:r>
      <w:r/>
    </w:p>
    <w:p>
      <w:pPr>
        <w:contextualSpacing/>
        <w:ind w:firstLine="480"/>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质疑函范本</w:t>
      </w:r>
      <w:r/>
    </w:p>
    <w:p>
      <w:pPr>
        <w:contextualSpacing/>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一、质疑</w:t>
      </w:r>
      <w:r>
        <w:rPr>
          <w:rFonts w:hint="eastAsia" w:ascii="宋体" w:hAnsi="宋体" w:eastAsia="宋体" w:cs="宋体"/>
          <w:color w:val="auto"/>
          <w:sz w:val="24"/>
          <w:szCs w:val="21"/>
          <w:highlight w:val="none"/>
        </w:rPr>
        <w:t xml:space="preserve">投标人</w:t>
      </w:r>
      <w:r>
        <w:rPr>
          <w:rFonts w:hint="eastAsia" w:ascii="宋体" w:hAnsi="宋体" w:eastAsia="宋体" w:cs="宋体"/>
          <w:bCs/>
          <w:color w:val="auto"/>
          <w:sz w:val="24"/>
          <w:szCs w:val="21"/>
          <w:highlight w:val="none"/>
        </w:rPr>
        <w:t xml:space="preserve">基本信息</w:t>
      </w:r>
      <w:r/>
    </w:p>
    <w:p>
      <w:pPr>
        <w:contextualSpacing/>
        <w:ind w:firstLine="480"/>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质疑投标人：</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地址：邮编：</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联系人：联系电话：</w:t>
      </w:r>
      <w:r/>
    </w:p>
    <w:p>
      <w:pPr>
        <w:contextualSpacing/>
        <w:ind w:firstLine="480"/>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授权代表：</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联系电话：</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地址：邮编：</w:t>
      </w:r>
      <w:r/>
    </w:p>
    <w:p>
      <w:pPr>
        <w:contextualSpacing/>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二、质疑项目基本情况</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质疑项目的名称：</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质疑项目的编号：包号：</w:t>
      </w:r>
      <w:r/>
    </w:p>
    <w:p>
      <w:pPr>
        <w:contextualSpacing/>
        <w:ind w:firstLine="480"/>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招标人名称：</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招标文件获取日期：</w:t>
      </w:r>
      <w:r/>
    </w:p>
    <w:p>
      <w:pPr>
        <w:contextualSpacing/>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三、质疑事项具体内容</w:t>
      </w:r>
      <w:r/>
    </w:p>
    <w:p>
      <w:pPr>
        <w:contextualSpacing/>
        <w:ind w:firstLine="480"/>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质疑事项1：</w:t>
      </w:r>
      <w:r/>
    </w:p>
    <w:p>
      <w:pPr>
        <w:contextualSpacing/>
        <w:ind w:firstLine="480"/>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事实依据：</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contextualSpacing/>
        <w:ind w:firstLine="480"/>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法律依据：</w:t>
      </w:r>
      <w:r/>
    </w:p>
    <w:p>
      <w:pPr>
        <w:contextualSpacing/>
        <w:ind w:firstLine="480"/>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r>
      <w:r/>
    </w:p>
    <w:p>
      <w:pPr>
        <w:contextualSpacing/>
        <w:ind w:firstLine="480"/>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质疑事项2</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w:t>
      </w:r>
      <w:r/>
    </w:p>
    <w:p>
      <w:pPr>
        <w:contextualSpacing/>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四、与质疑事项相关的质疑请求</w:t>
      </w:r>
      <w:r/>
    </w:p>
    <w:p>
      <w:pPr>
        <w:contextualSpacing/>
        <w:ind w:firstLine="480"/>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请求：</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签字(签章)：                   公章：                      </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contextualSpacing/>
        <w:ind w:firstLine="482"/>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clear="all"/>
      </w:r>
      <w:r/>
    </w:p>
    <w:p>
      <w:pPr>
        <w:contextualSpacing/>
        <w:ind w:firstLine="482"/>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质疑函制作说明：</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1、投标人提出质疑时，应提交质疑函和必要的证明材料。</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3、质疑投标人若对项目的某一分包进行质疑，质疑函中应列明具体分包号。</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4、质疑函的质疑事项应具体、明确，并有必要的事实依据和法律依据。</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5、质疑函的质疑请求应与质疑事项相关。</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6、质疑投标人为自然人的，质疑函应由本人签字；质疑投标人为法人或者其他组织的，质疑函应由法定代表人、主要负责人，或者其授权代表签字或者盖章，并加盖公章。</w:t>
      </w:r>
      <w:r/>
    </w:p>
    <w:p>
      <w:pPr>
        <w:contextualSpacing/>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24"/>
          <w:szCs w:val="21"/>
          <w:highlight w:val="none"/>
        </w:rPr>
        <w:br w:type="page" w:clear="all"/>
      </w:r>
      <w:bookmarkStart w:id="30" w:name="_Toc27466"/>
      <w:r>
        <w:rPr>
          <w:rFonts w:hint="eastAsia" w:ascii="宋体" w:hAnsi="宋体" w:eastAsia="宋体" w:cs="宋体"/>
          <w:b/>
          <w:color w:val="auto"/>
          <w:sz w:val="36"/>
          <w:szCs w:val="36"/>
          <w:highlight w:val="none"/>
        </w:rPr>
        <w:t xml:space="preserve">第八章 投标文件组成及格式</w:t>
      </w:r>
      <w:bookmarkEnd w:id="28"/>
      <w:r/>
      <w:bookmarkEnd w:id="30"/>
      <w:r/>
      <w:r/>
    </w:p>
    <w:p>
      <w:pPr>
        <w:contextualSpacing/>
        <w:ind w:firstLine="482"/>
        <w:jc w:val="left"/>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一、资格审查文件</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供应商须具有独立法人资格，具有有效的营业执照，有能力按本招标文件规定的要求提供招标物及提供相关伴随服务能力。</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2、如为</w:t>
      </w:r>
      <w:r>
        <w:rPr>
          <w:rFonts w:hint="eastAsia" w:ascii="宋体" w:hAnsi="宋体" w:eastAsia="宋体" w:cs="宋体"/>
          <w:color w:val="auto"/>
          <w:sz w:val="24"/>
          <w:szCs w:val="24"/>
          <w:highlight w:val="none"/>
        </w:rPr>
        <w:t xml:space="preserve">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w:t>
      </w:r>
      <w:r>
        <w:rPr>
          <w:rFonts w:hint="eastAsia" w:ascii="宋体" w:hAnsi="宋体" w:eastAsia="宋体" w:cs="宋体"/>
          <w:bCs/>
          <w:color w:val="auto"/>
          <w:sz w:val="24"/>
          <w:szCs w:val="24"/>
          <w:highlight w:val="none"/>
        </w:rPr>
        <w:t xml:space="preserve">（格式参见附件）。</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3、投标人符合《政府采购法》第二十二条规定条件的声明函（格式参见第八章）。</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4、投标人须提供诚信承诺书（格式参见第八章）。</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bookmarkStart w:id="31" w:name="OLE_LINK6"/>
      <w:r>
        <w:rPr>
          <w:rFonts w:hint="eastAsia" w:ascii="宋体" w:hAnsi="宋体" w:eastAsia="宋体" w:cs="宋体"/>
          <w:bCs/>
          <w:color w:val="auto"/>
          <w:sz w:val="24"/>
          <w:szCs w:val="24"/>
          <w:highlight w:val="none"/>
        </w:rPr>
        <w:t xml:space="preserve">投标声明函（格式参见第八章）。</w:t>
      </w:r>
      <w:bookmarkEnd w:id="31"/>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6、供应商认为需提供的其他材料。</w:t>
      </w:r>
      <w:r/>
    </w:p>
    <w:p>
      <w:pPr>
        <w:contextualSpacing/>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注：以上材料如为复印件均需加盖投标人公章。</w:t>
      </w:r>
      <w:r/>
    </w:p>
    <w:p>
      <w:pPr>
        <w:contextualSpacing/>
        <w:ind w:firstLine="482"/>
        <w:jc w:val="left"/>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二、符合性审查文件</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1、投标响应函；（格式参见第八章）</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2、投标人一般情况表；（格式参见第八章）</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3、商务条款正负偏离表；（格式参见第八章）</w:t>
      </w:r>
      <w:r/>
    </w:p>
    <w:p>
      <w:pPr>
        <w:ind w:firstLine="482"/>
        <w:spacing w:line="360" w:lineRule="auto"/>
        <w:tabs>
          <w:tab w:val="left" w:pos="10080" w:leader="none"/>
          <w:tab w:val="left" w:pos="1044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auto"/>
          <w:sz w:val="24"/>
          <w:szCs w:val="24"/>
          <w:highlight w:val="none"/>
        </w:rPr>
        <w:t xml:space="preserve">技术条款响应正负偏离表；</w:t>
      </w:r>
      <w:r>
        <w:rPr>
          <w:rFonts w:hint="eastAsia" w:ascii="宋体" w:hAnsi="宋体" w:eastAsia="宋体" w:cs="宋体"/>
          <w:bCs/>
          <w:color w:val="auto"/>
          <w:sz w:val="24"/>
          <w:szCs w:val="24"/>
          <w:highlight w:val="none"/>
        </w:rPr>
        <w:t xml:space="preserve">（格式参见第八章）</w:t>
      </w:r>
      <w:r/>
    </w:p>
    <w:p>
      <w:pPr>
        <w:ind w:firstLine="482"/>
        <w:spacing w:line="360" w:lineRule="auto"/>
        <w:tabs>
          <w:tab w:val="left" w:pos="10080" w:leader="none"/>
          <w:tab w:val="left" w:pos="1044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5、采购需求中必须满足的实质性要求</w:t>
      </w:r>
      <w:r/>
    </w:p>
    <w:p>
      <w:pPr>
        <w:ind w:firstLine="482"/>
        <w:spacing w:line="360" w:lineRule="auto"/>
        <w:tabs>
          <w:tab w:val="left" w:pos="10080" w:leader="none"/>
          <w:tab w:val="left" w:pos="10440" w:leader="none"/>
        </w:tabs>
        <w:rPr>
          <w:rFonts w:hint="eastAsia" w:ascii="宋体" w:hAnsi="宋体" w:eastAsia="宋体" w:cs="宋体"/>
          <w:b/>
          <w:bCs/>
          <w:color w:val="auto"/>
          <w:sz w:val="24"/>
          <w:szCs w:val="21"/>
          <w:highlight w:val="none"/>
          <w:u w:val="single"/>
        </w:rPr>
      </w:pPr>
      <w:r>
        <w:rPr>
          <w:rFonts w:hint="eastAsia" w:ascii="宋体" w:hAnsi="宋体" w:eastAsia="宋体" w:cs="宋体"/>
          <w:b/>
          <w:bCs/>
          <w:color w:val="auto"/>
          <w:sz w:val="24"/>
          <w:szCs w:val="24"/>
          <w:highlight w:val="none"/>
          <w:u w:val="single"/>
        </w:rPr>
        <w:t xml:space="preserve">（1）</w:t>
      </w:r>
      <w:r>
        <w:rPr>
          <w:rFonts w:hint="eastAsia" w:ascii="宋体" w:hAnsi="宋体" w:eastAsia="宋体" w:cs="宋体"/>
          <w:b/>
          <w:bCs/>
          <w:color w:val="auto"/>
          <w:sz w:val="24"/>
          <w:szCs w:val="21"/>
          <w:highlight w:val="none"/>
          <w:u w:val="single"/>
        </w:rPr>
        <w:t xml:space="preserve">供应商需提供运营商授权承诺函（格式参见第八章），未提供承诺函的或提供承诺函不符合要求的视为无效投标。</w:t>
      </w:r>
      <w:r/>
    </w:p>
    <w:p>
      <w:pPr>
        <w:ind w:firstLine="482"/>
        <w:spacing w:line="360" w:lineRule="auto"/>
        <w:tabs>
          <w:tab w:val="left" w:pos="10080" w:leader="none"/>
          <w:tab w:val="left" w:pos="10440" w:leader="none"/>
        </w:tabs>
        <w:rPr>
          <w:rFonts w:hint="eastAsia" w:ascii="宋体" w:hAnsi="宋体" w:eastAsia="宋体" w:cs="宋体"/>
          <w:b/>
          <w:bCs/>
          <w:color w:val="auto"/>
          <w:sz w:val="24"/>
          <w:szCs w:val="21"/>
          <w:highlight w:val="none"/>
          <w:u w:val="single"/>
        </w:rPr>
      </w:pPr>
      <w:r>
        <w:rPr>
          <w:rFonts w:hint="eastAsia" w:ascii="宋体" w:hAnsi="宋体" w:eastAsia="宋体" w:cs="宋体"/>
          <w:b/>
          <w:bCs/>
          <w:color w:val="auto"/>
          <w:sz w:val="24"/>
          <w:szCs w:val="21"/>
          <w:highlight w:val="none"/>
          <w:u w:val="single"/>
        </w:rPr>
        <w:t xml:space="preserve">（2）本工程所有子系统的外场设备均需无缝接入南通市交警支队交控中心现有的管理平台中，提供承诺函（格式自拟）。</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6、投标人认为需要提交的其他资料。</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三、商务技术标文件</w:t>
      </w:r>
      <w:r/>
    </w:p>
    <w:p>
      <w:pPr>
        <w:contextualSpacing/>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1、评标办法中所涉及的事项需提供的所有资料。</w:t>
      </w:r>
      <w:r/>
    </w:p>
    <w:p>
      <w:pPr>
        <w:contextualSpacing/>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
          <w:color w:val="auto"/>
          <w:sz w:val="24"/>
          <w:szCs w:val="24"/>
          <w:highlight w:val="none"/>
          <w:u w:val="single"/>
        </w:rPr>
        <w:t xml:space="preserve">2、项目需求中涉及需要投标人提交的材料。</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3、招标文件中未涉及的事项，投标人认为需要提交的其他资料。</w:t>
      </w:r>
      <w:r/>
    </w:p>
    <w:p>
      <w:pPr>
        <w:contextualSpacing/>
        <w:ind w:firstLine="482"/>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Cs/>
          <w:color w:val="auto"/>
          <w:sz w:val="24"/>
          <w:szCs w:val="24"/>
          <w:highlight w:val="none"/>
        </w:rPr>
        <w:t xml:space="preserve">注：为方便评委评审，请投标人按评标办法中所涉及的事项顺序进行编制，可以补充相关材料。</w:t>
      </w:r>
      <w:r/>
    </w:p>
    <w:p>
      <w:pPr>
        <w:contextualSpacing/>
        <w:ind w:firstLine="482"/>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四、价格标</w:t>
      </w:r>
      <w:r/>
    </w:p>
    <w:p>
      <w:pPr>
        <w:contextualSpacing/>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1、投标报价表（格式参见第八章）。</w:t>
      </w:r>
      <w:r/>
    </w:p>
    <w:p>
      <w:pPr>
        <w:contextualSpacing/>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中小企业声明函或残疾人福利性单位声明函或监狱或戒毒企业证明材料（若涉及）。</w:t>
      </w:r>
      <w:r/>
    </w:p>
    <w:p>
      <w:pPr>
        <w:contextualSpacing/>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3、全费用清单报价表。  </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br w:type="page" w:clear="all"/>
      </w:r>
      <w:r>
        <w:rPr>
          <w:rFonts w:hint="eastAsia" w:ascii="宋体" w:hAnsi="宋体" w:eastAsia="宋体" w:cs="宋体"/>
          <w:b/>
          <w:bCs/>
          <w:color w:val="auto"/>
          <w:sz w:val="24"/>
          <w:szCs w:val="21"/>
          <w:highlight w:val="none"/>
        </w:rPr>
        <w:t xml:space="preserve">附件：相关格式</w:t>
      </w:r>
      <w:r/>
    </w:p>
    <w:p>
      <w:pPr>
        <w:ind w:firstLine="482"/>
        <w:jc w:val="center"/>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ind w:firstLine="482"/>
        <w:jc w:val="center"/>
        <w:spacing w:line="360" w:lineRule="auto"/>
        <w:rPr>
          <w:rFonts w:hint="eastAsia" w:ascii="宋体" w:hAnsi="宋体" w:eastAsia="宋体" w:cs="宋体"/>
          <w:b/>
          <w:bCs/>
          <w:color w:val="auto"/>
          <w:sz w:val="24"/>
          <w:szCs w:val="21"/>
          <w:highlight w:val="none"/>
        </w:rPr>
        <w:outlineLvl w:val="1"/>
      </w:pPr>
      <w:r>
        <w:rPr>
          <w:rFonts w:hint="eastAsia" w:ascii="宋体" w:hAnsi="宋体" w:eastAsia="宋体" w:cs="宋体"/>
          <w:b/>
          <w:bCs/>
          <w:color w:val="auto"/>
          <w:sz w:val="24"/>
          <w:szCs w:val="21"/>
          <w:highlight w:val="none"/>
        </w:rPr>
        <w:t xml:space="preserve">1、法定代表人身份证明</w:t>
      </w:r>
      <w:r/>
    </w:p>
    <w:p>
      <w:pPr>
        <w:jc w:val="center"/>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t xml:space="preserve">（法定代表人参加投标时，须出示此证明）</w:t>
      </w:r>
      <w:r/>
    </w:p>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 xml:space="preserve">南通市崇川区城市工程建设管理中心</w:t>
      </w:r>
      <w:r>
        <w:rPr>
          <w:rFonts w:hint="eastAsia" w:ascii="宋体" w:hAnsi="宋体" w:eastAsia="宋体" w:cs="宋体"/>
          <w:color w:val="auto"/>
          <w:sz w:val="24"/>
          <w:szCs w:val="21"/>
          <w:highlight w:val="none"/>
        </w:rPr>
        <w:t xml:space="preserve">：</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我公司法定代表人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参加贵单位组织的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（招标项目名称）的项目投标活动，全权代表我公司处理投标的有关事宜。</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附：法定代表人情况：</w:t>
      </w:r>
      <w:r/>
    </w:p>
    <w:p>
      <w:pPr>
        <w:ind w:firstLine="480"/>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姓名：</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性别：</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年龄：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职务：</w:t>
      </w:r>
      <w:r>
        <w:rPr>
          <w:rFonts w:hint="eastAsia" w:ascii="宋体" w:hAnsi="宋体" w:eastAsia="宋体" w:cs="宋体"/>
          <w:color w:val="auto"/>
          <w:sz w:val="24"/>
          <w:szCs w:val="21"/>
          <w:highlight w:val="none"/>
          <w:u w:val="single"/>
        </w:rPr>
        <w:t xml:space="preserve">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身份证号码：</w:t>
      </w:r>
      <w:r>
        <w:rPr>
          <w:rFonts w:hint="eastAsia" w:ascii="宋体" w:hAnsi="宋体" w:eastAsia="宋体" w:cs="宋体"/>
          <w:color w:val="auto"/>
          <w:sz w:val="24"/>
          <w:szCs w:val="21"/>
          <w:highlight w:val="none"/>
          <w:u w:val="single"/>
        </w:rPr>
        <w:t xml:space="preserve">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手机：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传真：</w:t>
      </w:r>
      <w:r>
        <w:rPr>
          <w:rFonts w:hint="eastAsia" w:ascii="宋体" w:hAnsi="宋体" w:eastAsia="宋体" w:cs="宋体"/>
          <w:color w:val="auto"/>
          <w:sz w:val="24"/>
          <w:szCs w:val="21"/>
          <w:highlight w:val="none"/>
          <w:u w:val="single"/>
        </w:rPr>
        <w:t xml:space="preserve">                       </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单位名称（公章）               法定代表人（签字或盖章）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年   月   日                            年   月    日  </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1004"/>
        <w:rPr>
          <w:rFonts w:hint="eastAsia" w:ascii="宋体" w:hAnsi="宋体"/>
          <w:color w:val="auto"/>
          <w:highlight w:val="none"/>
        </w:rPr>
      </w:pPr>
      <w:r>
        <w:rPr>
          <w:rFonts w:hint="eastAsia" w:ascii="宋体" w:hAnsi="宋体"/>
          <w:color w:val="auto"/>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法定代表人身份证正反面复印件</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（粘贴此处）</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2"/>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jc w:val="center"/>
        <w:spacing w:line="360" w:lineRule="auto"/>
        <w:rPr>
          <w:rFonts w:hint="eastAsia" w:ascii="宋体" w:hAnsi="宋体" w:eastAsia="宋体" w:cs="宋体"/>
          <w:b/>
          <w:bCs/>
          <w:color w:val="auto"/>
          <w:sz w:val="24"/>
          <w:szCs w:val="21"/>
          <w:highlight w:val="none"/>
        </w:rPr>
        <w:outlineLvl w:val="1"/>
      </w:pPr>
      <w:r>
        <w:rPr>
          <w:rFonts w:hint="eastAsia" w:ascii="宋体" w:hAnsi="宋体" w:eastAsia="宋体" w:cs="宋体"/>
          <w:b/>
          <w:bCs/>
          <w:color w:val="auto"/>
          <w:sz w:val="24"/>
          <w:szCs w:val="21"/>
          <w:highlight w:val="none"/>
        </w:rPr>
        <w:br w:type="page" w:clear="all"/>
      </w:r>
      <w:r>
        <w:rPr>
          <w:rFonts w:hint="eastAsia" w:ascii="宋体" w:hAnsi="宋体" w:eastAsia="宋体" w:cs="宋体"/>
          <w:b/>
          <w:bCs/>
          <w:color w:val="auto"/>
          <w:sz w:val="24"/>
          <w:szCs w:val="21"/>
          <w:highlight w:val="none"/>
        </w:rPr>
        <w:t xml:space="preserve">2、授权委托书</w:t>
      </w:r>
      <w:r/>
    </w:p>
    <w:p>
      <w:pPr>
        <w:jc w:val="center"/>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t xml:space="preserve">（被授权人参加投标时，须出示此证明）</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 xml:space="preserve">南通市崇川区城市工程建设管理中心</w:t>
      </w:r>
      <w:r>
        <w:rPr>
          <w:rFonts w:hint="eastAsia" w:ascii="宋体" w:hAnsi="宋体" w:eastAsia="宋体" w:cs="宋体"/>
          <w:color w:val="auto"/>
          <w:sz w:val="24"/>
          <w:szCs w:val="21"/>
          <w:highlight w:val="none"/>
        </w:rPr>
        <w:t xml:space="preserve">：</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兹授权</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（被授权人的姓名）代表我公司参加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（招标项目名称）项目的投标活动，全权处理一切与该项目投标有关的事务。其在办理上述事宜过程中所签署的所有文件我公司均予以承认。</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被授权人无转委托权。特此委托。</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附：被授权人情况：</w:t>
      </w:r>
      <w:r/>
    </w:p>
    <w:p>
      <w:pPr>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姓名：</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性别：</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年龄：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职务：</w:t>
      </w:r>
      <w:r>
        <w:rPr>
          <w:rFonts w:hint="eastAsia" w:ascii="宋体" w:hAnsi="宋体" w:eastAsia="宋体" w:cs="宋体"/>
          <w:color w:val="auto"/>
          <w:sz w:val="24"/>
          <w:szCs w:val="21"/>
          <w:highlight w:val="none"/>
          <w:u w:val="single"/>
        </w:rPr>
        <w:t xml:space="preserve">          </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身份证号码：</w:t>
      </w:r>
      <w:r>
        <w:rPr>
          <w:rFonts w:hint="eastAsia" w:ascii="宋体" w:hAnsi="宋体" w:eastAsia="宋体" w:cs="宋体"/>
          <w:color w:val="auto"/>
          <w:sz w:val="24"/>
          <w:szCs w:val="21"/>
          <w:highlight w:val="none"/>
          <w:u w:val="single"/>
        </w:rPr>
        <w:t xml:space="preserve">                                         </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手机：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传真：</w:t>
      </w:r>
      <w:r>
        <w:rPr>
          <w:rFonts w:hint="eastAsia" w:ascii="宋体" w:hAnsi="宋体" w:eastAsia="宋体" w:cs="宋体"/>
          <w:color w:val="auto"/>
          <w:sz w:val="24"/>
          <w:szCs w:val="21"/>
          <w:highlight w:val="none"/>
          <w:u w:val="single"/>
        </w:rPr>
        <w:t xml:space="preserve">                        </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单位名称（公章）                      法定代表人（签字或盖章）</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年   月   日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法定代表人身份证正反面复印件</w:t>
      </w:r>
      <w:r/>
    </w:p>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（粘贴此处）</w:t>
      </w:r>
      <w:r/>
    </w:p>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被授权人身份证正反面复印件</w:t>
      </w:r>
      <w:r/>
    </w:p>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（粘贴此处）</w:t>
      </w:r>
      <w:r/>
    </w:p>
    <w:p>
      <w:pPr>
        <w:ind w:firstLine="482"/>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jc w:val="center"/>
        <w:spacing w:line="360" w:lineRule="auto"/>
        <w:rPr>
          <w:rFonts w:hint="eastAsia" w:ascii="宋体" w:hAnsi="宋体" w:eastAsia="宋体" w:cs="宋体"/>
          <w:b/>
          <w:bCs/>
          <w:color w:val="auto"/>
          <w:sz w:val="24"/>
          <w:szCs w:val="21"/>
          <w:highlight w:val="none"/>
        </w:rPr>
        <w:outlineLvl w:val="1"/>
      </w:pPr>
      <w:r>
        <w:rPr>
          <w:rFonts w:hint="eastAsia" w:ascii="宋体" w:hAnsi="宋体" w:eastAsia="宋体" w:cs="宋体"/>
          <w:b/>
          <w:bCs/>
          <w:color w:val="auto"/>
          <w:sz w:val="24"/>
          <w:szCs w:val="21"/>
          <w:highlight w:val="none"/>
        </w:rPr>
        <w:br w:type="page" w:clear="all"/>
      </w:r>
      <w:r>
        <w:rPr>
          <w:rFonts w:hint="eastAsia" w:ascii="宋体" w:hAnsi="宋体" w:eastAsia="宋体" w:cs="宋体"/>
          <w:b/>
          <w:bCs/>
          <w:color w:val="auto"/>
          <w:sz w:val="24"/>
          <w:szCs w:val="21"/>
          <w:highlight w:val="none"/>
        </w:rPr>
        <w:t xml:space="preserve">3、投标人符合《政府采购法》第二十二条规定条件的声明函</w:t>
      </w:r>
      <w:r/>
    </w:p>
    <w:p>
      <w:pPr>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u w:val="single"/>
        </w:rPr>
        <w:t xml:space="preserve">南通市崇川区城市工程建设管理中心</w:t>
      </w:r>
      <w:r>
        <w:rPr>
          <w:rFonts w:hint="eastAsia" w:ascii="宋体" w:hAnsi="宋体" w:eastAsia="宋体" w:cs="宋体"/>
          <w:bCs/>
          <w:color w:val="auto"/>
          <w:sz w:val="24"/>
          <w:szCs w:val="21"/>
          <w:highlight w:val="none"/>
        </w:rPr>
        <w:t xml:space="preserve">：</w:t>
      </w:r>
      <w:r/>
    </w:p>
    <w:p>
      <w:pPr>
        <w:ind w:firstLine="480"/>
        <w:spacing w:line="360" w:lineRule="auto"/>
        <w:rPr>
          <w:rFonts w:hint="eastAsia" w:ascii="宋体" w:hAnsi="宋体" w:eastAsia="宋体" w:cs="宋体"/>
          <w:b/>
          <w:bCs/>
          <w:color w:val="auto"/>
          <w:sz w:val="24"/>
          <w:szCs w:val="21"/>
          <w:highlight w:val="none"/>
        </w:rPr>
      </w:pPr>
      <w:r>
        <w:rPr>
          <w:rFonts w:hint="eastAsia" w:ascii="宋体" w:hAnsi="宋体" w:eastAsia="宋体" w:cs="宋体"/>
          <w:bCs/>
          <w:color w:val="auto"/>
          <w:sz w:val="24"/>
          <w:szCs w:val="21"/>
          <w:highlight w:val="none"/>
        </w:rPr>
        <w:t xml:space="preserve">我单位参加</w:t>
      </w:r>
      <w:r>
        <w:rPr>
          <w:rFonts w:hint="eastAsia" w:ascii="宋体" w:hAnsi="宋体" w:eastAsia="宋体" w:cs="宋体"/>
          <w:bCs/>
          <w:color w:val="auto"/>
          <w:sz w:val="24"/>
          <w:szCs w:val="21"/>
          <w:highlight w:val="none"/>
          <w:u w:val="single"/>
        </w:rPr>
        <w:t xml:space="preserve">________________ _</w:t>
      </w:r>
      <w:r>
        <w:rPr>
          <w:rFonts w:hint="eastAsia" w:ascii="宋体" w:hAnsi="宋体" w:eastAsia="宋体" w:cs="宋体"/>
          <w:bCs/>
          <w:color w:val="auto"/>
          <w:sz w:val="24"/>
          <w:szCs w:val="21"/>
          <w:highlight w:val="none"/>
        </w:rPr>
        <w:t xml:space="preserve">（项目名称）投标活动。针对《中华人民共和国政府采购法》第二十二条规定做出如下声明：</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1.我单位具有独立承担民事责任的能力；</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2.我单位具有良好的商业信誉和健全的财务会计制度；</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3.我单位具有履行合同所必需的设备和专业技术能力；</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4.我单位有依法缴纳税收和社会保障资金的良好记录；</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6.我单位满足法律、行政法规规定的其他条件。</w:t>
      </w:r>
      <w:r/>
    </w:p>
    <w:p>
      <w:pPr>
        <w:pStyle w:val="969"/>
        <w:ind w:firstLine="5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（加盖公章）</w:t>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（签字或盖章）</w:t>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pStyle w:val="969"/>
        <w:ind w:firstLine="5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24"/>
          <w:szCs w:val="21"/>
          <w:highlight w:val="none"/>
        </w:rPr>
        <w:outlineLvl w:val="1"/>
      </w:pPr>
      <w:r>
        <w:rPr>
          <w:rFonts w:hint="eastAsia" w:ascii="宋体" w:hAnsi="宋体" w:eastAsia="宋体" w:cs="宋体"/>
          <w:color w:val="auto"/>
          <w:sz w:val="24"/>
          <w:szCs w:val="21"/>
          <w:highlight w:val="none"/>
        </w:rPr>
        <w:br w:type="page" w:clear="all"/>
      </w:r>
      <w:r>
        <w:rPr>
          <w:rFonts w:hint="eastAsia" w:ascii="宋体" w:hAnsi="宋体" w:eastAsia="宋体" w:cs="宋体"/>
          <w:b/>
          <w:bCs/>
          <w:color w:val="auto"/>
          <w:sz w:val="24"/>
          <w:szCs w:val="21"/>
          <w:highlight w:val="none"/>
        </w:rPr>
        <w:t xml:space="preserve">4、诚信承诺书</w:t>
      </w:r>
      <w:r/>
    </w:p>
    <w:p>
      <w:pPr>
        <w:ind w:firstLine="480"/>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left"/>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t xml:space="preserve">南通市崇川区城市工程建设管理中心</w:t>
      </w:r>
      <w:r>
        <w:rPr>
          <w:rFonts w:hint="eastAsia" w:ascii="宋体" w:hAnsi="宋体" w:eastAsia="宋体" w:cs="宋体"/>
          <w:color w:val="auto"/>
          <w:sz w:val="24"/>
          <w:szCs w:val="21"/>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我单位在参加贵单位组织的</w:t>
      </w:r>
      <w:r>
        <w:rPr>
          <w:rFonts w:hint="eastAsia" w:ascii="宋体" w:hAnsi="宋体" w:eastAsia="宋体" w:cs="宋体"/>
          <w:color w:val="auto"/>
          <w:sz w:val="24"/>
          <w:szCs w:val="24"/>
          <w:highlight w:val="none"/>
          <w:u w:val="single"/>
        </w:rPr>
        <w:t xml:space="preserve">             项目</w:t>
      </w:r>
      <w:r>
        <w:rPr>
          <w:rFonts w:hint="eastAsia" w:ascii="宋体" w:hAnsi="宋体" w:eastAsia="宋体" w:cs="宋体"/>
          <w:color w:val="auto"/>
          <w:sz w:val="24"/>
          <w:szCs w:val="24"/>
          <w:highlight w:val="none"/>
        </w:rPr>
        <w:t xml:space="preserve">的招投标活动中，郑重承诺如下：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1、我方申报的所有资料都是真实、准确、完整的；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2、我方无资质挂靠或参与串标、围标、及抬标情形；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3、我方没有被各级行政主管部门做出停止市场行为的处罚；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4、若我方中标，将严格按照规定及时与招标单位签订合同；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5、我方未被“信用中国”网站（www.creditchina.gov.cn）列入失信被执行人、重大税收违法案件当事人名单、政府采购严重失信行为记录名单；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6、若我方中标，将严格按照投标文件所承诺的报价、服务等内容组织实施；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 </w:t>
      </w:r>
      <w:r>
        <w:rPr>
          <w:rFonts w:hint="eastAsia" w:ascii="宋体" w:hAnsi="宋体" w:eastAsia="宋体" w:cs="宋体"/>
          <w:color w:val="auto"/>
          <w:sz w:val="24"/>
          <w:szCs w:val="21"/>
          <w:highlight w:val="none"/>
        </w:rPr>
        <w:tab/>
      </w:r>
      <w:r>
        <w:rPr>
          <w:rFonts w:hint="eastAsia" w:ascii="宋体" w:hAnsi="宋体" w:eastAsia="宋体" w:cs="宋体"/>
          <w:color w:val="auto"/>
          <w:sz w:val="24"/>
          <w:szCs w:val="21"/>
          <w:highlight w:val="none"/>
        </w:rPr>
        <w:tab/>
      </w:r>
      <w:r>
        <w:rPr>
          <w:rFonts w:hint="eastAsia" w:ascii="宋体" w:hAnsi="宋体" w:eastAsia="宋体" w:cs="宋体"/>
          <w:color w:val="auto"/>
          <w:sz w:val="24"/>
          <w:szCs w:val="21"/>
          <w:highlight w:val="none"/>
        </w:rPr>
        <w:tab/>
      </w:r>
      <w:r>
        <w:rPr>
          <w:rFonts w:hint="eastAsia" w:ascii="宋体" w:hAnsi="宋体" w:eastAsia="宋体" w:cs="宋体"/>
          <w:color w:val="auto"/>
          <w:sz w:val="24"/>
          <w:szCs w:val="21"/>
          <w:highlight w:val="none"/>
        </w:rPr>
        <w:tab/>
      </w:r>
      <w:r>
        <w:rPr>
          <w:rFonts w:hint="eastAsia" w:ascii="宋体" w:hAnsi="宋体" w:eastAsia="宋体" w:cs="宋体"/>
          <w:color w:val="auto"/>
          <w:sz w:val="24"/>
          <w:szCs w:val="21"/>
          <w:highlight w:val="none"/>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（加盖公章）</w:t>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（签字或盖章）</w:t>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24"/>
          <w:szCs w:val="21"/>
          <w:highlight w:val="none"/>
        </w:rPr>
        <w:outlineLvl w:val="1"/>
      </w:pPr>
      <w:r>
        <w:rPr>
          <w:rFonts w:hint="eastAsia" w:ascii="宋体" w:hAnsi="宋体" w:eastAsia="宋体" w:cs="宋体"/>
          <w:b/>
          <w:bCs/>
          <w:color w:val="auto"/>
          <w:sz w:val="24"/>
          <w:szCs w:val="21"/>
          <w:highlight w:val="none"/>
        </w:rPr>
        <w:br w:type="page" w:clear="all"/>
      </w:r>
      <w:r>
        <w:rPr>
          <w:rFonts w:hint="eastAsia" w:ascii="宋体" w:hAnsi="宋体" w:eastAsia="宋体" w:cs="宋体"/>
          <w:b/>
          <w:bCs/>
          <w:color w:val="auto"/>
          <w:sz w:val="24"/>
          <w:szCs w:val="21"/>
          <w:highlight w:val="none"/>
        </w:rPr>
        <w:t xml:space="preserve">5、投标声明函</w:t>
      </w:r>
      <w:r/>
    </w:p>
    <w:p>
      <w:pPr>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致：</w:t>
      </w:r>
      <w:r>
        <w:rPr>
          <w:rFonts w:hint="eastAsia" w:ascii="宋体" w:hAnsi="宋体" w:eastAsia="宋体" w:cs="宋体"/>
          <w:color w:val="auto"/>
          <w:sz w:val="24"/>
          <w:szCs w:val="21"/>
          <w:highlight w:val="none"/>
          <w:u w:val="single"/>
          <w:shd w:val="clear" w:color="auto" w:fill="ffffff"/>
        </w:rPr>
        <w:t xml:space="preserve">     （采购人）      </w:t>
      </w:r>
      <w:r>
        <w:rPr>
          <w:rFonts w:hint="eastAsia" w:ascii="宋体" w:hAnsi="宋体" w:eastAsia="宋体" w:cs="宋体"/>
          <w:b/>
          <w:bCs/>
          <w:color w:val="auto"/>
          <w:sz w:val="24"/>
          <w:szCs w:val="21"/>
          <w:highlight w:val="none"/>
        </w:rPr>
        <w:t xml:space="preserve">：   </w:t>
      </w:r>
      <w:r/>
    </w:p>
    <w:p>
      <w:pPr>
        <w:ind w:firstLine="480"/>
        <w:jc w:val="left"/>
        <w:spacing w:line="360" w:lineRule="auto"/>
        <w:tabs>
          <w:tab w:val="left" w:pos="420" w:leader="none"/>
          <w:tab w:val="left" w:pos="562" w:leader="none"/>
          <w:tab w:val="left" w:pos="945" w:leader="none"/>
          <w:tab w:val="left" w:pos="5382" w:leader="none"/>
          <w:tab w:val="left" w:pos="7560" w:leader="none"/>
        </w:tabs>
        <w:rPr>
          <w:rFonts w:hint="eastAsia" w:ascii="宋体" w:hAnsi="宋体" w:eastAsia="宋体" w:cs="宋体"/>
          <w:color w:val="auto"/>
          <w:sz w:val="24"/>
          <w:szCs w:val="21"/>
          <w:highlight w:val="none"/>
        </w:rPr>
      </w:pPr>
      <w:r/>
      <w:bookmarkStart w:id="32" w:name="_Toc396833717"/>
      <w:r>
        <w:rPr>
          <w:rFonts w:hint="eastAsia" w:ascii="宋体" w:hAnsi="宋体" w:eastAsia="宋体" w:cs="宋体"/>
          <w:color w:val="auto"/>
          <w:sz w:val="24"/>
          <w:szCs w:val="21"/>
          <w:highlight w:val="none"/>
        </w:rPr>
        <w:t xml:space="preserve">我方承诺完全具备《中华人民共和国政府采购法》第二十二条规定的条件：（一）具有独立承担民事责任的能力；（二）具有良好的商业信誉和健全的财务会计制度；（三）具有履行合同所必需的设备和专业技术能力；（四）有依法缴纳税收和社会保障资金的良好记录；（五）参加政府采购活动前三年内，在经营活动中没有重大违法记录；（六）法律、行政法规规定的其他条件。</w:t>
      </w:r>
      <w:r/>
    </w:p>
    <w:p>
      <w:pPr>
        <w:numPr>
          <w:ilvl w:val="1"/>
          <w:numId w:val="11"/>
        </w:numPr>
        <w:ind w:left="0" w:firstLine="480"/>
        <w:jc w:val="left"/>
        <w:spacing w:line="360" w:lineRule="auto"/>
        <w:tabs>
          <w:tab w:val="left" w:pos="420" w:leader="none"/>
          <w:tab w:val="left" w:pos="945" w:leader="none"/>
          <w:tab w:val="left" w:pos="5382" w:leader="none"/>
          <w:tab w:val="left" w:pos="75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我方承诺信用记录中未</w:t>
      </w:r>
      <w:r>
        <w:rPr>
          <w:rFonts w:hint="eastAsia" w:ascii="宋体" w:hAnsi="宋体" w:eastAsia="宋体" w:cs="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)、中华人民共和国最高人民法院网站（</w:t>
      </w:r>
      <w:r>
        <w:rPr>
          <w:color w:val="auto"/>
          <w:highlight w:val="none"/>
        </w:rPr>
        <w:fldChar w:fldCharType="begin"/>
      </w:r>
      <w:r>
        <w:rPr>
          <w:color w:val="auto"/>
          <w:highlight w:val="none"/>
        </w:rPr>
        <w:instrText xml:space="preserve"> HYPERLINK "http://www.court.gov.cn/" \o "http://www.court.gov.cn/" </w:instrText>
      </w:r>
      <w:r>
        <w:rPr>
          <w:color w:val="auto"/>
          <w:highlight w:val="none"/>
        </w:rPr>
        <w:fldChar w:fldCharType="separate"/>
      </w:r>
      <w:r>
        <w:rPr>
          <w:rFonts w:hint="eastAsia" w:ascii="宋体" w:hAnsi="宋体" w:eastAsia="宋体" w:cs="宋体"/>
          <w:color w:val="auto"/>
          <w:sz w:val="24"/>
          <w:szCs w:val="24"/>
          <w:highlight w:val="none"/>
        </w:rPr>
        <w:t xml:space="preserve">http://www.court.gov.cn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）等渠道列入信用记录失信被执行人，未被中国政府采购网(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)等渠道列入政府采购严重违法失信行为记录名单，未被中华人民共和国应急管理部网站（http://www.mem.gov.cn/）等渠道列入安全生产失信联合惩戒“黑名单”，未被国家税务总局网站（</w:t>
      </w:r>
      <w:r>
        <w:rPr>
          <w:color w:val="auto"/>
          <w:highlight w:val="none"/>
        </w:rPr>
        <w:fldChar w:fldCharType="begin"/>
      </w:r>
      <w:r>
        <w:rPr>
          <w:color w:val="auto"/>
          <w:highlight w:val="none"/>
        </w:rPr>
        <w:instrText xml:space="preserve"> HYPERLINK "http://hd.chinatax.gov.cn/xxk/" \o "http://hd.chinatax.gov.cn/xxk/" </w:instrText>
      </w:r>
      <w:r>
        <w:rPr>
          <w:color w:val="auto"/>
          <w:highlight w:val="none"/>
        </w:rPr>
        <w:fldChar w:fldCharType="separate"/>
      </w:r>
      <w:r>
        <w:rPr>
          <w:rFonts w:hint="eastAsia" w:ascii="宋体" w:hAnsi="宋体" w:eastAsia="宋体" w:cs="宋体"/>
          <w:color w:val="auto"/>
          <w:sz w:val="24"/>
          <w:szCs w:val="24"/>
          <w:highlight w:val="none"/>
        </w:rPr>
        <w:t xml:space="preserve">http://hd.chinatax.gov.cn/xxk</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）等渠道列入重大税收违法案件当事人名单，未被国家企业信用信息公示系统（</w:t>
      </w:r>
      <w:r>
        <w:rPr>
          <w:color w:val="auto"/>
          <w:highlight w:val="none"/>
        </w:rPr>
        <w:fldChar w:fldCharType="begin"/>
      </w:r>
      <w:r>
        <w:rPr>
          <w:color w:val="auto"/>
          <w:highlight w:val="none"/>
        </w:rPr>
        <w:instrText xml:space="preserve"> HYPERLINK "http://www.gsxt.gov.cn" \o "http://www.gsxt.gov.cn" </w:instrText>
      </w:r>
      <w:r>
        <w:rPr>
          <w:color w:val="auto"/>
          <w:highlight w:val="none"/>
        </w:rPr>
        <w:fldChar w:fldCharType="separate"/>
      </w:r>
      <w:r>
        <w:rPr>
          <w:rFonts w:hint="eastAsia" w:ascii="宋体" w:hAnsi="宋体" w:eastAsia="宋体" w:cs="宋体"/>
          <w:color w:val="auto"/>
          <w:sz w:val="24"/>
          <w:szCs w:val="24"/>
          <w:highlight w:val="none"/>
        </w:rPr>
        <w:t xml:space="preserve">http://www.gsxt.gov.cn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）等渠道列入经营异常名录、严重违法失信企业名单，未被全国公共资源交易平台（</w:t>
      </w:r>
      <w:r>
        <w:rPr>
          <w:color w:val="auto"/>
          <w:highlight w:val="none"/>
        </w:rPr>
        <w:fldChar w:fldCharType="begin"/>
      </w:r>
      <w:r>
        <w:rPr>
          <w:color w:val="auto"/>
          <w:highlight w:val="none"/>
        </w:rPr>
        <w:instrText xml:space="preserve"> HYPERLINK "http://www.ggzy.gov.cn" \o "http://www.ggzy.gov.cn" </w:instrText>
      </w:r>
      <w:r>
        <w:rPr>
          <w:color w:val="auto"/>
          <w:highlight w:val="none"/>
        </w:rPr>
        <w:fldChar w:fldCharType="separate"/>
      </w:r>
      <w:r>
        <w:rPr>
          <w:rFonts w:hint="eastAsia" w:ascii="宋体" w:hAnsi="宋体" w:eastAsia="宋体" w:cs="宋体"/>
          <w:color w:val="auto"/>
          <w:sz w:val="24"/>
          <w:szCs w:val="24"/>
          <w:highlight w:val="none"/>
        </w:rPr>
        <w:t xml:space="preserve">http://www.ggzy.gov.cn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）等渠道列入黑名单</w:t>
      </w:r>
      <w:r>
        <w:rPr>
          <w:rFonts w:hint="eastAsia" w:ascii="宋体" w:hAnsi="宋体" w:eastAsia="宋体" w:cs="宋体"/>
          <w:color w:val="auto"/>
          <w:sz w:val="24"/>
          <w:szCs w:val="21"/>
          <w:highlight w:val="none"/>
        </w:rPr>
        <w:t xml:space="preserve">，否则，可将我方的投标文件按照无效投标文件处理。</w:t>
      </w:r>
      <w:r/>
    </w:p>
    <w:p>
      <w:pPr>
        <w:ind w:firstLine="480"/>
        <w:jc w:val="left"/>
        <w:spacing w:line="360" w:lineRule="auto"/>
        <w:tabs>
          <w:tab w:val="left" w:pos="420" w:leader="none"/>
          <w:tab w:val="left" w:pos="945" w:leader="none"/>
          <w:tab w:val="left" w:pos="5382" w:leader="none"/>
          <w:tab w:val="left" w:pos="75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3、我方承诺参加本次采购活动前三年内，在经营活动中没有重大违法记录，否则，可将我方的投标文件按照无效投标文件处理。</w:t>
      </w:r>
      <w:r/>
    </w:p>
    <w:p>
      <w:pPr>
        <w:ind w:firstLine="480"/>
        <w:jc w:val="left"/>
        <w:spacing w:line="360" w:lineRule="auto"/>
        <w:tabs>
          <w:tab w:val="left" w:pos="420" w:leader="none"/>
          <w:tab w:val="left" w:pos="945" w:leader="none"/>
          <w:tab w:val="left" w:pos="5382" w:leader="none"/>
          <w:tab w:val="left" w:pos="75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4、我方承诺按照本项目招标文件和相关技术标准的条件，提供货物及相关服务，并承担因货物质量或服务等引起的一切责任。</w:t>
      </w:r>
      <w:r/>
    </w:p>
    <w:p>
      <w:pPr>
        <w:ind w:firstLine="480"/>
        <w:jc w:val="left"/>
        <w:spacing w:line="360" w:lineRule="auto"/>
        <w:tabs>
          <w:tab w:val="left" w:pos="525" w:leader="none"/>
          <w:tab w:val="left" w:pos="945" w:leader="none"/>
          <w:tab w:val="left" w:pos="5382"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5、我方对本项目招标文件（包括修改文件及有关附件）完全理解，并承诺在发生争议时，不会以对招标文件存在误解、不明为由，向你方行使任何法律上的抗辩权。</w:t>
      </w:r>
      <w:r/>
    </w:p>
    <w:p>
      <w:pPr>
        <w:ind w:firstLine="480"/>
        <w:jc w:val="left"/>
        <w:spacing w:line="360" w:lineRule="auto"/>
        <w:tabs>
          <w:tab w:val="left" w:pos="525" w:leader="none"/>
          <w:tab w:val="left" w:pos="945" w:leader="none"/>
          <w:tab w:val="left" w:pos="5382"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6、我方投标文件有效期为自开标日起</w:t>
      </w:r>
      <w:r>
        <w:rPr>
          <w:rFonts w:hint="eastAsia" w:ascii="宋体" w:hAnsi="宋体" w:eastAsia="宋体" w:cs="宋体"/>
          <w:color w:val="auto"/>
          <w:sz w:val="24"/>
          <w:szCs w:val="21"/>
          <w:highlight w:val="none"/>
          <w:u w:val="single"/>
        </w:rPr>
        <w:t xml:space="preserve">60</w:t>
      </w:r>
      <w:r>
        <w:rPr>
          <w:rFonts w:hint="eastAsia" w:ascii="宋体" w:hAnsi="宋体" w:eastAsia="宋体" w:cs="宋体"/>
          <w:color w:val="auto"/>
          <w:sz w:val="24"/>
          <w:szCs w:val="21"/>
          <w:highlight w:val="none"/>
        </w:rPr>
        <w:t xml:space="preserve">天，若中标，则投标有效期自动延续至合同履行完毕。</w:t>
      </w:r>
      <w:r/>
    </w:p>
    <w:p>
      <w:pPr>
        <w:ind w:firstLine="480"/>
        <w:jc w:val="left"/>
        <w:spacing w:line="360" w:lineRule="auto"/>
        <w:tabs>
          <w:tab w:val="left" w:pos="525" w:leader="none"/>
          <w:tab w:val="left" w:pos="945" w:leader="none"/>
          <w:tab w:val="left" w:pos="5382"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7、我方承诺接受招标文件规定的付款方式。</w:t>
      </w:r>
      <w:r/>
    </w:p>
    <w:p>
      <w:pPr>
        <w:ind w:firstLine="480"/>
        <w:jc w:val="left"/>
        <w:spacing w:line="360" w:lineRule="auto"/>
        <w:tabs>
          <w:tab w:val="left" w:pos="525" w:leader="none"/>
          <w:tab w:val="left" w:pos="945" w:leader="none"/>
          <w:tab w:val="left" w:pos="5382"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r/>
    </w:p>
    <w:p>
      <w:pPr>
        <w:ind w:firstLine="480"/>
        <w:jc w:val="left"/>
        <w:spacing w:line="360" w:lineRule="auto"/>
        <w:tabs>
          <w:tab w:val="left" w:pos="525" w:leader="none"/>
          <w:tab w:val="left" w:pos="945" w:leader="none"/>
          <w:tab w:val="left" w:pos="5382"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我方承诺投标文件中所有的资料及所作各项承诺均真实准确，所提交的营业执照已依法向登记管理机关报送相应的年度报告并予以公示（或所提交的《社会团体法人登记证书》/《民办非企业单位登记证书》已通过登记管理机关的年度检查），不存在任何虚假之处，否则，可将我方的投标文件按照无效投标文件处理，即使我方中标，中标结果无效，对于因此给其他投标人及你方造成的全部损失，我方同意无条件予以赔偿。</w:t>
      </w:r>
      <w:r/>
    </w:p>
    <w:p>
      <w:pPr>
        <w:ind w:firstLine="480"/>
        <w:jc w:val="left"/>
        <w:spacing w:line="360" w:lineRule="auto"/>
        <w:tabs>
          <w:tab w:val="left" w:pos="525" w:leader="none"/>
          <w:tab w:val="left" w:pos="945" w:leader="none"/>
          <w:tab w:val="left" w:pos="5382"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10、我方委托授权(姓名：</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身份证号:_________，联系电话________：)作为我方的代理人参加本项目投标，负责提交投标文件以及其它相关资料，参加开标，接受质询并予以澄清，签署、接受招投标过程中的各种法律文件，办理投标过程中的其他相关事务。</w:t>
      </w:r>
      <w:r/>
    </w:p>
    <w:p>
      <w:pPr>
        <w:ind w:firstLine="480"/>
        <w:jc w:val="left"/>
        <w:spacing w:line="360" w:lineRule="auto"/>
        <w:tabs>
          <w:tab w:val="left" w:pos="525" w:leader="none"/>
          <w:tab w:val="left" w:pos="945" w:leader="none"/>
          <w:tab w:val="left" w:pos="5382"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11、我方承诺将严格遵守相关法律法规，若存在违法违规行为，将承担相应的法律后果。</w:t>
      </w:r>
      <w:r/>
    </w:p>
    <w:p>
      <w:pPr>
        <w:jc w:val="right"/>
        <w:spacing w:line="360" w:lineRule="auto"/>
        <w:tabs>
          <w:tab w:val="left" w:pos="945"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right"/>
        <w:spacing w:line="360" w:lineRule="auto"/>
        <w:tabs>
          <w:tab w:val="left" w:pos="945"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right"/>
        <w:spacing w:line="360" w:lineRule="auto"/>
        <w:tabs>
          <w:tab w:val="left" w:pos="945"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投标人法定代表人或委托代理人（签字或盖章）：</w:t>
      </w:r>
      <w:r/>
    </w:p>
    <w:p>
      <w:pPr>
        <w:ind w:left="420" w:firstLine="4320"/>
        <w:spacing w:line="360" w:lineRule="auto"/>
        <w:tabs>
          <w:tab w:val="left" w:pos="945"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投标人公章：</w:t>
      </w:r>
      <w:r/>
    </w:p>
    <w:p>
      <w:pPr>
        <w:jc w:val="center"/>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w:t>
      </w:r>
      <w:bookmarkEnd w:id="32"/>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br w:type="page" w:clear="all"/>
      </w:r>
      <w:r/>
    </w:p>
    <w:p>
      <w:pPr>
        <w:jc w:val="cente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6、中小企业声明函（货物）</w:t>
      </w:r>
      <w:r>
        <w:rPr>
          <w:rFonts w:hint="eastAsia" w:ascii="宋体" w:hAnsi="宋体" w:eastAsia="宋体" w:cs="宋体"/>
          <w:color w:val="auto"/>
          <w:highlight w:val="none"/>
        </w:rPr>
        <w:t xml:space="preserve">             </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8"/>
          <w:highlight w:val="none"/>
          <w:u w:val="single"/>
          <w:lang w:bidi="zh-CN"/>
        </w:rPr>
        <w:t xml:space="preserve">(单位名称)</w:t>
      </w:r>
      <w:r>
        <w:rPr>
          <w:rFonts w:hint="eastAsia" w:ascii="宋体" w:hAnsi="宋体" w:eastAsia="宋体" w:cs="宋体"/>
          <w:color w:val="auto"/>
          <w:sz w:val="24"/>
          <w:szCs w:val="28"/>
          <w:highlight w:val="none"/>
          <w:lang w:bidi="zh-CN"/>
        </w:rPr>
        <w:t xml:space="preserve">的</w:t>
      </w:r>
      <w:r>
        <w:rPr>
          <w:rFonts w:hint="eastAsia" w:ascii="宋体" w:hAnsi="宋体" w:eastAsia="宋体" w:cs="宋体"/>
          <w:color w:val="auto"/>
          <w:sz w:val="24"/>
          <w:szCs w:val="28"/>
          <w:highlight w:val="none"/>
          <w:u w:val="single"/>
          <w:lang w:bidi="zh-CN"/>
        </w:rPr>
        <w:t xml:space="preserve">(项目名称)</w:t>
      </w:r>
      <w:r>
        <w:rPr>
          <w:rFonts w:hint="eastAsia" w:ascii="宋体" w:hAnsi="宋体" w:eastAsia="宋体" w:cs="宋体"/>
          <w:color w:val="auto"/>
          <w:sz w:val="24"/>
          <w:szCs w:val="28"/>
          <w:highlight w:val="none"/>
          <w:lang w:bidi="zh-CN"/>
        </w:rPr>
        <w:t xml:space="preserve">采购活动，提供的货物全部由符合政策要求的中小企业制造。相关企业(含联合体中的中小企业、签订分包意向协议的中小企业)的具体情况如下：</w:t>
      </w:r>
      <w:r/>
    </w:p>
    <w:p>
      <w:pPr>
        <w:numPr>
          <w:ilvl w:val="0"/>
          <w:numId w:val="12"/>
        </w:numPr>
        <w:ind w:firstLine="48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u w:val="single"/>
          <w:lang w:bidi="zh-CN"/>
        </w:rPr>
        <w:t xml:space="preserve">(标的名称)</w:t>
      </w:r>
      <w:r>
        <w:rPr>
          <w:rFonts w:hint="eastAsia" w:ascii="宋体" w:hAnsi="宋体" w:eastAsia="宋体" w:cs="宋体"/>
          <w:color w:val="auto"/>
          <w:sz w:val="24"/>
          <w:szCs w:val="28"/>
          <w:highlight w:val="none"/>
          <w:lang w:bidi="zh-CN"/>
        </w:rPr>
        <w:t xml:space="preserve">，属于</w:t>
      </w:r>
      <w:r>
        <w:rPr>
          <w:rFonts w:hint="eastAsia" w:ascii="宋体" w:hAnsi="宋体" w:eastAsia="宋体" w:cs="宋体"/>
          <w:color w:val="auto"/>
          <w:sz w:val="24"/>
          <w:szCs w:val="28"/>
          <w:highlight w:val="none"/>
          <w:u w:val="single"/>
          <w:lang w:bidi="zh-CN"/>
        </w:rPr>
        <w:t xml:space="preserve">(采购文件中明确的所属行业)行业</w:t>
      </w:r>
      <w:r>
        <w:rPr>
          <w:rFonts w:hint="eastAsia" w:ascii="宋体" w:hAnsi="宋体" w:eastAsia="宋体" w:cs="宋体"/>
          <w:color w:val="auto"/>
          <w:sz w:val="24"/>
          <w:szCs w:val="28"/>
          <w:highlight w:val="none"/>
          <w:lang w:bidi="zh-CN"/>
        </w:rPr>
        <w:t xml:space="preserve">;制造商为</w:t>
      </w:r>
      <w:r>
        <w:rPr>
          <w:rFonts w:hint="eastAsia" w:ascii="宋体" w:hAnsi="宋体" w:eastAsia="宋体" w:cs="宋体"/>
          <w:color w:val="auto"/>
          <w:sz w:val="24"/>
          <w:szCs w:val="28"/>
          <w:highlight w:val="none"/>
          <w:u w:val="single"/>
          <w:lang w:bidi="zh-CN"/>
        </w:rPr>
        <w:t xml:space="preserve">（企业名称)</w:t>
      </w:r>
      <w:r>
        <w:rPr>
          <w:rFonts w:hint="eastAsia" w:ascii="宋体" w:hAnsi="宋体" w:eastAsia="宋体" w:cs="宋体"/>
          <w:color w:val="auto"/>
          <w:sz w:val="24"/>
          <w:szCs w:val="28"/>
          <w:highlight w:val="none"/>
          <w:lang w:bidi="zh-CN"/>
        </w:rPr>
        <w:t xml:space="preserve">，从业人员</w:t>
      </w:r>
      <w:r>
        <w:rPr>
          <w:rFonts w:hint="eastAsia" w:ascii="宋体" w:hAnsi="宋体" w:eastAsia="宋体" w:cs="宋体"/>
          <w:color w:val="auto"/>
          <w:sz w:val="24"/>
          <w:szCs w:val="28"/>
          <w:highlight w:val="none"/>
          <w:u w:val="single"/>
          <w:lang w:bidi="zh-CN"/>
        </w:rPr>
        <w:t xml:space="preserve">    </w:t>
      </w:r>
      <w:r>
        <w:rPr>
          <w:rFonts w:hint="eastAsia" w:ascii="宋体" w:hAnsi="宋体" w:eastAsia="宋体" w:cs="宋体"/>
          <w:color w:val="auto"/>
          <w:sz w:val="24"/>
          <w:szCs w:val="28"/>
          <w:highlight w:val="none"/>
          <w:lang w:bidi="zh-CN"/>
        </w:rPr>
        <w:t xml:space="preserve">人，营业收入为</w:t>
      </w:r>
      <w:r>
        <w:rPr>
          <w:rFonts w:hint="eastAsia" w:ascii="宋体" w:hAnsi="宋体" w:eastAsia="宋体" w:cs="宋体"/>
          <w:color w:val="auto"/>
          <w:sz w:val="24"/>
          <w:szCs w:val="28"/>
          <w:highlight w:val="none"/>
          <w:u w:val="single"/>
          <w:lang w:bidi="zh-CN"/>
        </w:rPr>
        <w:t xml:space="preserve">     </w:t>
      </w:r>
      <w:r>
        <w:rPr>
          <w:rFonts w:hint="eastAsia" w:ascii="宋体" w:hAnsi="宋体" w:eastAsia="宋体" w:cs="宋体"/>
          <w:color w:val="auto"/>
          <w:sz w:val="24"/>
          <w:szCs w:val="28"/>
          <w:highlight w:val="none"/>
          <w:lang w:bidi="zh-CN"/>
        </w:rPr>
        <w:t xml:space="preserve">万元，资产总额为</w:t>
      </w:r>
      <w:r>
        <w:rPr>
          <w:rFonts w:hint="eastAsia" w:ascii="宋体" w:hAnsi="宋体" w:eastAsia="宋体" w:cs="宋体"/>
          <w:color w:val="auto"/>
          <w:sz w:val="24"/>
          <w:szCs w:val="28"/>
          <w:highlight w:val="none"/>
          <w:u w:val="single"/>
          <w:lang w:bidi="zh-CN"/>
        </w:rPr>
        <w:t xml:space="preserve">       </w:t>
      </w:r>
      <w:r>
        <w:rPr>
          <w:rFonts w:hint="eastAsia" w:ascii="宋体" w:hAnsi="宋体" w:eastAsia="宋体" w:cs="宋体"/>
          <w:color w:val="auto"/>
          <w:sz w:val="24"/>
          <w:szCs w:val="28"/>
          <w:highlight w:val="none"/>
          <w:lang w:bidi="zh-CN"/>
        </w:rPr>
        <w:t xml:space="preserve">万元，属于(中型企业、小型企业、微型企业)，</w:t>
      </w:r>
      <w:r/>
    </w:p>
    <w:p>
      <w:pPr>
        <w:numPr>
          <w:ilvl w:val="0"/>
          <w:numId w:val="12"/>
        </w:numPr>
        <w:ind w:firstLine="48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u w:val="single"/>
          <w:lang w:bidi="zh-CN"/>
        </w:rPr>
        <w:t xml:space="preserve">(标的名称) </w:t>
      </w:r>
      <w:r>
        <w:rPr>
          <w:rFonts w:hint="eastAsia" w:ascii="宋体" w:hAnsi="宋体" w:eastAsia="宋体" w:cs="宋体"/>
          <w:color w:val="auto"/>
          <w:sz w:val="24"/>
          <w:szCs w:val="28"/>
          <w:highlight w:val="none"/>
          <w:lang w:bidi="zh-CN"/>
        </w:rPr>
        <w:t xml:space="preserve">，属于</w:t>
      </w:r>
      <w:r>
        <w:rPr>
          <w:rFonts w:hint="eastAsia" w:ascii="宋体" w:hAnsi="宋体" w:eastAsia="宋体" w:cs="宋体"/>
          <w:color w:val="auto"/>
          <w:sz w:val="24"/>
          <w:szCs w:val="28"/>
          <w:highlight w:val="none"/>
          <w:u w:val="single"/>
          <w:lang w:bidi="zh-CN"/>
        </w:rPr>
        <w:t xml:space="preserve">(采购文件中明确的所属行业)行业</w:t>
      </w:r>
      <w:r>
        <w:rPr>
          <w:rFonts w:hint="eastAsia" w:ascii="宋体" w:hAnsi="宋体" w:eastAsia="宋体" w:cs="宋体"/>
          <w:color w:val="auto"/>
          <w:sz w:val="24"/>
          <w:szCs w:val="28"/>
          <w:highlight w:val="none"/>
          <w:lang w:bidi="zh-CN"/>
        </w:rPr>
        <w:t xml:space="preserve">;制造商为</w:t>
      </w:r>
      <w:r>
        <w:rPr>
          <w:rFonts w:hint="eastAsia" w:ascii="宋体" w:hAnsi="宋体" w:eastAsia="宋体" w:cs="宋体"/>
          <w:color w:val="auto"/>
          <w:sz w:val="24"/>
          <w:szCs w:val="28"/>
          <w:highlight w:val="none"/>
          <w:u w:val="single"/>
          <w:lang w:bidi="zh-CN"/>
        </w:rPr>
        <w:t xml:space="preserve">(企业名称) </w:t>
      </w:r>
      <w:r>
        <w:rPr>
          <w:rFonts w:hint="eastAsia" w:ascii="宋体" w:hAnsi="宋体" w:eastAsia="宋体" w:cs="宋体"/>
          <w:color w:val="auto"/>
          <w:sz w:val="24"/>
          <w:szCs w:val="28"/>
          <w:highlight w:val="none"/>
          <w:lang w:bidi="zh-CN"/>
        </w:rPr>
        <w:t xml:space="preserve">，从业人员</w:t>
      </w:r>
      <w:r>
        <w:rPr>
          <w:rFonts w:hint="eastAsia" w:ascii="宋体" w:hAnsi="宋体" w:eastAsia="宋体" w:cs="宋体"/>
          <w:color w:val="auto"/>
          <w:sz w:val="24"/>
          <w:szCs w:val="28"/>
          <w:highlight w:val="none"/>
          <w:u w:val="single"/>
          <w:lang w:bidi="zh-CN"/>
        </w:rPr>
        <w:t xml:space="preserve">     </w:t>
      </w:r>
      <w:r>
        <w:rPr>
          <w:rFonts w:hint="eastAsia" w:ascii="宋体" w:hAnsi="宋体" w:eastAsia="宋体" w:cs="宋体"/>
          <w:color w:val="auto"/>
          <w:sz w:val="24"/>
          <w:szCs w:val="28"/>
          <w:highlight w:val="none"/>
          <w:lang w:bidi="zh-CN"/>
        </w:rPr>
        <w:t xml:space="preserve">人，营业收入为</w:t>
      </w:r>
      <w:r>
        <w:rPr>
          <w:rFonts w:hint="eastAsia" w:ascii="宋体" w:hAnsi="宋体" w:eastAsia="宋体" w:cs="宋体"/>
          <w:color w:val="auto"/>
          <w:sz w:val="24"/>
          <w:szCs w:val="28"/>
          <w:highlight w:val="none"/>
          <w:u w:val="single"/>
          <w:lang w:bidi="zh-CN"/>
        </w:rPr>
        <w:t xml:space="preserve">     </w:t>
      </w:r>
      <w:r>
        <w:rPr>
          <w:rFonts w:hint="eastAsia" w:ascii="宋体" w:hAnsi="宋体" w:eastAsia="宋体" w:cs="宋体"/>
          <w:color w:val="auto"/>
          <w:sz w:val="24"/>
          <w:szCs w:val="28"/>
          <w:highlight w:val="none"/>
          <w:lang w:bidi="zh-CN"/>
        </w:rPr>
        <w:t xml:space="preserve">万元，资产总额为</w:t>
      </w:r>
      <w:r>
        <w:rPr>
          <w:rFonts w:hint="eastAsia" w:ascii="宋体" w:hAnsi="宋体" w:eastAsia="宋体" w:cs="宋体"/>
          <w:color w:val="auto"/>
          <w:sz w:val="24"/>
          <w:szCs w:val="28"/>
          <w:highlight w:val="none"/>
          <w:u w:val="single"/>
          <w:lang w:bidi="zh-CN"/>
        </w:rPr>
        <w:t xml:space="preserve">     </w:t>
      </w:r>
      <w:r>
        <w:rPr>
          <w:rFonts w:hint="eastAsia" w:ascii="宋体" w:hAnsi="宋体" w:eastAsia="宋体" w:cs="宋体"/>
          <w:color w:val="auto"/>
          <w:sz w:val="24"/>
          <w:szCs w:val="28"/>
          <w:highlight w:val="none"/>
          <w:lang w:bidi="zh-CN"/>
        </w:rPr>
        <w:t xml:space="preserve">万元，属于</w:t>
      </w:r>
      <w:r>
        <w:rPr>
          <w:rFonts w:hint="eastAsia" w:ascii="宋体" w:hAnsi="宋体" w:eastAsia="宋体" w:cs="宋体"/>
          <w:color w:val="auto"/>
          <w:sz w:val="24"/>
          <w:szCs w:val="28"/>
          <w:highlight w:val="none"/>
          <w:u w:val="single"/>
          <w:lang w:bidi="zh-CN"/>
        </w:rPr>
        <w:t xml:space="preserve">(中型企业、小型企业、微型企业)</w:t>
      </w:r>
      <w:r>
        <w:rPr>
          <w:rFonts w:hint="eastAsia" w:ascii="宋体" w:hAnsi="宋体" w:eastAsia="宋体" w:cs="宋体"/>
          <w:color w:val="auto"/>
          <w:sz w:val="24"/>
          <w:szCs w:val="28"/>
          <w:highlight w:val="none"/>
          <w:lang w:bidi="zh-CN"/>
        </w:rPr>
        <w:t xml:space="preserve">，</w:t>
      </w:r>
      <w:r/>
    </w:p>
    <w:p>
      <w:pPr>
        <w:ind w:firstLine="48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bidi="zh-CN"/>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bidi="zh-CN"/>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bidi="zh-CN"/>
        </w:rPr>
        <w:t xml:space="preserve">本企业对上述声明内容的真实性负责。如有虚假，将依法承担相应责任。</w:t>
      </w:r>
      <w:r/>
    </w:p>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ind w:firstLine="4200"/>
        <w:jc w:val="cente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bidi="zh-CN"/>
        </w:rPr>
        <w:t xml:space="preserve">企业名称（盖章）：</w:t>
      </w:r>
      <w:r/>
    </w:p>
    <w:p>
      <w:pPr>
        <w:ind w:firstLine="576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bidi="zh-CN"/>
        </w:rPr>
        <w:t xml:space="preserve">日 期：</w:t>
      </w:r>
      <w:r/>
    </w:p>
    <w:p>
      <w:pPr>
        <w:ind w:right="561"/>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注1：从业人员、营业收入、资产总额填报上一年度数据，无上一年度数据的新成立企业可不填报。</w:t>
      </w:r>
      <w:r/>
    </w:p>
    <w:p>
      <w:pPr>
        <w:ind w:right="561"/>
        <w:jc w:val="center"/>
        <w:spacing w:line="360" w:lineRule="auto"/>
        <w:rPr>
          <w:rFonts w:hint="eastAsia" w:ascii="宋体" w:hAnsi="宋体" w:eastAsia="宋体" w:cs="宋体"/>
          <w:color w:val="auto"/>
          <w:highlight w:val="none"/>
        </w:rPr>
        <w:outlineLvl w:val="1"/>
      </w:pPr>
      <w:r>
        <w:rPr>
          <w:rFonts w:hint="eastAsia" w:ascii="宋体" w:hAnsi="宋体" w:eastAsia="宋体" w:cs="宋体"/>
          <w:color w:val="auto"/>
          <w:sz w:val="24"/>
          <w:szCs w:val="21"/>
          <w:highlight w:val="none"/>
        </w:rPr>
        <w:br w:type="page" w:clear="all"/>
      </w:r>
      <w:r>
        <w:rPr>
          <w:rFonts w:hint="eastAsia" w:ascii="宋体" w:hAnsi="宋体" w:eastAsia="宋体" w:cs="宋体"/>
          <w:b/>
          <w:color w:val="auto"/>
          <w:sz w:val="24"/>
          <w:szCs w:val="24"/>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供应商公章：</w:t>
      </w:r>
      <w:r/>
    </w:p>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999"/>
        <w:ind w:firstLine="480"/>
        <w:spacing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6"/>
        <w:spacing w:line="360" w:lineRule="auto"/>
        <w:rPr>
          <w:rFonts w:hint="eastAsia" w:ascii="宋体" w:hAnsi="宋体" w:eastAsia="宋体" w:cs="宋体"/>
          <w:color w:val="auto"/>
          <w:sz w:val="24"/>
          <w:szCs w:val="26"/>
          <w:highlight w:val="none"/>
        </w:rPr>
      </w:pPr>
      <w:r>
        <w:rPr>
          <w:rFonts w:hint="eastAsia" w:ascii="宋体" w:hAnsi="宋体" w:eastAsia="宋体" w:cs="宋体"/>
          <w:color w:val="auto"/>
          <w:sz w:val="24"/>
          <w:szCs w:val="26"/>
          <w:highlight w:val="none"/>
        </w:rPr>
      </w:r>
      <w:r/>
    </w:p>
    <w:p>
      <w:pPr>
        <w:ind w:firstLine="566"/>
        <w:spacing w:line="360" w:lineRule="auto"/>
        <w:rPr>
          <w:rFonts w:hint="eastAsia" w:ascii="宋体" w:hAnsi="宋体" w:eastAsia="宋体" w:cs="宋体"/>
          <w:color w:val="auto"/>
          <w:sz w:val="24"/>
          <w:szCs w:val="26"/>
          <w:highlight w:val="none"/>
        </w:rPr>
      </w:pPr>
      <w:r>
        <w:rPr>
          <w:rFonts w:hint="eastAsia" w:ascii="宋体" w:hAnsi="宋体" w:eastAsia="宋体" w:cs="宋体"/>
          <w:color w:val="auto"/>
          <w:sz w:val="24"/>
          <w:szCs w:val="26"/>
          <w:highlight w:val="none"/>
        </w:rPr>
        <w:t xml:space="preserve">享受政府采购支持政策的残疾人福利性单位应当同时满足以下条件：</w:t>
      </w:r>
      <w:r/>
    </w:p>
    <w:p>
      <w:pPr>
        <w:ind w:firstLine="480"/>
        <w:spacing w:line="360" w:lineRule="auto"/>
        <w:rPr>
          <w:rFonts w:hint="eastAsia" w:ascii="宋体" w:hAnsi="宋体" w:eastAsia="宋体" w:cs="宋体"/>
          <w:color w:val="auto"/>
          <w:sz w:val="24"/>
          <w:szCs w:val="26"/>
          <w:highlight w:val="none"/>
        </w:rPr>
      </w:pPr>
      <w:r>
        <w:rPr>
          <w:rFonts w:hint="eastAsia" w:ascii="宋体" w:hAnsi="宋体" w:eastAsia="宋体" w:cs="宋体"/>
          <w:color w:val="auto"/>
          <w:sz w:val="24"/>
          <w:szCs w:val="26"/>
          <w:highlight w:val="none"/>
        </w:rPr>
        <w:t xml:space="preserve">（一）安置的残疾人占本单位在职职工人数的比例不低于25%（含25%），并且安置的残疾人人数不少于10人（含10人）；</w:t>
      </w:r>
      <w:r/>
    </w:p>
    <w:p>
      <w:pPr>
        <w:ind w:firstLine="480"/>
        <w:spacing w:line="360" w:lineRule="auto"/>
        <w:rPr>
          <w:rFonts w:hint="eastAsia" w:ascii="宋体" w:hAnsi="宋体" w:eastAsia="宋体" w:cs="宋体"/>
          <w:color w:val="auto"/>
          <w:sz w:val="24"/>
          <w:szCs w:val="26"/>
          <w:highlight w:val="none"/>
        </w:rPr>
      </w:pPr>
      <w:r>
        <w:rPr>
          <w:rFonts w:hint="eastAsia" w:ascii="宋体" w:hAnsi="宋体" w:eastAsia="宋体" w:cs="宋体"/>
          <w:color w:val="auto"/>
          <w:sz w:val="24"/>
          <w:szCs w:val="26"/>
          <w:highlight w:val="none"/>
        </w:rPr>
        <w:t xml:space="preserve">（二）依法与安置的每位残疾人签订了一年以上（含一年）的劳动合同或服务协议；</w:t>
      </w:r>
      <w:r/>
    </w:p>
    <w:p>
      <w:pPr>
        <w:ind w:firstLine="480"/>
        <w:spacing w:line="360" w:lineRule="auto"/>
        <w:rPr>
          <w:rFonts w:hint="eastAsia" w:ascii="宋体" w:hAnsi="宋体" w:eastAsia="宋体" w:cs="宋体"/>
          <w:color w:val="auto"/>
          <w:sz w:val="24"/>
          <w:szCs w:val="26"/>
          <w:highlight w:val="none"/>
        </w:rPr>
      </w:pPr>
      <w:r>
        <w:rPr>
          <w:rFonts w:hint="eastAsia" w:ascii="宋体" w:hAnsi="宋体" w:eastAsia="宋体" w:cs="宋体"/>
          <w:color w:val="auto"/>
          <w:sz w:val="24"/>
          <w:szCs w:val="26"/>
          <w:highlight w:val="none"/>
        </w:rPr>
        <w:t xml:space="preserve">（三）为安置的每位残疾人按月足额缴纳了基本养老保险、基本医疗保险、失业保险、工伤保险和生育保险等社会保险费；</w:t>
      </w:r>
      <w:r/>
    </w:p>
    <w:p>
      <w:pPr>
        <w:ind w:firstLine="480"/>
        <w:spacing w:line="360" w:lineRule="auto"/>
        <w:rPr>
          <w:rFonts w:hint="eastAsia" w:ascii="宋体" w:hAnsi="宋体" w:eastAsia="宋体" w:cs="宋体"/>
          <w:color w:val="auto"/>
          <w:sz w:val="24"/>
          <w:szCs w:val="26"/>
          <w:highlight w:val="none"/>
        </w:rPr>
      </w:pPr>
      <w:r>
        <w:rPr>
          <w:rFonts w:hint="eastAsia" w:ascii="宋体" w:hAnsi="宋体" w:eastAsia="宋体" w:cs="宋体"/>
          <w:color w:val="auto"/>
          <w:sz w:val="24"/>
          <w:szCs w:val="26"/>
          <w:highlight w:val="none"/>
        </w:rPr>
        <w:t xml:space="preserve">（四）通过银行等金融机构向安置的每位残疾人，按月支付了不低于单位所在区县适用的经省级人民政府批准的月最低工资标准的工资；</w:t>
      </w:r>
      <w:r/>
    </w:p>
    <w:p>
      <w:pPr>
        <w:ind w:firstLine="480"/>
        <w:spacing w:line="360" w:lineRule="auto"/>
        <w:rPr>
          <w:rFonts w:hint="eastAsia" w:ascii="宋体" w:hAnsi="宋体" w:eastAsia="宋体" w:cs="宋体"/>
          <w:color w:val="auto"/>
          <w:sz w:val="24"/>
          <w:szCs w:val="26"/>
          <w:highlight w:val="none"/>
        </w:rPr>
      </w:pPr>
      <w:r>
        <w:rPr>
          <w:rFonts w:hint="eastAsia" w:ascii="宋体" w:hAnsi="宋体" w:eastAsia="宋体" w:cs="宋体"/>
          <w:color w:val="auto"/>
          <w:sz w:val="24"/>
          <w:szCs w:val="26"/>
          <w:highlight w:val="none"/>
        </w:rPr>
        <w:t xml:space="preserve">（五）提供本单位制造的货物、承担的工程或者服务（以下简称产品），或者提供其他残疾人福利性单位制造的货物（不包括使用非残疾人福利性单位注册商标的货物）。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szCs w:val="26"/>
          <w:highlight w:val="none"/>
        </w:rPr>
      </w:pPr>
      <w:r>
        <w:rPr>
          <w:rFonts w:hint="eastAsia" w:ascii="宋体" w:hAnsi="宋体" w:eastAsia="宋体" w:cs="宋体"/>
          <w:color w:val="auto"/>
          <w:sz w:val="24"/>
          <w:szCs w:val="26"/>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center"/>
        <w:spacing w:line="360" w:lineRule="auto"/>
        <w:rPr>
          <w:rFonts w:hint="eastAsia" w:ascii="宋体" w:hAnsi="宋体" w:eastAsia="宋体" w:cs="宋体"/>
          <w:color w:val="auto"/>
          <w:szCs w:val="26"/>
          <w:highlight w:val="none"/>
        </w:rPr>
        <w:outlineLvl w:val="1"/>
      </w:pPr>
      <w:r>
        <w:rPr>
          <w:rFonts w:hint="eastAsia" w:ascii="宋体" w:hAnsi="宋体" w:eastAsia="宋体" w:cs="宋体"/>
          <w:color w:val="auto"/>
          <w:sz w:val="24"/>
          <w:szCs w:val="26"/>
          <w:highlight w:val="none"/>
        </w:rPr>
        <w:br w:type="page" w:clear="all"/>
      </w:r>
      <w:r>
        <w:rPr>
          <w:rFonts w:hint="eastAsia" w:ascii="宋体" w:hAnsi="宋体" w:eastAsia="宋体" w:cs="宋体"/>
          <w:b/>
          <w:color w:val="auto"/>
          <w:szCs w:val="24"/>
          <w:highlight w:val="none"/>
        </w:rPr>
        <w:t xml:space="preserve">监狱企业的证明</w:t>
      </w:r>
      <w:r/>
    </w:p>
    <w:p>
      <w:pPr>
        <w:ind w:firstLine="425"/>
        <w:jc w:val="center"/>
        <w:spacing w:line="360" w:lineRule="auto"/>
        <w:rPr>
          <w:rFonts w:hint="eastAsia" w:ascii="宋体" w:hAnsi="宋体" w:eastAsia="宋体" w:cs="宋体"/>
          <w:color w:val="auto"/>
          <w:sz w:val="24"/>
          <w:szCs w:val="26"/>
          <w:highlight w:val="none"/>
        </w:rPr>
      </w:pPr>
      <w:r>
        <w:rPr>
          <w:rFonts w:hint="eastAsia" w:ascii="宋体" w:hAnsi="宋体" w:eastAsia="宋体" w:cs="宋体"/>
          <w:color w:val="auto"/>
          <w:sz w:val="24"/>
          <w:szCs w:val="26"/>
          <w:highlight w:val="none"/>
        </w:rPr>
        <w:t xml:space="preserve">（格式自拟）</w:t>
      </w:r>
      <w:r/>
    </w:p>
    <w:p>
      <w:pPr>
        <w:ind w:firstLine="566"/>
        <w:spacing w:line="360" w:lineRule="auto"/>
        <w:rPr>
          <w:rFonts w:hint="eastAsia" w:ascii="宋体" w:hAnsi="宋体" w:eastAsia="宋体" w:cs="宋体"/>
          <w:color w:val="auto"/>
          <w:sz w:val="24"/>
          <w:szCs w:val="26"/>
          <w:highlight w:val="none"/>
        </w:rPr>
      </w:pPr>
      <w:r>
        <w:rPr>
          <w:rFonts w:hint="eastAsia" w:ascii="宋体" w:hAnsi="宋体" w:eastAsia="宋体" w:cs="宋体"/>
          <w:color w:val="auto"/>
          <w:sz w:val="24"/>
          <w:szCs w:val="26"/>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center"/>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2"/>
        <w:jc w:val="left"/>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br w:type="page" w:clear="all"/>
      </w:r>
      <w:r/>
    </w:p>
    <w:p>
      <w:pPr>
        <w:ind w:firstLine="482"/>
        <w:jc w:val="center"/>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7、投标响应函（格式不得变动）</w:t>
      </w:r>
      <w:r/>
    </w:p>
    <w:p>
      <w:pPr>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 xml:space="preserve">南通市崇川区城市工程建设管理中心  </w:t>
      </w:r>
      <w:r>
        <w:rPr>
          <w:rFonts w:hint="eastAsia" w:ascii="宋体" w:hAnsi="宋体" w:eastAsia="宋体" w:cs="宋体"/>
          <w:color w:val="auto"/>
          <w:sz w:val="24"/>
          <w:szCs w:val="21"/>
          <w:highlight w:val="none"/>
        </w:rPr>
        <w:t xml:space="preserve">：</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依据贵单位</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（招标项目名称）项目公开招标采购的邀请，我方授权</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（姓名）</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（职务）为全权代表参加该项目的投标工作，全权处理本次投标的有关事宜。同时，我公司声明如下：</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1、我方同意并接受本项目招标文件的各项要求，遵守招标文件中的各项规定，按招标文件的要求提供报价。</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2、我方已经详细审查了全部招标文件，我方已完全清晰理解招标文件的要求，不存在任何含糊不清和误解之处，同意放弃对这些文件所提出的异议和质疑的权利。</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3、我方愿意提供招标人在招标文件中要求的所有资料。</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4、我方承诺在本次招标响应中提供的一切文件，无论是原件还是复印件均真实有效，绝无任何虚假、伪造和夸大的成份。否则，愿承担相应的后果和法律责任。</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5、我方尊重评标小组所作的评定结果，同时也清楚理解到投标报价最低并非意味着必定获得中标资格。</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6、一旦我方中标，我方将根据招标文件的规定，严格履行招标文件中规定的每一项要求，按期、按质、按量履行合同的义务。 </w:t>
      </w:r>
      <w:r/>
    </w:p>
    <w:p>
      <w:pPr>
        <w:ind w:firstLine="480"/>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（加盖公章）</w:t>
      </w:r>
      <w:r/>
    </w:p>
    <w:p>
      <w:pPr>
        <w:ind w:firstLine="480"/>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法定代表人或被授权人：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（签字或盖章）</w:t>
      </w:r>
      <w:r/>
    </w:p>
    <w:p>
      <w:pPr>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年      月     日</w:t>
      </w:r>
      <w:r/>
    </w:p>
    <w:p>
      <w:pPr>
        <w:pStyle w:val="960"/>
        <w:ind w:firstLine="723"/>
        <w:rPr>
          <w:rFonts w:hint="eastAsia" w:cs="宋体"/>
          <w:color w:val="auto"/>
          <w:highlight w:val="none"/>
        </w:rPr>
      </w:pPr>
      <w:r>
        <w:rPr>
          <w:rFonts w:hint="eastAsia" w:cs="宋体"/>
          <w:color w:val="auto"/>
          <w:highlight w:val="none"/>
        </w:rPr>
      </w:r>
      <w:r/>
    </w:p>
    <w:p>
      <w:pPr>
        <w:ind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Cs w:val="21"/>
          <w:highlight w:val="none"/>
        </w:rPr>
        <w:br w:type="page" w:clear="all"/>
      </w:r>
      <w:r/>
    </w:p>
    <w:p>
      <w:pPr>
        <w:pStyle w:val="960"/>
        <w:rPr>
          <w:rFonts w:hint="eastAsia" w:cs="宋体"/>
          <w:color w:val="auto"/>
          <w:szCs w:val="21"/>
          <w:highlight w:val="none"/>
        </w:rPr>
        <w:outlineLvl w:val="1"/>
      </w:pPr>
      <w:r>
        <w:rPr>
          <w:rFonts w:hint="eastAsia" w:cs="宋体"/>
          <w:bCs/>
          <w:color w:val="auto"/>
          <w:sz w:val="28"/>
          <w:szCs w:val="28"/>
          <w:highlight w:val="none"/>
        </w:rPr>
        <w:t xml:space="preserve">8、投标人一般情况表</w:t>
      </w:r>
      <w:r/>
    </w:p>
    <w:tbl>
      <w:tblPr>
        <w:tblStyle w:val="95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jc w:val="center"/>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总部地址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分支机构</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当地代表处地址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注册年份</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资质等级</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公司具备的相关资质等级及相应的证书号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（请附有关证书的复印件）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质量管理体系</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w:t>
            </w:r>
            <w:r>
              <w:rPr>
                <w:rFonts w:hint="eastAsia" w:ascii="宋体" w:hAnsi="宋体" w:eastAsia="宋体" w:cs="宋体"/>
                <w:color w:val="auto"/>
                <w:sz w:val="24"/>
                <w:szCs w:val="24"/>
                <w:highlight w:val="none"/>
                <w:u w:val="single"/>
              </w:rPr>
              <w:t xml:space="preserve">   （是否通过，何种）   </w:t>
            </w:r>
            <w:r>
              <w:rPr>
                <w:rFonts w:hint="eastAsia" w:ascii="宋体" w:hAnsi="宋体" w:eastAsia="宋体" w:cs="宋体"/>
                <w:color w:val="auto"/>
                <w:sz w:val="24"/>
                <w:szCs w:val="24"/>
                <w:highlight w:val="none"/>
              </w:rPr>
              <w:t xml:space="preserve">质量保证体系认证（如通过请附相关在有效期内的证书复印件）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gridSpan w:val="2"/>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20"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146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职务职称</w:t>
            </w:r>
            <w:r/>
          </w:p>
        </w:tc>
        <w:tc>
          <w:tcPr>
            <w:gridSpan w:val="4"/>
            <w:tcBorders>
              <w:top w:val="single" w:color="000000" w:sz="4" w:space="0"/>
              <w:left w:val="none" w:color="000000" w:sz="4" w:space="0"/>
              <w:bottom w:val="single" w:color="000000" w:sz="4" w:space="0"/>
              <w:right w:val="single" w:color="000000" w:sz="4" w:space="0"/>
            </w:tcBorders>
            <w:tcW w:w="2976"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执业资格</w:t>
            </w:r>
            <w:r/>
          </w:p>
        </w:tc>
        <w:tc>
          <w:tcPr>
            <w:gridSpan w:val="2"/>
            <w:tcBorders>
              <w:top w:val="single" w:color="000000" w:sz="4" w:space="0"/>
              <w:left w:val="none" w:color="000000" w:sz="4" w:space="0"/>
              <w:bottom w:val="single" w:color="000000" w:sz="4" w:space="0"/>
              <w:right w:val="single" w:color="000000" w:sz="4" w:space="0"/>
            </w:tcBorders>
            <w:tcW w:w="2787"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营业执照载明：</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从事类似相关项目的经历及年数</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其他认为有必要提供的内容，可自行添加</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（加盖公章）</w:t>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（签字或盖章）</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9、商务条款正负偏离表</w:t>
      </w:r>
      <w:r/>
    </w:p>
    <w:p>
      <w:pPr>
        <w:pStyle w:val="1213"/>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项目名称：</w:t>
      </w:r>
      <w:r/>
    </w:p>
    <w:tbl>
      <w:tblPr>
        <w:tblStyle w:val="95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2180"/>
        <w:gridCol w:w="2148"/>
        <w:gridCol w:w="2208"/>
        <w:gridCol w:w="1365"/>
      </w:tblGrid>
      <w:tr>
        <w:trPr>
          <w:trHeight w:val="994"/>
        </w:trPr>
        <w:tc>
          <w:tcPr>
            <w:tcW w:w="8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33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招标文件要求的</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商务条款</w:t>
            </w:r>
            <w:r/>
          </w:p>
        </w:tc>
        <w:tc>
          <w:tcPr>
            <w:tcW w:w="22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投标文件响应情况</w:t>
            </w:r>
            <w:r/>
          </w:p>
        </w:tc>
        <w:tc>
          <w:tcPr>
            <w:tcW w:w="236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c>
          <w:tcPr>
            <w:tcW w:w="14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414"/>
        </w:trPr>
        <w:tc>
          <w:tcPr>
            <w:tcW w:w="85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31"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97"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62"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8"/>
        </w:trPr>
        <w:tc>
          <w:tcPr>
            <w:tcW w:w="85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31"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97"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62"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0"/>
        </w:trPr>
        <w:tc>
          <w:tcPr>
            <w:tcW w:w="85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31"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97"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62"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9"/>
        </w:trPr>
        <w:tc>
          <w:tcPr>
            <w:tcW w:w="85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31"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97"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62"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5"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投标供应商：（盖章）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pStyle w:val="1213"/>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213"/>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注：1、供应商提交的</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文件中与招标文件第三部分“项目需求”中的</w:t>
      </w:r>
      <w:r>
        <w:rPr>
          <w:rFonts w:hint="eastAsia" w:ascii="宋体" w:hAnsi="宋体" w:eastAsia="宋体" w:cs="宋体"/>
          <w:b/>
          <w:bCs/>
          <w:color w:val="auto"/>
          <w:sz w:val="24"/>
          <w:szCs w:val="24"/>
          <w:highlight w:val="none"/>
          <w:lang w:val="zh-CN"/>
        </w:rPr>
        <w:t xml:space="preserve">商务</w:t>
      </w:r>
      <w:r>
        <w:rPr>
          <w:rFonts w:hint="eastAsia" w:ascii="宋体" w:hAnsi="宋体" w:eastAsia="宋体" w:cs="宋体"/>
          <w:color w:val="auto"/>
          <w:sz w:val="24"/>
          <w:szCs w:val="24"/>
          <w:highlight w:val="none"/>
          <w:lang w:val="zh-CN"/>
        </w:rPr>
        <w:t xml:space="preserve">要求，应逐条填列在偏离表中。也可以提供经签署、盖章的空白表格，招标人将视为供应商完全接受第三部分“项目需求”中的商务部分的条款内容。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2、“偏离说明”一栏选择“正偏离”、“负偏离”进行填写。正偏离的确认和负偏离的是否响应采购文件，经三分之二评委认定。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3、供应商如果虚假响应，将承担被暂停参加招标人招标活动的风险。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4、供应商若提供其他增值服务，可以在表中自行据实填写。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left"/>
        <w:widowControl/>
        <w:rPr>
          <w:rFonts w:hint="eastAsia" w:ascii="宋体" w:hAnsi="宋体" w:eastAsia="宋体" w:cs="宋体"/>
          <w:b/>
          <w:bCs/>
          <w:color w:val="auto"/>
          <w:sz w:val="24"/>
          <w:szCs w:val="21"/>
          <w:highlight w:val="none"/>
        </w:rPr>
      </w:pPr>
      <w:r>
        <w:rPr>
          <w:rFonts w:hint="eastAsia" w:ascii="宋体" w:hAnsi="宋体" w:eastAsia="宋体" w:cs="宋体"/>
          <w:color w:val="auto"/>
          <w:szCs w:val="21"/>
          <w:highlight w:val="none"/>
        </w:rPr>
        <w:br w:type="page" w:clear="all"/>
      </w:r>
      <w:r/>
    </w:p>
    <w:p>
      <w:pPr>
        <w:jc w:val="center"/>
        <w:spacing w:line="360" w:lineRule="auto"/>
        <w:tabs>
          <w:tab w:val="left" w:pos="2385" w:leader="none"/>
          <w:tab w:val="center" w:pos="4212"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10、《技术条款响应正负偏离表》</w:t>
      </w:r>
      <w:r/>
    </w:p>
    <w:p>
      <w:pPr>
        <w:jc w:val="center"/>
        <w:spacing w:line="360" w:lineRule="auto"/>
        <w:rPr>
          <w:rFonts w:eastAsia="宋体"/>
          <w:b/>
          <w:bCs/>
          <w:color w:val="auto"/>
          <w:sz w:val="24"/>
          <w:szCs w:val="24"/>
          <w:highlight w:val="none"/>
        </w:rPr>
      </w:pPr>
      <w:r>
        <w:rPr>
          <w:rFonts w:hint="eastAsia" w:eastAsia="宋体"/>
          <w:b/>
          <w:bCs/>
          <w:color w:val="auto"/>
          <w:sz w:val="24"/>
          <w:szCs w:val="24"/>
          <w:highlight w:val="none"/>
        </w:rPr>
        <w:t xml:space="preserve">（由供应商据实填写，表格不够自行添加）</w:t>
      </w:r>
      <w:r/>
    </w:p>
    <w:tbl>
      <w:tblPr>
        <w:tblStyle w:val="959"/>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0"/>
        <w:gridCol w:w="2179"/>
        <w:gridCol w:w="1907"/>
        <w:gridCol w:w="2449"/>
        <w:gridCol w:w="1365"/>
      </w:tblGrid>
      <w:tr>
        <w:trPr>
          <w:trHeight w:val="994"/>
        </w:trPr>
        <w:tc>
          <w:tcPr>
            <w:tcBorders>
              <w:top w:val="single" w:color="000000" w:sz="12" w:space="0"/>
              <w:left w:val="single" w:color="000000" w:sz="12" w:space="0"/>
              <w:bottom w:val="single" w:color="000000" w:sz="6" w:space="0"/>
              <w:right w:val="single" w:color="000000" w:sz="6" w:space="0"/>
            </w:tcBorders>
            <w:tcW w:w="852" w:type="dxa"/>
            <w:vAlign w:val="center"/>
            <w:textDirection w:val="lrTb"/>
            <w:noWrap w:val="false"/>
          </w:tcPr>
          <w:p>
            <w:pPr>
              <w:jc w:val="center"/>
              <w:spacing w:line="360" w:lineRule="auto"/>
              <w:rPr>
                <w:rFonts w:eastAsia="宋体"/>
                <w:b/>
                <w:bCs/>
                <w:color w:val="auto"/>
                <w:sz w:val="24"/>
                <w:szCs w:val="24"/>
                <w:highlight w:val="none"/>
              </w:rPr>
            </w:pPr>
            <w:r>
              <w:rPr>
                <w:rFonts w:hint="eastAsia" w:eastAsia="宋体"/>
                <w:b/>
                <w:bCs/>
                <w:color w:val="auto"/>
                <w:sz w:val="24"/>
                <w:szCs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2331" w:type="dxa"/>
            <w:vAlign w:val="center"/>
            <w:textDirection w:val="lrTb"/>
            <w:noWrap w:val="false"/>
          </w:tcPr>
          <w:p>
            <w:pPr>
              <w:jc w:val="center"/>
              <w:spacing w:line="360" w:lineRule="auto"/>
              <w:rPr>
                <w:rFonts w:eastAsia="宋体"/>
                <w:b/>
                <w:bCs/>
                <w:color w:val="auto"/>
                <w:sz w:val="24"/>
                <w:szCs w:val="24"/>
                <w:highlight w:val="none"/>
              </w:rPr>
            </w:pPr>
            <w:r>
              <w:rPr>
                <w:rFonts w:hint="eastAsia" w:eastAsia="宋体"/>
                <w:b/>
                <w:bCs/>
                <w:color w:val="auto"/>
                <w:sz w:val="24"/>
                <w:szCs w:val="24"/>
                <w:highlight w:val="none"/>
              </w:rPr>
              <w:t xml:space="preserve">货物或服务名称</w:t>
            </w:r>
            <w:r/>
          </w:p>
        </w:tc>
        <w:tc>
          <w:tcPr>
            <w:tcBorders>
              <w:top w:val="single" w:color="000000" w:sz="12" w:space="0"/>
              <w:left w:val="single" w:color="000000" w:sz="6" w:space="0"/>
              <w:bottom w:val="single" w:color="000000" w:sz="6" w:space="0"/>
              <w:right w:val="single" w:color="000000" w:sz="6" w:space="0"/>
            </w:tcBorders>
            <w:tcW w:w="2034" w:type="dxa"/>
            <w:vAlign w:val="center"/>
            <w:textDirection w:val="lrTb"/>
            <w:noWrap w:val="false"/>
          </w:tcPr>
          <w:p>
            <w:pPr>
              <w:jc w:val="center"/>
              <w:spacing w:line="360" w:lineRule="auto"/>
              <w:rPr>
                <w:rFonts w:eastAsia="宋体"/>
                <w:b/>
                <w:bCs/>
                <w:color w:val="auto"/>
                <w:sz w:val="24"/>
                <w:szCs w:val="24"/>
                <w:highlight w:val="none"/>
              </w:rPr>
            </w:pPr>
            <w:r>
              <w:rPr>
                <w:rFonts w:hint="eastAsia" w:eastAsia="宋体"/>
                <w:b/>
                <w:bCs/>
                <w:color w:val="auto"/>
                <w:sz w:val="24"/>
                <w:szCs w:val="24"/>
                <w:highlight w:val="none"/>
              </w:rPr>
              <w:t xml:space="preserve">招标文件要求的技术要求</w:t>
            </w:r>
            <w:r/>
          </w:p>
        </w:tc>
        <w:tc>
          <w:tcPr>
            <w:tcBorders>
              <w:top w:val="single" w:color="000000" w:sz="12" w:space="0"/>
              <w:left w:val="single" w:color="000000" w:sz="6" w:space="0"/>
              <w:bottom w:val="single" w:color="000000" w:sz="6" w:space="0"/>
              <w:right w:val="single" w:color="000000" w:sz="6" w:space="0"/>
            </w:tcBorders>
            <w:tcW w:w="2624" w:type="dxa"/>
            <w:vAlign w:val="center"/>
            <w:textDirection w:val="lrTb"/>
            <w:noWrap w:val="false"/>
          </w:tcPr>
          <w:p>
            <w:pPr>
              <w:jc w:val="center"/>
              <w:spacing w:line="360" w:lineRule="auto"/>
              <w:rPr>
                <w:rFonts w:eastAsia="宋体"/>
                <w:b/>
                <w:bCs/>
                <w:color w:val="auto"/>
                <w:sz w:val="24"/>
                <w:szCs w:val="24"/>
                <w:highlight w:val="none"/>
              </w:rPr>
            </w:pPr>
            <w:r>
              <w:rPr>
                <w:rFonts w:hint="eastAsia" w:eastAsia="宋体"/>
                <w:b/>
                <w:bCs/>
                <w:color w:val="auto"/>
                <w:sz w:val="24"/>
                <w:szCs w:val="24"/>
                <w:highlight w:val="none"/>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1445" w:type="dxa"/>
            <w:textDirection w:val="lrTb"/>
            <w:noWrap w:val="false"/>
          </w:tcPr>
          <w:p>
            <w:pPr>
              <w:jc w:val="center"/>
              <w:spacing w:line="360" w:lineRule="auto"/>
              <w:rPr>
                <w:rFonts w:eastAsia="宋体"/>
                <w:b/>
                <w:bCs/>
                <w:color w:val="auto"/>
                <w:sz w:val="24"/>
                <w:szCs w:val="24"/>
                <w:highlight w:val="none"/>
              </w:rPr>
            </w:pPr>
            <w:r>
              <w:rPr>
                <w:rFonts w:eastAsia="宋体"/>
                <w:b/>
                <w:bCs/>
                <w:color w:val="auto"/>
                <w:sz w:val="24"/>
                <w:szCs w:val="24"/>
                <w:highlight w:val="none"/>
              </w:rPr>
            </w:r>
            <w:r/>
          </w:p>
          <w:p>
            <w:pPr>
              <w:jc w:val="center"/>
              <w:spacing w:line="360" w:lineRule="auto"/>
              <w:rPr>
                <w:rFonts w:eastAsia="宋体"/>
                <w:b/>
                <w:bCs/>
                <w:color w:val="auto"/>
                <w:sz w:val="24"/>
                <w:szCs w:val="24"/>
                <w:highlight w:val="none"/>
              </w:rPr>
            </w:pPr>
            <w:r>
              <w:rPr>
                <w:rFonts w:hint="eastAsia" w:eastAsia="宋体"/>
                <w:b/>
                <w:bCs/>
                <w:color w:val="auto"/>
                <w:sz w:val="24"/>
                <w:szCs w:val="24"/>
                <w:highlight w:val="none"/>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852" w:type="dxa"/>
            <w:textDirection w:val="lrTb"/>
            <w:noWrap w:val="false"/>
          </w:tcPr>
          <w:p>
            <w:pPr>
              <w:jc w:val="center"/>
              <w:spacing w:line="360" w:lineRule="auto"/>
              <w:rPr>
                <w:rFonts w:eastAsia="宋体"/>
                <w:b/>
                <w:bCs/>
                <w:color w:val="auto"/>
                <w:sz w:val="24"/>
                <w:szCs w:val="24"/>
                <w:highlight w:val="none"/>
              </w:rPr>
            </w:pPr>
            <w:r>
              <w:rPr>
                <w:rFonts w:eastAsia="宋体"/>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31" w:type="dxa"/>
            <w:vAlign w:val="center"/>
            <w:textDirection w:val="lrTb"/>
            <w:noWrap w:val="false"/>
          </w:tcPr>
          <w:p>
            <w:pPr>
              <w:jc w:val="center"/>
              <w:spacing w:line="360" w:lineRule="auto"/>
              <w:rPr>
                <w:rFonts w:eastAsia="宋体"/>
                <w:b/>
                <w:bCs/>
                <w:color w:val="auto"/>
                <w:sz w:val="24"/>
                <w:szCs w:val="24"/>
                <w:highlight w:val="none"/>
              </w:rPr>
            </w:pPr>
            <w:r>
              <w:rPr>
                <w:rFonts w:eastAsia="宋体"/>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center"/>
              <w:spacing w:line="360" w:lineRule="auto"/>
              <w:rPr>
                <w:rFonts w:eastAsia="宋体"/>
                <w:b/>
                <w:bCs/>
                <w:color w:val="auto"/>
                <w:sz w:val="24"/>
                <w:szCs w:val="24"/>
                <w:highlight w:val="none"/>
              </w:rPr>
            </w:pPr>
            <w:r>
              <w:rPr>
                <w:rFonts w:eastAsia="宋体"/>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center"/>
              <w:spacing w:line="360" w:lineRule="auto"/>
              <w:rPr>
                <w:rFonts w:eastAsia="宋体"/>
                <w:b/>
                <w:bCs/>
                <w:color w:val="auto"/>
                <w:sz w:val="24"/>
                <w:szCs w:val="24"/>
                <w:highlight w:val="none"/>
              </w:rPr>
            </w:pPr>
            <w:r>
              <w:rPr>
                <w:rFonts w:eastAsia="宋体"/>
                <w:b/>
                <w:bCs/>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center"/>
              <w:spacing w:line="360" w:lineRule="auto"/>
              <w:rPr>
                <w:rFonts w:eastAsia="宋体"/>
                <w:b/>
                <w:bCs/>
                <w:color w:val="auto"/>
                <w:sz w:val="24"/>
                <w:szCs w:val="24"/>
                <w:highlight w:val="none"/>
              </w:rPr>
            </w:pPr>
            <w:r>
              <w:rPr>
                <w:rFonts w:eastAsia="宋体"/>
                <w:b/>
                <w:bCs/>
                <w:color w:val="auto"/>
                <w:sz w:val="24"/>
                <w:szCs w:val="24"/>
                <w:highlight w:val="none"/>
              </w:rPr>
            </w:r>
            <w:r/>
          </w:p>
        </w:tc>
      </w:tr>
      <w:tr>
        <w:trPr>
          <w:trHeight w:val="548"/>
        </w:trPr>
        <w:tc>
          <w:tcPr>
            <w:tcBorders>
              <w:top w:val="single" w:color="000000" w:sz="6" w:space="0"/>
              <w:left w:val="single" w:color="000000" w:sz="12" w:space="0"/>
              <w:bottom w:val="single" w:color="000000" w:sz="6" w:space="0"/>
              <w:right w:val="single" w:color="000000" w:sz="6" w:space="0"/>
            </w:tcBorders>
            <w:tcW w:w="852" w:type="dxa"/>
            <w:textDirection w:val="lrTb"/>
            <w:noWrap w:val="false"/>
          </w:tcPr>
          <w:p>
            <w:pPr>
              <w:jc w:val="center"/>
              <w:spacing w:line="360" w:lineRule="auto"/>
              <w:rPr>
                <w:rFonts w:eastAsia="宋体"/>
                <w:b/>
                <w:bCs/>
                <w:color w:val="auto"/>
                <w:sz w:val="24"/>
                <w:szCs w:val="24"/>
                <w:highlight w:val="none"/>
              </w:rPr>
            </w:pPr>
            <w:r>
              <w:rPr>
                <w:rFonts w:eastAsia="宋体"/>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31" w:type="dxa"/>
            <w:vAlign w:val="center"/>
            <w:textDirection w:val="lrTb"/>
            <w:noWrap w:val="false"/>
          </w:tcPr>
          <w:p>
            <w:pPr>
              <w:jc w:val="center"/>
              <w:spacing w:line="360" w:lineRule="auto"/>
              <w:rPr>
                <w:rFonts w:eastAsia="宋体"/>
                <w:b/>
                <w:bCs/>
                <w:color w:val="auto"/>
                <w:sz w:val="24"/>
                <w:szCs w:val="24"/>
                <w:highlight w:val="none"/>
              </w:rPr>
            </w:pPr>
            <w:r>
              <w:rPr>
                <w:rFonts w:eastAsia="宋体"/>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center"/>
              <w:spacing w:line="360" w:lineRule="auto"/>
              <w:rPr>
                <w:rFonts w:eastAsia="宋体"/>
                <w:b/>
                <w:bCs/>
                <w:color w:val="auto"/>
                <w:sz w:val="24"/>
                <w:szCs w:val="24"/>
                <w:highlight w:val="none"/>
              </w:rPr>
            </w:pPr>
            <w:r>
              <w:rPr>
                <w:rFonts w:eastAsia="宋体"/>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center"/>
              <w:spacing w:line="360" w:lineRule="auto"/>
              <w:rPr>
                <w:rFonts w:eastAsia="宋体"/>
                <w:b/>
                <w:bCs/>
                <w:color w:val="auto"/>
                <w:sz w:val="24"/>
                <w:szCs w:val="24"/>
                <w:highlight w:val="none"/>
              </w:rPr>
            </w:pPr>
            <w:r>
              <w:rPr>
                <w:rFonts w:eastAsia="宋体"/>
                <w:b/>
                <w:bCs/>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center"/>
              <w:spacing w:line="360" w:lineRule="auto"/>
              <w:rPr>
                <w:rFonts w:eastAsia="宋体"/>
                <w:b/>
                <w:bCs/>
                <w:color w:val="auto"/>
                <w:sz w:val="24"/>
                <w:szCs w:val="24"/>
                <w:highlight w:val="none"/>
              </w:rPr>
            </w:pPr>
            <w:r>
              <w:rPr>
                <w:rFonts w:eastAsia="宋体"/>
                <w:b/>
                <w:bCs/>
                <w:color w:val="auto"/>
                <w:sz w:val="24"/>
                <w:szCs w:val="24"/>
                <w:highlight w:val="none"/>
              </w:rPr>
            </w:r>
            <w:r/>
          </w:p>
        </w:tc>
      </w:tr>
      <w:tr>
        <w:trPr>
          <w:trHeight w:val="400"/>
        </w:trPr>
        <w:tc>
          <w:tcPr>
            <w:tcBorders>
              <w:top w:val="single" w:color="000000" w:sz="6" w:space="0"/>
              <w:left w:val="single" w:color="000000" w:sz="12" w:space="0"/>
              <w:bottom w:val="single" w:color="000000" w:sz="6" w:space="0"/>
              <w:right w:val="single" w:color="000000" w:sz="6" w:space="0"/>
            </w:tcBorders>
            <w:tcW w:w="852" w:type="dxa"/>
            <w:textDirection w:val="lrTb"/>
            <w:noWrap w:val="false"/>
          </w:tcPr>
          <w:p>
            <w:pPr>
              <w:jc w:val="center"/>
              <w:spacing w:line="360" w:lineRule="auto"/>
              <w:rPr>
                <w:rFonts w:eastAsia="宋体"/>
                <w:b/>
                <w:bCs/>
                <w:color w:val="auto"/>
                <w:sz w:val="24"/>
                <w:szCs w:val="24"/>
                <w:highlight w:val="none"/>
              </w:rPr>
            </w:pPr>
            <w:r>
              <w:rPr>
                <w:rFonts w:eastAsia="宋体"/>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31" w:type="dxa"/>
            <w:vAlign w:val="center"/>
            <w:textDirection w:val="lrTb"/>
            <w:noWrap w:val="false"/>
          </w:tcPr>
          <w:p>
            <w:pPr>
              <w:jc w:val="center"/>
              <w:spacing w:line="360" w:lineRule="auto"/>
              <w:rPr>
                <w:rFonts w:eastAsia="宋体"/>
                <w:b/>
                <w:bCs/>
                <w:color w:val="auto"/>
                <w:sz w:val="24"/>
                <w:szCs w:val="24"/>
                <w:highlight w:val="none"/>
              </w:rPr>
            </w:pPr>
            <w:r>
              <w:rPr>
                <w:rFonts w:eastAsia="宋体"/>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center"/>
              <w:spacing w:line="360" w:lineRule="auto"/>
              <w:rPr>
                <w:rFonts w:eastAsia="宋体"/>
                <w:b/>
                <w:bCs/>
                <w:color w:val="auto"/>
                <w:sz w:val="24"/>
                <w:szCs w:val="24"/>
                <w:highlight w:val="none"/>
              </w:rPr>
            </w:pPr>
            <w:r>
              <w:rPr>
                <w:rFonts w:eastAsia="宋体"/>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center"/>
              <w:spacing w:line="360" w:lineRule="auto"/>
              <w:rPr>
                <w:rFonts w:eastAsia="宋体"/>
                <w:b/>
                <w:bCs/>
                <w:color w:val="auto"/>
                <w:sz w:val="24"/>
                <w:szCs w:val="24"/>
                <w:highlight w:val="none"/>
              </w:rPr>
            </w:pPr>
            <w:r>
              <w:rPr>
                <w:rFonts w:eastAsia="宋体"/>
                <w:b/>
                <w:bCs/>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center"/>
              <w:spacing w:line="360" w:lineRule="auto"/>
              <w:rPr>
                <w:rFonts w:eastAsia="宋体"/>
                <w:b/>
                <w:bCs/>
                <w:color w:val="auto"/>
                <w:sz w:val="24"/>
                <w:szCs w:val="24"/>
                <w:highlight w:val="none"/>
              </w:rPr>
            </w:pPr>
            <w:r>
              <w:rPr>
                <w:rFonts w:eastAsia="宋体"/>
                <w:b/>
                <w:bCs/>
                <w:color w:val="auto"/>
                <w:sz w:val="24"/>
                <w:szCs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852" w:type="dxa"/>
            <w:textDirection w:val="lrTb"/>
            <w:noWrap w:val="false"/>
          </w:tcPr>
          <w:p>
            <w:pPr>
              <w:jc w:val="center"/>
              <w:spacing w:line="360" w:lineRule="auto"/>
              <w:rPr>
                <w:rFonts w:eastAsia="宋体"/>
                <w:b/>
                <w:bCs/>
                <w:color w:val="auto"/>
                <w:sz w:val="24"/>
                <w:szCs w:val="24"/>
                <w:highlight w:val="none"/>
              </w:rPr>
            </w:pPr>
            <w:r>
              <w:rPr>
                <w:rFonts w:eastAsia="宋体"/>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31" w:type="dxa"/>
            <w:vAlign w:val="center"/>
            <w:textDirection w:val="lrTb"/>
            <w:noWrap w:val="false"/>
          </w:tcPr>
          <w:p>
            <w:pPr>
              <w:jc w:val="center"/>
              <w:spacing w:line="360" w:lineRule="auto"/>
              <w:rPr>
                <w:rFonts w:eastAsia="宋体"/>
                <w:b/>
                <w:bCs/>
                <w:color w:val="auto"/>
                <w:sz w:val="24"/>
                <w:szCs w:val="24"/>
                <w:highlight w:val="none"/>
              </w:rPr>
            </w:pPr>
            <w:r>
              <w:rPr>
                <w:rFonts w:eastAsia="宋体"/>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center"/>
              <w:spacing w:line="360" w:lineRule="auto"/>
              <w:rPr>
                <w:rFonts w:eastAsia="宋体"/>
                <w:b/>
                <w:bCs/>
                <w:color w:val="auto"/>
                <w:sz w:val="24"/>
                <w:szCs w:val="24"/>
                <w:highlight w:val="none"/>
              </w:rPr>
            </w:pPr>
            <w:r>
              <w:rPr>
                <w:rFonts w:eastAsia="宋体"/>
                <w:b/>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center"/>
              <w:spacing w:line="360" w:lineRule="auto"/>
              <w:rPr>
                <w:rFonts w:eastAsia="宋体"/>
                <w:b/>
                <w:bCs/>
                <w:color w:val="auto"/>
                <w:sz w:val="24"/>
                <w:szCs w:val="24"/>
                <w:highlight w:val="none"/>
              </w:rPr>
            </w:pPr>
            <w:r>
              <w:rPr>
                <w:rFonts w:eastAsia="宋体"/>
                <w:b/>
                <w:bCs/>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center"/>
              <w:spacing w:line="360" w:lineRule="auto"/>
              <w:rPr>
                <w:rFonts w:eastAsia="宋体"/>
                <w:b/>
                <w:bCs/>
                <w:color w:val="auto"/>
                <w:sz w:val="24"/>
                <w:szCs w:val="24"/>
                <w:highlight w:val="none"/>
              </w:rPr>
            </w:pPr>
            <w:r>
              <w:rPr>
                <w:rFonts w:eastAsia="宋体"/>
                <w:b/>
                <w:bCs/>
                <w:color w:val="auto"/>
                <w:sz w:val="24"/>
                <w:szCs w:val="24"/>
                <w:highlight w:val="none"/>
              </w:rPr>
            </w:r>
            <w:r/>
          </w:p>
        </w:tc>
      </w:tr>
    </w:tbl>
    <w:p>
      <w:pPr>
        <w:contextualSpacing/>
        <w:spacing w:line="360" w:lineRule="auto"/>
        <w:rPr>
          <w:rFonts w:eastAsia="宋体" w:cs="宋体"/>
          <w:b/>
          <w:color w:val="auto"/>
          <w:sz w:val="24"/>
          <w:highlight w:val="none"/>
        </w:rPr>
      </w:pPr>
      <w:r>
        <w:rPr>
          <w:rFonts w:hint="eastAsia" w:eastAsia="宋体" w:cs="宋体"/>
          <w:b/>
          <w:color w:val="auto"/>
          <w:sz w:val="24"/>
          <w:highlight w:val="none"/>
        </w:rPr>
        <w:t xml:space="preserve">注：</w:t>
      </w:r>
      <w:r/>
    </w:p>
    <w:p>
      <w:pPr>
        <w:ind w:firstLine="480"/>
        <w:spacing w:line="360" w:lineRule="auto"/>
        <w:rPr>
          <w:rFonts w:hint="eastAsia" w:ascii="宋体" w:hAnsi="宋体" w:eastAsia="宋体" w:cs="宋体"/>
          <w:color w:val="auto"/>
          <w:sz w:val="24"/>
          <w:szCs w:val="24"/>
          <w:highlight w:val="none"/>
        </w:rPr>
      </w:pPr>
      <w:r>
        <w:rPr>
          <w:rFonts w:hint="eastAsia" w:eastAsia="宋体" w:cs="宋体"/>
          <w:color w:val="auto"/>
          <w:sz w:val="24"/>
          <w:highlight w:val="none"/>
        </w:rPr>
        <w:t xml:space="preserve">1.供应商提交的投标文件中与招标文件第三章“项目需求”中的技术部分的要求，应逐条填列在偏离表中。</w:t>
      </w:r>
      <w:r>
        <w:rPr>
          <w:rFonts w:hint="eastAsia" w:ascii="宋体" w:hAnsi="宋体" w:eastAsia="宋体" w:cs="宋体"/>
          <w:color w:val="auto"/>
          <w:sz w:val="24"/>
          <w:szCs w:val="24"/>
          <w:highlight w:val="none"/>
          <w:lang w:val="zh-CN"/>
        </w:rPr>
        <w:t xml:space="preserve">也可以提供经签署、盖章的空白表格，招标人将视为供应商完全接受第三部分“项目需求”中的</w:t>
      </w:r>
      <w:r>
        <w:rPr>
          <w:rFonts w:hint="eastAsia" w:ascii="宋体" w:hAnsi="宋体" w:eastAsia="宋体" w:cs="宋体"/>
          <w:color w:val="auto"/>
          <w:sz w:val="24"/>
          <w:szCs w:val="24"/>
          <w:highlight w:val="none"/>
        </w:rPr>
        <w:t xml:space="preserve">技术</w:t>
      </w:r>
      <w:r>
        <w:rPr>
          <w:rFonts w:hint="eastAsia" w:ascii="宋体" w:hAnsi="宋体" w:eastAsia="宋体" w:cs="宋体"/>
          <w:color w:val="auto"/>
          <w:sz w:val="24"/>
          <w:szCs w:val="24"/>
          <w:highlight w:val="none"/>
          <w:lang w:val="zh-CN"/>
        </w:rPr>
        <w:t xml:space="preserve">部分的条款内容。</w:t>
      </w:r>
      <w:r/>
    </w:p>
    <w:p>
      <w:pPr>
        <w:contextualSpacing/>
        <w:ind w:firstLine="480"/>
        <w:spacing w:line="360" w:lineRule="auto"/>
        <w:rPr>
          <w:rFonts w:eastAsia="宋体" w:cs="宋体"/>
          <w:color w:val="auto"/>
          <w:sz w:val="24"/>
          <w:highlight w:val="none"/>
        </w:rPr>
      </w:pPr>
      <w:r>
        <w:rPr>
          <w:rFonts w:hint="eastAsia" w:eastAsia="宋体" w:cs="宋体"/>
          <w:color w:val="auto"/>
          <w:sz w:val="24"/>
          <w:highlight w:val="none"/>
        </w:rPr>
        <w:t xml:space="preserve">2.“偏离说明”一栏选择“正偏离”、“负偏离”进行填写。正偏离、负偏离、无偏离的确认，由评审小组认定。</w:t>
      </w:r>
      <w:r/>
    </w:p>
    <w:p>
      <w:pPr>
        <w:contextualSpacing/>
        <w:ind w:firstLine="480"/>
        <w:spacing w:line="360" w:lineRule="auto"/>
        <w:rPr>
          <w:rFonts w:eastAsia="宋体" w:cs="宋体"/>
          <w:color w:val="auto"/>
          <w:sz w:val="24"/>
          <w:highlight w:val="none"/>
        </w:rPr>
      </w:pPr>
      <w:r>
        <w:rPr>
          <w:rFonts w:hint="eastAsia" w:eastAsia="宋体" w:cs="宋体"/>
          <w:color w:val="auto"/>
          <w:sz w:val="24"/>
          <w:highlight w:val="none"/>
        </w:rPr>
        <w:t xml:space="preserve">3.供应商若提供其他增值服务，可以在表中自行据实填写。</w:t>
      </w:r>
      <w:r/>
    </w:p>
    <w:p>
      <w:pPr>
        <w:contextualSpacing/>
        <w:ind w:firstLine="480"/>
        <w:spacing w:line="360" w:lineRule="auto"/>
        <w:rPr>
          <w:rFonts w:eastAsia="宋体" w:cs="宋体"/>
          <w:color w:val="auto"/>
          <w:sz w:val="24"/>
          <w:highlight w:val="none"/>
        </w:rPr>
      </w:pPr>
      <w:r>
        <w:rPr>
          <w:rFonts w:hint="eastAsia" w:eastAsia="宋体" w:cs="宋体"/>
          <w:color w:val="auto"/>
          <w:sz w:val="24"/>
          <w:highlight w:val="none"/>
        </w:rPr>
        <w:t xml:space="preserve">4.若完全响应本项目需求且无偏离，投标时本表可空白盖章提供。</w:t>
      </w:r>
      <w:r/>
    </w:p>
    <w:p>
      <w:pPr>
        <w:ind w:firstLine="485"/>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（加盖公章）</w:t>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（签字或盖章）</w:t>
      </w:r>
      <w:r/>
    </w:p>
    <w:p>
      <w:pPr>
        <w:jc w:val="right"/>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contextualSpacing/>
        <w:jc w:val="center"/>
        <w:pageBreakBefore/>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1"/>
          <w:highlight w:val="none"/>
        </w:rPr>
        <w:t xml:space="preserve">11、</w:t>
      </w:r>
      <w:r>
        <w:rPr>
          <w:rFonts w:hint="eastAsia" w:ascii="宋体" w:hAnsi="宋体" w:eastAsia="宋体" w:cs="宋体"/>
          <w:b/>
          <w:bCs/>
          <w:color w:val="auto"/>
          <w:sz w:val="24"/>
          <w:szCs w:val="24"/>
          <w:highlight w:val="none"/>
        </w:rPr>
        <w:t xml:space="preserve">运营商授权承诺函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南通市崇川区城市工程建设管理中心：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w:t>
      </w:r>
      <w:r>
        <w:rPr>
          <w:rFonts w:hint="eastAsia" w:ascii="宋体" w:hAnsi="宋体" w:eastAsia="宋体" w:cs="宋体"/>
          <w:color w:val="auto"/>
          <w:sz w:val="24"/>
          <w:szCs w:val="24"/>
          <w:highlight w:val="none"/>
          <w:u w:val="single"/>
        </w:rPr>
        <w:t xml:space="preserve">2026年崇川区城建中心市政道路监控项目（第四批）</w:t>
      </w:r>
      <w:r>
        <w:rPr>
          <w:rFonts w:hint="eastAsia" w:ascii="宋体" w:hAnsi="宋体" w:eastAsia="宋体" w:cs="宋体"/>
          <w:color w:val="auto"/>
          <w:sz w:val="24"/>
          <w:szCs w:val="24"/>
          <w:highlight w:val="none"/>
        </w:rPr>
        <w:t xml:space="preserve">采购文件的要求，现承诺，若我单位中标，将于中标公示结束5个工作日内与具备线路运营资质的运营商达成网络线路租用意向协议，在本项目提供祼纤线路资源，并向采购人提供运营商授权协议书。否则本公司自愿放弃中标资格。</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9"/>
        <w:ind w:left="5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80" w:lineRule="exac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bCs/>
          <w:color w:val="auto"/>
          <w:sz w:val="24"/>
          <w:szCs w:val="24"/>
          <w:highlight w:val="none"/>
        </w:rPr>
        <w:t xml:space="preserve">              投标供应商：（加盖公章）</w:t>
      </w:r>
      <w:r/>
    </w:p>
    <w:p>
      <w:pPr>
        <w:jc w:val="center"/>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法定代表人或被授权人：（签字或盖章）</w:t>
      </w:r>
      <w:r/>
    </w:p>
    <w:p>
      <w:pPr>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年  月  日</w:t>
      </w:r>
      <w:r/>
    </w:p>
    <w:p>
      <w:pPr>
        <w:jc w:val="right"/>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left"/>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ind w:firstLine="482"/>
        <w:jc w:val="left"/>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br w:type="page" w:clear="all"/>
      </w:r>
      <w:r/>
    </w:p>
    <w:p>
      <w:pPr>
        <w:ind w:firstLine="482"/>
        <w:jc w:val="left"/>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ind w:firstLine="482"/>
        <w:jc w:val="center"/>
        <w:spacing w:line="360" w:lineRule="auto"/>
        <w:rPr>
          <w:rFonts w:hint="eastAsia" w:ascii="宋体" w:hAnsi="宋体" w:eastAsia="宋体" w:cs="宋体"/>
          <w:b/>
          <w:bCs/>
          <w:color w:val="auto"/>
          <w:sz w:val="24"/>
          <w:szCs w:val="21"/>
          <w:highlight w:val="none"/>
        </w:rPr>
        <w:outlineLvl w:val="1"/>
      </w:pPr>
      <w:r>
        <w:rPr>
          <w:rFonts w:hint="eastAsia" w:ascii="宋体" w:hAnsi="宋体" w:eastAsia="宋体" w:cs="宋体"/>
          <w:b/>
          <w:bCs/>
          <w:color w:val="auto"/>
          <w:sz w:val="24"/>
          <w:szCs w:val="21"/>
          <w:highlight w:val="none"/>
        </w:rPr>
        <w:t xml:space="preserve">12、投标报价表</w:t>
      </w:r>
      <w:r/>
    </w:p>
    <w:tbl>
      <w:tblPr>
        <w:tblStyle w:val="959"/>
        <w:tblW w:w="50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03"/>
        <w:gridCol w:w="6384"/>
      </w:tblGrid>
      <w:tr>
        <w:trPr>
          <w:trHeight w:val="684"/>
        </w:trPr>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592" w:type="pct"/>
            <w:vAlign w:val="center"/>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2026年崇川区城建中心市政道路监控项目（第四批）</w:t>
            </w:r>
            <w:r/>
          </w:p>
        </w:tc>
      </w:tr>
      <w:tr>
        <w:trPr>
          <w:trHeight w:val="684"/>
        </w:trPr>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tc>
        <w:tc>
          <w:tcPr>
            <w:tcBorders>
              <w:top w:val="single" w:color="auto" w:sz="4" w:space="0"/>
              <w:left w:val="single" w:color="auto" w:sz="4" w:space="0"/>
              <w:bottom w:val="single" w:color="auto" w:sz="4" w:space="0"/>
              <w:right w:val="single" w:color="auto" w:sz="4" w:space="0"/>
            </w:tcBorders>
            <w:tcW w:w="3592" w:type="pct"/>
            <w:vAlign w:val="center"/>
            <w:textDirection w:val="lrTb"/>
            <w:noWrap w:val="false"/>
          </w:tcPr>
          <w:p>
            <w:pPr>
              <w:spacing w:line="360" w:lineRule="auto"/>
              <w:rPr>
                <w:rFonts w:hint="eastAsia" w:ascii="宋体" w:hAnsi="宋体" w:eastAsia="宋体" w:cs="宋体"/>
                <w:color w:val="auto"/>
                <w:sz w:val="24"/>
                <w:szCs w:val="21"/>
                <w:highlight w:val="none"/>
              </w:rPr>
            </w:pPr>
            <w:r>
              <w:rPr>
                <w:rFonts w:ascii="宋体" w:hAnsi="宋体" w:eastAsia="宋体" w:cs="宋体"/>
                <w:color w:val="auto"/>
                <w:sz w:val="24"/>
                <w:szCs w:val="21"/>
                <w:highlight w:val="none"/>
              </w:rPr>
              <w:t xml:space="preserve">JSZC-320613-ZCZX-G2026-0027</w:t>
            </w:r>
            <w:r/>
          </w:p>
        </w:tc>
      </w:tr>
      <w:tr>
        <w:trPr>
          <w:trHeight w:val="684"/>
        </w:trPr>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分项名称</w:t>
            </w:r>
            <w:r/>
          </w:p>
        </w:tc>
        <w:tc>
          <w:tcPr>
            <w:tcBorders>
              <w:top w:val="single" w:color="auto" w:sz="4" w:space="0"/>
              <w:left w:val="single" w:color="auto" w:sz="4" w:space="0"/>
              <w:bottom w:val="single" w:color="auto" w:sz="4" w:space="0"/>
              <w:right w:val="single" w:color="auto" w:sz="4" w:space="0"/>
            </w:tcBorders>
            <w:tcW w:w="3592"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投标报价（元）</w:t>
            </w:r>
            <w:r/>
          </w:p>
        </w:tc>
      </w:tr>
      <w:tr>
        <w:trPr>
          <w:trHeight w:val="1427"/>
        </w:trPr>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崇川路南侧规划路(崇学路-世园路) </w:t>
            </w:r>
            <w:r/>
          </w:p>
        </w:tc>
        <w:tc>
          <w:tcPr>
            <w:tcBorders>
              <w:top w:val="single" w:color="auto" w:sz="4" w:space="0"/>
              <w:left w:val="single" w:color="auto" w:sz="4" w:space="0"/>
              <w:bottom w:val="single" w:color="auto" w:sz="4" w:space="0"/>
              <w:right w:val="single" w:color="auto" w:sz="4" w:space="0"/>
            </w:tcBorders>
            <w:tcW w:w="3592" w:type="pct"/>
            <w:vAlign w:val="center"/>
            <w:textDirection w:val="lrTb"/>
            <w:noWrap w:val="false"/>
          </w:tcPr>
          <w:p>
            <w:pPr>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r>
      <w:tr>
        <w:trPr>
          <w:trHeight w:val="1427"/>
        </w:trPr>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桃园路北侧规划路(崇学路-世园路)</w:t>
            </w:r>
            <w:r/>
          </w:p>
        </w:tc>
        <w:tc>
          <w:tcPr>
            <w:tcBorders>
              <w:top w:val="single" w:color="auto" w:sz="4" w:space="0"/>
              <w:left w:val="single" w:color="auto" w:sz="4" w:space="0"/>
              <w:bottom w:val="single" w:color="auto" w:sz="4" w:space="0"/>
              <w:right w:val="single" w:color="auto" w:sz="4" w:space="0"/>
            </w:tcBorders>
            <w:tcW w:w="3592" w:type="pct"/>
            <w:vAlign w:val="center"/>
            <w:textDirection w:val="lrTb"/>
            <w:noWrap w:val="false"/>
          </w:tcPr>
          <w:p>
            <w:pPr>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r>
      <w:tr>
        <w:trPr>
          <w:trHeight w:val="1427"/>
        </w:trPr>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规划一路(幸余路-秦灶路)</w:t>
            </w:r>
            <w:r/>
          </w:p>
        </w:tc>
        <w:tc>
          <w:tcPr>
            <w:tcBorders>
              <w:top w:val="single" w:color="auto" w:sz="4" w:space="0"/>
              <w:left w:val="single" w:color="auto" w:sz="4" w:space="0"/>
              <w:bottom w:val="single" w:color="auto" w:sz="4" w:space="0"/>
              <w:right w:val="single" w:color="auto" w:sz="4" w:space="0"/>
            </w:tcBorders>
            <w:tcW w:w="3592" w:type="pct"/>
            <w:vAlign w:val="center"/>
            <w:textDirection w:val="lrTb"/>
            <w:noWrap w:val="false"/>
          </w:tcPr>
          <w:p>
            <w:pPr>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r>
      <w:tr>
        <w:trPr>
          <w:trHeight w:val="1427"/>
        </w:trPr>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顺达路西延(泰通路-工农北路)</w:t>
            </w:r>
            <w:r/>
          </w:p>
        </w:tc>
        <w:tc>
          <w:tcPr>
            <w:tcBorders>
              <w:top w:val="single" w:color="auto" w:sz="4" w:space="0"/>
              <w:left w:val="single" w:color="auto" w:sz="4" w:space="0"/>
              <w:bottom w:val="single" w:color="auto" w:sz="4" w:space="0"/>
              <w:right w:val="single" w:color="auto" w:sz="4" w:space="0"/>
            </w:tcBorders>
            <w:tcW w:w="3592" w:type="pct"/>
            <w:vAlign w:val="center"/>
            <w:textDirection w:val="lrTb"/>
            <w:noWrap w:val="false"/>
          </w:tcPr>
          <w:p>
            <w:pPr>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r>
      <w:tr>
        <w:trPr>
          <w:trHeight w:val="1427"/>
        </w:trPr>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总报价（上述四条路合计）</w:t>
            </w:r>
            <w:r/>
          </w:p>
        </w:tc>
        <w:tc>
          <w:tcPr>
            <w:tcBorders>
              <w:top w:val="single" w:color="auto" w:sz="4" w:space="0"/>
              <w:left w:val="single" w:color="auto" w:sz="4" w:space="0"/>
              <w:bottom w:val="single" w:color="auto" w:sz="4" w:space="0"/>
              <w:right w:val="single" w:color="auto" w:sz="4" w:space="0"/>
            </w:tcBorders>
            <w:tcW w:w="3592" w:type="pct"/>
            <w:vAlign w:val="center"/>
            <w:textDirection w:val="lrTb"/>
            <w:noWrap w:val="false"/>
          </w:tcPr>
          <w:p>
            <w:pPr>
              <w:spacing w:line="360" w:lineRule="auto"/>
              <w:rPr>
                <w:rFonts w:hint="eastAsia" w:ascii="宋体" w:hAnsi="宋体" w:eastAsia="宋体" w:cs="宋体"/>
                <w:bCs/>
                <w:color w:val="auto"/>
                <w:spacing w:val="0"/>
                <w:position w:val="0"/>
                <w:sz w:val="24"/>
                <w:szCs w:val="24"/>
                <w:highlight w:val="none"/>
              </w:rPr>
            </w:pPr>
            <w:r>
              <w:rPr>
                <w:rFonts w:hint="eastAsia" w:ascii="宋体" w:hAnsi="宋体" w:eastAsia="宋体" w:cs="宋体"/>
                <w:bCs/>
                <w:color w:val="auto"/>
                <w:spacing w:val="0"/>
                <w:position w:val="0"/>
                <w:sz w:val="24"/>
                <w:szCs w:val="24"/>
                <w:highlight w:val="none"/>
              </w:rPr>
              <w:t xml:space="preserve">大写</w:t>
            </w:r>
            <w:r>
              <w:rPr>
                <w:rFonts w:hint="eastAsia" w:ascii="宋体" w:hAnsi="宋体" w:eastAsia="宋体" w:cs="宋体"/>
                <w:bCs/>
                <w:color w:val="auto"/>
                <w:spacing w:val="0"/>
                <w:position w:val="0"/>
                <w:sz w:val="24"/>
                <w:szCs w:val="24"/>
                <w:highlight w:val="none"/>
                <w:u w:val="single"/>
              </w:rPr>
              <w:t xml:space="preserve">：                    元</w:t>
            </w:r>
            <w:r>
              <w:rPr>
                <w:rFonts w:hint="eastAsia" w:ascii="宋体" w:hAnsi="宋体" w:eastAsia="宋体" w:cs="宋体"/>
                <w:bCs/>
                <w:color w:val="auto"/>
                <w:spacing w:val="0"/>
                <w:position w:val="0"/>
                <w:sz w:val="24"/>
                <w:szCs w:val="24"/>
                <w:highlight w:val="none"/>
              </w:rPr>
              <w:t xml:space="preserve">；</w:t>
            </w:r>
            <w:r/>
          </w:p>
          <w:p>
            <w:pPr>
              <w:spacing w:line="360" w:lineRule="auto"/>
              <w:rPr>
                <w:rFonts w:hint="eastAsia" w:ascii="宋体" w:hAnsi="宋体" w:eastAsia="宋体" w:cs="宋体"/>
                <w:color w:val="auto"/>
                <w:szCs w:val="22"/>
                <w:highlight w:val="none"/>
              </w:rPr>
            </w:pPr>
            <w:r>
              <w:rPr>
                <w:rFonts w:hint="eastAsia" w:ascii="宋体" w:hAnsi="宋体" w:eastAsia="宋体" w:cs="宋体"/>
                <w:bCs/>
                <w:color w:val="auto"/>
                <w:spacing w:val="0"/>
                <w:position w:val="0"/>
                <w:sz w:val="24"/>
                <w:szCs w:val="24"/>
                <w:highlight w:val="none"/>
              </w:rPr>
              <w:t xml:space="preserve">小写</w:t>
            </w:r>
            <w:r>
              <w:rPr>
                <w:rFonts w:hint="eastAsia" w:ascii="宋体" w:hAnsi="宋体" w:eastAsia="宋体" w:cs="宋体"/>
                <w:bCs/>
                <w:color w:val="auto"/>
                <w:spacing w:val="0"/>
                <w:position w:val="0"/>
                <w:sz w:val="24"/>
                <w:szCs w:val="24"/>
                <w:highlight w:val="none"/>
                <w:u w:val="single"/>
              </w:rPr>
              <w:t xml:space="preserve">：                     元</w:t>
            </w:r>
            <w:r>
              <w:rPr>
                <w:rFonts w:hint="eastAsia" w:ascii="宋体" w:hAnsi="宋体" w:eastAsia="宋体" w:cs="宋体"/>
                <w:bCs/>
                <w:color w:val="auto"/>
                <w:spacing w:val="0"/>
                <w:position w:val="0"/>
                <w:sz w:val="24"/>
                <w:szCs w:val="24"/>
                <w:highlight w:val="none"/>
              </w:rPr>
              <w:t xml:space="preserve">。</w:t>
            </w:r>
            <w:r/>
          </w:p>
        </w:tc>
      </w:tr>
    </w:tbl>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投标供应商：（盖章）             </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法定代表人或被授权人（签字或盖章）：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w:t>
      </w:r>
      <w:r/>
    </w:p>
    <w:p>
      <w:pPr>
        <w:ind w:firstLine="482"/>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ind w:firstLine="496"/>
        <w:spacing w:line="360" w:lineRule="auto"/>
        <w:rPr>
          <w:rFonts w:hint="eastAsia" w:ascii="宋体" w:hAnsi="宋体" w:eastAsia="宋体" w:cs="宋体"/>
          <w:bCs/>
          <w:color w:val="auto"/>
          <w:sz w:val="24"/>
          <w:szCs w:val="21"/>
          <w:highlight w:val="none"/>
        </w:rPr>
      </w:pPr>
      <w:r>
        <w:rPr>
          <w:rFonts w:hint="eastAsia" w:ascii="宋体" w:hAnsi="宋体" w:eastAsia="宋体" w:cs="宋体"/>
          <w:b/>
          <w:bCs/>
          <w:color w:val="auto"/>
          <w:sz w:val="24"/>
          <w:szCs w:val="21"/>
          <w:highlight w:val="none"/>
        </w:rPr>
        <w:t xml:space="preserve">注：</w:t>
      </w:r>
      <w:r>
        <w:rPr>
          <w:rFonts w:hint="eastAsia" w:ascii="宋体" w:hAnsi="宋体" w:eastAsia="宋体" w:cs="宋体"/>
          <w:bCs/>
          <w:color w:val="auto"/>
          <w:sz w:val="24"/>
          <w:szCs w:val="21"/>
          <w:highlight w:val="none"/>
        </w:rPr>
        <w:t xml:space="preserve"> </w:t>
      </w:r>
      <w:r/>
    </w:p>
    <w:p>
      <w:pPr>
        <w:ind w:firstLine="480"/>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（1）本表为格式表，不得自行改动，必须提供。</w:t>
      </w:r>
      <w:r/>
    </w:p>
    <w:p>
      <w:pPr>
        <w:ind w:firstLine="480"/>
        <w:spacing w:line="360" w:lineRule="auto"/>
        <w:rPr>
          <w:rFonts w:hint="eastAsia" w:ascii="宋体" w:hAnsi="宋体" w:eastAsia="宋体" w:cs="宋体"/>
          <w:bCs/>
          <w:color w:val="auto"/>
          <w:sz w:val="24"/>
          <w:szCs w:val="24"/>
          <w:highlight w:val="none"/>
        </w:rPr>
        <w:sectPr>
          <w:headerReference w:type="default" r:id="rId14"/>
          <w:headerReference w:type="first" r:id="rId15"/>
          <w:footerReference w:type="default" r:id="rId22"/>
          <w:footerReference w:type="first" r:id="rId23"/>
          <w:footnotePr/>
          <w:endnotePr/>
          <w:type w:val="nextPage"/>
          <w:pgSz w:w="11906" w:h="16838" w:orient="portrait"/>
          <w:pgMar w:top="1417" w:right="1701" w:bottom="1587" w:left="1701" w:header="851" w:footer="992" w:gutter="0"/>
          <w:cols w:num="1" w:sep="0" w:space="720" w:equalWidth="1"/>
          <w:docGrid w:linePitch="360"/>
        </w:sectPr>
      </w:pPr>
      <w:r>
        <w:rPr>
          <w:rFonts w:hint="eastAsia" w:ascii="宋体" w:hAnsi="宋体" w:eastAsia="宋体" w:cs="宋体"/>
          <w:b/>
          <w:bCs/>
          <w:color w:val="auto"/>
          <w:sz w:val="24"/>
          <w:szCs w:val="21"/>
          <w:highlight w:val="none"/>
        </w:rPr>
        <w:t xml:space="preserve">（2）本表投标报价</w:t>
      </w:r>
      <w:r>
        <w:rPr>
          <w:rFonts w:hint="eastAsia" w:ascii="宋体" w:hAnsi="宋体" w:eastAsia="宋体" w:cs="宋体"/>
          <w:b/>
          <w:bCs/>
          <w:color w:val="auto"/>
          <w:sz w:val="24"/>
          <w:szCs w:val="24"/>
          <w:highlight w:val="none"/>
        </w:rPr>
        <w:t xml:space="preserve">(含一切必须的辅助材料费用及相关服务费等)，应包含但不限于下列费用：包含所有设备费、线路（专线且需得到租赁单位授权）5年租赁费、预存5年电费、安装调试、运输到指定地点的装运费用（含装卸力资）、相关安装辅助材料费、以及企业利润、税金、相关服务费、招投标费和政策性文件规定及合同包含的所有风险、责任等各项应有费用。即招标物交付使用前的所有费用以及免保期内的服务费用等包含响应采购文件采购要求的所有费用。在本合同履行期间,该价格不受市场任何因素影响。</w:t>
      </w:r>
      <w:r/>
    </w:p>
    <w:p>
      <w:pPr>
        <w:jc w:val="cente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highlight w:val="none"/>
        </w:rPr>
        <w:t xml:space="preserve">13</w:t>
      </w:r>
      <w:r>
        <w:rPr>
          <w:rFonts w:hint="eastAsia" w:ascii="宋体" w:hAnsi="宋体" w:eastAsia="宋体" w:cs="宋体"/>
          <w:b/>
          <w:bCs/>
          <w:color w:val="auto"/>
          <w:sz w:val="24"/>
          <w:szCs w:val="21"/>
          <w:highlight w:val="none"/>
        </w:rPr>
        <w:t xml:space="preserve">、全费用清单报价表（见公告附件）</w:t>
      </w:r>
      <w:r/>
    </w:p>
    <w:p>
      <w:pPr>
        <w:rPr>
          <w:rFonts w:hint="eastAsia" w:ascii="宋体" w:hAnsi="宋体" w:eastAsia="宋体" w:cs="宋体"/>
          <w:b/>
          <w:color w:val="auto"/>
          <w:sz w:val="21"/>
          <w:szCs w:val="22"/>
          <w:highlight w:val="none"/>
        </w:rPr>
      </w:pPr>
      <w:r>
        <w:rPr>
          <w:rFonts w:hint="eastAsia" w:ascii="宋体" w:hAnsi="宋体" w:eastAsia="宋体" w:cs="宋体"/>
          <w:b/>
          <w:color w:val="auto"/>
          <w:sz w:val="21"/>
          <w:szCs w:val="22"/>
          <w:highlight w:val="none"/>
        </w:rPr>
        <w:br w:type="page" w:clear="all"/>
      </w:r>
      <w:r/>
    </w:p>
    <w:p>
      <w:pPr>
        <w:jc w:val="left"/>
        <w:widowControl/>
        <w:rPr>
          <w:rFonts w:hint="eastAsia" w:ascii="宋体" w:hAnsi="宋体" w:eastAsia="宋体" w:cs="宋体"/>
          <w:b/>
          <w:color w:val="auto"/>
          <w:sz w:val="21"/>
          <w:szCs w:val="22"/>
          <w:highlight w:val="none"/>
        </w:rPr>
      </w:pPr>
      <w:r>
        <w:rPr>
          <w:rFonts w:hint="eastAsia" w:ascii="宋体" w:hAnsi="宋体" w:eastAsia="宋体" w:cs="宋体"/>
          <w:b/>
          <w:bCs/>
          <w:color w:val="auto"/>
          <w:highlight w:val="none"/>
        </w:rPr>
        <w:t xml:space="preserve">附件</w:t>
      </w:r>
      <w:r>
        <w:rPr>
          <w:rFonts w:hint="eastAsia" w:ascii="宋体" w:hAnsi="宋体" w:eastAsia="宋体" w:cs="宋体"/>
          <w:color w:val="auto"/>
          <w:highlight w:val="none"/>
        </w:rPr>
        <w:t xml:space="preserve">：</w:t>
      </w:r>
      <w:r/>
    </w:p>
    <w:p>
      <w:pPr>
        <w:ind w:firstLine="482"/>
        <w:jc w:val="center"/>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b/>
          <w:color w:val="auto"/>
          <w:sz w:val="24"/>
          <w:szCs w:val="24"/>
          <w:highlight w:val="none"/>
        </w:rPr>
        <w:t xml:space="preserve">中小企业划型标准规定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各行业划型标准为：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（十六）其他未列明行业。从业人员300人以下的为中小微型企业。其中，从业人员100人及以上的为中型企业；从业人员10人及以上的为小型企业；从业人员10人以下的为微型企业。</w:t>
      </w:r>
      <w:bookmarkEnd w:id="33"/>
      <w:r/>
    </w:p>
    <w:sectPr>
      <w:footnotePr/>
      <w:endnotePr/>
      <w:type w:val="nextPage"/>
      <w:pgSz w:w="11906" w:h="16838" w:orient="portrait"/>
      <w:pgMar w:top="1417" w:right="1701" w:bottom="1587"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仿宋">
    <w:panose1 w:val="02010609060101010101"/>
  </w:font>
  <w:font w:name="方正仿宋简体">
    <w:panose1 w:val="020B0503020202020204"/>
  </w:font>
  <w:font w:name="Tahoma">
    <w:panose1 w:val="020B0604030504040204"/>
  </w:font>
  <w:font w:name="Wingdings">
    <w:panose1 w:val="05000000000000000000"/>
  </w:font>
  <w:font w:name="华文楷体">
    <w:panose1 w:val="02010600040101010101"/>
  </w:font>
  <w:font w:name="Menlo">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1008"/>
      </w:rPr>
      <w:framePr w:wrap="around" w:vAnchor="text" w:hAnchor="margin" w:xAlign="right" w:y="1"/>
    </w:pPr>
    <w:r>
      <w:fldChar w:fldCharType="begin"/>
    </w:r>
    <w:r>
      <w:rPr>
        <w:rStyle w:val="1008"/>
      </w:rPr>
      <w:instrText xml:space="preserve">PAGE  </w:instrText>
    </w:r>
    <w:r>
      <w:fldChar w:fldCharType="end"/>
    </w:r>
    <w:r/>
  </w:p>
  <w:p>
    <w:pPr>
      <w:pStyle w:val="981"/>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pPr>
    <w:r/>
    <w:r/>
  </w:p>
  <w:p>
    <w:pPr>
      <w:pStyle w:val="981"/>
      <w:jc w:val="center"/>
      <w:tabs>
        <w:tab w:val="clear" w:pos="4153"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105</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105</w:t>
                    </w:r>
                    <w:r>
                      <w:t xml:space="preserve"> 页</w:t>
                    </w:r>
                    <w:r/>
                  </w:p>
                </w:txbxContent>
              </v:textbox>
            </v:shape>
          </w:pict>
        </mc:Fallback>
      </mc:AlternateContent>
    </w:r>
    <w:r/>
  </w:p>
  <w:p>
    <w:pPr>
      <w:pStyle w:val="981"/>
      <w:jc w:val="center"/>
      <w:tabs>
        <w:tab w:val="clear" w:pos="4153"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2186940</wp:posOffset>
              </wp:positionH>
              <wp:positionV relativeFrom="paragraph">
                <wp:posOffset>1905</wp:posOffset>
              </wp:positionV>
              <wp:extent cx="1104900" cy="1828800"/>
              <wp:effectExtent l="0" t="0" r="0" b="6985"/>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1049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105</w:t>
                          </w:r>
                          <w:r>
                            <w:t xml:space="preserve"> 页</w:t>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argin-left:172.2pt;mso-position-horizontal:absolute;mso-position-vertical-relative:text;margin-top:0.1pt;mso-position-vertical:absolute;width:87.0pt;height:144.0pt;mso-wrap-distance-left:9.0pt;mso-wrap-distance-top:0.0pt;mso-wrap-distance-right:9.0pt;mso-wrap-distance-bottom:0.0pt;v-text-anchor:top;visibility:visible;" filled="f" stroked="f" strokeweight="0.50pt">
              <v:textbox inset="0,0,0,0">
                <w:txbxContent>
                  <w:p>
                    <w:pPr>
                      <w:pStyle w:val="98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105</w:t>
                    </w:r>
                    <w:r>
                      <w:t xml:space="preserve"> 页</w:t>
                    </w:r>
                    <w:r/>
                  </w:p>
                </w:txbxContent>
              </v:textbox>
            </v:shape>
          </w:pict>
        </mc:Fallback>
      </mc:AlternateContent>
    </w:r>
    <w:r/>
  </w:p>
  <w:p>
    <w:pPr>
      <w:pStyle w:val="98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1"/>
                          </w:pPr>
                          <w:r>
                            <w:t xml:space="preserve">第 </w:t>
                          </w:r>
                          <w:r>
                            <w:fldChar w:fldCharType="begin"/>
                          </w:r>
                          <w:r>
                            <w:instrText xml:space="preserve"> PAGE  \* MERGEFORMAT </w:instrText>
                          </w:r>
                          <w:r>
                            <w:fldChar w:fldCharType="separate"/>
                          </w:r>
                          <w:r>
                            <w:t xml:space="preserve">43</w:t>
                          </w:r>
                          <w:r>
                            <w:fldChar w:fldCharType="end"/>
                          </w:r>
                          <w:r>
                            <w:t xml:space="preserve"> 页 共 </w:t>
                          </w:r>
                          <w:r>
                            <w:rPr>
                              <w:rFonts w:hint="eastAsia"/>
                            </w:rPr>
                            <w:t xml:space="preserve">97</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1"/>
                    </w:pPr>
                    <w:r>
                      <w:t xml:space="preserve">第 </w:t>
                    </w:r>
                    <w:r>
                      <w:fldChar w:fldCharType="begin"/>
                    </w:r>
                    <w:r>
                      <w:instrText xml:space="preserve"> PAGE  \* MERGEFORMAT </w:instrText>
                    </w:r>
                    <w:r>
                      <w:fldChar w:fldCharType="separate"/>
                    </w:r>
                    <w:r>
                      <w:t xml:space="preserve">43</w:t>
                    </w:r>
                    <w:r>
                      <w:fldChar w:fldCharType="end"/>
                    </w:r>
                    <w:r>
                      <w:t xml:space="preserve"> 页 共 </w:t>
                    </w:r>
                    <w:r>
                      <w:rPr>
                        <w:rFonts w:hint="eastAsia"/>
                      </w:rPr>
                      <w:t xml:space="preserve">97</w:t>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1"/>
                          </w:pPr>
                          <w:r>
                            <w:t xml:space="preserve">第 </w:t>
                          </w:r>
                          <w:r>
                            <w:fldChar w:fldCharType="begin"/>
                          </w:r>
                          <w:r>
                            <w:instrText xml:space="preserve"> PAGE  \* MERGEFORMAT </w:instrText>
                          </w:r>
                          <w:r>
                            <w:fldChar w:fldCharType="separate"/>
                          </w:r>
                          <w:r>
                            <w:t xml:space="preserve">55</w:t>
                          </w:r>
                          <w:r>
                            <w:fldChar w:fldCharType="end"/>
                          </w:r>
                          <w:r>
                            <w:t xml:space="preserve"> 页 共 </w:t>
                          </w:r>
                          <w:r>
                            <w:rPr>
                              <w:rFonts w:hint="eastAsia"/>
                            </w:rPr>
                            <w:t xml:space="preserve">105</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1"/>
                    </w:pPr>
                    <w:r>
                      <w:t xml:space="preserve">第 </w:t>
                    </w:r>
                    <w:r>
                      <w:fldChar w:fldCharType="begin"/>
                    </w:r>
                    <w:r>
                      <w:instrText xml:space="preserve"> PAGE  \* MERGEFORMAT </w:instrText>
                    </w:r>
                    <w:r>
                      <w:fldChar w:fldCharType="separate"/>
                    </w:r>
                    <w:r>
                      <w:t xml:space="preserve">55</w:t>
                    </w:r>
                    <w:r>
                      <w:fldChar w:fldCharType="end"/>
                    </w:r>
                    <w:r>
                      <w:t xml:space="preserve"> 页 共 </w:t>
                    </w:r>
                    <w:r>
                      <w:rPr>
                        <w:rFonts w:hint="eastAsia"/>
                      </w:rPr>
                      <w:t xml:space="preserve">105</w:t>
                    </w:r>
                    <w:r>
                      <w:t xml:space="preserve">页</w:t>
                    </w:r>
                    <w:r/>
                  </w:p>
                </w:txbxContent>
              </v:textbox>
            </v:shape>
          </w:pict>
        </mc:Fallback>
      </mc:AlternateContent>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ind w:right="180"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2350" cy="18923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miter/>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both"/>
      <w:tabs>
        <w:tab w:val="left" w:pos="540"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both"/>
      <w:tabs>
        <w:tab w:val="left" w:pos="540" w:leader="none"/>
      </w:tabs>
      <w:pBdr>
        <w:bottom w:val="none" w:color="000000" w:sz="0" w:space="0"/>
      </w:pBdr>
    </w:pPr>
    <w:r>
      <w:tab/>
    </w:r>
    <w:r>
      <w:tab/>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Bdr>
        <w:bottom w:val="none" w:color="auto"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1325" w:hanging="425"/>
        <w:tabs>
          <w:tab w:val="left" w:pos="1325" w:leader="none"/>
        </w:tabs>
      </w:pPr>
      <w:rPr>
        <w:rFonts w:hint="eastAsia" w:ascii="Times New Roman" w:hAnsi="Times New Roman" w:cs="Times New Roman"/>
        <w:color w:val="auto"/>
      </w:rPr>
    </w:lvl>
    <w:lvl w:ilvl="1">
      <w:start w:val="1"/>
      <w:numFmt w:val="decimal"/>
      <w:isLgl w:val="false"/>
      <w:suff w:val="nothing"/>
      <w:lvlText w:val="%2、"/>
      <w:lvlJc w:val="left"/>
      <w:pPr>
        <w:ind w:left="562" w:hanging="420"/>
      </w:pPr>
      <w:rPr>
        <w:rFonts w:hint="eastAsia" w:cs="Times New Roman"/>
      </w:rPr>
    </w:lvl>
    <w:lvl w:ilvl="2">
      <w:start w:val="1"/>
      <w:numFmt w:val="ideographEnclosedCircle"/>
      <w:isLgl w:val="false"/>
      <w:suff w:val="tab"/>
      <w:lvlText w:val="%3"/>
      <w:lvlJc w:val="left"/>
      <w:pPr>
        <w:ind w:left="1680" w:hanging="360"/>
      </w:pPr>
      <w:rPr>
        <w:rFonts w:hint="eastAsia" w:cs="Times New Roman"/>
      </w:rPr>
    </w:lvl>
    <w:lvl w:ilvl="3">
      <w:start w:val="1"/>
      <w:numFmt w:val="decimal"/>
      <w:isLgl w:val="false"/>
      <w:suff w:val="tab"/>
      <w:lvlText w:val="%4."/>
      <w:lvlJc w:val="left"/>
      <w:pPr>
        <w:ind w:left="2880" w:hanging="360"/>
        <w:tabs>
          <w:tab w:val="left" w:pos="2880" w:leader="none"/>
        </w:tabs>
      </w:pPr>
      <w:rPr>
        <w:rFonts w:hint="eastAsia" w:cs="Times New Roman"/>
      </w:rPr>
    </w:lvl>
    <w:lvl w:ilvl="4">
      <w:start w:val="1"/>
      <w:numFmt w:val="decimal"/>
      <w:isLgl w:val="false"/>
      <w:suff w:val="tab"/>
      <w:lvlText w:val="%5."/>
      <w:lvlJc w:val="left"/>
      <w:pPr>
        <w:ind w:left="3600" w:hanging="360"/>
        <w:tabs>
          <w:tab w:val="left" w:pos="3600" w:leader="none"/>
        </w:tabs>
      </w:pPr>
      <w:rPr>
        <w:rFonts w:hint="eastAsia" w:cs="Times New Roman"/>
      </w:rPr>
    </w:lvl>
    <w:lvl w:ilvl="5">
      <w:start w:val="1"/>
      <w:numFmt w:val="decimal"/>
      <w:isLgl w:val="false"/>
      <w:suff w:val="tab"/>
      <w:lvlText w:val="%6."/>
      <w:lvlJc w:val="left"/>
      <w:pPr>
        <w:ind w:left="4320" w:hanging="360"/>
        <w:tabs>
          <w:tab w:val="left" w:pos="4320" w:leader="none"/>
        </w:tabs>
      </w:pPr>
      <w:rPr>
        <w:rFonts w:hint="eastAsia" w:cs="Times New Roman"/>
      </w:rPr>
    </w:lvl>
    <w:lvl w:ilvl="6">
      <w:start w:val="1"/>
      <w:numFmt w:val="decimal"/>
      <w:isLgl w:val="false"/>
      <w:suff w:val="tab"/>
      <w:lvlText w:val="%7."/>
      <w:lvlJc w:val="left"/>
      <w:pPr>
        <w:ind w:left="5040" w:hanging="360"/>
        <w:tabs>
          <w:tab w:val="left" w:pos="5040" w:leader="none"/>
        </w:tabs>
      </w:pPr>
      <w:rPr>
        <w:rFonts w:hint="eastAsia" w:cs="Times New Roman"/>
      </w:rPr>
    </w:lvl>
    <w:lvl w:ilvl="7">
      <w:start w:val="1"/>
      <w:numFmt w:val="decimal"/>
      <w:isLgl w:val="false"/>
      <w:suff w:val="tab"/>
      <w:lvlText w:val="%8."/>
      <w:lvlJc w:val="left"/>
      <w:pPr>
        <w:ind w:left="5760" w:hanging="360"/>
        <w:tabs>
          <w:tab w:val="left" w:pos="5760" w:leader="none"/>
        </w:tabs>
      </w:pPr>
      <w:rPr>
        <w:rFonts w:hint="eastAsia" w:cs="Times New Roman"/>
      </w:rPr>
    </w:lvl>
    <w:lvl w:ilvl="8">
      <w:start w:val="1"/>
      <w:numFmt w:val="decimal"/>
      <w:isLgl w:val="false"/>
      <w:suff w:val="tab"/>
      <w:lvlText w:val="%9."/>
      <w:lvlJc w:val="left"/>
      <w:pPr>
        <w:ind w:left="6480" w:hanging="360"/>
        <w:tabs>
          <w:tab w:val="left" w:pos="6480" w:leader="none"/>
        </w:tabs>
      </w:pPr>
      <w:rPr>
        <w:rFonts w:hint="eastAsia"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53"/>
      <w:isLgl w:val="false"/>
      <w:suff w:val="tab"/>
      <w:lvlText w:val="%1.%2.%3.%4.%5"/>
      <w:lvlJc w:val="left"/>
      <w:pPr>
        <w:ind w:left="1008" w:hanging="1008"/>
        <w:tabs>
          <w:tab w:val="left" w:pos="1008" w:leader="none"/>
        </w:tabs>
      </w:pPr>
    </w:lvl>
    <w:lvl w:ilvl="5">
      <w:start w:val="1"/>
      <w:numFmt w:val="decimal"/>
      <w:pStyle w:val="954"/>
      <w:isLgl w:val="false"/>
      <w:suff w:val="tab"/>
      <w:lvlText w:val="%1.%2.%3.%4.%5.%6"/>
      <w:lvlJc w:val="left"/>
      <w:pPr>
        <w:ind w:left="1152" w:hanging="1152"/>
        <w:tabs>
          <w:tab w:val="left" w:pos="1152" w:leader="none"/>
        </w:tabs>
      </w:pPr>
    </w:lvl>
    <w:lvl w:ilvl="6">
      <w:start w:val="1"/>
      <w:numFmt w:val="decimal"/>
      <w:pStyle w:val="955"/>
      <w:isLgl w:val="false"/>
      <w:suff w:val="tab"/>
      <w:lvlText w:val="%1.%2.%3.%4.%5.%6.%7"/>
      <w:lvlJc w:val="left"/>
      <w:pPr>
        <w:ind w:left="1296" w:hanging="1296"/>
        <w:tabs>
          <w:tab w:val="left" w:pos="1296" w:leader="none"/>
        </w:tabs>
      </w:pPr>
    </w:lvl>
    <w:lvl w:ilvl="7">
      <w:start w:val="1"/>
      <w:numFmt w:val="decimal"/>
      <w:pStyle w:val="956"/>
      <w:isLgl w:val="false"/>
      <w:suff w:val="tab"/>
      <w:lvlText w:val="%1.%2.%3.%4.%5.%6.%7.%8"/>
      <w:lvlJc w:val="left"/>
      <w:pPr>
        <w:ind w:left="1440" w:hanging="1440"/>
        <w:tabs>
          <w:tab w:val="left" w:pos="1440" w:leader="none"/>
        </w:tabs>
      </w:pPr>
    </w:lvl>
    <w:lvl w:ilvl="8">
      <w:start w:val="1"/>
      <w:numFmt w:val="decimal"/>
      <w:pStyle w:val="957"/>
      <w:isLgl w:val="false"/>
      <w:suff w:val="tab"/>
      <w:lvlText w:val="%1.%2.%3.%4.%5.%6.%7.%8.%9"/>
      <w:lvlJc w:val="left"/>
      <w:pPr>
        <w:ind w:left="1584" w:hanging="1584"/>
        <w:tabs>
          <w:tab w:val="left" w:pos="1584" w:leader="none"/>
        </w:tabs>
      </w:p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2"/>
  </w:num>
  <w:num w:numId="3">
    <w:abstractNumId w:val="10"/>
  </w:num>
  <w:num w:numId="4">
    <w:abstractNumId w:val="6"/>
  </w:num>
  <w:num w:numId="5">
    <w:abstractNumId w:val="3"/>
  </w:num>
  <w:num w:numId="6">
    <w:abstractNumId w:val="7"/>
  </w:num>
  <w:num w:numId="7">
    <w:abstractNumId w:val="9"/>
  </w:num>
  <w:num w:numId="8">
    <w:abstractNumId w:val="11"/>
  </w:num>
  <w:num w:numId="9">
    <w:abstractNumId w:val="1"/>
  </w:num>
  <w:num w:numId="10">
    <w:abstractNumId w:val="4"/>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948"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49">
    <w:name w:val="Heading 1"/>
    <w:basedOn w:val="948"/>
    <w:next w:val="948"/>
    <w:link w:val="1195"/>
    <w:uiPriority w:val="9"/>
    <w:qFormat/>
    <w:pPr>
      <w:keepLines/>
      <w:keepNext/>
      <w:spacing w:before="340" w:after="330" w:line="578" w:lineRule="auto"/>
      <w:outlineLvl w:val="0"/>
    </w:pPr>
    <w:rPr>
      <w:b/>
      <w:sz w:val="44"/>
    </w:rPr>
  </w:style>
  <w:style w:type="paragraph" w:styleId="950">
    <w:name w:val="Heading 2"/>
    <w:basedOn w:val="948"/>
    <w:next w:val="948"/>
    <w:link w:val="1196"/>
    <w:uiPriority w:val="9"/>
    <w:qFormat/>
    <w:pPr>
      <w:jc w:val="left"/>
      <w:keepLines/>
      <w:keepNext/>
      <w:outlineLvl w:val="1"/>
    </w:pPr>
    <w:rPr>
      <w:rFonts w:ascii="宋体" w:hAnsi="宋体"/>
      <w:b/>
    </w:rPr>
  </w:style>
  <w:style w:type="paragraph" w:styleId="951">
    <w:name w:val="Heading 3"/>
    <w:basedOn w:val="948"/>
    <w:next w:val="948"/>
    <w:link w:val="1197"/>
    <w:uiPriority w:val="9"/>
    <w:qFormat/>
    <w:pPr>
      <w:jc w:val="left"/>
      <w:keepLines/>
      <w:keepNext/>
      <w:outlineLvl w:val="2"/>
    </w:pPr>
    <w:rPr>
      <w:b/>
    </w:rPr>
  </w:style>
  <w:style w:type="paragraph" w:styleId="952">
    <w:name w:val="Heading 4"/>
    <w:basedOn w:val="948"/>
    <w:next w:val="948"/>
    <w:link w:val="1198"/>
    <w:uiPriority w:val="9"/>
    <w:qFormat/>
    <w:pPr>
      <w:ind w:firstLine="200"/>
      <w:keepLines/>
      <w:keepNext/>
      <w:spacing w:before="280" w:after="290" w:line="372" w:lineRule="auto"/>
      <w:outlineLvl w:val="3"/>
    </w:pPr>
    <w:rPr>
      <w:rFonts w:ascii="Arial" w:hAnsi="Arial" w:eastAsia="黑体"/>
      <w:b/>
      <w:sz w:val="28"/>
    </w:rPr>
  </w:style>
  <w:style w:type="paragraph" w:styleId="953">
    <w:name w:val="Heading 5"/>
    <w:basedOn w:val="948"/>
    <w:next w:val="960"/>
    <w:link w:val="1380"/>
    <w:uiPriority w:val="9"/>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954">
    <w:name w:val="Heading 6"/>
    <w:basedOn w:val="948"/>
    <w:next w:val="960"/>
    <w:link w:val="1381"/>
    <w:uiPriority w:val="9"/>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955">
    <w:name w:val="Heading 7"/>
    <w:basedOn w:val="948"/>
    <w:next w:val="960"/>
    <w:link w:val="1382"/>
    <w:uiPriority w:val="9"/>
    <w:qFormat/>
    <w:pPr>
      <w:numPr>
        <w:ilvl w:val="6"/>
        <w:numId w:val="1"/>
      </w:numPr>
      <w:keepLines/>
      <w:keepNext/>
      <w:spacing w:before="240" w:after="64" w:line="320" w:lineRule="auto"/>
      <w:outlineLvl w:val="6"/>
    </w:pPr>
    <w:rPr>
      <w:rFonts w:ascii="宋体" w:eastAsia="宋体"/>
      <w:b/>
      <w:spacing w:val="-2"/>
      <w:position w:val="-6"/>
      <w:sz w:val="24"/>
    </w:rPr>
  </w:style>
  <w:style w:type="paragraph" w:styleId="956">
    <w:name w:val="Heading 8"/>
    <w:basedOn w:val="948"/>
    <w:next w:val="960"/>
    <w:link w:val="1383"/>
    <w:uiPriority w:val="9"/>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957">
    <w:name w:val="Heading 9"/>
    <w:basedOn w:val="948"/>
    <w:next w:val="960"/>
    <w:link w:val="1384"/>
    <w:uiPriority w:val="9"/>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958" w:default="1">
    <w:name w:val="Default Paragraph Font"/>
    <w:uiPriority w:val="1"/>
    <w:semiHidden/>
    <w:unhideWhenUsed/>
  </w:style>
  <w:style w:type="table" w:styleId="959" w:default="1">
    <w:name w:val="Normal Table"/>
    <w:uiPriority w:val="99"/>
    <w:semiHidden/>
    <w:unhideWhenUsed/>
    <w:tblPr>
      <w:tblCellMar>
        <w:left w:w="108" w:type="dxa"/>
        <w:top w:w="0" w:type="dxa"/>
        <w:right w:w="108" w:type="dxa"/>
        <w:bottom w:w="0" w:type="dxa"/>
      </w:tblCellMar>
    </w:tblPr>
  </w:style>
  <w:style w:type="paragraph" w:styleId="960">
    <w:name w:val="Normal Indent"/>
    <w:basedOn w:val="948"/>
    <w:link w:val="1199"/>
    <w:uiPriority w:val="0"/>
    <w:qFormat/>
    <w:pPr>
      <w:jc w:val="center"/>
      <w:spacing w:line="360" w:lineRule="auto"/>
    </w:pPr>
    <w:rPr>
      <w:rFonts w:ascii="宋体" w:hAnsi="宋体" w:eastAsia="宋体"/>
      <w:b/>
      <w:sz w:val="36"/>
    </w:rPr>
  </w:style>
  <w:style w:type="paragraph" w:styleId="961">
    <w:name w:val="toc 7"/>
    <w:basedOn w:val="948"/>
    <w:next w:val="948"/>
    <w:uiPriority w:val="0"/>
    <w:qFormat/>
    <w:pPr>
      <w:ind w:left="2520"/>
    </w:pPr>
  </w:style>
  <w:style w:type="paragraph" w:styleId="962">
    <w:name w:val="index 8"/>
    <w:basedOn w:val="948"/>
    <w:next w:val="948"/>
    <w:uiPriority w:val="0"/>
    <w:qFormat/>
    <w:pPr>
      <w:ind w:left="2940"/>
    </w:pPr>
  </w:style>
  <w:style w:type="paragraph" w:styleId="963">
    <w:name w:val="Caption"/>
    <w:basedOn w:val="948"/>
    <w:next w:val="9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4">
    <w:name w:val="index 5"/>
    <w:basedOn w:val="948"/>
    <w:next w:val="948"/>
    <w:uiPriority w:val="0"/>
    <w:qFormat/>
    <w:pPr>
      <w:ind w:left="1680"/>
    </w:pPr>
  </w:style>
  <w:style w:type="paragraph" w:styleId="965">
    <w:name w:val="Document Map"/>
    <w:basedOn w:val="948"/>
    <w:link w:val="1200"/>
    <w:uiPriority w:val="0"/>
    <w:qFormat/>
    <w:pPr>
      <w:shd w:val="clear" w:color="auto" w:fill="000080"/>
    </w:pPr>
  </w:style>
  <w:style w:type="paragraph" w:styleId="966">
    <w:name w:val="toa heading"/>
    <w:basedOn w:val="948"/>
    <w:next w:val="948"/>
    <w:uiPriority w:val="0"/>
    <w:qFormat/>
    <w:pPr>
      <w:jc w:val="center"/>
      <w:spacing w:line="360" w:lineRule="atLeast"/>
    </w:pPr>
    <w:rPr>
      <w:rFonts w:ascii="Arial" w:hAnsi="Arial" w:eastAsia="黑体"/>
      <w:sz w:val="36"/>
    </w:rPr>
  </w:style>
  <w:style w:type="paragraph" w:styleId="967">
    <w:name w:val="annotation text"/>
    <w:basedOn w:val="948"/>
    <w:link w:val="1201"/>
    <w:uiPriority w:val="0"/>
    <w:qFormat/>
    <w:pPr>
      <w:jc w:val="left"/>
    </w:pPr>
  </w:style>
  <w:style w:type="paragraph" w:styleId="968">
    <w:name w:val="index 6"/>
    <w:basedOn w:val="948"/>
    <w:next w:val="948"/>
    <w:uiPriority w:val="0"/>
    <w:qFormat/>
    <w:pPr>
      <w:ind w:left="2100"/>
    </w:pPr>
  </w:style>
  <w:style w:type="paragraph" w:styleId="969">
    <w:name w:val="Body Text"/>
    <w:basedOn w:val="948"/>
    <w:next w:val="948"/>
    <w:link w:val="1202"/>
    <w:uiPriority w:val="0"/>
    <w:qFormat/>
    <w:pPr>
      <w:spacing w:line="400" w:lineRule="exact"/>
    </w:pPr>
    <w:rPr>
      <w:rFonts w:ascii="楷体_GB2312"/>
      <w:sz w:val="28"/>
    </w:rPr>
  </w:style>
  <w:style w:type="paragraph" w:styleId="970">
    <w:name w:val="Body Text Indent"/>
    <w:basedOn w:val="948"/>
    <w:link w:val="1203"/>
    <w:uiPriority w:val="99"/>
    <w:qFormat/>
    <w:pPr>
      <w:ind w:left="570"/>
      <w:spacing w:line="520" w:lineRule="exact"/>
    </w:pPr>
    <w:rPr>
      <w:rFonts w:hint="eastAsia" w:ascii="楷体_GB2312"/>
    </w:rPr>
  </w:style>
  <w:style w:type="paragraph" w:styleId="971">
    <w:name w:val="index 4"/>
    <w:basedOn w:val="948"/>
    <w:next w:val="948"/>
    <w:uiPriority w:val="0"/>
    <w:qFormat/>
    <w:pPr>
      <w:ind w:left="1260"/>
    </w:pPr>
  </w:style>
  <w:style w:type="paragraph" w:styleId="972">
    <w:name w:val="toc 5"/>
    <w:basedOn w:val="948"/>
    <w:next w:val="948"/>
    <w:uiPriority w:val="0"/>
    <w:qFormat/>
    <w:pPr>
      <w:ind w:left="1680"/>
    </w:pPr>
  </w:style>
  <w:style w:type="paragraph" w:styleId="973">
    <w:name w:val="toc 3"/>
    <w:basedOn w:val="948"/>
    <w:next w:val="948"/>
    <w:link w:val="1204"/>
    <w:uiPriority w:val="0"/>
    <w:qFormat/>
    <w:pPr>
      <w:ind w:left="840"/>
    </w:pPr>
  </w:style>
  <w:style w:type="paragraph" w:styleId="974">
    <w:name w:val="Plain Text"/>
    <w:basedOn w:val="948"/>
    <w:link w:val="1205"/>
    <w:uiPriority w:val="0"/>
    <w:qFormat/>
    <w:rPr>
      <w:rFonts w:ascii="宋体" w:hAnsi="Courier New"/>
    </w:rPr>
  </w:style>
  <w:style w:type="paragraph" w:styleId="975">
    <w:name w:val="toc 8"/>
    <w:basedOn w:val="948"/>
    <w:next w:val="948"/>
    <w:uiPriority w:val="0"/>
    <w:qFormat/>
    <w:pPr>
      <w:ind w:left="2940"/>
    </w:pPr>
  </w:style>
  <w:style w:type="paragraph" w:styleId="976">
    <w:name w:val="index 3"/>
    <w:basedOn w:val="948"/>
    <w:next w:val="948"/>
    <w:uiPriority w:val="0"/>
    <w:qFormat/>
    <w:pPr>
      <w:ind w:left="840"/>
    </w:pPr>
  </w:style>
  <w:style w:type="paragraph" w:styleId="977">
    <w:name w:val="Date"/>
    <w:basedOn w:val="948"/>
    <w:next w:val="948"/>
    <w:link w:val="1206"/>
    <w:uiPriority w:val="0"/>
    <w:qFormat/>
    <w:rPr>
      <w:rFonts w:ascii="宋体" w:hAnsi="宋体"/>
      <w:sz w:val="24"/>
    </w:rPr>
  </w:style>
  <w:style w:type="paragraph" w:styleId="978">
    <w:name w:val="Body Text Indent 2"/>
    <w:basedOn w:val="948"/>
    <w:uiPriority w:val="0"/>
    <w:qFormat/>
    <w:pPr>
      <w:ind w:firstLine="502"/>
      <w:spacing w:line="360" w:lineRule="auto"/>
      <w:tabs>
        <w:tab w:val="left" w:pos="0" w:leader="none"/>
      </w:tabs>
    </w:pPr>
    <w:rPr>
      <w:rFonts w:ascii="宋体" w:eastAsia="宋体"/>
      <w:b/>
      <w:bCs/>
      <w:sz w:val="24"/>
    </w:rPr>
  </w:style>
  <w:style w:type="paragraph" w:styleId="979">
    <w:name w:val="endnote text"/>
    <w:basedOn w:val="948"/>
    <w:link w:val="1193"/>
    <w:uiPriority w:val="99"/>
    <w:semiHidden/>
    <w:unhideWhenUsed/>
    <w:qFormat/>
    <w:rPr>
      <w:rFonts w:eastAsia="宋体"/>
      <w:sz w:val="20"/>
    </w:rPr>
  </w:style>
  <w:style w:type="paragraph" w:styleId="980">
    <w:name w:val="Balloon Text"/>
    <w:basedOn w:val="948"/>
    <w:link w:val="1207"/>
    <w:uiPriority w:val="0"/>
    <w:qFormat/>
    <w:rPr>
      <w:sz w:val="18"/>
      <w:szCs w:val="18"/>
    </w:rPr>
  </w:style>
  <w:style w:type="paragraph" w:styleId="981">
    <w:name w:val="Footer"/>
    <w:basedOn w:val="948"/>
    <w:link w:val="1208"/>
    <w:uiPriority w:val="99"/>
    <w:qFormat/>
    <w:pPr>
      <w:jc w:val="left"/>
      <w:tabs>
        <w:tab w:val="center" w:pos="4153" w:leader="none"/>
        <w:tab w:val="right" w:pos="8306" w:leader="none"/>
      </w:tabs>
    </w:pPr>
    <w:rPr>
      <w:sz w:val="18"/>
    </w:rPr>
  </w:style>
  <w:style w:type="paragraph" w:styleId="982">
    <w:name w:val="envelope return"/>
    <w:basedOn w:val="948"/>
    <w:uiPriority w:val="99"/>
    <w:unhideWhenUsed/>
    <w:qFormat/>
    <w:rPr>
      <w:rFonts w:ascii="Arial" w:hAnsi="Arial"/>
    </w:rPr>
  </w:style>
  <w:style w:type="paragraph" w:styleId="983">
    <w:name w:val="Header"/>
    <w:basedOn w:val="948"/>
    <w:link w:val="1209"/>
    <w:uiPriority w:val="99"/>
    <w:qFormat/>
    <w:pPr>
      <w:jc w:val="center"/>
      <w:tabs>
        <w:tab w:val="center" w:pos="4153" w:leader="none"/>
        <w:tab w:val="right" w:pos="8306" w:leader="none"/>
      </w:tabs>
      <w:pBdr>
        <w:bottom w:val="single" w:color="000000" w:sz="6" w:space="1"/>
      </w:pBdr>
    </w:pPr>
    <w:rPr>
      <w:sz w:val="18"/>
    </w:rPr>
  </w:style>
  <w:style w:type="paragraph" w:styleId="984">
    <w:name w:val="Signature"/>
    <w:basedOn w:val="948"/>
    <w:uiPriority w:val="0"/>
    <w:qFormat/>
    <w:pPr>
      <w:jc w:val="center"/>
      <w:spacing w:after="600" w:line="312" w:lineRule="atLeast"/>
    </w:pPr>
    <w:rPr>
      <w:rFonts w:eastAsia="仿宋_GB2312"/>
      <w:sz w:val="24"/>
    </w:rPr>
  </w:style>
  <w:style w:type="paragraph" w:styleId="985">
    <w:name w:val="toc 1"/>
    <w:basedOn w:val="948"/>
    <w:next w:val="948"/>
    <w:uiPriority w:val="0"/>
    <w:qFormat/>
    <w:pPr>
      <w:jc w:val="left"/>
    </w:pPr>
    <w:rPr>
      <w:sz w:val="24"/>
    </w:rPr>
  </w:style>
  <w:style w:type="paragraph" w:styleId="986">
    <w:name w:val="toc 4"/>
    <w:basedOn w:val="948"/>
    <w:next w:val="948"/>
    <w:uiPriority w:val="0"/>
    <w:qFormat/>
    <w:pPr>
      <w:ind w:left="1260"/>
    </w:pPr>
  </w:style>
  <w:style w:type="paragraph" w:styleId="987">
    <w:name w:val="index heading"/>
    <w:basedOn w:val="948"/>
    <w:next w:val="988"/>
    <w:uiPriority w:val="0"/>
    <w:qFormat/>
  </w:style>
  <w:style w:type="paragraph" w:styleId="988">
    <w:name w:val="index 1"/>
    <w:basedOn w:val="948"/>
    <w:next w:val="948"/>
    <w:uiPriority w:val="0"/>
    <w:qFormat/>
  </w:style>
  <w:style w:type="paragraph" w:styleId="989">
    <w:name w:val="Subtitle"/>
    <w:basedOn w:val="948"/>
    <w:next w:val="948"/>
    <w:link w:val="1076"/>
    <w:uiPriority w:val="11"/>
    <w:qFormat/>
    <w:pPr>
      <w:spacing w:before="200" w:after="200"/>
    </w:pPr>
    <w:rPr>
      <w:rFonts w:eastAsia="宋体"/>
      <w:sz w:val="24"/>
      <w:szCs w:val="24"/>
    </w:rPr>
  </w:style>
  <w:style w:type="paragraph" w:styleId="990">
    <w:name w:val="footnote text"/>
    <w:basedOn w:val="948"/>
    <w:link w:val="1192"/>
    <w:uiPriority w:val="99"/>
    <w:qFormat/>
    <w:pPr>
      <w:jc w:val="left"/>
    </w:pPr>
    <w:rPr>
      <w:rFonts w:eastAsia="宋体"/>
      <w:sz w:val="18"/>
    </w:rPr>
  </w:style>
  <w:style w:type="paragraph" w:styleId="991">
    <w:name w:val="toc 6"/>
    <w:basedOn w:val="948"/>
    <w:next w:val="948"/>
    <w:uiPriority w:val="0"/>
    <w:qFormat/>
    <w:pPr>
      <w:ind w:left="2100"/>
    </w:pPr>
  </w:style>
  <w:style w:type="paragraph" w:styleId="992">
    <w:name w:val="Body Text Indent 3"/>
    <w:basedOn w:val="948"/>
    <w:next w:val="966"/>
    <w:link w:val="1387"/>
    <w:uiPriority w:val="99"/>
    <w:qFormat/>
    <w:pPr>
      <w:ind w:firstLine="617"/>
      <w:spacing w:line="360" w:lineRule="auto"/>
    </w:pPr>
    <w:rPr>
      <w:rFonts w:eastAsia="宋体"/>
      <w:sz w:val="24"/>
      <w:szCs w:val="24"/>
    </w:rPr>
  </w:style>
  <w:style w:type="paragraph" w:styleId="993">
    <w:name w:val="index 7"/>
    <w:basedOn w:val="948"/>
    <w:next w:val="948"/>
    <w:uiPriority w:val="0"/>
    <w:qFormat/>
    <w:pPr>
      <w:ind w:left="2520"/>
    </w:pPr>
  </w:style>
  <w:style w:type="paragraph" w:styleId="994">
    <w:name w:val="index 9"/>
    <w:basedOn w:val="948"/>
    <w:next w:val="948"/>
    <w:uiPriority w:val="0"/>
    <w:qFormat/>
    <w:pPr>
      <w:ind w:left="3360"/>
    </w:pPr>
  </w:style>
  <w:style w:type="paragraph" w:styleId="995">
    <w:name w:val="table of figures"/>
    <w:basedOn w:val="948"/>
    <w:next w:val="948"/>
    <w:uiPriority w:val="0"/>
    <w:qFormat/>
    <w:pPr>
      <w:ind w:left="420" w:hanging="420"/>
      <w:jc w:val="left"/>
    </w:pPr>
    <w:rPr>
      <w:smallCaps/>
      <w:sz w:val="24"/>
    </w:rPr>
  </w:style>
  <w:style w:type="paragraph" w:styleId="996">
    <w:name w:val="toc 2"/>
    <w:basedOn w:val="948"/>
    <w:next w:val="948"/>
    <w:uiPriority w:val="0"/>
    <w:qFormat/>
    <w:pPr>
      <w:ind w:left="420"/>
    </w:pPr>
  </w:style>
  <w:style w:type="paragraph" w:styleId="997">
    <w:name w:val="toc 9"/>
    <w:basedOn w:val="948"/>
    <w:next w:val="948"/>
    <w:uiPriority w:val="0"/>
    <w:qFormat/>
    <w:pPr>
      <w:ind w:left="3360"/>
    </w:pPr>
  </w:style>
  <w:style w:type="paragraph" w:styleId="998">
    <w:name w:val="HTML Preformatted"/>
    <w:basedOn w:val="9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99">
    <w:name w:val="Normal (Web)"/>
    <w:basedOn w:val="948"/>
    <w:link w:val="1210"/>
    <w:uiPriority w:val="0"/>
    <w:qFormat/>
    <w:rPr>
      <w:sz w:val="24"/>
      <w:szCs w:val="24"/>
    </w:rPr>
  </w:style>
  <w:style w:type="paragraph" w:styleId="1000">
    <w:name w:val="index 2"/>
    <w:basedOn w:val="948"/>
    <w:next w:val="948"/>
    <w:uiPriority w:val="0"/>
    <w:qFormat/>
    <w:pPr>
      <w:ind w:left="420"/>
    </w:pPr>
  </w:style>
  <w:style w:type="paragraph" w:styleId="1001">
    <w:name w:val="Title"/>
    <w:basedOn w:val="948"/>
    <w:next w:val="948"/>
    <w:link w:val="1075"/>
    <w:uiPriority w:val="10"/>
    <w:qFormat/>
    <w:pPr>
      <w:contextualSpacing/>
      <w:spacing w:before="300" w:after="200"/>
    </w:pPr>
    <w:rPr>
      <w:rFonts w:eastAsia="宋体"/>
      <w:sz w:val="48"/>
      <w:szCs w:val="48"/>
    </w:rPr>
  </w:style>
  <w:style w:type="paragraph" w:styleId="1002">
    <w:name w:val="annotation subject"/>
    <w:basedOn w:val="967"/>
    <w:next w:val="967"/>
    <w:uiPriority w:val="0"/>
    <w:qFormat/>
    <w:rPr>
      <w:b/>
      <w:bCs/>
    </w:rPr>
  </w:style>
  <w:style w:type="paragraph" w:styleId="1003">
    <w:name w:val="Body Text First Indent"/>
    <w:basedOn w:val="969"/>
    <w:next w:val="991"/>
    <w:link w:val="1211"/>
    <w:uiPriority w:val="0"/>
    <w:qFormat/>
    <w:pPr>
      <w:ind w:firstLine="420"/>
      <w:spacing w:after="120" w:line="240" w:lineRule="auto"/>
    </w:pPr>
    <w:rPr>
      <w:rFonts w:ascii="Calibri"/>
      <w:sz w:val="26"/>
    </w:rPr>
  </w:style>
  <w:style w:type="paragraph" w:styleId="1004">
    <w:name w:val="Body Text First Indent 2"/>
    <w:basedOn w:val="970"/>
    <w:next w:val="992"/>
    <w:link w:val="1212"/>
    <w:uiPriority w:val="99"/>
    <w:unhideWhenUsed/>
    <w:qFormat/>
    <w:pPr>
      <w:ind w:left="0"/>
      <w:jc w:val="center"/>
      <w:spacing w:line="360" w:lineRule="auto"/>
    </w:pPr>
    <w:rPr>
      <w:rFonts w:hint="default" w:ascii="Times New Roman" w:eastAsia="宋体" w:cs="宋体"/>
      <w:b/>
      <w:color w:val="000000" w:themeColor="text1"/>
      <w:sz w:val="48"/>
      <w:szCs w:val="48"/>
      <w14:textFill>
        <w14:solidFill>
          <w14:schemeClr w14:val="tx1"/>
        </w14:solidFill>
      </w14:textFill>
    </w:rPr>
  </w:style>
  <w:style w:type="table" w:styleId="1005">
    <w:name w:val="Table Grid"/>
    <w:basedOn w:val="9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6">
    <w:name w:val="Strong"/>
    <w:uiPriority w:val="22"/>
    <w:qFormat/>
    <w:rPr>
      <w:b/>
    </w:rPr>
  </w:style>
  <w:style w:type="character" w:styleId="1007">
    <w:name w:val="endnote reference"/>
    <w:uiPriority w:val="99"/>
    <w:semiHidden/>
    <w:unhideWhenUsed/>
    <w:qFormat/>
    <w:rPr>
      <w:vertAlign w:val="superscript"/>
    </w:rPr>
  </w:style>
  <w:style w:type="character" w:styleId="1008">
    <w:name w:val="page number"/>
    <w:uiPriority w:val="0"/>
    <w:qFormat/>
  </w:style>
  <w:style w:type="character" w:styleId="1009">
    <w:name w:val="FollowedHyperlink"/>
    <w:uiPriority w:val="99"/>
    <w:qFormat/>
    <w:rPr>
      <w:color w:val="333333"/>
      <w:u w:val="none"/>
    </w:rPr>
  </w:style>
  <w:style w:type="character" w:styleId="1010">
    <w:name w:val="Emphasis"/>
    <w:uiPriority w:val="0"/>
    <w:qFormat/>
    <w:rPr>
      <w:i/>
      <w:iCs/>
    </w:rPr>
  </w:style>
  <w:style w:type="character" w:styleId="1011">
    <w:name w:val="line number"/>
    <w:uiPriority w:val="0"/>
    <w:qFormat/>
  </w:style>
  <w:style w:type="character" w:styleId="1012">
    <w:name w:val="HTML Definition"/>
    <w:uiPriority w:val="0"/>
    <w:qFormat/>
    <w:rPr>
      <w:i/>
    </w:rPr>
  </w:style>
  <w:style w:type="character" w:styleId="1013">
    <w:name w:val="Hyperlink"/>
    <w:uiPriority w:val="99"/>
    <w:qFormat/>
    <w:rPr>
      <w:color w:val="333333"/>
      <w:u w:val="none"/>
    </w:rPr>
  </w:style>
  <w:style w:type="character" w:styleId="1014">
    <w:name w:val="HTML Code"/>
    <w:uiPriority w:val="0"/>
    <w:qFormat/>
    <w:rPr>
      <w:rFonts w:ascii="Menlo" w:hAnsi="Menlo" w:eastAsia="Menlo" w:cs="Menlo"/>
      <w:color w:val="c7254e"/>
      <w:sz w:val="21"/>
      <w:szCs w:val="21"/>
      <w:shd w:val="clear" w:color="auto" w:fill="f9f2f4"/>
    </w:rPr>
  </w:style>
  <w:style w:type="character" w:styleId="1015">
    <w:name w:val="annotation reference"/>
    <w:uiPriority w:val="0"/>
    <w:qFormat/>
    <w:rPr>
      <w:sz w:val="21"/>
      <w:szCs w:val="21"/>
    </w:rPr>
  </w:style>
  <w:style w:type="character" w:styleId="1016">
    <w:name w:val="HTML Cite"/>
    <w:uiPriority w:val="0"/>
    <w:qFormat/>
  </w:style>
  <w:style w:type="character" w:styleId="1017">
    <w:name w:val="footnote reference"/>
    <w:uiPriority w:val="0"/>
    <w:qFormat/>
    <w:rPr>
      <w:vertAlign w:val="superscript"/>
    </w:rPr>
  </w:style>
  <w:style w:type="character" w:styleId="1018">
    <w:name w:val="HTML Keyboard"/>
    <w:uiPriority w:val="0"/>
    <w:qFormat/>
    <w:rPr>
      <w:rFonts w:ascii="Menlo" w:hAnsi="Menlo" w:eastAsia="Menlo" w:cs="Menlo"/>
      <w:sz w:val="21"/>
      <w:szCs w:val="21"/>
    </w:rPr>
  </w:style>
  <w:style w:type="character" w:styleId="1019">
    <w:name w:val="HTML Sample"/>
    <w:uiPriority w:val="0"/>
    <w:qFormat/>
    <w:rPr>
      <w:rFonts w:ascii="Menlo" w:hAnsi="Menlo" w:eastAsia="Menlo" w:cs="Menlo"/>
      <w:sz w:val="21"/>
      <w:szCs w:val="21"/>
    </w:rPr>
  </w:style>
  <w:style w:type="paragraph" w:styleId="102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table" w:styleId="1021" w:customStyle="1">
    <w:name w:val="无格式表格 11"/>
    <w:basedOn w:val="95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2" w:customStyle="1">
    <w:name w:val="无格式表格 21"/>
    <w:basedOn w:val="95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3" w:customStyle="1">
    <w:name w:val="无格式表格 31"/>
    <w:basedOn w:val="95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4" w:customStyle="1">
    <w:name w:val="无格式表格 41"/>
    <w:basedOn w:val="95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5" w:customStyle="1">
    <w:name w:val="无格式表格 51"/>
    <w:basedOn w:val="95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6" w:customStyle="1">
    <w:name w:val="网格表 1 浅色1"/>
    <w:basedOn w:val="95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7" w:customStyle="1">
    <w:name w:val="网格表 21"/>
    <w:basedOn w:val="95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8" w:customStyle="1">
    <w:name w:val="网格表 31"/>
    <w:basedOn w:val="95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网格表 41"/>
    <w:basedOn w:val="95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0" w:customStyle="1">
    <w:name w:val="网格表 5 深色1"/>
    <w:basedOn w:val="95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1" w:customStyle="1">
    <w:name w:val="网格表 6 彩色1"/>
    <w:basedOn w:val="95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2" w:customStyle="1">
    <w:name w:val="网格表 7 彩色1"/>
    <w:basedOn w:val="95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清单表 1 浅色1"/>
    <w:basedOn w:val="95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4" w:customStyle="1">
    <w:name w:val="清单表 21"/>
    <w:basedOn w:val="95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5" w:customStyle="1">
    <w:name w:val="清单表 31"/>
    <w:basedOn w:val="95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清单表 41"/>
    <w:basedOn w:val="95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清单表 5 深色1"/>
    <w:basedOn w:val="95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清单表 6 彩色1"/>
    <w:basedOn w:val="95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9" w:customStyle="1">
    <w:name w:val="清单表 7 彩色1"/>
    <w:basedOn w:val="959"/>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40" w:customStyle="1">
    <w:name w:val="TOC 标题1"/>
    <w:uiPriority w:val="39"/>
    <w:unhideWhenUsed/>
    <w:qFormat/>
    <w:rPr>
      <w:rFonts w:ascii="Times New Roman" w:hAnsi="Times New Roman" w:eastAsia="宋体" w:cs="Times New Roman"/>
      <w:lang w:val="en-US" w:eastAsia="zh-CN" w:bidi="ar-SA"/>
    </w:rPr>
  </w:style>
  <w:style w:type="paragraph" w:styleId="1041" w:customStyle="1">
    <w:name w:val="正文首行缩进 21"/>
    <w:basedOn w:val="1042"/>
    <w:next w:val="1044"/>
    <w:uiPriority w:val="0"/>
    <w:unhideWhenUsed/>
    <w:qFormat/>
    <w:pPr>
      <w:ind w:firstLine="420"/>
    </w:pPr>
  </w:style>
  <w:style w:type="paragraph" w:styleId="1042" w:customStyle="1">
    <w:name w:val="正文文本缩进1"/>
    <w:basedOn w:val="948"/>
    <w:next w:val="1043"/>
    <w:uiPriority w:val="0"/>
    <w:unhideWhenUsed/>
    <w:qFormat/>
    <w:pPr>
      <w:ind w:left="420"/>
      <w:spacing w:after="120"/>
    </w:pPr>
    <w:rPr>
      <w:lang w:eastAsia="en-US"/>
    </w:rPr>
  </w:style>
  <w:style w:type="paragraph" w:styleId="1043" w:customStyle="1">
    <w:name w:val="寄信人地址1"/>
    <w:basedOn w:val="948"/>
    <w:uiPriority w:val="99"/>
    <w:unhideWhenUsed/>
    <w:qFormat/>
    <w:rPr>
      <w:rFonts w:ascii="Arial" w:hAnsi="Arial"/>
    </w:rPr>
  </w:style>
  <w:style w:type="paragraph" w:styleId="1044" w:customStyle="1">
    <w:name w:val="正文文本缩进 31"/>
    <w:basedOn w:val="948"/>
    <w:next w:val="1045"/>
    <w:uiPriority w:val="0"/>
    <w:qFormat/>
    <w:pPr>
      <w:ind w:firstLine="539"/>
      <w:spacing w:line="520" w:lineRule="exact"/>
    </w:pPr>
    <w:rPr>
      <w:rFonts w:ascii="宋体"/>
      <w:b/>
      <w:spacing w:val="6"/>
      <w:sz w:val="28"/>
    </w:rPr>
  </w:style>
  <w:style w:type="paragraph" w:styleId="1045" w:customStyle="1">
    <w:name w:val="引文目录标题1"/>
    <w:basedOn w:val="948"/>
    <w:next w:val="948"/>
    <w:uiPriority w:val="0"/>
    <w:qFormat/>
    <w:pPr>
      <w:jc w:val="center"/>
      <w:spacing w:line="360" w:lineRule="atLeast"/>
    </w:pPr>
    <w:rPr>
      <w:rFonts w:ascii="Arial" w:hAnsi="Arial" w:eastAsia="黑体"/>
      <w:sz w:val="36"/>
    </w:rPr>
  </w:style>
  <w:style w:type="paragraph" w:styleId="1046" w:customStyle="1">
    <w:name w:val="TOC 标题112"/>
    <w:uiPriority w:val="39"/>
    <w:unhideWhenUsed/>
    <w:qFormat/>
    <w:rPr>
      <w:rFonts w:ascii="Times New Roman" w:hAnsi="Times New Roman" w:eastAsia="宋体" w:cs="Times New Roman"/>
      <w:lang w:val="en-US" w:eastAsia="zh-CN" w:bidi="ar-SA"/>
    </w:rPr>
  </w:style>
  <w:style w:type="paragraph" w:styleId="1047" w:customStyle="1">
    <w:name w:val="Default"/>
    <w:uiPriority w:val="0"/>
    <w:qFormat/>
    <w:pPr>
      <w:widowControl w:val="off"/>
    </w:pPr>
    <w:rPr>
      <w:rFonts w:ascii="宋体" w:hAnsi="宋体" w:eastAsia="宋体" w:cs="宋体"/>
      <w:color w:val="000000"/>
      <w:sz w:val="24"/>
      <w:szCs w:val="24"/>
      <w:lang w:val="en-US" w:eastAsia="zh-CN" w:bidi="ar-SA"/>
    </w:rPr>
  </w:style>
  <w:style w:type="character" w:styleId="1048" w:customStyle="1">
    <w:name w:val="Title Char"/>
    <w:basedOn w:val="958"/>
    <w:uiPriority w:val="10"/>
    <w:qFormat/>
    <w:rPr>
      <w:sz w:val="48"/>
      <w:szCs w:val="48"/>
    </w:rPr>
  </w:style>
  <w:style w:type="character" w:styleId="1049" w:customStyle="1">
    <w:name w:val="Subtitle Char"/>
    <w:basedOn w:val="958"/>
    <w:uiPriority w:val="11"/>
    <w:qFormat/>
    <w:rPr>
      <w:sz w:val="24"/>
      <w:szCs w:val="24"/>
    </w:rPr>
  </w:style>
  <w:style w:type="character" w:styleId="1050" w:customStyle="1">
    <w:name w:val="Quote Char"/>
    <w:uiPriority w:val="29"/>
    <w:qFormat/>
    <w:rPr>
      <w:i/>
    </w:rPr>
  </w:style>
  <w:style w:type="character" w:styleId="1051" w:customStyle="1">
    <w:name w:val="Intense Quote Char"/>
    <w:uiPriority w:val="30"/>
    <w:qFormat/>
    <w:rPr>
      <w:i/>
    </w:rPr>
  </w:style>
  <w:style w:type="character" w:styleId="1052" w:customStyle="1">
    <w:name w:val="Footnote Text Char"/>
    <w:uiPriority w:val="99"/>
    <w:qFormat/>
    <w:rPr>
      <w:sz w:val="18"/>
    </w:rPr>
  </w:style>
  <w:style w:type="character" w:styleId="1053" w:customStyle="1">
    <w:name w:val="Endnote Text Char"/>
    <w:uiPriority w:val="99"/>
    <w:qFormat/>
    <w:rPr>
      <w:sz w:val="20"/>
    </w:rPr>
  </w:style>
  <w:style w:type="paragraph" w:styleId="1054" w:customStyle="1">
    <w:name w:val="TOC 标题111"/>
    <w:uiPriority w:val="39"/>
    <w:unhideWhenUsed/>
    <w:qFormat/>
    <w:rPr>
      <w:rFonts w:ascii="Times New Roman" w:hAnsi="Times New Roman" w:eastAsia="宋体" w:cs="Times New Roman"/>
      <w:lang w:val="en-US" w:eastAsia="zh-CN" w:bidi="ar-SA"/>
    </w:rPr>
  </w:style>
  <w:style w:type="paragraph" w:styleId="1055" w:customStyle="1">
    <w:name w:val="标题 11"/>
    <w:basedOn w:val="948"/>
    <w:next w:val="948"/>
    <w:link w:val="1056"/>
    <w:uiPriority w:val="9"/>
    <w:qFormat/>
    <w:pPr>
      <w:keepLines/>
      <w:keepNext/>
      <w:spacing w:before="480" w:after="200"/>
      <w:outlineLvl w:val="0"/>
    </w:pPr>
    <w:rPr>
      <w:rFonts w:ascii="Arial" w:hAnsi="Arial" w:eastAsia="Arial"/>
      <w:sz w:val="40"/>
      <w:szCs w:val="40"/>
    </w:rPr>
  </w:style>
  <w:style w:type="character" w:styleId="1056" w:customStyle="1">
    <w:name w:val="Heading 1 Char"/>
    <w:link w:val="1055"/>
    <w:uiPriority w:val="9"/>
    <w:qFormat/>
    <w:rPr>
      <w:rFonts w:ascii="Arial" w:hAnsi="Arial" w:eastAsia="Arial" w:cs="Arial"/>
      <w:sz w:val="40"/>
      <w:szCs w:val="40"/>
    </w:rPr>
  </w:style>
  <w:style w:type="paragraph" w:styleId="1057" w:customStyle="1">
    <w:name w:val="标题 21"/>
    <w:basedOn w:val="948"/>
    <w:next w:val="948"/>
    <w:link w:val="1058"/>
    <w:uiPriority w:val="9"/>
    <w:unhideWhenUsed/>
    <w:qFormat/>
    <w:pPr>
      <w:keepLines/>
      <w:keepNext/>
      <w:spacing w:before="360" w:after="200"/>
      <w:outlineLvl w:val="1"/>
    </w:pPr>
    <w:rPr>
      <w:rFonts w:ascii="Arial" w:hAnsi="Arial" w:eastAsia="Arial"/>
      <w:sz w:val="34"/>
    </w:rPr>
  </w:style>
  <w:style w:type="character" w:styleId="1058" w:customStyle="1">
    <w:name w:val="Heading 2 Char"/>
    <w:link w:val="1057"/>
    <w:uiPriority w:val="9"/>
    <w:qFormat/>
    <w:rPr>
      <w:rFonts w:ascii="Arial" w:hAnsi="Arial" w:eastAsia="Arial" w:cs="Arial"/>
      <w:sz w:val="34"/>
    </w:rPr>
  </w:style>
  <w:style w:type="paragraph" w:styleId="1059" w:customStyle="1">
    <w:name w:val="标题 31"/>
    <w:basedOn w:val="948"/>
    <w:next w:val="948"/>
    <w:link w:val="1060"/>
    <w:uiPriority w:val="9"/>
    <w:unhideWhenUsed/>
    <w:qFormat/>
    <w:pPr>
      <w:keepLines/>
      <w:keepNext/>
      <w:spacing w:before="320" w:after="200"/>
      <w:outlineLvl w:val="2"/>
    </w:pPr>
    <w:rPr>
      <w:rFonts w:ascii="Arial" w:hAnsi="Arial" w:eastAsia="Arial"/>
      <w:sz w:val="30"/>
      <w:szCs w:val="30"/>
    </w:rPr>
  </w:style>
  <w:style w:type="character" w:styleId="1060" w:customStyle="1">
    <w:name w:val="Heading 3 Char"/>
    <w:link w:val="1059"/>
    <w:uiPriority w:val="9"/>
    <w:qFormat/>
    <w:rPr>
      <w:rFonts w:ascii="Arial" w:hAnsi="Arial" w:eastAsia="Arial" w:cs="Arial"/>
      <w:sz w:val="30"/>
      <w:szCs w:val="30"/>
    </w:rPr>
  </w:style>
  <w:style w:type="paragraph" w:styleId="1061" w:customStyle="1">
    <w:name w:val="标题 41"/>
    <w:basedOn w:val="948"/>
    <w:next w:val="948"/>
    <w:link w:val="1062"/>
    <w:uiPriority w:val="9"/>
    <w:unhideWhenUsed/>
    <w:qFormat/>
    <w:pPr>
      <w:keepLines/>
      <w:keepNext/>
      <w:spacing w:before="320" w:after="200"/>
      <w:outlineLvl w:val="3"/>
    </w:pPr>
    <w:rPr>
      <w:rFonts w:ascii="Arial" w:hAnsi="Arial" w:eastAsia="Arial"/>
      <w:b/>
      <w:bCs/>
      <w:szCs w:val="26"/>
    </w:rPr>
  </w:style>
  <w:style w:type="character" w:styleId="1062" w:customStyle="1">
    <w:name w:val="Heading 4 Char"/>
    <w:link w:val="1061"/>
    <w:uiPriority w:val="9"/>
    <w:qFormat/>
    <w:rPr>
      <w:rFonts w:ascii="Arial" w:hAnsi="Arial" w:eastAsia="Arial" w:cs="Arial"/>
      <w:b/>
      <w:bCs/>
      <w:sz w:val="26"/>
      <w:szCs w:val="26"/>
    </w:rPr>
  </w:style>
  <w:style w:type="paragraph" w:styleId="1063" w:customStyle="1">
    <w:name w:val="标题 51"/>
    <w:basedOn w:val="948"/>
    <w:next w:val="948"/>
    <w:link w:val="1064"/>
    <w:uiPriority w:val="9"/>
    <w:unhideWhenUsed/>
    <w:qFormat/>
    <w:pPr>
      <w:keepLines/>
      <w:keepNext/>
      <w:spacing w:before="320" w:after="200"/>
      <w:outlineLvl w:val="4"/>
    </w:pPr>
    <w:rPr>
      <w:rFonts w:ascii="Arial" w:hAnsi="Arial" w:eastAsia="Arial"/>
      <w:b/>
      <w:bCs/>
      <w:sz w:val="24"/>
      <w:szCs w:val="24"/>
    </w:rPr>
  </w:style>
  <w:style w:type="character" w:styleId="1064" w:customStyle="1">
    <w:name w:val="Heading 5 Char"/>
    <w:link w:val="1063"/>
    <w:uiPriority w:val="9"/>
    <w:qFormat/>
    <w:rPr>
      <w:rFonts w:ascii="Arial" w:hAnsi="Arial" w:eastAsia="Arial" w:cs="Arial"/>
      <w:b/>
      <w:bCs/>
      <w:sz w:val="24"/>
      <w:szCs w:val="24"/>
    </w:rPr>
  </w:style>
  <w:style w:type="paragraph" w:styleId="1065" w:customStyle="1">
    <w:name w:val="标题 61"/>
    <w:basedOn w:val="948"/>
    <w:next w:val="948"/>
    <w:link w:val="1066"/>
    <w:uiPriority w:val="9"/>
    <w:unhideWhenUsed/>
    <w:qFormat/>
    <w:pPr>
      <w:keepLines/>
      <w:keepNext/>
      <w:spacing w:before="320" w:after="200"/>
      <w:outlineLvl w:val="5"/>
    </w:pPr>
    <w:rPr>
      <w:rFonts w:ascii="Arial" w:hAnsi="Arial" w:eastAsia="Arial"/>
      <w:b/>
      <w:bCs/>
      <w:sz w:val="22"/>
      <w:szCs w:val="22"/>
    </w:rPr>
  </w:style>
  <w:style w:type="character" w:styleId="1066" w:customStyle="1">
    <w:name w:val="Heading 6 Char"/>
    <w:link w:val="1065"/>
    <w:uiPriority w:val="9"/>
    <w:qFormat/>
    <w:rPr>
      <w:rFonts w:ascii="Arial" w:hAnsi="Arial" w:eastAsia="Arial" w:cs="Arial"/>
      <w:b/>
      <w:bCs/>
      <w:sz w:val="22"/>
      <w:szCs w:val="22"/>
    </w:rPr>
  </w:style>
  <w:style w:type="paragraph" w:styleId="1067" w:customStyle="1">
    <w:name w:val="标题 71"/>
    <w:basedOn w:val="948"/>
    <w:next w:val="948"/>
    <w:link w:val="1068"/>
    <w:uiPriority w:val="9"/>
    <w:unhideWhenUsed/>
    <w:qFormat/>
    <w:pPr>
      <w:keepLines/>
      <w:keepNext/>
      <w:spacing w:before="320" w:after="200"/>
      <w:outlineLvl w:val="6"/>
    </w:pPr>
    <w:rPr>
      <w:rFonts w:ascii="Arial" w:hAnsi="Arial" w:eastAsia="Arial"/>
      <w:b/>
      <w:bCs/>
      <w:i/>
      <w:iCs/>
      <w:sz w:val="22"/>
      <w:szCs w:val="22"/>
    </w:rPr>
  </w:style>
  <w:style w:type="character" w:styleId="1068" w:customStyle="1">
    <w:name w:val="Heading 7 Char"/>
    <w:link w:val="1067"/>
    <w:uiPriority w:val="9"/>
    <w:qFormat/>
    <w:rPr>
      <w:rFonts w:ascii="Arial" w:hAnsi="Arial" w:eastAsia="Arial" w:cs="Arial"/>
      <w:b/>
      <w:bCs/>
      <w:i/>
      <w:iCs/>
      <w:sz w:val="22"/>
      <w:szCs w:val="22"/>
    </w:rPr>
  </w:style>
  <w:style w:type="paragraph" w:styleId="1069" w:customStyle="1">
    <w:name w:val="标题 81"/>
    <w:basedOn w:val="948"/>
    <w:next w:val="948"/>
    <w:link w:val="1070"/>
    <w:uiPriority w:val="9"/>
    <w:unhideWhenUsed/>
    <w:qFormat/>
    <w:pPr>
      <w:keepLines/>
      <w:keepNext/>
      <w:spacing w:before="320" w:after="200"/>
      <w:outlineLvl w:val="7"/>
    </w:pPr>
    <w:rPr>
      <w:rFonts w:ascii="Arial" w:hAnsi="Arial" w:eastAsia="Arial"/>
      <w:i/>
      <w:iCs/>
      <w:sz w:val="22"/>
      <w:szCs w:val="22"/>
    </w:rPr>
  </w:style>
  <w:style w:type="character" w:styleId="1070" w:customStyle="1">
    <w:name w:val="Heading 8 Char"/>
    <w:link w:val="1069"/>
    <w:uiPriority w:val="9"/>
    <w:qFormat/>
    <w:rPr>
      <w:rFonts w:ascii="Arial" w:hAnsi="Arial" w:eastAsia="Arial" w:cs="Arial"/>
      <w:i/>
      <w:iCs/>
      <w:sz w:val="22"/>
      <w:szCs w:val="22"/>
    </w:rPr>
  </w:style>
  <w:style w:type="paragraph" w:styleId="1071" w:customStyle="1">
    <w:name w:val="标题 91"/>
    <w:basedOn w:val="948"/>
    <w:next w:val="948"/>
    <w:link w:val="1072"/>
    <w:uiPriority w:val="9"/>
    <w:unhideWhenUsed/>
    <w:qFormat/>
    <w:pPr>
      <w:keepLines/>
      <w:keepNext/>
      <w:spacing w:before="320" w:after="200"/>
      <w:outlineLvl w:val="8"/>
    </w:pPr>
    <w:rPr>
      <w:rFonts w:ascii="Arial" w:hAnsi="Arial" w:eastAsia="Arial"/>
      <w:i/>
      <w:iCs/>
      <w:sz w:val="21"/>
      <w:szCs w:val="21"/>
    </w:rPr>
  </w:style>
  <w:style w:type="character" w:styleId="1072" w:customStyle="1">
    <w:name w:val="Heading 9 Char"/>
    <w:link w:val="1071"/>
    <w:uiPriority w:val="9"/>
    <w:qFormat/>
    <w:rPr>
      <w:rFonts w:ascii="Arial" w:hAnsi="Arial" w:eastAsia="Arial" w:cs="Arial"/>
      <w:i/>
      <w:iCs/>
      <w:sz w:val="21"/>
      <w:szCs w:val="21"/>
    </w:rPr>
  </w:style>
  <w:style w:type="paragraph" w:styleId="1073">
    <w:name w:val="List Paragraph"/>
    <w:basedOn w:val="948"/>
    <w:link w:val="1240"/>
    <w:uiPriority w:val="34"/>
    <w:qFormat/>
    <w:pPr>
      <w:ind w:firstLine="420"/>
    </w:pPr>
    <w:rPr>
      <w:rFonts w:eastAsia="宋体"/>
      <w:sz w:val="21"/>
      <w:szCs w:val="24"/>
    </w:rPr>
  </w:style>
  <w:style w:type="paragraph" w:styleId="1074">
    <w:name w:val="No Spacing"/>
    <w:uiPriority w:val="99"/>
    <w:qFormat/>
    <w:pPr>
      <w:jc w:val="both"/>
      <w:widowControl w:val="off"/>
    </w:pPr>
    <w:rPr>
      <w:rFonts w:ascii="Times New Roman" w:hAnsi="Times New Roman" w:eastAsia="楷体_GB2312" w:cs="Times New Roman"/>
      <w:sz w:val="26"/>
      <w:lang w:val="en-US" w:eastAsia="zh-CN" w:bidi="ar-SA"/>
    </w:rPr>
  </w:style>
  <w:style w:type="character" w:styleId="1075" w:customStyle="1">
    <w:name w:val="标题 字符"/>
    <w:link w:val="1001"/>
    <w:uiPriority w:val="10"/>
    <w:qFormat/>
    <w:rPr>
      <w:sz w:val="48"/>
      <w:szCs w:val="48"/>
    </w:rPr>
  </w:style>
  <w:style w:type="character" w:styleId="1076" w:customStyle="1">
    <w:name w:val="副标题 字符"/>
    <w:link w:val="989"/>
    <w:uiPriority w:val="11"/>
    <w:qFormat/>
    <w:rPr>
      <w:sz w:val="24"/>
      <w:szCs w:val="24"/>
    </w:rPr>
  </w:style>
  <w:style w:type="paragraph" w:styleId="1077">
    <w:name w:val="Quote"/>
    <w:basedOn w:val="948"/>
    <w:next w:val="948"/>
    <w:link w:val="1078"/>
    <w:uiPriority w:val="29"/>
    <w:qFormat/>
    <w:pPr>
      <w:ind w:left="720" w:right="720"/>
    </w:pPr>
    <w:rPr>
      <w:rFonts w:eastAsia="宋体"/>
      <w:i/>
      <w:sz w:val="20"/>
    </w:rPr>
  </w:style>
  <w:style w:type="character" w:styleId="1078" w:customStyle="1">
    <w:name w:val="引用 字符"/>
    <w:link w:val="1077"/>
    <w:uiPriority w:val="29"/>
    <w:qFormat/>
    <w:rPr>
      <w:i/>
    </w:rPr>
  </w:style>
  <w:style w:type="paragraph" w:styleId="1079">
    <w:name w:val="Intense Quote"/>
    <w:basedOn w:val="948"/>
    <w:next w:val="948"/>
    <w:link w:val="10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1080" w:customStyle="1">
    <w:name w:val="明显引用 字符"/>
    <w:link w:val="1079"/>
    <w:uiPriority w:val="30"/>
    <w:qFormat/>
    <w:rPr>
      <w:i/>
    </w:rPr>
  </w:style>
  <w:style w:type="paragraph" w:styleId="1081" w:customStyle="1">
    <w:name w:val="页眉1"/>
    <w:basedOn w:val="948"/>
    <w:link w:val="1253"/>
    <w:uiPriority w:val="0"/>
    <w:unhideWhenUsed/>
    <w:qFormat/>
    <w:pPr>
      <w:tabs>
        <w:tab w:val="center" w:pos="7143" w:leader="none"/>
        <w:tab w:val="right" w:pos="14287" w:leader="none"/>
      </w:tabs>
    </w:pPr>
    <w:rPr>
      <w:rFonts w:eastAsia="宋体"/>
      <w:sz w:val="18"/>
    </w:rPr>
  </w:style>
  <w:style w:type="paragraph" w:styleId="1082" w:customStyle="1">
    <w:name w:val="页脚1"/>
    <w:basedOn w:val="948"/>
    <w:link w:val="1085"/>
    <w:uiPriority w:val="99"/>
    <w:unhideWhenUsed/>
    <w:qFormat/>
    <w:pPr>
      <w:tabs>
        <w:tab w:val="center" w:pos="7143" w:leader="none"/>
        <w:tab w:val="right" w:pos="14287" w:leader="none"/>
      </w:tabs>
    </w:pPr>
  </w:style>
  <w:style w:type="character" w:styleId="1083" w:customStyle="1">
    <w:name w:val="Footer Char"/>
    <w:uiPriority w:val="99"/>
    <w:qFormat/>
  </w:style>
  <w:style w:type="paragraph" w:styleId="1084" w:customStyle="1">
    <w:name w:val="题注1"/>
    <w:basedOn w:val="948"/>
    <w:next w:val="948"/>
    <w:uiPriority w:val="35"/>
    <w:semiHidden/>
    <w:unhideWhenUsed/>
    <w:qFormat/>
    <w:pPr>
      <w:spacing w:line="276" w:lineRule="auto"/>
    </w:pPr>
    <w:rPr>
      <w:b/>
      <w:bCs/>
      <w:color w:val="4f81bd"/>
      <w:sz w:val="18"/>
      <w:szCs w:val="18"/>
    </w:rPr>
  </w:style>
  <w:style w:type="character" w:styleId="1085" w:customStyle="1">
    <w:name w:val="Caption Char"/>
    <w:link w:val="1082"/>
    <w:uiPriority w:val="99"/>
    <w:qFormat/>
  </w:style>
  <w:style w:type="table" w:styleId="108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8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8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8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9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9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9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9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9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9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0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0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0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0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0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0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0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0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1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1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1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2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2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2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2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2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2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2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2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2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29" w:customStyle="1">
    <w:name w:val="List Table 1 Light - Accent 1"/>
    <w:uiPriority w:val="99"/>
    <w:qFormat/>
    <w:tblPr>
      <w:tblCellMar>
        <w:left w:w="0" w:type="dxa"/>
        <w:top w:w="0" w:type="dxa"/>
        <w:right w:w="0" w:type="dxa"/>
        <w:bottom w:w="0" w:type="dxa"/>
      </w:tblCellMar>
    </w:tblPr>
  </w:style>
  <w:style w:type="table" w:styleId="1130" w:customStyle="1">
    <w:name w:val="List Table 1 Light - Accent 2"/>
    <w:uiPriority w:val="99"/>
    <w:qFormat/>
    <w:tblPr>
      <w:tblCellMar>
        <w:left w:w="0" w:type="dxa"/>
        <w:top w:w="0" w:type="dxa"/>
        <w:right w:w="0" w:type="dxa"/>
        <w:bottom w:w="0" w:type="dxa"/>
      </w:tblCellMar>
    </w:tblPr>
  </w:style>
  <w:style w:type="table" w:styleId="1131" w:customStyle="1">
    <w:name w:val="List Table 1 Light - Accent 3"/>
    <w:uiPriority w:val="99"/>
    <w:qFormat/>
    <w:tblPr>
      <w:tblCellMar>
        <w:left w:w="0" w:type="dxa"/>
        <w:top w:w="0" w:type="dxa"/>
        <w:right w:w="0" w:type="dxa"/>
        <w:bottom w:w="0" w:type="dxa"/>
      </w:tblCellMar>
    </w:tblPr>
  </w:style>
  <w:style w:type="table" w:styleId="1132" w:customStyle="1">
    <w:name w:val="List Table 1 Light - Accent 4"/>
    <w:uiPriority w:val="99"/>
    <w:qFormat/>
    <w:tblPr>
      <w:tblCellMar>
        <w:left w:w="0" w:type="dxa"/>
        <w:top w:w="0" w:type="dxa"/>
        <w:right w:w="0" w:type="dxa"/>
        <w:bottom w:w="0" w:type="dxa"/>
      </w:tblCellMar>
    </w:tblPr>
  </w:style>
  <w:style w:type="table" w:styleId="1133" w:customStyle="1">
    <w:name w:val="List Table 1 Light - Accent 5"/>
    <w:uiPriority w:val="99"/>
    <w:qFormat/>
    <w:tblPr>
      <w:tblCellMar>
        <w:left w:w="0" w:type="dxa"/>
        <w:top w:w="0" w:type="dxa"/>
        <w:right w:w="0" w:type="dxa"/>
        <w:bottom w:w="0" w:type="dxa"/>
      </w:tblCellMar>
    </w:tblPr>
  </w:style>
  <w:style w:type="table" w:styleId="1134" w:customStyle="1">
    <w:name w:val="List Table 1 Light - Accent 6"/>
    <w:uiPriority w:val="99"/>
    <w:qFormat/>
    <w:tblPr>
      <w:tblCellMar>
        <w:left w:w="0" w:type="dxa"/>
        <w:top w:w="0" w:type="dxa"/>
        <w:right w:w="0" w:type="dxa"/>
        <w:bottom w:w="0" w:type="dxa"/>
      </w:tblCellMar>
    </w:tblPr>
  </w:style>
  <w:style w:type="table" w:styleId="113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3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3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3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3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4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4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4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4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4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4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4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4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4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4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5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5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5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5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5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5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5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5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5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5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6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6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6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6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6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6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6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6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6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6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7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71" w:customStyle="1">
    <w:name w:val="Lined - Accent"/>
    <w:uiPriority w:val="99"/>
    <w:qFormat/>
    <w:rPr>
      <w:color w:val="404040"/>
    </w:rPr>
    <w:tblPr>
      <w:tblCellMar>
        <w:left w:w="0" w:type="dxa"/>
        <w:top w:w="0" w:type="dxa"/>
        <w:right w:w="0" w:type="dxa"/>
        <w:bottom w:w="0" w:type="dxa"/>
      </w:tblCellMar>
    </w:tblPr>
  </w:style>
  <w:style w:type="table" w:styleId="1172" w:customStyle="1">
    <w:name w:val="Lined - Accent 1"/>
    <w:uiPriority w:val="99"/>
    <w:qFormat/>
    <w:rPr>
      <w:color w:val="404040"/>
    </w:rPr>
    <w:tblPr>
      <w:tblCellMar>
        <w:left w:w="0" w:type="dxa"/>
        <w:top w:w="0" w:type="dxa"/>
        <w:right w:w="0" w:type="dxa"/>
        <w:bottom w:w="0" w:type="dxa"/>
      </w:tblCellMar>
    </w:tblPr>
  </w:style>
  <w:style w:type="table" w:styleId="1173" w:customStyle="1">
    <w:name w:val="Lined - Accent 2"/>
    <w:uiPriority w:val="99"/>
    <w:qFormat/>
    <w:rPr>
      <w:color w:val="404040"/>
    </w:rPr>
    <w:tblPr>
      <w:tblCellMar>
        <w:left w:w="0" w:type="dxa"/>
        <w:top w:w="0" w:type="dxa"/>
        <w:right w:w="0" w:type="dxa"/>
        <w:bottom w:w="0" w:type="dxa"/>
      </w:tblCellMar>
    </w:tblPr>
  </w:style>
  <w:style w:type="table" w:styleId="1174" w:customStyle="1">
    <w:name w:val="Lined - Accent 3"/>
    <w:uiPriority w:val="99"/>
    <w:qFormat/>
    <w:rPr>
      <w:color w:val="404040"/>
    </w:rPr>
    <w:tblPr>
      <w:tblCellMar>
        <w:left w:w="0" w:type="dxa"/>
        <w:top w:w="0" w:type="dxa"/>
        <w:right w:w="0" w:type="dxa"/>
        <w:bottom w:w="0" w:type="dxa"/>
      </w:tblCellMar>
    </w:tblPr>
  </w:style>
  <w:style w:type="table" w:styleId="1175" w:customStyle="1">
    <w:name w:val="Lined - Accent 4"/>
    <w:uiPriority w:val="99"/>
    <w:qFormat/>
    <w:rPr>
      <w:color w:val="404040"/>
    </w:rPr>
    <w:tblPr>
      <w:tblCellMar>
        <w:left w:w="0" w:type="dxa"/>
        <w:top w:w="0" w:type="dxa"/>
        <w:right w:w="0" w:type="dxa"/>
        <w:bottom w:w="0" w:type="dxa"/>
      </w:tblCellMar>
    </w:tblPr>
  </w:style>
  <w:style w:type="table" w:styleId="1176" w:customStyle="1">
    <w:name w:val="Lined - Accent 5"/>
    <w:uiPriority w:val="99"/>
    <w:qFormat/>
    <w:rPr>
      <w:color w:val="404040"/>
    </w:rPr>
    <w:tblPr>
      <w:tblCellMar>
        <w:left w:w="0" w:type="dxa"/>
        <w:top w:w="0" w:type="dxa"/>
        <w:right w:w="0" w:type="dxa"/>
        <w:bottom w:w="0" w:type="dxa"/>
      </w:tblCellMar>
    </w:tblPr>
  </w:style>
  <w:style w:type="table" w:styleId="1177" w:customStyle="1">
    <w:name w:val="Lined - Accent 6"/>
    <w:uiPriority w:val="99"/>
    <w:qFormat/>
    <w:rPr>
      <w:color w:val="404040"/>
    </w:rPr>
    <w:tblPr>
      <w:tblCellMar>
        <w:left w:w="0" w:type="dxa"/>
        <w:top w:w="0" w:type="dxa"/>
        <w:right w:w="0" w:type="dxa"/>
        <w:bottom w:w="0" w:type="dxa"/>
      </w:tblCellMar>
    </w:tblPr>
  </w:style>
  <w:style w:type="table" w:styleId="117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7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8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8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8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8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8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8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8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8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8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8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9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9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92" w:customStyle="1">
    <w:name w:val="脚注文本 字符"/>
    <w:link w:val="990"/>
    <w:uiPriority w:val="99"/>
    <w:qFormat/>
    <w:rPr>
      <w:sz w:val="18"/>
    </w:rPr>
  </w:style>
  <w:style w:type="character" w:styleId="1193" w:customStyle="1">
    <w:name w:val="尾注文本 字符"/>
    <w:link w:val="979"/>
    <w:uiPriority w:val="99"/>
    <w:qFormat/>
    <w:rPr>
      <w:sz w:val="20"/>
    </w:rPr>
  </w:style>
  <w:style w:type="paragraph" w:styleId="1194" w:customStyle="1">
    <w:name w:val="TOC 标题11"/>
    <w:uiPriority w:val="39"/>
    <w:unhideWhenUsed/>
    <w:qFormat/>
    <w:rPr>
      <w:rFonts w:ascii="Times New Roman" w:hAnsi="Times New Roman" w:eastAsia="宋体" w:cs="Times New Roman"/>
      <w:lang w:val="en-US" w:eastAsia="zh-CN" w:bidi="ar-SA"/>
    </w:rPr>
  </w:style>
  <w:style w:type="character" w:styleId="1195" w:customStyle="1">
    <w:name w:val="标题 1 字符"/>
    <w:link w:val="949"/>
    <w:uiPriority w:val="9"/>
    <w:qFormat/>
    <w:rPr>
      <w:rFonts w:eastAsia="楷体_GB2312"/>
      <w:b/>
      <w:sz w:val="44"/>
    </w:rPr>
  </w:style>
  <w:style w:type="character" w:styleId="1196" w:customStyle="1">
    <w:name w:val="标题 2 字符"/>
    <w:link w:val="950"/>
    <w:uiPriority w:val="9"/>
    <w:qFormat/>
    <w:rPr>
      <w:rFonts w:ascii="宋体" w:hAnsi="宋体" w:eastAsia="楷体_GB2312"/>
      <w:b/>
      <w:sz w:val="26"/>
      <w:lang w:val="en-US" w:eastAsia="zh-CN" w:bidi="ar-SA"/>
    </w:rPr>
  </w:style>
  <w:style w:type="character" w:styleId="1197" w:customStyle="1">
    <w:name w:val="标题 3 字符"/>
    <w:link w:val="951"/>
    <w:uiPriority w:val="9"/>
    <w:qFormat/>
    <w:rPr>
      <w:rFonts w:eastAsia="楷体_GB2312"/>
      <w:b/>
      <w:sz w:val="26"/>
    </w:rPr>
  </w:style>
  <w:style w:type="character" w:styleId="1198" w:customStyle="1">
    <w:name w:val="标题 4 字符"/>
    <w:link w:val="952"/>
    <w:uiPriority w:val="9"/>
    <w:qFormat/>
    <w:rPr>
      <w:rFonts w:ascii="Arial" w:hAnsi="Arial" w:eastAsia="黑体"/>
      <w:b/>
      <w:sz w:val="28"/>
    </w:rPr>
  </w:style>
  <w:style w:type="character" w:styleId="1199" w:customStyle="1">
    <w:name w:val="正文缩进 字符"/>
    <w:link w:val="960"/>
    <w:uiPriority w:val="0"/>
    <w:qFormat/>
    <w:rPr>
      <w:rFonts w:ascii="宋体" w:hAnsi="宋体"/>
      <w:b/>
      <w:sz w:val="36"/>
    </w:rPr>
  </w:style>
  <w:style w:type="character" w:styleId="1200" w:customStyle="1">
    <w:name w:val="文档结构图 字符"/>
    <w:link w:val="965"/>
    <w:uiPriority w:val="0"/>
    <w:qFormat/>
    <w:rPr>
      <w:rFonts w:eastAsia="楷体_GB2312"/>
      <w:sz w:val="26"/>
      <w:shd w:val="clear" w:color="auto" w:fill="000080"/>
    </w:rPr>
  </w:style>
  <w:style w:type="character" w:styleId="1201" w:customStyle="1">
    <w:name w:val="批注文字 字符"/>
    <w:link w:val="967"/>
    <w:uiPriority w:val="0"/>
    <w:qFormat/>
    <w:rPr>
      <w:rFonts w:eastAsia="楷体_GB2312"/>
      <w:sz w:val="26"/>
    </w:rPr>
  </w:style>
  <w:style w:type="character" w:styleId="1202" w:customStyle="1">
    <w:name w:val="正文文本 字符2"/>
    <w:link w:val="969"/>
    <w:uiPriority w:val="0"/>
    <w:qFormat/>
    <w:rPr>
      <w:rFonts w:ascii="楷体_GB2312" w:eastAsia="楷体_GB2312"/>
      <w:sz w:val="28"/>
    </w:rPr>
  </w:style>
  <w:style w:type="character" w:styleId="1203" w:customStyle="1">
    <w:name w:val="正文文本缩进 字符"/>
    <w:link w:val="970"/>
    <w:uiPriority w:val="99"/>
    <w:qFormat/>
    <w:rPr>
      <w:rFonts w:hint="eastAsia" w:ascii="楷体_GB2312" w:eastAsia="楷体_GB2312" w:cs="楷体_GB2312"/>
      <w:sz w:val="26"/>
    </w:rPr>
  </w:style>
  <w:style w:type="character" w:styleId="1204" w:customStyle="1">
    <w:name w:val="TOC 3 字符"/>
    <w:link w:val="973"/>
    <w:uiPriority w:val="0"/>
    <w:qFormat/>
    <w:rPr>
      <w:rFonts w:eastAsia="楷体_GB2312"/>
      <w:sz w:val="26"/>
    </w:rPr>
  </w:style>
  <w:style w:type="character" w:styleId="1205" w:customStyle="1">
    <w:name w:val="纯文本 字符1"/>
    <w:link w:val="974"/>
    <w:uiPriority w:val="0"/>
    <w:qFormat/>
    <w:rPr>
      <w:rFonts w:ascii="宋体" w:hAnsi="Courier New" w:eastAsia="楷体_GB2312"/>
      <w:sz w:val="26"/>
      <w:lang w:val="en-US" w:eastAsia="zh-CN" w:bidi="ar-SA"/>
    </w:rPr>
  </w:style>
  <w:style w:type="character" w:styleId="1206" w:customStyle="1">
    <w:name w:val="日期 字符"/>
    <w:link w:val="977"/>
    <w:uiPriority w:val="0"/>
    <w:qFormat/>
    <w:rPr>
      <w:rFonts w:ascii="宋体" w:hAnsi="宋体" w:eastAsia="楷体_GB2312"/>
      <w:sz w:val="24"/>
    </w:rPr>
  </w:style>
  <w:style w:type="character" w:styleId="1207" w:customStyle="1">
    <w:name w:val="批注框文本 字符"/>
    <w:link w:val="980"/>
    <w:uiPriority w:val="0"/>
    <w:qFormat/>
    <w:rPr>
      <w:rFonts w:eastAsia="楷体_GB2312"/>
      <w:sz w:val="18"/>
      <w:szCs w:val="18"/>
    </w:rPr>
  </w:style>
  <w:style w:type="character" w:styleId="1208" w:customStyle="1">
    <w:name w:val="页脚 字符"/>
    <w:link w:val="981"/>
    <w:uiPriority w:val="99"/>
    <w:qFormat/>
    <w:rPr>
      <w:rFonts w:eastAsia="楷体_GB2312"/>
      <w:sz w:val="18"/>
    </w:rPr>
  </w:style>
  <w:style w:type="character" w:styleId="1209" w:customStyle="1">
    <w:name w:val="页眉 字符"/>
    <w:link w:val="983"/>
    <w:uiPriority w:val="99"/>
    <w:qFormat/>
    <w:rPr>
      <w:rFonts w:eastAsia="楷体_GB2312"/>
      <w:sz w:val="18"/>
    </w:rPr>
  </w:style>
  <w:style w:type="character" w:styleId="1210" w:customStyle="1">
    <w:name w:val="普通(网站) 字符"/>
    <w:link w:val="999"/>
    <w:uiPriority w:val="0"/>
    <w:qFormat/>
    <w:rPr>
      <w:rFonts w:eastAsia="楷体_GB2312"/>
      <w:sz w:val="24"/>
      <w:szCs w:val="24"/>
    </w:rPr>
  </w:style>
  <w:style w:type="character" w:styleId="1211" w:customStyle="1">
    <w:name w:val="正文文本首行缩进 字符1"/>
    <w:link w:val="1003"/>
    <w:uiPriority w:val="0"/>
    <w:qFormat/>
  </w:style>
  <w:style w:type="character" w:styleId="1212" w:customStyle="1">
    <w:name w:val="正文文本首行缩进 2 字符"/>
    <w:link w:val="1004"/>
    <w:uiPriority w:val="99"/>
    <w:qFormat/>
    <w:rPr>
      <w:rFonts w:cs="宋体"/>
      <w:b/>
      <w:color w:val="000000" w:themeColor="text1"/>
      <w:sz w:val="48"/>
      <w:szCs w:val="48"/>
      <w14:textFill>
        <w14:solidFill>
          <w14:schemeClr w14:val="tx1"/>
        </w14:solidFill>
      </w14:textFill>
    </w:rPr>
  </w:style>
  <w:style w:type="paragraph" w:styleId="1213" w:customStyle="1">
    <w:name w:val="无间隔1"/>
    <w:uiPriority w:val="0"/>
    <w:qFormat/>
    <w:pPr>
      <w:spacing w:line="300" w:lineRule="auto"/>
      <w:widowControl w:val="off"/>
    </w:pPr>
    <w:rPr>
      <w:rFonts w:ascii="Times New Roman" w:hAnsi="Times New Roman" w:eastAsia="华文仿宋" w:cs="Times New Roman"/>
      <w:sz w:val="24"/>
      <w:szCs w:val="21"/>
      <w:lang w:val="en-US" w:eastAsia="zh-CN" w:bidi="ar-SA"/>
    </w:rPr>
  </w:style>
  <w:style w:type="character" w:styleId="1214" w:customStyle="1">
    <w:name w:val="正文文本首行缩进 字符"/>
    <w:uiPriority w:val="0"/>
    <w:qFormat/>
    <w:rPr>
      <w:rFonts w:eastAsia="楷体_GB2312"/>
      <w:sz w:val="26"/>
    </w:rPr>
  </w:style>
  <w:style w:type="character" w:styleId="1215" w:customStyle="1">
    <w:name w:val="Char Char4"/>
    <w:uiPriority w:val="0"/>
    <w:qFormat/>
    <w:rPr>
      <w:rFonts w:ascii="方正仿宋简体" w:hAnsi="创艺简仿宋" w:eastAsia="方正仿宋简体"/>
      <w:sz w:val="24"/>
      <w:lang w:val="en-US" w:eastAsia="zh-CN" w:bidi="ar-SA"/>
    </w:rPr>
  </w:style>
  <w:style w:type="character" w:styleId="1216" w:customStyle="1">
    <w:name w:val="state"/>
    <w:uiPriority w:val="0"/>
    <w:qFormat/>
    <w:rPr>
      <w:b/>
      <w:color w:val="ffffff"/>
      <w:sz w:val="19"/>
      <w:szCs w:val="19"/>
    </w:rPr>
  </w:style>
  <w:style w:type="character" w:styleId="1217" w:customStyle="1">
    <w:name w:val="bds_more6"/>
    <w:uiPriority w:val="0"/>
    <w:qFormat/>
  </w:style>
  <w:style w:type="character" w:styleId="1218" w:customStyle="1">
    <w:name w:val="hilite"/>
    <w:uiPriority w:val="0"/>
    <w:qFormat/>
    <w:rPr>
      <w:color w:val="ffffff"/>
      <w:shd w:val="clear" w:color="auto" w:fill="776666"/>
    </w:rPr>
  </w:style>
  <w:style w:type="character" w:styleId="1219" w:customStyle="1">
    <w:name w:val="bds_nopic"/>
    <w:uiPriority w:val="0"/>
    <w:qFormat/>
  </w:style>
  <w:style w:type="character" w:styleId="1220" w:customStyle="1">
    <w:name w:val="Char Char2"/>
    <w:uiPriority w:val="0"/>
    <w:qFormat/>
    <w:rPr>
      <w:rFonts w:ascii="宋体" w:hAnsi="宋体" w:eastAsia="楷体_GB2312"/>
      <w:b/>
      <w:sz w:val="26"/>
      <w:lang w:val="en-US" w:eastAsia="zh-CN" w:bidi="ar-SA"/>
    </w:rPr>
  </w:style>
  <w:style w:type="character" w:styleId="1221" w:customStyle="1">
    <w:name w:val="hover61"/>
    <w:uiPriority w:val="0"/>
    <w:qFormat/>
    <w:rPr>
      <w:shd w:val="clear" w:color="auto" w:fill="ff0000"/>
    </w:rPr>
  </w:style>
  <w:style w:type="character" w:styleId="1222" w:customStyle="1">
    <w:name w:val="font51"/>
    <w:uiPriority w:val="99"/>
    <w:qFormat/>
    <w:rPr>
      <w:rFonts w:hint="eastAsia" w:ascii="宋体" w:hAnsi="宋体" w:eastAsia="宋体" w:cs="宋体"/>
      <w:color w:val="ff0000"/>
      <w:sz w:val="20"/>
      <w:szCs w:val="20"/>
      <w:u w:val="none"/>
    </w:rPr>
  </w:style>
  <w:style w:type="character" w:styleId="1223" w:customStyle="1">
    <w:name w:val="grid"/>
    <w:uiPriority w:val="0"/>
    <w:qFormat/>
  </w:style>
  <w:style w:type="character" w:styleId="1224" w:customStyle="1">
    <w:name w:val="bds_more7"/>
    <w:uiPriority w:val="0"/>
    <w:qFormat/>
  </w:style>
  <w:style w:type="character" w:styleId="1225" w:customStyle="1">
    <w:name w:val="bds_more8"/>
    <w:uiPriority w:val="0"/>
    <w:qFormat/>
    <w:rPr>
      <w:rFonts w:hint="eastAsia" w:ascii="宋体" w:hAnsi="宋体" w:eastAsia="宋体" w:cs="宋体"/>
    </w:rPr>
  </w:style>
  <w:style w:type="character" w:styleId="1226" w:customStyle="1">
    <w:name w:val="bds_more4"/>
    <w:uiPriority w:val="0"/>
    <w:qFormat/>
    <w:rPr>
      <w:rFonts w:hint="eastAsia" w:ascii="宋体" w:hAnsi="宋体" w:eastAsia="宋体" w:cs="宋体"/>
    </w:rPr>
  </w:style>
  <w:style w:type="character" w:styleId="1227" w:customStyle="1">
    <w:name w:val="bds_nopic1"/>
    <w:uiPriority w:val="0"/>
    <w:qFormat/>
  </w:style>
  <w:style w:type="character" w:styleId="1228" w:customStyle="1">
    <w:name w:val="hilite6"/>
    <w:uiPriority w:val="0"/>
    <w:qFormat/>
    <w:rPr>
      <w:color w:val="ffffff"/>
      <w:shd w:val="clear" w:color="auto" w:fill="776666"/>
    </w:rPr>
  </w:style>
  <w:style w:type="character" w:styleId="1229" w:customStyle="1">
    <w:name w:val="正文缩进2格 Char Char"/>
    <w:link w:val="1230"/>
    <w:uiPriority w:val="0"/>
    <w:qFormat/>
    <w:rPr>
      <w:rFonts w:ascii="仿宋_GB2312" w:hAnsi="宋体" w:eastAsia="仿宋_GB2312"/>
      <w:sz w:val="31"/>
      <w:szCs w:val="28"/>
    </w:rPr>
  </w:style>
  <w:style w:type="paragraph" w:styleId="1230" w:customStyle="1">
    <w:name w:val="正文缩进2格"/>
    <w:basedOn w:val="948"/>
    <w:link w:val="1229"/>
    <w:uiPriority w:val="0"/>
    <w:qFormat/>
    <w:pPr>
      <w:ind w:firstLine="639"/>
      <w:spacing w:line="600" w:lineRule="exact"/>
    </w:pPr>
    <w:rPr>
      <w:rFonts w:ascii="仿宋_GB2312" w:hAnsi="宋体" w:eastAsia="仿宋_GB2312"/>
      <w:sz w:val="31"/>
      <w:szCs w:val="28"/>
    </w:rPr>
  </w:style>
  <w:style w:type="character" w:styleId="1231" w:customStyle="1">
    <w:name w:val="grid2"/>
    <w:uiPriority w:val="0"/>
    <w:qFormat/>
  </w:style>
  <w:style w:type="character" w:styleId="1232" w:customStyle="1">
    <w:name w:val="other"/>
    <w:uiPriority w:val="0"/>
    <w:qFormat/>
  </w:style>
  <w:style w:type="character" w:styleId="1233" w:customStyle="1">
    <w:name w:val="font01"/>
    <w:uiPriority w:val="0"/>
    <w:qFormat/>
    <w:rPr>
      <w:rFonts w:hint="eastAsia" w:ascii="宋体" w:hAnsi="宋体" w:eastAsia="宋体" w:cs="宋体"/>
      <w:b/>
      <w:color w:val="000000"/>
      <w:sz w:val="20"/>
      <w:szCs w:val="20"/>
      <w:u w:val="none"/>
    </w:rPr>
  </w:style>
  <w:style w:type="character" w:styleId="1234" w:customStyle="1">
    <w:name w:val="noused"/>
    <w:uiPriority w:val="0"/>
    <w:qFormat/>
    <w:rPr>
      <w:b/>
      <w:color w:val="ffffff"/>
      <w:sz w:val="21"/>
      <w:szCs w:val="21"/>
    </w:rPr>
  </w:style>
  <w:style w:type="character" w:styleId="1235" w:customStyle="1">
    <w:name w:val="active8"/>
    <w:uiPriority w:val="0"/>
    <w:qFormat/>
    <w:rPr>
      <w:color w:val="00ff00"/>
      <w:shd w:val="clear" w:color="auto" w:fill="000000"/>
    </w:rPr>
  </w:style>
  <w:style w:type="character" w:styleId="1236" w:customStyle="1">
    <w:name w:val="font61"/>
    <w:uiPriority w:val="0"/>
    <w:qFormat/>
    <w:rPr>
      <w:rFonts w:hint="eastAsia" w:ascii="宋体" w:hAnsi="宋体" w:eastAsia="宋体" w:cs="宋体"/>
      <w:color w:val="000000"/>
      <w:sz w:val="20"/>
      <w:szCs w:val="20"/>
      <w:u w:val="none"/>
    </w:rPr>
  </w:style>
  <w:style w:type="character" w:styleId="1237" w:customStyle="1">
    <w:name w:val="bds_more5"/>
    <w:uiPriority w:val="0"/>
    <w:qFormat/>
  </w:style>
  <w:style w:type="character" w:styleId="1238" w:customStyle="1">
    <w:name w:val="bds_nopic2"/>
    <w:uiPriority w:val="0"/>
    <w:qFormat/>
  </w:style>
  <w:style w:type="character" w:styleId="1239" w:customStyle="1">
    <w:name w:val="active"/>
    <w:uiPriority w:val="0"/>
    <w:qFormat/>
    <w:rPr>
      <w:color w:val="00ff00"/>
      <w:shd w:val="clear" w:color="auto" w:fill="000000"/>
    </w:rPr>
  </w:style>
  <w:style w:type="character" w:styleId="1240" w:customStyle="1">
    <w:name w:val="列表段落 字符"/>
    <w:link w:val="1073"/>
    <w:uiPriority w:val="0"/>
    <w:qFormat/>
    <w:rPr>
      <w:sz w:val="21"/>
      <w:szCs w:val="24"/>
    </w:rPr>
  </w:style>
  <w:style w:type="character" w:styleId="1241" w:customStyle="1">
    <w:name w:val="font41"/>
    <w:basedOn w:val="958"/>
    <w:uiPriority w:val="0"/>
    <w:qFormat/>
    <w:rPr>
      <w:rFonts w:hint="eastAsia" w:ascii="宋体" w:hAnsi="宋体" w:eastAsia="宋体" w:cs="宋体"/>
      <w:color w:val="000000"/>
      <w:sz w:val="20"/>
      <w:szCs w:val="20"/>
      <w:u w:val="none"/>
    </w:rPr>
  </w:style>
  <w:style w:type="character" w:styleId="1242" w:customStyle="1">
    <w:name w:val="font11"/>
    <w:uiPriority w:val="0"/>
    <w:qFormat/>
    <w:rPr>
      <w:rFonts w:ascii="宋体" w:hAnsi="宋体" w:eastAsia="宋体"/>
      <w:color w:val="000000"/>
      <w:sz w:val="28"/>
      <w:u w:val="none"/>
    </w:rPr>
  </w:style>
  <w:style w:type="character" w:styleId="1243" w:customStyle="1">
    <w:name w:val="font81"/>
    <w:uiPriority w:val="0"/>
    <w:qFormat/>
    <w:rPr>
      <w:rFonts w:ascii="宋体" w:hAnsi="宋体" w:eastAsia="宋体"/>
      <w:b/>
      <w:color w:val="000000"/>
      <w:sz w:val="18"/>
      <w:u w:val="none"/>
    </w:rPr>
  </w:style>
  <w:style w:type="character" w:styleId="1244" w:customStyle="1">
    <w:name w:val="font71"/>
    <w:uiPriority w:val="0"/>
    <w:qFormat/>
    <w:rPr>
      <w:rFonts w:hint="eastAsia" w:ascii="宋体" w:hAnsi="宋体" w:eastAsia="宋体" w:cs="宋体"/>
      <w:color w:val="000000"/>
      <w:sz w:val="20"/>
      <w:szCs w:val="20"/>
      <w:u w:val="none"/>
      <w:vertAlign w:val="superscript"/>
    </w:rPr>
  </w:style>
  <w:style w:type="character" w:styleId="1245" w:customStyle="1">
    <w:name w:val="正文文本缩进 Char1"/>
    <w:uiPriority w:val="0"/>
    <w:qFormat/>
    <w:rPr>
      <w:rFonts w:eastAsia="楷体_GB2312"/>
      <w:sz w:val="26"/>
    </w:rPr>
  </w:style>
  <w:style w:type="character" w:styleId="1246" w:customStyle="1">
    <w:name w:val="font101"/>
    <w:uiPriority w:val="0"/>
    <w:qFormat/>
    <w:rPr>
      <w:rFonts w:hint="eastAsia" w:ascii="微软雅黑" w:hAnsi="微软雅黑" w:eastAsia="微软雅黑" w:cs="微软雅黑"/>
      <w:color w:val="000000"/>
      <w:sz w:val="20"/>
      <w:szCs w:val="20"/>
      <w:u w:val="none"/>
      <w:vertAlign w:val="superscript"/>
    </w:rPr>
  </w:style>
  <w:style w:type="character" w:styleId="1247" w:customStyle="1">
    <w:name w:val="日期 Char1"/>
    <w:uiPriority w:val="0"/>
    <w:qFormat/>
    <w:rPr>
      <w:rFonts w:eastAsia="楷体_GB2312"/>
      <w:sz w:val="26"/>
      <w:szCs w:val="26"/>
    </w:rPr>
  </w:style>
  <w:style w:type="character" w:styleId="1248" w:customStyle="1">
    <w:name w:val="Balloon Text Char"/>
    <w:uiPriority w:val="0"/>
    <w:semiHidden/>
    <w:qFormat/>
    <w:rPr>
      <w:rFonts w:eastAsia="宋体"/>
      <w:sz w:val="18"/>
      <w:lang w:val="en-US" w:eastAsia="zh-CN"/>
    </w:rPr>
  </w:style>
  <w:style w:type="character" w:styleId="1249" w:customStyle="1">
    <w:name w:val="font21"/>
    <w:basedOn w:val="958"/>
    <w:uiPriority w:val="0"/>
    <w:qFormat/>
    <w:rPr>
      <w:rFonts w:hint="eastAsia" w:ascii="宋体" w:hAnsi="宋体" w:eastAsia="宋体" w:cs="宋体"/>
      <w:b/>
      <w:color w:val="000000"/>
      <w:sz w:val="20"/>
      <w:szCs w:val="20"/>
      <w:u w:val="none"/>
    </w:rPr>
  </w:style>
  <w:style w:type="character" w:styleId="1250" w:customStyle="1">
    <w:name w:val="font31"/>
    <w:uiPriority w:val="0"/>
    <w:qFormat/>
    <w:rPr>
      <w:rFonts w:ascii="宋体" w:hAnsi="宋体" w:eastAsia="宋体"/>
      <w:color w:val="000000"/>
      <w:sz w:val="20"/>
      <w:u w:val="none"/>
    </w:rPr>
  </w:style>
  <w:style w:type="character" w:styleId="1251" w:customStyle="1">
    <w:name w:val="Body Text Indent Char"/>
    <w:uiPriority w:val="0"/>
    <w:qFormat/>
    <w:rPr>
      <w:rFonts w:ascii="方正仿宋简体" w:hAnsi="创艺简仿宋" w:eastAsia="方正仿宋简体"/>
      <w:sz w:val="24"/>
    </w:rPr>
  </w:style>
  <w:style w:type="character" w:styleId="1252" w:customStyle="1">
    <w:name w:val="Header Char1"/>
    <w:uiPriority w:val="0"/>
    <w:qFormat/>
    <w:rPr>
      <w:rFonts w:eastAsia="楷体_GB2312"/>
      <w:sz w:val="18"/>
    </w:rPr>
  </w:style>
  <w:style w:type="character" w:styleId="1253" w:customStyle="1">
    <w:name w:val="Header Char"/>
    <w:link w:val="1081"/>
    <w:uiPriority w:val="0"/>
    <w:qFormat/>
    <w:rPr>
      <w:sz w:val="18"/>
    </w:rPr>
  </w:style>
  <w:style w:type="character" w:styleId="1254" w:customStyle="1">
    <w:name w:val="正文文本缩进 Char2"/>
    <w:uiPriority w:val="0"/>
    <w:qFormat/>
    <w:rPr>
      <w:rFonts w:eastAsia="楷体_GB2312"/>
      <w:sz w:val="26"/>
      <w:szCs w:val="26"/>
    </w:rPr>
  </w:style>
  <w:style w:type="character" w:styleId="1255" w:customStyle="1">
    <w:name w:val="NormalCharacter1"/>
    <w:uiPriority w:val="0"/>
    <w:qFormat/>
  </w:style>
  <w:style w:type="paragraph" w:styleId="1256" w:customStyle="1">
    <w:name w:val="列出段落1"/>
    <w:basedOn w:val="948"/>
    <w:uiPriority w:val="0"/>
    <w:qFormat/>
    <w:pPr>
      <w:ind w:firstLine="420"/>
    </w:pPr>
    <w:rPr>
      <w:rFonts w:ascii="Calibri" w:hAnsi="Calibri" w:eastAsia="宋体" w:cs="黑体"/>
      <w:szCs w:val="22"/>
    </w:rPr>
  </w:style>
  <w:style w:type="paragraph" w:styleId="1257" w:customStyle="1">
    <w:name w:val="p0"/>
    <w:basedOn w:val="948"/>
    <w:uiPriority w:val="0"/>
    <w:qFormat/>
    <w:pPr>
      <w:widowControl/>
    </w:pPr>
    <w:rPr>
      <w:rFonts w:eastAsia="宋体"/>
      <w:sz w:val="21"/>
      <w:szCs w:val="21"/>
    </w:rPr>
  </w:style>
  <w:style w:type="paragraph" w:styleId="1258" w:customStyle="1">
    <w:name w:val="纯文本1"/>
    <w:basedOn w:val="948"/>
    <w:uiPriority w:val="0"/>
    <w:qFormat/>
    <w:rPr>
      <w:rFonts w:ascii="宋体" w:hAnsi="Courier New"/>
      <w:sz w:val="28"/>
    </w:rPr>
  </w:style>
  <w:style w:type="paragraph" w:styleId="1259" w:customStyle="1">
    <w:name w:val="Char Char1 Char Char Char Char"/>
    <w:basedOn w:val="965"/>
    <w:uiPriority w:val="0"/>
    <w:qFormat/>
    <w:pPr>
      <w:spacing w:line="360" w:lineRule="auto"/>
    </w:pPr>
    <w:rPr>
      <w:rFonts w:ascii="Tahoma" w:hAnsi="Tahoma" w:eastAsia="宋体"/>
      <w:sz w:val="24"/>
      <w:szCs w:val="24"/>
    </w:rPr>
  </w:style>
  <w:style w:type="paragraph" w:styleId="1260" w:customStyle="1">
    <w:name w:val="Char Char1 Char Char Char Char Char Char Char"/>
    <w:basedOn w:val="948"/>
    <w:uiPriority w:val="0"/>
    <w:qFormat/>
    <w:rPr>
      <w:rFonts w:ascii="Tahoma" w:hAnsi="Tahoma"/>
      <w:sz w:val="24"/>
    </w:rPr>
  </w:style>
  <w:style w:type="paragraph" w:styleId="1261" w:customStyle="1">
    <w:name w:val="Char"/>
    <w:basedOn w:val="948"/>
    <w:uiPriority w:val="0"/>
    <w:qFormat/>
    <w:pPr>
      <w:jc w:val="left"/>
      <w:spacing w:after="160" w:line="240" w:lineRule="exact"/>
      <w:widowControl/>
    </w:pPr>
    <w:rPr>
      <w:rFonts w:ascii="Verdana" w:hAnsi="Verdana" w:eastAsia="宋体"/>
      <w:sz w:val="21"/>
      <w:lang w:eastAsia="en-US"/>
    </w:rPr>
  </w:style>
  <w:style w:type="paragraph" w:styleId="1262" w:customStyle="1">
    <w:name w:val="Char1"/>
    <w:basedOn w:val="948"/>
    <w:uiPriority w:val="0"/>
    <w:qFormat/>
    <w:rPr>
      <w:rFonts w:ascii="Tahoma" w:hAnsi="Tahoma" w:eastAsia="宋体"/>
      <w:sz w:val="24"/>
    </w:rPr>
  </w:style>
  <w:style w:type="paragraph" w:styleId="1263" w:customStyle="1">
    <w:name w:val="图"/>
    <w:basedOn w:val="948"/>
    <w:uiPriority w:val="0"/>
    <w:qFormat/>
    <w:pPr>
      <w:jc w:val="center"/>
      <w:keepNext/>
      <w:spacing w:before="60" w:after="60" w:line="300" w:lineRule="auto"/>
    </w:pPr>
    <w:rPr>
      <w:rFonts w:eastAsia="宋体"/>
      <w:spacing w:val="20"/>
      <w:sz w:val="24"/>
    </w:rPr>
  </w:style>
  <w:style w:type="paragraph" w:styleId="1264" w:customStyle="1">
    <w:name w:val="纯文本2"/>
    <w:basedOn w:val="948"/>
    <w:uiPriority w:val="0"/>
    <w:qFormat/>
    <w:rPr>
      <w:rFonts w:ascii="宋体" w:hAnsi="Courier New"/>
    </w:rPr>
  </w:style>
  <w:style w:type="paragraph" w:styleId="1265" w:customStyle="1">
    <w:name w:val="Table Paragraph"/>
    <w:basedOn w:val="948"/>
    <w:uiPriority w:val="1"/>
    <w:qFormat/>
    <w:rPr>
      <w:rFonts w:ascii="仿宋" w:hAnsi="仿宋" w:eastAsia="仿宋" w:cs="仿宋"/>
      <w:sz w:val="21"/>
      <w:szCs w:val="22"/>
      <w:lang w:val="zh-CN" w:bidi="zh-CN"/>
    </w:rPr>
  </w:style>
  <w:style w:type="paragraph" w:styleId="1266" w:customStyle="1">
    <w:name w:val="xl107"/>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7" w:customStyle="1">
    <w:name w:val="font10"/>
    <w:basedOn w:val="948"/>
    <w:uiPriority w:val="0"/>
    <w:qFormat/>
    <w:pPr>
      <w:jc w:val="left"/>
      <w:spacing w:before="100" w:beforeAutospacing="1" w:after="100" w:afterAutospacing="1"/>
      <w:widowControl/>
    </w:pPr>
    <w:rPr>
      <w:rFonts w:ascii="宋体" w:hAnsi="宋体" w:eastAsia="宋体" w:cs="宋体"/>
      <w:sz w:val="18"/>
      <w:szCs w:val="18"/>
    </w:rPr>
  </w:style>
  <w:style w:type="paragraph" w:styleId="1268" w:customStyle="1">
    <w:name w:val="xl108"/>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9" w:customStyle="1">
    <w:name w:val="xl127"/>
    <w:basedOn w:val="9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0" w:customStyle="1">
    <w:name w:val="xl124"/>
    <w:basedOn w:val="9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1" w:customStyle="1">
    <w:name w:val="font7"/>
    <w:basedOn w:val="948"/>
    <w:uiPriority w:val="0"/>
    <w:qFormat/>
    <w:pPr>
      <w:jc w:val="left"/>
      <w:spacing w:before="100" w:beforeAutospacing="1" w:after="100" w:afterAutospacing="1"/>
      <w:widowControl/>
    </w:pPr>
    <w:rPr>
      <w:rFonts w:ascii="宋体" w:hAnsi="宋体" w:eastAsia="宋体" w:cs="宋体"/>
      <w:sz w:val="18"/>
      <w:szCs w:val="18"/>
    </w:rPr>
  </w:style>
  <w:style w:type="paragraph" w:styleId="1272" w:customStyle="1">
    <w:name w:val="xl162"/>
    <w:basedOn w:val="9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73" w:customStyle="1">
    <w:name w:val="xl123"/>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4" w:customStyle="1">
    <w:name w:val="xl113"/>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75" w:customStyle="1">
    <w:name w:val="font12"/>
    <w:basedOn w:val="948"/>
    <w:uiPriority w:val="0"/>
    <w:qFormat/>
    <w:pPr>
      <w:jc w:val="left"/>
      <w:spacing w:before="100" w:beforeAutospacing="1" w:after="100" w:afterAutospacing="1"/>
      <w:widowControl/>
    </w:pPr>
    <w:rPr>
      <w:rFonts w:ascii="宋体" w:hAnsi="宋体" w:eastAsia="宋体" w:cs="宋体"/>
      <w:sz w:val="18"/>
      <w:szCs w:val="18"/>
    </w:rPr>
  </w:style>
  <w:style w:type="paragraph" w:styleId="1276" w:customStyle="1">
    <w:name w:val="xl145"/>
    <w:basedOn w:val="9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77" w:customStyle="1">
    <w:name w:val="font22"/>
    <w:basedOn w:val="948"/>
    <w:uiPriority w:val="0"/>
    <w:qFormat/>
    <w:pPr>
      <w:jc w:val="left"/>
      <w:spacing w:before="100" w:beforeAutospacing="1" w:after="100" w:afterAutospacing="1"/>
      <w:widowControl/>
    </w:pPr>
    <w:rPr>
      <w:rFonts w:ascii="宋体" w:hAnsi="宋体" w:eastAsia="宋体" w:cs="宋体"/>
      <w:sz w:val="18"/>
      <w:szCs w:val="18"/>
    </w:rPr>
  </w:style>
  <w:style w:type="paragraph" w:styleId="1278" w:customStyle="1">
    <w:name w:val="xl157"/>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79" w:customStyle="1">
    <w:name w:val="xl156"/>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80" w:customStyle="1">
    <w:name w:val="xl111"/>
    <w:basedOn w:val="9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1" w:customStyle="1">
    <w:name w:val="xl143"/>
    <w:basedOn w:val="9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2" w:customStyle="1">
    <w:name w:val="xl128"/>
    <w:basedOn w:val="9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3" w:customStyle="1">
    <w:name w:val="xl138"/>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4" w:customStyle="1">
    <w:name w:val="xl152"/>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5" w:customStyle="1">
    <w:name w:val="xl117"/>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6" w:customStyle="1">
    <w:name w:val="xl149"/>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7" w:customStyle="1">
    <w:name w:val="xl154"/>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8" w:customStyle="1">
    <w:name w:val="xl146"/>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9" w:customStyle="1">
    <w:name w:val="xl122"/>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0" w:customStyle="1">
    <w:name w:val="font8"/>
    <w:basedOn w:val="948"/>
    <w:uiPriority w:val="0"/>
    <w:qFormat/>
    <w:pPr>
      <w:jc w:val="left"/>
      <w:spacing w:before="100" w:beforeAutospacing="1" w:after="100" w:afterAutospacing="1"/>
      <w:widowControl/>
    </w:pPr>
    <w:rPr>
      <w:rFonts w:ascii="宋体" w:hAnsi="宋体" w:eastAsia="宋体" w:cs="宋体"/>
      <w:sz w:val="18"/>
      <w:szCs w:val="18"/>
    </w:rPr>
  </w:style>
  <w:style w:type="paragraph" w:styleId="1291" w:customStyle="1">
    <w:name w:val="xl142"/>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2" w:customStyle="1">
    <w:name w:val="xl125"/>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3" w:customStyle="1">
    <w:name w:val="font6"/>
    <w:basedOn w:val="948"/>
    <w:uiPriority w:val="0"/>
    <w:qFormat/>
    <w:pPr>
      <w:jc w:val="left"/>
      <w:spacing w:before="100" w:beforeAutospacing="1" w:after="100" w:afterAutospacing="1"/>
      <w:widowControl/>
    </w:pPr>
    <w:rPr>
      <w:rFonts w:ascii="宋体" w:hAnsi="宋体" w:eastAsia="宋体" w:cs="宋体"/>
      <w:sz w:val="18"/>
      <w:szCs w:val="18"/>
    </w:rPr>
  </w:style>
  <w:style w:type="paragraph" w:styleId="1294" w:customStyle="1">
    <w:name w:val="xl126"/>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5" w:customStyle="1">
    <w:name w:val="xl105"/>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6" w:customStyle="1">
    <w:name w:val="xl109"/>
    <w:basedOn w:val="9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7" w:customStyle="1">
    <w:name w:val="xl136"/>
    <w:basedOn w:val="9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8" w:customStyle="1">
    <w:name w:val="xl101"/>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99" w:customStyle="1">
    <w:name w:val="列出段落11"/>
    <w:basedOn w:val="948"/>
    <w:uiPriority w:val="34"/>
    <w:qFormat/>
    <w:pPr>
      <w:ind w:firstLine="420"/>
    </w:pPr>
    <w:rPr>
      <w:rFonts w:ascii="Calibri" w:hAnsi="Calibri" w:eastAsia="宋体"/>
      <w:szCs w:val="26"/>
    </w:rPr>
  </w:style>
  <w:style w:type="paragraph" w:styleId="1300" w:customStyle="1">
    <w:name w:val="font15"/>
    <w:basedOn w:val="948"/>
    <w:uiPriority w:val="0"/>
    <w:qFormat/>
    <w:pPr>
      <w:jc w:val="left"/>
      <w:spacing w:before="100" w:beforeAutospacing="1" w:after="100" w:afterAutospacing="1"/>
      <w:widowControl/>
    </w:pPr>
    <w:rPr>
      <w:rFonts w:ascii="宋体" w:hAnsi="宋体" w:eastAsia="宋体" w:cs="宋体"/>
      <w:sz w:val="18"/>
      <w:szCs w:val="18"/>
    </w:rPr>
  </w:style>
  <w:style w:type="paragraph" w:styleId="1301" w:customStyle="1">
    <w:name w:val="xl161"/>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302" w:customStyle="1">
    <w:name w:val="xl141"/>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3" w:customStyle="1">
    <w:name w:val="xl118"/>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04" w:customStyle="1">
    <w:name w:val="xl153"/>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05" w:customStyle="1">
    <w:name w:val="xl133"/>
    <w:basedOn w:val="9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6" w:customStyle="1">
    <w:name w:val="font17"/>
    <w:basedOn w:val="948"/>
    <w:uiPriority w:val="0"/>
    <w:qFormat/>
    <w:pPr>
      <w:jc w:val="left"/>
      <w:spacing w:before="100" w:beforeAutospacing="1" w:after="100" w:afterAutospacing="1"/>
      <w:widowControl/>
    </w:pPr>
    <w:rPr>
      <w:rFonts w:ascii="宋体" w:hAnsi="宋体" w:eastAsia="宋体" w:cs="宋体"/>
      <w:sz w:val="18"/>
      <w:szCs w:val="18"/>
    </w:rPr>
  </w:style>
  <w:style w:type="paragraph" w:styleId="1307" w:customStyle="1">
    <w:name w:val="xl140"/>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8" w:customStyle="1">
    <w:name w:val="xl159"/>
    <w:basedOn w:val="9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9" w:customStyle="1">
    <w:name w:val="xl103"/>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10" w:customStyle="1">
    <w:name w:val="xl120"/>
    <w:basedOn w:val="9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1" w:customStyle="1">
    <w:name w:val="xl148"/>
    <w:basedOn w:val="9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2" w:customStyle="1">
    <w:name w:val="xl150"/>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13" w:customStyle="1">
    <w:name w:val="xl110"/>
    <w:basedOn w:val="9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14" w:customStyle="1">
    <w:name w:val="正文1"/>
    <w:uiPriority w:val="0"/>
    <w:qFormat/>
    <w:pPr>
      <w:ind w:firstLine="200"/>
      <w:jc w:val="both"/>
      <w:spacing w:line="240" w:lineRule="atLeast"/>
    </w:pPr>
    <w:rPr>
      <w:rFonts w:ascii="Times New Roman" w:hAnsi="Times New Roman" w:eastAsia="宋体" w:cs="Times New Roman"/>
      <w:sz w:val="21"/>
      <w:szCs w:val="21"/>
      <w:lang w:val="en-US" w:eastAsia="zh-CN" w:bidi="ar-SA"/>
    </w:rPr>
  </w:style>
  <w:style w:type="paragraph" w:styleId="1315" w:customStyle="1">
    <w:name w:val="xl132"/>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16" w:customStyle="1">
    <w:name w:val="font16"/>
    <w:basedOn w:val="948"/>
    <w:uiPriority w:val="0"/>
    <w:qFormat/>
    <w:pPr>
      <w:jc w:val="left"/>
      <w:spacing w:before="100" w:beforeAutospacing="1" w:after="100" w:afterAutospacing="1"/>
      <w:widowControl/>
    </w:pPr>
    <w:rPr>
      <w:rFonts w:ascii="宋体" w:hAnsi="宋体" w:eastAsia="宋体" w:cs="宋体"/>
      <w:sz w:val="18"/>
      <w:szCs w:val="18"/>
    </w:rPr>
  </w:style>
  <w:style w:type="paragraph" w:styleId="1317" w:customStyle="1">
    <w:name w:val="Normal_20"/>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318" w:customStyle="1">
    <w:name w:val="xl114"/>
    <w:basedOn w:val="9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19" w:customStyle="1">
    <w:name w:val="xl131"/>
    <w:basedOn w:val="9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0" w:customStyle="1">
    <w:name w:val="_Style 7"/>
    <w:basedOn w:val="948"/>
    <w:uiPriority w:val="0"/>
    <w:qFormat/>
    <w:pPr>
      <w:ind w:firstLine="420"/>
    </w:pPr>
    <w:rPr>
      <w:rFonts w:eastAsia="宋体"/>
      <w:szCs w:val="26"/>
    </w:rPr>
  </w:style>
  <w:style w:type="paragraph" w:styleId="1321" w:customStyle="1">
    <w:name w:val="xl106"/>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2" w:customStyle="1">
    <w:name w:val="xl137"/>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3" w:customStyle="1">
    <w:name w:val="font14"/>
    <w:basedOn w:val="948"/>
    <w:uiPriority w:val="0"/>
    <w:qFormat/>
    <w:pPr>
      <w:jc w:val="left"/>
      <w:spacing w:before="100" w:beforeAutospacing="1" w:after="100" w:afterAutospacing="1"/>
      <w:widowControl/>
    </w:pPr>
    <w:rPr>
      <w:rFonts w:ascii="宋体" w:hAnsi="宋体" w:eastAsia="宋体" w:cs="宋体"/>
      <w:sz w:val="18"/>
      <w:szCs w:val="18"/>
    </w:rPr>
  </w:style>
  <w:style w:type="paragraph" w:styleId="1324" w:customStyle="1">
    <w:name w:val="xl100"/>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325" w:customStyle="1">
    <w:name w:val="xl99"/>
    <w:basedOn w:val="948"/>
    <w:uiPriority w:val="0"/>
    <w:qFormat/>
    <w:pPr>
      <w:jc w:val="center"/>
      <w:spacing w:before="100" w:beforeAutospacing="1" w:after="100" w:afterAutospacing="1"/>
      <w:widowControl/>
    </w:pPr>
    <w:rPr>
      <w:rFonts w:ascii="Courier New" w:hAnsi="Courier New" w:eastAsia="宋体" w:cs="Courier New"/>
      <w:color w:val="000000"/>
      <w:sz w:val="20"/>
    </w:rPr>
  </w:style>
  <w:style w:type="paragraph" w:styleId="1326" w:customStyle="1">
    <w:name w:val="xl151"/>
    <w:basedOn w:val="9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7" w:customStyle="1">
    <w:name w:val="_Style 26"/>
    <w:next w:val="948"/>
    <w:uiPriority w:val="99"/>
    <w:qFormat/>
    <w:pPr>
      <w:jc w:val="both"/>
      <w:widowControl w:val="off"/>
    </w:pPr>
    <w:rPr>
      <w:rFonts w:ascii="Times New Roman" w:hAnsi="Times New Roman" w:eastAsia="楷体_GB2312" w:cs="Times New Roman"/>
      <w:sz w:val="26"/>
      <w:szCs w:val="26"/>
      <w:lang w:val="en-US" w:eastAsia="zh-CN" w:bidi="ar-SA"/>
    </w:rPr>
  </w:style>
  <w:style w:type="paragraph" w:styleId="1328" w:customStyle="1">
    <w:name w:val="样式 标题 1 + 宋体 段前: 0 磅 段后: 0 磅 行距: 单倍行距"/>
    <w:basedOn w:val="949"/>
    <w:next w:val="948"/>
    <w:uiPriority w:val="0"/>
    <w:qFormat/>
    <w:pPr>
      <w:jc w:val="center"/>
      <w:spacing w:line="240" w:lineRule="auto"/>
    </w:pPr>
    <w:rPr>
      <w:rFonts w:ascii="仿宋_GB2312" w:hAnsi="宋体" w:eastAsia="仿宋_GB2312" w:cs="宋体"/>
      <w:bCs/>
      <w:szCs w:val="44"/>
    </w:rPr>
  </w:style>
  <w:style w:type="paragraph" w:styleId="1329" w:customStyle="1">
    <w:name w:val="font9"/>
    <w:basedOn w:val="948"/>
    <w:uiPriority w:val="0"/>
    <w:qFormat/>
    <w:pPr>
      <w:jc w:val="left"/>
      <w:spacing w:before="100" w:beforeAutospacing="1" w:after="100" w:afterAutospacing="1"/>
      <w:widowControl/>
    </w:pPr>
    <w:rPr>
      <w:rFonts w:ascii="宋体" w:hAnsi="宋体" w:eastAsia="宋体" w:cs="宋体"/>
      <w:sz w:val="18"/>
      <w:szCs w:val="18"/>
    </w:rPr>
  </w:style>
  <w:style w:type="paragraph" w:styleId="1330" w:customStyle="1">
    <w:name w:val="font20"/>
    <w:basedOn w:val="948"/>
    <w:uiPriority w:val="0"/>
    <w:qFormat/>
    <w:pPr>
      <w:jc w:val="left"/>
      <w:spacing w:before="100" w:beforeAutospacing="1" w:after="100" w:afterAutospacing="1"/>
      <w:widowControl/>
    </w:pPr>
    <w:rPr>
      <w:rFonts w:ascii="Courier New" w:hAnsi="Courier New" w:eastAsia="宋体" w:cs="Courier New"/>
      <w:color w:val="000000"/>
      <w:sz w:val="20"/>
    </w:rPr>
  </w:style>
  <w:style w:type="paragraph" w:styleId="1331" w:customStyle="1">
    <w:name w:val="font13"/>
    <w:basedOn w:val="948"/>
    <w:uiPriority w:val="0"/>
    <w:qFormat/>
    <w:pPr>
      <w:jc w:val="left"/>
      <w:spacing w:before="100" w:beforeAutospacing="1" w:after="100" w:afterAutospacing="1"/>
      <w:widowControl/>
    </w:pPr>
    <w:rPr>
      <w:rFonts w:ascii="宋体" w:hAnsi="宋体" w:eastAsia="宋体" w:cs="宋体"/>
      <w:sz w:val="18"/>
      <w:szCs w:val="18"/>
    </w:rPr>
  </w:style>
  <w:style w:type="paragraph" w:styleId="1332" w:customStyle="1">
    <w:name w:val="xl102"/>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33" w:customStyle="1">
    <w:name w:val="xl116"/>
    <w:basedOn w:val="9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34" w:customStyle="1">
    <w:name w:val="xl134"/>
    <w:basedOn w:val="9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5" w:customStyle="1">
    <w:name w:val="font18"/>
    <w:basedOn w:val="948"/>
    <w:uiPriority w:val="0"/>
    <w:qFormat/>
    <w:pPr>
      <w:jc w:val="left"/>
      <w:spacing w:before="100" w:beforeAutospacing="1" w:after="100" w:afterAutospacing="1"/>
      <w:widowControl/>
    </w:pPr>
    <w:rPr>
      <w:rFonts w:ascii="宋体" w:hAnsi="宋体" w:eastAsia="宋体" w:cs="宋体"/>
      <w:sz w:val="18"/>
      <w:szCs w:val="18"/>
    </w:rPr>
  </w:style>
  <w:style w:type="paragraph" w:styleId="1336" w:customStyle="1">
    <w:name w:val="xl121"/>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7" w:customStyle="1">
    <w:name w:val="xl158"/>
    <w:basedOn w:val="948"/>
    <w:uiPriority w:val="0"/>
    <w:qFormat/>
    <w:pPr>
      <w:jc w:val="left"/>
      <w:spacing w:before="100" w:beforeAutospacing="1" w:after="100" w:afterAutospacing="1"/>
      <w:widowControl/>
    </w:pPr>
    <w:rPr>
      <w:rFonts w:ascii="Courier New" w:hAnsi="Courier New" w:eastAsia="宋体" w:cs="Courier New"/>
      <w:color w:val="000000"/>
      <w:sz w:val="20"/>
    </w:rPr>
  </w:style>
  <w:style w:type="paragraph" w:styleId="1338" w:customStyle="1">
    <w:name w:val="xl119"/>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9" w:customStyle="1">
    <w:name w:val="xl135"/>
    <w:basedOn w:val="9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0" w:customStyle="1">
    <w:name w:val="font5"/>
    <w:basedOn w:val="948"/>
    <w:uiPriority w:val="0"/>
    <w:qFormat/>
    <w:pPr>
      <w:jc w:val="left"/>
      <w:spacing w:before="100" w:beforeAutospacing="1" w:after="100" w:afterAutospacing="1"/>
      <w:widowControl/>
    </w:pPr>
    <w:rPr>
      <w:rFonts w:ascii="宋体" w:hAnsi="宋体" w:eastAsia="宋体" w:cs="宋体"/>
      <w:sz w:val="18"/>
      <w:szCs w:val="18"/>
    </w:rPr>
  </w:style>
  <w:style w:type="paragraph" w:styleId="1341" w:customStyle="1">
    <w:name w:val="xl155"/>
    <w:basedOn w:val="9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2" w:customStyle="1">
    <w:name w:val="font19"/>
    <w:basedOn w:val="948"/>
    <w:uiPriority w:val="0"/>
    <w:qFormat/>
    <w:pPr>
      <w:jc w:val="left"/>
      <w:spacing w:before="100" w:beforeAutospacing="1" w:after="100" w:afterAutospacing="1"/>
      <w:widowControl/>
    </w:pPr>
    <w:rPr>
      <w:rFonts w:ascii="宋体" w:hAnsi="宋体" w:eastAsia="宋体" w:cs="宋体"/>
      <w:sz w:val="18"/>
      <w:szCs w:val="18"/>
    </w:rPr>
  </w:style>
  <w:style w:type="paragraph" w:styleId="1343" w:customStyle="1">
    <w:name w:val="xl160"/>
    <w:basedOn w:val="9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44" w:customStyle="1">
    <w:name w:val="xl112"/>
    <w:basedOn w:val="9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45" w:customStyle="1">
    <w:name w:val="xl104"/>
    <w:basedOn w:val="9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46" w:customStyle="1">
    <w:name w:val="xl139"/>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47" w:customStyle="1">
    <w:name w:val="xl130"/>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8" w:customStyle="1">
    <w:name w:val="xl129"/>
    <w:basedOn w:val="9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9" w:customStyle="1">
    <w:name w:val="xl115"/>
    <w:basedOn w:val="9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0" w:customStyle="1">
    <w:name w:val="xl147"/>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1" w:customStyle="1">
    <w:name w:val="xl144"/>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352" w:customStyle="1">
    <w:name w:val="网格型1"/>
    <w:basedOn w:val="959"/>
    <w:uiPriority w:val="0"/>
    <w:qFormat/>
    <w:pPr>
      <w:jc w:val="both"/>
      <w:widowControl w:val="off"/>
    </w:pPr>
    <w:tblPr/>
  </w:style>
  <w:style w:type="character" w:styleId="1353" w:customStyle="1">
    <w:name w:val="纯文本 字符"/>
    <w:uiPriority w:val="0"/>
    <w:qFormat/>
    <w:rPr>
      <w:rFonts w:ascii="宋体" w:hAnsi="Courier New" w:eastAsia="楷体_GB2312"/>
      <w:sz w:val="26"/>
      <w:lang w:val="en-US" w:eastAsia="zh-CN" w:bidi="ar-SA"/>
    </w:rPr>
  </w:style>
  <w:style w:type="paragraph" w:styleId="1354" w:customStyle="1">
    <w:name w:val="_Style 225"/>
    <w:uiPriority w:val="0"/>
    <w:qFormat/>
    <w:pPr>
      <w:ind w:firstLine="420"/>
      <w:jc w:val="both"/>
      <w:spacing w:after="120"/>
      <w:widowControl w:val="off"/>
    </w:pPr>
    <w:rPr>
      <w:rFonts w:ascii="Times New Roman" w:hAnsi="Times New Roman" w:eastAsia="楷体_GB2312" w:cs="Times New Roman"/>
      <w:sz w:val="26"/>
      <w:lang w:val="en-US" w:eastAsia="zh-CN" w:bidi="ar-SA"/>
    </w:rPr>
  </w:style>
  <w:style w:type="character" w:styleId="1355" w:customStyle="1">
    <w:name w:val="正文文本 字符"/>
    <w:uiPriority w:val="0"/>
    <w:qFormat/>
    <w:rPr>
      <w:rFonts w:ascii="楷体_GB2312" w:eastAsia="楷体_GB2312"/>
      <w:sz w:val="28"/>
    </w:rPr>
  </w:style>
  <w:style w:type="character" w:styleId="1356" w:customStyle="1">
    <w:name w:val="正文文本 字符1"/>
    <w:uiPriority w:val="0"/>
    <w:qFormat/>
    <w:rPr>
      <w:rFonts w:ascii="楷体_GB2312" w:eastAsia="楷体_GB2312"/>
      <w:sz w:val="28"/>
    </w:rPr>
  </w:style>
  <w:style w:type="table" w:styleId="1357"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358" w:customStyle="1">
    <w:name w:val="Table Normal1"/>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359" w:customStyle="1">
    <w:name w:val="Table Normal2"/>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360" w:customStyle="1">
    <w:name w:val="Table Normal3"/>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361" w:customStyle="1">
    <w:name w:val="UserStyle_2"/>
    <w:link w:val="1362"/>
    <w:uiPriority w:val="0"/>
    <w:qFormat/>
    <w:rPr>
      <w:rFonts w:ascii="宋体" w:hAnsi="宋体"/>
      <w:color w:val="000000"/>
      <w:sz w:val="21"/>
    </w:rPr>
  </w:style>
  <w:style w:type="paragraph" w:styleId="1362" w:customStyle="1">
    <w:name w:val="UserStyle_3"/>
    <w:basedOn w:val="948"/>
    <w:link w:val="1361"/>
    <w:uiPriority w:val="0"/>
    <w:qFormat/>
    <w:pPr>
      <w:ind w:firstLine="420"/>
      <w:jc w:val="left"/>
      <w:spacing w:before="40" w:after="160" w:line="288" w:lineRule="auto"/>
      <w:widowControl/>
    </w:pPr>
    <w:rPr>
      <w:rFonts w:ascii="宋体" w:hAnsi="宋体" w:eastAsia="宋体"/>
      <w:color w:val="000000"/>
      <w:sz w:val="21"/>
    </w:rPr>
  </w:style>
  <w:style w:type="character" w:styleId="1363" w:customStyle="1">
    <w:name w:val="font141"/>
    <w:basedOn w:val="958"/>
    <w:uiPriority w:val="0"/>
    <w:qFormat/>
    <w:rPr>
      <w:rFonts w:hint="eastAsia" w:ascii="宋体" w:hAnsi="宋体" w:eastAsia="宋体" w:cs="宋体"/>
      <w:b/>
      <w:bCs/>
      <w:color w:val="ff0000"/>
      <w:sz w:val="18"/>
      <w:szCs w:val="18"/>
      <w:u w:val="none"/>
    </w:rPr>
  </w:style>
  <w:style w:type="character" w:styleId="1364" w:customStyle="1">
    <w:name w:val="标题 1 Char Char"/>
    <w:uiPriority w:val="0"/>
    <w:qFormat/>
    <w:rPr>
      <w:rFonts w:hint="eastAsia" w:ascii="宋体" w:hAnsi="宋体" w:eastAsia="宋体"/>
      <w:b/>
      <w:spacing w:val="-2"/>
      <w:sz w:val="24"/>
      <w:lang w:val="en-US" w:eastAsia="zh-CN"/>
    </w:rPr>
  </w:style>
  <w:style w:type="paragraph" w:styleId="1365" w:customStyle="1">
    <w:name w:val="样式 样式 标题 4 + 非加粗 + (中文) 黑体 段前: 0 磅 段后: 0 磅 行距: 固定值 22 磅"/>
    <w:basedOn w:val="948"/>
    <w:uiPriority w:val="0"/>
    <w:qFormat/>
    <w:pPr>
      <w:keepLines/>
      <w:keepNext/>
      <w:spacing w:before="156" w:after="156" w:line="500" w:lineRule="exact"/>
      <w:outlineLvl w:val="3"/>
    </w:pPr>
    <w:rPr>
      <w:rFonts w:ascii="Arial" w:hAnsi="Arial" w:cs="宋体"/>
      <w:b/>
      <w:bCs/>
      <w:sz w:val="24"/>
    </w:rPr>
  </w:style>
  <w:style w:type="paragraph" w:styleId="1366" w:customStyle="1">
    <w:name w:val="样式 宋体 首行缩进:  0.87 厘米"/>
    <w:basedOn w:val="948"/>
    <w:uiPriority w:val="0"/>
    <w:qFormat/>
    <w:pPr>
      <w:ind w:firstLine="493"/>
      <w:spacing w:line="480" w:lineRule="exact"/>
    </w:pPr>
    <w:rPr>
      <w:rFonts w:ascii="宋体" w:hAnsi="宋体" w:cs="宋体"/>
      <w:spacing w:val="6"/>
      <w:sz w:val="24"/>
    </w:rPr>
  </w:style>
  <w:style w:type="paragraph" w:styleId="1367" w:customStyle="1">
    <w:name w:val="样式 正文（首行缩进两字） + 宋体"/>
    <w:basedOn w:val="960"/>
    <w:uiPriority w:val="0"/>
    <w:qFormat/>
    <w:pPr>
      <w:ind w:firstLine="200"/>
      <w:spacing w:line="460" w:lineRule="exact"/>
    </w:pPr>
    <w:rPr>
      <w:spacing w:val="6"/>
      <w:szCs w:val="24"/>
    </w:rPr>
  </w:style>
  <w:style w:type="paragraph" w:styleId="1368" w:customStyle="1">
    <w:name w:val="样式 正文（首行缩进两字） + 宋体 首行缩进:  0 字符"/>
    <w:basedOn w:val="960"/>
    <w:uiPriority w:val="0"/>
    <w:qFormat/>
    <w:pPr>
      <w:spacing w:line="460" w:lineRule="exact"/>
    </w:pPr>
    <w:rPr>
      <w:rFonts w:cs="宋体"/>
      <w:spacing w:val="6"/>
      <w:szCs w:val="24"/>
    </w:rPr>
  </w:style>
  <w:style w:type="paragraph" w:styleId="1369" w:customStyle="1">
    <w:name w:val="样式 正文（首行缩进两字） + 宋体 左侧:  0 厘米 悬挂缩进: 1.43 字符"/>
    <w:basedOn w:val="960"/>
    <w:uiPriority w:val="0"/>
    <w:qFormat/>
    <w:pPr>
      <w:ind w:left="359" w:hanging="359"/>
      <w:spacing w:line="460" w:lineRule="exact"/>
    </w:pPr>
    <w:rPr>
      <w:rFonts w:cs="宋体"/>
      <w:spacing w:val="6"/>
      <w:szCs w:val="24"/>
    </w:rPr>
  </w:style>
  <w:style w:type="character" w:styleId="1370" w:customStyle="1">
    <w:name w:val="p141"/>
    <w:uiPriority w:val="0"/>
    <w:qFormat/>
    <w:rPr>
      <w:sz w:val="21"/>
      <w:szCs w:val="21"/>
    </w:rPr>
  </w:style>
  <w:style w:type="paragraph" w:styleId="1371" w:customStyle="1">
    <w:name w:val="标题2"/>
    <w:basedOn w:val="950"/>
    <w:uiPriority w:val="0"/>
    <w:qFormat/>
    <w:pPr>
      <w:keepLines w:val="0"/>
      <w:keepNext w:val="0"/>
      <w:spacing w:line="360" w:lineRule="auto"/>
    </w:pPr>
    <w:rPr>
      <w:rFonts w:ascii="Times New Roman" w:hAnsi="Times New Roman" w:eastAsia="宋体"/>
      <w:sz w:val="24"/>
    </w:rPr>
  </w:style>
  <w:style w:type="paragraph" w:styleId="1372" w:customStyle="1">
    <w:name w:val="普通正文"/>
    <w:basedOn w:val="948"/>
    <w:uiPriority w:val="0"/>
    <w:qFormat/>
    <w:pPr>
      <w:ind w:firstLine="480"/>
      <w:jc w:val="left"/>
      <w:spacing w:before="120" w:after="120" w:line="360" w:lineRule="auto"/>
    </w:pPr>
    <w:rPr>
      <w:rFonts w:ascii="Arial" w:hAnsi="Arial" w:eastAsia="宋体"/>
      <w:sz w:val="24"/>
      <w:szCs w:val="24"/>
    </w:rPr>
  </w:style>
  <w:style w:type="paragraph" w:styleId="1373" w:customStyle="1">
    <w:name w:val="正文11"/>
    <w:next w:val="948"/>
    <w:uiPriority w:val="0"/>
    <w:qFormat/>
    <w:pPr>
      <w:jc w:val="both"/>
      <w:widowControl w:val="off"/>
    </w:pPr>
    <w:rPr>
      <w:rFonts w:ascii="Times New Roman" w:hAnsi="Times New Roman" w:eastAsia="宋体" w:cs="Times New Roman"/>
      <w:sz w:val="21"/>
      <w:szCs w:val="24"/>
      <w:lang w:val="en-US" w:eastAsia="zh-CN" w:bidi="ar-SA"/>
    </w:rPr>
  </w:style>
  <w:style w:type="paragraph" w:styleId="1374" w:customStyle="1">
    <w:name w:val="正文缩进1"/>
    <w:basedOn w:val="948"/>
    <w:uiPriority w:val="0"/>
    <w:qFormat/>
    <w:pPr>
      <w:ind w:firstLine="420"/>
      <w:jc w:val="left"/>
      <w:widowControl/>
    </w:pPr>
  </w:style>
  <w:style w:type="paragraph" w:styleId="1375" w:customStyle="1">
    <w:name w:val="*正文"/>
    <w:basedOn w:val="948"/>
    <w:uiPriority w:val="0"/>
    <w:qFormat/>
    <w:pPr>
      <w:ind w:firstLine="200"/>
      <w:spacing w:line="580" w:lineRule="exact"/>
    </w:pPr>
    <w:rPr>
      <w:rFonts w:ascii="宋体" w:hAnsi="宋体" w:eastAsia="仿宋_GB2312"/>
      <w:sz w:val="32"/>
    </w:rPr>
  </w:style>
  <w:style w:type="paragraph" w:styleId="1376" w:customStyle="1">
    <w:name w:val="Table Text"/>
    <w:basedOn w:val="948"/>
    <w:uiPriority w:val="0"/>
    <w:semiHidden/>
    <w:qFormat/>
    <w:rPr>
      <w:rFonts w:ascii="宋体" w:hAnsi="宋体" w:eastAsia="宋体" w:cs="宋体"/>
      <w:sz w:val="19"/>
      <w:szCs w:val="19"/>
      <w:lang w:eastAsia="en-US"/>
    </w:rPr>
  </w:style>
  <w:style w:type="paragraph" w:styleId="1377" w:customStyle="1">
    <w:name w:val="段"/>
    <w:uiPriority w:val="0"/>
    <w:qFormat/>
    <w:pPr>
      <w:ind w:firstLine="200"/>
      <w:jc w:val="both"/>
    </w:pPr>
    <w:rPr>
      <w:rFonts w:ascii="宋体" w:hAnsi="Times New Roman" w:eastAsia="宋体" w:cs="宋体"/>
      <w:sz w:val="21"/>
      <w:szCs w:val="21"/>
      <w:lang w:val="en-US" w:eastAsia="zh-CN" w:bidi="ar-SA"/>
    </w:rPr>
  </w:style>
  <w:style w:type="paragraph" w:styleId="1378" w:customStyle="1">
    <w:name w:val="首行缩进"/>
    <w:basedOn w:val="948"/>
    <w:uiPriority w:val="0"/>
    <w:qFormat/>
    <w:pPr>
      <w:ind w:firstLine="480"/>
    </w:pPr>
    <w:rPr>
      <w:lang w:val="zh-CN"/>
    </w:rPr>
  </w:style>
  <w:style w:type="paragraph" w:styleId="1379" w:customStyle="1">
    <w:name w:val="正文文本12"/>
    <w:basedOn w:val="948"/>
    <w:next w:val="948"/>
    <w:uiPriority w:val="0"/>
    <w:qFormat/>
    <w:rPr>
      <w:rFonts w:ascii="仿宋_GB2312" w:eastAsia="仿宋_GB2312"/>
      <w:sz w:val="24"/>
    </w:rPr>
  </w:style>
  <w:style w:type="character" w:styleId="1380" w:customStyle="1">
    <w:name w:val="标题 5 字符"/>
    <w:basedOn w:val="958"/>
    <w:link w:val="953"/>
    <w:uiPriority w:val="9"/>
    <w:qFormat/>
    <w:rPr>
      <w:rFonts w:ascii="宋体"/>
      <w:b/>
      <w:spacing w:val="-2"/>
      <w:position w:val="-6"/>
      <w:sz w:val="28"/>
    </w:rPr>
  </w:style>
  <w:style w:type="character" w:styleId="1381" w:customStyle="1">
    <w:name w:val="标题 6 字符"/>
    <w:basedOn w:val="958"/>
    <w:link w:val="954"/>
    <w:uiPriority w:val="9"/>
    <w:qFormat/>
    <w:rPr>
      <w:rFonts w:ascii="Arial" w:hAnsi="Arial" w:eastAsia="黑体"/>
      <w:b/>
      <w:spacing w:val="-2"/>
      <w:position w:val="-6"/>
      <w:sz w:val="24"/>
    </w:rPr>
  </w:style>
  <w:style w:type="character" w:styleId="1382" w:customStyle="1">
    <w:name w:val="标题 7 字符"/>
    <w:basedOn w:val="958"/>
    <w:link w:val="955"/>
    <w:uiPriority w:val="9"/>
    <w:qFormat/>
    <w:rPr>
      <w:rFonts w:ascii="宋体"/>
      <w:b/>
      <w:spacing w:val="-2"/>
      <w:position w:val="-6"/>
      <w:sz w:val="24"/>
    </w:rPr>
  </w:style>
  <w:style w:type="character" w:styleId="1383" w:customStyle="1">
    <w:name w:val="标题 8 字符"/>
    <w:basedOn w:val="958"/>
    <w:link w:val="956"/>
    <w:uiPriority w:val="9"/>
    <w:qFormat/>
    <w:rPr>
      <w:rFonts w:ascii="Arial" w:hAnsi="Arial" w:eastAsia="黑体"/>
      <w:spacing w:val="-2"/>
      <w:position w:val="-6"/>
      <w:sz w:val="24"/>
    </w:rPr>
  </w:style>
  <w:style w:type="character" w:styleId="1384" w:customStyle="1">
    <w:name w:val="标题 9 字符"/>
    <w:basedOn w:val="958"/>
    <w:link w:val="957"/>
    <w:uiPriority w:val="9"/>
    <w:qFormat/>
    <w:rPr>
      <w:rFonts w:ascii="Arial" w:hAnsi="Arial" w:eastAsia="黑体"/>
      <w:spacing w:val="-2"/>
      <w:position w:val="-6"/>
      <w:sz w:val="28"/>
    </w:rPr>
  </w:style>
  <w:style w:type="character" w:styleId="1385" w:customStyle="1">
    <w:name w:val="明显强调1"/>
    <w:basedOn w:val="958"/>
    <w:uiPriority w:val="21"/>
    <w:qFormat/>
    <w:rPr>
      <w:i/>
      <w:iCs/>
      <w:color w:val="376092" w:themeColor="accent1" w:themeShade="BF"/>
    </w:rPr>
  </w:style>
  <w:style w:type="character" w:styleId="1386" w:customStyle="1">
    <w:name w:val="明显参考1"/>
    <w:basedOn w:val="958"/>
    <w:uiPriority w:val="32"/>
    <w:qFormat/>
    <w:rPr>
      <w:b/>
      <w:bCs/>
      <w:smallCaps/>
      <w:color w:val="376092" w:themeColor="accent1" w:themeShade="BF"/>
      <w:spacing w:val="5"/>
    </w:rPr>
  </w:style>
  <w:style w:type="character" w:styleId="1387" w:customStyle="1">
    <w:name w:val="正文文本缩进 3 字符"/>
    <w:basedOn w:val="958"/>
    <w:link w:val="992"/>
    <w:uiPriority w:val="99"/>
    <w:qFormat/>
    <w:rPr>
      <w:sz w:val="24"/>
      <w:szCs w:val="24"/>
    </w:rPr>
  </w:style>
  <w:style w:type="numbering" w:styleId="287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image" Target="media/image1.png"/><Relationship Id="rId27" Type="http://schemas.openxmlformats.org/officeDocument/2006/relationships/image" Target="media/image2.png"/><Relationship Id="rId2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D52B5BA-26EA-4955-BC85-80438EB4663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顾冬梅</cp:lastModifiedBy>
  <cp:revision>90</cp:revision>
  <dcterms:created xsi:type="dcterms:W3CDTF">2026-01-27T09:05:00Z</dcterms:created>
  <dcterms:modified xsi:type="dcterms:W3CDTF">2026-03-25T07:38:12Z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51B727D2D37A4C4980821722F1E29174_13</vt:lpwstr>
  </property>
  <property fmtid="{D5CDD505-2E9C-101B-9397-08002B2CF9AE}" pid="4" name="KSOTemplateDocerSaveRecord">
    <vt:lpwstr>eyJoZGlkIjoiYTVmZTM2Mzg3ODBjYTM2NmNjZWRkMWUwYmIyMDA3MTIiLCJ1c2VySWQiOiI0NTYwNTQ0MTcifQ==</vt:lpwstr>
  </property>
</Properties>
</file>