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B4459">
      <w:pPr>
        <w:pStyle w:val="2"/>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eastAsia" w:hAnsi="宋体" w:eastAsia="宋体" w:cs="宋体"/>
          <w:b/>
          <w:bCs/>
          <w:sz w:val="30"/>
          <w:szCs w:val="30"/>
          <w:lang w:val="en-US" w:eastAsia="zh-CN"/>
        </w:rPr>
      </w:pPr>
      <w:r>
        <w:rPr>
          <w:rFonts w:hint="eastAsia" w:ascii="宋体" w:hAnsi="宋体" w:eastAsia="宋体" w:cs="宋体"/>
          <w:b/>
          <w:bCs/>
          <w:sz w:val="30"/>
          <w:szCs w:val="30"/>
          <w:lang w:eastAsia="zh-CN"/>
        </w:rPr>
        <w:t>徐州市贾汪区老矿片区老旧街区城市更新片区策划项目</w:t>
      </w:r>
      <w:bookmarkStart w:id="0" w:name="_GoBack"/>
      <w:bookmarkEnd w:id="0"/>
    </w:p>
    <w:p w14:paraId="0F1EFDD1">
      <w:pPr>
        <w:pStyle w:val="2"/>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lang w:eastAsia="zh-CN"/>
        </w:rPr>
        <w:t>更正（澄清）</w:t>
      </w:r>
      <w:r>
        <w:rPr>
          <w:rFonts w:hint="eastAsia" w:hAnsi="宋体" w:eastAsia="宋体" w:cs="宋体"/>
          <w:b/>
          <w:bCs/>
          <w:sz w:val="30"/>
          <w:szCs w:val="30"/>
          <w:lang w:val="en-US" w:eastAsia="zh-CN"/>
        </w:rPr>
        <w:t>内容</w:t>
      </w:r>
      <w:r>
        <w:rPr>
          <w:rFonts w:hint="eastAsia" w:hAnsi="宋体" w:eastAsia="宋体" w:cs="宋体"/>
          <w:b/>
          <w:bCs/>
          <w:sz w:val="30"/>
          <w:szCs w:val="30"/>
          <w:lang w:eastAsia="zh-CN"/>
        </w:rPr>
        <w:t>（</w:t>
      </w:r>
      <w:r>
        <w:rPr>
          <w:rFonts w:hint="eastAsia" w:hAnsi="宋体" w:eastAsia="宋体" w:cs="宋体"/>
          <w:b/>
          <w:bCs/>
          <w:sz w:val="30"/>
          <w:szCs w:val="30"/>
          <w:lang w:val="en-US" w:eastAsia="zh-CN"/>
        </w:rPr>
        <w:t>一</w:t>
      </w:r>
      <w:r>
        <w:rPr>
          <w:rFonts w:hint="eastAsia" w:hAnsi="宋体" w:eastAsia="宋体" w:cs="宋体"/>
          <w:b/>
          <w:bCs/>
          <w:sz w:val="30"/>
          <w:szCs w:val="30"/>
          <w:lang w:eastAsia="zh-CN"/>
        </w:rPr>
        <w:t>）</w:t>
      </w:r>
    </w:p>
    <w:p w14:paraId="17EC29F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b/>
          <w:bCs w:val="0"/>
          <w:sz w:val="28"/>
          <w:szCs w:val="28"/>
        </w:rPr>
      </w:pPr>
      <w:r>
        <w:rPr>
          <w:rFonts w:hint="eastAsia" w:ascii="宋体" w:hAnsi="宋体" w:eastAsia="宋体" w:cs="宋体"/>
          <w:b/>
          <w:bCs w:val="0"/>
          <w:sz w:val="28"/>
          <w:szCs w:val="28"/>
        </w:rPr>
        <w:t>一、以下为澄清或者修改的内容</w:t>
      </w:r>
    </w:p>
    <w:p w14:paraId="41CA32EF">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1、原招标公告“七、其他补充事宜”中</w:t>
      </w:r>
    </w:p>
    <w:p w14:paraId="0B660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(六)说明</w:t>
      </w:r>
    </w:p>
    <w:p w14:paraId="0D4BFF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1、本项目接受联合体参与采购活动(联合体家数不超过2家)，采用联合体投标的，须明确联合体牵头人，代表联合体递交响应文件和开标。联合体要求如下:</w:t>
      </w:r>
    </w:p>
    <w:p w14:paraId="5299D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kern w:val="0"/>
          <w:sz w:val="24"/>
        </w:rPr>
        <w:t>①</w:t>
      </w:r>
      <w:r>
        <w:rPr>
          <w:rFonts w:hint="default" w:ascii="宋体" w:hAnsi="宋体" w:eastAsia="宋体" w:cs="Times New Roman"/>
          <w:b w:val="0"/>
          <w:bCs w:val="0"/>
          <w:sz w:val="24"/>
          <w:szCs w:val="24"/>
          <w:highlight w:val="none"/>
          <w:lang w:val="en-US" w:eastAsia="zh-CN" w:bidi="ar-SA"/>
        </w:rPr>
        <w:t>联合体各方应按磋商文件提供的格式签订联合体协议书，明确联合体牵头人和各方权利义务，明确小微企业(残疾人福利性尊位、监狱企业)的合同份额占到合同总金额的比例(如涉及)，否则响应无效;</w:t>
      </w:r>
    </w:p>
    <w:p w14:paraId="5F669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kern w:val="0"/>
          <w:sz w:val="24"/>
        </w:rPr>
        <w:t>②</w:t>
      </w:r>
      <w:r>
        <w:rPr>
          <w:rFonts w:hint="default" w:ascii="宋体" w:hAnsi="宋体" w:eastAsia="宋体" w:cs="Times New Roman"/>
          <w:b w:val="0"/>
          <w:bCs w:val="0"/>
          <w:sz w:val="24"/>
          <w:szCs w:val="24"/>
          <w:highlight w:val="none"/>
          <w:lang w:val="en-US" w:eastAsia="zh-CN" w:bidi="ar-SA"/>
        </w:rPr>
        <w:t>联合体各成员单位应当具备与联合体协议中约定的分工相适应的资质和能力;</w:t>
      </w:r>
    </w:p>
    <w:p w14:paraId="30D66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kern w:val="0"/>
          <w:sz w:val="24"/>
        </w:rPr>
        <w:t>③</w:t>
      </w:r>
      <w:r>
        <w:rPr>
          <w:rFonts w:hint="default" w:ascii="宋体" w:hAnsi="宋体" w:eastAsia="宋体" w:cs="Times New Roman"/>
          <w:b w:val="0"/>
          <w:bCs w:val="0"/>
          <w:sz w:val="24"/>
          <w:szCs w:val="24"/>
          <w:highlight w:val="none"/>
          <w:lang w:val="en-US" w:eastAsia="zh-CN" w:bidi="ar-SA"/>
        </w:rPr>
        <w:t>由同一专业的单位组成的联合体参与采购活动时，按照资质等级较低的单位确定资质等级;</w:t>
      </w:r>
    </w:p>
    <w:p w14:paraId="7F53C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kern w:val="0"/>
          <w:sz w:val="24"/>
        </w:rPr>
        <w:t>④</w:t>
      </w:r>
      <w:r>
        <w:rPr>
          <w:rFonts w:hint="default" w:ascii="宋体" w:hAnsi="宋体" w:eastAsia="宋体" w:cs="Times New Roman"/>
          <w:b w:val="0"/>
          <w:bCs w:val="0"/>
          <w:sz w:val="24"/>
          <w:szCs w:val="24"/>
          <w:highlight w:val="none"/>
          <w:lang w:val="en-US" w:eastAsia="zh-CN" w:bidi="ar-SA"/>
        </w:rPr>
        <w:t>联合体各方不得再以自己名义单独或参加其他联合体在同一标段中投标;</w:t>
      </w:r>
    </w:p>
    <w:p w14:paraId="7F9D0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eastAsia" w:hAnsi="宋体" w:eastAsia="宋体" w:cs="Times New Roman"/>
          <w:b w:val="0"/>
          <w:bCs w:val="0"/>
          <w:sz w:val="24"/>
          <w:szCs w:val="24"/>
          <w:highlight w:val="none"/>
          <w:lang w:val="en-US" w:eastAsia="zh-CN" w:bidi="ar-SA"/>
        </w:rPr>
        <w:t>⑤</w:t>
      </w:r>
      <w:r>
        <w:rPr>
          <w:rFonts w:hint="default" w:ascii="宋体" w:hAnsi="宋体" w:eastAsia="宋体" w:cs="Times New Roman"/>
          <w:b w:val="0"/>
          <w:bCs w:val="0"/>
          <w:sz w:val="24"/>
          <w:szCs w:val="24"/>
          <w:highlight w:val="none"/>
          <w:lang w:val="en-US" w:eastAsia="zh-CN" w:bidi="ar-SA"/>
        </w:rPr>
        <w:t>联合体各方必须指定牵头人，授权其代表所有联合体成员负责投标和合同实施阶段的主办、协调工作，并应当向采购人提交由所有联合体成员法定代表人签署的授权书;</w:t>
      </w:r>
    </w:p>
    <w:p w14:paraId="55000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eastAsia" w:hAnsi="宋体" w:eastAsia="宋体" w:cs="Times New Roman"/>
          <w:b w:val="0"/>
          <w:bCs w:val="0"/>
          <w:sz w:val="24"/>
          <w:szCs w:val="24"/>
          <w:highlight w:val="none"/>
          <w:lang w:val="en-US" w:eastAsia="zh-CN" w:bidi="ar-SA"/>
        </w:rPr>
        <w:t>⑥</w:t>
      </w:r>
      <w:r>
        <w:rPr>
          <w:rFonts w:hint="default" w:ascii="宋体" w:hAnsi="宋体" w:eastAsia="宋体" w:cs="Times New Roman"/>
          <w:b w:val="0"/>
          <w:bCs w:val="0"/>
          <w:sz w:val="24"/>
          <w:szCs w:val="24"/>
          <w:highlight w:val="none"/>
          <w:lang w:val="en-US" w:eastAsia="zh-CN" w:bidi="ar-SA"/>
        </w:rPr>
        <w:t>联合体各方应当共同与采购人签订采购合同，就采购合同约定的事项对采购人承担连带责任。</w:t>
      </w:r>
    </w:p>
    <w:p w14:paraId="61E18AF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单位负责人为同一人或者存在直接控股，管理关系的不同供应商，不得参加同一合同项下的政府采购活动。</w:t>
      </w:r>
    </w:p>
    <w:p w14:paraId="4D75E77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为本采购项目提供整体设计，规范编制或者项目管理，监理，检测等服务的供应商，不得再参加本采购项目的采购活动。</w:t>
      </w:r>
    </w:p>
    <w:p w14:paraId="4F85B286">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更正（澄清）为：</w:t>
      </w:r>
    </w:p>
    <w:p w14:paraId="555D1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(六)说明</w:t>
      </w:r>
    </w:p>
    <w:p w14:paraId="00F38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1、本项目接受联合体参与采购活动(联合体家数不超过2家)，采用联合体投标的，须明确联合体牵头人，代表联合体递交响应文件和开标。联合体要求如下：</w:t>
      </w:r>
    </w:p>
    <w:p w14:paraId="3910CD02">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①联合体各方应按磋商文件提供的格式签订联合体协议书，明确联合体牵头人和各方权利义务，明确小微企业（残疾人福利性单位、监狱企业）的合同份额占到合同总金额的比例（如涉及），否则响应无效；</w:t>
      </w:r>
    </w:p>
    <w:p w14:paraId="0490C534">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②联合体各方不得再以自己名义单独或参加其他联合体在同一标段中投标；</w:t>
      </w:r>
    </w:p>
    <w:p w14:paraId="203C55E4">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③联合体各方必须指定牵头人，授权其代表所有联合体成员负责投标和合同实施阶段的主办、协调工作，并应当向采购人提交由所有联合体成员法定代表人签署的授权书</w:t>
      </w:r>
      <w:r>
        <w:rPr>
          <w:rFonts w:hint="eastAsia" w:ascii="宋体" w:hAnsi="宋体" w:eastAsia="宋体" w:cs="Times New Roman"/>
          <w:kern w:val="0"/>
          <w:sz w:val="24"/>
        </w:rPr>
        <w:t>；</w:t>
      </w:r>
    </w:p>
    <w:p w14:paraId="408095FB">
      <w:pPr>
        <w:widowControl/>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④</w:t>
      </w:r>
      <w:r>
        <w:rPr>
          <w:rFonts w:hint="eastAsia" w:ascii="宋体" w:hAnsi="宋体" w:eastAsia="宋体" w:cs="Times New Roman"/>
          <w:kern w:val="0"/>
          <w:sz w:val="24"/>
        </w:rPr>
        <w:t>联合体各方应当共同与采购人签订采购合同，就采购合同约定的事项对采购人承担连带责任。</w:t>
      </w:r>
    </w:p>
    <w:p w14:paraId="60C339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2、单位负责人为同一人或者存在直接控股，管理关系的不同供应商，不得参加同一合同项下的政府采购活动。</w:t>
      </w:r>
    </w:p>
    <w:p w14:paraId="39B5A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3、为本采购项目提供整体设计，规范编制或者项目管理，监理，检测等服务的供应商，不得再参加本采购项目的采购活动。</w:t>
      </w:r>
    </w:p>
    <w:p w14:paraId="4B536C94">
      <w:pPr>
        <w:widowControl/>
        <w:spacing w:line="360" w:lineRule="auto"/>
        <w:rPr>
          <w:rFonts w:hint="default" w:ascii="Calibri" w:hAnsi="Calibri" w:eastAsia="宋体" w:cs="Times New Roman"/>
          <w:b/>
          <w:bCs/>
          <w:color w:val="auto"/>
          <w:kern w:val="2"/>
          <w:sz w:val="28"/>
          <w:szCs w:val="28"/>
          <w:lang w:val="en-US" w:eastAsia="zh-CN" w:bidi="ar-SA"/>
        </w:rPr>
      </w:pPr>
    </w:p>
    <w:p w14:paraId="0ED80479">
      <w:pPr>
        <w:widowControl/>
        <w:spacing w:line="360" w:lineRule="auto"/>
        <w:rPr>
          <w:rFonts w:hint="default" w:ascii="Calibri" w:hAnsi="Calibri" w:eastAsia="宋体" w:cs="Times New Roman"/>
          <w:b/>
          <w:bCs/>
          <w:color w:val="auto"/>
          <w:kern w:val="2"/>
          <w:sz w:val="28"/>
          <w:szCs w:val="28"/>
          <w:lang w:val="en-US" w:eastAsia="zh-CN" w:bidi="ar-SA"/>
        </w:rPr>
      </w:pPr>
      <w:r>
        <w:rPr>
          <w:rFonts w:hint="default" w:ascii="Calibri" w:hAnsi="Calibri" w:eastAsia="宋体" w:cs="Times New Roman"/>
          <w:b/>
          <w:bCs/>
          <w:color w:val="auto"/>
          <w:kern w:val="2"/>
          <w:sz w:val="28"/>
          <w:szCs w:val="28"/>
          <w:lang w:val="en-US" w:eastAsia="zh-CN" w:bidi="ar-SA"/>
        </w:rPr>
        <w:t>二、其他内容不变。</w:t>
      </w:r>
    </w:p>
    <w:p w14:paraId="0B1C6E68">
      <w:pPr>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诚辉工程管理有限公司</w:t>
      </w:r>
    </w:p>
    <w:p w14:paraId="12E6979D">
      <w:pPr>
        <w:spacing w:line="360" w:lineRule="auto"/>
        <w:jc w:val="right"/>
        <w:rPr>
          <w:b/>
          <w:bCs/>
          <w:sz w:val="28"/>
          <w:szCs w:val="28"/>
        </w:rPr>
      </w:pPr>
      <w:r>
        <w:rPr>
          <w:rFonts w:hint="eastAsia" w:ascii="宋体" w:hAnsi="宋体" w:eastAsia="宋体" w:cs="宋体"/>
          <w:b/>
          <w:bCs/>
          <w:color w:val="auto"/>
          <w:sz w:val="28"/>
          <w:szCs w:val="28"/>
          <w:lang w:val="en-US" w:eastAsia="zh-CN"/>
        </w:rPr>
        <w:t>202</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年</w:t>
      </w:r>
      <w:r>
        <w:rPr>
          <w:rFonts w:hint="eastAsia" w:hAnsi="宋体" w:cs="宋体"/>
          <w:b/>
          <w:bCs/>
          <w:color w:val="auto"/>
          <w:sz w:val="28"/>
          <w:szCs w:val="28"/>
          <w:lang w:val="en-US" w:eastAsia="zh-CN"/>
        </w:rPr>
        <w:t>04</w:t>
      </w:r>
      <w:r>
        <w:rPr>
          <w:rFonts w:hint="eastAsia" w:ascii="宋体" w:hAnsi="宋体" w:eastAsia="宋体" w:cs="宋体"/>
          <w:b/>
          <w:bCs/>
          <w:color w:val="auto"/>
          <w:sz w:val="28"/>
          <w:szCs w:val="28"/>
          <w:lang w:val="en-US" w:eastAsia="zh-CN"/>
        </w:rPr>
        <w:t>月</w:t>
      </w:r>
      <w:r>
        <w:rPr>
          <w:rFonts w:hint="eastAsia" w:hAnsi="宋体" w:cs="宋体"/>
          <w:b/>
          <w:bCs/>
          <w:color w:val="auto"/>
          <w:sz w:val="28"/>
          <w:szCs w:val="28"/>
          <w:lang w:val="en-US" w:eastAsia="zh-CN"/>
        </w:rPr>
        <w:t>02</w:t>
      </w:r>
      <w:r>
        <w:rPr>
          <w:rFonts w:hint="eastAsia" w:ascii="宋体" w:hAnsi="宋体" w:eastAsia="宋体" w:cs="宋体"/>
          <w:b/>
          <w:bCs/>
          <w:color w:val="auto"/>
          <w:sz w:val="28"/>
          <w:szCs w:val="28"/>
          <w:lang w:val="en-US" w:eastAsia="zh-CN"/>
        </w:rPr>
        <w:t>日</w:t>
      </w:r>
    </w:p>
    <w:sectPr>
      <w:pgSz w:w="11906" w:h="16838"/>
      <w:pgMar w:top="110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FEF76"/>
    <w:multiLevelType w:val="singleLevel"/>
    <w:tmpl w:val="AC0FEF76"/>
    <w:lvl w:ilvl="0" w:tentative="0">
      <w:start w:val="2"/>
      <w:numFmt w:val="decimal"/>
      <w:suff w:val="nothing"/>
      <w:lvlText w:val="%1、"/>
      <w:lvlJc w:val="left"/>
    </w:lvl>
  </w:abstractNum>
  <w:abstractNum w:abstractNumId="1">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pStyle w:val="3"/>
      <w:isLgl/>
      <w:lvlText w:val="节 %1.%2"/>
      <w:lvlJc w:val="left"/>
      <w:pPr>
        <w:tabs>
          <w:tab w:val="left" w:pos="862"/>
        </w:tabs>
        <w:ind w:left="142"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83364"/>
    <w:rsid w:val="03214FB2"/>
    <w:rsid w:val="09A0773C"/>
    <w:rsid w:val="0FEF171B"/>
    <w:rsid w:val="10E731FD"/>
    <w:rsid w:val="287B7B98"/>
    <w:rsid w:val="2D183364"/>
    <w:rsid w:val="30CF301B"/>
    <w:rsid w:val="369D33CF"/>
    <w:rsid w:val="407F76A2"/>
    <w:rsid w:val="42FC76D0"/>
    <w:rsid w:val="496164DE"/>
    <w:rsid w:val="4F9524A0"/>
    <w:rsid w:val="501E6DC8"/>
    <w:rsid w:val="526B45C2"/>
    <w:rsid w:val="526E6040"/>
    <w:rsid w:val="6372336A"/>
    <w:rsid w:val="6A2E7AC1"/>
    <w:rsid w:val="7E3239CA"/>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hAnsi="Times New Roman" w:eastAsia="仿宋" w:cs="Times New Roman"/>
      <w:sz w:val="28"/>
      <w:szCs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720"/>
      </w:tabs>
      <w:spacing w:before="260" w:after="260" w:line="416" w:lineRule="atLeast"/>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rPr>
      <w:rFonts w:ascii="Arial" w:hAnsi="Arial"/>
      <w:szCs w:val="20"/>
    </w:rPr>
  </w:style>
  <w:style w:type="paragraph" w:styleId="5">
    <w:name w:val="Body Text"/>
    <w:basedOn w:val="1"/>
    <w:next w:val="1"/>
    <w:qFormat/>
    <w:uiPriority w:val="0"/>
    <w:rPr>
      <w:rFonts w:ascii="楷体_GB2312" w:eastAsia="楷体_GB2312"/>
      <w:sz w:val="28"/>
      <w:szCs w:val="28"/>
    </w:rPr>
  </w:style>
  <w:style w:type="paragraph" w:styleId="6">
    <w:name w:val="Body Text Indent 2"/>
    <w:basedOn w:val="1"/>
    <w:qFormat/>
    <w:uiPriority w:val="99"/>
    <w:pPr>
      <w:widowControl/>
      <w:ind w:left="420" w:leftChars="200"/>
      <w:jc w:val="center"/>
    </w:pPr>
    <w:rPr>
      <w:rFonts w:ascii="宋体" w:hAnsi="宋体"/>
      <w:szCs w:val="1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after="57"/>
    </w:pPr>
  </w:style>
  <w:style w:type="paragraph" w:styleId="10">
    <w:name w:val="Normal (Web)"/>
    <w:basedOn w:val="1"/>
    <w:qFormat/>
    <w:uiPriority w:val="0"/>
    <w:pPr>
      <w:widowControl/>
      <w:spacing w:before="100" w:beforeAutospacing="1" w:after="100" w:afterAutospacing="1"/>
      <w:jc w:val="left"/>
    </w:pPr>
    <w:rPr>
      <w:rFonts w:asci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列表段落1"/>
    <w:basedOn w:val="16"/>
    <w:next w:val="1"/>
    <w:qFormat/>
    <w:uiPriority w:val="99"/>
    <w:pPr>
      <w:ind w:firstLine="420"/>
    </w:pPr>
  </w:style>
  <w:style w:type="paragraph" w:customStyle="1" w:styleId="16">
    <w:name w:val="正文1"/>
    <w:basedOn w:val="17"/>
    <w:next w:val="25"/>
    <w:qFormat/>
    <w:uiPriority w:val="0"/>
    <w:rPr>
      <w:rFonts w:ascii="Calibri" w:hAnsi="Calibri"/>
    </w:rPr>
  </w:style>
  <w:style w:type="paragraph" w:customStyle="1" w:styleId="17">
    <w:name w:val="正文11"/>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目录 11"/>
    <w:basedOn w:val="19"/>
    <w:next w:val="17"/>
    <w:qFormat/>
    <w:uiPriority w:val="0"/>
    <w:pPr>
      <w:widowControl/>
      <w:spacing w:before="120" w:after="120"/>
      <w:jc w:val="left"/>
    </w:pPr>
    <w:rPr>
      <w:rFonts w:cs="Calibri"/>
      <w:b/>
      <w:bCs/>
      <w:caps/>
      <w:sz w:val="20"/>
      <w:szCs w:val="20"/>
    </w:rPr>
  </w:style>
  <w:style w:type="paragraph" w:customStyle="1" w:styleId="19">
    <w:name w:val="正文12"/>
    <w:next w:val="20"/>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0">
    <w:name w:val="正文文本11"/>
    <w:basedOn w:val="21"/>
    <w:next w:val="22"/>
    <w:qFormat/>
    <w:uiPriority w:val="0"/>
    <w:pPr>
      <w:spacing w:after="120"/>
    </w:pPr>
  </w:style>
  <w:style w:type="paragraph" w:customStyle="1" w:styleId="21">
    <w:name w:val="正文112"/>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一级条标题"/>
    <w:basedOn w:val="23"/>
    <w:next w:val="2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
    <w:name w:val="章标题"/>
    <w:next w:val="16"/>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4">
    <w:name w:val="段"/>
    <w:basedOn w:val="16"/>
    <w:next w:val="1"/>
    <w:qFormat/>
    <w:uiPriority w:val="0"/>
    <w:pPr>
      <w:widowControl/>
      <w:ind w:firstLine="200"/>
    </w:pPr>
    <w:rPr>
      <w:sz w:val="20"/>
    </w:rPr>
  </w:style>
  <w:style w:type="paragraph" w:customStyle="1" w:styleId="25">
    <w:name w:val="正文文本1"/>
    <w:basedOn w:val="16"/>
    <w:next w:val="16"/>
    <w:qFormat/>
    <w:uiPriority w:val="0"/>
    <w:pPr>
      <w:spacing w:after="120"/>
    </w:pPr>
    <w:rPr>
      <w:lang w:eastAsia="en-US"/>
    </w:rPr>
  </w:style>
  <w:style w:type="paragraph" w:customStyle="1" w:styleId="26">
    <w:name w:val="目录 1111"/>
    <w:basedOn w:val="1"/>
    <w:next w:val="1"/>
    <w:unhideWhenUsed/>
    <w:qFormat/>
    <w:uiPriority w:val="39"/>
    <w:pPr>
      <w:widowControl/>
      <w:spacing w:after="100" w:line="259" w:lineRule="auto"/>
      <w:jc w:val="left"/>
    </w:pPr>
    <w:rPr>
      <w:rFonts w:ascii="Calibri" w:hAnsi="Calibri"/>
      <w:sz w:val="22"/>
      <w:szCs w:val="22"/>
    </w:rPr>
  </w:style>
  <w:style w:type="character" w:customStyle="1" w:styleId="27">
    <w:name w:val="font31"/>
    <w:basedOn w:val="13"/>
    <w:qFormat/>
    <w:uiPriority w:val="0"/>
    <w:rPr>
      <w:rFonts w:hint="eastAsia" w:ascii="宋体" w:hAnsi="宋体" w:eastAsia="宋体" w:cs="宋体"/>
      <w:color w:val="191919"/>
      <w:sz w:val="24"/>
      <w:szCs w:val="24"/>
      <w:u w:val="none"/>
    </w:rPr>
  </w:style>
  <w:style w:type="character" w:customStyle="1" w:styleId="28">
    <w:name w:val="font41"/>
    <w:basedOn w:val="13"/>
    <w:autoRedefine/>
    <w:qFormat/>
    <w:uiPriority w:val="0"/>
    <w:rPr>
      <w:rFonts w:hint="eastAsia" w:ascii="宋体" w:hAnsi="宋体" w:eastAsia="宋体" w:cs="宋体"/>
      <w:color w:val="000000"/>
      <w:sz w:val="28"/>
      <w:szCs w:val="28"/>
      <w:u w:val="none"/>
    </w:rPr>
  </w:style>
  <w:style w:type="character" w:customStyle="1" w:styleId="29">
    <w:name w:val="font11"/>
    <w:basedOn w:val="13"/>
    <w:qFormat/>
    <w:uiPriority w:val="0"/>
    <w:rPr>
      <w:rFonts w:hint="eastAsia" w:ascii="宋体" w:hAnsi="宋体" w:eastAsia="宋体" w:cs="宋体"/>
      <w:color w:val="000000"/>
      <w:sz w:val="20"/>
      <w:szCs w:val="20"/>
      <w:u w:val="none"/>
    </w:rPr>
  </w:style>
  <w:style w:type="paragraph" w:styleId="30">
    <w:name w:val="List Paragraph"/>
    <w:basedOn w:val="1"/>
    <w:qFormat/>
    <w:uiPriority w:val="0"/>
    <w:pPr>
      <w:ind w:firstLine="420"/>
    </w:pPr>
  </w:style>
  <w:style w:type="character" w:customStyle="1" w:styleId="31">
    <w:name w:val="font61"/>
    <w:basedOn w:val="13"/>
    <w:autoRedefine/>
    <w:qFormat/>
    <w:uiPriority w:val="0"/>
    <w:rPr>
      <w:rFonts w:hint="eastAsia" w:ascii="宋体" w:hAnsi="宋体" w:eastAsia="宋体" w:cs="宋体"/>
      <w:color w:val="0000FF"/>
      <w:sz w:val="28"/>
      <w:szCs w:val="28"/>
      <w:u w:val="none"/>
    </w:rPr>
  </w:style>
  <w:style w:type="paragraph" w:customStyle="1" w:styleId="32">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33">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1021</Characters>
  <Lines>0</Lines>
  <Paragraphs>0</Paragraphs>
  <TotalTime>0</TotalTime>
  <ScaleCrop>false</ScaleCrop>
  <LinksUpToDate>false</LinksUpToDate>
  <CharactersWithSpaces>1021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2026-03-18T13:14:00Z</dcterms:created>
  <dc:creator>旌训</dc:creator>
  <cp:lastModifiedBy>彭鱼燕</cp:lastModifiedBy>
  <dcterms:modified xsi:type="dcterms:W3CDTF">2026-04-02T01:41:20Z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392BBC26130D40199F73B91A080CDE63_11</vt:lpwstr>
  </property>
  <property fmtid="{D5CDD505-2E9C-101B-9397-08002B2CF9AE}" pid="4" name="KSOTemplateDocerSaveRecord">
    <vt:lpwstr>eyJoZGlkIjoiMzcwMzkwNjdkYjc5ZDc4MjA0NjlhMzJiMTZhMWRmZmEiLCJ1c2VySWQiOiI2NTE4OTM1MjkifQ==</vt:lpwstr>
  </property>
</Properties>
</file>