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0"/>
        <w:rPr>
          <w:rFonts w:hint="eastAsia" w:eastAsia="黑体"/>
          <w:b/>
          <w:bCs/>
          <w:sz w:val="84"/>
        </w:rPr>
      </w:pPr>
      <w:r>
        <w:rPr>
          <w:rFonts w:hint="eastAsia" w:eastAsia="黑体"/>
          <w:b/>
          <w:bCs/>
          <w:sz w:val="84"/>
        </w:rPr>
      </w:r>
      <w:r/>
    </w:p>
    <w:p>
      <w:pPr>
        <w:pStyle w:val="945"/>
        <w:ind w:firstLine="0"/>
        <w:jc w:val="center"/>
        <w:rPr>
          <w:rFonts w:hint="eastAsia" w:eastAsia="黑体"/>
          <w:b/>
          <w:bCs/>
          <w:sz w:val="84"/>
        </w:rPr>
      </w:pPr>
      <w:r>
        <w:rPr>
          <w:rFonts w:hint="eastAsia" w:eastAsia="黑体"/>
          <w:b/>
          <w:bCs/>
          <w:sz w:val="84"/>
        </w:rPr>
        <w:t xml:space="preserve">招　标　文　件（更正稿）</w:t>
      </w:r>
      <w:r/>
    </w:p>
    <w:p>
      <w:pPr>
        <w:pStyle w:val="945"/>
        <w:ind w:left="0" w:firstLine="321"/>
        <w:rPr>
          <w:rFonts w:hint="eastAsia"/>
          <w:b/>
          <w:bCs/>
          <w:sz w:val="32"/>
        </w:rPr>
      </w:pPr>
      <w:r>
        <w:rPr>
          <w:rFonts w:hint="eastAsia"/>
          <w:b/>
          <w:bCs/>
          <w:sz w:val="32"/>
        </w:rPr>
      </w:r>
      <w:r/>
    </w:p>
    <w:p>
      <w:pPr>
        <w:pStyle w:val="945"/>
        <w:ind w:left="0" w:firstLine="321"/>
        <w:rPr>
          <w:rFonts w:hint="eastAsia"/>
          <w:b/>
          <w:bCs/>
          <w:sz w:val="32"/>
        </w:rPr>
      </w:pPr>
      <w:r>
        <w:rPr>
          <w:rFonts w:hint="eastAsia"/>
          <w:b/>
          <w:bCs/>
          <w:sz w:val="32"/>
        </w:rPr>
        <w:t xml:space="preserve">项目名称：江苏省粮食和物资储备局江苏智慧粮储云平台项目</w:t>
      </w:r>
      <w:r/>
    </w:p>
    <w:p>
      <w:pPr>
        <w:ind w:firstLine="1606"/>
        <w:rPr>
          <w:b/>
          <w:sz w:val="30"/>
          <w:szCs w:val="30"/>
        </w:rPr>
      </w:pPr>
      <w:r>
        <w:rPr>
          <w:rFonts w:hint="eastAsia"/>
          <w:b/>
          <w:bCs/>
          <w:sz w:val="32"/>
          <w:lang w:eastAsia="zh-CN"/>
        </w:rPr>
        <w:t xml:space="preserve">采购编号</w:t>
      </w:r>
      <w:r>
        <w:rPr>
          <w:rFonts w:hint="eastAsia"/>
          <w:b/>
          <w:bCs/>
          <w:sz w:val="32"/>
        </w:rPr>
        <w:t xml:space="preserve">：</w:t>
      </w:r>
      <w:r>
        <w:rPr>
          <w:rFonts w:ascii="Arial" w:hAnsi="Arial"/>
          <w:b/>
          <w:bCs/>
          <w:sz w:val="32"/>
          <w:szCs w:val="24"/>
        </w:rPr>
        <w:t xml:space="preserve">JSZC-320000-</w:t>
      </w:r>
      <w:r>
        <w:rPr>
          <w:rFonts w:hint="eastAsia" w:ascii="Arial" w:hAnsi="Arial"/>
          <w:b/>
          <w:bCs/>
          <w:sz w:val="32"/>
          <w:szCs w:val="24"/>
          <w:lang w:val="en-US" w:eastAsia="zh-CN"/>
        </w:rPr>
        <w:t xml:space="preserve">SCZX-G2026-0071</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rFonts w:hint="eastAsia"/>
          <w:b/>
          <w:color w:val="ff0000"/>
          <w:sz w:val="28"/>
          <w:szCs w:val="28"/>
        </w:rPr>
      </w:pPr>
      <w:r>
        <w:rPr>
          <w:rFonts w:hint="eastAsia"/>
          <w:b/>
          <w:color w:val="ff0000"/>
          <w:sz w:val="28"/>
          <w:szCs w:val="28"/>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jc w:val="center"/>
        <w:rPr>
          <w:rFonts w:hint="eastAsia"/>
          <w:b/>
          <w:bCs/>
          <w:sz w:val="32"/>
        </w:rPr>
      </w:pPr>
      <w:r>
        <w:rPr>
          <w:rFonts w:hint="eastAsia"/>
          <w:b/>
          <w:bCs/>
          <w:sz w:val="32"/>
        </w:rPr>
        <w:t xml:space="preserve">江苏省政府采购中心</w:t>
      </w:r>
      <w:r/>
    </w:p>
    <w:p>
      <w:pPr>
        <w:pStyle w:val="945"/>
        <w:ind w:firstLine="0"/>
        <w:jc w:val="center"/>
        <w:rPr>
          <w:rFonts w:hint="eastAsia"/>
          <w:b/>
          <w:bCs/>
          <w:sz w:val="32"/>
        </w:rPr>
      </w:pPr>
      <w:r>
        <w:rPr>
          <w:rFonts w:hint="eastAsia"/>
          <w:b/>
          <w:bCs/>
          <w:sz w:val="32"/>
          <w:lang w:val="en-US" w:eastAsia="zh-CN"/>
        </w:rPr>
        <w:t xml:space="preserve">2026</w:t>
      </w:r>
      <w:r>
        <w:rPr>
          <w:rFonts w:hint="eastAsia"/>
          <w:b/>
          <w:bCs/>
          <w:sz w:val="32"/>
        </w:rPr>
        <w:t xml:space="preserve">年4</w:t>
      </w:r>
      <w:r>
        <w:rPr>
          <w:rFonts w:hint="eastAsia"/>
          <w:b/>
          <w:bCs/>
          <w:sz w:val="32"/>
        </w:rPr>
        <w:t xml:space="preserve">月</w:t>
      </w:r>
      <w:r/>
    </w:p>
    <w:p>
      <w:pPr>
        <w:pStyle w:val="945"/>
        <w:ind w:firstLine="0"/>
        <w:rPr>
          <w:rFonts w:hint="eastAsia"/>
          <w:u w:val="single"/>
        </w:rPr>
      </w:pPr>
      <w:r>
        <w:rPr>
          <w:rFonts w:hint="eastAsia"/>
        </w:rPr>
        <w:t xml:space="preserve">                        </w:t>
      </w:r>
      <w:r/>
    </w:p>
    <w:p>
      <w:pPr>
        <w:pStyle w:val="945"/>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52</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受[江苏省粮食和物资储备局]的委托，江苏省政府采购中心就江苏省粮食和物资储备局江苏智慧粮储云平台项目</w:t>
      </w:r>
      <w:r>
        <w:rPr>
          <w:rFonts w:hint="eastAsia" w:ascii="宋体" w:hAnsi="宋体"/>
          <w:sz w:val="24"/>
          <w:szCs w:val="24"/>
          <w:lang w:eastAsia="zh-CN"/>
        </w:rPr>
        <w:t xml:space="preserve">（</w:t>
      </w:r>
      <w:r>
        <w:rPr>
          <w:rFonts w:hint="eastAsia" w:ascii="宋体" w:hAnsi="宋体"/>
          <w:sz w:val="24"/>
          <w:szCs w:val="24"/>
        </w:rPr>
        <w:t xml:space="preserve"> JSZC-320000-SCZX-G2026-</w:t>
      </w:r>
      <w:r>
        <w:rPr>
          <w:rFonts w:hint="eastAsia" w:ascii="宋体" w:hAnsi="宋体"/>
          <w:sz w:val="24"/>
          <w:szCs w:val="24"/>
          <w:lang w:val="en-US" w:eastAsia="zh-CN"/>
        </w:rPr>
        <w:t xml:space="preserve">0071</w:t>
      </w:r>
      <w:r>
        <w:rPr>
          <w:rFonts w:hint="eastAsia" w:ascii="宋体" w:hAnsi="宋体"/>
          <w:sz w:val="24"/>
          <w:szCs w:val="24"/>
          <w:lang w:eastAsia="zh-CN"/>
        </w:rPr>
        <w:t xml:space="preserve">）</w:t>
      </w:r>
      <w:r>
        <w:rPr>
          <w:rFonts w:hint="eastAsia" w:ascii="宋体" w:hAnsi="宋体"/>
          <w:sz w:val="24"/>
          <w:szCs w:val="24"/>
        </w:rPr>
        <w:t xml:space="preserve">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(江苏省粮食和物资储备局江苏智慧粮储云平台项目</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28 日  9  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2"/>
        <w:ind w:firstLine="498"/>
        <w:spacing w:before="145" w:after="145" w:line="400" w:lineRule="exact"/>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：JSZC-320000-SCZX-G2026-</w:t>
      </w:r>
      <w:r>
        <w:rPr>
          <w:rFonts w:hint="eastAsia" w:ascii="宋体" w:hAnsi="宋体"/>
          <w:sz w:val="24"/>
          <w:szCs w:val="24"/>
          <w:lang w:val="en-US" w:eastAsia="zh-CN"/>
        </w:rPr>
        <w:t xml:space="preserve">0071</w:t>
      </w:r>
      <w:r>
        <w:rPr>
          <w:rFonts w:hint="eastAsia" w:ascii="宋体" w:hAnsi="宋体" w:eastAsia="宋体" w:cs="Times New Roman"/>
          <w:sz w:val="24"/>
          <w:szCs w:val="24"/>
          <w:lang w:eastAsia="zh-CN"/>
        </w:rPr>
        <w:t xml:space="preserve"> </w:t>
      </w:r>
      <w:r/>
    </w:p>
    <w:p>
      <w:pPr>
        <w:ind w:firstLine="480"/>
        <w:spacing w:line="400" w:lineRule="exact"/>
        <w:rPr>
          <w:rFonts w:ascii="宋体" w:hAnsi="宋体"/>
          <w:sz w:val="24"/>
          <w:szCs w:val="24"/>
        </w:rPr>
      </w:pPr>
      <w:r>
        <w:rPr>
          <w:rFonts w:hint="eastAsia" w:ascii="宋体" w:hAnsi="宋体"/>
          <w:sz w:val="24"/>
          <w:szCs w:val="24"/>
        </w:rPr>
        <w:t xml:space="preserve">2.项目名称：江苏省粮食和物资储备局江苏智慧粮储云平台项目</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814.99</w:t>
            </w:r>
            <w:r/>
          </w:p>
        </w:tc>
      </w:tr>
    </w:tbl>
    <w:p>
      <w:pPr>
        <w:ind w:firstLine="480"/>
        <w:spacing w:line="400" w:lineRule="exact"/>
        <w:rPr>
          <w:rFonts w:hint="eastAsia" w:ascii="宋体" w:hAnsi="宋体" w:cs="宋体"/>
          <w:color w:val="auto"/>
          <w:sz w:val="24"/>
          <w:szCs w:val="24"/>
        </w:rPr>
      </w:pPr>
      <w:r>
        <w:rPr>
          <w:rFonts w:hint="eastAsia" w:ascii="宋体" w:hAnsi="宋体" w:eastAsia="宋体" w:cs="宋体"/>
          <w:color w:val="auto"/>
          <w:sz w:val="24"/>
          <w:szCs w:val="24"/>
        </w:rPr>
        <w:t xml:space="preserve">4.最高限价</w:t>
      </w:r>
      <w:r>
        <w:rPr>
          <w:rFonts w:ascii="宋体" w:hAnsi="宋体" w:cs="宋体"/>
          <w:sz w:val="24"/>
          <w:szCs w:val="24"/>
        </w:rPr>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w:t>
            </w:r>
            <w:r/>
          </w:p>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包号</w:t>
            </w:r>
            <w:r/>
          </w:p>
        </w:tc>
        <w:tc>
          <w:tcPr>
            <w:tcW w:w="3135"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1</w:t>
            </w:r>
            <w:r/>
          </w:p>
        </w:tc>
        <w:tc>
          <w:tcPr>
            <w:tcW w:w="3135" w:type="dxa"/>
            <w:vAlign w:val="top"/>
            <w:textDirection w:val="lrTb"/>
            <w:noWrap w:val="false"/>
          </w:tcPr>
          <w:p>
            <w:pPr>
              <w:jc w:val="center"/>
              <w:spacing w:line="0" w:lineRule="atLeast"/>
              <w:rPr>
                <w:rFonts w:hint="default" w:ascii="宋体" w:hAnsi="宋体" w:cs="宋体"/>
                <w:color w:val="auto"/>
                <w:sz w:val="22"/>
                <w:szCs w:val="22"/>
              </w:rPr>
            </w:pPr>
            <w:r>
              <w:rPr>
                <w:rFonts w:hint="eastAsia" w:ascii="宋体" w:hAnsi="宋体" w:eastAsia="方正魏碑_GBK" w:cs="宋体"/>
                <w:color w:val="auto"/>
                <w:sz w:val="22"/>
                <w:szCs w:val="22"/>
                <w:lang w:val="en-US" w:eastAsia="zh-CN"/>
              </w:rPr>
              <w:t xml:space="preserve">727.74</w:t>
            </w:r>
            <w:r>
              <w:rPr>
                <w:rFonts w:ascii="宋体" w:hAnsi="宋体" w:cs="宋体"/>
                <w:sz w:val="22"/>
                <w:szCs w:val="22"/>
              </w:rPr>
            </w:r>
            <w:r/>
          </w:p>
        </w:tc>
      </w:tr>
    </w:tbl>
    <w:p>
      <w:pPr>
        <w:ind w:firstLine="480"/>
        <w:spacing w:line="400" w:lineRule="exact"/>
        <w:rPr>
          <w:rFonts w:hint="eastAsia" w:ascii="宋体" w:hAnsi="宋体"/>
          <w:sz w:val="24"/>
          <w:szCs w:val="24"/>
        </w:rPr>
      </w:pPr>
      <w:r>
        <w:rPr>
          <w:rFonts w:hint="eastAsia" w:ascii="宋体" w:hAnsi="宋体"/>
          <w:sz w:val="24"/>
          <w:szCs w:val="24"/>
        </w:rPr>
        <w:t xml:space="preserve">5.采购需求（简介）：</w:t>
      </w:r>
      <w:r>
        <w:rPr>
          <w:rFonts w:hint="eastAsia" w:ascii="宋体" w:hAnsi="宋体"/>
          <w:sz w:val="24"/>
          <w:szCs w:val="24"/>
        </w:rPr>
        <w:t xml:space="preserve">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详细内容见本招标文件第四章</w:t>
      </w:r>
      <w:r>
        <w:rPr>
          <w:rFonts w:hint="eastAsia" w:ascii="宋体" w:hAnsi="宋体"/>
          <w:sz w:val="24"/>
          <w:szCs w:val="24"/>
        </w:rPr>
      </w:r>
      <w:r/>
    </w:p>
    <w:p>
      <w:pPr>
        <w:pStyle w:val="862"/>
        <w:ind w:firstLine="498"/>
        <w:spacing w:before="145" w:after="145" w:line="400" w:lineRule="exact"/>
      </w:pPr>
      <w:r/>
      <w:bookmarkStart w:id="12" w:name="_Toc28359003"/>
      <w:r/>
      <w:bookmarkStart w:id="13" w:name="_Toc35393791"/>
      <w:r/>
      <w:bookmarkStart w:id="14" w:name="_Toc28359080"/>
      <w:r/>
      <w:bookmarkStart w:id="15" w:name="_Toc35393622"/>
      <w:r/>
      <w:bookmarkStart w:id="16" w:name="_Toc38985264"/>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w:t>
      </w:r>
      <w:r>
        <w:rPr>
          <w:rFonts w:hint="eastAsia" w:ascii="宋体" w:hAnsi="宋体"/>
          <w:sz w:val="24"/>
          <w:szCs w:val="24"/>
          <w:lang w:eastAsia="zh-CN"/>
        </w:rPr>
        <w:t xml:space="preserve">（</w:t>
      </w:r>
      <w:r>
        <w:rPr>
          <w:rFonts w:hint="eastAsia" w:ascii="宋体" w:hAnsi="宋体"/>
          <w:sz w:val="24"/>
          <w:szCs w:val="24"/>
          <w:lang w:val="en-US" w:eastAsia="zh-CN"/>
        </w:rPr>
        <w:t xml:space="preserve">2024或2025</w:t>
      </w:r>
      <w:r>
        <w:rPr>
          <w:rFonts w:hint="eastAsia" w:ascii="宋体" w:hAnsi="宋体"/>
          <w:sz w:val="24"/>
          <w:szCs w:val="24"/>
          <w:lang w:eastAsia="zh-CN"/>
        </w:rPr>
        <w:t xml:space="preserve">）</w:t>
      </w:r>
      <w:r>
        <w:rPr>
          <w:rFonts w:hint="eastAsia" w:ascii="宋体" w:hAnsi="宋体"/>
          <w:sz w:val="24"/>
          <w:szCs w:val="24"/>
        </w:rPr>
        <w:t xml:space="preserve">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70"/>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center"/>
            <w:textDirection w:val="lrTb"/>
            <w:noWrap w:val="false"/>
          </w:tcPr>
          <w:p>
            <w:pPr>
              <w:jc w:val="center"/>
              <w:rPr>
                <w:rFonts w:hint="eastAsia" w:ascii="宋体" w:hAnsi="宋体"/>
              </w:rPr>
            </w:pPr>
            <w:r>
              <w:rPr>
                <w:rFonts w:hint="eastAsia" w:ascii="宋体" w:hAnsi="宋体"/>
              </w:rPr>
              <w:t xml:space="preserve">采购包</w:t>
            </w:r>
            <w:r>
              <w:rPr>
                <w:rFonts w:ascii="宋体" w:hAnsi="宋体"/>
              </w:rPr>
              <w:t xml:space="preserve">号</w:t>
            </w:r>
            <w:r/>
          </w:p>
        </w:tc>
        <w:tc>
          <w:tcPr>
            <w:tcW w:w="2968" w:type="dxa"/>
            <w:vAlign w:val="center"/>
            <w:textDirection w:val="lrTb"/>
            <w:noWrap w:val="false"/>
          </w:tcPr>
          <w:p>
            <w:pPr>
              <w:jc w:val="center"/>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2967" w:type="dxa"/>
            <w:vAlign w:val="center"/>
            <w:textDirection w:val="lrTb"/>
            <w:noWrap w:val="false"/>
          </w:tcPr>
          <w:p>
            <w:pPr>
              <w:jc w:val="center"/>
              <w:rPr>
                <w:rFonts w:hint="eastAsia" w:ascii="宋体" w:hAnsi="宋体"/>
              </w:rPr>
            </w:pPr>
            <w:r>
              <w:rPr>
                <w:rFonts w:hint="eastAsia" w:ascii="宋体" w:hAnsi="宋体"/>
              </w:rPr>
              <w:t xml:space="preserve">该采购</w:t>
            </w:r>
            <w:r>
              <w:rPr>
                <w:rFonts w:ascii="宋体" w:hAnsi="宋体"/>
              </w:rPr>
              <w:t xml:space="preserve">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center"/>
            <w:textDirection w:val="lrTb"/>
            <w:noWrap w:val="false"/>
          </w:tcPr>
          <w:p>
            <w:pPr>
              <w:jc w:val="center"/>
              <w:rPr>
                <w:rFonts w:hint="eastAsia" w:ascii="宋体" w:hAnsi="宋体"/>
              </w:rPr>
            </w:pPr>
            <w:r>
              <w:rPr>
                <w:rFonts w:hint="eastAsia" w:ascii="宋体" w:hAnsi="宋体"/>
              </w:rPr>
              <w:t xml:space="preserve">1</w:t>
            </w:r>
            <w:r/>
          </w:p>
        </w:tc>
        <w:tc>
          <w:tcPr>
            <w:tcW w:w="2968" w:type="dxa"/>
            <w:vAlign w:val="center"/>
            <w:textDirection w:val="lrTb"/>
            <w:noWrap w:val="false"/>
          </w:tcPr>
          <w:p>
            <w:pPr>
              <w:jc w:val="center"/>
              <w:rPr>
                <w:rFonts w:hint="eastAsia" w:ascii="宋体" w:hAnsi="宋体"/>
              </w:rPr>
            </w:pPr>
            <w:r>
              <w:rPr>
                <w:rFonts w:hint="eastAsia" w:ascii="宋体" w:hAnsi="宋体"/>
              </w:rPr>
              <w:t xml:space="preserve">否</w:t>
            </w:r>
            <w:r/>
          </w:p>
        </w:tc>
        <w:tc>
          <w:tcPr>
            <w:tcW w:w="2967" w:type="dxa"/>
            <w:vAlign w:val="center"/>
            <w:textDirection w:val="lrTb"/>
            <w:noWrap w:val="false"/>
          </w:tcPr>
          <w:p>
            <w:pPr>
              <w:jc w:val="center"/>
              <w:rPr>
                <w:rFonts w:hint="eastAsia" w:ascii="宋体" w:hAnsi="宋体"/>
              </w:rPr>
            </w:pPr>
            <w:r>
              <w:rPr>
                <w:rFonts w:hint="eastAsia" w:ascii="宋体" w:hAnsi="宋体"/>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r/>
      <w:bookmarkEnd w:id="18"/>
      <w:r/>
      <w:bookmarkEnd w:id="19"/>
      <w:r/>
      <w:bookmarkEnd w:id="20"/>
      <w:r/>
      <w:bookmarkEnd w:id="21"/>
      <w:r/>
      <w:r/>
    </w:p>
    <w:p>
      <w:pPr>
        <w:pStyle w:val="862"/>
        <w:ind w:firstLine="498"/>
        <w:spacing w:before="145" w:after="145" w:line="400" w:lineRule="exact"/>
      </w:pPr>
      <w:r/>
      <w:bookmarkStart w:id="22" w:name="_Toc28359005"/>
      <w:r/>
      <w:bookmarkStart w:id="23" w:name="_Toc28359082"/>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4 月 28 日  9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35393625"/>
      <w:r/>
      <w:bookmarkStart w:id="29" w:name="_Toc38985267"/>
      <w:r/>
      <w:bookmarkStart w:id="30" w:name="_Toc2835900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62"/>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ind w:firstLine="960"/>
        <w:spacing w:line="400" w:lineRule="exact"/>
        <w:rPr>
          <w:rFonts w:ascii="宋体" w:hAnsi="宋体" w:cs="宋体"/>
          <w:sz w:val="24"/>
          <w:szCs w:val="24"/>
        </w:rPr>
      </w:pPr>
      <w:r>
        <w:rPr>
          <w:rFonts w:hint="eastAsia" w:ascii="宋体" w:hAnsi="宋体" w:cs="宋体"/>
          <w:sz w:val="24"/>
          <w:szCs w:val="24"/>
        </w:rPr>
        <w:t xml:space="preserve">无</w:t>
      </w:r>
      <w:r/>
    </w:p>
    <w:p>
      <w:pPr>
        <w:pStyle w:val="862"/>
        <w:ind w:firstLine="498"/>
        <w:spacing w:before="145" w:after="145" w:line="400" w:lineRule="exact"/>
      </w:pPr>
      <w:r/>
      <w:bookmarkStart w:id="35" w:name="_Toc35393796"/>
      <w:r/>
      <w:bookmarkStart w:id="36" w:name="_Toc38985269"/>
      <w:r/>
      <w:bookmarkStart w:id="37" w:name="_Toc28359085"/>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hint="eastAsia" w:ascii="宋体" w:hAnsi="宋体" w:cs="宋体"/>
          <w:sz w:val="24"/>
          <w:szCs w:val="24"/>
        </w:rPr>
      </w:pPr>
      <w:r/>
      <w:bookmarkStart w:id="40" w:name="_Toc28359086"/>
      <w:r/>
      <w:bookmarkStart w:id="41" w:name="_Toc28359009"/>
      <w:r>
        <w:rPr>
          <w:rFonts w:hint="eastAsia" w:ascii="宋体" w:hAnsi="宋体" w:cs="宋体"/>
          <w:sz w:val="24"/>
          <w:szCs w:val="24"/>
        </w:rPr>
        <w:t xml:space="preserve">名 称：</w:t>
      </w:r>
      <w:r>
        <w:rPr>
          <w:rFonts w:hint="eastAsia" w:ascii="宋体" w:hAnsi="宋体" w:cs="宋体"/>
          <w:sz w:val="24"/>
          <w:szCs w:val="24"/>
          <w:u w:val="single"/>
          <w:lang w:val="en-US" w:eastAsia="zh-CN"/>
        </w:rPr>
        <w:t xml:space="preserve">江苏省粮食和物资储备局 </w:t>
      </w:r>
      <w:r/>
    </w:p>
    <w:p>
      <w:pPr>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lang w:val="en-US" w:eastAsia="zh-CN"/>
        </w:rPr>
        <w:t xml:space="preserve">南京市鼓楼区中山路338号</w:t>
      </w:r>
      <w:r/>
    </w:p>
    <w:p>
      <w:pPr>
        <w:ind w:left="1079" w:hanging="300"/>
        <w:jc w:val="left"/>
        <w:spacing w:line="400" w:lineRule="exact"/>
        <w:rPr>
          <w:rFonts w:hint="eastAsia" w:ascii="宋体" w:hAnsi="宋体" w:cs="宋体"/>
          <w:sz w:val="24"/>
          <w:szCs w:val="24"/>
          <w:lang w:val="en-US" w:eastAsia="zh-CN"/>
        </w:rPr>
      </w:pPr>
      <w:r>
        <w:rPr>
          <w:rFonts w:hint="eastAsia" w:ascii="宋体" w:hAnsi="宋体" w:cs="宋体"/>
          <w:sz w:val="24"/>
          <w:szCs w:val="24"/>
        </w:rPr>
        <w:t xml:space="preserve">联系人：</w:t>
      </w:r>
      <w:r>
        <w:rPr>
          <w:rFonts w:hint="eastAsia" w:ascii="宋体" w:hAnsi="宋体" w:cs="宋体"/>
          <w:sz w:val="24"/>
          <w:szCs w:val="24"/>
          <w:u w:val="single"/>
          <w:lang w:val="en-US" w:eastAsia="zh-CN"/>
        </w:rPr>
        <w:t xml:space="preserve">孔庆贤 马兆猛 </w:t>
      </w:r>
      <w:r/>
    </w:p>
    <w:p>
      <w:pPr>
        <w:ind w:left="1079" w:hanging="300"/>
        <w:jc w:val="left"/>
        <w:spacing w:line="400" w:lineRule="exact"/>
        <w:rPr>
          <w:rFonts w:hint="eastAsia" w:ascii="宋体" w:hAnsi="宋体" w:cs="宋体"/>
          <w:sz w:val="24"/>
          <w:szCs w:val="24"/>
          <w:u w:val="single"/>
          <w:lang w:val="en-US" w:eastAsia="zh-CN"/>
        </w:rPr>
      </w:pPr>
      <w:r>
        <w:rPr>
          <w:rFonts w:hint="eastAsia" w:ascii="宋体" w:hAnsi="宋体" w:cs="宋体"/>
          <w:sz w:val="24"/>
          <w:szCs w:val="24"/>
        </w:rPr>
        <w:t xml:space="preserve">联系方式：</w:t>
      </w:r>
      <w:r>
        <w:rPr>
          <w:rFonts w:hint="eastAsia" w:ascii="宋体" w:hAnsi="宋体" w:cs="宋体"/>
          <w:sz w:val="24"/>
          <w:szCs w:val="24"/>
          <w:u w:val="single"/>
          <w:lang w:val="en-US" w:eastAsia="zh-CN"/>
        </w:rPr>
        <w:t xml:space="preserve">025-89667116 025-83432060</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时富荣、许滢</w:t>
      </w:r>
      <w:r>
        <w:rPr>
          <w:rFonts w:hint="eastAsia" w:ascii="宋体" w:hAnsi="宋体"/>
          <w:sz w:val="24"/>
          <w:szCs w:val="24"/>
          <w:u w:val="single"/>
        </w:rPr>
        <w:t xml:space="preserve">             </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w:t>
      </w:r>
      <w:r>
        <w:rPr>
          <w:rFonts w:hint="eastAsia" w:ascii="宋体" w:hAnsi="宋体"/>
          <w:sz w:val="24"/>
          <w:szCs w:val="24"/>
          <w:u w:val="single"/>
          <w:lang w:val="en-US" w:eastAsia="zh-CN"/>
        </w:rPr>
        <w:t xml:space="preserve">025-83668559</w:t>
      </w:r>
      <w:r>
        <w:rPr>
          <w:rFonts w:hint="eastAsia" w:ascii="宋体" w:hAnsi="宋体"/>
          <w:sz w:val="24"/>
          <w:szCs w:val="24"/>
          <w:u w:val="single"/>
        </w:rPr>
        <w:t xml:space="preserve">　　　　　　　　　　　</w:t>
      </w:r>
      <w:bookmarkEnd w:id="42"/>
      <w:r/>
      <w:bookmarkEnd w:id="43"/>
      <w:r/>
      <w:r/>
    </w:p>
    <w:p>
      <w:pPr>
        <w:pStyle w:val="862"/>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auto"/>
          <w:u w:val="none"/>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6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
    </w:p>
    <w:p>
      <w:pPr>
        <w:pStyle w:val="862"/>
        <w:ind w:firstLine="498"/>
        <w:spacing w:before="145" w:after="145" w:line="400" w:lineRule="exact"/>
        <w:rPr>
          <w:rFonts w:hint="eastAsia"/>
        </w:rPr>
      </w:pPr>
      <w:r/>
      <w:bookmarkStart w:id="49" w:name="_Toc16938519"/>
      <w:r/>
      <w:bookmarkStart w:id="50" w:name="_Toc20823275"/>
      <w:r/>
      <w:bookmarkStart w:id="51" w:name="_Toc513029203"/>
      <w:r/>
      <w:bookmarkStart w:id="52" w:name="_Toc120614214"/>
      <w:r>
        <w:rPr>
          <w:rFonts w:hint="eastAsia"/>
        </w:rPr>
        <w:t xml:space="preserve">一、总则</w:t>
      </w:r>
      <w:bookmarkEnd w:id="49"/>
      <w:r/>
      <w:bookmarkEnd w:id="50"/>
      <w:r/>
      <w:bookmarkEnd w:id="51"/>
      <w:r/>
      <w:bookmarkEnd w:id="52"/>
      <w:r/>
      <w:r/>
    </w:p>
    <w:p>
      <w:pPr>
        <w:pStyle w:val="863"/>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63"/>
        <w:ind w:firstLine="420"/>
        <w:spacing w:before="0" w:after="0" w:line="400" w:lineRule="exact"/>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63"/>
        <w:ind w:firstLine="422"/>
        <w:spacing w:before="0" w:after="0" w:line="400" w:lineRule="exact"/>
        <w:rPr>
          <w:rFonts w:hint="eastAsia" w:ascii="Arial" w:hAnsi="Arial" w:cs="Arial"/>
          <w:b/>
          <w:bCs/>
          <w:lang w:eastAsia="zh-CN"/>
        </w:rPr>
      </w:pPr>
      <w:r/>
      <w:bookmarkStart w:id="61" w:name="_Toc16938522"/>
      <w:r/>
      <w:bookmarkStart w:id="62" w:name="_Toc513029206"/>
      <w:r/>
      <w:bookmarkStart w:id="63" w:name="_Toc20823278"/>
      <w:r>
        <w:rPr>
          <w:rFonts w:hint="eastAsia" w:ascii="Arial" w:hAnsi="Arial" w:cs="Arial"/>
          <w:b/>
          <w:bCs/>
        </w:rPr>
        <w:t xml:space="preserve">3、适用法律</w:t>
      </w:r>
      <w:bookmarkEnd w:id="61"/>
      <w:r/>
      <w:bookmarkEnd w:id="62"/>
      <w:r/>
      <w:bookmarkEnd w:id="63"/>
      <w:r>
        <w:rPr>
          <w:rFonts w:hint="eastAsia" w:ascii="Arial" w:hAnsi="Arial" w:cs="Arial"/>
          <w:b/>
          <w:bCs/>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eastAsia="宋体" w:cs="Times New Roman"/>
          <w:sz w:val="24"/>
          <w:lang w:val="en-US" w:eastAsia="zh-CN"/>
        </w:rPr>
      </w:pPr>
      <w:r/>
      <w:bookmarkStart w:id="64" w:name="_Toc16938523"/>
      <w:r/>
      <w:bookmarkStart w:id="65" w:name="_Toc462564067"/>
      <w:r/>
      <w:bookmarkStart w:id="66" w:name="_Toc20823279"/>
      <w:r/>
      <w:bookmarkStart w:id="67" w:name="_Toc513029207"/>
      <w:r>
        <w:rPr>
          <w:rFonts w:hint="eastAsia" w:ascii="宋体" w:hAnsi="宋体" w:eastAsia="宋体" w:cs="Times New Roman"/>
          <w:sz w:val="24"/>
          <w:lang w:val="en-US" w:eastAsia="zh-CN"/>
        </w:rPr>
        <w:t xml:space="preserve">3.2 在本项目政府采购活动过程中，如果所执行的标准有更新的，按照最新标准执行。</w:t>
      </w:r>
      <w:r/>
    </w:p>
    <w:p>
      <w:pPr>
        <w:pStyle w:val="86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6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2"/>
        <w:ind w:firstLine="321"/>
        <w:spacing w:before="145" w:after="145" w:line="400" w:lineRule="exact"/>
        <w:rPr>
          <w:rFonts w:hint="eastAsia"/>
        </w:rPr>
      </w:pPr>
      <w:r/>
      <w:bookmarkStart w:id="68" w:name="_Toc120614215"/>
      <w:r/>
      <w:bookmarkStart w:id="69" w:name="_Toc513029209"/>
      <w:r/>
      <w:bookmarkStart w:id="70" w:name="_Toc16938525"/>
      <w:r/>
      <w:bookmarkStart w:id="71" w:name="_Toc20823281"/>
      <w:r>
        <w:rPr>
          <w:rFonts w:hint="eastAsia"/>
        </w:rPr>
        <w:t xml:space="preserve">二、招标文件</w:t>
      </w:r>
      <w:bookmarkEnd w:id="68"/>
      <w:r/>
      <w:bookmarkEnd w:id="69"/>
      <w:r/>
      <w:bookmarkEnd w:id="70"/>
      <w:r/>
      <w:bookmarkEnd w:id="71"/>
      <w:r/>
      <w:r/>
    </w:p>
    <w:p>
      <w:pPr>
        <w:pStyle w:val="863"/>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560"/>
        <w:spacing w:before="0" w:after="0" w:line="400" w:lineRule="exact"/>
        <w:rPr>
          <w:rFonts w:hint="eastAsia"/>
          <w:b w:val="0"/>
          <w:bCs w:val="0"/>
        </w:rPr>
      </w:pPr>
      <w:r/>
      <w:bookmarkStart w:id="75" w:name="_Toc462564071"/>
      <w:r/>
      <w:bookmarkStart w:id="76" w:name="_Toc513029212"/>
      <w:r/>
      <w:bookmarkStart w:id="77" w:name="_Toc16938528"/>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2"/>
        <w:ind w:firstLine="482"/>
        <w:spacing w:before="145" w:after="145" w:line="400" w:lineRule="exact"/>
        <w:rPr>
          <w:rFonts w:hint="eastAsia"/>
        </w:rPr>
      </w:pPr>
      <w:r/>
      <w:bookmarkStart w:id="79" w:name="_Toc462564072"/>
      <w:r/>
      <w:bookmarkStart w:id="80" w:name="_Toc120614216"/>
      <w:r/>
      <w:bookmarkStart w:id="81" w:name="_Toc16938529"/>
      <w:r/>
      <w:bookmarkStart w:id="82" w:name="_Toc20823285"/>
      <w:r/>
      <w:bookmarkStart w:id="83" w:name="_Toc513029213"/>
      <w:r>
        <w:rPr>
          <w:rFonts w:hint="eastAsia"/>
        </w:rPr>
        <w:t xml:space="preserve">三、投标文件的编制</w:t>
      </w:r>
      <w:bookmarkEnd w:id="79"/>
      <w:r/>
      <w:bookmarkEnd w:id="80"/>
      <w:r/>
      <w:bookmarkEnd w:id="81"/>
      <w:r/>
      <w:bookmarkEnd w:id="82"/>
      <w:r/>
      <w:bookmarkEnd w:id="83"/>
      <w:r/>
      <w:r/>
    </w:p>
    <w:p>
      <w:pPr>
        <w:pStyle w:val="863"/>
        <w:ind w:firstLine="560"/>
        <w:spacing w:before="0" w:after="0" w:line="400" w:lineRule="exact"/>
        <w:rPr>
          <w:rFonts w:hint="eastAsia"/>
          <w:bCs w:val="0"/>
        </w:rPr>
      </w:pPr>
      <w:r/>
      <w:bookmarkStart w:id="84" w:name="_Toc16938530"/>
      <w:r/>
      <w:bookmarkStart w:id="85" w:name="_Toc513029214"/>
      <w:r/>
      <w:bookmarkStart w:id="86" w:name="_Toc20823286"/>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63"/>
        <w:ind w:firstLine="420"/>
        <w:spacing w:before="0" w:after="0" w:line="400" w:lineRule="exact"/>
        <w:rPr>
          <w:rFonts w:hint="eastAsia"/>
          <w:b w:val="0"/>
          <w:bCs w:val="0"/>
        </w:rPr>
      </w:pPr>
      <w:r/>
      <w:bookmarkStart w:id="88" w:name="_Toc513029215"/>
      <w:r/>
      <w:bookmarkStart w:id="89" w:name="_Toc16938531"/>
      <w:r/>
      <w:bookmarkStart w:id="90" w:name="_Toc462564074"/>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63"/>
        <w:ind w:firstLine="420"/>
        <w:spacing w:before="0" w:after="0" w:line="400" w:lineRule="exact"/>
        <w:rPr>
          <w:rFonts w:hint="eastAsia"/>
          <w:b w:val="0"/>
          <w:bCs w:val="0"/>
        </w:rPr>
      </w:pPr>
      <w:r/>
      <w:bookmarkStart w:id="92" w:name="_Hlt26668975"/>
      <w:r/>
      <w:bookmarkEnd w:id="92"/>
      <w:r/>
      <w:bookmarkStart w:id="93" w:name="_Hlt26670360"/>
      <w:r/>
      <w:bookmarkEnd w:id="93"/>
      <w:r/>
      <w:bookmarkStart w:id="94" w:name="_Hlt26954838"/>
      <w:r/>
      <w:bookmarkEnd w:id="94"/>
      <w:r/>
      <w:bookmarkStart w:id="95" w:name="_Toc513029219"/>
      <w:r/>
      <w:bookmarkStart w:id="96" w:name="_Toc49090509"/>
      <w:r/>
      <w:bookmarkStart w:id="97" w:name="_Toc14577357"/>
      <w:r/>
      <w:bookmarkStart w:id="98" w:name="_Toc49090507"/>
      <w:r/>
      <w:bookmarkStart w:id="99" w:name="_Toc14577354"/>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3"/>
        <w:ind w:firstLine="420"/>
        <w:spacing w:before="0" w:after="0" w:line="400" w:lineRule="exact"/>
        <w:rPr>
          <w:rFonts w:hint="eastAsia"/>
          <w:b w:val="0"/>
          <w:bCs w:val="0"/>
        </w:rPr>
      </w:pPr>
      <w:r/>
      <w:bookmarkStart w:id="106" w:name="_Hlt26670486"/>
      <w:r/>
      <w:bookmarkEnd w:id="106"/>
      <w:r/>
      <w:bookmarkStart w:id="107" w:name="_Hlt26954842"/>
      <w:r/>
      <w:bookmarkEnd w:id="107"/>
      <w:r/>
      <w:bookmarkStart w:id="108" w:name="_Hlt26670425"/>
      <w:r/>
      <w:bookmarkEnd w:id="108"/>
      <w:r/>
      <w:bookmarkStart w:id="109" w:name="_Hlt26954846"/>
      <w:r/>
      <w:bookmarkEnd w:id="109"/>
      <w:r/>
      <w:bookmarkStart w:id="110" w:name="_Hlt26954848"/>
      <w:r/>
      <w:bookmarkEnd w:id="110"/>
      <w:r/>
      <w:bookmarkStart w:id="111" w:name="_Hlt26670482"/>
      <w:r/>
      <w:bookmarkEnd w:id="111"/>
      <w:r/>
      <w:bookmarkStart w:id="112" w:name="_Hlt26670403"/>
      <w:r/>
      <w:bookmarkEnd w:id="112"/>
      <w:r/>
      <w:bookmarkStart w:id="113" w:name="_Hlt26954731"/>
      <w:r/>
      <w:bookmarkEnd w:id="113"/>
      <w:r/>
      <w:bookmarkStart w:id="114" w:name="_Hlt26668983"/>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r/>
      <w:bookmarkEnd w:id="117"/>
      <w:r/>
      <w:r/>
    </w:p>
    <w:p>
      <w:pPr>
        <w:pStyle w:val="863"/>
        <w:ind w:firstLine="420"/>
        <w:spacing w:before="0" w:after="0" w:line="400" w:lineRule="exact"/>
        <w:rPr>
          <w:rFonts w:hint="eastAsia"/>
          <w:b w:val="0"/>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2"/>
        <w:ind w:firstLine="482"/>
        <w:spacing w:before="145" w:after="145" w:line="400" w:lineRule="exact"/>
        <w:rPr>
          <w:rFonts w:hint="eastAsia"/>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rPr>
        <w:t xml:space="preserve">四、投标文件的递交</w:t>
      </w:r>
      <w:bookmarkEnd w:id="125"/>
      <w:r/>
      <w:bookmarkEnd w:id="126"/>
      <w:r/>
      <w:bookmarkEnd w:id="127"/>
      <w:r/>
      <w:bookmarkEnd w:id="128"/>
      <w:r/>
      <w:r/>
    </w:p>
    <w:p>
      <w:pPr>
        <w:pStyle w:val="863"/>
        <w:ind w:firstLine="560"/>
        <w:spacing w:before="0" w:after="0" w:line="400" w:lineRule="exact"/>
        <w:rPr>
          <w:rFonts w:hint="eastAsia" w:ascii="黑体"/>
          <w:b w:val="0"/>
          <w:bCs w:val="0"/>
        </w:rPr>
      </w:pPr>
      <w:r/>
      <w:bookmarkStart w:id="129" w:name="_Toc20823297"/>
      <w:r/>
      <w:bookmarkStart w:id="130" w:name="_Toc462564084"/>
      <w:r/>
      <w:bookmarkStart w:id="131" w:name="_Toc513029225"/>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7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86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63"/>
        <w:ind w:firstLine="420"/>
        <w:spacing w:before="0" w:after="0" w:line="400" w:lineRule="exact"/>
        <w:rPr>
          <w:rFonts w:hint="eastAsia"/>
          <w:b w:val="0"/>
          <w:bCs w:val="0"/>
        </w:rPr>
      </w:pPr>
      <w:r/>
      <w:bookmarkStart w:id="136" w:name="_Toc20823299"/>
      <w:r/>
      <w:bookmarkStart w:id="137" w:name="_Toc16938543"/>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63"/>
        <w:ind w:firstLine="420"/>
        <w:spacing w:before="0" w:after="0" w:line="400" w:lineRule="exact"/>
        <w:rPr>
          <w:rFonts w:hint="eastAsia"/>
          <w:b w:val="0"/>
          <w:bCs w:val="0"/>
        </w:rPr>
      </w:pPr>
      <w:r/>
      <w:bookmarkStart w:id="139" w:name="_Toc20823300"/>
      <w:r/>
      <w:bookmarkStart w:id="140" w:name="_Toc513029228"/>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62"/>
        <w:ind w:firstLine="482"/>
        <w:spacing w:before="145" w:after="145" w:line="400" w:lineRule="exact"/>
        <w:rPr>
          <w:rFonts w:hint="eastAsia"/>
        </w:rPr>
      </w:pPr>
      <w:r/>
      <w:bookmarkStart w:id="142" w:name="_Toc513029229"/>
      <w:r/>
      <w:bookmarkStart w:id="143" w:name="_Toc20823301"/>
      <w:r/>
      <w:bookmarkStart w:id="144" w:name="_Toc120614218"/>
      <w:r/>
      <w:bookmarkStart w:id="145" w:name="_Toc16938545"/>
      <w:r>
        <w:rPr>
          <w:rFonts w:hint="eastAsia"/>
        </w:rPr>
        <w:t xml:space="preserve">五、开标与评标</w:t>
      </w:r>
      <w:bookmarkEnd w:id="142"/>
      <w:r/>
      <w:bookmarkEnd w:id="143"/>
      <w:r/>
      <w:bookmarkEnd w:id="144"/>
      <w:r/>
      <w:bookmarkEnd w:id="145"/>
      <w:r/>
      <w:r/>
    </w:p>
    <w:p>
      <w:pPr>
        <w:pStyle w:val="863"/>
        <w:ind w:firstLine="420"/>
        <w:spacing w:before="0" w:after="0" w:line="400" w:lineRule="exact"/>
        <w:rPr>
          <w:rFonts w:hint="eastAsia"/>
          <w:b w:val="0"/>
          <w:bCs w:val="0"/>
        </w:rPr>
      </w:pPr>
      <w:r/>
      <w:bookmarkStart w:id="146" w:name="_Toc16938546"/>
      <w:r/>
      <w:bookmarkStart w:id="147" w:name="_Toc20823302"/>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63"/>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lang w:eastAsia="zh-CN"/>
        </w:rPr>
        <w:t xml:space="preserve">评标委员会</w:t>
      </w:r>
      <w:r>
        <w:rPr>
          <w:rFonts w:hint="eastAsia" w:ascii="宋体" w:hAnsi="宋体"/>
          <w:sz w:val="24"/>
          <w:szCs w:val="24"/>
        </w:rPr>
        <w:t xml:space="preserve">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lang w:eastAsia="zh-CN"/>
        </w:rPr>
        <w:t xml:space="preserve">评标委员会</w:t>
      </w:r>
      <w:r>
        <w:rPr>
          <w:rFonts w:hint="eastAsia" w:ascii="宋体" w:hAnsi="宋体"/>
          <w:sz w:val="24"/>
          <w:szCs w:val="24"/>
        </w:rPr>
        <w:t xml:space="preserve">独立工作，负责评审所有投标文件并确定中标侯选人。</w:t>
      </w:r>
      <w:r/>
    </w:p>
    <w:p>
      <w:pPr>
        <w:pStyle w:val="86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63"/>
        <w:ind w:firstLine="420"/>
        <w:spacing w:before="0" w:after="0" w:line="400" w:lineRule="exact"/>
        <w:rPr>
          <w:rFonts w:hint="eastAsia"/>
          <w:b w:val="0"/>
          <w:bCs w:val="0"/>
        </w:rPr>
      </w:pPr>
      <w:r/>
      <w:bookmarkStart w:id="152" w:name="_Toc20823304"/>
      <w:r/>
      <w:bookmarkStart w:id="153" w:name="_Toc513029232"/>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w:t>
      </w:r>
      <w:r>
        <w:rPr>
          <w:rFonts w:hint="eastAsia" w:ascii="宋体" w:hAnsi="宋体"/>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w:t>
      </w:r>
      <w:r>
        <w:rPr>
          <w:rFonts w:hint="eastAsia" w:ascii="宋体" w:hAnsi="宋体"/>
          <w:sz w:val="24"/>
          <w:szCs w:val="24"/>
          <w:lang w:eastAsia="zh-CN"/>
        </w:rPr>
        <w:t xml:space="preserve">评标委员会</w:t>
      </w:r>
      <w:r>
        <w:rPr>
          <w:rFonts w:hint="eastAsia" w:ascii="宋体" w:hAnsi="宋体"/>
          <w:sz w:val="24"/>
          <w:szCs w:val="24"/>
        </w:rPr>
        <w:t xml:space="preserve">澄清、说明和补正要求的投标人如未按规定做出澄清、说明和补正，其风险由投标人自行承担。</w:t>
      </w:r>
      <w:r/>
    </w:p>
    <w:p>
      <w:pPr>
        <w:pStyle w:val="863"/>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w:t>
      </w:r>
      <w:r>
        <w:rPr>
          <w:rFonts w:hint="eastAsia" w:ascii="宋体" w:hAnsi="宋体"/>
          <w:bCs/>
          <w:sz w:val="24"/>
          <w:lang w:eastAsia="zh-CN"/>
        </w:rPr>
        <w:t xml:space="preserve">评标委员会</w:t>
      </w:r>
      <w:r>
        <w:rPr>
          <w:rFonts w:hint="eastAsia" w:ascii="宋体" w:hAnsi="宋体"/>
          <w:bCs/>
          <w:sz w:val="24"/>
        </w:rPr>
        <w:t xml:space="preserve">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w:t>
      </w:r>
      <w:r>
        <w:rPr>
          <w:rFonts w:hint="eastAsia" w:ascii="宋体" w:hAnsi="宋体"/>
          <w:sz w:val="24"/>
          <w:lang w:eastAsia="zh-CN"/>
        </w:rPr>
        <w:t xml:space="preserve">评标委员会</w:t>
      </w:r>
      <w:r>
        <w:rPr>
          <w:rFonts w:hint="eastAsia" w:ascii="宋体" w:hAnsi="宋体"/>
          <w:sz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sz w:val="24"/>
          <w:lang w:eastAsia="zh-CN"/>
        </w:rPr>
        <w:t xml:space="preserve">评标委员会</w:t>
      </w:r>
      <w:r>
        <w:rPr>
          <w:rFonts w:hint="eastAsia" w:ascii="宋体" w:hAnsi="宋体"/>
          <w:sz w:val="24"/>
        </w:rPr>
        <w:t xml:space="preserve">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w:t>
      </w:r>
      <w:r>
        <w:rPr>
          <w:rFonts w:hint="eastAsia" w:ascii="宋体" w:hAnsi="宋体"/>
          <w:sz w:val="24"/>
          <w:lang w:eastAsia="zh-CN"/>
        </w:rPr>
        <w:t xml:space="preserve">评标委员会</w:t>
      </w:r>
      <w:r>
        <w:rPr>
          <w:rFonts w:hint="eastAsia" w:ascii="宋体" w:hAnsi="宋体"/>
          <w:sz w:val="24"/>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lang w:eastAsia="zh-CN"/>
        </w:rPr>
        <w:t xml:space="preserve">评标委员会</w:t>
      </w:r>
      <w:r>
        <w:rPr>
          <w:rFonts w:hint="eastAsia" w:ascii="宋体" w:hAnsi="宋体"/>
          <w:bCs/>
          <w:sz w:val="24"/>
        </w:rPr>
        <w:t xml:space="preserve">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lang w:eastAsia="zh-CN"/>
        </w:rPr>
        <w:t xml:space="preserve">评标委员会</w:t>
      </w:r>
      <w:r>
        <w:rPr>
          <w:rFonts w:hint="eastAsia" w:ascii="宋体" w:hAnsi="宋体"/>
          <w:bCs/>
          <w:sz w:val="24"/>
        </w:rPr>
        <w:t xml:space="preserve">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 异常低价投标审查</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（1）投标报价低于全部通过符合性审查供应商投标报价平均值</w:t>
      </w:r>
      <w:r>
        <w:rPr>
          <w:rFonts w:hint="eastAsia" w:ascii="方正魏碑_GBK" w:hAnsi="方正魏碑_GBK" w:eastAsia="方正魏碑_GBK" w:cs="方正魏碑_GBK"/>
          <w:color w:val="ff0000"/>
          <w:sz w:val="24"/>
          <w:szCs w:val="21"/>
          <w:u w:val="single"/>
          <w:lang w:val="en-US" w:eastAsia="zh-CN"/>
        </w:rPr>
        <w:t xml:space="preserve">65</w:t>
      </w:r>
      <w:r>
        <w:rPr>
          <w:rFonts w:hint="eastAsia" w:ascii="方正魏碑_GBK" w:hAnsi="方正魏碑_GBK" w:eastAsia="方正魏碑_GBK" w:cs="方正魏碑_GBK"/>
          <w:color w:val="ff0000"/>
          <w:sz w:val="24"/>
          <w:szCs w:val="21"/>
          <w:u w:val="single"/>
        </w:rPr>
        <w:t xml:space="preserve">%</w:t>
      </w:r>
      <w:r>
        <w:rPr>
          <w:rFonts w:hint="eastAsia" w:ascii="方正魏碑_GBK" w:hAnsi="方正魏碑_GBK" w:eastAsia="方正魏碑_GBK" w:cs="方正魏碑_GBK"/>
          <w:color w:val="ff0000"/>
          <w:sz w:val="24"/>
          <w:szCs w:val="21"/>
        </w:rPr>
        <w:t xml:space="preserve">的，即投标报价&lt;全部通过符合性审查供应商投标报价平均值×</w:t>
      </w:r>
      <w:r>
        <w:rPr>
          <w:rFonts w:hint="eastAsia" w:ascii="方正魏碑_GBK" w:hAnsi="方正魏碑_GBK" w:eastAsia="方正魏碑_GBK" w:cs="方正魏碑_GBK"/>
          <w:color w:val="ff0000"/>
          <w:sz w:val="24"/>
          <w:szCs w:val="21"/>
          <w:u w:val="single"/>
          <w:lang w:val="en-US" w:eastAsia="zh-CN"/>
        </w:rPr>
        <w:t xml:space="preserve">65</w:t>
      </w:r>
      <w:r>
        <w:rPr>
          <w:rFonts w:hint="eastAsia" w:ascii="方正魏碑_GBK" w:hAnsi="方正魏碑_GBK" w:eastAsia="方正魏碑_GBK" w:cs="方正魏碑_GBK"/>
          <w:color w:val="ff0000"/>
          <w:sz w:val="24"/>
          <w:szCs w:val="21"/>
          <w:u w:val="single"/>
        </w:rPr>
        <w:t xml:space="preserve">%</w:t>
      </w:r>
      <w:r>
        <w:rPr>
          <w:rFonts w:hint="eastAsia" w:ascii="方正魏碑_GBK" w:hAnsi="方正魏碑_GBK" w:eastAsia="方正魏碑_GBK" w:cs="方正魏碑_GBK"/>
          <w:color w:val="ff0000"/>
          <w:sz w:val="24"/>
          <w:szCs w:val="21"/>
        </w:rPr>
        <w:t xml:space="preserve">；</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（2）投标报价低于通过符合性审查的次低报价供应商投标报价</w:t>
      </w:r>
      <w:r>
        <w:rPr>
          <w:rFonts w:hint="eastAsia" w:ascii="方正魏碑_GBK" w:hAnsi="方正魏碑_GBK" w:eastAsia="方正魏碑_GBK" w:cs="方正魏碑_GBK"/>
          <w:color w:val="ff0000"/>
          <w:sz w:val="24"/>
          <w:szCs w:val="21"/>
          <w:u w:val="single"/>
          <w:lang w:val="en-US" w:eastAsia="zh-CN"/>
        </w:rPr>
        <w:t xml:space="preserve">65</w:t>
      </w:r>
      <w:r>
        <w:rPr>
          <w:rFonts w:hint="eastAsia" w:ascii="方正魏碑_GBK" w:hAnsi="方正魏碑_GBK" w:eastAsia="方正魏碑_GBK" w:cs="方正魏碑_GBK"/>
          <w:color w:val="ff0000"/>
          <w:sz w:val="24"/>
          <w:szCs w:val="21"/>
          <w:u w:val="single"/>
        </w:rPr>
        <w:t xml:space="preserve">%</w:t>
      </w:r>
      <w:r>
        <w:rPr>
          <w:rFonts w:hint="eastAsia" w:ascii="方正魏碑_GBK" w:hAnsi="方正魏碑_GBK" w:eastAsia="方正魏碑_GBK" w:cs="方正魏碑_GBK"/>
          <w:color w:val="ff0000"/>
          <w:sz w:val="24"/>
          <w:szCs w:val="21"/>
        </w:rPr>
        <w:t xml:space="preserve">的，即投标报价&lt;通过符合性审查的次低报价供应商投标报价×</w:t>
      </w:r>
      <w:r>
        <w:rPr>
          <w:rFonts w:hint="eastAsia" w:ascii="方正魏碑_GBK" w:hAnsi="方正魏碑_GBK" w:eastAsia="方正魏碑_GBK" w:cs="方正魏碑_GBK"/>
          <w:color w:val="ff0000"/>
          <w:sz w:val="24"/>
          <w:szCs w:val="21"/>
          <w:u w:val="single"/>
          <w:lang w:val="en-US" w:eastAsia="zh-CN"/>
        </w:rPr>
        <w:t xml:space="preserve">65</w:t>
      </w:r>
      <w:r>
        <w:rPr>
          <w:rFonts w:hint="eastAsia" w:ascii="方正魏碑_GBK" w:hAnsi="方正魏碑_GBK" w:eastAsia="方正魏碑_GBK" w:cs="方正魏碑_GBK"/>
          <w:color w:val="ff0000"/>
          <w:sz w:val="24"/>
          <w:szCs w:val="21"/>
          <w:u w:val="single"/>
        </w:rPr>
        <w:t xml:space="preserve">%</w:t>
      </w:r>
      <w:r>
        <w:rPr>
          <w:rFonts w:hint="eastAsia" w:ascii="方正魏碑_GBK" w:hAnsi="方正魏碑_GBK" w:eastAsia="方正魏碑_GBK" w:cs="方正魏碑_GBK"/>
          <w:color w:val="ff0000"/>
          <w:sz w:val="24"/>
          <w:szCs w:val="21"/>
        </w:rPr>
        <w:t xml:space="preserve">；</w:t>
      </w:r>
      <w:r/>
    </w:p>
    <w:p>
      <w:pPr>
        <w:ind w:firstLine="420"/>
        <w:spacing w:line="400" w:lineRule="exact"/>
        <w:rPr>
          <w:rFonts w:hint="eastAsia" w:ascii="方正魏碑_GBK" w:hAnsi="方正魏碑_GBK" w:eastAsia="方正魏碑_GBK" w:cs="方正魏碑_GBK"/>
          <w:color w:val="ff0000"/>
          <w:sz w:val="24"/>
          <w:szCs w:val="21"/>
          <w:lang w:eastAsia="zh-CN"/>
        </w:rPr>
      </w:pP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val="en-US" w:eastAsia="zh-CN"/>
        </w:rPr>
        <w:t xml:space="preserve">3</w:t>
      </w:r>
      <w:r>
        <w:rPr>
          <w:rFonts w:hint="eastAsia" w:ascii="方正魏碑_GBK" w:hAnsi="方正魏碑_GBK" w:eastAsia="方正魏碑_GBK" w:cs="方正魏碑_GBK"/>
          <w:color w:val="ff0000"/>
          <w:sz w:val="24"/>
          <w:szCs w:val="21"/>
          <w:lang w:eastAsia="zh-CN"/>
        </w:rPr>
        <w:t xml:space="preserve">）投标报价低于采购项目最高限价</w:t>
      </w:r>
      <w:r>
        <w:rPr>
          <w:rFonts w:hint="eastAsia" w:ascii="方正魏碑_GBK" w:hAnsi="方正魏碑_GBK" w:eastAsia="方正魏碑_GBK" w:cs="方正魏碑_GBK"/>
          <w:color w:val="ff0000"/>
          <w:sz w:val="24"/>
          <w:szCs w:val="21"/>
          <w:u w:val="single"/>
          <w:lang w:val="en-US" w:eastAsia="zh-CN"/>
        </w:rPr>
        <w:t xml:space="preserve">65</w:t>
      </w:r>
      <w:r>
        <w:rPr>
          <w:rFonts w:hint="eastAsia" w:ascii="方正魏碑_GBK" w:hAnsi="方正魏碑_GBK" w:eastAsia="方正魏碑_GBK" w:cs="方正魏碑_GBK"/>
          <w:color w:val="ff0000"/>
          <w:sz w:val="24"/>
          <w:szCs w:val="21"/>
          <w:u w:val="single"/>
          <w:lang w:eastAsia="zh-CN"/>
        </w:rPr>
        <w:t xml:space="preserve">%</w:t>
      </w:r>
      <w:r>
        <w:rPr>
          <w:rFonts w:hint="eastAsia" w:ascii="方正魏碑_GBK" w:hAnsi="方正魏碑_GBK" w:eastAsia="方正魏碑_GBK" w:cs="方正魏碑_GBK"/>
          <w:color w:val="ff0000"/>
          <w:sz w:val="24"/>
          <w:szCs w:val="21"/>
          <w:lang w:eastAsia="zh-CN"/>
        </w:rPr>
        <w:t xml:space="preserve">的，即投标报价&lt;采购项目最高限价×</w:t>
      </w:r>
      <w:r>
        <w:rPr>
          <w:rFonts w:hint="eastAsia" w:ascii="方正魏碑_GBK" w:hAnsi="方正魏碑_GBK" w:eastAsia="方正魏碑_GBK" w:cs="方正魏碑_GBK"/>
          <w:color w:val="ff0000"/>
          <w:sz w:val="24"/>
          <w:szCs w:val="21"/>
          <w:u w:val="single"/>
          <w:lang w:val="en-US" w:eastAsia="zh-CN"/>
        </w:rPr>
        <w:t xml:space="preserve">65</w:t>
      </w:r>
      <w:r>
        <w:rPr>
          <w:rFonts w:hint="eastAsia" w:ascii="方正魏碑_GBK" w:hAnsi="方正魏碑_GBK" w:eastAsia="方正魏碑_GBK" w:cs="方正魏碑_GBK"/>
          <w:color w:val="ff0000"/>
          <w:sz w:val="24"/>
          <w:szCs w:val="21"/>
          <w:u w:val="single"/>
          <w:lang w:eastAsia="zh-CN"/>
        </w:rPr>
        <w:t xml:space="preserve">%</w:t>
      </w:r>
      <w:r>
        <w:rPr>
          <w:rFonts w:hint="eastAsia" w:ascii="方正魏碑_GBK" w:hAnsi="方正魏碑_GBK" w:eastAsia="方正魏碑_GBK" w:cs="方正魏碑_GBK"/>
          <w:color w:val="ff0000"/>
          <w:sz w:val="24"/>
          <w:szCs w:val="21"/>
          <w:lang w:eastAsia="zh-CN"/>
        </w:rPr>
        <w:t xml:space="preserve">；</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eastAsia="zh-CN"/>
        </w:rPr>
        <w:t xml:space="preserve">评标</w:t>
      </w:r>
      <w:r>
        <w:rPr>
          <w:rFonts w:hint="eastAsia" w:ascii="方正魏碑_GBK" w:hAnsi="方正魏碑_GBK" w:eastAsia="方正魏碑_GBK" w:cs="方正魏碑_GBK"/>
          <w:color w:val="ff0000"/>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.2 </w:t>
      </w:r>
      <w:r>
        <w:rPr>
          <w:rFonts w:hint="eastAsia" w:ascii="方正魏碑_GBK" w:hAnsi="方正魏碑_GBK" w:eastAsia="方正魏碑_GBK" w:cs="方正魏碑_GBK"/>
          <w:color w:val="ff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6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6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63"/>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w:t>
      </w:r>
      <w:r>
        <w:rPr>
          <w:rFonts w:hint="eastAsia" w:ascii="宋体" w:hAnsi="宋体"/>
          <w:sz w:val="24"/>
          <w:szCs w:val="24"/>
          <w:lang w:eastAsia="zh-CN"/>
        </w:rPr>
        <w:t xml:space="preserve">评标委员会</w:t>
      </w:r>
      <w:r>
        <w:rPr>
          <w:rFonts w:hint="eastAsia" w:ascii="宋体" w:hAnsi="宋体"/>
          <w:sz w:val="24"/>
          <w:szCs w:val="24"/>
        </w:rPr>
        <w:t xml:space="preserve">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2"/>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bookmarkEnd w:id="170"/>
      <w:r/>
      <w:bookmarkEnd w:id="171"/>
      <w:r/>
      <w:bookmarkEnd w:id="172"/>
      <w:r/>
      <w:r/>
    </w:p>
    <w:p>
      <w:pPr>
        <w:pStyle w:val="863"/>
        <w:ind w:firstLine="600"/>
        <w:spacing w:before="0" w:after="0" w:line="400" w:lineRule="exact"/>
        <w:rPr>
          <w:rFonts w:hint="eastAsia" w:ascii="黑体" w:hAnsi="宋体" w:cs="Times New Roman"/>
          <w:b w:val="0"/>
          <w:sz w:val="30"/>
          <w:szCs w:val="30"/>
        </w:rPr>
      </w:pPr>
      <w:r/>
      <w:bookmarkStart w:id="173" w:name="_Toc16938553"/>
      <w:r/>
      <w:bookmarkStart w:id="174" w:name="_Toc20823309"/>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r/>
      <w:bookmarkEnd w:id="174"/>
      <w:r/>
      <w:bookmarkEnd w:id="175"/>
      <w:r/>
      <w:r/>
    </w:p>
    <w:p>
      <w:pPr>
        <w:pStyle w:val="863"/>
        <w:ind w:firstLine="600"/>
        <w:spacing w:before="0" w:after="0" w:line="400" w:lineRule="exact"/>
        <w:rPr>
          <w:rFonts w:ascii="黑体" w:hAnsi="宋体" w:cs="Times New Roman"/>
          <w:b w:val="0"/>
          <w:sz w:val="30"/>
          <w:szCs w:val="30"/>
        </w:rPr>
      </w:pPr>
      <w:r/>
      <w:bookmarkStart w:id="176" w:name="_Toc20823314"/>
      <w:r/>
      <w:bookmarkStart w:id="177" w:name="_Toc513029242"/>
      <w:r/>
      <w:bookmarkStart w:id="178" w:name="_Toc16938558"/>
      <w:r/>
      <w:bookmarkStart w:id="179" w:name="_Toc120614221"/>
      <w:r/>
      <w:bookmarkStart w:id="180" w:name="_Toc479757207"/>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7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60"/>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1" w:name="_Toc16938559"/>
      <w:r/>
      <w:bookmarkStart w:id="182" w:name="_Toc20823315"/>
      <w:r/>
      <w:bookmarkStart w:id="183" w:name="_Toc513029243"/>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bookmarkEnd w:id="181"/>
      <w:r/>
      <w:bookmarkEnd w:id="182"/>
      <w:r/>
      <w:bookmarkEnd w:id="183"/>
      <w:r/>
      <w:r/>
    </w:p>
    <w:p>
      <w:pPr>
        <w:keepLines w:val="0"/>
        <w:keepNext w:val="0"/>
        <w:pageBreakBefore w:val="0"/>
        <w:spacing w:before="120" w:after="120" w:line="400" w:lineRule="exact"/>
        <w:widowControl w:val="off"/>
        <w:rPr>
          <w:rFonts w:hint="eastAsia" w:ascii="宋体" w:hAnsi="宋体" w:cs="Courier New"/>
          <w:sz w:val="24"/>
          <w:szCs w:val="24"/>
        </w:rPr>
      </w:pPr>
      <w:r/>
      <w:bookmarkStart w:id="184" w:name="_Hlt16619350"/>
      <w:r/>
      <w:bookmarkStart w:id="185" w:name="_Toc120614244"/>
      <w:r/>
      <w:bookmarkStart w:id="186" w:name="_Toc16938590"/>
      <w:r/>
      <w:bookmarkStart w:id="187" w:name="_Toc20823346"/>
      <w:r/>
      <w:bookmarkStart w:id="188" w:name="_Toc462564139"/>
      <w:r/>
      <w:bookmarkStart w:id="189" w:name="_Toc479757211"/>
      <w:r>
        <w:rPr>
          <w:rFonts w:ascii="宋体" w:hAnsi="宋体" w:cs="Courier New"/>
          <w:sz w:val="24"/>
          <w:szCs w:val="24"/>
        </w:rPr>
        <w:t xml:space="preserve">项目名称：                   </w:t>
      </w:r>
      <w:r/>
    </w:p>
    <w:p>
      <w:pPr>
        <w:keepLines w:val="0"/>
        <w:keepNext w:val="0"/>
        <w:pageBreakBefore w:val="0"/>
        <w:spacing w:before="120" w:after="120" w:line="400" w:lineRule="exact"/>
        <w:widowControl w:val="off"/>
        <w:rPr>
          <w:rFonts w:hint="eastAsia" w:ascii="宋体" w:hAnsi="宋体" w:cs="Courier New"/>
          <w:sz w:val="24"/>
          <w:szCs w:val="24"/>
        </w:rPr>
      </w:pPr>
      <w:r>
        <w:rPr>
          <w:rFonts w:ascii="宋体" w:hAnsi="宋体" w:cs="Courier New"/>
          <w:sz w:val="24"/>
          <w:szCs w:val="24"/>
        </w:rPr>
        <w:t xml:space="preserve">项目编号：             </w:t>
      </w:r>
      <w:r/>
    </w:p>
    <w:p>
      <w:pPr>
        <w:keepLines w:val="0"/>
        <w:keepNext w:val="0"/>
        <w:pageBreakBefore w:val="0"/>
        <w:spacing w:before="120" w:after="120" w:line="400" w:lineRule="exact"/>
        <w:widowControl w:val="off"/>
        <w:rPr>
          <w:rFonts w:hint="eastAsia" w:ascii="宋体" w:hAnsi="宋体" w:cs="Courier New"/>
          <w:sz w:val="24"/>
          <w:szCs w:val="24"/>
        </w:rPr>
      </w:pPr>
      <w:r>
        <w:rPr>
          <w:rFonts w:hint="eastAsia" w:ascii="宋体" w:hAnsi="宋体" w:cs="Courier New"/>
          <w:sz w:val="24"/>
          <w:szCs w:val="24"/>
        </w:rPr>
        <w:t xml:space="preserve">采购包号：</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甲方：（买方）_________</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乙方：（卖方）_________</w:t>
      </w:r>
      <w:r/>
    </w:p>
    <w:p>
      <w:pPr>
        <w:pStyle w:val="971"/>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71"/>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71"/>
        <w:keepLines w:val="0"/>
        <w:keepNext w:val="0"/>
        <w:pageBreakBefore w:val="0"/>
        <w:spacing w:before="120" w:after="120" w:line="400" w:lineRule="exact"/>
        <w:widowControl w:val="off"/>
        <w:rPr>
          <w:rFonts w:hint="eastAsia" w:hAnsi="宋体"/>
          <w:sz w:val="24"/>
          <w:szCs w:val="24"/>
        </w:rPr>
      </w:pPr>
      <w:r>
        <w:rPr>
          <w:rFonts w:hint="eastAsia" w:hAnsi="宋体"/>
          <w:sz w:val="24"/>
          <w:szCs w:val="24"/>
        </w:rPr>
        <w:t xml:space="preserve">1.3 标的数量（规模）：</w:t>
      </w:r>
      <w:r/>
    </w:p>
    <w:p>
      <w:pPr>
        <w:pStyle w:val="971"/>
        <w:keepLines w:val="0"/>
        <w:keepNext w:val="0"/>
        <w:pageBreakBefore w:val="0"/>
        <w:spacing w:before="120" w:after="120" w:line="400" w:lineRule="exact"/>
        <w:widowControl w:val="off"/>
        <w:rPr>
          <w:rFonts w:hint="eastAsia" w:hAnsi="宋体"/>
          <w:sz w:val="24"/>
          <w:szCs w:val="24"/>
        </w:rPr>
      </w:pPr>
      <w:r>
        <w:rPr>
          <w:rFonts w:hint="eastAsia" w:hAnsi="宋体"/>
          <w:sz w:val="24"/>
          <w:szCs w:val="24"/>
        </w:rPr>
        <w:t xml:space="preserve">1.4 履行时间（期限）：</w:t>
      </w:r>
      <w:r/>
    </w:p>
    <w:p>
      <w:pPr>
        <w:pStyle w:val="971"/>
        <w:keepLines w:val="0"/>
        <w:keepNext w:val="0"/>
        <w:pageBreakBefore w:val="0"/>
        <w:spacing w:before="120" w:after="120" w:line="400" w:lineRule="exact"/>
        <w:widowControl w:val="off"/>
        <w:rPr>
          <w:rFonts w:hint="eastAsia" w:hAnsi="宋体"/>
          <w:sz w:val="24"/>
          <w:szCs w:val="24"/>
        </w:rPr>
      </w:pPr>
      <w:r>
        <w:rPr>
          <w:rFonts w:hint="eastAsia" w:hAnsi="宋体"/>
          <w:sz w:val="24"/>
          <w:szCs w:val="24"/>
        </w:rPr>
        <w:t xml:space="preserve">1.5 履行地点：</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971"/>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二、合同金额</w:t>
      </w:r>
      <w:r/>
    </w:p>
    <w:p>
      <w:pPr>
        <w:pStyle w:val="971"/>
        <w:ind w:left="410" w:hanging="41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71"/>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三、技术资料</w:t>
      </w:r>
      <w:r/>
    </w:p>
    <w:p>
      <w:pPr>
        <w:pStyle w:val="971"/>
        <w:ind w:left="410" w:hanging="41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71"/>
        <w:ind w:left="410" w:hanging="41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1"/>
        <w:ind w:left="412" w:hanging="412"/>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四、知识产权</w:t>
      </w:r>
      <w:r/>
    </w:p>
    <w:p>
      <w:pPr>
        <w:pStyle w:val="971"/>
        <w:ind w:left="408" w:hanging="408"/>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1"/>
        <w:keepLines w:val="0"/>
        <w:keepNext w:val="0"/>
        <w:pageBreakBefore w:val="0"/>
        <w:spacing w:before="120" w:after="120" w:line="400" w:lineRule="exact"/>
        <w:widowControl w:val="off"/>
        <w:rPr>
          <w:rFonts w:hint="eastAsia" w:hAnsi="宋体"/>
          <w:sz w:val="24"/>
          <w:szCs w:val="24"/>
          <w:u w:val="single"/>
        </w:rPr>
      </w:pPr>
      <w:r>
        <w:rPr>
          <w:rFonts w:hAnsi="宋体"/>
          <w:b/>
          <w:sz w:val="24"/>
          <w:szCs w:val="24"/>
        </w:rPr>
        <w:t xml:space="preserve">五、产权担保</w:t>
      </w:r>
      <w:r/>
    </w:p>
    <w:p>
      <w:pPr>
        <w:pStyle w:val="971"/>
        <w:ind w:left="408" w:hanging="408"/>
        <w:keepLines w:val="0"/>
        <w:keepNext w:val="0"/>
        <w:pageBreakBefore w:val="0"/>
        <w:spacing w:before="120" w:after="120" w:line="400" w:lineRule="exact"/>
        <w:widowControl w:val="off"/>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keepLines w:val="0"/>
        <w:keepNext w:val="0"/>
        <w:pageBreakBefore w:val="0"/>
        <w:spacing w:before="145" w:after="145" w:line="400" w:lineRule="exact"/>
        <w:widowControl w:val="off"/>
        <w:rPr>
          <w:rFonts w:hint="eastAsia" w:ascii="宋体" w:hAnsi="宋体" w:eastAsia="仿宋_GB2312"/>
          <w:b/>
          <w:sz w:val="24"/>
          <w:szCs w:val="24"/>
        </w:rPr>
      </w:pPr>
      <w:r>
        <w:rPr>
          <w:rFonts w:hint="eastAsia" w:ascii="宋体" w:hAnsi="宋体"/>
          <w:b/>
          <w:sz w:val="24"/>
          <w:szCs w:val="24"/>
        </w:rPr>
        <w:t xml:space="preserve">六、合同转包或分包</w:t>
      </w:r>
      <w:r/>
    </w:p>
    <w:p>
      <w:pPr>
        <w:keepLines w:val="0"/>
        <w:keepNext w:val="0"/>
        <w:pageBreakBefore w:val="0"/>
        <w:spacing w:before="145" w:after="145" w:line="400" w:lineRule="exact"/>
        <w:widowControl w:val="off"/>
        <w:rPr>
          <w:rFonts w:hint="default"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6.1乙方不得将合同标的整体转包给他人履行，相关产品采购和服务除外。</w:t>
      </w:r>
      <w:r/>
    </w:p>
    <w:p>
      <w:pPr>
        <w:keepLines w:val="0"/>
        <w:keepNext w:val="0"/>
        <w:pageBreakBefore w:val="0"/>
        <w:spacing w:before="145" w:after="145" w:line="40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6.2乙方如有整体转包行为，甲方有权解除合同。</w:t>
      </w:r>
      <w:r/>
    </w:p>
    <w:p>
      <w:pPr>
        <w:pStyle w:val="971"/>
        <w:keepLines w:val="0"/>
        <w:keepNext w:val="0"/>
        <w:pageBreakBefore w:val="0"/>
        <w:spacing w:before="120" w:after="120" w:line="400" w:lineRule="exact"/>
        <w:widowControl w:val="off"/>
        <w:rPr>
          <w:rFonts w:hint="eastAsia"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int="eastAsia" w:hAnsi="宋体"/>
          <w:sz w:val="24"/>
          <w:szCs w:val="24"/>
        </w:rPr>
        <w:t xml:space="preserve">7.1合同签订后，甲方在收到乙方符合要求的财务发票30个工作日内，预付合同金额的30%；交付物上线试用后，甲方在收到乙方符合要求的财务发票30个工作日内，支付合同额20%；项目甲方初验合格后，甲方在收到乙方符合要求的财务发票30个工作日内，支付合同额40%；项目通过主管部门组织的验收后，支付甲方在收到乙方符合要求的财务发票30个工作日内，支付合同额10%。</w:t>
      </w:r>
      <w:r/>
    </w:p>
    <w:p>
      <w:pPr>
        <w:keepLines w:val="0"/>
        <w:keepNext w:val="0"/>
        <w:pageBreakBefore w:val="0"/>
        <w:spacing w:before="145" w:after="145" w:line="400" w:lineRule="exact"/>
        <w:widowControl w:val="off"/>
        <w:rPr>
          <w:rFonts w:hint="eastAsia" w:ascii="宋体" w:hAnsi="宋体" w:eastAsia="仿宋_GB2312"/>
          <w:b/>
          <w:sz w:val="24"/>
          <w:szCs w:val="24"/>
        </w:rPr>
      </w:pPr>
      <w:r>
        <w:rPr>
          <w:rFonts w:hint="eastAsia" w:ascii="宋体" w:hAnsi="宋体"/>
          <w:b/>
          <w:sz w:val="24"/>
          <w:szCs w:val="24"/>
        </w:rPr>
        <w:t xml:space="preserve">八、税费</w:t>
      </w:r>
      <w:r/>
    </w:p>
    <w:p>
      <w:pPr>
        <w:keepLines w:val="0"/>
        <w:keepNext w:val="0"/>
        <w:pageBreakBefore w:val="0"/>
        <w:spacing w:before="145" w:after="145" w:line="400" w:lineRule="exact"/>
        <w:widowControl w:val="off"/>
        <w:rPr>
          <w:rFonts w:hint="eastAsia" w:ascii="宋体" w:hAnsi="宋体" w:eastAsia="仿宋_GB2312"/>
          <w:sz w:val="24"/>
          <w:szCs w:val="24"/>
        </w:rPr>
      </w:pPr>
      <w:r>
        <w:rPr>
          <w:rFonts w:ascii="宋体" w:hAnsi="宋体"/>
          <w:sz w:val="24"/>
          <w:szCs w:val="24"/>
        </w:rPr>
        <w:t xml:space="preserve">8.1</w:t>
      </w:r>
      <w:r>
        <w:rPr>
          <w:rFonts w:hint="eastAsia" w:ascii="宋体" w:hAnsi="宋体"/>
          <w:sz w:val="24"/>
          <w:szCs w:val="24"/>
        </w:rPr>
        <w:t xml:space="preserve">本合同执行中相关的一切税费均由乙方负担。</w:t>
      </w:r>
      <w:r/>
    </w:p>
    <w:p>
      <w:pPr>
        <w:pStyle w:val="971"/>
        <w:keepLines w:val="0"/>
        <w:keepNext w:val="0"/>
        <w:pageBreakBefore w:val="0"/>
        <w:spacing w:before="120" w:after="120" w:line="400" w:lineRule="exact"/>
        <w:widowControl w:val="off"/>
        <w:rPr>
          <w:rFonts w:hint="eastAsia"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9</w:t>
      </w:r>
      <w:r>
        <w:rPr>
          <w:rFonts w:hint="eastAsia" w:hAnsi="宋体"/>
          <w:sz w:val="24"/>
          <w:szCs w:val="24"/>
        </w:rPr>
        <w:t xml:space="preserve">.1 甲方依法组织履约验收工作。</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9</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9</w:t>
      </w:r>
      <w:r>
        <w:rPr>
          <w:rFonts w:hint="eastAsia" w:hAnsi="宋体"/>
          <w:sz w:val="24"/>
          <w:szCs w:val="24"/>
        </w:rPr>
        <w:t xml:space="preserve">.3 对于实际使用人和甲方分离的项目，甲方邀请实际使用人参与验收。</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9</w:t>
      </w:r>
      <w:r>
        <w:rPr>
          <w:rFonts w:hint="eastAsia" w:hAnsi="宋体"/>
          <w:sz w:val="24"/>
          <w:szCs w:val="24"/>
        </w:rPr>
        <w:t xml:space="preserve">.4 如有必要，甲方邀请参加本项目的其他供应商或第三方专业机构及专家参与验收，相关意见将作为验收书的参考资料。</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9</w:t>
      </w:r>
      <w:r>
        <w:rPr>
          <w:rFonts w:hint="eastAsia" w:hAnsi="宋体"/>
          <w:sz w:val="24"/>
          <w:szCs w:val="24"/>
        </w:rPr>
        <w:t xml:space="preserve">.5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由验收双方共同签署。验收结果与采购合同约定的资金支付挂钩。履约验收的各项资料存档备查。</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9</w:t>
      </w:r>
      <w:r>
        <w:rPr>
          <w:rFonts w:hint="eastAsia" w:hAnsi="宋体"/>
          <w:sz w:val="24"/>
          <w:szCs w:val="24"/>
        </w:rPr>
        <w:t xml:space="preserve">.6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甲方根据采购合同的约定及时向乙方支付合同款项。验收不合格的项目，甲方依法及时处理。采购合同的履行、违约责任和解决争议的方式等适用</w:t>
      </w:r>
      <w:r>
        <w:rPr>
          <w:rFonts w:hint="eastAsia" w:hAnsi="宋体"/>
          <w:sz w:val="24"/>
          <w:szCs w:val="24"/>
          <w:lang w:eastAsia="zh-CN"/>
        </w:rPr>
        <w:t xml:space="preserve">《中华人民共和国民法典》</w:t>
      </w:r>
      <w:r>
        <w:rPr>
          <w:rFonts w:hint="eastAsia" w:hAnsi="宋体"/>
          <w:sz w:val="24"/>
          <w:szCs w:val="24"/>
        </w:rPr>
        <w:t xml:space="preserve">。乙方在履约过程中有政府采购法律法规规定的违法违规情形的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p>
    <w:p>
      <w:pPr>
        <w:pStyle w:val="971"/>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十、违约责任</w:t>
      </w:r>
      <w:r/>
    </w:p>
    <w:p>
      <w:pPr>
        <w:pStyle w:val="971"/>
        <w:ind w:left="410" w:hanging="41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10.1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71"/>
        <w:ind w:left="410" w:hanging="41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10.2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71"/>
        <w:ind w:left="410" w:hanging="41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10.3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71"/>
        <w:ind w:left="410" w:hanging="41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10.4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71"/>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11.1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11.2 不可抗力事件发生后，应立即通知对方，并寄送有关权威机构出具的证明。</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11.3 不可抗力事件延续120天以上，双方应通过友好协商，确定是否继续履行合同。</w:t>
      </w:r>
      <w:r/>
    </w:p>
    <w:p>
      <w:pPr>
        <w:pStyle w:val="971"/>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w:t>
      </w:r>
      <w:r>
        <w:rPr>
          <w:rFonts w:hint="eastAsia" w:hAnsi="宋体"/>
          <w:b/>
          <w:sz w:val="24"/>
          <w:szCs w:val="24"/>
        </w:rPr>
        <w:t xml:space="preserve">解决争议的方法</w:t>
      </w:r>
      <w:r/>
    </w:p>
    <w:p>
      <w:pPr>
        <w:pStyle w:val="971"/>
        <w:keepLines w:val="0"/>
        <w:keepNext w:val="0"/>
        <w:pageBreakBefore w:val="0"/>
        <w:spacing w:before="120" w:after="120" w:line="400" w:lineRule="exact"/>
        <w:widowControl w:val="off"/>
        <w:rPr>
          <w:rFonts w:hint="eastAsia"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.1双方在签订、履行合同中所发生的一切争议，应通过友好协商解决。如协商不成，由甲方住所地人民法院管辖。</w:t>
      </w:r>
      <w:r/>
    </w:p>
    <w:p>
      <w:pPr>
        <w:pStyle w:val="971"/>
        <w:keepLines w:val="0"/>
        <w:keepNext w:val="0"/>
        <w:pageBreakBefore w:val="0"/>
        <w:spacing w:before="120" w:after="120" w:line="400" w:lineRule="exact"/>
        <w:widowControl w:val="off"/>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13.1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13.2本合同未尽事宜，遵照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13.</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71"/>
        <w:ind w:left="480" w:hanging="480"/>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  甲方：                        乙方： </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71"/>
        <w:keepLines w:val="0"/>
        <w:keepNext w:val="0"/>
        <w:pageBreakBefore w:val="0"/>
        <w:spacing w:before="120" w:after="120" w:line="400" w:lineRule="exact"/>
        <w:widowControl w:val="off"/>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71"/>
        <w:ind w:firstLine="240"/>
        <w:keepLines w:val="0"/>
        <w:keepNext w:val="0"/>
        <w:pageBreakBefore w:val="0"/>
        <w:spacing w:before="120" w:after="120" w:line="400" w:lineRule="exact"/>
        <w:widowControl w:val="off"/>
      </w:pPr>
      <w:r>
        <w:rPr>
          <w:rFonts w:hint="eastAsia" w:hAnsi="宋体"/>
          <w:sz w:val="24"/>
          <w:szCs w:val="24"/>
        </w:rPr>
        <w:t xml:space="preserve">联系电话：                    联系电话：          </w:t>
      </w:r>
      <w:r/>
    </w:p>
    <w:p>
      <w:pPr>
        <w:pStyle w:val="882"/>
        <w:jc w:val="center"/>
        <w:keepLines w:val="0"/>
        <w:keepNext w:val="0"/>
        <w:pageBreakBefore w:val="0"/>
        <w:spacing w:before="120" w:after="120" w:line="400" w:lineRule="exact"/>
        <w:widowControl w:val="off"/>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pPr>
      <w:r/>
      <w:r/>
    </w:p>
    <w:p>
      <w:pPr>
        <w:pStyle w:val="882"/>
        <w:jc w:val="center"/>
        <w:spacing w:before="120" w:after="120" w:line="0" w:lineRule="atLeast"/>
        <w:rPr>
          <w:rFonts w:hint="eastAsia" w:hAnsi="宋体"/>
          <w:sz w:val="24"/>
          <w:szCs w:val="24"/>
        </w:rPr>
      </w:pPr>
      <w:r>
        <w:rPr>
          <w:rFonts w:hint="eastAsia" w:ascii="黑体" w:eastAsia="黑体"/>
          <w:bCs/>
          <w:sz w:val="44"/>
        </w:rPr>
        <w:t xml:space="preserve">第</w:t>
      </w:r>
      <w:bookmarkEnd w:id="184"/>
      <w:r>
        <w:rPr>
          <w:rFonts w:hint="eastAsia" w:ascii="黑体" w:eastAsia="黑体"/>
          <w:bCs/>
          <w:sz w:val="44"/>
        </w:rPr>
        <w:t xml:space="preserve">四章 采购需求</w:t>
      </w:r>
      <w:bookmarkEnd w:id="185"/>
      <w:r/>
      <w:bookmarkEnd w:id="186"/>
      <w:r/>
      <w:bookmarkEnd w:id="187"/>
      <w:r/>
      <w:r/>
    </w:p>
    <w:p>
      <w:pPr>
        <w:spacing w:line="360" w:lineRule="auto"/>
        <w:rPr>
          <w:rFonts w:hint="eastAsia" w:ascii="宋体" w:hAnsi="宋体"/>
          <w:b/>
          <w:sz w:val="24"/>
          <w:szCs w:val="24"/>
        </w:rPr>
      </w:pPr>
      <w:r/>
      <w:bookmarkStart w:id="190" w:name="_Toc49090575"/>
      <w:r/>
      <w:bookmarkStart w:id="191" w:name="_Toc26554093"/>
      <w:r>
        <w:rPr>
          <w:rFonts w:hint="eastAsia" w:ascii="宋体" w:hAnsi="宋体"/>
          <w:b/>
          <w:sz w:val="24"/>
          <w:szCs w:val="24"/>
        </w:rPr>
        <w:t xml:space="preserve">项目属性：服务类项目。</w:t>
      </w:r>
      <w:r/>
    </w:p>
    <w:p>
      <w:pPr>
        <w:spacing w:line="360" w:lineRule="auto"/>
        <w:rPr>
          <w:rFonts w:hint="eastAsia" w:ascii="宋体" w:hAnsi="宋体"/>
          <w:b/>
          <w:sz w:val="24"/>
          <w:szCs w:val="24"/>
        </w:rPr>
      </w:pPr>
      <w:r>
        <w:rPr>
          <w:rFonts w:hint="eastAsia" w:ascii="宋体" w:hAnsi="宋体"/>
          <w:b/>
          <w:sz w:val="24"/>
          <w:szCs w:val="24"/>
        </w:rPr>
        <w:t xml:space="preserve">本项目不接受进口产品参与投标。</w:t>
      </w:r>
      <w:r/>
    </w:p>
    <w:p>
      <w:pPr>
        <w:pStyle w:val="972"/>
        <w:ind w:firstLine="498"/>
        <w:spacing w:before="145" w:after="145" w:line="360" w:lineRule="auto"/>
      </w:pPr>
      <w:r>
        <w:rPr>
          <w:rFonts w:hint="eastAsia"/>
        </w:rPr>
        <w:t xml:space="preserve">一</w:t>
      </w:r>
      <w:r>
        <w:t xml:space="preserve">、</w:t>
      </w:r>
      <w:r>
        <w:rPr>
          <w:rFonts w:hint="eastAsia"/>
        </w:rPr>
        <w:t xml:space="preserve">采购</w:t>
      </w:r>
      <w:r>
        <w:t xml:space="preserve">标的清单</w:t>
      </w:r>
      <w:r/>
    </w:p>
    <w:tbl>
      <w:tblPr>
        <w:tblStyle w:val="870"/>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3889"/>
        <w:gridCol w:w="3957"/>
      </w:tblGrid>
      <w:tr>
        <w:trPr>
          <w:cantSplit/>
          <w:jc w:val="center"/>
        </w:trPr>
        <w:tc>
          <w:tcPr>
            <w:tcW w:w="711" w:type="pct"/>
            <w:vAlign w:val="center"/>
            <w:textDirection w:val="lrTb"/>
            <w:noWrap w:val="false"/>
          </w:tcPr>
          <w:p>
            <w:pPr>
              <w:jc w:val="center"/>
              <w:spacing w:line="0" w:lineRule="atLeast"/>
              <w:rPr>
                <w:rFonts w:hint="eastAsia" w:ascii="宋体" w:hAnsi="宋体"/>
                <w:b/>
                <w:bCs/>
              </w:rPr>
            </w:pPr>
            <w:r>
              <w:rPr>
                <w:rFonts w:hint="eastAsia" w:ascii="宋体" w:hAnsi="宋体"/>
                <w:b/>
                <w:bCs/>
              </w:rPr>
              <w:t xml:space="preserve">采购包号</w:t>
            </w:r>
            <w:r/>
          </w:p>
        </w:tc>
        <w:tc>
          <w:tcPr>
            <w:tcW w:w="2126" w:type="pct"/>
            <w:vAlign w:val="center"/>
            <w:textDirection w:val="lrTb"/>
            <w:noWrap w:val="false"/>
          </w:tcPr>
          <w:p>
            <w:pPr>
              <w:jc w:val="center"/>
              <w:spacing w:line="0" w:lineRule="atLeast"/>
              <w:rPr>
                <w:rFonts w:hint="eastAsia" w:ascii="宋体" w:hAnsi="宋体"/>
                <w:b/>
                <w:bCs/>
              </w:rPr>
            </w:pPr>
            <w:r>
              <w:rPr>
                <w:rFonts w:hint="eastAsia" w:ascii="宋体" w:hAnsi="宋体"/>
                <w:b/>
                <w:bCs/>
              </w:rPr>
              <w:t xml:space="preserve">采购</w:t>
            </w:r>
            <w:r>
              <w:rPr>
                <w:rFonts w:ascii="宋体" w:hAnsi="宋体"/>
                <w:b/>
                <w:bCs/>
              </w:rPr>
              <w:t xml:space="preserve">标的</w:t>
            </w:r>
            <w:r/>
          </w:p>
        </w:tc>
        <w:tc>
          <w:tcPr>
            <w:tcW w:w="2163" w:type="pct"/>
            <w:vAlign w:val="center"/>
            <w:textDirection w:val="lrTb"/>
            <w:noWrap w:val="false"/>
          </w:tcPr>
          <w:p>
            <w:pPr>
              <w:jc w:val="center"/>
              <w:spacing w:line="0" w:lineRule="atLeast"/>
              <w:rPr>
                <w:rFonts w:hint="eastAsia" w:ascii="宋体" w:hAnsi="宋体"/>
                <w:b/>
                <w:bCs/>
              </w:rPr>
            </w:pPr>
            <w:r>
              <w:rPr>
                <w:rFonts w:hint="eastAsia" w:ascii="宋体" w:hAnsi="宋体"/>
                <w:b/>
                <w:bCs/>
              </w:rPr>
              <w:t xml:space="preserve">对应中</w:t>
            </w:r>
            <w:r>
              <w:rPr>
                <w:rFonts w:ascii="宋体" w:hAnsi="宋体"/>
                <w:b/>
                <w:bCs/>
              </w:rPr>
              <w:t xml:space="preserve">小企业划分标准所属行业</w:t>
            </w:r>
            <w:r/>
          </w:p>
        </w:tc>
      </w:tr>
      <w:tr>
        <w:trPr>
          <w:cantSplit/>
          <w:jc w:val="center"/>
          <w:trHeight w:val="291"/>
        </w:trPr>
        <w:tc>
          <w:tcPr>
            <w:tcW w:w="711" w:type="pct"/>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2126" w:type="pct"/>
            <w:vAlign w:val="center"/>
            <w:textDirection w:val="lrTb"/>
            <w:noWrap w:val="false"/>
          </w:tcPr>
          <w:p>
            <w:pPr>
              <w:jc w:val="left"/>
              <w:spacing w:line="0" w:lineRule="atLeast"/>
              <w:tabs>
                <w:tab w:val="left" w:pos="2020" w:leader="none"/>
              </w:tabs>
              <w:rPr>
                <w:rFonts w:hint="eastAsia" w:ascii="宋体" w:hAnsi="宋体"/>
              </w:rPr>
            </w:pPr>
            <w:r>
              <w:rPr>
                <w:rFonts w:hint="eastAsia" w:ascii="宋体" w:hAnsi="宋体"/>
              </w:rPr>
              <w:t xml:space="preserve">江苏智慧粮储云平台项目</w:t>
            </w:r>
            <w:r/>
          </w:p>
        </w:tc>
        <w:tc>
          <w:tcPr>
            <w:tcW w:w="2163" w:type="pct"/>
            <w:vAlign w:val="center"/>
            <w:textDirection w:val="lrTb"/>
            <w:noWrap w:val="false"/>
          </w:tcPr>
          <w:p>
            <w:pPr>
              <w:jc w:val="center"/>
              <w:spacing w:line="0" w:lineRule="atLeast"/>
              <w:rPr>
                <w:rFonts w:hint="eastAsia" w:ascii="宋体" w:hAnsi="宋体"/>
              </w:rPr>
            </w:pPr>
            <w:r>
              <w:rPr>
                <w:rFonts w:hint="eastAsia" w:ascii="宋体" w:hAnsi="宋体"/>
              </w:rPr>
              <w:t xml:space="preserve">软件和信息技术服务业</w:t>
            </w:r>
            <w:r/>
          </w:p>
        </w:tc>
      </w:tr>
    </w:tbl>
    <w:p>
      <w:pPr>
        <w:ind w:firstLine="472"/>
        <w:spacing w:line="360" w:lineRule="auto"/>
        <w:rPr>
          <w:rFonts w:hint="eastAsia" w:ascii="宋体" w:hAnsi="宋体"/>
          <w:bCs/>
          <w:sz w:val="24"/>
          <w:szCs w:val="24"/>
        </w:rPr>
      </w:pPr>
      <w:r>
        <w:rPr>
          <w:rFonts w:hint="eastAsia" w:ascii="宋体" w:hAnsi="宋体"/>
          <w:bCs/>
          <w:sz w:val="24"/>
          <w:szCs w:val="24"/>
        </w:rPr>
      </w:r>
      <w:r/>
    </w:p>
    <w:p>
      <w:pPr>
        <w:pStyle w:val="972"/>
        <w:ind w:firstLine="498"/>
        <w:spacing w:before="145" w:after="145" w:line="360" w:lineRule="auto"/>
      </w:pPr>
      <w:r>
        <w:rPr>
          <w:rFonts w:hint="eastAsia"/>
        </w:rPr>
        <w:t xml:space="preserve">二</w:t>
      </w:r>
      <w:r>
        <w:t xml:space="preserve">、</w:t>
      </w:r>
      <w:r>
        <w:rPr>
          <w:rFonts w:hint="eastAsia"/>
        </w:rPr>
        <w:t xml:space="preserve">建设目标</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通过本项目建设，以数字化、智慧化手段全面加强全省粮食和物资储备生产</w:t>
      </w:r>
      <w:r>
        <w:rPr>
          <w:rFonts w:hint="eastAsia" w:ascii="Times New Roman" w:hAnsi="Times New Roman" w:eastAsia="宋体" w:cs="Times New Roman"/>
          <w:sz w:val="24"/>
        </w:rPr>
        <w:t xml:space="preserve">、储备、流通、监管能力，深入实施藏粮于地、藏粮于技战略，进一步夯实粮食和物资储备根基，确保粮食和物资储备数量充足、质量良好、储存安全；推动全省粮食和物资储备业务集中管理和数据开放共享，可提供报表深度分析、智能辅助决策和应急指挥协同。提升储备质量和储备效能，推进“水韵苏米”等我省区域公用品牌建设，建立健全物资储备轮换报废回收机制，服务我省粮食和物资储备产业高质量发展。在转变政府监管理念、创新监管方式、堵塞监管漏洞、实现监管手段变革的同时，进一步提升粮储行业行政服务水平，真正做到为农服务、为民服务、为行业服务。</w:t>
      </w:r>
      <w:r/>
    </w:p>
    <w:p>
      <w:pPr>
        <w:pStyle w:val="972"/>
        <w:ind w:firstLine="498"/>
        <w:spacing w:before="145" w:after="145" w:line="360" w:lineRule="auto"/>
      </w:pPr>
      <w:r>
        <w:rPr>
          <w:rFonts w:hint="eastAsia"/>
        </w:rPr>
        <w:t xml:space="preserve">三、总体要求</w:t>
      </w:r>
      <w:r/>
    </w:p>
    <w:p>
      <w:pPr>
        <w:ind w:firstLine="480"/>
        <w:spacing w:line="360" w:lineRule="auto"/>
        <w:tabs>
          <w:tab w:val="left" w:pos="420" w:leader="none"/>
        </w:tabs>
        <w:rPr>
          <w:sz w:val="24"/>
          <w:szCs w:val="24"/>
        </w:rPr>
      </w:pPr>
      <w:r>
        <w:rPr>
          <w:rFonts w:hint="eastAsia"/>
          <w:sz w:val="24"/>
          <w:szCs w:val="24"/>
        </w:rPr>
        <w:t xml:space="preserve">技术要求是指对采购标的功能和质量要求，投标人需对招标文件技术要求所有内容进行逐条明确响应。</w:t>
      </w:r>
      <w:r>
        <w:rPr>
          <w:rFonts w:hint="eastAsia"/>
          <w:i/>
          <w:iCs/>
          <w:sz w:val="24"/>
          <w:szCs w:val="24"/>
          <w:u w:val="single"/>
        </w:rPr>
        <w:t xml:space="preserve">其中加斜体下划线的要求为必须满足的实质性要求。</w:t>
      </w:r>
      <w:r/>
    </w:p>
    <w:p>
      <w:pPr>
        <w:ind w:left="482"/>
        <w:spacing w:before="120" w:after="120" w:line="440" w:lineRule="exact"/>
        <w:rPr>
          <w:rFonts w:hint="eastAsia" w:ascii="宋体" w:hAnsi="宋体"/>
          <w:b/>
          <w:bCs/>
          <w:sz w:val="24"/>
          <w:szCs w:val="24"/>
        </w:rPr>
        <w:outlineLvl w:val="4"/>
      </w:pPr>
      <w:r/>
      <w:bookmarkStart w:id="192" w:name="_Hlk180077326"/>
      <w:r>
        <w:rPr>
          <w:rFonts w:hint="eastAsia" w:ascii="宋体" w:hAnsi="宋体"/>
          <w:b/>
          <w:bCs/>
          <w:sz w:val="24"/>
          <w:szCs w:val="24"/>
        </w:rPr>
        <w:t xml:space="preserve">1.1 技术路线要求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1.采用微服务架构进行系统设计、开发和部署，充分利用统一业务支撑平台提供的各种能力。</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2.采用J2EE技术体系结构开发，充分利用J2EE跨平台、高速度、高性能、高安全性、高可靠性以及易扩充和拓展等特性。</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3.采用B/S模式进行实现，B端兼容Chrome、Firefox等主流浏览器，S端支持Linux、Windows、Unix跨平台部署、混合部署、集群部署、分布式部署。</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4.与外部系统之间的接口，支持根据情况采用Webservice接口技术和Restful接口技术。</w:t>
      </w:r>
      <w:r/>
    </w:p>
    <w:p>
      <w:pPr>
        <w:ind w:firstLine="472"/>
        <w:spacing w:line="360" w:lineRule="auto"/>
        <w:rPr>
          <w:i/>
          <w:iCs/>
          <w:sz w:val="24"/>
          <w:szCs w:val="24"/>
          <w:highlight w:val="none"/>
          <w:u w:val="single"/>
        </w:rPr>
      </w:pPr>
      <w:r>
        <w:rPr>
          <w:rFonts w:hint="eastAsia"/>
          <w:i/>
          <w:iCs/>
          <w:sz w:val="24"/>
          <w:highlight w:val="none"/>
          <w:u w:val="single"/>
        </w:rPr>
        <w:t xml:space="preserve">5.建设内容</w:t>
      </w:r>
      <w:r>
        <w:rPr>
          <w:i/>
          <w:iCs/>
          <w:sz w:val="24"/>
          <w:highlight w:val="none"/>
          <w:u w:val="single"/>
        </w:rPr>
        <w:t xml:space="preserve">须全面支持国产软硬件</w:t>
      </w:r>
      <w:r>
        <w:rPr>
          <w:rFonts w:hint="eastAsia"/>
          <w:i/>
          <w:iCs/>
          <w:sz w:val="24"/>
          <w:highlight w:val="none"/>
          <w:u w:val="single"/>
        </w:rPr>
        <w:t xml:space="preserve">环境</w:t>
      </w:r>
      <w:r>
        <w:rPr>
          <w:i/>
          <w:iCs/>
          <w:sz w:val="24"/>
          <w:highlight w:val="none"/>
          <w:u w:val="single"/>
        </w:rPr>
        <w:t xml:space="preserve">，</w:t>
      </w:r>
      <w:r>
        <w:rPr>
          <w:rFonts w:hint="eastAsia"/>
          <w:i/>
          <w:iCs/>
          <w:sz w:val="24"/>
          <w:highlight w:val="none"/>
          <w:u w:val="single"/>
        </w:rPr>
        <w:t xml:space="preserve">服务端</w:t>
      </w:r>
      <w:r>
        <w:rPr>
          <w:i/>
          <w:iCs/>
          <w:sz w:val="24"/>
          <w:highlight w:val="none"/>
          <w:u w:val="single"/>
        </w:rPr>
        <w:t xml:space="preserve">支持麒麟、统信</w:t>
      </w:r>
      <w:r>
        <w:rPr>
          <w:rFonts w:hint="eastAsia"/>
          <w:i/>
          <w:iCs/>
          <w:sz w:val="24"/>
          <w:highlight w:val="none"/>
          <w:u w:val="single"/>
        </w:rPr>
        <w:t xml:space="preserve">、深度</w:t>
      </w:r>
      <w:r>
        <w:rPr>
          <w:i/>
          <w:iCs/>
          <w:sz w:val="24"/>
          <w:highlight w:val="none"/>
          <w:u w:val="single"/>
        </w:rPr>
        <w:t xml:space="preserve">等</w:t>
      </w:r>
      <w:r>
        <w:rPr>
          <w:rFonts w:hint="eastAsia"/>
          <w:i/>
          <w:iCs/>
          <w:sz w:val="24"/>
          <w:highlight w:val="none"/>
          <w:u w:val="single"/>
        </w:rPr>
        <w:t xml:space="preserve">国产</w:t>
      </w:r>
      <w:r>
        <w:rPr>
          <w:i/>
          <w:iCs/>
          <w:sz w:val="24"/>
          <w:highlight w:val="none"/>
          <w:u w:val="single"/>
        </w:rPr>
        <w:t xml:space="preserve">操作系统，支持东方通、金蝶</w:t>
      </w:r>
      <w:r>
        <w:rPr>
          <w:rFonts w:hint="eastAsia"/>
          <w:i/>
          <w:iCs/>
          <w:sz w:val="24"/>
          <w:highlight w:val="none"/>
          <w:u w:val="single"/>
        </w:rPr>
        <w:t xml:space="preserve">、宝兰德</w:t>
      </w:r>
      <w:r>
        <w:rPr>
          <w:i/>
          <w:iCs/>
          <w:sz w:val="24"/>
          <w:highlight w:val="none"/>
          <w:u w:val="single"/>
        </w:rPr>
        <w:t xml:space="preserve">等</w:t>
      </w:r>
      <w:r>
        <w:rPr>
          <w:rFonts w:hint="eastAsia"/>
          <w:i/>
          <w:iCs/>
          <w:sz w:val="24"/>
          <w:highlight w:val="none"/>
          <w:u w:val="single"/>
        </w:rPr>
        <w:t xml:space="preserve">国产</w:t>
      </w:r>
      <w:r>
        <w:rPr>
          <w:i/>
          <w:iCs/>
          <w:sz w:val="24"/>
          <w:highlight w:val="none"/>
          <w:u w:val="single"/>
        </w:rPr>
        <w:t xml:space="preserve">中间件，支持人大金仓、</w:t>
      </w:r>
      <w:r>
        <w:rPr>
          <w:rFonts w:hint="eastAsia"/>
          <w:i/>
          <w:iCs/>
          <w:sz w:val="24"/>
          <w:highlight w:val="none"/>
          <w:u w:val="single"/>
        </w:rPr>
        <w:t xml:space="preserve">南大通用、达梦、海量</w:t>
      </w:r>
      <w:r>
        <w:rPr>
          <w:i/>
          <w:iCs/>
          <w:sz w:val="24"/>
          <w:highlight w:val="none"/>
          <w:u w:val="single"/>
        </w:rPr>
        <w:t xml:space="preserve">等</w:t>
      </w:r>
      <w:r>
        <w:rPr>
          <w:rFonts w:hint="eastAsia"/>
          <w:i/>
          <w:iCs/>
          <w:sz w:val="24"/>
          <w:highlight w:val="none"/>
          <w:u w:val="single"/>
        </w:rPr>
        <w:t xml:space="preserve">国产</w:t>
      </w:r>
      <w:r>
        <w:rPr>
          <w:i/>
          <w:iCs/>
          <w:sz w:val="24"/>
          <w:highlight w:val="none"/>
          <w:u w:val="single"/>
        </w:rPr>
        <w:t xml:space="preserve">数据库，</w:t>
      </w:r>
      <w:r>
        <w:rPr>
          <w:rFonts w:hint="eastAsia"/>
          <w:i/>
          <w:iCs/>
          <w:sz w:val="24"/>
          <w:highlight w:val="none"/>
          <w:u w:val="single"/>
        </w:rPr>
        <w:t xml:space="preserve">客户端支持主流国产终端适配</w:t>
      </w:r>
      <w:r>
        <w:rPr>
          <w:i/>
          <w:iCs/>
          <w:sz w:val="24"/>
          <w:highlight w:val="none"/>
          <w:u w:val="single"/>
        </w:rPr>
        <w:t xml:space="preserve">。</w:t>
      </w:r>
      <w:r>
        <w:rPr>
          <w:rFonts w:hint="eastAsia" w:cs="宋体"/>
          <w:i/>
          <w:sz w:val="24"/>
          <w:szCs w:val="24"/>
          <w:highlight w:val="none"/>
          <w:u w:val="single"/>
          <w:lang w:bidi="ar"/>
        </w:rPr>
        <w:t xml:space="preserve">（提供承诺函，并加盖投标人公章）</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6.业务系统开发建设过程中应遵循《信息安全技术 网络安全等级保护基本要求》第三级要求、《信息安全技术 信息系统密码应用基本要求》第三级要求实施。</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1.2 易维护性要求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1.系统须具有较好的易用性，提供界面配置等功能，菜单结构合理、功能划分清晰。</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2.系统须采用通用成熟的组件技术和模块化松耦合设计，不依赖特定组件版本或特殊功能。</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3.系统须提供可视化配置功能，参数维护可根据业务要求提供及时生效或定时生效的功能。</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4.系统须具备必要的维护工具，包括系统日志、网关日志等收集工具。</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5.系统支持在线升级，不影响现有业务运行；系统具备升级、回退和回滚功能，能够精准回滚到升级前的版本，操作过程中不影响系统运行使用。</w:t>
      </w:r>
      <w:bookmarkEnd w:id="192"/>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1.3 系统性能要求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投标人基于省政务云网环境科学制定部署架构，实施系统部署，要求达到性能指标如下：</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1.系统稳定性指标</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具备7×24小时的可靠运行能力，可用率≥99.9%，平均故障间隔时间（MTBF）≥2000小时，平均修复时间（MTTR）≤1小时。</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2.系统应用性能指标</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支持同时在线访问用户数≥5000人，单一业务并发访问用户数支持≥500人。在网络稳定的环境下，界面单一操作的系统响应时间＜2秒。在网络稳定的环境下，精确查询（包括请求服务）响应时间≤1秒，模糊查询响应时间≤3秒，各种统计分析复杂事务处理响应时间≤5秒。</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3.系统响应时间指标</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单个用户一般性操作最长不超过3秒，系统响应时间≤1秒。当用户做一些处理时间较长的操作时，能给出提示信息提醒用户。在返回数据量过大导致响应时间过长时，能提供部分响应，例如分页取数据等，减少操作人员等待的时间。门户、菜单、应用拉取响应时间≤3秒。</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1.4 许可授权要求</w:t>
      </w:r>
      <w:r/>
    </w:p>
    <w:p>
      <w:pPr>
        <w:ind w:firstLine="472"/>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本项目所涉及软件及其他产品的产权须为投标人合法所有或经合法授权，功能模块及所使用的工具软件不限制许可授权，包括但不限于机器数量、注册用户数量、访问用户数量、在线用户数量、并发用户数量、存储数据量、网络流量和使用期限等（提供承诺函，并加盖投标人公章）。</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1.5 实施要求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投标人应提供项目实施服务，包括项目进度计划及保障措施、项目质量保障措施、项目风险管理、项目管理制度、项目测试方案、实施人员组织规划等，能确保在交付期内完成所有合同标的开发、交货、部署安装、集成及调试工作，并确保项目整体质量控制达到项目设计及各参数要求。质保期内，投标人应免费提供所投软件产品的版本迭代及配套接口升级改造等服务。</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本项目为交钥匙工程，投标人在提供所投产品的同时必须提供对于本次招标软件的系统集成服务，保证系统的完整性。若涉及项目建设所必需的设备、材料等，在清单中未考虑未提及的，由投标人自行增补承担。</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1.6 验收要求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本项目的验收由采购人组织，中标人负责具体验收实施工作，并承担验收过程产生的全部费用。项目验收分为初验和终验两个阶段。</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1.项目初验</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中标人完成项目招标文件和合同约定的各项内容，经测试通过后，向采购人提出书面初验申请。采购人通过相关资料的审查，认为具备下列条件，由采购人组织初验。</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（1）完成系统设计和合同约定的各项内容；</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（2）有完整的技术开发档案和实施管理资料；</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（3）集成测试和用户测试通过；</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（4）完成操作手册（初稿）和用户手册（初稿）；</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（5）项目建设要求的各类规范文档。</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2.主管部门验收</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中标人对初验问题进行修改完善后，系统正式上线试运行，试运行期不少于2个月。试运行期间系统未发生重大故障或需求没有重大变动，试运行期满后，采购人对项目需求、设计文档以及运行程序（包括：操作手册和用户手册）进行审查，确认三者的一致性后，经采购人组织的第三方检测机构对系统功能和性能进行全面检测。检测通过后，中标人提出书面终验申请，经采购人同意后组织主管部门验收。</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主管部门验收前，中标人应备齐以下验收材料：</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（1）项目招标书、投标书及补充说明（如果有）；</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（2）项目中标书和项目合同；</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（3）项目实施方案；</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（4）软件需求说明书；</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（5）概要（总体）设计说明书；</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（6）数据及数据库设计说明书；</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（7）详细设计说明书；</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（8）操作手册（部署、安装、维护）；</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（9）用户手册；</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（10）用户测试报告；</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（11）试运行报告；</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（12）第三方测试报告；</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（13）实施过程管理文档； </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（14）项目监理报告；</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（15）试运行期间的用户报告；</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（16）项目实施总结报告；</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（17）系统运维方案和手册；</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（18）项目建设要求的其他各类规范文档。</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3.移交</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系统验收前完成项目正式移交，中标人应将完整的各类档案、施工文档、驱动程序、软件、技术文档全部提供给采购人。</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1.7 售后及培训服务</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1.售后服务</w:t>
      </w:r>
      <w:r/>
    </w:p>
    <w:p>
      <w:pPr>
        <w:ind w:firstLine="480"/>
        <w:spacing w:line="0" w:lineRule="atLeast"/>
        <w:rPr>
          <w:rFonts w:hint="eastAsia" w:ascii="Times New Roman" w:hAnsi="Times New Roman" w:eastAsia="宋体" w:cs="Times New Roman"/>
          <w:sz w:val="24"/>
        </w:rPr>
      </w:pPr>
      <w:r/>
      <w:bookmarkStart w:id="193" w:name="OLE_LINK29"/>
      <w:r>
        <w:rPr>
          <w:rFonts w:hint="eastAsia" w:ascii="Times New Roman" w:hAnsi="Times New Roman" w:eastAsia="宋体" w:cs="Times New Roman"/>
          <w:sz w:val="24"/>
        </w:rPr>
        <w:t xml:space="preserve">（1）投标人中标后需提供系统运行保障和技术支持服务，提供7×24小时的技术支持响应。在出现问题时，投标人接到通知后必须派技术人员2小时内赶到现场检查处理。遇到重大事件应无条件响应，且具备30分钟内到达现场支持的能力。</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（2）在质保期内，投标人应在南京成立客户服务队伍，提供良好的维护服务，确保本项目范围内的产品和服务能够正常使用。</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w:t>
      </w:r>
      <w:bookmarkStart w:id="194" w:name="_Hlk195631632"/>
      <w:r>
        <w:rPr>
          <w:rFonts w:hint="eastAsia" w:ascii="Times New Roman" w:hAnsi="Times New Roman" w:eastAsia="宋体" w:cs="Times New Roman"/>
          <w:sz w:val="24"/>
        </w:rPr>
        <w:t xml:space="preserve">在质保期满后，如果因标的物的固有缺陷和瑕疵出现使用问题或故障等，投标人应在收到采购人通知后24小时内到达现场。</w:t>
      </w:r>
      <w:bookmarkEnd w:id="194"/>
      <w:r/>
      <w:r/>
    </w:p>
    <w:p>
      <w:pPr>
        <w:ind w:firstLine="480"/>
        <w:spacing w:line="360" w:lineRule="auto"/>
        <w:tabs>
          <w:tab w:val="left" w:pos="420" w:leader="none"/>
        </w:tabs>
        <w:rPr>
          <w:rFonts w:cs="宋体"/>
          <w:b/>
          <w:bCs/>
          <w:i/>
          <w:sz w:val="24"/>
          <w:szCs w:val="24"/>
          <w:highlight w:val="none"/>
          <w:u w:val="single"/>
          <w:lang w:bidi="ar"/>
        </w:rPr>
      </w:pPr>
      <w:r>
        <w:rPr>
          <w:rFonts w:hint="eastAsia"/>
          <w:i/>
          <w:iCs/>
          <w:sz w:val="24"/>
          <w:highlight w:val="none"/>
          <w:u w:val="single"/>
        </w:rPr>
        <w:t xml:space="preserve">（</w:t>
      </w:r>
      <w:r>
        <w:rPr>
          <w:i/>
          <w:iCs/>
          <w:sz w:val="24"/>
          <w:highlight w:val="none"/>
          <w:u w:val="single"/>
        </w:rPr>
        <w:t xml:space="preserve">4）</w:t>
      </w:r>
      <w:r>
        <w:rPr>
          <w:rFonts w:hint="eastAsia" w:cs="宋体"/>
          <w:i/>
          <w:sz w:val="24"/>
          <w:szCs w:val="24"/>
          <w:highlight w:val="none"/>
          <w:u w:val="single"/>
          <w:lang w:bidi="ar"/>
        </w:rPr>
        <w:t xml:space="preserve">投标人应提供驻场运维服务承诺：项目实施和运维期间，投标人遵守采购人各项管理制度和工作要求，与采购人工作作息保持同步，</w:t>
      </w:r>
      <w:r>
        <w:rPr>
          <w:rFonts w:hint="eastAsia"/>
          <w:i/>
          <w:sz w:val="24"/>
          <w:szCs w:val="24"/>
          <w:highlight w:val="none"/>
          <w:u w:val="single"/>
          <w:lang w:bidi="ar"/>
        </w:rPr>
        <w:t xml:space="preserve">及时</w:t>
      </w:r>
      <w:r>
        <w:rPr>
          <w:rFonts w:hint="eastAsia" w:cs="宋体"/>
          <w:i/>
          <w:sz w:val="24"/>
          <w:szCs w:val="24"/>
          <w:highlight w:val="none"/>
          <w:u w:val="single"/>
          <w:lang w:bidi="ar"/>
        </w:rPr>
        <w:t xml:space="preserve">响应采购人运维要求。</w:t>
      </w:r>
      <w:r>
        <w:rPr>
          <w:rFonts w:hint="eastAsia"/>
          <w:i/>
          <w:sz w:val="24"/>
          <w:highlight w:val="none"/>
          <w:u w:val="single"/>
        </w:rPr>
        <w:t xml:space="preserve">服务级别不低于5×8小时，遇到重大事件应无条件响应，且具备现场半小时内支持的能力。</w:t>
      </w:r>
      <w:r>
        <w:rPr>
          <w:rFonts w:hint="eastAsia" w:cs="宋体"/>
          <w:i/>
          <w:sz w:val="24"/>
          <w:szCs w:val="24"/>
          <w:highlight w:val="none"/>
          <w:u w:val="single"/>
          <w:lang w:bidi="ar"/>
        </w:rPr>
        <w:t xml:space="preserve">（提供承诺函，并加盖投标人公章）</w:t>
      </w:r>
      <w:bookmarkEnd w:id="193"/>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1.培训服务</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针对本项目相关人员的培训将在采购人认为方便合适的时间和地点举行。</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（1）培训要求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投标人应在投标文件中提交培训计划书，明确培训内容，课程安排及培训计划；</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投标人须提供现场培训；</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投标人应对领导和管理人员、业务操作人员、技术管理和维护人员提供针对性培训。</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（2）培训方式</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现场培训：投标人须提供免费的现场培训，人数不限。通过在使用现场集中讲解与操作，确保受训人员对系统设计、技术特性、操作规范、管理维护等方面获得全面了解和掌握，使其能够胜任系统的全部运行、操作、故障分析处理等工作。</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集中培训：投标人须预先制定周密的集中培训计划，列出详细课程安排及拟投入的教师资质，配备足量的合格教师与教材讲义。</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专业培训：投标人承诺按需提供由原厂商或原厂商授权的专业培训机构组织培训。</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3.售后与培训服务方案</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投标人根据售后服务及培训服务要求，提供项目培训方案与售后服务方案，方案应科学、合理、切实可行、针对性强，符合项目需求。</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1.8 质量保障</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服务有效期内，投标人根据采购人需求，对平台进行正常运行的保障服务。投标人应具备与本项目匹配的服务能力。</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1.投标人成交后提供的所有产品在原厂商处的注册登记用户必须是本项目采购人。</w:t>
      </w:r>
      <w:r/>
    </w:p>
    <w:p>
      <w:pPr>
        <w:ind w:firstLine="480"/>
        <w:spacing w:line="360" w:lineRule="auto"/>
        <w:tabs>
          <w:tab w:val="left" w:pos="420" w:leader="none"/>
        </w:tabs>
        <w:rPr>
          <w:i/>
          <w:iCs/>
          <w:sz w:val="24"/>
          <w:u w:val="single"/>
        </w:rPr>
      </w:pPr>
      <w:r>
        <w:rPr>
          <w:rFonts w:hint="eastAsia"/>
          <w:i/>
          <w:iCs/>
          <w:sz w:val="24"/>
          <w:u w:val="single"/>
        </w:rPr>
        <w:t xml:space="preserve">2.</w:t>
      </w:r>
      <w:r>
        <w:rPr>
          <w:i/>
          <w:iCs/>
          <w:sz w:val="24"/>
          <w:u w:val="single"/>
        </w:rPr>
        <w:t xml:space="preserve">本项目</w:t>
      </w:r>
      <w:r>
        <w:rPr>
          <w:rFonts w:hint="eastAsia"/>
          <w:i/>
          <w:iCs/>
          <w:sz w:val="24"/>
          <w:u w:val="single"/>
        </w:rPr>
        <w:t xml:space="preserve">通过主管部门终验后，</w:t>
      </w:r>
      <w:r>
        <w:rPr>
          <w:i/>
          <w:iCs/>
          <w:sz w:val="24"/>
          <w:u w:val="single"/>
        </w:rPr>
        <w:t xml:space="preserve">须提供</w:t>
      </w:r>
      <w:r>
        <w:rPr>
          <w:rFonts w:hint="eastAsia"/>
          <w:i/>
          <w:iCs/>
          <w:sz w:val="24"/>
          <w:u w:val="single"/>
        </w:rPr>
        <w:t xml:space="preserve">不少于3年</w:t>
      </w:r>
      <w:r>
        <w:rPr>
          <w:i/>
          <w:iCs/>
          <w:sz w:val="24"/>
          <w:u w:val="single"/>
        </w:rPr>
        <w:t xml:space="preserve">软件质保。质保服务期内，所有产品缺陷修复和维护升级均为免费。</w:t>
      </w:r>
      <w:r>
        <w:rPr>
          <w:rFonts w:hint="eastAsia"/>
          <w:i/>
          <w:iCs/>
          <w:sz w:val="24"/>
          <w:u w:val="single"/>
        </w:rPr>
        <w:t xml:space="preserve">（提供承诺函，并加盖投标人公章）</w:t>
      </w:r>
      <w:r/>
    </w:p>
    <w:p>
      <w:pPr>
        <w:ind w:firstLine="480"/>
        <w:spacing w:line="360" w:lineRule="auto"/>
        <w:tabs>
          <w:tab w:val="left" w:pos="420" w:leader="none"/>
        </w:tabs>
        <w:rPr>
          <w:i/>
          <w:iCs/>
          <w:sz w:val="24"/>
          <w:u w:val="single"/>
        </w:rPr>
      </w:pPr>
      <w:r>
        <w:rPr>
          <w:rFonts w:hint="eastAsia"/>
          <w:i/>
          <w:iCs/>
          <w:sz w:val="24"/>
          <w:u w:val="single"/>
        </w:rPr>
        <w:t xml:space="preserve">3.在采购人现有接入能力基础上无偿提供库端视频接入能力10000路。（提供承诺函，并加盖投标人公章）</w:t>
      </w:r>
      <w:r/>
    </w:p>
    <w:p>
      <w:pPr>
        <w:ind w:firstLine="480"/>
        <w:spacing w:line="360" w:lineRule="auto"/>
        <w:tabs>
          <w:tab w:val="left" w:pos="420" w:leader="none"/>
        </w:tabs>
        <w:rPr>
          <w:i/>
          <w:iCs/>
          <w:sz w:val="24"/>
          <w:u w:val="single"/>
        </w:rPr>
      </w:pPr>
      <w:r>
        <w:rPr>
          <w:rFonts w:hint="eastAsia"/>
          <w:i/>
          <w:iCs/>
          <w:sz w:val="24"/>
          <w:u w:val="single"/>
        </w:rPr>
        <w:t xml:space="preserve">4.</w:t>
      </w:r>
      <w:r>
        <w:rPr>
          <w:i/>
          <w:iCs/>
          <w:sz w:val="24"/>
          <w:u w:val="single"/>
        </w:rPr>
        <w:t xml:space="preserve">投标人须承诺配合采购人开展网络安全等级保护测评</w:t>
      </w:r>
      <w:r>
        <w:rPr>
          <w:rFonts w:hint="eastAsia"/>
          <w:i/>
          <w:iCs/>
          <w:sz w:val="24"/>
          <w:u w:val="single"/>
        </w:rPr>
        <w:t xml:space="preserve">、</w:t>
      </w:r>
      <w:r>
        <w:rPr>
          <w:i/>
          <w:iCs/>
          <w:sz w:val="24"/>
          <w:u w:val="single"/>
        </w:rPr>
        <w:t xml:space="preserve">商用密码应用安全性评估</w:t>
      </w:r>
      <w:r>
        <w:rPr>
          <w:rFonts w:hint="eastAsia"/>
          <w:i/>
          <w:iCs/>
          <w:sz w:val="24"/>
          <w:u w:val="single"/>
        </w:rPr>
        <w:t xml:space="preserve">和第三方软件测试，根据测评结果进行整改，直至通过</w:t>
      </w:r>
      <w:r>
        <w:rPr>
          <w:i/>
          <w:iCs/>
          <w:sz w:val="24"/>
          <w:u w:val="single"/>
        </w:rPr>
        <w:t xml:space="preserve">。</w:t>
      </w:r>
      <w:r>
        <w:rPr>
          <w:rFonts w:hint="eastAsia"/>
          <w:i/>
          <w:iCs/>
          <w:sz w:val="24"/>
          <w:u w:val="single"/>
        </w:rPr>
        <w:t xml:space="preserve">（提供承诺函，并加盖投标人公章）</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5.为保证响应时间及服务质量，明确提供服务的组织体系和人员角色配置。</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6.为保证服务质量，应具备必要技术人员和技术服务能力，以响应采购人的技术服务要求。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6.本项目实施期间需要提供驻场开发服务。</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1.9 安装调试</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投标人在提供所投系统的同时，须提供对于本次采购系统的安装调试服务。</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投标人负责所投系统的安装调试。系统部署安装前须提供详细的安装调试方案并提交采购人认可，安装调试过程应严格执行相关规范并保证安全。安装调试期间，采购人有权派技术人员参加，投标人有义务对其提出问题进行解答。投标人须承担本项目安装调试过程中涉及的全部费用，系统部署、安装调试的全过程必须接受监理监督。</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在系统试运行期间，根据需要，投标人有责任派技术人员到现场指导维护工作。在系统变更或扩容时，产品原厂商应派技术人员到场指导。投标人必须向用户方提供标书中系统安装调试、售后服务、培训的全部资料内容。</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3.投标人在本项目中须实施IPv4和IPv6双栈协议网络的部署工作。</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4.本项目为交钥匙工程。</w:t>
      </w:r>
      <w:bookmarkStart w:id="195" w:name="_Hlk198654180"/>
      <w:r>
        <w:rPr>
          <w:rFonts w:hint="eastAsia" w:ascii="Times New Roman" w:hAnsi="Times New Roman" w:eastAsia="宋体" w:cs="Times New Roman"/>
          <w:sz w:val="24"/>
        </w:rPr>
        <w:t xml:space="preserve">投标人须实现采购人所有功能要求</w:t>
      </w:r>
      <w:bookmarkEnd w:id="195"/>
      <w:r>
        <w:rPr>
          <w:rFonts w:hint="eastAsia" w:ascii="Times New Roman" w:hAnsi="Times New Roman" w:eastAsia="宋体" w:cs="Times New Roman"/>
          <w:sz w:val="24"/>
        </w:rPr>
        <w:t xml:space="preserve">和业务要求，若涉及未列出的必要系统功能、软件开发组件、设备及辅材，投标人在报价时自行考虑并详细列明产品清单（包括功能组件、产品名称、品牌、型号、性能参数、数量、连接拓扑图及使用说明等内容），无需增加的可以不用列明。</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1.10 人员要求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1.投标人须为本项目配置项目经理和项目实施人员等服务团队，并严格按照投标文件所列拟派遣的项目组人员清单配置，未经采购人同意，不得随意更换。</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2.项目组人员须具有全面综合的政务信息化系统设计、实施、维护和安全建设能力和经验。</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rPr>
        <w:t xml:space="preserve">项</w:t>
      </w:r>
      <w:r>
        <w:rPr>
          <w:rFonts w:hint="eastAsia" w:ascii="Times New Roman" w:hAnsi="Times New Roman" w:eastAsia="宋体" w:cs="Times New Roman"/>
          <w:sz w:val="24"/>
        </w:rPr>
        <w:t xml:space="preserve">目实施期间，投标人应合理成立本项目实施团队，确保有效人力和物力投入。项目实施团队应明确项目经理、项目技术负责人和项目实施团队成员组成，满足项目建设需求。其中，项目经理应具备项目相关管理能力和技术能力，具有相关认证证书，包括但不限于信息系统项目管理师、ITSS服务项目经理等；技术负责人应具备项目相关技术能力，具有相关认证证书，包括但不限于系统架构设计师证书、系统规划与管理师证书等；安全负责人应具备项目相关安全能力，具有相关认证证书，包括但不限于具有信息安全保障人员（CISAW）认证证书、注册信息安全专业人员（</w:t>
      </w:r>
      <w:r>
        <w:rPr>
          <w:rFonts w:hint="eastAsia" w:ascii="Times New Roman" w:hAnsi="Times New Roman" w:eastAsia="宋体" w:cs="Times New Roman"/>
          <w:sz w:val="24"/>
        </w:rPr>
        <w:t xml:space="preserve">CISP）证书等；实施负责人应具备项目相关实施能力，具有相关认证证书，包括但不限于系统分析师、系统架构设计师等；其他项目成员（项目经理、技术负责人、安全负责人、实施负责人除外）应具备项目相关技术能力，具有相关证书，包括但不限于软件设计师证书、数据库系统工程师证书、系统集成项目管理工程师证书、ITSS IT服务工程师、软件测评师、CISAW-安全集成认证证书、网络安全能力认证CCSC证书等。项目实施团队应不少于30人，其中包括不少于3～5人的实施服务团队驻场办公。</w:t>
      </w:r>
      <w:r>
        <w:rPr>
          <w:rFonts w:hint="eastAsia" w:ascii="Times New Roman" w:hAnsi="Times New Roman" w:eastAsia="宋体" w:cs="Times New Roman"/>
          <w:sz w:val="24"/>
        </w:rPr>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1.11 保密要求</w:t>
      </w:r>
      <w:r/>
    </w:p>
    <w:p>
      <w:pPr>
        <w:ind w:firstLine="482"/>
        <w:spacing w:line="400" w:lineRule="exact"/>
        <w:rPr>
          <w:i/>
          <w:iCs/>
          <w:sz w:val="24"/>
          <w:szCs w:val="24"/>
          <w:u w:val="single"/>
        </w:rPr>
      </w:pPr>
      <w:r>
        <w:rPr>
          <w:rFonts w:hint="eastAsia"/>
          <w:i/>
          <w:iCs/>
          <w:sz w:val="24"/>
          <w:szCs w:val="24"/>
          <w:u w:val="single"/>
        </w:rPr>
        <w:t xml:space="preserve">投标人保密要求：项目实施过程中产生的政务数据、系统运行数据、收集个人信息等所有数据归采购人所有。投标人应明确网络安全责任与义务，按照法律法规加强个人信息保护，未经采购人同意不得变更数据用途用法，不得违规访问、修改、公开、披露、利用、转让、销毁、私自留存或者向第三方提供。投标人中标后应在项目实施前与采购人签订保密协议，与项目实施成员签订保密协议（投标人须出具保密承诺，并加盖投标人公章）。</w:t>
      </w:r>
      <w:r/>
    </w:p>
    <w:p>
      <w:pPr>
        <w:ind w:firstLine="482"/>
        <w:spacing w:line="400" w:lineRule="exact"/>
        <w:rPr>
          <w:rFonts w:hint="eastAsia" w:ascii="宋体" w:hAnsi="宋体"/>
          <w:sz w:val="24"/>
        </w:rPr>
      </w:pPr>
      <w:r>
        <w:rPr>
          <w:rFonts w:hint="eastAsia"/>
          <w:i/>
          <w:iCs/>
          <w:sz w:val="24"/>
          <w:szCs w:val="24"/>
          <w:u w:val="single"/>
        </w:rPr>
        <w:t xml:space="preserve">参与人员保密要求：所有参与服务项目的人员应签订正式保密协议，并在工作中坚持保密原则，投标人严格规范执行各项保密制度，对取得的采购人各类信息进行保密管理，杜绝任何泄密事件的发生。在结束采购人委托的工作时，要销毁工作期间使用的相关纸质文件和电子文档，不能保存相关文件。投标人须对参与人员进行背景调查，确保其无犯罪记录、无数据窃取与泄漏等不良行为。采购人可根据工作实际需要，对相关人员进行考察确认。（投标人须出具承诺函，并加盖投标人公章）</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1.12 交付成果要求</w:t>
      </w:r>
      <w:r/>
    </w:p>
    <w:p>
      <w:pPr>
        <w:ind w:firstLine="480"/>
        <w:spacing w:line="0" w:lineRule="atLeast"/>
        <w:rPr>
          <w:rFonts w:hint="eastAsia" w:ascii="Times New Roman" w:hAnsi="Times New Roman" w:eastAsia="宋体" w:cs="Times New Roman"/>
          <w:sz w:val="24"/>
        </w:rPr>
      </w:pPr>
      <w:r>
        <w:rPr>
          <w:rFonts w:hint="eastAsia" w:ascii="Times New Roman" w:hAnsi="Times New Roman" w:eastAsia="宋体" w:cs="Times New Roman"/>
          <w:sz w:val="24"/>
        </w:rPr>
        <w:t xml:space="preserve">中标人应按照采购文件所约定的内容和时间进行交付；按照计算机软件工程规范国家标准——《计算机软件文档编制规范》（GB/T 8567-2006）的要求分阶段交付应用系统的文档，所交付的文档与文件应该是电子版式及纸质形式。</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1.13 其他要求</w:t>
      </w:r>
      <w:r/>
    </w:p>
    <w:p>
      <w:pPr>
        <w:ind w:firstLine="480"/>
        <w:spacing w:line="0" w:lineRule="atLeast"/>
        <w:rPr>
          <w:sz w:val="24"/>
        </w:rPr>
      </w:pPr>
      <w:r>
        <w:rPr>
          <w:rFonts w:hint="eastAsia"/>
          <w:sz w:val="24"/>
        </w:rPr>
        <w:t xml:space="preserve">1.知识产权：本项目中产生的所有文档，知识产权属于采购人。项目结束时，所有文档（包括文字资料和电子文件）必须全部提交给采购人，投标人不得在其他场合、项目中使用。所有产出文档投标人向采购人提交纸质文档一套、电子文档一套。</w:t>
      </w:r>
      <w:r/>
    </w:p>
    <w:p>
      <w:pPr>
        <w:ind w:firstLine="480"/>
        <w:spacing w:line="360" w:lineRule="auto"/>
        <w:tabs>
          <w:tab w:val="left" w:pos="420" w:leader="none"/>
        </w:tabs>
        <w:rPr>
          <w:sz w:val="24"/>
        </w:rPr>
      </w:pPr>
      <w:r>
        <w:rPr>
          <w:rFonts w:hint="eastAsia"/>
          <w:sz w:val="24"/>
        </w:rPr>
        <w:t xml:space="preserve">2.报价说明</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报价应包含与本次采购项目有关的所有费用，包含但不限于人员、设备、验收、售后服务、伴随配套服务等所有含税费用。同时，还应包含支付给员工的工资和国家强制缴纳的各种社会保障资金，以及投标人认为需要的其他费用等。</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（2）投标人的任何错漏、优惠、竞争性报价不得作为减轻责任、减少服务、增加收费、降低服务质量的理由。</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（3）投标人报价除包含采购文件中列明的项目外，还应包括保障服务正常运行应当具有的物资和服务，对服务正常运行应当具有的物资和服务理解不一致的以采购人理解为准。</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3.由于投标人提供的技术服务不能够满足本文件服务要求，投标人应承担责任，并及时予以解决；同时，投标人应对提供材料的真实性以及出具的结果负责。</w:t>
      </w:r>
      <w:r/>
    </w:p>
    <w:p>
      <w:pPr>
        <w:pStyle w:val="972"/>
        <w:ind w:firstLine="498"/>
        <w:spacing w:before="145" w:after="145" w:line="360" w:lineRule="auto"/>
      </w:pPr>
      <w:r>
        <w:rPr>
          <w:rFonts w:hint="eastAsia"/>
        </w:rPr>
        <w:t xml:space="preserve">四、建设内容</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江苏智慧粮储云平台项目的建设，融合数字化、人工智能等先进技术，全面加强全省粮食和物资储备生产、储备、购销、监管能力，全面提升粮食与物资安全保障水平，促进粮食和物资储备的可持续性、安全性、绿色发展。对目前江苏省粮食和物资储备局自建且在用的江苏省“数字粮食”建设工程（暨江苏智慧粮食云平台）、江苏省价格指数管理平台、江苏省粮食流</w:t>
      </w:r>
      <w:r>
        <w:rPr>
          <w:rFonts w:hint="eastAsia" w:ascii="宋体" w:hAnsi="宋体" w:eastAsia="宋体" w:cs="Times New Roman"/>
          <w:sz w:val="24"/>
          <w:lang w:val="en-US" w:eastAsia="zh-CN"/>
        </w:rPr>
        <w:t xml:space="preserve">通和物资储备监管平台、江苏省地方储备粮动态监管平台、江苏省级应急物资储备管理云平台、“满意苏粮”APP、江苏省粮食质量监测平台等进行整合、优化、上云，按需新增平台业务功能并新建子系统填补业务缺口，建设形成架构统一、技术先进、功能完备、安全可靠的新一代智慧粮储云平台，实现统一标准、数据整合、应用融合，打造江苏智慧粮储工作门户和政务服务对外“一窗口”、多维分析辅助决策的“一张图”、粮食和物资储备业务数据“一张表”，以全新的数字化赋能粮储行业，提供全省一站式的粮储业务管理和服务，推动粮食和物资储备产业高质量发展。</w:t>
      </w:r>
      <w:r/>
    </w:p>
    <w:p>
      <w:pPr>
        <w:ind w:left="482"/>
        <w:spacing w:before="120" w:after="120" w:line="440" w:lineRule="exact"/>
        <w:rPr>
          <w:rFonts w:hint="eastAsia" w:ascii="宋体" w:hAnsi="宋体"/>
          <w:b/>
          <w:bCs/>
          <w:sz w:val="24"/>
          <w:szCs w:val="24"/>
        </w:rPr>
        <w:outlineLvl w:val="4"/>
      </w:pPr>
      <w:r>
        <w:rPr>
          <w:rFonts w:hint="eastAsia" w:ascii="宋体" w:hAnsi="宋体"/>
          <w:b/>
          <w:bCs/>
          <w:sz w:val="24"/>
          <w:szCs w:val="24"/>
        </w:rPr>
        <w:t xml:space="preserve">1.1 采购清单</w:t>
      </w:r>
      <w:r/>
    </w:p>
    <w:p>
      <w:pPr>
        <w:ind w:firstLine="480"/>
        <w:spacing w:line="360" w:lineRule="auto"/>
        <w:rPr>
          <w:sz w:val="24"/>
          <w:szCs w:val="24"/>
        </w:rPr>
      </w:pPr>
      <w:r>
        <w:rPr>
          <w:rFonts w:hint="eastAsia"/>
          <w:sz w:val="24"/>
          <w:szCs w:val="24"/>
        </w:rPr>
        <w:t xml:space="preserve">本项目采购清单如下：</w:t>
      </w:r>
      <w:r/>
    </w:p>
    <w:p>
      <w:pPr>
        <w:jc w:val="center"/>
      </w:pPr>
      <w:r>
        <w:rPr>
          <w:rFonts w:hint="eastAsia"/>
        </w:rPr>
        <w:t xml:space="preserve">表4-1 定制化软件采购清单</w:t>
      </w:r>
      <w:r/>
    </w:p>
    <w:tbl>
      <w:tblPr>
        <w:tblStyle w:val="870"/>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4908"/>
        <w:gridCol w:w="1557"/>
        <w:gridCol w:w="1540"/>
      </w:tblGrid>
      <w:tr>
        <w:trPr>
          <w:jc w:val="center"/>
          <w:tblHeader/>
        </w:trPr>
        <w:tc>
          <w:tcPr>
            <w:shd w:val="clear" w:color="auto" w:fill="d8d8d8"/>
            <w:tcW w:w="624" w:type="pct"/>
            <w:textDirection w:val="lrTb"/>
            <w:noWrap w:val="false"/>
          </w:tcPr>
          <w:p>
            <w:pPr>
              <w:jc w:val="center"/>
            </w:pPr>
            <w:r>
              <w:rPr>
                <w:rFonts w:hint="eastAsia"/>
              </w:rPr>
              <w:t xml:space="preserve">序号</w:t>
            </w:r>
            <w:r/>
          </w:p>
        </w:tc>
        <w:tc>
          <w:tcPr>
            <w:shd w:val="clear" w:color="auto" w:fill="d8d8d8"/>
            <w:tcW w:w="2683" w:type="pct"/>
            <w:textDirection w:val="lrTb"/>
            <w:noWrap w:val="false"/>
          </w:tcPr>
          <w:p>
            <w:pPr>
              <w:jc w:val="center"/>
            </w:pPr>
            <w:r>
              <w:rPr>
                <w:rFonts w:hint="eastAsia"/>
              </w:rPr>
              <w:t xml:space="preserve">名称</w:t>
            </w:r>
            <w:r/>
          </w:p>
        </w:tc>
        <w:tc>
          <w:tcPr>
            <w:shd w:val="clear" w:color="auto" w:fill="d8d8d8"/>
            <w:tcW w:w="851" w:type="pct"/>
            <w:textDirection w:val="lrTb"/>
            <w:noWrap w:val="false"/>
          </w:tcPr>
          <w:p>
            <w:pPr>
              <w:jc w:val="center"/>
            </w:pPr>
            <w:r>
              <w:rPr>
                <w:rFonts w:hint="eastAsia"/>
              </w:rPr>
              <w:t xml:space="preserve">单位</w:t>
            </w:r>
            <w:r/>
          </w:p>
        </w:tc>
        <w:tc>
          <w:tcPr>
            <w:shd w:val="clear" w:color="auto" w:fill="d8d8d8"/>
            <w:tcW w:w="842" w:type="pct"/>
            <w:textDirection w:val="lrTb"/>
            <w:noWrap w:val="false"/>
          </w:tcPr>
          <w:p>
            <w:pPr>
              <w:jc w:val="center"/>
            </w:pPr>
            <w:r>
              <w:rPr>
                <w:rFonts w:hint="eastAsia"/>
              </w:rPr>
              <w:t xml:space="preserve">数量</w:t>
            </w:r>
            <w:r/>
          </w:p>
        </w:tc>
      </w:tr>
      <w:tr>
        <w:trPr>
          <w:jc w:val="center"/>
        </w:trPr>
        <w:tc>
          <w:tcPr>
            <w:tcW w:w="624" w:type="pct"/>
            <w:textDirection w:val="lrTb"/>
            <w:noWrap w:val="false"/>
          </w:tcPr>
          <w:p>
            <w:pPr>
              <w:jc w:val="center"/>
            </w:pPr>
            <w:r>
              <w:rPr>
                <w:rFonts w:hint="eastAsia"/>
              </w:rPr>
              <w:t xml:space="preserve">1</w:t>
            </w:r>
            <w:r/>
          </w:p>
        </w:tc>
        <w:tc>
          <w:tcPr>
            <w:tcW w:w="2683" w:type="pct"/>
            <w:vAlign w:val="center"/>
            <w:textDirection w:val="lrTb"/>
            <w:noWrap w:val="false"/>
          </w:tcPr>
          <w:p>
            <w:pPr>
              <w:jc w:val="center"/>
            </w:pPr>
            <w:r>
              <w:rPr>
                <w:rFonts w:hint="eastAsia"/>
              </w:rPr>
              <w:t xml:space="preserve">工作门户</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2</w:t>
            </w:r>
            <w:r/>
          </w:p>
        </w:tc>
        <w:tc>
          <w:tcPr>
            <w:tcW w:w="2683" w:type="pct"/>
            <w:vAlign w:val="center"/>
            <w:textDirection w:val="lrTb"/>
            <w:noWrap w:val="false"/>
          </w:tcPr>
          <w:p>
            <w:pPr>
              <w:jc w:val="center"/>
            </w:pPr>
            <w:r>
              <w:rPr>
                <w:rFonts w:hint="eastAsia"/>
              </w:rPr>
              <w:t xml:space="preserve">服务门户</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3</w:t>
            </w:r>
            <w:r/>
          </w:p>
        </w:tc>
        <w:tc>
          <w:tcPr>
            <w:tcW w:w="2683" w:type="pct"/>
            <w:vAlign w:val="center"/>
            <w:textDirection w:val="lrTb"/>
            <w:noWrap w:val="false"/>
          </w:tcPr>
          <w:p>
            <w:pPr>
              <w:jc w:val="center"/>
            </w:pPr>
            <w:r>
              <w:rPr>
                <w:rFonts w:hint="eastAsia"/>
              </w:rPr>
              <w:t xml:space="preserve">应急指挥调度中心</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4</w:t>
            </w:r>
            <w:r/>
          </w:p>
        </w:tc>
        <w:tc>
          <w:tcPr>
            <w:tcW w:w="2683" w:type="pct"/>
            <w:vAlign w:val="center"/>
            <w:textDirection w:val="lrTb"/>
            <w:noWrap w:val="false"/>
          </w:tcPr>
          <w:p>
            <w:pPr>
              <w:jc w:val="center"/>
            </w:pPr>
            <w:r>
              <w:rPr>
                <w:rFonts w:hint="eastAsia"/>
              </w:rPr>
              <w:t xml:space="preserve">粮食管理</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5</w:t>
            </w:r>
            <w:r/>
          </w:p>
        </w:tc>
        <w:tc>
          <w:tcPr>
            <w:tcW w:w="2683" w:type="pct"/>
            <w:vAlign w:val="center"/>
            <w:textDirection w:val="lrTb"/>
            <w:noWrap w:val="false"/>
          </w:tcPr>
          <w:p>
            <w:pPr>
              <w:jc w:val="center"/>
            </w:pPr>
            <w:r>
              <w:rPr>
                <w:rFonts w:hint="eastAsia"/>
              </w:rPr>
              <w:t xml:space="preserve">物资储备管理</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6</w:t>
            </w:r>
            <w:r/>
          </w:p>
        </w:tc>
        <w:tc>
          <w:tcPr>
            <w:tcW w:w="2683" w:type="pct"/>
            <w:vAlign w:val="center"/>
            <w:textDirection w:val="lrTb"/>
            <w:noWrap w:val="false"/>
          </w:tcPr>
          <w:p>
            <w:pPr>
              <w:jc w:val="center"/>
            </w:pPr>
            <w:r>
              <w:rPr>
                <w:rFonts w:hint="eastAsia"/>
              </w:rPr>
              <w:t xml:space="preserve">监督执法检查</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7</w:t>
            </w:r>
            <w:r/>
          </w:p>
        </w:tc>
        <w:tc>
          <w:tcPr>
            <w:tcW w:w="2683" w:type="pct"/>
            <w:vAlign w:val="center"/>
            <w:textDirection w:val="lrTb"/>
            <w:noWrap w:val="false"/>
          </w:tcPr>
          <w:p>
            <w:pPr>
              <w:jc w:val="center"/>
            </w:pPr>
            <w:r>
              <w:rPr>
                <w:rFonts w:hint="eastAsia"/>
              </w:rPr>
              <w:t xml:space="preserve">行业公共服务</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8</w:t>
            </w:r>
            <w:r/>
          </w:p>
        </w:tc>
        <w:tc>
          <w:tcPr>
            <w:tcW w:w="2683" w:type="pct"/>
            <w:vAlign w:val="center"/>
            <w:textDirection w:val="lrTb"/>
            <w:noWrap w:val="false"/>
          </w:tcPr>
          <w:p>
            <w:pPr>
              <w:jc w:val="center"/>
            </w:pPr>
            <w:r>
              <w:rPr>
                <w:rFonts w:hint="eastAsia"/>
              </w:rPr>
              <w:t xml:space="preserve">智能中枢</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9</w:t>
            </w:r>
            <w:r/>
          </w:p>
        </w:tc>
        <w:tc>
          <w:tcPr>
            <w:tcW w:w="2683" w:type="pct"/>
            <w:vAlign w:val="center"/>
            <w:textDirection w:val="lrTb"/>
            <w:noWrap w:val="false"/>
          </w:tcPr>
          <w:p>
            <w:pPr>
              <w:jc w:val="center"/>
            </w:pPr>
            <w:r>
              <w:rPr>
                <w:rFonts w:hint="eastAsia"/>
              </w:rPr>
              <w:t xml:space="preserve">统一运维平台</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r>
        <w:trPr>
          <w:jc w:val="center"/>
        </w:trPr>
        <w:tc>
          <w:tcPr>
            <w:tcW w:w="624" w:type="pct"/>
            <w:textDirection w:val="lrTb"/>
            <w:noWrap w:val="false"/>
          </w:tcPr>
          <w:p>
            <w:pPr>
              <w:jc w:val="center"/>
            </w:pPr>
            <w:r>
              <w:rPr>
                <w:rFonts w:hint="eastAsia"/>
              </w:rPr>
              <w:t xml:space="preserve">10</w:t>
            </w:r>
            <w:r/>
          </w:p>
        </w:tc>
        <w:tc>
          <w:tcPr>
            <w:tcW w:w="2683" w:type="pct"/>
            <w:vAlign w:val="center"/>
            <w:textDirection w:val="lrTb"/>
            <w:noWrap w:val="false"/>
          </w:tcPr>
          <w:p>
            <w:pPr>
              <w:jc w:val="center"/>
            </w:pPr>
            <w:r>
              <w:rPr>
                <w:rFonts w:hint="eastAsia"/>
              </w:rPr>
              <w:t xml:space="preserve">系统对接</w:t>
            </w:r>
            <w:r/>
          </w:p>
        </w:tc>
        <w:tc>
          <w:tcPr>
            <w:tcW w:w="851" w:type="pct"/>
            <w:textDirection w:val="lrTb"/>
            <w:noWrap w:val="false"/>
          </w:tcPr>
          <w:p>
            <w:pPr>
              <w:jc w:val="center"/>
            </w:pPr>
            <w:r>
              <w:rPr>
                <w:rFonts w:hint="eastAsia"/>
              </w:rPr>
              <w:t xml:space="preserve">套</w:t>
            </w:r>
            <w:r/>
          </w:p>
        </w:tc>
        <w:tc>
          <w:tcPr>
            <w:tcW w:w="842" w:type="pct"/>
            <w:textDirection w:val="lrTb"/>
            <w:noWrap w:val="false"/>
          </w:tcPr>
          <w:p>
            <w:pPr>
              <w:jc w:val="center"/>
            </w:pPr>
            <w:r>
              <w:rPr>
                <w:rFonts w:hint="eastAsia"/>
              </w:rPr>
              <w:t xml:space="preserve">1</w:t>
            </w:r>
            <w:r/>
          </w:p>
        </w:tc>
      </w:tr>
    </w:tbl>
    <w:p>
      <w:pPr>
        <w:jc w:val="center"/>
      </w:pPr>
      <w:r/>
      <w:r/>
    </w:p>
    <w:p>
      <w:pPr>
        <w:jc w:val="center"/>
      </w:pPr>
      <w:r/>
      <w:r/>
    </w:p>
    <w:p>
      <w:pPr>
        <w:jc w:val="center"/>
      </w:pPr>
      <w:r/>
      <w:r/>
    </w:p>
    <w:p>
      <w:pPr>
        <w:jc w:val="center"/>
      </w:pPr>
      <w:r>
        <w:rPr>
          <w:rFonts w:hint="eastAsia"/>
        </w:rPr>
        <w:t xml:space="preserve">表4-2 成品软件采购清单</w:t>
      </w:r>
      <w:r/>
    </w:p>
    <w:tbl>
      <w:tblPr>
        <w:tblStyle w:val="870"/>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3"/>
        <w:gridCol w:w="3178"/>
        <w:gridCol w:w="2173"/>
        <w:gridCol w:w="2263"/>
      </w:tblGrid>
      <w:tr>
        <w:trPr>
          <w:jc w:val="center"/>
          <w:tblHeader/>
        </w:trPr>
        <w:tc>
          <w:tcPr>
            <w:shd w:val="clear" w:color="auto" w:fill="d8d8d8"/>
            <w:tcW w:w="838" w:type="pct"/>
            <w:textDirection w:val="lrTb"/>
            <w:noWrap w:val="false"/>
          </w:tcPr>
          <w:p>
            <w:pPr>
              <w:jc w:val="center"/>
            </w:pPr>
            <w:r>
              <w:rPr>
                <w:rFonts w:hint="eastAsia"/>
              </w:rPr>
              <w:t xml:space="preserve">序号</w:t>
            </w:r>
            <w:r/>
          </w:p>
        </w:tc>
        <w:tc>
          <w:tcPr>
            <w:shd w:val="clear" w:color="auto" w:fill="d8d8d8"/>
            <w:tcW w:w="1737" w:type="pct"/>
            <w:textDirection w:val="lrTb"/>
            <w:noWrap w:val="false"/>
          </w:tcPr>
          <w:p>
            <w:pPr>
              <w:jc w:val="center"/>
            </w:pPr>
            <w:r>
              <w:rPr>
                <w:rFonts w:hint="eastAsia"/>
              </w:rPr>
              <w:t xml:space="preserve">名称</w:t>
            </w:r>
            <w:r/>
          </w:p>
        </w:tc>
        <w:tc>
          <w:tcPr>
            <w:shd w:val="clear" w:color="auto" w:fill="d8d8d8"/>
            <w:tcW w:w="1188" w:type="pct"/>
            <w:textDirection w:val="lrTb"/>
            <w:noWrap w:val="false"/>
          </w:tcPr>
          <w:p>
            <w:pPr>
              <w:jc w:val="center"/>
            </w:pPr>
            <w:r>
              <w:rPr>
                <w:rFonts w:hint="eastAsia"/>
              </w:rPr>
              <w:t xml:space="preserve">单位</w:t>
            </w:r>
            <w:r/>
          </w:p>
        </w:tc>
        <w:tc>
          <w:tcPr>
            <w:shd w:val="clear" w:color="auto" w:fill="d8d8d8"/>
            <w:tcW w:w="1237" w:type="pct"/>
            <w:textDirection w:val="lrTb"/>
            <w:noWrap w:val="false"/>
          </w:tcPr>
          <w:p>
            <w:pPr>
              <w:jc w:val="center"/>
            </w:pPr>
            <w:r>
              <w:rPr>
                <w:rFonts w:hint="eastAsia"/>
              </w:rPr>
              <w:t xml:space="preserve">数量</w:t>
            </w:r>
            <w:r/>
          </w:p>
        </w:tc>
      </w:tr>
      <w:tr>
        <w:trPr>
          <w:jc w:val="center"/>
        </w:trPr>
        <w:tc>
          <w:tcPr>
            <w:tcW w:w="838" w:type="pct"/>
            <w:textDirection w:val="lrTb"/>
            <w:noWrap w:val="false"/>
          </w:tcPr>
          <w:p>
            <w:pPr>
              <w:jc w:val="center"/>
            </w:pPr>
            <w:r>
              <w:rPr>
                <w:rFonts w:hint="eastAsia"/>
              </w:rPr>
              <w:t xml:space="preserve">1</w:t>
            </w:r>
            <w:r/>
          </w:p>
        </w:tc>
        <w:tc>
          <w:tcPr>
            <w:tcW w:w="1737" w:type="pct"/>
            <w:vAlign w:val="center"/>
            <w:textDirection w:val="lrTb"/>
            <w:noWrap w:val="false"/>
          </w:tcPr>
          <w:p>
            <w:pPr>
              <w:jc w:val="center"/>
            </w:pPr>
            <w:r>
              <w:rPr>
                <w:rFonts w:hint="eastAsia"/>
              </w:rPr>
              <w:t xml:space="preserve">BI软件</w:t>
            </w:r>
            <w:r/>
          </w:p>
        </w:tc>
        <w:tc>
          <w:tcPr>
            <w:tcW w:w="1188" w:type="pct"/>
            <w:vAlign w:val="center"/>
            <w:textDirection w:val="lrTb"/>
            <w:noWrap w:val="false"/>
          </w:tcPr>
          <w:p>
            <w:pPr>
              <w:jc w:val="center"/>
            </w:pPr>
            <w:r>
              <w:rPr>
                <w:rFonts w:hint="eastAsia"/>
              </w:rPr>
              <w:t xml:space="preserve">套</w:t>
            </w:r>
            <w:r/>
          </w:p>
        </w:tc>
        <w:tc>
          <w:tcPr>
            <w:tcW w:w="1237" w:type="pct"/>
            <w:vAlign w:val="center"/>
            <w:textDirection w:val="lrTb"/>
            <w:noWrap w:val="false"/>
          </w:tcPr>
          <w:p>
            <w:pPr>
              <w:jc w:val="center"/>
            </w:pPr>
            <w:r>
              <w:rPr>
                <w:rFonts w:hint="eastAsia"/>
              </w:rPr>
              <w:t xml:space="preserve">1</w:t>
            </w:r>
            <w:r/>
          </w:p>
        </w:tc>
      </w:tr>
      <w:tr>
        <w:trPr>
          <w:jc w:val="center"/>
        </w:trPr>
        <w:tc>
          <w:tcPr>
            <w:tcW w:w="838" w:type="pct"/>
            <w:textDirection w:val="lrTb"/>
            <w:noWrap w:val="false"/>
          </w:tcPr>
          <w:p>
            <w:pPr>
              <w:jc w:val="center"/>
            </w:pPr>
            <w:r>
              <w:rPr>
                <w:rFonts w:hint="eastAsia"/>
              </w:rPr>
              <w:t xml:space="preserve">2</w:t>
            </w:r>
            <w:r/>
          </w:p>
        </w:tc>
        <w:tc>
          <w:tcPr>
            <w:tcW w:w="1737" w:type="pct"/>
            <w:vAlign w:val="center"/>
            <w:textDirection w:val="lrTb"/>
            <w:noWrap w:val="false"/>
          </w:tcPr>
          <w:p>
            <w:pPr>
              <w:jc w:val="center"/>
            </w:pPr>
            <w:r>
              <w:rPr>
                <w:rFonts w:hint="eastAsia"/>
              </w:rPr>
              <w:t xml:space="preserve">报表应用软件</w:t>
            </w:r>
            <w:r/>
          </w:p>
        </w:tc>
        <w:tc>
          <w:tcPr>
            <w:tcW w:w="1188" w:type="pct"/>
            <w:vAlign w:val="center"/>
            <w:textDirection w:val="lrTb"/>
            <w:noWrap w:val="false"/>
          </w:tcPr>
          <w:p>
            <w:pPr>
              <w:jc w:val="center"/>
            </w:pPr>
            <w:r>
              <w:rPr>
                <w:rFonts w:hint="eastAsia"/>
              </w:rPr>
              <w:t xml:space="preserve">套</w:t>
            </w:r>
            <w:r/>
          </w:p>
        </w:tc>
        <w:tc>
          <w:tcPr>
            <w:tcW w:w="1237" w:type="pct"/>
            <w:vAlign w:val="center"/>
            <w:textDirection w:val="lrTb"/>
            <w:noWrap w:val="false"/>
          </w:tcPr>
          <w:p>
            <w:pPr>
              <w:jc w:val="center"/>
            </w:pPr>
            <w:r>
              <w:rPr>
                <w:rFonts w:hint="eastAsia"/>
              </w:rPr>
              <w:t xml:space="preserve">1</w:t>
            </w:r>
            <w:r/>
          </w:p>
        </w:tc>
      </w:tr>
      <w:tr>
        <w:trPr>
          <w:jc w:val="center"/>
        </w:trPr>
        <w:tc>
          <w:tcPr>
            <w:tcW w:w="838" w:type="pct"/>
            <w:textDirection w:val="lrTb"/>
            <w:noWrap w:val="false"/>
          </w:tcPr>
          <w:p>
            <w:pPr>
              <w:jc w:val="center"/>
            </w:pPr>
            <w:r>
              <w:rPr>
                <w:rFonts w:hint="eastAsia"/>
              </w:rPr>
              <w:t xml:space="preserve">3</w:t>
            </w:r>
            <w:r/>
          </w:p>
        </w:tc>
        <w:tc>
          <w:tcPr>
            <w:tcW w:w="1737" w:type="pct"/>
            <w:vAlign w:val="center"/>
            <w:textDirection w:val="lrTb"/>
            <w:noWrap w:val="false"/>
          </w:tcPr>
          <w:p>
            <w:pPr>
              <w:jc w:val="center"/>
            </w:pPr>
            <w:r>
              <w:rPr>
                <w:rFonts w:hint="eastAsia"/>
              </w:rPr>
              <w:t xml:space="preserve">可信存证系统</w:t>
            </w:r>
            <w:r/>
          </w:p>
        </w:tc>
        <w:tc>
          <w:tcPr>
            <w:tcW w:w="1188" w:type="pct"/>
            <w:vAlign w:val="center"/>
            <w:textDirection w:val="lrTb"/>
            <w:noWrap w:val="false"/>
          </w:tcPr>
          <w:p>
            <w:pPr>
              <w:jc w:val="center"/>
            </w:pPr>
            <w:r>
              <w:rPr>
                <w:rFonts w:hint="eastAsia"/>
              </w:rPr>
              <w:t xml:space="preserve">套</w:t>
            </w:r>
            <w:r/>
          </w:p>
        </w:tc>
        <w:tc>
          <w:tcPr>
            <w:tcW w:w="1237" w:type="pct"/>
            <w:vAlign w:val="center"/>
            <w:textDirection w:val="lrTb"/>
            <w:noWrap w:val="false"/>
          </w:tcPr>
          <w:p>
            <w:pPr>
              <w:jc w:val="center"/>
            </w:pPr>
            <w:r>
              <w:rPr>
                <w:rFonts w:hint="eastAsia"/>
              </w:rPr>
              <w:t xml:space="preserve">1</w:t>
            </w:r>
            <w:r/>
          </w:p>
        </w:tc>
      </w:tr>
    </w:tbl>
    <w:p>
      <w:pPr>
        <w:jc w:val="center"/>
        <w:spacing w:line="360" w:lineRule="auto"/>
      </w:pPr>
      <w:r/>
      <w:r/>
    </w:p>
    <w:p>
      <w:pPr>
        <w:jc w:val="center"/>
      </w:pPr>
      <w:r>
        <w:rPr>
          <w:rFonts w:hint="eastAsia"/>
        </w:rPr>
        <w:t xml:space="preserve">表4-3 标准规范采购清单</w:t>
      </w:r>
      <w:r/>
    </w:p>
    <w:tbl>
      <w:tblPr>
        <w:tblStyle w:val="870"/>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3260"/>
        <w:gridCol w:w="2173"/>
        <w:gridCol w:w="2199"/>
      </w:tblGrid>
      <w:tr>
        <w:trPr>
          <w:jc w:val="center"/>
          <w:tblHeader/>
        </w:trPr>
        <w:tc>
          <w:tcPr>
            <w:shd w:val="clear" w:color="auto" w:fill="d8d8d8"/>
            <w:tcW w:w="828" w:type="pct"/>
            <w:textDirection w:val="lrTb"/>
            <w:noWrap w:val="false"/>
          </w:tcPr>
          <w:p>
            <w:pPr>
              <w:jc w:val="center"/>
            </w:pPr>
            <w:r>
              <w:rPr>
                <w:rFonts w:hint="eastAsia"/>
              </w:rPr>
              <w:t xml:space="preserve">序号</w:t>
            </w:r>
            <w:r/>
          </w:p>
        </w:tc>
        <w:tc>
          <w:tcPr>
            <w:shd w:val="clear" w:color="auto" w:fill="d8d8d8"/>
            <w:tcW w:w="1782" w:type="pct"/>
            <w:textDirection w:val="lrTb"/>
            <w:noWrap w:val="false"/>
          </w:tcPr>
          <w:p>
            <w:pPr>
              <w:jc w:val="center"/>
            </w:pPr>
            <w:r>
              <w:rPr>
                <w:rFonts w:hint="eastAsia"/>
              </w:rPr>
              <w:t xml:space="preserve">名称</w:t>
            </w:r>
            <w:r/>
          </w:p>
        </w:tc>
        <w:tc>
          <w:tcPr>
            <w:shd w:val="clear" w:color="auto" w:fill="d8d8d8"/>
            <w:tcW w:w="1188" w:type="pct"/>
            <w:textDirection w:val="lrTb"/>
            <w:noWrap w:val="false"/>
          </w:tcPr>
          <w:p>
            <w:pPr>
              <w:jc w:val="center"/>
            </w:pPr>
            <w:r>
              <w:rPr>
                <w:rFonts w:hint="eastAsia"/>
              </w:rPr>
              <w:t xml:space="preserve">单位</w:t>
            </w:r>
            <w:r/>
          </w:p>
        </w:tc>
        <w:tc>
          <w:tcPr>
            <w:shd w:val="clear" w:color="auto" w:fill="d8d8d8"/>
            <w:tcW w:w="1202" w:type="pct"/>
            <w:textDirection w:val="lrTb"/>
            <w:noWrap w:val="false"/>
          </w:tcPr>
          <w:p>
            <w:pPr>
              <w:jc w:val="center"/>
            </w:pPr>
            <w:r>
              <w:rPr>
                <w:rFonts w:hint="eastAsia"/>
              </w:rPr>
              <w:t xml:space="preserve">数量</w:t>
            </w:r>
            <w:r/>
          </w:p>
        </w:tc>
      </w:tr>
      <w:tr>
        <w:trPr>
          <w:jc w:val="center"/>
        </w:trPr>
        <w:tc>
          <w:tcPr>
            <w:tcW w:w="828" w:type="pct"/>
            <w:textDirection w:val="lrTb"/>
            <w:noWrap w:val="false"/>
          </w:tcPr>
          <w:p>
            <w:pPr>
              <w:jc w:val="center"/>
            </w:pPr>
            <w:r>
              <w:rPr>
                <w:rFonts w:hint="eastAsia"/>
              </w:rPr>
              <w:t xml:space="preserve">1</w:t>
            </w:r>
            <w:r/>
          </w:p>
        </w:tc>
        <w:tc>
          <w:tcPr>
            <w:tcW w:w="1782" w:type="pct"/>
            <w:textDirection w:val="lrTb"/>
            <w:noWrap w:val="false"/>
          </w:tcPr>
          <w:p>
            <w:pPr>
              <w:jc w:val="center"/>
            </w:pPr>
            <w:r>
              <w:rPr>
                <w:rFonts w:hint="eastAsia"/>
                <w:lang w:bidi="ar"/>
              </w:rPr>
              <w:t xml:space="preserve">总体标准</w:t>
            </w:r>
            <w:r/>
          </w:p>
        </w:tc>
        <w:tc>
          <w:tcPr>
            <w:tcW w:w="1188" w:type="pct"/>
            <w:textDirection w:val="lrTb"/>
            <w:noWrap w:val="false"/>
          </w:tcPr>
          <w:p>
            <w:pPr>
              <w:jc w:val="center"/>
            </w:pPr>
            <w:r>
              <w:rPr>
                <w:rFonts w:hint="eastAsia"/>
              </w:rPr>
              <w:t xml:space="preserve">套</w:t>
            </w:r>
            <w:r/>
          </w:p>
        </w:tc>
        <w:tc>
          <w:tcPr>
            <w:tcW w:w="1202" w:type="pct"/>
            <w:textDirection w:val="lrTb"/>
            <w:noWrap w:val="false"/>
          </w:tcPr>
          <w:p>
            <w:pPr>
              <w:jc w:val="center"/>
            </w:pPr>
            <w:r>
              <w:rPr>
                <w:rFonts w:hint="eastAsia"/>
              </w:rPr>
              <w:t xml:space="preserve">1</w:t>
            </w:r>
            <w:r/>
          </w:p>
        </w:tc>
      </w:tr>
      <w:tr>
        <w:trPr>
          <w:jc w:val="center"/>
        </w:trPr>
        <w:tc>
          <w:tcPr>
            <w:tcW w:w="828" w:type="pct"/>
            <w:textDirection w:val="lrTb"/>
            <w:noWrap w:val="false"/>
          </w:tcPr>
          <w:p>
            <w:pPr>
              <w:jc w:val="center"/>
            </w:pPr>
            <w:r>
              <w:rPr>
                <w:rFonts w:hint="eastAsia"/>
              </w:rPr>
              <w:t xml:space="preserve">2</w:t>
            </w:r>
            <w:r/>
          </w:p>
        </w:tc>
        <w:tc>
          <w:tcPr>
            <w:tcW w:w="1782" w:type="pct"/>
            <w:textDirection w:val="lrTb"/>
            <w:noWrap w:val="false"/>
          </w:tcPr>
          <w:p>
            <w:pPr>
              <w:jc w:val="center"/>
            </w:pPr>
            <w:r>
              <w:rPr>
                <w:rFonts w:hint="eastAsia"/>
                <w:lang w:bidi="ar"/>
              </w:rPr>
              <w:t xml:space="preserve">业务标准</w:t>
            </w:r>
            <w:r/>
          </w:p>
        </w:tc>
        <w:tc>
          <w:tcPr>
            <w:tcW w:w="1188" w:type="pct"/>
            <w:textDirection w:val="lrTb"/>
            <w:noWrap w:val="false"/>
          </w:tcPr>
          <w:p>
            <w:pPr>
              <w:jc w:val="center"/>
            </w:pPr>
            <w:r>
              <w:rPr>
                <w:rFonts w:hint="eastAsia"/>
              </w:rPr>
              <w:t xml:space="preserve">套</w:t>
            </w:r>
            <w:r/>
          </w:p>
        </w:tc>
        <w:tc>
          <w:tcPr>
            <w:tcW w:w="1202" w:type="pct"/>
            <w:textDirection w:val="lrTb"/>
            <w:noWrap w:val="false"/>
          </w:tcPr>
          <w:p>
            <w:pPr>
              <w:jc w:val="center"/>
            </w:pPr>
            <w:r>
              <w:rPr>
                <w:rFonts w:hint="eastAsia"/>
              </w:rPr>
              <w:t xml:space="preserve">1</w:t>
            </w:r>
            <w:r/>
          </w:p>
        </w:tc>
      </w:tr>
      <w:tr>
        <w:trPr>
          <w:jc w:val="center"/>
        </w:trPr>
        <w:tc>
          <w:tcPr>
            <w:tcW w:w="828" w:type="pct"/>
            <w:textDirection w:val="lrTb"/>
            <w:noWrap w:val="false"/>
          </w:tcPr>
          <w:p>
            <w:pPr>
              <w:jc w:val="center"/>
            </w:pPr>
            <w:r>
              <w:rPr>
                <w:rFonts w:hint="eastAsia"/>
              </w:rPr>
              <w:t xml:space="preserve">3</w:t>
            </w:r>
            <w:r/>
          </w:p>
        </w:tc>
        <w:tc>
          <w:tcPr>
            <w:tcW w:w="1782" w:type="pct"/>
            <w:textDirection w:val="lrTb"/>
            <w:noWrap w:val="false"/>
          </w:tcPr>
          <w:p>
            <w:pPr>
              <w:jc w:val="center"/>
            </w:pPr>
            <w:r>
              <w:rPr>
                <w:rFonts w:hint="eastAsia"/>
                <w:lang w:bidi="ar"/>
              </w:rPr>
              <w:t xml:space="preserve">数据标准</w:t>
            </w:r>
            <w:r/>
          </w:p>
        </w:tc>
        <w:tc>
          <w:tcPr>
            <w:tcW w:w="1188" w:type="pct"/>
            <w:textDirection w:val="lrTb"/>
            <w:noWrap w:val="false"/>
          </w:tcPr>
          <w:p>
            <w:pPr>
              <w:jc w:val="center"/>
            </w:pPr>
            <w:r>
              <w:rPr>
                <w:rFonts w:hint="eastAsia"/>
              </w:rPr>
              <w:t xml:space="preserve">套</w:t>
            </w:r>
            <w:r/>
          </w:p>
        </w:tc>
        <w:tc>
          <w:tcPr>
            <w:tcW w:w="1202" w:type="pct"/>
            <w:textDirection w:val="lrTb"/>
            <w:noWrap w:val="false"/>
          </w:tcPr>
          <w:p>
            <w:pPr>
              <w:jc w:val="center"/>
            </w:pPr>
            <w:r>
              <w:rPr>
                <w:rFonts w:hint="eastAsia"/>
              </w:rPr>
              <w:t xml:space="preserve">1</w:t>
            </w:r>
            <w:r/>
          </w:p>
        </w:tc>
      </w:tr>
      <w:tr>
        <w:trPr>
          <w:jc w:val="center"/>
        </w:trPr>
        <w:tc>
          <w:tcPr>
            <w:tcW w:w="828" w:type="pct"/>
            <w:textDirection w:val="lrTb"/>
            <w:noWrap w:val="false"/>
          </w:tcPr>
          <w:p>
            <w:pPr>
              <w:jc w:val="center"/>
            </w:pPr>
            <w:r>
              <w:rPr>
                <w:rFonts w:hint="eastAsia"/>
              </w:rPr>
              <w:t xml:space="preserve">4</w:t>
            </w:r>
            <w:r/>
          </w:p>
        </w:tc>
        <w:tc>
          <w:tcPr>
            <w:tcW w:w="1782" w:type="pct"/>
            <w:textDirection w:val="lrTb"/>
            <w:noWrap w:val="false"/>
          </w:tcPr>
          <w:p>
            <w:pPr>
              <w:jc w:val="center"/>
              <w:rPr>
                <w:lang w:bidi="ar"/>
              </w:rPr>
            </w:pPr>
            <w:r>
              <w:rPr>
                <w:rFonts w:hint="eastAsia"/>
                <w:lang w:bidi="ar"/>
              </w:rPr>
              <w:t xml:space="preserve">技术标准</w:t>
            </w:r>
            <w:r/>
          </w:p>
        </w:tc>
        <w:tc>
          <w:tcPr>
            <w:tcW w:w="1188" w:type="pct"/>
            <w:textDirection w:val="lrTb"/>
            <w:noWrap w:val="false"/>
          </w:tcPr>
          <w:p>
            <w:pPr>
              <w:jc w:val="center"/>
            </w:pPr>
            <w:r>
              <w:rPr>
                <w:rFonts w:hint="eastAsia"/>
              </w:rPr>
              <w:t xml:space="preserve">套</w:t>
            </w:r>
            <w:r/>
          </w:p>
        </w:tc>
        <w:tc>
          <w:tcPr>
            <w:tcW w:w="1202" w:type="pct"/>
            <w:textDirection w:val="lrTb"/>
            <w:noWrap w:val="false"/>
          </w:tcPr>
          <w:p>
            <w:pPr>
              <w:jc w:val="center"/>
            </w:pPr>
            <w:r>
              <w:rPr>
                <w:rFonts w:hint="eastAsia"/>
              </w:rPr>
              <w:t xml:space="preserve">1</w:t>
            </w:r>
            <w:r/>
          </w:p>
        </w:tc>
      </w:tr>
      <w:tr>
        <w:trPr>
          <w:jc w:val="center"/>
        </w:trPr>
        <w:tc>
          <w:tcPr>
            <w:tcW w:w="828" w:type="pct"/>
            <w:textDirection w:val="lrTb"/>
            <w:noWrap w:val="false"/>
          </w:tcPr>
          <w:p>
            <w:pPr>
              <w:jc w:val="center"/>
            </w:pPr>
            <w:r>
              <w:rPr>
                <w:rFonts w:hint="eastAsia"/>
              </w:rPr>
              <w:t xml:space="preserve">5</w:t>
            </w:r>
            <w:r/>
          </w:p>
        </w:tc>
        <w:tc>
          <w:tcPr>
            <w:tcW w:w="1782" w:type="pct"/>
            <w:textDirection w:val="lrTb"/>
            <w:noWrap w:val="false"/>
          </w:tcPr>
          <w:p>
            <w:pPr>
              <w:jc w:val="center"/>
              <w:rPr>
                <w:lang w:bidi="ar"/>
              </w:rPr>
            </w:pPr>
            <w:r>
              <w:rPr>
                <w:rFonts w:hint="eastAsia"/>
                <w:lang w:bidi="ar"/>
              </w:rPr>
              <w:t xml:space="preserve">运维管理标准</w:t>
            </w:r>
            <w:r/>
          </w:p>
        </w:tc>
        <w:tc>
          <w:tcPr>
            <w:tcW w:w="1188" w:type="pct"/>
            <w:textDirection w:val="lrTb"/>
            <w:noWrap w:val="false"/>
          </w:tcPr>
          <w:p>
            <w:pPr>
              <w:jc w:val="center"/>
            </w:pPr>
            <w:r>
              <w:rPr>
                <w:rFonts w:hint="eastAsia"/>
              </w:rPr>
              <w:t xml:space="preserve">套</w:t>
            </w:r>
            <w:r/>
          </w:p>
        </w:tc>
        <w:tc>
          <w:tcPr>
            <w:tcW w:w="1202" w:type="pct"/>
            <w:textDirection w:val="lrTb"/>
            <w:noWrap w:val="false"/>
          </w:tcPr>
          <w:p>
            <w:pPr>
              <w:jc w:val="center"/>
            </w:pPr>
            <w:r>
              <w:rPr>
                <w:rFonts w:hint="eastAsia"/>
              </w:rPr>
              <w:t xml:space="preserve">1</w:t>
            </w:r>
            <w:r/>
          </w:p>
        </w:tc>
      </w:tr>
      <w:tr>
        <w:trPr>
          <w:jc w:val="center"/>
        </w:trPr>
        <w:tc>
          <w:tcPr>
            <w:tcW w:w="828" w:type="pct"/>
            <w:textDirection w:val="lrTb"/>
            <w:noWrap w:val="false"/>
          </w:tcPr>
          <w:p>
            <w:pPr>
              <w:jc w:val="center"/>
            </w:pPr>
            <w:r>
              <w:rPr>
                <w:rFonts w:hint="eastAsia"/>
              </w:rPr>
              <w:t xml:space="preserve">6</w:t>
            </w:r>
            <w:r/>
          </w:p>
        </w:tc>
        <w:tc>
          <w:tcPr>
            <w:tcW w:w="1782" w:type="pct"/>
            <w:textDirection w:val="lrTb"/>
            <w:noWrap w:val="false"/>
          </w:tcPr>
          <w:p>
            <w:pPr>
              <w:jc w:val="center"/>
            </w:pPr>
            <w:r>
              <w:rPr>
                <w:rFonts w:hint="eastAsia"/>
                <w:lang w:bidi="ar"/>
              </w:rPr>
              <w:t xml:space="preserve">运维标准规范体系</w:t>
            </w:r>
            <w:r/>
          </w:p>
        </w:tc>
        <w:tc>
          <w:tcPr>
            <w:tcW w:w="1188" w:type="pct"/>
            <w:textDirection w:val="lrTb"/>
            <w:noWrap w:val="false"/>
          </w:tcPr>
          <w:p>
            <w:pPr>
              <w:jc w:val="center"/>
            </w:pPr>
            <w:r>
              <w:rPr>
                <w:rFonts w:hint="eastAsia"/>
              </w:rPr>
              <w:t xml:space="preserve">套</w:t>
            </w:r>
            <w:r/>
          </w:p>
        </w:tc>
        <w:tc>
          <w:tcPr>
            <w:tcW w:w="1202" w:type="pct"/>
            <w:textDirection w:val="lrTb"/>
            <w:noWrap w:val="false"/>
          </w:tcPr>
          <w:p>
            <w:pPr>
              <w:jc w:val="center"/>
            </w:pPr>
            <w:r>
              <w:rPr>
                <w:rFonts w:hint="eastAsia"/>
              </w:rPr>
              <w:t xml:space="preserve">1</w:t>
            </w:r>
            <w:r/>
          </w:p>
        </w:tc>
      </w:tr>
    </w:tbl>
    <w:p>
      <w:pPr>
        <w:ind w:firstLine="472"/>
        <w:spacing w:line="360" w:lineRule="auto"/>
        <w:rPr>
          <w:rFonts w:hint="eastAsia" w:ascii="宋体" w:hAnsi="宋体" w:cs="宋体"/>
          <w:sz w:val="24"/>
          <w:szCs w:val="24"/>
        </w:rPr>
      </w:pPr>
      <w:r>
        <w:rPr>
          <w:rFonts w:hint="eastAsia" w:ascii="宋体" w:hAnsi="宋体" w:cs="宋体"/>
          <w:sz w:val="24"/>
          <w:szCs w:val="24"/>
        </w:rPr>
      </w:r>
      <w:r/>
    </w:p>
    <w:p>
      <w:pPr>
        <w:ind w:left="482"/>
        <w:spacing w:before="120" w:after="120" w:line="440" w:lineRule="exact"/>
        <w:rPr>
          <w:rFonts w:hint="eastAsia" w:ascii="宋体" w:hAnsi="宋体"/>
          <w:b/>
          <w:bCs/>
          <w:sz w:val="24"/>
          <w:szCs w:val="24"/>
        </w:rPr>
        <w:outlineLvl w:val="4"/>
      </w:pPr>
      <w:r/>
      <w:bookmarkStart w:id="196" w:name="_Hlk184116845"/>
      <w:r>
        <w:rPr>
          <w:rFonts w:hint="eastAsia" w:ascii="宋体" w:hAnsi="宋体"/>
          <w:b/>
          <w:bCs/>
          <w:sz w:val="24"/>
          <w:szCs w:val="24"/>
        </w:rPr>
        <w:t xml:space="preserve">1.2 技术要求</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rPr>
          <w:rFonts w:hint="eastAsia" w:ascii="宋体" w:hAnsi="宋体" w:eastAsia="宋体" w:cs="Times New Roman"/>
          <w:sz w:val="24"/>
          <w:lang w:val="en-US" w:eastAsia="zh-CN"/>
        </w:rPr>
        <w:t xml:space="preserve">投标人必须对以下所有采购技术参数要求逐项编写《技术要求响应及偏离表》。下述技术参数要求中斜体加下划线的指标为实质性响应条款，如投标人未响应，视为不满足该指标项将导致投标被拒绝。表内标▲的为重要技术参数指标，如投标人未响应该指标按不满足处理。</w:t>
      </w:r>
      <w:r>
        <w:rPr>
          <w:rFonts w:hint="eastAsia" w:ascii="宋体" w:hAnsi="宋体" w:eastAsia="宋体" w:cs="Times New Roman"/>
          <w:sz w:val="24"/>
          <w:lang w:val="en-US" w:eastAsia="zh-CN"/>
        </w:rPr>
      </w:r>
      <w:r/>
    </w:p>
    <w:p>
      <w:pPr>
        <w:pStyle w:val="865"/>
        <w:ind w:firstLine="482"/>
        <w:rPr>
          <w:rFonts w:hint="eastAsia" w:ascii="宋体" w:hAnsi="宋体" w:eastAsia="宋体"/>
          <w:sz w:val="24"/>
          <w:szCs w:val="24"/>
        </w:rPr>
      </w:pPr>
      <w:r/>
      <w:bookmarkStart w:id="197" w:name="_Toc430165353"/>
      <w:r/>
      <w:bookmarkStart w:id="198" w:name="_Toc448820835"/>
      <w:r>
        <w:rPr>
          <w:rFonts w:hint="eastAsia" w:ascii="宋体" w:hAnsi="宋体" w:eastAsia="宋体"/>
          <w:sz w:val="24"/>
          <w:szCs w:val="24"/>
        </w:rPr>
        <w:t xml:space="preserve">1.2.1 定制化软件开发</w:t>
      </w:r>
      <w:r/>
    </w:p>
    <w:p>
      <w:pPr>
        <w:pStyle w:val="866"/>
        <w:ind w:firstLine="482"/>
        <w:rPr>
          <w:rFonts w:hint="eastAsia" w:ascii="宋体" w:hAnsi="宋体"/>
          <w:i/>
          <w:iCs w:val="0"/>
        </w:rPr>
      </w:pPr>
      <w:r>
        <w:rPr>
          <w:rFonts w:hint="eastAsia" w:ascii="宋体" w:hAnsi="宋体"/>
          <w:iCs w:val="0"/>
        </w:rPr>
        <w:t xml:space="preserve">1.</w:t>
      </w:r>
      <w:r>
        <w:rPr>
          <w:rFonts w:hint="eastAsia" w:ascii="宋体" w:hAnsi="宋体" w:cs="宋体"/>
          <w:iCs w:val="0"/>
        </w:rPr>
        <w:t xml:space="preserve">统一交互展示入口</w:t>
      </w:r>
      <w:r/>
    </w:p>
    <w:p>
      <w:pPr>
        <w:pStyle w:val="867"/>
        <w:ind w:firstLine="480"/>
        <w:spacing w:before="120" w:after="120"/>
        <w:rPr>
          <w:rFonts w:hint="eastAsia" w:ascii="宋体" w:hAnsi="宋体"/>
          <w:iCs w:val="0"/>
        </w:rPr>
      </w:pPr>
      <w:r>
        <w:rPr>
          <w:rFonts w:hint="eastAsia" w:ascii="宋体" w:hAnsi="宋体"/>
          <w:iCs w:val="0"/>
        </w:rPr>
        <w:t xml:space="preserve">（1）工作门户</w:t>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83"/>
        <w:gridCol w:w="1084"/>
        <w:gridCol w:w="1458"/>
        <w:gridCol w:w="5544"/>
      </w:tblGrid>
      <w:tr>
        <w:trPr>
          <w:trHeight w:val="270"/>
          <w:tblHeader/>
        </w:trPr>
        <w:tc>
          <w:tcPr>
            <w:shd w:val="clear" w:color="000000" w:fill="d8d8d8"/>
            <w:tcBorders>
              <w:top w:val="single" w:color="auto" w:sz="4" w:space="0"/>
              <w:left w:val="single" w:color="auto" w:sz="4" w:space="0"/>
              <w:bottom w:val="single" w:color="auto" w:sz="4" w:space="0"/>
              <w:right w:val="single" w:color="auto" w:sz="4" w:space="0"/>
            </w:tcBorders>
            <w:tcW w:w="591" w:type="pct"/>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系统</w:t>
            </w:r>
            <w:r/>
          </w:p>
        </w:tc>
        <w:tc>
          <w:tcPr>
            <w:shd w:val="clear" w:color="000000" w:fill="d8d8d8"/>
            <w:tcBorders>
              <w:top w:val="single" w:color="auto" w:sz="4" w:space="0"/>
              <w:left w:val="none" w:color="000000" w:sz="4" w:space="0"/>
              <w:bottom w:val="single" w:color="auto" w:sz="4" w:space="0"/>
              <w:right w:val="single" w:color="auto" w:sz="4" w:space="0"/>
            </w:tcBorders>
            <w:tcW w:w="591" w:type="pct"/>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模块</w:t>
            </w:r>
            <w:r/>
          </w:p>
        </w:tc>
        <w:tc>
          <w:tcPr>
            <w:shd w:val="clear" w:color="000000" w:fill="d8d8d8"/>
            <w:tcBorders>
              <w:top w:val="single" w:color="auto" w:sz="4" w:space="0"/>
              <w:left w:val="none" w:color="000000" w:sz="4" w:space="0"/>
              <w:bottom w:val="single" w:color="auto" w:sz="4" w:space="0"/>
              <w:right w:val="single" w:color="auto" w:sz="4" w:space="0"/>
            </w:tcBorders>
            <w:tcW w:w="795" w:type="pct"/>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功能</w:t>
            </w:r>
            <w:r/>
          </w:p>
        </w:tc>
        <w:tc>
          <w:tcPr>
            <w:shd w:val="clear" w:color="000000" w:fill="d8d8d8"/>
            <w:tcBorders>
              <w:top w:val="single" w:color="auto" w:sz="4" w:space="0"/>
              <w:left w:val="none" w:color="000000" w:sz="4" w:space="0"/>
              <w:bottom w:val="single" w:color="auto" w:sz="4" w:space="0"/>
              <w:right w:val="single" w:color="auto" w:sz="4" w:space="0"/>
            </w:tcBorders>
            <w:tcW w:w="3023" w:type="pct"/>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restart"/>
            <w:textDirection w:val="lrTb"/>
            <w:noWrap/>
          </w:tcPr>
          <w:p>
            <w:pPr>
              <w:jc w:val="center"/>
              <w:widowControl/>
              <w:rPr>
                <w:rFonts w:hint="eastAsia" w:ascii="宋体" w:hAnsi="宋体" w:cs="宋体"/>
                <w:color w:val="000000"/>
              </w:rPr>
            </w:pPr>
            <w:r>
              <w:rPr>
                <w:rFonts w:hint="eastAsia" w:ascii="宋体" w:hAnsi="宋体" w:cs="宋体"/>
                <w:color w:val="000000"/>
              </w:rPr>
              <w:t xml:space="preserve">工作门户</w:t>
            </w:r>
            <w:r/>
          </w:p>
        </w:tc>
        <w:tc>
          <w:tcPr>
            <w:tcBorders>
              <w:top w:val="none" w:color="000000" w:sz="4" w:space="0"/>
              <w:left w:val="single" w:color="auto" w:sz="4" w:space="0"/>
              <w:bottom w:val="single" w:color="auto" w:sz="4" w:space="0"/>
              <w:right w:val="single" w:color="auto" w:sz="4" w:space="0"/>
            </w:tcBorders>
            <w:tcW w:w="591"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统一登录</w:t>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统一注册</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提供一个集中的用户注册接口，用户只需要在一个平台上完成注册操作，就可以获得访问多个应用或系统的权限</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统一身份认证</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用于验证用户的身份，确保只有合法的用户才能访问应用或系统。</w:t>
            </w:r>
            <w:r/>
          </w:p>
        </w:tc>
      </w:tr>
      <w:tr>
        <w:trPr>
          <w:trHeight w:val="765"/>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统一授权｀</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控制用户对应用或系统的访问权限。管理员可以为用户分配不同的角色和权限，以限制或允许用户对某些资源或功能的访问。</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工作处理</w:t>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消息中心</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消息中心主要负责收集、整合和展示来自不同业务系统的待办消息、通知、提醒等。</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待办事项处理</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可以帮助用户高效管理自己的工作任务，确保每个任务都能得到及时处理。</w:t>
            </w:r>
            <w:r/>
          </w:p>
        </w:tc>
      </w:tr>
      <w:tr>
        <w:trPr>
          <w:trHeight w:val="27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▲应用管理</w:t>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应用目录</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应用目录集成了局内所有的应用系统。</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分类管理</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分类管理将不同功能和用途的应用进行归类，以便用户能够根据自己的需求快速找到所需应用。</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应用搜索</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可以帮助用户快速定位到特定的应用，支持关键词搜索、模糊匹配和语义识别，确保用户能够准确找到所需应用。</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常用应用收藏</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用户可以根据自己的使用习惯和需求，自主选择要收藏的应用。提供一键快速访问功能</w:t>
            </w:r>
            <w:r/>
          </w:p>
        </w:tc>
      </w:tr>
      <w:tr>
        <w:trPr>
          <w:trHeight w:val="765"/>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应用权限管理</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确保用户只能访问他们有权限的应用，支持根据用户的具体需求和工作职责进行动态授权，实现精细化权限管理。记录所有与应用权限相关的操作日志</w:t>
            </w:r>
            <w:r/>
          </w:p>
        </w:tc>
      </w:tr>
      <w:tr>
        <w:trPr>
          <w:trHeight w:val="27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全省通讯录</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按角色、层级权限查看全省通讯录信息</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短信发送</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根据通讯录选择接收人员，将短信内容通过短信方式推送给指定人员。</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短信查询</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短信历史记录查询，建议按来电号码、时间、用户名等来搜索，与待办事项关联。</w:t>
            </w:r>
            <w:r/>
          </w:p>
        </w:tc>
      </w:tr>
      <w:tr>
        <w:trPr>
          <w:trHeight w:val="27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信息展示</w:t>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信息发布</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允许管理员上传、编辑和删除发布的内容</w:t>
            </w:r>
            <w:r/>
          </w:p>
        </w:tc>
      </w:tr>
      <w:tr>
        <w:trPr>
          <w:trHeight w:val="510"/>
        </w:trPr>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数据展示</w:t>
            </w:r>
            <w:r/>
          </w:p>
        </w:tc>
        <w:tc>
          <w:tcPr>
            <w:tcBorders>
              <w:top w:val="none" w:color="000000" w:sz="4" w:space="0"/>
              <w:left w:val="none" w:color="000000" w:sz="4" w:space="0"/>
              <w:bottom w:val="single" w:color="auto" w:sz="4" w:space="0"/>
              <w:right w:val="single" w:color="auto" w:sz="4" w:space="0"/>
            </w:tcBorders>
            <w:tcW w:w="3023"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与各类数据源实现对接，集成各种业务数据，提供全面的数据视图。</w:t>
            </w:r>
            <w:r/>
          </w:p>
        </w:tc>
      </w:tr>
    </w:tbl>
    <w:p>
      <w:pPr>
        <w:ind w:firstLine="480"/>
        <w:spacing w:line="400" w:lineRule="exact"/>
        <w:rPr>
          <w:rFonts w:hint="eastAsia" w:ascii="宋体" w:hAnsi="宋体" w:cs="宋体"/>
          <w:sz w:val="24"/>
          <w:szCs w:val="24"/>
        </w:rPr>
      </w:pPr>
      <w:r>
        <w:rPr>
          <w:rFonts w:hint="eastAsia" w:ascii="宋体" w:hAnsi="宋体" w:cs="宋体"/>
          <w:sz w:val="24"/>
          <w:szCs w:val="24"/>
        </w:rPr>
      </w:r>
      <w:r/>
    </w:p>
    <w:p>
      <w:pPr>
        <w:pStyle w:val="867"/>
        <w:ind w:firstLine="480"/>
        <w:spacing w:before="120" w:after="120"/>
        <w:rPr>
          <w:rFonts w:hint="eastAsia" w:ascii="宋体" w:hAnsi="宋体"/>
          <w:iCs w:val="0"/>
        </w:rPr>
      </w:pPr>
      <w:r>
        <w:rPr>
          <w:rFonts w:hint="eastAsia" w:ascii="宋体" w:hAnsi="宋体"/>
          <w:iCs w:val="0"/>
        </w:rPr>
        <w:t xml:space="preserve">（2）服务门户</w:t>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08"/>
        <w:gridCol w:w="1208"/>
        <w:gridCol w:w="1208"/>
        <w:gridCol w:w="5545"/>
      </w:tblGrid>
      <w:tr>
        <w:trPr>
          <w:trHeight w:val="285"/>
          <w:tblHeader/>
        </w:trPr>
        <w:tc>
          <w:tcPr>
            <w:shd w:val="clear" w:color="000000" w:fill="d8d8d8"/>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系统</w:t>
            </w:r>
            <w:r/>
          </w:p>
        </w:tc>
        <w:tc>
          <w:tcPr>
            <w:shd w:val="clear" w:color="000000" w:fill="d8d8d8"/>
            <w:tcBorders>
              <w:top w:val="single" w:color="auto"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模块</w:t>
            </w:r>
            <w:r/>
          </w:p>
        </w:tc>
        <w:tc>
          <w:tcPr>
            <w:shd w:val="clear" w:color="000000" w:fill="d8d8d8"/>
            <w:tcBorders>
              <w:top w:val="single" w:color="auto"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功能</w:t>
            </w:r>
            <w:r/>
          </w:p>
        </w:tc>
        <w:tc>
          <w:tcPr>
            <w:shd w:val="clear" w:color="000000" w:fill="d8d8d8"/>
            <w:tcBorders>
              <w:top w:val="single" w:color="auto" w:sz="4" w:space="0"/>
              <w:left w:val="none" w:color="000000" w:sz="4" w:space="0"/>
              <w:bottom w:val="single" w:color="auto" w:sz="4" w:space="0"/>
              <w:right w:val="single" w:color="auto" w:sz="4" w:space="0"/>
            </w:tcBorders>
            <w:tcW w:w="3024"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1275"/>
        </w:trPr>
        <w:tc>
          <w:tcPr>
            <w:tcBorders>
              <w:top w:val="none" w:color="000000" w:sz="4" w:space="0"/>
              <w:left w:val="single" w:color="auto" w:sz="4" w:space="0"/>
              <w:bottom w:val="single" w:color="000000" w:sz="4" w:space="0"/>
              <w:right w:val="single" w:color="auto" w:sz="4" w:space="0"/>
            </w:tcBorders>
            <w:tcW w:w="659" w:type="pct"/>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服务门户</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统一登录</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与省政务服务网用户体系对接，实现面向企业和社会公众在线政务服务“一次登录、全网通行”；支持个人登录与法人登录；未注册的个人账号需进行实名认证，包括姓名、身份证号、图形验证、手机号码、短信验证码、设置密码、确认密码。</w:t>
            </w:r>
            <w:r/>
          </w:p>
        </w:tc>
      </w:tr>
      <w:tr>
        <w:trPr>
          <w:trHeight w:val="765"/>
        </w:trPr>
        <w:tc>
          <w:tcPr>
            <w:tcBorders>
              <w:top w:val="none" w:color="000000" w:sz="4" w:space="0"/>
              <w:left w:val="single" w:color="auto" w:sz="4" w:space="0"/>
              <w:bottom w:val="single" w:color="000000" w:sz="4" w:space="0"/>
              <w:right w:val="single" w:color="auto" w:sz="4" w:space="0"/>
            </w:tcBorders>
            <w:tcW w:w="659" w:type="pct"/>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个人中心</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用户可在个人中心查看各类事项的办理情况，在该模块显示我所有的服务事项，按办理中、已办理、未办理分类展示；支持按照流水号或时间进行快速查询。</w:t>
            </w:r>
            <w:r/>
          </w:p>
        </w:tc>
      </w:tr>
      <w:tr>
        <w:trPr>
          <w:trHeight w:val="1275"/>
        </w:trPr>
        <w:tc>
          <w:tcPr>
            <w:tcBorders>
              <w:top w:val="none" w:color="000000" w:sz="4" w:space="0"/>
              <w:left w:val="single" w:color="auto" w:sz="4" w:space="0"/>
              <w:bottom w:val="single" w:color="000000" w:sz="4" w:space="0"/>
              <w:right w:val="single" w:color="auto" w:sz="4" w:space="0"/>
            </w:tcBorders>
            <w:tcW w:w="659" w:type="pct"/>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企业办事</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面向各类粮食物资企业，集成以下系统功能模块：行政事项服务系统的粮食购销企业备案、粮食仓储企业备案、熏蒸作业备案、备案变更功能，集成项目建设管理系统的专项资金项目申报功能，满足企业办事需求。支持事项快速搜索。</w:t>
            </w:r>
            <w:r/>
          </w:p>
        </w:tc>
      </w:tr>
      <w:tr>
        <w:trPr>
          <w:trHeight w:val="1785"/>
        </w:trPr>
        <w:tc>
          <w:tcPr>
            <w:tcBorders>
              <w:top w:val="none" w:color="000000" w:sz="4" w:space="0"/>
              <w:left w:val="single" w:color="auto" w:sz="4" w:space="0"/>
              <w:bottom w:val="single" w:color="000000" w:sz="4" w:space="0"/>
              <w:right w:val="single" w:color="auto" w:sz="4" w:space="0"/>
            </w:tcBorders>
            <w:tcW w:w="659" w:type="pct"/>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▲信息服务</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一网两微信息服务：将收购政策、质价标准、价格走势、产销信息、粮食价格等数据同步到网站、微信、微博平台，实现信息共享，更好地为农服务、为民服务。分类信息检索查询，包括但不限于：政策法规（粮食、物资储备、安全生产、监督检查执法等领域）、卖粮预约、全省库点信息、价格交易信息、质量检测机构信息、企业信用信息公示等。</w:t>
            </w:r>
            <w:r/>
          </w:p>
        </w:tc>
      </w:tr>
      <w:tr>
        <w:trPr>
          <w:trHeight w:val="1275"/>
        </w:trPr>
        <w:tc>
          <w:tcPr>
            <w:tcBorders>
              <w:top w:val="none" w:color="000000" w:sz="4" w:space="0"/>
              <w:left w:val="single" w:color="auto" w:sz="4" w:space="0"/>
              <w:bottom w:val="single" w:color="000000" w:sz="4" w:space="0"/>
              <w:right w:val="single" w:color="auto" w:sz="4" w:space="0"/>
            </w:tcBorders>
            <w:tcW w:w="659" w:type="pct"/>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企业责任</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面向各类粮食物资企业，集成以下系统功能模块：监督检查执法系统的企业信用承诺，集成安全生产监督检查系统的企业安全隐患自查、整改反馈等功能，集成项目建设管理系统的专项资金项目进度填报功能，满足企业办事需求。支持服务事项快速搜索。</w:t>
            </w:r>
            <w:r/>
          </w:p>
        </w:tc>
      </w:tr>
      <w:tr>
        <w:trPr>
          <w:trHeight w:val="510"/>
        </w:trPr>
        <w:tc>
          <w:tcPr>
            <w:tcBorders>
              <w:top w:val="none" w:color="000000" w:sz="4" w:space="0"/>
              <w:left w:val="single" w:color="auto" w:sz="4" w:space="0"/>
              <w:bottom w:val="single" w:color="000000" w:sz="4" w:space="0"/>
              <w:right w:val="single" w:color="auto" w:sz="4" w:space="0"/>
            </w:tcBorders>
            <w:tcW w:w="659" w:type="pct"/>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“苏服办”集成</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集成服务门户涵盖对外服务的移动端系统功能，包括企业办事、信息服务、企业责任等移动服务事项。</w:t>
            </w:r>
            <w:r/>
          </w:p>
        </w:tc>
      </w:tr>
    </w:tbl>
    <w:p>
      <w:pPr>
        <w:ind w:firstLine="480"/>
        <w:spacing w:line="400" w:lineRule="exact"/>
        <w:rPr>
          <w:rFonts w:hint="eastAsia" w:ascii="宋体" w:hAnsi="宋体" w:cs="宋体"/>
          <w:sz w:val="24"/>
          <w:szCs w:val="24"/>
        </w:rPr>
      </w:pPr>
      <w:r>
        <w:rPr>
          <w:rFonts w:hint="eastAsia" w:ascii="宋体" w:hAnsi="宋体" w:cs="宋体"/>
          <w:sz w:val="24"/>
          <w:szCs w:val="24"/>
        </w:rPr>
      </w:r>
      <w:r/>
    </w:p>
    <w:p>
      <w:pPr>
        <w:pStyle w:val="866"/>
        <w:ind w:firstLine="482"/>
        <w:rPr>
          <w:rFonts w:hint="eastAsia" w:ascii="宋体" w:hAnsi="宋体"/>
          <w:i/>
          <w:iCs w:val="0"/>
        </w:rPr>
      </w:pPr>
      <w:r>
        <w:rPr>
          <w:rFonts w:hint="eastAsia" w:ascii="宋体" w:hAnsi="宋体"/>
          <w:iCs w:val="0"/>
        </w:rPr>
        <w:t xml:space="preserve">2.应用系统</w:t>
      </w:r>
      <w:r/>
    </w:p>
    <w:p>
      <w:pPr>
        <w:pStyle w:val="867"/>
        <w:ind w:firstLine="480"/>
        <w:spacing w:before="120" w:after="120"/>
        <w:rPr>
          <w:rFonts w:hint="eastAsia" w:ascii="宋体" w:hAnsi="宋体"/>
          <w:i/>
          <w:iCs w:val="0"/>
        </w:rPr>
      </w:pPr>
      <w:r>
        <w:rPr>
          <w:rFonts w:hint="eastAsia" w:ascii="宋体" w:hAnsi="宋体"/>
          <w:iCs w:val="0"/>
        </w:rPr>
        <w:t xml:space="preserve">（1）应用调度指挥中心</w:t>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34"/>
        <w:gridCol w:w="835"/>
        <w:gridCol w:w="835"/>
        <w:gridCol w:w="6665"/>
      </w:tblGrid>
      <w:tr>
        <w:trPr>
          <w:trHeight w:val="285"/>
          <w:tblHeader/>
        </w:trPr>
        <w:tc>
          <w:tcPr>
            <w:shd w:val="clear" w:color="000000" w:fill="d9d9d9"/>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系统</w:t>
            </w:r>
            <w:r/>
          </w:p>
        </w:tc>
        <w:tc>
          <w:tcPr>
            <w:shd w:val="clear" w:color="000000" w:fill="d9d9d9"/>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模块</w:t>
            </w:r>
            <w:r/>
          </w:p>
        </w:tc>
        <w:tc>
          <w:tcPr>
            <w:shd w:val="clear" w:color="000000" w:fill="d9d9d9"/>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功能</w:t>
            </w:r>
            <w:r/>
          </w:p>
        </w:tc>
        <w:tc>
          <w:tcPr>
            <w:shd w:val="clear" w:color="000000" w:fill="d9d9d9"/>
            <w:tcBorders>
              <w:top w:val="single" w:color="auto" w:sz="4" w:space="0"/>
              <w:left w:val="none" w:color="000000" w:sz="4" w:space="0"/>
              <w:bottom w:val="single" w:color="auto" w:sz="4" w:space="0"/>
              <w:right w:val="single" w:color="auto" w:sz="4" w:space="0"/>
            </w:tcBorders>
            <w:tcW w:w="3634"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1275"/>
        </w:trPr>
        <w:tc>
          <w:tcPr>
            <w:tcBorders>
              <w:top w:val="none" w:color="000000" w:sz="4" w:space="0"/>
              <w:left w:val="single" w:color="auto" w:sz="4" w:space="0"/>
              <w:bottom w:val="single" w:color="000000" w:sz="4" w:space="0"/>
              <w:right w:val="single" w:color="auto" w:sz="4" w:space="0"/>
            </w:tcBorders>
            <w:tcW w:w="455"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应急调度指挥中心</w:t>
            </w:r>
            <w:r/>
          </w:p>
        </w:tc>
        <w:tc>
          <w:tcPr>
            <w:tcBorders>
              <w:top w:val="none" w:color="000000" w:sz="4" w:space="0"/>
              <w:left w:val="single" w:color="auto" w:sz="4" w:space="0"/>
              <w:bottom w:val="single" w:color="auto" w:sz="4" w:space="0"/>
              <w:right w:val="single" w:color="auto" w:sz="4" w:space="0"/>
            </w:tcBorders>
            <w:tcW w:w="455"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▲储备展示一张图</w:t>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规模管理</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储备规模展示：支持用户直观查看不同地区的储备规模情况，通过列表、图表和地图的形式展示数据，提供多样化的观察途径；产业地图展示：对粮食、物资领域进行产业地图展示，包括粮食产量、全省地方原粮储备规模、地方食用油储备、地方成品粮储备、可保证市场供应量时限、粮食应急供应网点数量、应急加工企业数量、应急储备企业数量、应急配送中心数量、应急储备物资等进行展示。</w:t>
            </w:r>
            <w:r/>
          </w:p>
        </w:tc>
      </w:tr>
      <w:tr>
        <w:trPr>
          <w:trHeight w:val="76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轮换管理</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轮换计划展示：采集汇总地方储备粮动态监管平台、应急物资储备管理云平台轮换计划数据，对轮换计划执行情况以列表形式展示出来；轮换进度展示：将粮食与物资轮换进度数据在地图上进行展示，支持用户直观查看不同地区的轮换进度情况</w:t>
            </w:r>
            <w:r/>
          </w:p>
        </w:tc>
      </w:tr>
      <w:tr>
        <w:trPr>
          <w:trHeight w:val="178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仓储数据管理</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库存数据展</w:t>
            </w:r>
            <w:r>
              <w:rPr>
                <w:rFonts w:hint="eastAsia" w:ascii="宋体" w:hAnsi="宋体" w:cs="宋体"/>
                <w:color w:val="000000"/>
              </w:rPr>
              <w:t xml:space="preserve">示：通过获取粮食和物资储备库存数据并以列表形式展示，支持数据的查询，以各类图表形式展示库存数据的分布和趋势；质量数据展示：通过采集承储企业开展的粮食收购质检信息、储备粮质量自检信息、物资保管验收质量等，形成全省粮食和物资储备质量安全数据资源库，以质量台账的形式展现；出入库数据展示：通过获取出入库数据，并以列表形式展示出来，支持直接查看数据。采用各类图表展示出入库数据的分布和趋势；粮情数据展示：以列表形式展示获取的粮情数据并支持数据的查看，利用各类图表展示粮情数据的分布和趋势，使用户能够直观地了解粮情的情况。</w:t>
            </w:r>
            <w:r/>
          </w:p>
        </w:tc>
      </w:tr>
      <w:tr>
        <w:trPr>
          <w:trHeight w:val="76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业务信息展示</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企业信息展示：支持直接查看各家企业的相关信息；价格填报考核展示：获取价格监测采集情况，对采价点合计、填报次数（周）、填报的及时性、数据的有效性等数据进行展示。</w:t>
            </w:r>
            <w:r/>
          </w:p>
        </w:tc>
      </w:tr>
      <w:tr>
        <w:trPr>
          <w:trHeight w:val="510"/>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▲决策分析一张图</w:t>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综合分析概况</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提供对粮食和物资储备业务整体情况的综合分析，包括存储量、库存情况、交易量等方面的综合评估。</w:t>
            </w:r>
            <w:r/>
          </w:p>
        </w:tc>
      </w:tr>
      <w:tr>
        <w:trPr>
          <w:trHeight w:val="178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粮食收储保供能力专题</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粮食收储能力分析：根据不同地区或仓库的存储情况，并分析储备粮的库存情况与仓储容量之间的关系，便于仓储资源的合理规划决策；应急保供能力分析：汇总全省粮食应急供应网点、应急加工企业、应急储运企业、应急配送中心数据，分析展示粮食应急点位分布、储备能力、加工能力、运输能力等保供能力，为应急保供网络基础设施建设提供辅助决策；仓储保管能力分析：分析仓储保管设施、储备粮库存数量、储备粮品质等，为领导提供储备粮的安全评估。通过对储备粮的仓储保管情况进行综合分析，确定是否存在安全隐患和风险，并提供针对性的安全评估。</w:t>
            </w:r>
            <w:r/>
          </w:p>
        </w:tc>
      </w:tr>
      <w:tr>
        <w:trPr>
          <w:trHeight w:val="1020"/>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物资储备保障能力专题</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物资储备数量分析：汇总实物物资库存、采购、调拨数量和金额等情况以及协议储备情况，进行统计和趋势分析，便于领导了解物资的流动情况、仓储能力利用率以及库存变化趋势等重要信息；物资储备布局分析：收集和分析储备物资的库存种类、数量数据和仓储设施信息，进行物资储备种类、数量的供需分析，识别潜在的库存过剩或不足问题。</w:t>
            </w:r>
            <w:r/>
          </w:p>
        </w:tc>
      </w:tr>
      <w:tr>
        <w:trPr>
          <w:trHeight w:val="178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粮食产业发展能力专题</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粮食产业发展质量分析：汇总粮食产业经济数据、粮食产业项目建设及推进数据，分析产业经济态势及产业项目进展情况，如项目进度、项目效益等情况，为粮食产业后续发展提供辅助决策；优质粮食工程推进分析：展示优质粮食工程的实施进度，包括粮食绿色仓储、粮食品种品质品牌、粮食质量追溯、粮食机械装备、粮食应急保障能力、粮食节约减损健康消费提升等“六大提升行动”；现代粮库建设分析：展示粮食仓储设施的现代化改造进度，包括安全、智慧、绿色、廉洁和美丽粮库的建设情况，提高粮食仓储设施现代化水平、绿色储粮覆盖率。</w:t>
            </w:r>
            <w:r/>
          </w:p>
        </w:tc>
      </w:tr>
      <w:tr>
        <w:trPr>
          <w:trHeight w:val="229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行业监管执法效能专题</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安全生产与风险防控分析：展示安全生产责任的落实情况，以及隐患排查和治理的效率，确保安全生产无隐患；监督检查分析：支持各类型监督检查数据的汇总、多维分析，通过历年监督检查数</w:t>
            </w:r>
            <w:r>
              <w:rPr>
                <w:rFonts w:hint="eastAsia" w:ascii="宋体" w:hAnsi="宋体" w:cs="宋体"/>
                <w:color w:val="000000"/>
              </w:rPr>
              <w:t xml:space="preserve">据分析隐患发生趋势，对重点、高发隐患加大监督检查力度；案件查办分析：支持执法案件查办数量、类型、办理结果等关键指标的统计分析，及时发现和研判案件发生趋势和热点，为科学制定执法工作计划和部署资源提供依据，提高案件查办质量；监督检查分析：支持各类型监督检查数据的汇总、多维分析，通过历年监督检查数据分析隐患发生趋势，对重点、高发隐患加大监督检查力度；案件查办分析：支持执法案件查办数量、类型、办理结果等关键指标的统计分析，及时发现和研判案件发生趋势和热点，为科学制定执法工作计划和部署资源提供依据，提高案件查办质量。</w:t>
            </w:r>
            <w:r/>
          </w:p>
        </w:tc>
      </w:tr>
      <w:tr>
        <w:trPr>
          <w:trHeight w:val="280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▲指挥调度一张图</w:t>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应急指挥全景图</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在江苏省级应急物资储备管理云平台的指挥全景图子系统基础上，对接原有物资应急调度，同时建设粮食应急事件展示、应急调拨、调拨单跟踪、资源分布等功能，实现粮食应急作战指挥图上展示；应急事件展示：支持展示应急调拨方案、调拨指令与物流信息、调拨追踪单，支持过程实时监控。事件动态中指令任务、信息通知等均可在一张图上进行展示，同时对当前事件的处</w:t>
            </w:r>
            <w:r>
              <w:rPr>
                <w:rFonts w:hint="eastAsia" w:ascii="宋体" w:hAnsi="宋体" w:cs="宋体"/>
                <w:color w:val="000000"/>
              </w:rPr>
              <w:t xml:space="preserve">置状态进度进行显示；应急调拨：支持调拨方案的查看，将预案中所有调派方案中队伍的行进路线在地图上绘制出来，标注出每一个方案的集结点和目的地；调拨单追踪：支持查看所有粮食和物资调拨单信息，支持查看物资调拨单每个流程节点的详细记录；应急资源分布：在现有物资库点分布基础上，对接粮食应急保供点、应急加工点、储备粮库点等数据，实现粮食与物资应急相关库点分布、库存信息等展示；地图基础功能：作战指挥全景地图将所有的信息资源清晰、直观地加载在电子地图上集中呈现，提供地图鹰眼、放大、缩小、漫游、测量、清除、复位等基础操作功能。</w:t>
            </w:r>
            <w:r/>
          </w:p>
        </w:tc>
      </w:tr>
      <w:tr>
        <w:trPr>
          <w:trHeight w:val="256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应急指挥调度</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在江苏省级应急物资储备管理云平台的应急指挥调度子系统基础上，结合</w:t>
            </w:r>
            <w:r>
              <w:rPr>
                <w:color w:val="000000"/>
              </w:rPr>
              <w:t xml:space="preserve">GIS</w:t>
            </w:r>
            <w:r>
              <w:rPr>
                <w:rFonts w:hint="eastAsia" w:ascii="宋体" w:hAnsi="宋体" w:cs="宋体"/>
                <w:color w:val="000000"/>
              </w:rPr>
              <w:t xml:space="preserve">地图，通过与省级应急物资储备管理云平台对接，获取相关物资调运数据，包括物资承储企业反馈的物资备货、装卸和出库信息，以及运输单位反馈的物流信息，支持跟踪物资的整个调运执行过程，如物</w:t>
            </w:r>
            <w:r>
              <w:rPr>
                <w:rFonts w:hint="eastAsia" w:ascii="宋体" w:hAnsi="宋体" w:cs="宋体"/>
                <w:color w:val="000000"/>
              </w:rPr>
              <w:t xml:space="preserve">资出库进度、物资运输进度、物资到达情况以及出现的异常状况等，动态准确掌握物资的实际调运执行情况，有效解决物资调运过程看不到的情况，提高动态监管和调度指挥能力。同时升级粮食应急指挥调度功能，包括应急监测与预警管理、事件接报、综合研判、调拨指令下发、在途跟踪及交付、事件复盘分析、总结评估、物资回收，综合考虑供应点粮库到应急点的距离因素、粮食消耗速率因素以及应急成本因素等，实现对多点应急组合的综合研判、应急调度。实现在粮食应急状态下快速给出优化的粮食应急调度方案，为应急指挥提供可靠支持。支持自动生成总结评估文件。</w:t>
            </w:r>
            <w:r/>
          </w:p>
        </w:tc>
      </w:tr>
      <w:tr>
        <w:trPr>
          <w:trHeight w:val="1530"/>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应急预案管理</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预案管理：对接、融合现有江苏省级应急物资储备管理云平台物资应急指挥调度云应用建设的应急预案管理功能，在现有物资储备应急预案管理基础上，增加对粮食应急预案进行统一管理，预案内容包括基础信息、指挥体系、任务清单、调派方案、疏散方案、响应流程等；模拟演练：可根据已有预案进行已有粮食预案模拟演练、安全生产应急演练等，可通过模拟灾情、火情等来启动预案并根据要求进行模拟处置，系统会将处置过程中所有信息进行存档以便后期进行回放总结。</w:t>
            </w:r>
            <w:r/>
          </w:p>
        </w:tc>
      </w:tr>
      <w:tr>
        <w:trPr>
          <w:trHeight w:val="1020"/>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视频会商</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视频会商实现省级集中式主会场与所辖地市、储备公司、区县及粮食仓储企业等的多级视频会议，实现多个分会场日常工作联络、文件传达、交互式会议、远程培训等。将各仓储粮库的监控图像实时接入，实时连线库点现场视频监控、相关行政管理部门和行业专家，远程指挥；提供视频会议系统与业务系统的集成。</w:t>
            </w:r>
            <w:r/>
          </w:p>
        </w:tc>
      </w:tr>
      <w:tr>
        <w:trPr>
          <w:trHeight w:val="76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▲综合业务一张表</w:t>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粮食管理专题</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对粮食轮换计划执行情况、每日出入库情况、库存实物台账、出库单汇总、入库单汇总、全省夏秋粮收购进度报表、价格监测报表、交易数据报表、备案企业信息汇总表等粮食管理专题报表等进行展示；支持数据导出、打印和查询历史数据（按年度及月度）等功能。</w:t>
            </w:r>
            <w:r/>
          </w:p>
        </w:tc>
      </w:tr>
      <w:tr>
        <w:trPr>
          <w:trHeight w:val="765"/>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应急物资管理专题</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对物资调拨执行情况、每日出入库情况、库存实物台账、出库单汇总、入库单汇总等应急物资管理专题报表等进行展示；支持数据导出、打印和查询历史数据（按年度及月度）等功能。</w:t>
            </w:r>
            <w:r/>
          </w:p>
        </w:tc>
      </w:tr>
      <w:tr>
        <w:trPr>
          <w:trHeight w:val="510"/>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监督执法专题</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提供监督检查数据汇总展示、企业信用信息展示、粮食安全考核结果汇总展示等监督执法专题等展示功能；支持数据导出、打印和查询历史数据（按年度及月度）等功能。</w:t>
            </w:r>
            <w:r/>
          </w:p>
        </w:tc>
      </w:tr>
      <w:tr>
        <w:trPr>
          <w:trHeight w:val="510"/>
        </w:trPr>
        <w:tc>
          <w:tcPr>
            <w:tcBorders>
              <w:top w:val="none" w:color="000000" w:sz="4" w:space="0"/>
              <w:left w:val="single" w:color="auto" w:sz="4" w:space="0"/>
              <w:bottom w:val="single" w:color="000000"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安全仓储科技专题</w:t>
            </w:r>
            <w:r/>
          </w:p>
        </w:tc>
        <w:tc>
          <w:tcPr>
            <w:tcBorders>
              <w:top w:val="none" w:color="000000" w:sz="4" w:space="0"/>
              <w:left w:val="none" w:color="000000" w:sz="4" w:space="0"/>
              <w:bottom w:val="single" w:color="auto" w:sz="4" w:space="0"/>
              <w:right w:val="single" w:color="auto" w:sz="4" w:space="0"/>
            </w:tcBorders>
            <w:tcW w:w="3634"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提供产业经济（产品和加工）数据展示、仓储能力以及粮食和物资科技创新、技术改造成果汇总等展示功能；支持数据导出、打印和查询历史数据（按年度及月度）等功能。</w:t>
            </w:r>
            <w:r/>
          </w:p>
        </w:tc>
      </w:tr>
    </w:tbl>
    <w:p>
      <w:pPr>
        <w:ind w:firstLine="480"/>
        <w:spacing w:line="400" w:lineRule="exact"/>
        <w:rPr>
          <w:rFonts w:hint="eastAsia" w:ascii="宋体" w:hAnsi="宋体" w:cs="宋体"/>
          <w:sz w:val="24"/>
          <w:szCs w:val="24"/>
        </w:rPr>
      </w:pPr>
      <w:r>
        <w:rPr>
          <w:rFonts w:hint="eastAsia" w:ascii="宋体" w:hAnsi="宋体" w:cs="宋体"/>
          <w:sz w:val="24"/>
          <w:szCs w:val="24"/>
        </w:rPr>
      </w:r>
      <w:r/>
    </w:p>
    <w:p>
      <w:pPr>
        <w:pStyle w:val="867"/>
        <w:ind w:firstLine="480"/>
        <w:spacing w:before="120" w:after="120"/>
        <w:rPr>
          <w:rFonts w:hint="eastAsia" w:ascii="宋体" w:hAnsi="宋体"/>
          <w:i/>
          <w:iCs w:val="0"/>
        </w:rPr>
      </w:pPr>
      <w:r>
        <w:rPr>
          <w:rFonts w:hint="eastAsia" w:ascii="宋体" w:hAnsi="宋体"/>
          <w:iCs w:val="0"/>
        </w:rPr>
        <w:t xml:space="preserve">（2）粮食管理</w:t>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04"/>
        <w:gridCol w:w="904"/>
        <w:gridCol w:w="904"/>
        <w:gridCol w:w="6457"/>
      </w:tblGrid>
      <w:tr>
        <w:trPr>
          <w:trHeight w:val="285"/>
          <w:tblHeader/>
        </w:trPr>
        <w:tc>
          <w:tcPr>
            <w:shd w:val="clear" w:color="000000" w:fill="d9d9d9"/>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系统</w:t>
            </w:r>
            <w:r/>
          </w:p>
        </w:tc>
        <w:tc>
          <w:tcPr>
            <w:shd w:val="clear" w:color="000000" w:fill="d9d9d9"/>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模块</w:t>
            </w:r>
            <w:r/>
          </w:p>
        </w:tc>
        <w:tc>
          <w:tcPr>
            <w:shd w:val="clear" w:color="000000" w:fill="d9d9d9"/>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功能</w:t>
            </w:r>
            <w:r/>
          </w:p>
        </w:tc>
        <w:tc>
          <w:tcPr>
            <w:shd w:val="clear" w:color="000000" w:fill="d9d9d9"/>
            <w:tcBorders>
              <w:top w:val="single" w:color="auto" w:sz="4" w:space="0"/>
              <w:left w:val="none" w:color="000000" w:sz="4" w:space="0"/>
              <w:bottom w:val="single" w:color="auto" w:sz="4" w:space="0"/>
              <w:right w:val="single" w:color="auto" w:sz="4" w:space="0"/>
            </w:tcBorders>
            <w:tcW w:w="3520"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粮食管理</w:t>
            </w:r>
            <w:r/>
          </w:p>
        </w:tc>
        <w:tc>
          <w:tcPr>
            <w:tcBorders>
              <w:top w:val="none" w:color="000000" w:sz="4" w:space="0"/>
              <w:left w:val="single" w:color="auto" w:sz="4" w:space="0"/>
              <w:bottom w:val="single" w:color="auto" w:sz="4" w:space="0"/>
              <w:right w:val="single" w:color="auto" w:sz="4" w:space="0"/>
            </w:tcBorders>
            <w:tcW w:w="493"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粮食业务管理</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储备规模管理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支持制定各级储备粮油规模计划，包括存储单位、品种、性质、储备规模计划量等信息。</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轮换计划管理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升级、适配、迁移轮换计划的下达、轮换进度等轮换管理功能。</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社会化库点管理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对管辖范围内的省、市、县三级的社会化粮库提供基本信息的录入和维护，推动实现管理规范、数据共享，促进粮食产业社会化服务。</w:t>
            </w:r>
            <w:r/>
          </w:p>
        </w:tc>
      </w:tr>
      <w:tr>
        <w:trPr>
          <w:trHeight w:val="285"/>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统计分析</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升级、适配、迁移轮入轮出等统计报表管理。</w:t>
            </w:r>
            <w:r/>
          </w:p>
        </w:tc>
      </w:tr>
      <w:tr>
        <w:trPr>
          <w:trHeight w:val="765"/>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地方储备粮动态监管</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地方储备粮动态监管</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将该平台集成到统一工作门户，并进行统一用户改造。</w:t>
            </w:r>
            <w:r/>
          </w:p>
        </w:tc>
      </w:tr>
      <w:tr>
        <w:trPr>
          <w:trHeight w:val="272"/>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▲安全仓储科技管理</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安全生产作业管理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优化建立安全作业管理流程，覆盖重大危险作业、中度危险作业、一般危险作业等工作全流程管理。包括提供安全生产制度应用、建立安全生产台账、安全生产事故的登记上报、汇总安全仓储的数据情况及质量情况的全方位的储粮检查安全管理，加入可信存证技术，对数据进行溯源、不可篡改记录。</w:t>
            </w:r>
            <w:r/>
          </w:p>
        </w:tc>
      </w:tr>
      <w:tr>
        <w:trPr>
          <w:trHeight w:val="204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安全生产智能分析与预警</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结合库端硬件实际情况，库端支持视频图像智能分析技术，可主动识别异常事件（例如仓内粮面异动、仓门异动打开、未佩戴安全帽、抽烟、人员倒地检测、非法入侵等），自动截取异常时段视频在库端本地存储。结合库端硬件实际情况，智慧粮储云平台可实时采集库端视频信号或回放历史视频，同步接收并保存库端上传的异常视频片段、截图等，通过智能视频分析技术进行分析并生成各类告警信息。结合异常事件告警前后相关记录和预警，平台可向用户展示异常事件的主要经过并可提供异常视频片段、截图等，记录预警处置结果，支持多种维度检索。</w:t>
            </w:r>
            <w:r/>
          </w:p>
          <w:p>
            <w:pPr>
              <w:widowControl/>
              <w:rPr>
                <w:rFonts w:hint="eastAsia" w:ascii="宋体" w:hAnsi="宋体" w:cs="宋体"/>
                <w:i/>
                <w:iCs/>
                <w:color w:val="000000"/>
                <w:u w:val="single"/>
              </w:rPr>
            </w:pPr>
            <w:r>
              <w:rPr>
                <w:rFonts w:hint="eastAsia" w:ascii="宋体" w:hAnsi="宋体" w:cs="宋体"/>
                <w:i/>
                <w:iCs/>
                <w:color w:val="000000"/>
                <w:u w:val="single"/>
              </w:rPr>
              <w:t xml:space="preserve">提供10000路视频接入能力。</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仓储设施管理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升级、适配、迁移仓储设施管理功能，包含全省企业、库点、仓房、廒间、货位、油罐信息，仓储设施备案功能。</w:t>
            </w:r>
            <w:r/>
          </w:p>
        </w:tc>
      </w:tr>
      <w:tr>
        <w:trPr>
          <w:trHeight w:val="765"/>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科技管理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实现粮食流通科技创新、技术改造管理及统计，并支持报表自定义功能。提供产业经济（产品和加工）、仓储、科技报表数据的导入或填报功能，数据和国家粮油统计信息系统保持一致。</w:t>
            </w:r>
            <w:r/>
          </w:p>
        </w:tc>
      </w:tr>
      <w:tr>
        <w:trPr>
          <w:trHeight w:val="765"/>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安全生产检查管理系统</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支持安全生产检查制订计划、执行检查、整改、复核确认的全流程管理。支持双随机、日常检查、企业自查等多种检查形式，配备移动端功能，用户覆盖各级管理人员、检查人员、企业及库点</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▲项目建设管理</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用户设置</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支持用户对申报单位的申报与管理、专家库的管理，并灵活设置各项目类型的督办提醒周期</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孵化资源池</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实现包括但不限于粮食仓储、粮食物流产业园、优质粮食工程、智能化升级等项目申报，支持灵活配置申报项目类型、申报表单自定义等。</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项目审核</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实现在孵化资源池中挑选候选奖补的项目，由省级及专家进行最终项目的评审确认。</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奖补项目管理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实现包括但不限于粮食仓储、粮食物流产业园、优质粮食工程、智能化升级、粮油加工、粮食流通、提质增效、粮食物流等类型项目管理，支持灵活配置其他类型项目管理。</w:t>
            </w:r>
            <w:r/>
          </w:p>
        </w:tc>
      </w:tr>
      <w:tr>
        <w:trPr>
          <w:trHeight w:val="765"/>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跟踪督办</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奖补项目进行中，需要依据项目类型定期进行进度填报，跟踪督办主要为充分提高县市级管理效能，针对项目类型及督办提醒周期，提供项目的进度督办及跟踪管理功能。</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竣工项目管理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针对所有已竣工项目，提供项目情况查询及详情信息查看，支持粮食仓储、粮食物流产业园、优质粮食工程、智能化升级等项目类型管理。</w:t>
            </w:r>
            <w:r/>
          </w:p>
        </w:tc>
      </w:tr>
      <w:tr>
        <w:trPr>
          <w:trHeight w:val="102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终止项目管理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所有已终止项目的情况查询及详情信息查看，提供针对项目类型、项目归属地区、终止时间等条件的查询，并实现项目已完成的全部过程信息的浏览查看，对于终止项目信息可回溯。粮食仓储、粮食物流产业园、优质粮食工程“六大提升行动”、智能化升级等项目类型管理。</w:t>
            </w:r>
            <w:r/>
          </w:p>
        </w:tc>
      </w:tr>
      <w:tr>
        <w:trPr>
          <w:trHeight w:val="102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数据分析</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展示各项目分析情况，包括以类型及归属地分类汇总分析各状态项目情况等。支持基于地理地图信息，实现根据项目类型、项目归属地区等多角度多维度展示项目分布情况。支持数据统计，包括项目状态、项目批复年度、项目归属地区、项目类型、投资进度、开工、完工、竣工等多角度查询统计相关报表，提供数据查询及导出功能。</w:t>
            </w:r>
            <w:r/>
          </w:p>
        </w:tc>
      </w:tr>
      <w:tr>
        <w:trPr>
          <w:trHeight w:val="9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权限管理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提供角色管理功能，支持根据角色分配不同功能模块的数据、接口权限。</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系统管理</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支持用户管理、机构管理、岗位管理、系统字典管理、业务字典管理、菜单管理、租户管理、应用管理。与统一工作门户集成，实现统一用户管理和身份认证。</w:t>
            </w:r>
            <w:r/>
          </w:p>
        </w:tc>
      </w:tr>
      <w:tr>
        <w:trPr>
          <w:trHeight w:val="51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移动端应用</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支持账号登录登出。支持项目总览，项目进度填写。支持省市县管理人员查看项目基础信息、进度填报信息。</w:t>
            </w:r>
            <w:r/>
          </w:p>
        </w:tc>
      </w:tr>
      <w:tr>
        <w:trPr>
          <w:trHeight w:val="765"/>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价格监测与分析系统迁移</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价格监测与分析系统迁移</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将该系统迁移到省政务云，集成到统一工作门户，并进行统一用户改造，完成终端、服务器端软硬件国产化适配。</w:t>
            </w:r>
            <w:r/>
          </w:p>
        </w:tc>
      </w:tr>
      <w:tr>
        <w:trPr>
          <w:trHeight w:val="1020"/>
        </w:trPr>
        <w:tc>
          <w:tcPr>
            <w:tcBorders>
              <w:top w:val="none" w:color="000000" w:sz="4" w:space="0"/>
              <w:left w:val="single" w:color="auto" w:sz="4" w:space="0"/>
              <w:bottom w:val="single" w:color="auto" w:sz="4" w:space="0"/>
              <w:right w:val="single" w:color="auto" w:sz="4" w:space="0"/>
            </w:tcBorders>
            <w:tcW w:w="49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江苏省粮食质量监测平台系统迁移</w:t>
            </w:r>
            <w:r/>
          </w:p>
        </w:tc>
        <w:tc>
          <w:tcPr>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江苏省粮食质量监测平台系统迁移</w:t>
            </w:r>
            <w:r/>
          </w:p>
        </w:tc>
        <w:tc>
          <w:tcPr>
            <w:tcBorders>
              <w:top w:val="none" w:color="000000" w:sz="4" w:space="0"/>
              <w:left w:val="none" w:color="000000" w:sz="4" w:space="0"/>
              <w:bottom w:val="single" w:color="auto" w:sz="4" w:space="0"/>
              <w:right w:val="single" w:color="auto" w:sz="4" w:space="0"/>
            </w:tcBorders>
            <w:tcW w:w="352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将该系统迁移到省政务云，集成到统一工作门户，并进行统一用户改造，完成终端、服务器端软硬件国产化适配。</w:t>
            </w:r>
            <w:r/>
          </w:p>
        </w:tc>
      </w:tr>
    </w:tbl>
    <w:p>
      <w:pPr>
        <w:spacing w:line="400" w:lineRule="exact"/>
        <w:rPr>
          <w:rFonts w:hint="eastAsia" w:ascii="宋体" w:hAnsi="宋体" w:cs="宋体"/>
          <w:sz w:val="24"/>
          <w:szCs w:val="24"/>
        </w:rPr>
      </w:pPr>
      <w:r>
        <w:rPr>
          <w:rFonts w:hint="eastAsia" w:ascii="宋体" w:hAnsi="宋体" w:cs="宋体"/>
          <w:sz w:val="24"/>
          <w:szCs w:val="24"/>
        </w:rPr>
      </w:r>
      <w:r/>
    </w:p>
    <w:p>
      <w:pPr>
        <w:pStyle w:val="867"/>
        <w:ind w:firstLine="480"/>
        <w:spacing w:before="120" w:after="120"/>
        <w:rPr>
          <w:rFonts w:hint="eastAsia" w:ascii="宋体" w:hAnsi="宋体"/>
          <w:i/>
          <w:iCs w:val="0"/>
        </w:rPr>
      </w:pPr>
      <w:r>
        <w:rPr>
          <w:rFonts w:hint="eastAsia" w:ascii="宋体" w:hAnsi="宋体"/>
          <w:iCs w:val="0"/>
        </w:rPr>
        <w:t xml:space="preserve">（3）物资储备管理</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江苏省级应急物资储备管理云平台（一期）已完成建设，本次将江苏省级应急物资储备管理云平台集成到江苏智慧粮储云平台统一工作门户，实现单点登录、业务协同。</w:t>
      </w:r>
      <w:r/>
    </w:p>
    <w:p>
      <w:pPr>
        <w:pStyle w:val="867"/>
        <w:ind w:firstLine="480"/>
        <w:spacing w:before="120" w:after="120"/>
        <w:rPr>
          <w:rFonts w:hint="eastAsia" w:ascii="宋体" w:hAnsi="宋体"/>
          <w:i/>
          <w:iCs w:val="0"/>
        </w:rPr>
      </w:pPr>
      <w:r>
        <w:rPr>
          <w:rFonts w:hint="eastAsia" w:ascii="宋体" w:hAnsi="宋体"/>
          <w:iCs w:val="0"/>
        </w:rPr>
        <w:t xml:space="preserve">（4）监督执法检查</w:t>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82"/>
        <w:gridCol w:w="1082"/>
        <w:gridCol w:w="1082"/>
        <w:gridCol w:w="5923"/>
      </w:tblGrid>
      <w:tr>
        <w:trPr>
          <w:trHeight w:val="285"/>
          <w:tblHeader/>
        </w:trPr>
        <w:tc>
          <w:tcPr>
            <w:shd w:val="clear" w:color="000000" w:fill="d9d9d9"/>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系统</w:t>
            </w:r>
            <w:r/>
          </w:p>
        </w:tc>
        <w:tc>
          <w:tcPr>
            <w:shd w:val="clear" w:color="000000" w:fill="d9d9d9"/>
            <w:tcBorders>
              <w:top w:val="single" w:color="auto"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模块</w:t>
            </w:r>
            <w:r/>
          </w:p>
        </w:tc>
        <w:tc>
          <w:tcPr>
            <w:shd w:val="clear" w:color="000000" w:fill="d9d9d9"/>
            <w:tcBorders>
              <w:top w:val="single" w:color="auto"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功能</w:t>
            </w:r>
            <w:r/>
          </w:p>
        </w:tc>
        <w:tc>
          <w:tcPr>
            <w:shd w:val="clear" w:color="000000" w:fill="d9d9d9"/>
            <w:tcBorders>
              <w:top w:val="single" w:color="auto" w:sz="4" w:space="0"/>
              <w:left w:val="none" w:color="000000" w:sz="4" w:space="0"/>
              <w:bottom w:val="single" w:color="auto" w:sz="4" w:space="0"/>
              <w:right w:val="single" w:color="auto" w:sz="4" w:space="0"/>
            </w:tcBorders>
            <w:tcW w:w="3231"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1020"/>
        </w:trPr>
        <w:tc>
          <w:tcPr>
            <w:tcBorders>
              <w:top w:val="none" w:color="000000" w:sz="4" w:space="0"/>
              <w:left w:val="single" w:color="auto" w:sz="4" w:space="0"/>
              <w:bottom w:val="single" w:color="auto" w:sz="4" w:space="0"/>
              <w:right w:val="single" w:color="auto" w:sz="4" w:space="0"/>
            </w:tcBorders>
            <w:tcW w:w="59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监督执法检查</w:t>
            </w:r>
            <w:r/>
          </w:p>
        </w:tc>
        <w:tc>
          <w:tcPr>
            <w:tcBorders>
              <w:top w:val="none" w:color="000000" w:sz="4" w:space="0"/>
              <w:left w:val="single" w:color="auto" w:sz="4" w:space="0"/>
              <w:bottom w:val="single" w:color="auto" w:sz="4" w:space="0"/>
              <w:right w:val="single" w:color="auto" w:sz="4" w:space="0"/>
            </w:tcBorders>
            <w:tcW w:w="59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行政检查</w:t>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监督计划管理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升级开发监督检查的计划管理，原系统的计划管理只能针对一个检查事项进行，本次升级改造将实现体系化的计划管理，包括计划制定、计划工单、计划执行、计划分析等功能。</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监督全流程分析</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实现对监管工作的主体、客体、抽取计划、抽取任务、检查落实、问题清单、问题处理、数据共享等全流程、全生命周期管理。</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双随机业务升级开发</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调整双随机中按照地区抽取关联的办法，实现基于用户抽取，直接关联地区并实现分组管理；实现双随机业务全流程跟踪管理。</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行政执法</w:t>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执法数据分析管理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原系统未进行执法数据的分析管理，不方便用户查询使用，本次重点围绕执法数据进行统计，对涉及的数据信息进行分析管理。</w:t>
            </w:r>
            <w:r/>
          </w:p>
        </w:tc>
      </w:tr>
      <w:tr>
        <w:trPr>
          <w:trHeight w:val="51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工单流程管理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升级开发工单流程管理，实现案件或案源信息的在线派单管理，形成以工单流转为核心的工单管理流程管理。</w:t>
            </w:r>
            <w:r/>
          </w:p>
        </w:tc>
      </w:tr>
      <w:tr>
        <w:trPr>
          <w:trHeight w:val="51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移动执法</w:t>
            </w:r>
            <w:r>
              <w:rPr>
                <w:color w:val="000000"/>
              </w:rPr>
              <w:t xml:space="preserve">APP</w:t>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执法流程管理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升级执法流程管理，支持用户在线处理案源信息，关联案件处理表单，支持在线上传办案资料。</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移动执法数据分析系统</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升级开发移动端行政检查、行政执法数据的统计分析功能，实现智能化钻取分析，强化</w:t>
            </w:r>
            <w:r>
              <w:rPr>
                <w:color w:val="000000"/>
              </w:rPr>
              <w:t xml:space="preserve">UI</w:t>
            </w:r>
            <w:r>
              <w:rPr>
                <w:rFonts w:hint="eastAsia" w:ascii="宋体" w:hAnsi="宋体" w:cs="宋体"/>
                <w:color w:val="000000"/>
              </w:rPr>
              <w:t xml:space="preserve">视觉效果。</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信用大数据分析系统</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升级开发信用信息大数据分析功能，实现信用大数据的年度、扣分项事项等多维度分析。</w:t>
            </w:r>
            <w:r/>
          </w:p>
        </w:tc>
      </w:tr>
      <w:tr>
        <w:trPr>
          <w:trHeight w:val="52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案件工单管理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支持移动端响应派件工单的流转，通过提醒、受理、处理、流转等功能实现基于</w:t>
            </w:r>
            <w:r>
              <w:rPr>
                <w:color w:val="000000"/>
              </w:rPr>
              <w:t xml:space="preserve">APP</w:t>
            </w:r>
            <w:r>
              <w:rPr>
                <w:rFonts w:hint="eastAsia" w:ascii="宋体" w:hAnsi="宋体" w:cs="宋体"/>
                <w:color w:val="000000"/>
              </w:rPr>
              <w:t xml:space="preserve">的案件工单管理。</w:t>
            </w:r>
            <w:r/>
          </w:p>
        </w:tc>
      </w:tr>
      <w:tr>
        <w:trPr>
          <w:trHeight w:val="51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系统架构升级</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支持面向</w:t>
            </w:r>
            <w:r>
              <w:rPr>
                <w:color w:val="000000"/>
              </w:rPr>
              <w:t xml:space="preserve">WEB</w:t>
            </w:r>
            <w:r>
              <w:rPr>
                <w:rFonts w:hint="eastAsia" w:ascii="宋体" w:hAnsi="宋体" w:cs="宋体"/>
                <w:color w:val="000000"/>
              </w:rPr>
              <w:t xml:space="preserve">应用开发，实现多终端技术适配。</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▲信用信息管理</w:t>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企业信用风险动态管理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企业信用风险主要根据企业信用状况、经营特点、行业区域等情况，建立企业常规风险预警模型和风险特征规则，实现在日常监管、双随机抽查等领域实施差异化监管。</w:t>
            </w:r>
            <w:r/>
          </w:p>
        </w:tc>
      </w:tr>
      <w:tr>
        <w:trPr>
          <w:trHeight w:val="102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信用预警监测</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对监管对象进行精准画像；建立标签化的指标分析预警；从企业信用风险分类指标体系中选取若干重点指标项，进行实时监测；构建智慧化风险监测预警模块，推动被动监管向主动监管转变。</w:t>
            </w:r>
            <w:r/>
          </w:p>
        </w:tc>
      </w:tr>
      <w:tr>
        <w:trPr>
          <w:trHeight w:val="102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企业信用承诺管理系统</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企业信用承诺告知；提示填报信用承诺文件；信用承诺实现清单管理，并进行企业标注；对于上报信用承诺的企业在企业信用查询窗口进行公示；关联事中事后监管、失信惩戒等行政管理事务；建立信用承诺台账。</w:t>
            </w:r>
            <w:r/>
          </w:p>
        </w:tc>
      </w:tr>
      <w:tr>
        <w:trPr>
          <w:trHeight w:val="231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信用评价体系重构开发</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重新定义指标类别和分值，信用监管评价指标分值按照国家粮食和物资储备局制定的全国粮食企业信用评价标准，对粮食经营者公共信用综合评价情况、经营状况、履约情况、行政监督检查情况，以及行政执法等情况进行评分后所得分值；重新定义信用等级，并对企业信用等级划分为</w:t>
            </w:r>
            <w:r>
              <w:rPr>
                <w:color w:val="000000"/>
              </w:rPr>
              <w:t xml:space="preserve">A</w:t>
            </w:r>
            <w:r>
              <w:rPr>
                <w:rFonts w:hint="eastAsia" w:ascii="宋体" w:hAnsi="宋体" w:cs="宋体"/>
                <w:color w:val="000000"/>
              </w:rPr>
              <w:t xml:space="preserve">、</w:t>
            </w:r>
            <w:r>
              <w:rPr>
                <w:color w:val="000000"/>
              </w:rPr>
              <w:t xml:space="preserve">B</w:t>
            </w:r>
            <w:r>
              <w:rPr>
                <w:rFonts w:hint="eastAsia" w:ascii="宋体" w:hAnsi="宋体" w:cs="宋体"/>
                <w:color w:val="000000"/>
              </w:rPr>
              <w:t xml:space="preserve">、</w:t>
            </w:r>
            <w:r>
              <w:rPr>
                <w:color w:val="000000"/>
              </w:rPr>
              <w:t xml:space="preserve">C</w:t>
            </w:r>
            <w:r>
              <w:rPr>
                <w:rFonts w:hint="eastAsia" w:ascii="宋体" w:hAnsi="宋体" w:cs="宋体"/>
                <w:color w:val="000000"/>
              </w:rPr>
              <w:t xml:space="preserve">三级，并重新确定分值对应的信用等级；评价流程重构，粮食经营者信用等级评价工作由粮食经营者申报，县（市、区）、设区市粮食行政管理部门按照初评、公示、审定、发证的程序组织实施。</w:t>
            </w:r>
            <w:r/>
          </w:p>
        </w:tc>
      </w:tr>
      <w:tr>
        <w:trPr>
          <w:trHeight w:val="231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信用评价体系融合应用</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一是企业的基础信息库改造，完成国家局要求的企业基础信息库关于股东、管理人员、财务等相关信息的填报和管理。二是设计一套指标计划和年度关联的管理体系，实现数据管理时能按照年度关联对应的指标，用户进入不同年度可以查询相关的信用评价档案，对于在用的信用评价体系可以开展信用评价工作。三是实现系统在双随机应用时，对于信用等级为</w:t>
            </w:r>
            <w:r>
              <w:rPr>
                <w:color w:val="000000"/>
              </w:rPr>
              <w:t xml:space="preserve">A</w:t>
            </w:r>
            <w:r>
              <w:rPr>
                <w:rFonts w:hint="eastAsia" w:ascii="宋体" w:hAnsi="宋体" w:cs="宋体"/>
                <w:color w:val="000000"/>
              </w:rPr>
              <w:t xml:space="preserve">的设定抽取比例不能超过</w:t>
            </w:r>
            <w:r>
              <w:rPr>
                <w:color w:val="000000"/>
              </w:rPr>
              <w:t xml:space="preserve">15%</w:t>
            </w:r>
            <w:r>
              <w:rPr>
                <w:rFonts w:hint="eastAsia" w:ascii="宋体" w:hAnsi="宋体" w:cs="宋体"/>
                <w:color w:val="000000"/>
              </w:rPr>
              <w:t xml:space="preserve">。四是改造与省信用信息中心的接口开发，完成新指标体系改造后数据报送和数据报送结果的查询分析工作。</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国家局信用平台对接管理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国家局信用信息监管平台现有</w:t>
            </w:r>
            <w:r>
              <w:rPr>
                <w:color w:val="000000"/>
              </w:rPr>
              <w:t xml:space="preserve">23</w:t>
            </w:r>
            <w:r>
              <w:rPr>
                <w:rFonts w:hint="eastAsia" w:ascii="宋体" w:hAnsi="宋体" w:cs="宋体"/>
                <w:color w:val="000000"/>
              </w:rPr>
              <w:t xml:space="preserve">个指标类别、</w:t>
            </w:r>
            <w:r>
              <w:rPr>
                <w:color w:val="000000"/>
              </w:rPr>
              <w:t xml:space="preserve">74</w:t>
            </w:r>
            <w:r>
              <w:rPr>
                <w:rFonts w:hint="eastAsia" w:ascii="宋体" w:hAnsi="宋体" w:cs="宋体"/>
                <w:color w:val="000000"/>
              </w:rPr>
              <w:t xml:space="preserve">个指标项，应按需进行交换接口开发，实现监管信息平台归集的目标。</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企业信用申报</w:t>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企业信用承诺报送系统</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完成企业用户的信用承诺清单管理，根据承诺清单进行信用承诺报送，并在报送后的相关跟踪情况在企业用户系统进行展示。</w:t>
            </w:r>
            <w:r/>
          </w:p>
        </w:tc>
      </w:tr>
      <w:tr>
        <w:trPr>
          <w:trHeight w:val="102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企业信用申报指标管理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根据国家局和省局新的指标体系进行信用申报和信用复审信息上报，支持反馈和咨询工作开展。实现信用动态等级评定，按照信用评定等级配合完成在监督检查工作中的抽取比例应用、社会公示应用等。</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企业信用等级应用管理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实现信用动态等级评定，按照信用评定等级配合完成在监督检查工作中的抽取比例应用、社会公示应用等。</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▲数据关联分析管理</w:t>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可视化分析模型工具管理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实现可视化工具的在线配置使用，完成页面层的自定义设计，数据源的灵活定义。</w:t>
            </w:r>
            <w:r/>
          </w:p>
        </w:tc>
      </w:tr>
      <w:tr>
        <w:trPr>
          <w:trHeight w:val="103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数据分析配置管理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完成企业信用申报系统、信用信息管理系统、行政执法系统、行政检查系统、基础业务子系统、移动执法</w:t>
            </w:r>
            <w:r>
              <w:rPr>
                <w:color w:val="000000"/>
              </w:rPr>
              <w:t xml:space="preserve">APP</w:t>
            </w:r>
            <w:r>
              <w:rPr>
                <w:rFonts w:hint="eastAsia" w:ascii="宋体" w:hAnsi="宋体" w:cs="宋体"/>
                <w:color w:val="000000"/>
              </w:rPr>
              <w:t xml:space="preserve">等主要子系统的关联分析管理，通过数据分析的智能化配置、标签配置、多系统联动管理等，完成数据分析管理。</w:t>
            </w:r>
            <w:r/>
          </w:p>
        </w:tc>
      </w:tr>
      <w:tr>
        <w:trPr>
          <w:trHeight w:val="765"/>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数据分析钻取管理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完成数据分析的钻取管理，支持数据的分级、分层大屏可视化。实现数据在不同子系统以及数据挖掘中的价值管理，支持领导对监管工作的预测和决策管理。</w:t>
            </w:r>
            <w:r/>
          </w:p>
        </w:tc>
      </w:tr>
      <w:tr>
        <w:trPr>
          <w:trHeight w:val="51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基础业务</w:t>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报表报送管理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对原有报表进行功能性改造，支持数据报表的自定义功能，完成分级汇总上报和分析功能。</w:t>
            </w:r>
            <w:r/>
          </w:p>
        </w:tc>
      </w:tr>
      <w:tr>
        <w:trPr>
          <w:trHeight w:val="510"/>
        </w:trPr>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90"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9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执法设备管理</w:t>
            </w:r>
            <w:r/>
          </w:p>
        </w:tc>
        <w:tc>
          <w:tcPr>
            <w:tcBorders>
              <w:top w:val="none" w:color="000000" w:sz="4" w:space="0"/>
              <w:left w:val="none" w:color="000000" w:sz="4" w:space="0"/>
              <w:bottom w:val="single" w:color="auto" w:sz="4" w:space="0"/>
              <w:right w:val="single" w:color="auto" w:sz="4" w:space="0"/>
            </w:tcBorders>
            <w:tcW w:w="3231"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实现对执法设备的登统管理，实现设备的存量、调取和保管管理。</w:t>
            </w:r>
            <w:r/>
          </w:p>
        </w:tc>
      </w:tr>
    </w:tbl>
    <w:p>
      <w:pPr>
        <w:pStyle w:val="950"/>
        <w:rPr>
          <w:rFonts w:hint="eastAsia" w:ascii="宋体" w:hAnsi="宋体"/>
          <w:b/>
          <w:bCs/>
          <w:sz w:val="24"/>
          <w:szCs w:val="24"/>
        </w:rPr>
      </w:pPr>
      <w:r>
        <w:rPr>
          <w:rFonts w:hint="eastAsia" w:ascii="宋体" w:hAnsi="宋体"/>
          <w:b/>
          <w:bCs/>
          <w:sz w:val="24"/>
          <w:szCs w:val="24"/>
        </w:rPr>
      </w:r>
      <w:r/>
    </w:p>
    <w:p>
      <w:pPr>
        <w:pStyle w:val="867"/>
        <w:ind w:firstLine="480"/>
        <w:spacing w:before="120" w:after="120"/>
        <w:rPr>
          <w:rFonts w:hint="eastAsia" w:ascii="宋体" w:hAnsi="宋体"/>
          <w:i/>
          <w:iCs w:val="0"/>
        </w:rPr>
      </w:pPr>
      <w:r>
        <w:rPr>
          <w:rFonts w:hint="eastAsia" w:ascii="宋体" w:hAnsi="宋体"/>
          <w:iCs w:val="0"/>
        </w:rPr>
        <w:t xml:space="preserve">（5）行业公共服务</w:t>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30"/>
        <w:gridCol w:w="1031"/>
        <w:gridCol w:w="1031"/>
        <w:gridCol w:w="6077"/>
      </w:tblGrid>
      <w:tr>
        <w:trPr>
          <w:trHeight w:val="285"/>
          <w:tblHeader/>
        </w:trPr>
        <w:tc>
          <w:tcPr>
            <w:shd w:val="clear" w:color="000000" w:fill="d9d9d9"/>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系统</w:t>
            </w:r>
            <w:r/>
          </w:p>
        </w:tc>
        <w:tc>
          <w:tcPr>
            <w:shd w:val="clear" w:color="000000" w:fill="d9d9d9"/>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模块</w:t>
            </w:r>
            <w:r/>
          </w:p>
        </w:tc>
        <w:tc>
          <w:tcPr>
            <w:shd w:val="clear" w:color="000000" w:fill="d9d9d9"/>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功能</w:t>
            </w:r>
            <w:r/>
          </w:p>
        </w:tc>
        <w:tc>
          <w:tcPr>
            <w:shd w:val="clear" w:color="000000" w:fill="d9d9d9"/>
            <w:tcBorders>
              <w:top w:val="single" w:color="auto" w:sz="4" w:space="0"/>
              <w:left w:val="none" w:color="000000" w:sz="4" w:space="0"/>
              <w:bottom w:val="single" w:color="auto" w:sz="4" w:space="0"/>
              <w:right w:val="single" w:color="auto" w:sz="4" w:space="0"/>
            </w:tcBorders>
            <w:tcW w:w="3315"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285"/>
        </w:trPr>
        <w:tc>
          <w:tcPr>
            <w:tcBorders>
              <w:top w:val="none" w:color="000000" w:sz="4" w:space="0"/>
              <w:left w:val="single" w:color="auto" w:sz="4" w:space="0"/>
              <w:bottom w:val="single" w:color="auto" w:sz="4" w:space="0"/>
              <w:right w:val="single" w:color="auto" w:sz="4" w:space="0"/>
            </w:tcBorders>
            <w:tcW w:w="562"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行业公共服务</w:t>
            </w:r>
            <w:r/>
          </w:p>
        </w:tc>
        <w:tc>
          <w:tcPr>
            <w:tcBorders>
              <w:top w:val="none" w:color="000000" w:sz="4" w:space="0"/>
              <w:left w:val="single" w:color="auto" w:sz="4" w:space="0"/>
              <w:bottom w:val="single" w:color="auto" w:sz="4" w:space="0"/>
              <w:right w:val="single" w:color="auto" w:sz="4" w:space="0"/>
            </w:tcBorders>
            <w:tcW w:w="562"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▲粮油市场综合服务</w:t>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政策法规</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提供粮食和物资储备相关政策法规发布、管理功能。</w:t>
            </w:r>
            <w:r/>
          </w:p>
        </w:tc>
      </w:tr>
      <w:tr>
        <w:trPr>
          <w:trHeight w:val="510"/>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价格信息服务</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对接采集粮食价格等数据，实现粮油市场供需、价格信息服务。</w:t>
            </w:r>
            <w:r/>
          </w:p>
        </w:tc>
      </w:tr>
      <w:tr>
        <w:trPr>
          <w:trHeight w:val="1020"/>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粮油市场行情</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整合原粮油市场行情模块，根据实际需求对系统进行优化，实现与价格监测与分析系统进行数据互通；在粮油诊所和综合信息这两个模块，在行业内能提供真正的专业性指导，以提高系统的生命力。</w:t>
            </w:r>
            <w:r/>
          </w:p>
        </w:tc>
      </w:tr>
      <w:tr>
        <w:trPr>
          <w:trHeight w:val="510"/>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企业供求信息</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整合原企业供求信息，提供关于粮油交易市场的供求信息，包括出售信息、求购信息和物流信息。</w:t>
            </w:r>
            <w:r/>
          </w:p>
        </w:tc>
      </w:tr>
      <w:tr>
        <w:trPr>
          <w:trHeight w:val="510"/>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综合数据信息</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整合原综合数据信息，提供多个方面的数据，包括生产信息、农资信息、质量信息和气象信息。</w:t>
            </w:r>
            <w:r/>
          </w:p>
        </w:tc>
      </w:tr>
      <w:tr>
        <w:trPr>
          <w:trHeight w:val="1020"/>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▲与“苏服办”对接</w:t>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后端管理改造</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接口改造，按照等保三级要求进行升级，同时进行相应功能的接口新增，满足等保和密码安全测评要求；收购状态显示的升级，支持查询是否收购，仓容余量、收购的品种和价格、质量标准、预约的时效性、是否成功预约。</w:t>
            </w:r>
            <w:r/>
          </w:p>
        </w:tc>
      </w:tr>
      <w:tr>
        <w:trPr>
          <w:trHeight w:val="510"/>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国产化改造</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按照国产化要求进行数据库迁移、系统改造。</w:t>
            </w:r>
            <w:r/>
          </w:p>
        </w:tc>
      </w:tr>
      <w:tr>
        <w:trPr>
          <w:trHeight w:val="1035"/>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预约数据对接</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打通“满意苏粮”</w:t>
            </w:r>
            <w:r>
              <w:rPr>
                <w:color w:val="000000"/>
              </w:rPr>
              <w:t xml:space="preserve">APP</w:t>
            </w:r>
            <w:r>
              <w:rPr>
                <w:rFonts w:hint="eastAsia" w:ascii="宋体" w:hAnsi="宋体" w:cs="宋体"/>
                <w:color w:val="000000"/>
              </w:rPr>
              <w:t xml:space="preserve">和现有粮库业务平台（如江苏省地方储备粮云服务系统）之间的业务流，将预约数据和库端云平台打通，使得预约可以直接在粮库云平台中处理、响应；实现粮库发布收粮信息、农户发布卖粮信息的共享和同步。</w:t>
            </w:r>
            <w:r/>
          </w:p>
        </w:tc>
      </w:tr>
      <w:tr>
        <w:trPr>
          <w:trHeight w:val="1020"/>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▲行政事项服务</w:t>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粮食收购企业备案</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为粮食收购企业提供备案信息填报功能，备案信息主要包括备案企业名称、法定代表人、联系方式、通讯地址、收购区域、粮食仓储设施等情况，加入可信存证技术，对数据进行安全、不可篡改记录。</w:t>
            </w:r>
            <w:r/>
          </w:p>
        </w:tc>
      </w:tr>
      <w:tr>
        <w:trPr>
          <w:trHeight w:val="1020"/>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粮油仓储设施备案</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为粮油仓储单位提供备案信息填报功能，备案信息主要包括仓储单位基本信息、仓房基本信息、设备和配套设施、人员情况等信息的备案，加入可信存证技术，对数据进行安全、不可篡改记录。</w:t>
            </w:r>
            <w:r/>
          </w:p>
        </w:tc>
      </w:tr>
      <w:tr>
        <w:trPr>
          <w:trHeight w:val="1785"/>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粮油熏蒸作业备案</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为粮油仓储单位提供熏蒸作业备案信息填报功能，备案信息主要包括基本信息、熏蒸作业仓房情况、拟实施熏蒸作业仓的粮情、熏蒸药剂情况、熏蒸作业人员及其分工情况、熏蒸效果预测及防治药剂残留措施、安全防护措施及应急处置预案情况、参加熏蒸作业的人员受过熏蒸操作培训证明、安全防护措施、安全培训合格证、熏蒸药剂购买合同及厂家资质情况等，提供佐证资料上传接口，加入可信存证技术，对数据进行安全、不可篡改记录。</w:t>
            </w:r>
            <w:r/>
          </w:p>
        </w:tc>
      </w:tr>
      <w:tr>
        <w:trPr>
          <w:trHeight w:val="765"/>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备案查询</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省、市、县行政主管部门能够对辖区内备案资料和核查情况进行查询，支持按照区域、企业名称、申请时间、作业时间、核查情况等条件进行筛选查询。</w:t>
            </w:r>
            <w:r/>
          </w:p>
        </w:tc>
      </w:tr>
      <w:tr>
        <w:trPr>
          <w:trHeight w:val="1275"/>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备案信息维护及接收</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为涉粮仓储企业提供备案信息维护录入的功能，包括备案信息变更、注销等维护功能，粮食仓储企业在系统中填写详细公司内部审批通过的粮食收购企业信息、仓储设备情况、熏蒸作业方案，提交县级行政主管部门。企业可以查询备案变更记录、审批状态等。</w:t>
            </w:r>
            <w:r/>
          </w:p>
        </w:tc>
      </w:tr>
      <w:tr>
        <w:trPr>
          <w:trHeight w:val="765"/>
        </w:trPr>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56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备案信息统计</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支持行政主管部门查询管辖区域内的总计备案企业统计、粮食收购企业备案统计、粮油仓储设施备案统计、粮油熏蒸作业备案统计、大中小备案企业规模统计等信息。</w:t>
            </w:r>
            <w:r/>
          </w:p>
        </w:tc>
      </w:tr>
    </w:tbl>
    <w:p>
      <w:pPr>
        <w:pStyle w:val="950"/>
        <w:rPr>
          <w:rFonts w:hint="eastAsia" w:ascii="宋体" w:hAnsi="宋体"/>
          <w:b/>
          <w:bCs/>
          <w:sz w:val="24"/>
          <w:szCs w:val="24"/>
        </w:rPr>
      </w:pPr>
      <w:r>
        <w:rPr>
          <w:rFonts w:hint="eastAsia" w:ascii="宋体" w:hAnsi="宋体"/>
          <w:b/>
          <w:bCs/>
          <w:sz w:val="24"/>
          <w:szCs w:val="24"/>
        </w:rPr>
      </w:r>
      <w:r/>
    </w:p>
    <w:p>
      <w:pPr>
        <w:pStyle w:val="866"/>
        <w:ind w:firstLine="482"/>
        <w:rPr>
          <w:rFonts w:hint="eastAsia" w:ascii="宋体" w:hAnsi="宋体"/>
          <w:i/>
          <w:iCs w:val="0"/>
        </w:rPr>
      </w:pPr>
      <w:r>
        <w:rPr>
          <w:rFonts w:hint="eastAsia" w:ascii="宋体" w:hAnsi="宋体"/>
          <w:iCs w:val="0"/>
        </w:rPr>
        <w:t xml:space="preserve">3.智能中枢</w:t>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06"/>
        <w:gridCol w:w="906"/>
        <w:gridCol w:w="1342"/>
        <w:gridCol w:w="6015"/>
      </w:tblGrid>
      <w:tr>
        <w:trPr>
          <w:trHeight w:val="285"/>
          <w:tblHeader/>
        </w:trPr>
        <w:tc>
          <w:tcPr>
            <w:shd w:val="clear" w:color="000000" w:fill="d9d9d9"/>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系统</w:t>
            </w:r>
            <w:r/>
          </w:p>
        </w:tc>
        <w:tc>
          <w:tcPr>
            <w:shd w:val="clear" w:color="000000" w:fill="d9d9d9"/>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模块</w:t>
            </w:r>
            <w:r/>
          </w:p>
        </w:tc>
        <w:tc>
          <w:tcPr>
            <w:shd w:val="clear" w:color="000000" w:fill="d9d9d9"/>
            <w:tcBorders>
              <w:top w:val="single" w:color="auto"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功能</w:t>
            </w:r>
            <w:r/>
          </w:p>
        </w:tc>
        <w:tc>
          <w:tcPr>
            <w:shd w:val="clear" w:color="000000" w:fill="d9d9d9"/>
            <w:tcBorders>
              <w:top w:val="single" w:color="auto" w:sz="4" w:space="0"/>
              <w:left w:val="none" w:color="000000" w:sz="4" w:space="0"/>
              <w:bottom w:val="single" w:color="auto" w:sz="4" w:space="0"/>
              <w:right w:val="single" w:color="auto" w:sz="4" w:space="0"/>
            </w:tcBorders>
            <w:tcW w:w="3280"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1020"/>
        </w:trPr>
        <w:tc>
          <w:tcPr>
            <w:tcBorders>
              <w:top w:val="none" w:color="000000" w:sz="4" w:space="0"/>
              <w:left w:val="single" w:color="auto" w:sz="4" w:space="0"/>
              <w:bottom w:val="single" w:color="000000" w:sz="4" w:space="0"/>
              <w:right w:val="single" w:color="auto" w:sz="4" w:space="0"/>
            </w:tcBorders>
            <w:tcW w:w="494"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智能中枢</w:t>
            </w:r>
            <w:r/>
          </w:p>
        </w:tc>
        <w:tc>
          <w:tcPr>
            <w:tcBorders>
              <w:top w:val="none" w:color="000000" w:sz="4" w:space="0"/>
              <w:left w:val="single" w:color="auto" w:sz="4" w:space="0"/>
              <w:bottom w:val="single" w:color="auto" w:sz="4" w:space="0"/>
              <w:right w:val="single" w:color="auto" w:sz="4" w:space="0"/>
            </w:tcBorders>
            <w:tcW w:w="494"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智能中枢－适配改造和迁移</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软件及集成工具软件适配性改造</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软件及集成工具软件适配性改造：基于物资储备数据中心集成底层工具软件进行信创适配性改造和集成，包括：数据治理工具软件、网页数据采集工具软件、ETL工具软件、可视化工具软件、工作流平台软件、融合通信平台软件、视频平台软件以及数据中心软件的信创适配性改造。</w:t>
            </w:r>
            <w:r/>
          </w:p>
        </w:tc>
      </w:tr>
      <w:tr>
        <w:trPr>
          <w:trHeight w:val="129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江苏智慧粮食云平台数据中心迁移</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江苏智慧粮食云平台数据中心迁移：对江苏智慧粮食云平台数据中心原有存量数据的迁移，本次迁移采用数据直接映射方式，从原有</w:t>
            </w:r>
            <w:r>
              <w:rPr>
                <w:color w:val="000000"/>
              </w:rPr>
              <w:t xml:space="preserve">Oracle</w:t>
            </w:r>
            <w:r>
              <w:rPr>
                <w:rFonts w:hint="eastAsia" w:ascii="宋体" w:hAnsi="宋体" w:cs="宋体"/>
                <w:color w:val="000000"/>
              </w:rPr>
              <w:t xml:space="preserve">数据库中的数据迁移到政务云国产数据库中；粮食仓储管理系统数据整理，企业备案、仓储能力等数据关联、整合到基础数据库；统计报表数据整合到综合业务一张表专题库。</w:t>
            </w:r>
            <w:r/>
          </w:p>
        </w:tc>
      </w:tr>
      <w:tr>
        <w:trPr>
          <w:trHeight w:val="51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▲大数据资源中心</w:t>
            </w:r>
            <w:r>
              <w:rPr>
                <w:color w:val="000000"/>
              </w:rPr>
              <w:t xml:space="preserve">—</w:t>
            </w:r>
            <w:r>
              <w:rPr>
                <w:rFonts w:hint="eastAsia" w:ascii="宋体" w:hAnsi="宋体" w:cs="宋体"/>
                <w:color w:val="000000"/>
              </w:rPr>
              <w:t xml:space="preserve">数据采集治理</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江苏省粮食质量监测平台</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江苏省粮食质量监测平台：对接江苏省粮食质量监测平台的粮油质检机构、收购监测、库存监测等信息。</w:t>
            </w:r>
            <w:r/>
          </w:p>
        </w:tc>
      </w:tr>
      <w:tr>
        <w:trPr>
          <w:trHeight w:val="51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交易市场粮油交易数据</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交易市场粮油交易数据：采集粮油交易结果、交易会员信息等数据，存储到数据湖；进行标准化、质量校验等数据治理，形成标准数据。</w:t>
            </w:r>
            <w:r/>
          </w:p>
        </w:tc>
      </w:tr>
      <w:tr>
        <w:trPr>
          <w:trHeight w:val="51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质量检测数据</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质量检测数据：采集监测机构能力、夏秋粮收购前检测、库存检测等数据，存储到数据湖；进行标准化、质量校验等数据治理，形成标准数据。</w:t>
            </w:r>
            <w:r/>
          </w:p>
        </w:tc>
      </w:tr>
      <w:tr>
        <w:trPr>
          <w:trHeight w:val="51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价格监测与分析数据</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价格监测与分析数据：采集价格监测、价格指数等数据，存储到数据湖；进行标准化、质量校验等数据治理，形成标准数据。</w:t>
            </w:r>
            <w:r/>
          </w:p>
        </w:tc>
      </w:tr>
      <w:tr>
        <w:trPr>
          <w:trHeight w:val="117"/>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工作门户、服务门户系统数据</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工作门户、服务门户系统数据：代办任务、用户统计等数据采集，存储到数据湖；进行标准化、质量校验等数据治理，形成标准数据。</w:t>
            </w:r>
            <w:r/>
          </w:p>
        </w:tc>
      </w:tr>
      <w:tr>
        <w:trPr>
          <w:trHeight w:val="76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行业公共服务系统数据</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行业公共服务系统数据：粮油市场综合服务、满意苏粮、行政事项服务等系统数据采集，存储到数据湖；进行标准化、质量校验等数据治理，形成标准数据。</w:t>
            </w:r>
            <w:r/>
          </w:p>
        </w:tc>
      </w:tr>
      <w:tr>
        <w:trPr>
          <w:trHeight w:val="76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安全仓储科技系统数据采集</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安全仓储科技系统数据采集：安全生产作业、安全检查、科技创新等数据采集，存储到数据湖；进行标准化、质量校验等数据治理，形成标准数据。</w:t>
            </w:r>
            <w:r/>
          </w:p>
        </w:tc>
      </w:tr>
      <w:tr>
        <w:trPr>
          <w:trHeight w:val="9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储备粮业务管理数据采集</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储备粮业务管理数据采集：储备规模、轮换计划、统计报告、仓储设施等数据采集，存储到数据湖；进行标准化、质量校验等数据治理，形成标准数据。</w:t>
            </w:r>
            <w:r/>
          </w:p>
        </w:tc>
      </w:tr>
      <w:tr>
        <w:trPr>
          <w:trHeight w:val="76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监督检查执法系统数据</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监督检查执法系统数据：采集行政检查、执法、信用管理、企业信用承诺等数据，存储到数据湖；进行标准化、质量校验等数据治理，形成标准数据。</w:t>
            </w:r>
            <w:r/>
          </w:p>
        </w:tc>
      </w:tr>
      <w:tr>
        <w:trPr>
          <w:trHeight w:val="51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省大数据中心数据</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省大数据中心数据：采集企业信用、企业法人、交通路况等数据采集。</w:t>
            </w:r>
            <w:r/>
          </w:p>
        </w:tc>
      </w:tr>
      <w:tr>
        <w:trPr>
          <w:trHeight w:val="103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大数据资源中心</w:t>
            </w:r>
            <w:r>
              <w:rPr>
                <w:color w:val="000000"/>
              </w:rPr>
              <w:t xml:space="preserve">—</w:t>
            </w:r>
            <w:r>
              <w:rPr>
                <w:rFonts w:hint="eastAsia" w:ascii="宋体" w:hAnsi="宋体" w:cs="宋体"/>
                <w:color w:val="000000"/>
              </w:rPr>
              <w:t xml:space="preserve">基础数据库</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基础数据建设</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基础数据建设：粮食企业名录、专家库、企业信用库等基础数据建设和动态维护。</w:t>
            </w:r>
            <w:r/>
          </w:p>
        </w:tc>
      </w:tr>
      <w:tr>
        <w:trPr>
          <w:trHeight w:val="102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大数据资源中心</w:t>
            </w:r>
            <w:r>
              <w:rPr>
                <w:color w:val="000000"/>
              </w:rPr>
              <w:t xml:space="preserve">—</w:t>
            </w:r>
            <w:r>
              <w:rPr>
                <w:rFonts w:hint="eastAsia" w:ascii="宋体" w:hAnsi="宋体" w:cs="宋体"/>
                <w:color w:val="000000"/>
              </w:rPr>
              <w:t xml:space="preserve">专题库</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储备展示一张图专题库</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储备展示一张图专题库：汇聚统计省、市、区县最新仓储设施数据，内容包括仓房汇总情况（仓房总数、仓容总量、利用率）、各类型仓房对比分析、建成年份对比分析、仓房使用情况占比分析、不同仓容占比分析指标。</w:t>
            </w:r>
            <w:r/>
          </w:p>
        </w:tc>
      </w:tr>
      <w:tr>
        <w:trPr>
          <w:trHeight w:val="76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决策分析一张图专题库</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决策分析一张图专题库：综合分析概况、粮食与物资安全分析、粮食的购销分析、物资出入库分析、粮食与物资库存仓容分析、粮食质量分析、粮仓粮情数据分析、收储异常行为监管预警等六个专题。</w:t>
            </w:r>
            <w:r/>
          </w:p>
        </w:tc>
      </w:tr>
      <w:tr>
        <w:trPr>
          <w:trHeight w:val="76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综合业务一张表专题库</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综合业务一张表专题库：从粮食管理、物资储备管理、监督执法、安全仓储科技四个方面，对已采集的粮食与物资实时数据，进行多维度统计，为各级领导提供全面而深入的综合性报表。</w:t>
            </w:r>
            <w:r/>
          </w:p>
        </w:tc>
      </w:tr>
      <w:tr>
        <w:trPr>
          <w:trHeight w:val="76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共享交换库</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共享交换库：粮食经营企业信用信息、粮食购销企业备案、粮油仓储企业备案、熏蒸作业备案、地方粮油交易日报、粮食价格信息（收购）、全省检验检测机构信息、执法人员信息等新增对外共享数据服务。</w:t>
            </w:r>
            <w:r/>
          </w:p>
        </w:tc>
      </w:tr>
      <w:tr>
        <w:trPr>
          <w:trHeight w:val="76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▲粮储行业高价值数据集</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粮储行业高价值数据集</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汇聚江苏全省粮食购销、粮情监测、物资储备、市场动态、舆情信息等多源数据，对各类数据开展清洗、标注、审核，建立结构化、可推理的一体化监管知识库。</w:t>
            </w:r>
            <w:r/>
          </w:p>
        </w:tc>
      </w:tr>
      <w:tr>
        <w:trPr>
          <w:trHeight w:val="52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restart"/>
            <w:textDirection w:val="lrTb"/>
            <w:noWrap w:val="false"/>
          </w:tcPr>
          <w:p>
            <w:pPr>
              <w:jc w:val="center"/>
              <w:widowControl/>
              <w:rPr>
                <w:rFonts w:eastAsia="汉仪细等线繁"/>
                <w:color w:val="000000"/>
              </w:rPr>
            </w:pPr>
            <w:r>
              <w:rPr>
                <w:rFonts w:hint="eastAsia" w:ascii="宋体" w:hAnsi="宋体" w:cs="宋体"/>
                <w:color w:val="000000"/>
              </w:rPr>
              <w:t xml:space="preserve">▲</w:t>
            </w:r>
            <w:r>
              <w:rPr>
                <w:rFonts w:eastAsia="汉仪细等线繁"/>
                <w:color w:val="000000"/>
              </w:rPr>
              <w:t xml:space="preserve">AI</w:t>
            </w:r>
            <w:r>
              <w:rPr>
                <w:rFonts w:hint="eastAsia" w:ascii="宋体" w:hAnsi="宋体"/>
                <w:color w:val="000000"/>
              </w:rPr>
              <w:t xml:space="preserve">组件－模型算法</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购销监管模型算法</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购销监管模型算法：检斤异常、质检异常、损耗异常、</w:t>
            </w:r>
            <w:r>
              <w:rPr>
                <w:color w:val="000000"/>
              </w:rPr>
              <w:t xml:space="preserve">“</w:t>
            </w:r>
            <w:r>
              <w:rPr>
                <w:rFonts w:hint="eastAsia" w:ascii="宋体" w:hAnsi="宋体" w:cs="宋体"/>
                <w:color w:val="000000"/>
              </w:rPr>
              <w:t xml:space="preserve">转圈粮</w:t>
            </w:r>
            <w:r>
              <w:rPr>
                <w:color w:val="000000"/>
              </w:rPr>
              <w:t xml:space="preserve">”</w:t>
            </w:r>
            <w:r>
              <w:rPr>
                <w:rFonts w:hint="eastAsia" w:ascii="宋体" w:hAnsi="宋体" w:cs="宋体"/>
                <w:color w:val="000000"/>
              </w:rPr>
              <w:t xml:space="preserve">预警、购销价格异常。</w:t>
            </w:r>
            <w:r/>
          </w:p>
        </w:tc>
      </w:tr>
      <w:tr>
        <w:trPr>
          <w:trHeight w:val="9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汉仪细等线繁"/>
                <w:color w:val="000000"/>
              </w:rPr>
            </w:pPr>
            <w:r>
              <w:rPr>
                <w:rFonts w:eastAsia="汉仪细等线繁"/>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质量监管模型算法</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质量监管模型算法：质量指标异常、储存品质指标异常、储存期间未定期检测异常。</w:t>
            </w:r>
            <w:r/>
          </w:p>
        </w:tc>
      </w:tr>
      <w:tr>
        <w:trPr>
          <w:trHeight w:val="51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汉仪细等线繁"/>
                <w:color w:val="000000"/>
              </w:rPr>
            </w:pPr>
            <w:r>
              <w:rPr>
                <w:rFonts w:eastAsia="汉仪细等线繁"/>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库存监管模型算法</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库存监管模型算法：库存异常变动、损耗超标、储粮超期。</w:t>
            </w:r>
            <w:r/>
          </w:p>
        </w:tc>
      </w:tr>
      <w:tr>
        <w:trPr>
          <w:trHeight w:val="510"/>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汉仪细等线繁"/>
                <w:color w:val="000000"/>
              </w:rPr>
            </w:pPr>
            <w:r>
              <w:rPr>
                <w:rFonts w:eastAsia="汉仪细等线繁"/>
                <w:color w:val="000000"/>
              </w:rPr>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储备安全监管算法</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储备安全监管算法：虫粮预警、高水分粮预警、发热粮预警、霉变粮预警。</w:t>
            </w:r>
            <w:r/>
          </w:p>
        </w:tc>
      </w:tr>
      <w:tr>
        <w:trPr>
          <w:trHeight w:val="1785"/>
        </w:trPr>
        <w:tc>
          <w:tcPr>
            <w:tcBorders>
              <w:top w:val="none" w:color="000000" w:sz="4" w:space="0"/>
              <w:left w:val="single" w:color="auto" w:sz="4" w:space="0"/>
              <w:bottom w:val="single" w:color="000000" w:sz="4" w:space="0"/>
              <w:right w:val="single" w:color="auto" w:sz="4" w:space="0"/>
            </w:tcBorders>
            <w:tcW w:w="49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应用组件</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统一用户管理</w:t>
            </w:r>
            <w:r/>
          </w:p>
        </w:tc>
        <w:tc>
          <w:tcPr>
            <w:tcBorders>
              <w:top w:val="none" w:color="000000" w:sz="4" w:space="0"/>
              <w:left w:val="none" w:color="000000" w:sz="4" w:space="0"/>
              <w:bottom w:val="single" w:color="auto" w:sz="4" w:space="0"/>
              <w:right w:val="single" w:color="auto" w:sz="4" w:space="0"/>
            </w:tcBorders>
            <w:tcW w:w="3280"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统一用户管理：提供统一的用户管理、权限管理、认证管理及单点登录服务功能，解决重复登录、多处授权、多账号管理混乱等问题，为用户提供“一站登录、全网漫游”功能。统一用户管理系统主要包含组织机构管理、用户及权限管理、统一登录认证服务、认证应用管理、访问控制管理、安全审计管理、统计分析功能及统一用户接口服务。支持与第三方系统的集成，实现基于基础应用支撑平台的统一用户、统一授权、统一认证的“三统一”。</w:t>
            </w:r>
            <w:r/>
          </w:p>
        </w:tc>
      </w:tr>
    </w:tbl>
    <w:p>
      <w:pPr>
        <w:pStyle w:val="950"/>
        <w:rPr>
          <w:rFonts w:hint="eastAsia" w:ascii="宋体" w:hAnsi="宋体"/>
          <w:b/>
          <w:bCs/>
          <w:sz w:val="24"/>
          <w:szCs w:val="24"/>
        </w:rPr>
      </w:pPr>
      <w:r>
        <w:rPr>
          <w:rFonts w:hint="eastAsia" w:ascii="宋体" w:hAnsi="宋体"/>
          <w:b/>
          <w:bCs/>
          <w:sz w:val="24"/>
          <w:szCs w:val="24"/>
        </w:rPr>
      </w:r>
      <w:r/>
    </w:p>
    <w:p>
      <w:pPr>
        <w:pStyle w:val="866"/>
        <w:ind w:firstLine="482"/>
        <w:rPr>
          <w:rFonts w:hint="eastAsia" w:ascii="宋体" w:hAnsi="宋体"/>
          <w:i/>
          <w:iCs w:val="0"/>
        </w:rPr>
      </w:pPr>
      <w:r>
        <w:rPr>
          <w:rFonts w:hint="eastAsia" w:ascii="宋体" w:hAnsi="宋体"/>
          <w:iCs w:val="0"/>
        </w:rPr>
        <w:t xml:space="preserve">4.统一运维平台</w:t>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67"/>
        <w:gridCol w:w="1067"/>
        <w:gridCol w:w="7035"/>
      </w:tblGrid>
      <w:tr>
        <w:trPr>
          <w:trHeight w:val="285"/>
        </w:trPr>
        <w:tc>
          <w:tcPr>
            <w:shd w:val="clear" w:color="000000" w:fill="d9d9d9"/>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系统</w:t>
            </w:r>
            <w:r/>
          </w:p>
        </w:tc>
        <w:tc>
          <w:tcPr>
            <w:shd w:val="clear" w:color="000000" w:fill="d9d9d9"/>
            <w:tcBorders>
              <w:top w:val="single" w:color="auto"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模块</w:t>
            </w:r>
            <w:r/>
          </w:p>
        </w:tc>
        <w:tc>
          <w:tcPr>
            <w:shd w:val="clear" w:color="000000" w:fill="d9d9d9"/>
            <w:tcBorders>
              <w:top w:val="single" w:color="auto" w:sz="4" w:space="0"/>
              <w:left w:val="none" w:color="000000" w:sz="4" w:space="0"/>
              <w:bottom w:val="single" w:color="auto" w:sz="4" w:space="0"/>
              <w:right w:val="single" w:color="auto" w:sz="4" w:space="0"/>
            </w:tcBorders>
            <w:tcW w:w="3837"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1275"/>
        </w:trPr>
        <w:tc>
          <w:tcPr>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统一运维平台</w:t>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事件中心</w:t>
            </w:r>
            <w:r/>
          </w:p>
        </w:tc>
        <w:tc>
          <w:tcPr>
            <w:tcBorders>
              <w:top w:val="none" w:color="000000" w:sz="4" w:space="0"/>
              <w:left w:val="none" w:color="000000" w:sz="4" w:space="0"/>
              <w:bottom w:val="single" w:color="auto" w:sz="4" w:space="0"/>
              <w:right w:val="single" w:color="auto" w:sz="4" w:space="0"/>
            </w:tcBorders>
            <w:tcW w:w="383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创建事件流程，并对其进行自定义配置；配置完成后支持对事件流程进行发起和处理；提供流程跟踪查见；支持以日历形式查看当前登录用户每日提交和处理的任务数量；支持对节点处理时间设置超时状态和附件上传功能；支持查看归档的流程信息；支持流程权限限制；支持自定义设计表单页面；支持接入多种数据源。</w:t>
            </w:r>
            <w:r/>
          </w:p>
        </w:tc>
      </w:tr>
      <w:tr>
        <w:trPr>
          <w:trHeight w:val="1050"/>
        </w:trPr>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虚拟资产管理</w:t>
            </w:r>
            <w:r/>
          </w:p>
        </w:tc>
        <w:tc>
          <w:tcPr>
            <w:tcBorders>
              <w:top w:val="none" w:color="000000" w:sz="4" w:space="0"/>
              <w:left w:val="none" w:color="000000" w:sz="4" w:space="0"/>
              <w:bottom w:val="single" w:color="auto" w:sz="4" w:space="0"/>
              <w:right w:val="single" w:color="auto" w:sz="4" w:space="0"/>
            </w:tcBorders>
            <w:tcW w:w="383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支持对智慧粮储云平台虚拟机的数量、操作系统、</w:t>
            </w:r>
            <w:r>
              <w:rPr>
                <w:color w:val="000000"/>
              </w:rPr>
              <w:t xml:space="preserve">CPU</w:t>
            </w:r>
            <w:r>
              <w:rPr>
                <w:rFonts w:hint="eastAsia" w:ascii="宋体" w:hAnsi="宋体" w:cs="宋体"/>
                <w:color w:val="000000"/>
              </w:rPr>
              <w:t xml:space="preserve">、内存、硬盘容量、</w:t>
            </w:r>
            <w:r>
              <w:rPr>
                <w:color w:val="000000"/>
              </w:rPr>
              <w:t xml:space="preserve">IP</w:t>
            </w:r>
            <w:r>
              <w:rPr>
                <w:rFonts w:hint="eastAsia" w:ascii="宋体" w:hAnsi="宋体" w:cs="宋体"/>
                <w:color w:val="000000"/>
              </w:rPr>
              <w:t xml:space="preserve">、网络流量、开机、关机、创建、删除等关键技术指标进行实时监控。实现虚拟资产的创建、运行、冷备、变更、删除的全生命周期管理。支持生命周期流程化管理，工作流引擎驱动，自动创建工单并跟踪。</w:t>
            </w:r>
            <w:r/>
          </w:p>
        </w:tc>
      </w:tr>
      <w:tr>
        <w:trPr>
          <w:trHeight w:val="1530"/>
        </w:trPr>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应用资产管理</w:t>
            </w:r>
            <w:r/>
          </w:p>
        </w:tc>
        <w:tc>
          <w:tcPr>
            <w:tcBorders>
              <w:top w:val="none" w:color="000000" w:sz="4" w:space="0"/>
              <w:left w:val="none" w:color="000000" w:sz="4" w:space="0"/>
              <w:bottom w:val="single" w:color="auto" w:sz="4" w:space="0"/>
              <w:right w:val="single" w:color="auto" w:sz="4" w:space="0"/>
            </w:tcBorders>
            <w:tcW w:w="383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对部署在省政务云上的应用资产进行登记，根据应用资产关系脉络图，了解应用关联的虚机关系，定位应用出现问题时相关的虚机范围；支持应用基础信息、负责人信息、运维人员信息录入，支持资产项目信息录入和质保到期提醒；支持监控各类主流的数据库、中间件，支持对应用中间件的内存占用、线程使用情况、类加载趋势以及故障的实时监控和呈现。</w:t>
            </w:r>
            <w:r/>
          </w:p>
        </w:tc>
      </w:tr>
      <w:tr>
        <w:trPr>
          <w:trHeight w:val="1020"/>
        </w:trPr>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服务端口管理</w:t>
            </w:r>
            <w:r/>
          </w:p>
        </w:tc>
        <w:tc>
          <w:tcPr>
            <w:tcBorders>
              <w:top w:val="none" w:color="000000" w:sz="4" w:space="0"/>
              <w:left w:val="none" w:color="000000" w:sz="4" w:space="0"/>
              <w:bottom w:val="single" w:color="auto" w:sz="4" w:space="0"/>
              <w:right w:val="single" w:color="auto" w:sz="4" w:space="0"/>
            </w:tcBorders>
            <w:tcW w:w="383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帮助用户简单、便捷地针对关键业务系统虚机建立端口基线数据库；通过定时任务自动对虚机开放的服务端口进行监控与跟踪，当虚机端口发生变化时，进行告警与提示；实现任务引擎驱动，自动进行资产安全监控，通过工作流引擎驱动，自动创建工单并跟踪。</w:t>
            </w:r>
            <w:r/>
          </w:p>
        </w:tc>
      </w:tr>
      <w:tr>
        <w:trPr>
          <w:trHeight w:val="1065"/>
        </w:trPr>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应用使用分析</w:t>
            </w:r>
            <w:r/>
          </w:p>
        </w:tc>
        <w:tc>
          <w:tcPr>
            <w:tcBorders>
              <w:top w:val="none" w:color="000000" w:sz="4" w:space="0"/>
              <w:left w:val="none" w:color="000000" w:sz="4" w:space="0"/>
              <w:bottom w:val="single" w:color="auto" w:sz="4" w:space="0"/>
              <w:right w:val="single" w:color="auto" w:sz="4" w:space="0"/>
            </w:tcBorders>
            <w:tcW w:w="383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实时统计应用的启动次数、页面浏览量（</w:t>
            </w:r>
            <w:r>
              <w:rPr>
                <w:color w:val="000000"/>
              </w:rPr>
              <w:t xml:space="preserve">PV</w:t>
            </w:r>
            <w:r>
              <w:rPr>
                <w:rFonts w:hint="eastAsia" w:ascii="宋体" w:hAnsi="宋体" w:cs="宋体"/>
                <w:color w:val="000000"/>
              </w:rPr>
              <w:t xml:space="preserve">）和用户访问量（</w:t>
            </w:r>
            <w:r>
              <w:rPr>
                <w:color w:val="000000"/>
              </w:rPr>
              <w:t xml:space="preserve">UV</w:t>
            </w:r>
            <w:r>
              <w:rPr>
                <w:rFonts w:hint="eastAsia" w:ascii="宋体" w:hAnsi="宋体" w:cs="宋体"/>
                <w:color w:val="000000"/>
              </w:rPr>
              <w:t xml:space="preserve">），监控应用的下载量、安装量以及卸载量，分析不同时间段（如日、周、月）内的应用使用趋势。定义并计算日活跃用户（</w:t>
            </w:r>
            <w:r>
              <w:rPr>
                <w:color w:val="000000"/>
              </w:rPr>
              <w:t xml:space="preserve">DAU</w:t>
            </w:r>
            <w:r>
              <w:rPr>
                <w:rFonts w:hint="eastAsia" w:ascii="宋体" w:hAnsi="宋体" w:cs="宋体"/>
                <w:color w:val="000000"/>
              </w:rPr>
              <w:t xml:space="preserve">）、周活跃用户（</w:t>
            </w:r>
            <w:r>
              <w:rPr>
                <w:color w:val="000000"/>
              </w:rPr>
              <w:t xml:space="preserve">WAU</w:t>
            </w:r>
            <w:r>
              <w:rPr>
                <w:rFonts w:hint="eastAsia" w:ascii="宋体" w:hAnsi="宋体" w:cs="宋体"/>
                <w:color w:val="000000"/>
              </w:rPr>
              <w:t xml:space="preserve">）和月活跃用户（</w:t>
            </w:r>
            <w:r>
              <w:rPr>
                <w:color w:val="000000"/>
              </w:rPr>
              <w:t xml:space="preserve">MAU</w:t>
            </w:r>
            <w:r>
              <w:rPr>
                <w:rFonts w:hint="eastAsia" w:ascii="宋体" w:hAnsi="宋体" w:cs="宋体"/>
                <w:color w:val="000000"/>
              </w:rPr>
              <w:t xml:space="preserve">）。</w:t>
            </w:r>
            <w:r/>
          </w:p>
        </w:tc>
      </w:tr>
      <w:tr>
        <w:trPr>
          <w:trHeight w:val="765"/>
        </w:trPr>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多屏可视管理</w:t>
            </w:r>
            <w:r/>
          </w:p>
        </w:tc>
        <w:tc>
          <w:tcPr>
            <w:tcBorders>
              <w:top w:val="none" w:color="000000" w:sz="4" w:space="0"/>
              <w:left w:val="none" w:color="000000" w:sz="4" w:space="0"/>
              <w:bottom w:val="single" w:color="auto" w:sz="4" w:space="0"/>
              <w:right w:val="single" w:color="auto" w:sz="4" w:space="0"/>
            </w:tcBorders>
            <w:tcW w:w="383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支持大屏切割功能，多画面、内部分屏等多种显示模式。选择应用内页面进行投射、画面轮播，支持外部应用页面通过URL链接接入，分屏内部支持操作，可在一个画面中管理多个平台。</w:t>
            </w:r>
            <w:r/>
          </w:p>
        </w:tc>
      </w:tr>
      <w:tr>
        <w:trPr>
          <w:trHeight w:val="765"/>
        </w:trPr>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日志分析</w:t>
            </w:r>
            <w:r/>
          </w:p>
        </w:tc>
        <w:tc>
          <w:tcPr>
            <w:tcBorders>
              <w:top w:val="none" w:color="000000" w:sz="4" w:space="0"/>
              <w:left w:val="none" w:color="000000" w:sz="4" w:space="0"/>
              <w:bottom w:val="single" w:color="auto" w:sz="4" w:space="0"/>
              <w:right w:val="single" w:color="auto" w:sz="4" w:space="0"/>
            </w:tcBorders>
            <w:tcW w:w="383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支持从虚拟服务器接收并记录日志信息；支持自定义正则表达式解析日志，通过将不同设备的日志集中推送至服务器，系统日志变得更为集中、易于管理。</w:t>
            </w:r>
            <w:r/>
          </w:p>
        </w:tc>
      </w:tr>
    </w:tbl>
    <w:p>
      <w:pPr>
        <w:pStyle w:val="950"/>
        <w:rPr>
          <w:rFonts w:hint="eastAsia" w:ascii="宋体" w:hAnsi="宋体"/>
          <w:b/>
          <w:bCs/>
          <w:sz w:val="24"/>
          <w:szCs w:val="24"/>
        </w:rPr>
      </w:pPr>
      <w:r>
        <w:rPr>
          <w:rFonts w:hint="eastAsia" w:ascii="宋体" w:hAnsi="宋体"/>
          <w:b/>
          <w:bCs/>
          <w:sz w:val="24"/>
          <w:szCs w:val="24"/>
        </w:rPr>
      </w:r>
      <w:r/>
    </w:p>
    <w:p>
      <w:pPr>
        <w:pStyle w:val="866"/>
        <w:ind w:firstLine="482"/>
        <w:rPr>
          <w:rFonts w:hint="eastAsia" w:ascii="宋体" w:hAnsi="宋体"/>
          <w:i/>
          <w:iCs w:val="0"/>
        </w:rPr>
      </w:pPr>
      <w:r>
        <w:rPr>
          <w:rFonts w:hint="eastAsia" w:ascii="宋体" w:hAnsi="宋体"/>
          <w:i/>
          <w:iCs w:val="0"/>
        </w:rPr>
        <w:t xml:space="preserve">5.</w:t>
      </w:r>
      <w:r>
        <w:rPr>
          <w:rFonts w:hint="eastAsia" w:ascii="宋体" w:hAnsi="宋体"/>
          <w:iCs w:val="0"/>
        </w:rPr>
        <w:t xml:space="preserve">与外部系统的对接</w:t>
      </w:r>
      <w:r/>
    </w:p>
    <w:p>
      <w:pPr>
        <w:ind w:firstLine="480"/>
        <w:spacing w:line="400" w:lineRule="exact"/>
        <w:rPr>
          <w:rFonts w:hint="eastAsia" w:ascii="宋体" w:hAnsi="宋体" w:cs="宋体"/>
          <w:i/>
          <w:iCs/>
          <w:sz w:val="24"/>
          <w:szCs w:val="24"/>
          <w:u w:val="single"/>
        </w:rPr>
      </w:pPr>
      <w:r>
        <w:rPr>
          <w:rFonts w:hint="eastAsia" w:ascii="宋体" w:hAnsi="宋体" w:cs="宋体"/>
          <w:i/>
          <w:iCs/>
          <w:sz w:val="24"/>
          <w:szCs w:val="24"/>
          <w:u w:val="single"/>
        </w:rPr>
        <w:t xml:space="preserve">投标人须在项目质保期内按照采购人要求，积极配合采购人提供免费的系统对接服务，包括但不限于接口开发、数据适配、兼容性改造、联调测试等。与本项目已实现对接的外部系统发生升级和调整时，投标人应免费同步调整（投标人须出具承诺函，并加盖投标人公章）</w:t>
      </w:r>
      <w:r/>
    </w:p>
    <w:p>
      <w:pPr>
        <w:ind w:firstLine="480"/>
        <w:spacing w:line="400" w:lineRule="exact"/>
        <w:rPr>
          <w:rFonts w:hint="eastAsia" w:ascii="宋体" w:hAnsi="宋体" w:cs="宋体"/>
          <w:i/>
          <w:iCs/>
          <w:sz w:val="24"/>
          <w:szCs w:val="24"/>
          <w:u w:val="single"/>
        </w:rPr>
      </w:pPr>
      <w:r>
        <w:rPr>
          <w:rFonts w:hint="eastAsia" w:ascii="宋体" w:hAnsi="宋体" w:cs="宋体"/>
          <w:i/>
          <w:iCs/>
          <w:sz w:val="24"/>
          <w:szCs w:val="24"/>
          <w:u w:val="single"/>
        </w:rPr>
      </w:r>
      <w:r/>
    </w:p>
    <w:tbl>
      <w:tblPr>
        <w:tblStyle w:val="8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22"/>
        <w:gridCol w:w="2676"/>
        <w:gridCol w:w="5371"/>
      </w:tblGrid>
      <w:tr>
        <w:trPr>
          <w:trHeight w:val="285"/>
          <w:tblHeader/>
        </w:trPr>
        <w:tc>
          <w:tcPr>
            <w:shd w:val="clear" w:color="000000" w:fill="d9d9d9"/>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类别</w:t>
            </w:r>
            <w:r/>
          </w:p>
        </w:tc>
        <w:tc>
          <w:tcPr>
            <w:shd w:val="clear" w:color="000000" w:fill="d9d9d9"/>
            <w:tcBorders>
              <w:top w:val="single" w:color="auto" w:sz="4" w:space="0"/>
              <w:left w:val="none" w:color="000000" w:sz="4" w:space="0"/>
              <w:bottom w:val="single" w:color="auto" w:sz="4" w:space="0"/>
              <w:right w:val="single" w:color="auto" w:sz="4" w:space="0"/>
            </w:tcBorders>
            <w:tcW w:w="1459"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对接系统</w:t>
            </w:r>
            <w:r/>
          </w:p>
        </w:tc>
        <w:tc>
          <w:tcPr>
            <w:shd w:val="clear" w:color="000000" w:fill="d9d9d9"/>
            <w:tcBorders>
              <w:top w:val="single" w:color="auto" w:sz="4" w:space="0"/>
              <w:left w:val="none" w:color="000000" w:sz="4" w:space="0"/>
              <w:bottom w:val="single" w:color="auto" w:sz="4" w:space="0"/>
              <w:right w:val="single" w:color="auto" w:sz="4" w:space="0"/>
            </w:tcBorders>
            <w:tcW w:w="2929"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说明</w:t>
            </w:r>
            <w:r/>
          </w:p>
        </w:tc>
      </w:tr>
      <w:tr>
        <w:trPr>
          <w:trHeight w:val="510"/>
        </w:trPr>
        <w:tc>
          <w:tcPr>
            <w:tcBorders>
              <w:top w:val="none" w:color="000000" w:sz="4" w:space="0"/>
              <w:left w:val="single" w:color="auto" w:sz="4" w:space="0"/>
              <w:bottom w:val="single" w:color="auto" w:sz="4" w:space="0"/>
              <w:right w:val="single" w:color="auto" w:sz="4" w:space="0"/>
            </w:tcBorders>
            <w:tcW w:w="612"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▲系统对接</w:t>
            </w:r>
            <w:r/>
          </w:p>
        </w:tc>
        <w:tc>
          <w:tcPr>
            <w:tcBorders>
              <w:top w:val="none" w:color="000000" w:sz="4" w:space="0"/>
              <w:left w:val="none" w:color="000000" w:sz="4" w:space="0"/>
              <w:bottom w:val="single" w:color="auto" w:sz="4" w:space="0"/>
              <w:right w:val="single" w:color="auto" w:sz="4" w:space="0"/>
            </w:tcBorders>
            <w:tcW w:w="145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国家粮食信用信息管理平台</w:t>
            </w:r>
            <w:r/>
          </w:p>
        </w:tc>
        <w:tc>
          <w:tcPr>
            <w:tcBorders>
              <w:top w:val="none" w:color="000000" w:sz="4" w:space="0"/>
              <w:left w:val="none" w:color="000000" w:sz="4" w:space="0"/>
              <w:bottom w:val="single" w:color="auto" w:sz="4" w:space="0"/>
              <w:right w:val="single" w:color="auto" w:sz="4" w:space="0"/>
            </w:tcBorders>
            <w:tcW w:w="292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监督检查执法系统产生的省内粮食企业信用评价信息传输到国家粮食信用信息管理系统</w:t>
            </w:r>
            <w:r/>
          </w:p>
        </w:tc>
      </w:tr>
      <w:tr>
        <w:trPr>
          <w:trHeight w:val="510"/>
        </w:trPr>
        <w:tc>
          <w:tcPr>
            <w:tcBorders>
              <w:top w:val="none" w:color="000000" w:sz="4" w:space="0"/>
              <w:left w:val="single" w:color="auto" w:sz="4" w:space="0"/>
              <w:bottom w:val="single" w:color="auto" w:sz="4" w:space="0"/>
              <w:right w:val="single" w:color="auto" w:sz="4" w:space="0"/>
            </w:tcBorders>
            <w:tcW w:w="61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145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省政务服务网统一身份认证</w:t>
            </w:r>
            <w:r/>
          </w:p>
        </w:tc>
        <w:tc>
          <w:tcPr>
            <w:tcBorders>
              <w:top w:val="none" w:color="000000" w:sz="4" w:space="0"/>
              <w:left w:val="none" w:color="000000" w:sz="4" w:space="0"/>
              <w:bottom w:val="single" w:color="auto" w:sz="4" w:space="0"/>
              <w:right w:val="single" w:color="auto" w:sz="4" w:space="0"/>
            </w:tcBorders>
            <w:tcW w:w="292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对接省政务服务统一身份认证进行用户身份认证</w:t>
            </w:r>
            <w:r/>
          </w:p>
        </w:tc>
      </w:tr>
      <w:tr>
        <w:trPr>
          <w:trHeight w:val="795"/>
        </w:trPr>
        <w:tc>
          <w:tcPr>
            <w:tcBorders>
              <w:top w:val="none" w:color="000000" w:sz="4" w:space="0"/>
              <w:left w:val="single" w:color="auto" w:sz="4" w:space="0"/>
              <w:bottom w:val="single" w:color="auto" w:sz="4" w:space="0"/>
              <w:right w:val="single" w:color="auto" w:sz="4" w:space="0"/>
            </w:tcBorders>
            <w:tcW w:w="61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145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省电子证照系统</w:t>
            </w:r>
            <w:r/>
          </w:p>
        </w:tc>
        <w:tc>
          <w:tcPr>
            <w:tcBorders>
              <w:top w:val="none" w:color="000000" w:sz="4" w:space="0"/>
              <w:left w:val="none" w:color="000000" w:sz="4" w:space="0"/>
              <w:bottom w:val="single" w:color="auto" w:sz="4" w:space="0"/>
              <w:right w:val="single" w:color="auto" w:sz="4" w:space="0"/>
            </w:tcBorders>
            <w:tcW w:w="292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调用企业电子证照服务，实现企业信用证书等电子证照数据同步；并利用</w:t>
            </w:r>
            <w:r>
              <w:rPr>
                <w:rFonts w:hint="eastAsia"/>
                <w:color w:val="000000"/>
              </w:rPr>
              <w:t xml:space="preserve">“</w:t>
            </w:r>
            <w:r>
              <w:rPr>
                <w:rFonts w:hint="eastAsia" w:ascii="宋体" w:hAnsi="宋体" w:cs="宋体"/>
                <w:color w:val="000000"/>
              </w:rPr>
              <w:t xml:space="preserve">一码通</w:t>
            </w:r>
            <w:r>
              <w:rPr>
                <w:rFonts w:hint="eastAsia"/>
                <w:color w:val="000000"/>
              </w:rPr>
              <w:t xml:space="preserve">”</w:t>
            </w:r>
            <w:r>
              <w:rPr>
                <w:rFonts w:hint="eastAsia" w:ascii="宋体" w:hAnsi="宋体" w:cs="宋体"/>
                <w:color w:val="000000"/>
              </w:rPr>
              <w:t xml:space="preserve">引擎，生成二维码，可为</w:t>
            </w:r>
            <w:r>
              <w:rPr>
                <w:rFonts w:hint="eastAsia"/>
                <w:color w:val="000000"/>
              </w:rPr>
              <w:t xml:space="preserve">“</w:t>
            </w:r>
            <w:r>
              <w:rPr>
                <w:rFonts w:hint="eastAsia" w:ascii="宋体" w:hAnsi="宋体" w:cs="宋体"/>
                <w:color w:val="000000"/>
              </w:rPr>
              <w:t xml:space="preserve">苏服办</w:t>
            </w:r>
            <w:r>
              <w:rPr>
                <w:rFonts w:hint="eastAsia"/>
                <w:color w:val="000000"/>
              </w:rPr>
              <w:t xml:space="preserve">”</w:t>
            </w:r>
            <w:r>
              <w:rPr>
                <w:rFonts w:hint="eastAsia" w:ascii="宋体" w:hAnsi="宋体" w:cs="宋体"/>
                <w:color w:val="000000"/>
              </w:rPr>
              <w:t xml:space="preserve">用户线下办事提供扫码服务</w:t>
            </w:r>
            <w:r/>
          </w:p>
        </w:tc>
      </w:tr>
      <w:tr>
        <w:trPr>
          <w:trHeight w:val="765"/>
        </w:trPr>
        <w:tc>
          <w:tcPr>
            <w:tcBorders>
              <w:top w:val="none" w:color="000000" w:sz="4" w:space="0"/>
              <w:left w:val="single" w:color="auto" w:sz="4" w:space="0"/>
              <w:bottom w:val="single" w:color="auto" w:sz="4" w:space="0"/>
              <w:right w:val="single" w:color="auto" w:sz="4" w:space="0"/>
            </w:tcBorders>
            <w:tcW w:w="61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145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好差评系统</w:t>
            </w:r>
            <w:r/>
          </w:p>
        </w:tc>
        <w:tc>
          <w:tcPr>
            <w:tcBorders>
              <w:top w:val="none" w:color="000000" w:sz="4" w:space="0"/>
              <w:left w:val="none" w:color="000000" w:sz="4" w:space="0"/>
              <w:bottom w:val="single" w:color="auto" w:sz="4" w:space="0"/>
              <w:right w:val="single" w:color="auto" w:sz="4" w:space="0"/>
            </w:tcBorders>
            <w:tcW w:w="292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对接省政务服务平台好差评系统，按要求实现政务服务办件事项的督办整改、回访评价等流程，并记录流程数据。</w:t>
            </w:r>
            <w:r/>
          </w:p>
        </w:tc>
      </w:tr>
      <w:tr>
        <w:trPr>
          <w:trHeight w:val="510"/>
        </w:trPr>
        <w:tc>
          <w:tcPr>
            <w:tcBorders>
              <w:top w:val="none" w:color="000000" w:sz="4" w:space="0"/>
              <w:left w:val="single" w:color="auto" w:sz="4" w:space="0"/>
              <w:bottom w:val="single" w:color="auto" w:sz="4" w:space="0"/>
              <w:right w:val="single" w:color="auto" w:sz="4" w:space="0"/>
            </w:tcBorders>
            <w:tcW w:w="612"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145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统一消息中心</w:t>
            </w:r>
            <w:r/>
          </w:p>
        </w:tc>
        <w:tc>
          <w:tcPr>
            <w:tcBorders>
              <w:top w:val="none" w:color="000000" w:sz="4" w:space="0"/>
              <w:left w:val="none" w:color="000000" w:sz="4" w:space="0"/>
              <w:bottom w:val="single" w:color="auto" w:sz="4" w:space="0"/>
              <w:right w:val="single" w:color="auto" w:sz="4" w:space="0"/>
            </w:tcBorders>
            <w:tcW w:w="292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依托省数字政府政务中台统一消息系统，提供短信收发、微信信息推送服务</w:t>
            </w:r>
            <w:r/>
          </w:p>
        </w:tc>
      </w:tr>
    </w:tbl>
    <w:p>
      <w:pPr>
        <w:ind w:firstLine="480"/>
        <w:spacing w:line="400" w:lineRule="exact"/>
        <w:rPr>
          <w:rFonts w:hint="eastAsia" w:ascii="宋体" w:hAnsi="宋体" w:cs="宋体"/>
          <w:sz w:val="24"/>
          <w:szCs w:val="24"/>
        </w:rPr>
      </w:pPr>
      <w:r>
        <w:rPr>
          <w:rFonts w:hint="eastAsia" w:ascii="宋体" w:hAnsi="宋体" w:cs="宋体"/>
          <w:sz w:val="24"/>
          <w:szCs w:val="24"/>
        </w:rPr>
      </w:r>
      <w:r/>
    </w:p>
    <w:p>
      <w:pPr>
        <w:pStyle w:val="865"/>
        <w:ind w:firstLine="482"/>
        <w:rPr>
          <w:rFonts w:hint="eastAsia" w:ascii="宋体" w:hAnsi="宋体" w:eastAsia="宋体"/>
          <w:sz w:val="24"/>
          <w:szCs w:val="24"/>
        </w:rPr>
      </w:pPr>
      <w:r>
        <w:rPr>
          <w:rFonts w:hint="eastAsia" w:ascii="宋体" w:hAnsi="宋体" w:eastAsia="宋体"/>
          <w:sz w:val="24"/>
          <w:szCs w:val="24"/>
        </w:rPr>
        <w:t xml:space="preserve">1.2.2 成品软件购置</w:t>
      </w:r>
      <w:r/>
    </w:p>
    <w:p>
      <w:pPr>
        <w:pStyle w:val="866"/>
        <w:ind w:firstLine="482"/>
        <w:rPr>
          <w:rFonts w:hint="eastAsia" w:ascii="宋体" w:hAnsi="宋体"/>
          <w:i/>
          <w:iCs w:val="0"/>
        </w:rPr>
      </w:pPr>
      <w:r>
        <w:rPr>
          <w:rFonts w:hint="eastAsia" w:ascii="宋体" w:hAnsi="宋体"/>
          <w:iCs w:val="0"/>
        </w:rPr>
        <w:t xml:space="preserve">1.BI软件</w:t>
      </w:r>
      <w:r/>
    </w:p>
    <w:p>
      <w:pPr>
        <w:pStyle w:val="950"/>
        <w:ind w:left="425"/>
        <w:spacing w:line="360" w:lineRule="auto"/>
        <w:rPr>
          <w:rFonts w:hint="eastAsia" w:ascii="宋体" w:hAnsi="宋体"/>
          <w:sz w:val="24"/>
          <w:szCs w:val="24"/>
        </w:rPr>
      </w:pPr>
      <w:r>
        <w:rPr>
          <w:rFonts w:hint="eastAsia" w:ascii="宋体" w:hAnsi="宋体"/>
          <w:sz w:val="24"/>
          <w:szCs w:val="24"/>
        </w:rPr>
        <w:t xml:space="preserve">具体功能要求如下：</w:t>
      </w:r>
      <w:r/>
    </w:p>
    <w:tbl>
      <w:tblPr>
        <w:tblStyle w:val="870"/>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8007"/>
      </w:tblGrid>
      <w:tr>
        <w:trPr>
          <w:trHeight w:val="300"/>
          <w:tblHeader/>
        </w:trPr>
        <w:tc>
          <w:tcPr>
            <w:shd w:val="clear" w:color="000000" w:fill="d8d8d8"/>
            <w:tcW w:w="623"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产品名称</w:t>
            </w:r>
            <w:r/>
          </w:p>
        </w:tc>
        <w:tc>
          <w:tcPr>
            <w:shd w:val="clear" w:color="000000" w:fill="d8d8d8"/>
            <w:tcW w:w="4377"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主要技术参数</w:t>
            </w:r>
            <w:r/>
          </w:p>
        </w:tc>
      </w:tr>
      <w:tr>
        <w:trPr>
          <w:trHeight w:val="285"/>
        </w:trPr>
        <w:tc>
          <w:tcPr>
            <w:tcW w:w="623"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▲BI软件</w:t>
            </w:r>
            <w:r/>
          </w:p>
        </w:tc>
        <w:tc>
          <w:tcPr>
            <w:tcW w:w="437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使用成熟的商业化产品，具有良好的整体性，产品提供完整的BI展现功能。</w:t>
            </w:r>
            <w:r/>
          </w:p>
        </w:tc>
      </w:tr>
      <w:tr>
        <w:trPr>
          <w:trHeight w:val="765"/>
        </w:trPr>
        <w:tc>
          <w:tcPr>
            <w:tcW w:w="62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具备数据对接能力，支持主流数据库，支持国产数据库；建立面向主题分析的数据集市，平台可对接省级粮食和物资储备行业系统数据、跨行政部门数据、上级粮储共享数据等，提供快速的数据分析功能。</w:t>
            </w:r>
            <w:r/>
          </w:p>
        </w:tc>
      </w:tr>
      <w:tr>
        <w:trPr>
          <w:trHeight w:val="510"/>
        </w:trPr>
        <w:tc>
          <w:tcPr>
            <w:tcW w:w="62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具有报表导出功能，导出报表时保留报表格式，支持单个组件的导出以及全局导出功能。</w:t>
            </w:r>
            <w:r/>
          </w:p>
        </w:tc>
      </w:tr>
      <w:tr>
        <w:trPr>
          <w:trHeight w:val="1530"/>
        </w:trPr>
        <w:tc>
          <w:tcPr>
            <w:tcW w:w="62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具有多种类型图表，系统提供常规的折线图、柱状图、散点图、饼图，用于关系数据展示的关系图、旭日图、雷达图，还有用于分期的翻牌器、漏斗图、仪表盘，并且满足图与图之间的混搭。图形属性设置包括：颜色、图形大小、文字内容、字体、字号、边距、标题、图例、提示、背景、主题等。满足图形选择对应的数据模型，通过图表维度指标与模型字段的映射，页面打开时实时获取模型对应后台数据，将数据以图形方式展示。</w:t>
            </w:r>
            <w:r/>
          </w:p>
        </w:tc>
      </w:tr>
      <w:tr>
        <w:trPr>
          <w:trHeight w:val="510"/>
        </w:trPr>
        <w:tc>
          <w:tcPr>
            <w:tcW w:w="62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具有点击图表展示内容功能，实现数据报告上卷、下钻展示相关内容，满足通过筛选条件选择、图形点击等方式，实现页面展示数据的联动变化效果。</w:t>
            </w:r>
            <w:r/>
          </w:p>
        </w:tc>
      </w:tr>
      <w:tr>
        <w:trPr>
          <w:trHeight w:val="510"/>
        </w:trPr>
        <w:tc>
          <w:tcPr>
            <w:tcW w:w="62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具有指标计算函数，涵盖求和、计数、平均值、最大值、最小值、同比、环比。</w:t>
            </w:r>
            <w:r/>
          </w:p>
        </w:tc>
      </w:tr>
      <w:tr>
        <w:trPr>
          <w:trHeight w:val="1035"/>
        </w:trPr>
        <w:tc>
          <w:tcPr>
            <w:tcW w:w="62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地图组件展示，数据展示包括：地图、飞线地图、GIS地图。地图参数设定包括：图表尺寸、图表位置、旋转角度、垂直旋转角度、透明度、定时刷新、预览可拖拽、滤镜效果、关联链接，可选地理范围、地图样式配置、气泡、视觉映射。同时支持如飞线图、星点图、热力图等地图数据展现形式。</w:t>
            </w:r>
            <w:r/>
          </w:p>
        </w:tc>
      </w:tr>
      <w:tr>
        <w:trPr>
          <w:trHeight w:val="44"/>
        </w:trPr>
        <w:tc>
          <w:tcPr>
            <w:tcW w:w="623"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7" w:type="pct"/>
            <w:vAlign w:val="center"/>
            <w:textDirection w:val="lrTb"/>
            <w:noWrap w:val="false"/>
          </w:tcPr>
          <w:p>
            <w:pPr>
              <w:jc w:val="left"/>
              <w:widowControl/>
              <w:rPr>
                <w:rFonts w:hint="eastAsia" w:ascii="宋体" w:hAnsi="宋体" w:cs="宋体"/>
                <w:color w:val="000000"/>
              </w:rPr>
            </w:pPr>
            <w:r>
              <w:rPr>
                <w:rFonts w:hint="eastAsia"/>
              </w:rPr>
              <w:t xml:space="preserve">提供不少于3年原厂质保和软件升级服务。（投标人提供承诺函并加盖公章）</w:t>
            </w:r>
            <w:r/>
          </w:p>
        </w:tc>
      </w:tr>
    </w:tbl>
    <w:p>
      <w:pPr>
        <w:pStyle w:val="950"/>
        <w:ind w:left="425"/>
        <w:rPr>
          <w:rFonts w:hint="eastAsia" w:ascii="宋体" w:hAnsi="宋体"/>
          <w:sz w:val="24"/>
          <w:szCs w:val="24"/>
        </w:rPr>
      </w:pPr>
      <w:r>
        <w:rPr>
          <w:rFonts w:hint="eastAsia" w:ascii="宋体" w:hAnsi="宋体"/>
          <w:sz w:val="24"/>
          <w:szCs w:val="24"/>
        </w:rPr>
      </w:r>
      <w:r/>
    </w:p>
    <w:p>
      <w:pPr>
        <w:pStyle w:val="866"/>
        <w:ind w:firstLine="482"/>
        <w:rPr>
          <w:rFonts w:hint="eastAsia" w:ascii="宋体" w:hAnsi="宋体"/>
          <w:i/>
          <w:iCs w:val="0"/>
        </w:rPr>
      </w:pPr>
      <w:r>
        <w:rPr>
          <w:rFonts w:hint="eastAsia" w:ascii="宋体" w:hAnsi="宋体"/>
          <w:iCs w:val="0"/>
        </w:rPr>
        <w:t xml:space="preserve">2.报表应用软件</w:t>
      </w:r>
      <w:r/>
    </w:p>
    <w:p>
      <w:pPr>
        <w:pStyle w:val="950"/>
        <w:ind w:left="425"/>
        <w:spacing w:line="360" w:lineRule="auto"/>
        <w:rPr>
          <w:rFonts w:hint="eastAsia" w:ascii="宋体" w:hAnsi="宋体"/>
          <w:sz w:val="24"/>
          <w:szCs w:val="24"/>
        </w:rPr>
      </w:pPr>
      <w:r>
        <w:rPr>
          <w:rFonts w:hint="eastAsia" w:ascii="宋体" w:hAnsi="宋体"/>
          <w:sz w:val="24"/>
          <w:szCs w:val="24"/>
        </w:rPr>
        <w:t xml:space="preserve">具体功能要求如下：</w:t>
      </w:r>
      <w:r/>
    </w:p>
    <w:tbl>
      <w:tblPr>
        <w:tblStyle w:val="870"/>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8005"/>
      </w:tblGrid>
      <w:tr>
        <w:trPr>
          <w:trHeight w:val="300"/>
        </w:trPr>
        <w:tc>
          <w:tcPr>
            <w:shd w:val="clear" w:color="000000" w:fill="d8d8d8"/>
            <w:tcW w:w="624"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产品名称</w:t>
            </w:r>
            <w:r/>
          </w:p>
        </w:tc>
        <w:tc>
          <w:tcPr>
            <w:shd w:val="clear" w:color="000000" w:fill="d8d8d8"/>
            <w:tcW w:w="4376"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主要技术参数</w:t>
            </w:r>
            <w:r/>
          </w:p>
        </w:tc>
      </w:tr>
      <w:tr>
        <w:trPr>
          <w:trHeight w:val="510"/>
        </w:trPr>
        <w:tc>
          <w:tcPr>
            <w:tcW w:w="624"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▲报表应用软件</w:t>
            </w:r>
            <w:r/>
          </w:p>
        </w:tc>
        <w:tc>
          <w:tcPr>
            <w:tcW w:w="4376"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使用成熟的商业化产品，功能包括但不限于报表设计器、报表管理、统计图控件等。</w:t>
            </w:r>
            <w:r/>
          </w:p>
        </w:tc>
      </w:tr>
      <w:tr>
        <w:trPr>
          <w:trHeight w:val="1020"/>
        </w:trPr>
        <w:tc>
          <w:tcPr>
            <w:tcW w:w="62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6"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报表设计器：采用web端类excel界面的样式，通过简单的拖拉、点击等方式方便地定义业务报表。报表设计包括模板管理、指标口径、条件样式、排版显示等内容。支持的报表类型包括：交叉统计报表、不规则报表、不平衡报表、原始凭证报表等。</w:t>
            </w:r>
            <w:r/>
          </w:p>
        </w:tc>
      </w:tr>
      <w:tr>
        <w:trPr>
          <w:trHeight w:val="510"/>
        </w:trPr>
        <w:tc>
          <w:tcPr>
            <w:tcW w:w="62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6"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报表管理：基于B/S实现报表浏览、数据补录、数据校验、数据归档、报表打印等功能，并且是灵活的、可配置的。</w:t>
            </w:r>
            <w:r/>
          </w:p>
        </w:tc>
      </w:tr>
      <w:tr>
        <w:trPr>
          <w:trHeight w:val="1275"/>
        </w:trPr>
        <w:tc>
          <w:tcPr>
            <w:tcW w:w="62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6"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统计图控件：支持主流的WEB的统计图控件。通过直观而丰富的各种统计图，用户可方便地实现数据的可视化，揭示出数据内部的信息。快捷易用的统计图定义方式：更多采用类似EXCEL的统计图模板技术，只需简单操作，即可定义出配色漂亮、样式新颖的统计图。在纯 WEB 方式下，提供一个与EXCEL一样易用的统计图操作UI。</w:t>
            </w:r>
            <w:r/>
          </w:p>
        </w:tc>
      </w:tr>
      <w:tr>
        <w:trPr>
          <w:trHeight w:val="510"/>
        </w:trPr>
        <w:tc>
          <w:tcPr>
            <w:tcW w:w="62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6"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支持10个大类16个小类的各式图表，支持从数据集与单元格取数，满足数据内容通过公式、函数方式展示计算结果。</w:t>
            </w:r>
            <w:r/>
          </w:p>
        </w:tc>
      </w:tr>
      <w:tr>
        <w:trPr>
          <w:trHeight w:val="525"/>
        </w:trPr>
        <w:tc>
          <w:tcPr>
            <w:tcW w:w="62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6"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具备灵活的参数系统和多种超级链接，可以实现过滤、钻取、联动等复杂交互及分析效果。</w:t>
            </w:r>
            <w:r/>
          </w:p>
        </w:tc>
      </w:tr>
      <w:tr>
        <w:trPr>
          <w:trHeight w:val="329"/>
        </w:trPr>
        <w:tc>
          <w:tcPr>
            <w:tcW w:w="624" w:type="pct"/>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W w:w="4376" w:type="pct"/>
            <w:vAlign w:val="center"/>
            <w:textDirection w:val="lrTb"/>
            <w:noWrap w:val="false"/>
          </w:tcPr>
          <w:p>
            <w:pPr>
              <w:jc w:val="left"/>
              <w:widowControl/>
              <w:rPr>
                <w:rFonts w:hint="eastAsia" w:ascii="宋体" w:hAnsi="宋体" w:cs="宋体"/>
                <w:color w:val="000000"/>
              </w:rPr>
            </w:pPr>
            <w:r>
              <w:rPr>
                <w:rFonts w:hint="eastAsia"/>
              </w:rPr>
              <w:t xml:space="preserve">提供不少于3年原厂质保和软件升级服务。（投标人提供承诺函并加盖公章）</w:t>
            </w:r>
            <w:r/>
          </w:p>
        </w:tc>
      </w:tr>
    </w:tbl>
    <w:p>
      <w:pPr>
        <w:pStyle w:val="866"/>
        <w:ind w:firstLine="482"/>
        <w:rPr>
          <w:rFonts w:hint="eastAsia" w:ascii="宋体" w:hAnsi="宋体"/>
          <w:i/>
          <w:iCs w:val="0"/>
        </w:rPr>
      </w:pPr>
      <w:r>
        <w:rPr>
          <w:rFonts w:hint="eastAsia" w:ascii="宋体" w:hAnsi="宋体"/>
          <w:iCs w:val="0"/>
        </w:rPr>
        <w:t xml:space="preserve">3.</w:t>
      </w:r>
      <w:r>
        <w:rPr>
          <w:rFonts w:hint="eastAsia"/>
        </w:rPr>
        <w:t xml:space="preserve">可信存证系统</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在本次智慧粮储云平台建设过程中，为了满足业务系统需求，需增加可信存证系统，该系统需要满足技术自主可控、安全、高性能、国产化兼容性等需求。同时，为充分满足国产化要求，本次建设可信存证系统需适配龙芯、鲲鹏、海光、飞腾等主流国产芯片，适配银河麒麟、统信等主流国产操作系统，同时兼容适配达梦、人大金仓等国产数据库，从而有效构建高效、透明且安全的智慧粮储数字化体系，具体参数如下：</w:t>
      </w:r>
      <w:r/>
    </w:p>
    <w:tbl>
      <w:tblPr>
        <w:tblStyle w:val="870"/>
        <w:tblpPr w:horzAnchor="margin" w:tblpXSpec="left" w:vertAnchor="page" w:tblpY="1645" w:leftFromText="180" w:topFromText="0" w:rightFromText="180" w:bottomFromText="0"/>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5917"/>
        <w:gridCol w:w="960"/>
      </w:tblGrid>
      <w:tr>
        <w:trPr/>
        <w:tc>
          <w:tcPr>
            <w:shd w:val="clear" w:color="000000" w:fill="d8d8d8"/>
            <w:tcW w:w="2263" w:type="dxa"/>
            <w:vAlign w:val="center"/>
            <w:textDirection w:val="lrTb"/>
            <w:noWrap w:val="false"/>
          </w:tcPr>
          <w:p>
            <w:pPr>
              <w:ind w:firstLine="422"/>
              <w:jc w:val="center"/>
              <w:widowControl/>
              <w:rPr>
                <w:rFonts w:hint="eastAsia" w:ascii="宋体" w:hAnsi="宋体" w:eastAsia="微软雅黑" w:cs="宋体"/>
                <w:b/>
                <w:bCs/>
                <w:color w:val="000000"/>
                <w:sz w:val="24"/>
                <w:szCs w:val="24"/>
              </w:rPr>
            </w:pPr>
            <w:r>
              <w:rPr>
                <w:rFonts w:hint="eastAsia" w:ascii="宋体" w:hAnsi="宋体" w:cs="宋体"/>
                <w:b/>
                <w:bCs/>
                <w:color w:val="000000"/>
              </w:rPr>
              <w:t xml:space="preserve">产品名称</w:t>
            </w:r>
            <w:r/>
          </w:p>
        </w:tc>
        <w:tc>
          <w:tcPr>
            <w:shd w:val="clear" w:color="000000" w:fill="d8d8d8"/>
            <w:tcW w:w="5917" w:type="dxa"/>
            <w:vAlign w:val="center"/>
            <w:textDirection w:val="lrTb"/>
            <w:noWrap w:val="false"/>
          </w:tcPr>
          <w:p>
            <w:pPr>
              <w:ind w:firstLine="422"/>
              <w:jc w:val="center"/>
              <w:widowControl/>
              <w:rPr>
                <w:rFonts w:hint="eastAsia" w:ascii="宋体" w:hAnsi="宋体" w:eastAsia="微软雅黑" w:cs="宋体"/>
                <w:b/>
                <w:bCs/>
                <w:color w:val="000000"/>
                <w:sz w:val="24"/>
                <w:szCs w:val="24"/>
              </w:rPr>
            </w:pPr>
            <w:r>
              <w:rPr>
                <w:rFonts w:hint="eastAsia" w:ascii="宋体" w:hAnsi="宋体" w:cs="宋体"/>
                <w:b/>
                <w:bCs/>
                <w:color w:val="000000"/>
              </w:rPr>
              <w:t xml:space="preserve">主要技术参数</w:t>
            </w:r>
            <w:r/>
          </w:p>
        </w:tc>
        <w:tc>
          <w:tcPr>
            <w:shd w:val="clear" w:color="000000" w:fill="d8d8d8"/>
            <w:tcW w:w="960" w:type="dxa"/>
            <w:vAlign w:val="center"/>
            <w:textDirection w:val="lrTb"/>
            <w:noWrap w:val="false"/>
          </w:tcPr>
          <w:p>
            <w:pPr>
              <w:widowControl/>
              <w:rPr>
                <w:rFonts w:hint="eastAsia" w:ascii="宋体" w:hAnsi="宋体" w:eastAsia="微软雅黑" w:cs="宋体"/>
                <w:b/>
                <w:bCs/>
                <w:color w:val="000000"/>
                <w:sz w:val="24"/>
                <w:szCs w:val="24"/>
              </w:rPr>
            </w:pPr>
            <w:r>
              <w:rPr>
                <w:rFonts w:hint="eastAsia" w:ascii="宋体" w:hAnsi="宋体" w:cs="宋体"/>
                <w:b/>
                <w:bCs/>
                <w:color w:val="000000"/>
              </w:rPr>
              <w:t xml:space="preserve">数量</w:t>
            </w:r>
            <w:r/>
          </w:p>
        </w:tc>
      </w:tr>
      <w:tr>
        <w:trPr/>
        <w:tc>
          <w:tcPr>
            <w:tcW w:w="2263" w:type="dxa"/>
            <w:vAlign w:val="center"/>
            <w:textDirection w:val="lrTb"/>
            <w:noWrap w:val="false"/>
          </w:tcPr>
          <w:p>
            <w:pPr>
              <w:jc w:val="center"/>
              <w:rPr>
                <w:rFonts w:hint="eastAsia" w:ascii="宋体" w:hAnsi="宋体"/>
              </w:rPr>
            </w:pPr>
            <w:r>
              <w:rPr>
                <w:rFonts w:hint="eastAsia" w:ascii="宋体" w:hAnsi="宋体" w:cs="宋体"/>
                <w:color w:val="000000"/>
              </w:rPr>
              <w:t xml:space="preserve">▲</w:t>
            </w:r>
            <w:r>
              <w:rPr>
                <w:rFonts w:hint="eastAsia" w:ascii="宋体" w:hAnsi="宋体"/>
              </w:rPr>
              <w:t xml:space="preserve">可信存证平台</w:t>
            </w:r>
            <w:r/>
          </w:p>
        </w:tc>
        <w:tc>
          <w:tcPr>
            <w:tcW w:w="5917" w:type="dxa"/>
            <w:vAlign w:val="center"/>
            <w:textDirection w:val="lrTb"/>
            <w:noWrap w:val="false"/>
          </w:tcPr>
          <w:p>
            <w:pPr>
              <w:widowControl/>
            </w:pPr>
            <w:r>
              <w:rPr>
                <w:rFonts w:hint="eastAsia"/>
              </w:rPr>
              <w:t xml:space="preserve">1.本次要求产品纯软交付，交付1个Baa</w:t>
            </w:r>
            <w:r>
              <w:t xml:space="preserve">S</w:t>
            </w:r>
            <w:r>
              <w:rPr>
                <w:rFonts w:hint="eastAsia"/>
              </w:rPr>
              <w:t xml:space="preserve">平台和2个节点软件。</w:t>
            </w:r>
            <w:r/>
          </w:p>
          <w:p>
            <w:pPr>
              <w:widowControl/>
              <w:rPr>
                <w:rFonts w:cs="宋体"/>
              </w:rPr>
            </w:pPr>
            <w:r>
              <w:rPr>
                <w:rFonts w:hint="eastAsia" w:cs="宋体"/>
              </w:rPr>
              <w:t xml:space="preserve">2.建链部署：支持通过配置链参数和网络参数来创建联盟链，并实现节点的快速安装与部署。同时提供</w:t>
            </w:r>
            <w:r>
              <w:rPr>
                <w:rFonts w:hint="eastAsia" w:cs="宋体"/>
                <w:color w:val="000000"/>
              </w:rPr>
              <w:t xml:space="preserve">链配置能力，包括自定义共识机制、设定区块出块时间间隔、链上事务提案审核机制的分类配置以及选择是否启用通证功能。</w:t>
            </w:r>
            <w:r/>
          </w:p>
          <w:p>
            <w:pPr>
              <w:widowControl/>
            </w:pPr>
            <w:r>
              <w:rPr>
                <w:rFonts w:hint="eastAsia"/>
              </w:rPr>
              <w:t xml:space="preserve">3.合约全生命周期管理：支持对合约的部署、调用、升级、冻结、解冻、吊销的全生命周期管理功能；支持跨合约调用能力，支持合约部署多方确认能力。</w:t>
            </w:r>
            <w:r/>
          </w:p>
          <w:p>
            <w:pPr>
              <w:widowControl/>
            </w:pPr>
            <w:r>
              <w:rPr>
                <w:rFonts w:hint="eastAsia"/>
              </w:rPr>
              <w:t xml:space="preserve">4.合约共识治理：支持合约权限管理和治理，通过邀请链上成员加入合约管理组对合约全生命周期（权限）进行共识治理，支持两类合约管理模式（黑白名单）、多种投票策略对合约进行管理；同时支持将合约共享至合约仓库。</w:t>
            </w:r>
            <w:r/>
          </w:p>
          <w:p>
            <w:pPr>
              <w:widowControl/>
              <w:rPr>
                <w:color w:val="000000"/>
              </w:rPr>
            </w:pPr>
            <w:r>
              <w:rPr>
                <w:rFonts w:hint="eastAsia"/>
              </w:rPr>
              <w:t xml:space="preserve">5.</w:t>
            </w:r>
            <w:r>
              <w:rPr>
                <w:rFonts w:hint="eastAsia"/>
                <w:color w:val="000000"/>
              </w:rPr>
              <w:t xml:space="preserve">结构化数据存证与溯源：提供预置存证溯源合约，</w:t>
            </w:r>
            <w:r>
              <w:rPr>
                <w:rFonts w:hint="eastAsia"/>
                <w:color w:val="000000"/>
                <w:lang w:eastAsia="zh-Hans"/>
              </w:rPr>
              <w:t xml:space="preserve">只需定义数据结构协议绑定业务，即可调用存证溯源接口实现数据自动上链。</w:t>
            </w:r>
            <w:r/>
          </w:p>
          <w:p>
            <w:pPr>
              <w:widowControl/>
              <w:rPr>
                <w:color w:val="ff0000"/>
                <w:highlight w:val="yellow"/>
              </w:rPr>
            </w:pPr>
            <w:r>
              <w:rPr>
                <w:rFonts w:hint="eastAsia"/>
              </w:rPr>
              <w:t xml:space="preserve">6.数据访问权限管控：基于代理重加密技术，可在创建业务后创建业务白名单，被邀请入白名单的账号可以查看业务存证数据，以此限制业务存证数据的可见权限。</w:t>
            </w:r>
            <w:r/>
          </w:p>
          <w:p>
            <w:pPr>
              <w:widowControl/>
            </w:pPr>
            <w:r>
              <w:rPr>
                <w:rFonts w:hint="eastAsia"/>
              </w:rPr>
              <w:t xml:space="preserve">7.业务共享：创建业务时可将已创建业务共享给链上账号使用，被共享账号可以在业务监控中查阅使用本业务上链数据，统一业务存证格式。</w:t>
            </w:r>
            <w:r/>
          </w:p>
        </w:tc>
        <w:tc>
          <w:tcPr>
            <w:tcW w:w="960" w:type="dxa"/>
            <w:vAlign w:val="center"/>
            <w:textDirection w:val="lrTb"/>
            <w:noWrap w:val="false"/>
          </w:tcPr>
          <w:p>
            <w:pPr>
              <w:jc w:val="center"/>
              <w:rPr>
                <w:rFonts w:hint="eastAsia" w:ascii="宋体" w:hAnsi="宋体"/>
              </w:rPr>
            </w:pPr>
            <w:r>
              <w:rPr>
                <w:rFonts w:hint="eastAsia" w:ascii="宋体" w:hAnsi="宋体"/>
              </w:rPr>
              <w:t xml:space="preserve">1套</w:t>
            </w:r>
            <w:r/>
          </w:p>
        </w:tc>
      </w:tr>
      <w:tr>
        <w:trPr/>
        <w:tc>
          <w:tcPr>
            <w:tcW w:w="2263" w:type="dxa"/>
            <w:vAlign w:val="center"/>
            <w:textDirection w:val="lrTb"/>
            <w:noWrap w:val="false"/>
          </w:tcPr>
          <w:p>
            <w:pPr>
              <w:jc w:val="center"/>
              <w:rPr>
                <w:rFonts w:hint="eastAsia" w:ascii="宋体" w:hAnsi="宋体"/>
              </w:rPr>
            </w:pPr>
            <w:r>
              <w:rPr>
                <w:rFonts w:hint="eastAsia" w:ascii="宋体" w:hAnsi="宋体"/>
              </w:rPr>
              <w:t xml:space="preserve">节点软件</w:t>
            </w:r>
            <w:r/>
          </w:p>
        </w:tc>
        <w:tc>
          <w:tcPr>
            <w:tcW w:w="5917" w:type="dxa"/>
            <w:textDirection w:val="lrTb"/>
            <w:noWrap w:val="false"/>
          </w:tcPr>
          <w:p>
            <w:pPr>
              <w:widowControl/>
              <w:rPr>
                <w:rFonts w:hint="eastAsia" w:ascii="宋体" w:hAnsi="宋体"/>
              </w:rPr>
            </w:pPr>
            <w:r>
              <w:rPr>
                <w:rFonts w:hint="eastAsia" w:ascii="宋体" w:hAnsi="宋体"/>
              </w:rPr>
              <w:t xml:space="preserve">1.节点软件能够支持大规模P2P组网，能够满足1</w:t>
            </w:r>
            <w:r>
              <w:rPr>
                <w:rFonts w:ascii="宋体" w:hAnsi="宋体"/>
              </w:rPr>
              <w:t xml:space="preserve">28</w:t>
            </w:r>
            <w:r>
              <w:rPr>
                <w:rFonts w:hint="eastAsia" w:ascii="宋体" w:hAnsi="宋体"/>
              </w:rPr>
              <w:t xml:space="preserve">个以上主干节点（共识节点、见证节点）进行组网。</w:t>
            </w:r>
            <w:r/>
          </w:p>
          <w:p>
            <w:pPr>
              <w:widowControl/>
              <w:rPr>
                <w:rFonts w:hint="eastAsia" w:ascii="宋体" w:hAnsi="宋体"/>
              </w:rPr>
            </w:pPr>
            <w:r>
              <w:rPr>
                <w:rFonts w:hint="eastAsia" w:ascii="宋体" w:hAnsi="宋体"/>
              </w:rPr>
              <w:t xml:space="preserve">2.支持节点间连接的基本功能，包括验证机制、心跳维护、网络状态评估，保障节点间通信稳定可靠性。</w:t>
            </w:r>
            <w:r/>
          </w:p>
          <w:p>
            <w:pPr>
              <w:widowControl/>
              <w:rPr>
                <w:rFonts w:hint="eastAsia" w:ascii="宋体" w:hAnsi="宋体"/>
              </w:rPr>
            </w:pPr>
            <w:r>
              <w:rPr>
                <w:rFonts w:hint="eastAsia" w:ascii="宋体" w:hAnsi="宋体"/>
              </w:rPr>
              <w:t xml:space="preserve">3.</w:t>
            </w:r>
            <w:r>
              <w:rPr>
                <w:rFonts w:hint="eastAsia"/>
              </w:rPr>
              <w:t xml:space="preserve">提供节点身份以及用户身份管理等功能，提供身份区块、身份链、账户链身份修改、账户链私钥更换。</w:t>
            </w:r>
            <w:r/>
          </w:p>
          <w:p>
            <w:pPr>
              <w:widowControl/>
              <w:rPr>
                <w:rFonts w:hint="eastAsia" w:ascii="宋体" w:hAnsi="宋体"/>
              </w:rPr>
            </w:pPr>
            <w:r>
              <w:rPr>
                <w:rFonts w:hint="eastAsia" w:ascii="宋体" w:hAnsi="宋体"/>
              </w:rPr>
              <w:t xml:space="preserve">4.节点软件底层支持账户链区块、守护链区块及其对应的链接模式，提供符合DAG结构的区块链模型，支持基于DAG结构划分多条不同属性不同结构的链。</w:t>
            </w:r>
            <w:r/>
          </w:p>
          <w:p>
            <w:pPr>
              <w:widowControl/>
              <w:rPr>
                <w:b/>
                <w:bCs/>
                <w:color w:val="000000"/>
              </w:rPr>
            </w:pPr>
            <w:r>
              <w:rPr>
                <w:rFonts w:hint="eastAsia"/>
                <w:color w:val="000000"/>
              </w:rPr>
              <w:t xml:space="preserve">5.提供通道管理能力，包括通道的创建、加入、停止、启动等功能，支持用户创建测试链，用于业务上链对接调试。</w:t>
            </w:r>
            <w:r/>
          </w:p>
        </w:tc>
        <w:tc>
          <w:tcPr>
            <w:tcW w:w="960" w:type="dxa"/>
            <w:vAlign w:val="center"/>
            <w:textDirection w:val="lrTb"/>
            <w:noWrap w:val="false"/>
          </w:tcPr>
          <w:p>
            <w:pPr>
              <w:jc w:val="center"/>
              <w:rPr>
                <w:rFonts w:hint="eastAsia" w:ascii="宋体" w:hAnsi="宋体"/>
              </w:rPr>
            </w:pPr>
            <w:r>
              <w:rPr>
                <w:rFonts w:hint="eastAsia" w:ascii="宋体" w:hAnsi="宋体"/>
              </w:rPr>
              <w:t xml:space="preserve">2个</w:t>
            </w:r>
            <w:r/>
          </w:p>
        </w:tc>
      </w:tr>
      <w:tr>
        <w:trPr/>
        <w:tc>
          <w:tcPr>
            <w:gridSpan w:val="3"/>
            <w:tcW w:w="9140" w:type="dxa"/>
            <w:vAlign w:val="center"/>
            <w:textDirection w:val="lrTb"/>
            <w:noWrap w:val="false"/>
          </w:tcPr>
          <w:p>
            <w:pPr>
              <w:rPr>
                <w:rFonts w:hint="eastAsia" w:ascii="宋体" w:hAnsi="宋体"/>
              </w:rPr>
            </w:pPr>
            <w:r>
              <w:rPr>
                <w:rFonts w:hint="eastAsia"/>
              </w:rPr>
              <w:t xml:space="preserve">提供不少于3年原厂质保和软件升级服务。（投标人提供承诺函并加盖公章）</w:t>
            </w:r>
            <w:r/>
          </w:p>
        </w:tc>
      </w:tr>
    </w:tbl>
    <w:p>
      <w:pPr>
        <w:pStyle w:val="950"/>
        <w:ind w:left="425"/>
        <w:rPr>
          <w:rFonts w:hint="eastAsia" w:ascii="宋体" w:hAnsi="宋体"/>
          <w:sz w:val="24"/>
          <w:szCs w:val="24"/>
        </w:rPr>
      </w:pPr>
      <w:r>
        <w:rPr>
          <w:rFonts w:hint="eastAsia" w:ascii="宋体" w:hAnsi="宋体"/>
          <w:sz w:val="24"/>
          <w:szCs w:val="24"/>
        </w:rPr>
      </w:r>
      <w:r/>
    </w:p>
    <w:p>
      <w:pPr>
        <w:pStyle w:val="865"/>
        <w:ind w:firstLine="482"/>
        <w:rPr>
          <w:rFonts w:hint="eastAsia" w:ascii="宋体" w:hAnsi="宋体" w:eastAsia="宋体"/>
          <w:sz w:val="24"/>
          <w:szCs w:val="24"/>
        </w:rPr>
      </w:pPr>
      <w:r>
        <w:rPr>
          <w:rFonts w:hint="eastAsia" w:ascii="宋体" w:hAnsi="宋体" w:eastAsia="宋体"/>
          <w:sz w:val="24"/>
          <w:szCs w:val="24"/>
        </w:rPr>
        <w:t xml:space="preserve">1.2.3 标准规范编制</w:t>
      </w:r>
      <w:r/>
    </w:p>
    <w:p>
      <w:pPr>
        <w:ind w:firstLine="480"/>
        <w:spacing w:line="400" w:lineRule="exact"/>
        <w:rPr>
          <w:rFonts w:hint="eastAsia" w:ascii="宋体" w:hAnsi="宋体"/>
          <w:sz w:val="24"/>
          <w:szCs w:val="24"/>
        </w:rPr>
      </w:pPr>
      <w:r>
        <w:rPr>
          <w:rFonts w:hint="eastAsia" w:ascii="宋体" w:hAnsi="宋体" w:cs="宋体"/>
          <w:sz w:val="24"/>
          <w:szCs w:val="24"/>
        </w:rPr>
        <w:t xml:space="preserve">根据国家和我省电子政务标准的总体框架，建立健全江苏省智慧粮储云平台标准体系，包括总体、技术类、业务与服务类、管理类等标准规范建设，</w:t>
      </w:r>
      <w:r>
        <w:rPr>
          <w:rFonts w:hint="eastAsia" w:ascii="宋体" w:hAnsi="宋体"/>
          <w:sz w:val="24"/>
          <w:szCs w:val="24"/>
        </w:rPr>
        <w:t xml:space="preserve">具体编制要求如下：</w:t>
      </w:r>
      <w:bookmarkEnd w:id="196"/>
      <w:r/>
      <w:bookmarkEnd w:id="197"/>
      <w:r/>
      <w:bookmarkEnd w:id="198"/>
      <w:r/>
      <w:r/>
    </w:p>
    <w:tbl>
      <w:tblPr>
        <w:tblStyle w:val="870"/>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6101"/>
        <w:gridCol w:w="1314"/>
      </w:tblGrid>
      <w:tr>
        <w:trPr>
          <w:jc w:val="center"/>
          <w:tblHeader/>
        </w:trPr>
        <w:tc>
          <w:tcPr>
            <w:shd w:val="clear" w:color="auto" w:fill="d7d7d7"/>
            <w:tcW w:w="947" w:type="pct"/>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lang w:bidi="ar"/>
              </w:rPr>
              <w:t xml:space="preserve">标准规范类型</w:t>
            </w:r>
            <w:r/>
          </w:p>
        </w:tc>
        <w:tc>
          <w:tcPr>
            <w:shd w:val="clear" w:color="auto" w:fill="d7d7d7"/>
            <w:tcW w:w="3335" w:type="pct"/>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lang w:bidi="ar"/>
              </w:rPr>
              <w:t xml:space="preserve">标准规范名称</w:t>
            </w:r>
            <w:r/>
          </w:p>
        </w:tc>
        <w:tc>
          <w:tcPr>
            <w:shd w:val="clear" w:color="auto" w:fill="d7d7d7"/>
            <w:tcW w:w="718" w:type="pct"/>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lang w:bidi="ar"/>
              </w:rPr>
              <w:t xml:space="preserve">备注</w:t>
            </w:r>
            <w:r/>
          </w:p>
        </w:tc>
      </w:tr>
      <w:tr>
        <w:trPr>
          <w:jc w:val="center"/>
        </w:trPr>
        <w:tc>
          <w:tcPr>
            <w:tcW w:w="947" w:type="pct"/>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总体标准</w:t>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标准化总则</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标准化实施细则</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业务名词术语规范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业务标准</w:t>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应急指挥调度业务规范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储备粮管理业务规范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安全生产监督检查管理业务规范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项目建设管理业务规范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行政检查和执法业务规范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粮储企业信用管理业务规范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地方储备粮动态监管业务规范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应急物资储备管理业务规范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数据标准</w:t>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江苏省级应急物资储备管理云平台物资分类与编码规范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江苏省级应急物资储备管理云平台基础库标准规范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江苏智慧粮储云平台业务数据规范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江苏智慧粮储云平台综合业务报表规范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江苏智慧粮储云平台决策分析数据指标规范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江苏智慧粮储云平台基础数据规范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江苏智慧粮储云平台数据共享交换规范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江苏智慧粮储云平台数据采集治理规范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技术标准</w:t>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江苏省级应急物资储备管理云平台数据服务标准规范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江苏省级应急物资储备管理云平台技术支撑标准规范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江苏省级应急物资储备管理云平台应用接口规范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江苏省级应急物资储备管理云平台统一接入认证规范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江苏省级应急物资储备管理云平台单点登录规范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江苏省级应急物资储备管理云平台权限管理规范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江苏智慧粮储云平台总体框架</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江苏智慧粮储云平台统一接入认证规范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江苏智慧粮储云平台单点登录规范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江苏智慧粮储云平台工作门户对接规范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江苏智慧粮储云平台系统界面设计规范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运维管理标准</w:t>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江苏省级应急物资储备管理云平台管理标准规范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江苏智慧粮储云平台运维规范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江苏智慧粮储云平台智能中枢运行管理规范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江苏智慧粮储云平台系统安全运维管理规范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项目文档管理规范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直接引用</w:t>
            </w:r>
            <w:r/>
          </w:p>
        </w:tc>
      </w:tr>
      <w:tr>
        <w:trPr>
          <w:jc w:val="center"/>
        </w:trPr>
        <w:tc>
          <w:tcPr>
            <w:tcW w:w="947" w:type="pct"/>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网络安全</w:t>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江苏智慧粮储云平台数据安全规范</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r>
        <w:trPr>
          <w:jc w:val="center"/>
        </w:trPr>
        <w:tc>
          <w:tcPr>
            <w:tcW w:w="947" w:type="pct"/>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3335"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江苏智慧粮储云平台网络安全保障要求</w:t>
            </w:r>
            <w:r/>
          </w:p>
        </w:tc>
        <w:tc>
          <w:tcPr>
            <w:tcW w:w="718" w:type="pct"/>
            <w:vAlign w:val="center"/>
            <w:textDirection w:val="lrTb"/>
            <w:noWrap w:val="false"/>
          </w:tcPr>
          <w:p>
            <w:pPr>
              <w:jc w:val="center"/>
              <w:spacing w:line="360" w:lineRule="auto"/>
              <w:widowControl/>
              <w:rPr>
                <w:rFonts w:hint="eastAsia" w:ascii="宋体" w:hAnsi="宋体" w:cs="宋体"/>
              </w:rPr>
            </w:pPr>
            <w:r>
              <w:rPr>
                <w:rFonts w:hint="eastAsia" w:ascii="宋体" w:hAnsi="宋体" w:cs="宋体"/>
                <w:lang w:bidi="ar"/>
              </w:rPr>
              <w:t xml:space="preserve">编制</w:t>
            </w:r>
            <w:r/>
          </w:p>
        </w:tc>
      </w:tr>
    </w:tbl>
    <w:p>
      <w:pPr>
        <w:ind w:firstLine="480"/>
        <w:spacing w:line="400" w:lineRule="exact"/>
        <w:rPr>
          <w:rFonts w:hint="eastAsia" w:ascii="宋体" w:hAnsi="宋体" w:cs="宋体"/>
          <w:sz w:val="24"/>
          <w:szCs w:val="24"/>
        </w:rPr>
      </w:pPr>
      <w:r>
        <w:rPr>
          <w:rFonts w:hint="eastAsia" w:ascii="宋体" w:hAnsi="宋体" w:cs="宋体"/>
          <w:sz w:val="24"/>
          <w:szCs w:val="24"/>
        </w:rPr>
      </w:r>
      <w:r/>
    </w:p>
    <w:p>
      <w:pPr>
        <w:pStyle w:val="972"/>
        <w:ind w:firstLine="498"/>
        <w:spacing w:before="145" w:after="145" w:line="360" w:lineRule="auto"/>
      </w:pPr>
      <w:r>
        <w:rPr>
          <w:rFonts w:hint="eastAsia"/>
        </w:rPr>
        <w:t xml:space="preserve">五、技术方案要求</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1.项目理解</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人应提供现项目理解，包括但不限于对本项目的建设背景、建设目标、基础现状、业务现状、存在问题、用户需求、业务需求、功能需求、性能需求和政务云资源需求等进行阐述。要求方案结构清晰，描述准确、全面、完整，内容科学合理和有针对性。</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2.总体设计方案</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投标人应提供总体设计方案，包括但不限于总体逻辑架构、业务架构、部署架构、安全架构和技术架构等。要求方案结构清晰，描述准确、全面、完整，内容科学合理和有针对性。</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3.分项设计方案</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人应提供分项设计方案，包括但不限于统一交互展示入口、应急调度指挥中心、粮食管理、物资储备管理、监督执法检查、行业公共服务、智能中枢、统一运维平台等内容。要求方案结构清晰，描述准确、全面、完整，内容科学合理和有针对性。</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4.系统对接方案</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人应提供项目系统对接方案，包括但不限于与国家粮食信用信息管理平台、省政务服务网统一身份认证、省电子证照系统、“苏服办”APP等系统的对接。要求方案结构清晰，描述准确、全面、完整，内容科学合理和有针对性。</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5.技术服务方案</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人应提供技术服务方案，包括但不限于购销监管、质量监管、库存监管等场景的人工智能技术服务方案，同时提供针对数据治理国产化改造、专题库分析、数据资源目录梳理、数据互联互通等方面的数据治理服务方案。要求方案结构清晰，描述准确、全面、完整，内容科学合理和有针对性。</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6.实施管理方案</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人应提供项目实施管理方案，包括但不限于项目目标和范围、组织结构和人员分配、时间计划和进度安排、项目质量管理、项目风险管理等内容。要求方案结构清晰，描述准确、全面、完整，内容科学合理和有针对性。</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7.售后服务方案</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投标人应提供培训售后服务方案，包括但不限于售后服务机构、本地化服务团队、人员服务方式、故障响应处置措施等，保障系统稳定运行。要求方案结构清晰，描述准确、全面、完整，内容科学合理有针对性。</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8.项目培训服务方案</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投标人应提供培训服务方案，要求培训课程安排和计划全面合理，培训流程及内容具体。要求方案结构清晰，描述准确、全面、完整，内容科学合理有针对性。</w:t>
      </w:r>
      <w:r/>
    </w:p>
    <w:p>
      <w:pPr>
        <w:pStyle w:val="972"/>
        <w:ind w:firstLine="498"/>
        <w:spacing w:before="145" w:after="145" w:line="360" w:lineRule="auto"/>
      </w:pPr>
      <w:r>
        <w:rPr>
          <w:rFonts w:hint="eastAsia"/>
        </w:rPr>
        <w:t xml:space="preserve">六、商务要求</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商务要求是指取得采购标的的时间、地点、财务和服务要求，包括交付（实施）的时间（期限）和地点（范围），付款条件（进度和方法），包装和运输，售后服务，保险等。</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（1）交付期：</w:t>
      </w:r>
      <w:bookmarkStart w:id="199" w:name="_Hlk194266427"/>
      <w:r>
        <w:rPr>
          <w:rFonts w:hint="eastAsia" w:ascii="宋体" w:hAnsi="宋体" w:eastAsia="宋体" w:cs="Times New Roman"/>
          <w:sz w:val="24"/>
          <w:lang w:val="en-US" w:eastAsia="zh-CN"/>
        </w:rPr>
        <w:t xml:space="preserve">自合同签订之日起，12个月内完成所有合同标的开发、部署安装、集成及调试工作。质保期：免费提供不少于3年质保（自通过甲方终验合格后起）</w:t>
      </w:r>
      <w:bookmarkEnd w:id="199"/>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（2）试运行期：</w:t>
      </w:r>
      <w:bookmarkStart w:id="200" w:name="_Hlk194266442"/>
      <w:r>
        <w:rPr>
          <w:rFonts w:hint="eastAsia" w:ascii="宋体" w:hAnsi="宋体" w:eastAsia="宋体" w:cs="Times New Roman"/>
          <w:sz w:val="24"/>
          <w:lang w:val="en-US" w:eastAsia="zh-CN"/>
        </w:rPr>
        <w:t xml:space="preserve">试运行60日后进行项目初步验收。</w:t>
      </w:r>
      <w:bookmarkEnd w:id="200"/>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（3）交付方式：产品和服务现场交付，并提交相关交付物。</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（4）交付地点：采购人指定地点。</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（5）款项支付：</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合同签订后，甲方在收到乙方符合要求的财务发票30个工作日内，预付合同金额的30%；交付物上线试用后，甲方在收到乙方符合要求的财务发票30个工作日内，支付合同额20%；项目甲方初验合格后，甲方在收到乙方符合要求的财务发票30个工作日内，支付合同额40%；项目通过主管部门组织的验收后，支付甲方在收到乙方符合要求的财务发票30个工作日内，支付合同额10%。</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（6）备品备件及耗材等要求：</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满足本项目产品的安装、调试、集成、质保、运维等需求。</w:t>
      </w:r>
      <w:r/>
    </w:p>
    <w:p>
      <w:pPr>
        <w:pStyle w:val="972"/>
        <w:ind w:firstLine="498"/>
        <w:spacing w:before="145" w:after="145"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七、演示内容及要求</w:t>
      </w:r>
      <w:r/>
    </w:p>
    <w:p>
      <w:pPr>
        <w:ind w:firstLine="480"/>
        <w:spacing w:line="0" w:lineRule="atLeast"/>
        <w:rPr>
          <w:rFonts w:hint="eastAsia" w:eastAsia="宋体"/>
          <w:sz w:val="24"/>
          <w:lang w:eastAsia="zh-CN"/>
        </w:rPr>
      </w:pPr>
      <w:r>
        <w:rPr>
          <w:rFonts w:hint="eastAsia" w:ascii="宋体" w:hAnsi="宋体"/>
          <w:sz w:val="24"/>
        </w:rPr>
        <w:t xml:space="preserve">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lang w:eastAsia="zh-CN"/>
        </w:rPr>
        <w:t xml:space="preserve">。</w:t>
      </w:r>
      <w:r>
        <w:rPr>
          <w:rFonts w:hint="eastAsia" w:ascii="宋体" w:hAnsi="宋体"/>
          <w:sz w:val="24"/>
        </w:rPr>
        <w:t xml:space="preserve">演示内容如下：</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（一）粮食与物资应用系统演示内容：</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1.演示应急调度指挥中心功能，基于GIS地图技术演示储备展示一张图、决策分析一张图、指挥调度一张图等，具体功能要求如下：</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①演示储备展示一张图功能，粮食储备包括但不限于储备规模、品种、等级、年份、性质等多维度统计数据，支持按照区域、公司、库点等多层级维度逐层穿透下钻展示；物资储备包括但不限于储备规模、储备用途、储备形式等多维度统计数据，支持按照区域、存储点等多层级维度逐层穿透下钻展示；</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②演示决策分析一张图功能，包括但不限于粮食收储能力、应急保供能力、仓储保管能力、物资收储能力、物资储备布局等多维度统计分析，支持对承储单位、应急供应网点、加工企业、储运企业、配送中心查看分布情况；</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③演示指挥调度一张图功能，包括应急事件展示、应急调拨、调拨单跟踪、资源分布等功能，支持展示应急调拨方案、调拨指令与物流信息、调拨追踪单；</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2.演示项目建设管理功能模块，包括但不限于项目建设全流程导图，具有项目申请、审批、立项建设、督办提醒、关键节点验收、验收后评价等功能；</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演示安全生产智能分析与预警功能模块，可查看各类预警事件（例如仓内粮面异动、仓门异动打开、未佩戴安全帽、抽烟、人员倒地检测、非法入侵等），预警事件应包含预警粮库、发现时间、预警类型、发现位置、事件视频、事件图片等信息，可对未处置状态的预警事件进行在线处置。</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（二）智能中枢演示内容：</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1.演示大数据资源中心的数据治理能力，包括但不限于主数据管理、元数据管理、数据推送、数据标准、数据标签、数据血缘、数据质量、数据预警等功能；</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2.演示AI大模型接入能力，支持接入主流国产大模型（如 DeepSeek、通义千问Qwen、Kimi等）；</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3.演示AI智能应用能力，支持构建专属知识库，支持提供知识问答、智能工作流、智能体开发等功能。</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（三）统一运维平台演示内容：</w:t>
      </w:r>
      <w:r/>
    </w:p>
    <w:p>
      <w:pPr>
        <w:ind w:firstLine="480"/>
        <w:spacing w:line="0" w:lineRule="atLeas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1.演示事件中心功能，支持创建事件流程，并对其进行自定义配置；支持以日历形式查看当前登录用户每日提交和处理的任务数量；</w:t>
      </w:r>
      <w:r/>
    </w:p>
    <w:p>
      <w:pPr>
        <w:ind w:firstLine="480"/>
        <w:spacing w:line="0" w:lineRule="atLeast"/>
        <w:rPr>
          <w:rFonts w:hint="eastAsia" w:ascii="宋体" w:hAnsi="宋体"/>
          <w:sz w:val="24"/>
        </w:rPr>
      </w:pPr>
      <w:r>
        <w:rPr>
          <w:rFonts w:hint="eastAsia" w:ascii="宋体" w:hAnsi="宋体" w:eastAsia="宋体" w:cs="Times New Roman"/>
          <w:sz w:val="24"/>
          <w:lang w:val="en-US" w:eastAsia="zh-CN"/>
        </w:rPr>
        <w:t xml:space="preserve">2.演示应用使用分析功能，包括实时统计应用的启动次数、页面浏览量(PV)和用户访问量(UV)，分析不同时间段(如日、周、月)内的应用使用趋势。</w:t>
      </w:r>
      <w:r>
        <w:rPr>
          <w:sz w:val="24"/>
        </w:rPr>
        <w:br w:type="page" w:clear="all"/>
      </w:r>
      <w:r/>
    </w:p>
    <w:p>
      <w:r/>
      <w:bookmarkStart w:id="201" w:name="_Toc120614281"/>
      <w:r/>
      <w:r/>
    </w:p>
    <w:p>
      <w:pPr>
        <w:rPr>
          <w:rFonts w:hint="eastAsia"/>
        </w:rPr>
      </w:pPr>
      <w:r>
        <w:rPr>
          <w:rFonts w:hint="eastAsia"/>
        </w:rPr>
      </w:r>
      <w:r/>
    </w:p>
    <w:p>
      <w:pPr>
        <w:pStyle w:val="86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4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45"/>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45"/>
        <w:spacing w:line="0" w:lineRule="atLeast"/>
        <w:rPr>
          <w:rFonts w:hint="eastAsia" w:ascii="宋体" w:hAnsi="宋体"/>
        </w:rPr>
      </w:pPr>
      <w:r>
        <w:rPr>
          <w:rFonts w:hint="eastAsia" w:ascii="宋体" w:hAnsi="宋体"/>
        </w:rPr>
        <w:t xml:space="preserve">1、小微型企业价格扣除</w:t>
      </w:r>
      <w:r/>
    </w:p>
    <w:p>
      <w:pPr>
        <w:pStyle w:val="94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45"/>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45"/>
        <w:spacing w:line="0" w:lineRule="atLeast"/>
        <w:rPr>
          <w:rFonts w:hint="eastAsia" w:ascii="宋体" w:hAnsi="宋体"/>
        </w:rPr>
      </w:pPr>
      <w:r>
        <w:rPr>
          <w:rFonts w:hint="eastAsia" w:ascii="宋体" w:hAnsi="宋体"/>
        </w:rPr>
        <w:t xml:space="preserve">2、残疾人福利单位价格扣除</w:t>
      </w:r>
      <w:r/>
    </w:p>
    <w:p>
      <w:pPr>
        <w:pStyle w:val="94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4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45"/>
        <w:spacing w:line="0" w:lineRule="atLeast"/>
        <w:rPr>
          <w:rFonts w:hint="eastAsia" w:ascii="宋体" w:hAnsi="宋体"/>
        </w:rPr>
      </w:pPr>
      <w:r>
        <w:rPr>
          <w:rFonts w:hint="eastAsia" w:ascii="宋体" w:hAnsi="宋体"/>
        </w:rPr>
        <w:t xml:space="preserve">3、监狱和戒毒企业价格扣除</w:t>
      </w:r>
      <w:r/>
    </w:p>
    <w:p>
      <w:pPr>
        <w:pStyle w:val="94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4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4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45"/>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4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45"/>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903"/>
        <w:tblW w:w="893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1501"/>
        <w:gridCol w:w="4733"/>
        <w:gridCol w:w="666"/>
      </w:tblGrid>
      <w:tr>
        <w:trPr>
          <w:trHeight w:val="0"/>
          <w:tblHeader/>
        </w:trPr>
        <w:tc>
          <w:tcPr>
            <w:gridSpan w:val="2"/>
            <w:tcW w:w="271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评分项</w:t>
            </w:r>
            <w:r/>
          </w:p>
        </w:tc>
        <w:tc>
          <w:tcPr>
            <w:tcW w:w="4733" w:type="dxa"/>
            <w:vAlign w:val="center"/>
            <w:textDirection w:val="lrTb"/>
            <w:noWrap w:val="false"/>
          </w:tcPr>
          <w:p>
            <w:pPr>
              <w:jc w:val="left"/>
              <w:rPr>
                <w:rFonts w:hint="eastAsia" w:ascii="宋体" w:hAnsi="宋体" w:cs="宋体"/>
                <w:b/>
                <w:bCs/>
              </w:rPr>
            </w:pPr>
            <w:r>
              <w:rPr>
                <w:rFonts w:hint="eastAsia" w:ascii="宋体" w:hAnsi="宋体" w:cs="宋体"/>
                <w:b/>
                <w:bCs/>
              </w:rPr>
              <w:t xml:space="preserve">评分标准</w:t>
            </w:r>
            <w:r/>
          </w:p>
        </w:tc>
        <w:tc>
          <w:tcPr>
            <w:tcW w:w="666"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分值</w:t>
            </w:r>
            <w:r/>
          </w:p>
        </w:tc>
      </w:tr>
      <w:tr>
        <w:trPr>
          <w:trHeight w:val="0"/>
        </w:trPr>
        <w:tc>
          <w:tcPr>
            <w:tcW w:w="1218"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价格部分（10分）</w:t>
            </w:r>
            <w:r/>
          </w:p>
        </w:tc>
        <w:tc>
          <w:tcPr>
            <w:tcW w:w="1501"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1.1价格分（10分）</w:t>
            </w:r>
            <w:r/>
          </w:p>
        </w:tc>
        <w:tc>
          <w:tcPr>
            <w:tcW w:w="4733" w:type="dxa"/>
            <w:vAlign w:val="center"/>
            <w:textDirection w:val="lrTb"/>
            <w:noWrap w:val="false"/>
          </w:tcPr>
          <w:p>
            <w:pPr>
              <w:pStyle w:val="875"/>
              <w:spacing w:before="60" w:after="60"/>
              <w:rPr>
                <w:rFonts w:hint="eastAsia" w:ascii="宋体" w:hAnsi="宋体" w:eastAsia="宋体" w:cs="宋体"/>
                <w:color w:val="000000"/>
                <w:sz w:val="22"/>
                <w:szCs w:val="22"/>
                <w:lang w:bidi="ar"/>
              </w:rPr>
            </w:pPr>
            <w:r>
              <w:rPr>
                <w:rFonts w:hint="eastAsia" w:ascii="宋体" w:hAnsi="宋体" w:cs="宋体"/>
                <w:szCs w:val="21"/>
              </w:rPr>
              <w:t xml:space="preserve">价格分采用低价优先法计算，即满足采购文件要求且报价最低的投标人报价为评标基准价，其价格分为满分10分，其他投标人的价格分统一按照以下公式计算：投标报价得分=（评标基准价/该投标人的投标报价）×10分。分值保留小数点后2位。</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10</w:t>
            </w:r>
            <w:r/>
          </w:p>
        </w:tc>
      </w:tr>
      <w:tr>
        <w:trPr>
          <w:trHeight w:val="0"/>
        </w:trPr>
        <w:tc>
          <w:tcPr>
            <w:tcW w:w="1218" w:type="dxa"/>
            <w:vAlign w:val="center"/>
            <w:vMerge w:val="restart"/>
            <w:textDirection w:val="lrTb"/>
            <w:noWrap w:val="false"/>
          </w:tcPr>
          <w:p>
            <w:pPr>
              <w:jc w:val="center"/>
              <w:spacing w:before="60" w:after="60"/>
              <w:rPr>
                <w:rFonts w:hint="eastAsia" w:ascii="宋体" w:hAnsi="宋体" w:cs="宋体"/>
              </w:rPr>
            </w:pPr>
            <w:r>
              <w:rPr>
                <w:rFonts w:hint="eastAsia" w:ascii="宋体" w:hAnsi="宋体" w:cs="宋体"/>
              </w:rPr>
              <w:t xml:space="preserve">技术部分</w:t>
            </w:r>
            <w:r/>
          </w:p>
          <w:p>
            <w:pPr>
              <w:jc w:val="center"/>
              <w:spacing w:before="60" w:after="60"/>
              <w:rPr>
                <w:rFonts w:hint="eastAsia" w:ascii="宋体" w:hAnsi="宋体" w:cs="宋体"/>
                <w:sz w:val="22"/>
                <w:szCs w:val="22"/>
              </w:rPr>
            </w:pPr>
            <w:r>
              <w:rPr>
                <w:rFonts w:hint="eastAsia" w:ascii="宋体" w:hAnsi="宋体" w:cs="宋体"/>
              </w:rPr>
              <w:t xml:space="preserve">（50分）</w:t>
            </w:r>
            <w:r/>
          </w:p>
        </w:tc>
        <w:tc>
          <w:tcPr>
            <w:tcW w:w="1501"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2.1国产化适配能力（6分）</w:t>
            </w:r>
            <w:r/>
          </w:p>
        </w:tc>
        <w:tc>
          <w:tcPr>
            <w:tcW w:w="4733" w:type="dxa"/>
            <w:vAlign w:val="center"/>
            <w:textDirection w:val="lrTb"/>
            <w:noWrap w:val="false"/>
          </w:tcPr>
          <w:p>
            <w:pPr>
              <w:spacing w:before="60" w:after="60"/>
              <w:rPr>
                <w:rFonts w:hint="eastAsia" w:ascii="宋体" w:hAnsi="宋体" w:cs="宋体"/>
                <w:sz w:val="20"/>
              </w:rPr>
            </w:pPr>
            <w:r>
              <w:rPr>
                <w:rFonts w:hint="eastAsia" w:ascii="宋体" w:hAnsi="宋体" w:cs="宋体"/>
                <w:sz w:val="20"/>
              </w:rPr>
              <w:t xml:space="preserve">投标人应具有兼容国产化系统环境的软件开发能力与经验，能够提供软件开发平台与国产化操作系统、国产化中间件厂商、国产化数据库厂商的兼容性认证证明。每提供1个厂商的兼容性认证证明得2分，本项最高得6分。</w:t>
            </w:r>
            <w:r/>
          </w:p>
          <w:p>
            <w:pPr>
              <w:spacing w:before="60" w:after="60"/>
              <w:rPr>
                <w:rFonts w:hint="eastAsia" w:ascii="宋体" w:hAnsi="宋体" w:cs="宋体"/>
                <w:sz w:val="22"/>
                <w:szCs w:val="22"/>
              </w:rPr>
            </w:pPr>
            <w:r>
              <w:rPr>
                <w:rFonts w:hint="eastAsia" w:ascii="宋体" w:hAnsi="宋体" w:cs="宋体"/>
                <w:sz w:val="20"/>
              </w:rPr>
              <w:t xml:space="preserve">提供加盖投标人公章的兼容性认证证明材料。</w:t>
            </w:r>
            <w:r/>
          </w:p>
        </w:tc>
        <w:tc>
          <w:tcPr>
            <w:tcW w:w="666"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6</w:t>
            </w:r>
            <w:r/>
          </w:p>
        </w:tc>
      </w:tr>
      <w:tr>
        <w:trPr>
          <w:trHeight w:val="0"/>
        </w:trPr>
        <w:tc>
          <w:tcPr>
            <w:tcW w:w="1218" w:type="dxa"/>
            <w:vAlign w:val="center"/>
            <w:vMerge w:val="continue"/>
            <w:textDirection w:val="lrTb"/>
            <w:noWrap w:val="false"/>
          </w:tcPr>
          <w:p>
            <w:pPr>
              <w:jc w:val="center"/>
              <w:spacing w:before="60" w:after="60"/>
              <w:rPr>
                <w:rFonts w:hint="eastAsia" w:ascii="宋体" w:hAnsi="宋体" w:cs="宋体"/>
                <w:sz w:val="22"/>
                <w:szCs w:val="22"/>
              </w:rPr>
            </w:pPr>
            <w:r>
              <w:rPr>
                <w:rFonts w:hint="eastAsia" w:ascii="宋体" w:hAnsi="宋体" w:cs="宋体"/>
                <w:sz w:val="22"/>
                <w:szCs w:val="22"/>
              </w:rPr>
            </w:r>
            <w:r/>
          </w:p>
        </w:tc>
        <w:tc>
          <w:tcPr>
            <w:tcW w:w="1501"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2.2案例演示（10分）</w:t>
            </w:r>
            <w:r/>
          </w:p>
        </w:tc>
        <w:tc>
          <w:tcPr>
            <w:tcW w:w="4733" w:type="dxa"/>
            <w:vAlign w:val="center"/>
            <w:textDirection w:val="lrTb"/>
            <w:noWrap w:val="false"/>
          </w:tcPr>
          <w:p>
            <w:pPr>
              <w:ind w:firstLine="0"/>
              <w:jc w:val="left"/>
              <w:spacing w:before="60" w:after="60" w:line="240" w:lineRule="auto"/>
              <w:widowControl/>
            </w:pPr>
            <w:r>
              <w:rPr>
                <w:rFonts w:hint="eastAsia"/>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lang w:val="en-US" w:eastAsia="zh-CN"/>
              </w:rPr>
              <w:t xml:space="preserve">5</w:t>
            </w:r>
            <w:r>
              <w:rPr>
                <w:rFonts w:hint="eastAsia"/>
              </w:rPr>
              <w:t xml:space="preserve">分钟。</w:t>
            </w:r>
            <w:r/>
          </w:p>
          <w:p>
            <w:pPr>
              <w:ind w:firstLine="0"/>
              <w:jc w:val="left"/>
              <w:spacing w:before="60" w:after="60" w:line="240" w:lineRule="auto"/>
              <w:widowControl/>
              <w:rPr>
                <w:rFonts w:hint="eastAsia" w:ascii="宋体" w:hAnsi="宋体" w:eastAsia="宋体" w:cs="宋体"/>
                <w:sz w:val="20"/>
                <w:szCs w:val="21"/>
              </w:rPr>
            </w:pPr>
            <w:r>
              <w:rPr>
                <w:rFonts w:hint="eastAsia"/>
              </w:rPr>
              <w:t xml:space="preserve">演示内容使用真实系统或系统原型的最高可得10分，</w:t>
            </w:r>
            <w:r>
              <w:t xml:space="preserve">需提交承诺函</w:t>
            </w:r>
            <w:r>
              <w:rPr>
                <w:rFonts w:hint="eastAsia"/>
              </w:rPr>
              <w:t xml:space="preserve">加盖公章（未提供承诺函的按照其他形式演示计算得分）；使用其他形式演</w:t>
            </w:r>
            <w:r>
              <w:rPr>
                <w:rFonts w:hint="eastAsia" w:ascii="宋体" w:hAnsi="宋体" w:cs="宋体"/>
                <w:sz w:val="20"/>
              </w:rPr>
              <w:t xml:space="preserve">示的需乘以系数0.5后为最终得分；不提供演示的不得分。</w:t>
            </w:r>
            <w:r/>
          </w:p>
          <w:p>
            <w:pPr>
              <w:numPr>
                <w:ilvl w:val="-1"/>
                <w:numId w:val="0"/>
              </w:numPr>
              <w:ind w:firstLine="0"/>
              <w:keepLines w:val="0"/>
              <w:keepNext w:val="0"/>
              <w:pageBreakBefore w:val="0"/>
              <w:spacing w:before="60" w:after="60" w:line="240" w:lineRule="auto"/>
              <w:widowControl/>
              <w:rPr>
                <w:rFonts w:hint="eastAsia" w:ascii="宋体" w:hAnsi="宋体" w:eastAsia="宋体" w:cs="宋体"/>
                <w:sz w:val="20"/>
                <w:szCs w:val="21"/>
                <w:lang w:val="en-US" w:eastAsia="zh-CN"/>
              </w:rPr>
            </w:pPr>
            <w:r>
              <w:rPr>
                <w:rFonts w:hint="eastAsia" w:ascii="宋体" w:hAnsi="宋体" w:eastAsia="宋体" w:cs="宋体"/>
                <w:sz w:val="20"/>
                <w:szCs w:val="21"/>
                <w:lang w:val="en-US" w:eastAsia="zh-CN"/>
              </w:rPr>
              <w:t xml:space="preserve">（一）粮食与物资应用系统演示内容：5分</w:t>
            </w:r>
            <w:r/>
          </w:p>
          <w:p>
            <w:pPr>
              <w:numPr>
                <w:ilvl w:val="-1"/>
                <w:numId w:val="0"/>
              </w:numPr>
              <w:ind w:firstLine="0"/>
              <w:keepLines w:val="0"/>
              <w:keepNext w:val="0"/>
              <w:pageBreakBefore w:val="0"/>
              <w:spacing w:before="60" w:after="60" w:line="240" w:lineRule="auto"/>
              <w:widowControl/>
              <w:rPr>
                <w:rFonts w:hint="eastAsia" w:ascii="宋体" w:hAnsi="宋体" w:eastAsia="宋体" w:cs="宋体"/>
                <w:color w:val="auto"/>
                <w:sz w:val="20"/>
                <w:szCs w:val="21"/>
                <w:lang w:val="en-US" w:eastAsia="zh-CN"/>
              </w:rPr>
            </w:pPr>
            <w:r>
              <w:rPr>
                <w:rFonts w:hint="eastAsia" w:ascii="宋体" w:hAnsi="宋体" w:eastAsia="宋体" w:cs="宋体"/>
                <w:sz w:val="20"/>
                <w:szCs w:val="21"/>
                <w:lang w:eastAsia="zh-CN"/>
              </w:rPr>
              <w:t xml:space="preserve">1.</w:t>
            </w:r>
            <w:r>
              <w:rPr>
                <w:rFonts w:hint="eastAsia" w:ascii="宋体" w:hAnsi="宋体" w:eastAsia="宋体" w:cs="宋体"/>
                <w:sz w:val="20"/>
                <w:szCs w:val="21"/>
                <w:lang w:val="en-US" w:eastAsia="zh-CN"/>
              </w:rPr>
              <w:t xml:space="preserve">演示</w:t>
            </w:r>
            <w:r>
              <w:rPr>
                <w:rFonts w:hint="eastAsia" w:ascii="宋体" w:hAnsi="宋体" w:eastAsia="宋体" w:cs="宋体"/>
                <w:sz w:val="20"/>
                <w:szCs w:val="21"/>
                <w:lang w:eastAsia="zh-CN"/>
              </w:rPr>
              <w:t xml:space="preserve">应急调度指挥中心</w:t>
            </w:r>
            <w:r>
              <w:rPr>
                <w:rFonts w:hint="eastAsia" w:ascii="宋体" w:hAnsi="宋体" w:eastAsia="宋体" w:cs="宋体"/>
                <w:sz w:val="20"/>
                <w:szCs w:val="21"/>
                <w:lang w:val="en-US" w:eastAsia="zh-CN"/>
              </w:rPr>
              <w:t xml:space="preserve">功能，基于GIS地图技术演示</w:t>
            </w:r>
            <w:r>
              <w:rPr>
                <w:rFonts w:hint="eastAsia" w:ascii="宋体" w:hAnsi="宋体" w:eastAsia="宋体" w:cs="宋体"/>
                <w:sz w:val="20"/>
                <w:szCs w:val="21"/>
                <w:lang w:eastAsia="zh-CN"/>
              </w:rPr>
              <w:t xml:space="preserve">储备展示一张图、</w:t>
            </w:r>
            <w:r>
              <w:rPr>
                <w:rFonts w:hint="eastAsia" w:ascii="宋体" w:hAnsi="宋体" w:eastAsia="宋体" w:cs="宋体"/>
                <w:sz w:val="20"/>
                <w:szCs w:val="21"/>
                <w:lang w:val="en-US" w:eastAsia="zh-CN"/>
              </w:rPr>
              <w:t xml:space="preserve">决策分析一张图、</w:t>
            </w:r>
            <w:r>
              <w:rPr>
                <w:rFonts w:hint="eastAsia" w:ascii="宋体" w:hAnsi="宋体" w:eastAsia="宋体" w:cs="宋体"/>
                <w:sz w:val="20"/>
                <w:szCs w:val="21"/>
                <w:lang w:eastAsia="zh-CN"/>
              </w:rPr>
              <w:t xml:space="preserve">指挥调度一张图</w:t>
            </w:r>
            <w:r>
              <w:rPr>
                <w:rFonts w:hint="eastAsia" w:ascii="宋体" w:hAnsi="宋体" w:eastAsia="宋体" w:cs="宋体"/>
                <w:sz w:val="20"/>
                <w:szCs w:val="21"/>
                <w:lang w:val="en-US" w:eastAsia="zh-CN"/>
              </w:rPr>
              <w:t xml:space="preserve">等，具体功能要求如下：</w:t>
            </w:r>
            <w:r/>
          </w:p>
          <w:p>
            <w:pPr>
              <w:numPr>
                <w:ilvl w:val="0"/>
                <w:numId w:val="0"/>
              </w:numPr>
              <w:ind w:firstLine="0"/>
              <w:keepLines w:val="0"/>
              <w:keepNext w:val="0"/>
              <w:pageBreakBefore w:val="0"/>
              <w:spacing w:before="60" w:after="60" w:line="240" w:lineRule="auto"/>
              <w:widowControl/>
              <w:rPr>
                <w:rFonts w:hint="eastAsia" w:ascii="宋体" w:hAnsi="宋体" w:eastAsia="宋体" w:cs="宋体"/>
                <w:sz w:val="20"/>
                <w:szCs w:val="21"/>
                <w:lang w:eastAsia="zh-CN"/>
              </w:rPr>
            </w:pPr>
            <w:r>
              <w:rPr>
                <w:rFonts w:hint="eastAsia" w:ascii="宋体" w:hAnsi="宋体" w:eastAsia="宋体" w:cs="宋体"/>
                <w:sz w:val="20"/>
                <w:szCs w:val="21"/>
                <w:lang w:eastAsia="zh-CN"/>
              </w:rPr>
              <w:t xml:space="preserve">①演示储备展示一张图</w:t>
            </w:r>
            <w:r>
              <w:rPr>
                <w:rFonts w:hint="eastAsia" w:ascii="宋体" w:hAnsi="宋体" w:eastAsia="宋体" w:cs="宋体"/>
                <w:sz w:val="20"/>
                <w:szCs w:val="21"/>
                <w:lang w:val="en-US" w:eastAsia="zh-CN"/>
              </w:rPr>
              <w:t xml:space="preserve">功能</w:t>
            </w:r>
            <w:r>
              <w:rPr>
                <w:rFonts w:hint="eastAsia" w:ascii="宋体" w:hAnsi="宋体" w:eastAsia="宋体" w:cs="宋体"/>
                <w:sz w:val="20"/>
                <w:szCs w:val="21"/>
                <w:lang w:eastAsia="zh-CN"/>
              </w:rPr>
              <w:t xml:space="preserve">，粮食储备包括但不限于储备规模、品种、等级、年份、性质等多维度统计数据，支持按照区域、公司、库点等多层级维度逐层穿透下钻展示；物资储备包括但不限于储备规模、储备用途、储备形式等多维度统计数据，支持按照区域、存储点等多层级维度逐层穿透下钻展示；（</w:t>
            </w:r>
            <w:r>
              <w:rPr>
                <w:rFonts w:hint="eastAsia" w:ascii="宋体" w:hAnsi="宋体" w:eastAsia="宋体" w:cs="宋体"/>
                <w:sz w:val="20"/>
                <w:szCs w:val="21"/>
                <w:lang w:val="en-US" w:eastAsia="zh-CN"/>
              </w:rPr>
              <w:t xml:space="preserve">1分</w:t>
            </w:r>
            <w:r>
              <w:rPr>
                <w:rFonts w:hint="eastAsia" w:ascii="宋体" w:hAnsi="宋体" w:eastAsia="宋体" w:cs="宋体"/>
                <w:sz w:val="20"/>
                <w:szCs w:val="21"/>
                <w:lang w:eastAsia="zh-CN"/>
              </w:rPr>
              <w:t xml:space="preserve">）</w:t>
            </w:r>
            <w:r/>
          </w:p>
          <w:p>
            <w:pPr>
              <w:ind w:firstLine="0"/>
              <w:keepLines w:val="0"/>
              <w:keepNext w:val="0"/>
              <w:pageBreakBefore w:val="0"/>
              <w:spacing w:before="60" w:after="60" w:line="240" w:lineRule="auto"/>
              <w:widowControl/>
              <w:rPr>
                <w:rFonts w:hint="eastAsia" w:ascii="宋体" w:hAnsi="宋体" w:eastAsia="宋体" w:cs="宋体"/>
                <w:sz w:val="20"/>
                <w:szCs w:val="21"/>
                <w:lang w:eastAsia="zh-CN"/>
              </w:rPr>
            </w:pPr>
            <w:r>
              <w:rPr>
                <w:rFonts w:hint="eastAsia" w:ascii="宋体" w:hAnsi="宋体" w:eastAsia="宋体" w:cs="宋体"/>
                <w:sz w:val="20"/>
                <w:szCs w:val="21"/>
                <w:lang w:eastAsia="zh-CN"/>
              </w:rPr>
              <w:t xml:space="preserve">②演示</w:t>
            </w:r>
            <w:r>
              <w:rPr>
                <w:rFonts w:hint="eastAsia" w:ascii="宋体" w:hAnsi="宋体" w:eastAsia="宋体" w:cs="宋体"/>
                <w:sz w:val="20"/>
                <w:szCs w:val="21"/>
                <w:lang w:val="en-US" w:eastAsia="zh-CN"/>
              </w:rPr>
              <w:t xml:space="preserve">决策分析一张图功能</w:t>
            </w:r>
            <w:r>
              <w:rPr>
                <w:rFonts w:hint="eastAsia" w:ascii="宋体" w:hAnsi="宋体" w:eastAsia="宋体" w:cs="宋体"/>
                <w:sz w:val="20"/>
                <w:szCs w:val="21"/>
                <w:lang w:eastAsia="zh-CN"/>
              </w:rPr>
              <w:t xml:space="preserve">，包括但不限于粮食收储能力、应急保供能力、仓储保管能力、物资收储能力、物资储备布局等多维度统计分析，支持对承储单位、应急供应网点、加工企业、储运企业、配送中心查看分布情况；（</w:t>
            </w:r>
            <w:r>
              <w:rPr>
                <w:rFonts w:hint="eastAsia" w:ascii="宋体" w:hAnsi="宋体" w:eastAsia="宋体" w:cs="宋体"/>
                <w:sz w:val="20"/>
                <w:szCs w:val="21"/>
                <w:lang w:val="en-US" w:eastAsia="zh-CN"/>
              </w:rPr>
              <w:t xml:space="preserve">1分</w:t>
            </w:r>
            <w:r>
              <w:rPr>
                <w:rFonts w:hint="eastAsia" w:ascii="宋体" w:hAnsi="宋体" w:eastAsia="宋体" w:cs="宋体"/>
                <w:sz w:val="20"/>
                <w:szCs w:val="21"/>
                <w:lang w:eastAsia="zh-CN"/>
              </w:rPr>
              <w:t xml:space="preserve">）</w:t>
            </w:r>
            <w:r/>
          </w:p>
          <w:p>
            <w:pPr>
              <w:ind w:firstLine="0"/>
              <w:keepLines w:val="0"/>
              <w:keepNext w:val="0"/>
              <w:pageBreakBefore w:val="0"/>
              <w:spacing w:before="60" w:after="60" w:line="240" w:lineRule="auto"/>
              <w:widowControl/>
              <w:rPr>
                <w:rFonts w:hint="eastAsia" w:ascii="宋体" w:hAnsi="宋体" w:eastAsia="宋体" w:cs="宋体"/>
                <w:sz w:val="20"/>
                <w:szCs w:val="21"/>
                <w:lang w:eastAsia="zh-CN"/>
              </w:rPr>
            </w:pPr>
            <w:r>
              <w:rPr>
                <w:rFonts w:hint="eastAsia" w:ascii="宋体" w:hAnsi="宋体" w:eastAsia="宋体" w:cs="宋体"/>
                <w:sz w:val="20"/>
                <w:szCs w:val="21"/>
                <w:lang w:val="en-US" w:eastAsia="zh-CN"/>
              </w:rPr>
              <w:t xml:space="preserve">③演示</w:t>
            </w:r>
            <w:r>
              <w:rPr>
                <w:rFonts w:hint="eastAsia" w:ascii="宋体" w:hAnsi="宋体" w:eastAsia="宋体" w:cs="宋体"/>
                <w:sz w:val="20"/>
                <w:szCs w:val="21"/>
                <w:lang w:eastAsia="zh-CN"/>
              </w:rPr>
              <w:t xml:space="preserve">指挥调度一张图</w:t>
            </w:r>
            <w:r>
              <w:rPr>
                <w:rFonts w:hint="eastAsia" w:ascii="宋体" w:hAnsi="宋体" w:eastAsia="宋体" w:cs="宋体"/>
                <w:sz w:val="20"/>
                <w:szCs w:val="21"/>
                <w:lang w:val="en-US" w:eastAsia="zh-CN"/>
              </w:rPr>
              <w:t xml:space="preserve">功能</w:t>
            </w:r>
            <w:r>
              <w:rPr>
                <w:rFonts w:hint="eastAsia" w:ascii="宋体" w:hAnsi="宋体" w:eastAsia="宋体" w:cs="宋体"/>
                <w:sz w:val="20"/>
                <w:szCs w:val="21"/>
                <w:lang w:eastAsia="zh-CN"/>
              </w:rPr>
              <w:t xml:space="preserve">，</w:t>
            </w:r>
            <w:r>
              <w:rPr>
                <w:rFonts w:hint="eastAsia" w:ascii="宋体" w:hAnsi="宋体" w:eastAsia="宋体" w:cs="宋体"/>
                <w:sz w:val="20"/>
                <w:szCs w:val="21"/>
                <w:lang w:val="en-US" w:eastAsia="zh-CN"/>
              </w:rPr>
              <w:t xml:space="preserve">包括</w:t>
            </w:r>
            <w:r>
              <w:rPr>
                <w:rFonts w:hint="eastAsia" w:ascii="宋体" w:hAnsi="宋体" w:eastAsia="宋体" w:cs="宋体"/>
                <w:sz w:val="20"/>
                <w:szCs w:val="21"/>
                <w:lang w:eastAsia="zh-CN"/>
              </w:rPr>
              <w:t xml:space="preserve">应急事件展示、应急调拨、调拨单跟踪、资源分布等功能，支持展示应急调拨方案、调拨指令与物流信息、调拨追踪单；（</w:t>
            </w:r>
            <w:r>
              <w:rPr>
                <w:rFonts w:hint="eastAsia" w:ascii="宋体" w:hAnsi="宋体" w:eastAsia="宋体" w:cs="宋体"/>
                <w:sz w:val="20"/>
                <w:szCs w:val="21"/>
                <w:lang w:val="en-US" w:eastAsia="zh-CN"/>
              </w:rPr>
              <w:t xml:space="preserve">1分</w:t>
            </w:r>
            <w:r>
              <w:rPr>
                <w:rFonts w:hint="eastAsia" w:ascii="宋体" w:hAnsi="宋体" w:eastAsia="宋体" w:cs="宋体"/>
                <w:sz w:val="20"/>
                <w:szCs w:val="21"/>
                <w:lang w:eastAsia="zh-CN"/>
              </w:rPr>
              <w:t xml:space="preserve">）</w:t>
            </w:r>
            <w:r/>
          </w:p>
          <w:p>
            <w:pPr>
              <w:ind w:firstLine="0"/>
              <w:keepLines w:val="0"/>
              <w:keepNext w:val="0"/>
              <w:pageBreakBefore w:val="0"/>
              <w:spacing w:before="60" w:after="60" w:line="240" w:lineRule="auto"/>
              <w:widowControl/>
              <w:rPr>
                <w:rFonts w:hint="eastAsia" w:ascii="宋体" w:hAnsi="宋体" w:eastAsia="宋体" w:cs="宋体"/>
                <w:sz w:val="20"/>
                <w:szCs w:val="21"/>
                <w:lang w:val="en-US" w:eastAsia="zh-CN"/>
              </w:rPr>
            </w:pPr>
            <w:r>
              <w:rPr>
                <w:rFonts w:hint="eastAsia" w:ascii="宋体" w:hAnsi="宋体" w:eastAsia="宋体" w:cs="宋体"/>
                <w:sz w:val="20"/>
                <w:szCs w:val="21"/>
                <w:lang w:val="en-US" w:eastAsia="zh-CN"/>
              </w:rPr>
              <w:t xml:space="preserve">2.演示项目建设管理功能模块，包括但不限于项目建设全流程导图，具有项目申请、审批、立项建设、督办提醒、关键节点验收、验收后评价等功能；（1分）</w:t>
            </w:r>
            <w:r/>
          </w:p>
          <w:p>
            <w:pPr>
              <w:ind w:firstLine="0"/>
              <w:keepLines w:val="0"/>
              <w:keepNext w:val="0"/>
              <w:pageBreakBefore w:val="0"/>
              <w:spacing w:before="60" w:after="60" w:line="240" w:lineRule="auto"/>
              <w:widowControl/>
              <w:rPr>
                <w:rFonts w:hint="eastAsia" w:ascii="宋体" w:hAnsi="宋体" w:eastAsia="宋体" w:cs="宋体"/>
                <w:sz w:val="20"/>
                <w:szCs w:val="21"/>
                <w:lang w:val="en-US" w:eastAsia="zh-CN"/>
              </w:rPr>
            </w:pPr>
            <w:r>
              <w:rPr>
                <w:rFonts w:hint="eastAsia" w:ascii="宋体" w:hAnsi="宋体" w:eastAsia="宋体" w:cs="宋体"/>
                <w:sz w:val="20"/>
                <w:szCs w:val="21"/>
                <w:lang w:val="en-US" w:eastAsia="zh-CN"/>
              </w:rPr>
              <w:t xml:space="preserve">3.演示安全生产智能分析与预警功能模块，可查看各类预警事件（例如仓内粮面异动、仓门异动打开、未佩戴安全帽、抽烟、人员倒地检测、非法入侵等），预警事件应包含预警粮库、发现时间、预警类型、发现位置、事件视频、事件图片等信息，可对未处置状态的预警事件进行在线处置。（1分）</w:t>
            </w:r>
            <w:r/>
          </w:p>
          <w:p>
            <w:pPr>
              <w:ind w:firstLine="0"/>
              <w:keepLines w:val="0"/>
              <w:keepNext w:val="0"/>
              <w:pageBreakBefore w:val="0"/>
              <w:spacing w:before="60" w:after="60" w:line="240" w:lineRule="auto"/>
              <w:widowControl/>
              <w:rPr>
                <w:rFonts w:hint="eastAsia" w:ascii="宋体" w:hAnsi="宋体" w:eastAsia="宋体" w:cs="宋体"/>
                <w:sz w:val="20"/>
                <w:szCs w:val="21"/>
                <w:lang w:val="en-US" w:eastAsia="zh-CN"/>
              </w:rPr>
            </w:pPr>
            <w:r>
              <w:rPr>
                <w:rFonts w:hint="eastAsia" w:ascii="宋体" w:hAnsi="宋体" w:eastAsia="宋体" w:cs="宋体"/>
                <w:sz w:val="20"/>
                <w:szCs w:val="21"/>
                <w:lang w:val="en-US" w:eastAsia="zh-CN"/>
              </w:rPr>
              <w:t xml:space="preserve">（二）智能中枢演示内容：（3分）</w:t>
            </w:r>
            <w:r/>
          </w:p>
          <w:p>
            <w:pPr>
              <w:numPr>
                <w:ilvl w:val="-1"/>
                <w:numId w:val="0"/>
              </w:numPr>
              <w:ind w:firstLine="0"/>
              <w:keepLines w:val="0"/>
              <w:keepNext w:val="0"/>
              <w:pageBreakBefore w:val="0"/>
              <w:spacing w:before="60" w:after="60" w:line="240" w:lineRule="auto"/>
              <w:widowControl/>
              <w:rPr>
                <w:rFonts w:hint="eastAsia" w:ascii="宋体" w:hAnsi="宋体" w:eastAsia="宋体" w:cs="宋体"/>
                <w:sz w:val="20"/>
                <w:szCs w:val="21"/>
                <w:lang w:eastAsia="zh-CN"/>
              </w:rPr>
            </w:pPr>
            <w:r>
              <w:rPr>
                <w:rFonts w:hint="eastAsia" w:ascii="宋体" w:hAnsi="宋体" w:eastAsia="宋体" w:cs="宋体"/>
                <w:sz w:val="20"/>
                <w:szCs w:val="21"/>
                <w:lang w:val="en-US" w:eastAsia="zh-CN"/>
              </w:rPr>
              <w:t xml:space="preserve">1.</w:t>
            </w:r>
            <w:r>
              <w:rPr>
                <w:rFonts w:hint="eastAsia" w:ascii="宋体" w:hAnsi="宋体" w:eastAsia="宋体" w:cs="宋体"/>
                <w:sz w:val="20"/>
                <w:szCs w:val="21"/>
                <w:lang w:eastAsia="zh-CN"/>
              </w:rPr>
              <w:t xml:space="preserve">演示大数据资源中心的数据治理能力，包括但不限于主数据管理、元数据管理、数据推送、数据标准、数据标签、数据血缘、数据质量、数据预警等功能；（</w:t>
            </w:r>
            <w:r>
              <w:rPr>
                <w:rFonts w:hint="eastAsia" w:ascii="宋体" w:hAnsi="宋体" w:eastAsia="宋体" w:cs="宋体"/>
                <w:sz w:val="20"/>
                <w:szCs w:val="21"/>
                <w:lang w:val="en-US" w:eastAsia="zh-CN"/>
              </w:rPr>
              <w:t xml:space="preserve">1分</w:t>
            </w:r>
            <w:r>
              <w:rPr>
                <w:rFonts w:hint="eastAsia" w:ascii="宋体" w:hAnsi="宋体" w:eastAsia="宋体" w:cs="宋体"/>
                <w:sz w:val="20"/>
                <w:szCs w:val="21"/>
                <w:lang w:eastAsia="zh-CN"/>
              </w:rPr>
              <w:t xml:space="preserve">）</w:t>
            </w:r>
            <w:r/>
          </w:p>
          <w:p>
            <w:pPr>
              <w:numPr>
                <w:ilvl w:val="-1"/>
                <w:numId w:val="0"/>
              </w:numPr>
              <w:ind w:firstLine="0"/>
              <w:keepLines w:val="0"/>
              <w:keepNext w:val="0"/>
              <w:pageBreakBefore w:val="0"/>
              <w:spacing w:before="60" w:after="60" w:line="240" w:lineRule="auto"/>
              <w:widowControl/>
              <w:rPr>
                <w:rFonts w:hint="eastAsia" w:ascii="宋体" w:hAnsi="宋体" w:eastAsia="宋体" w:cs="宋体"/>
                <w:sz w:val="20"/>
                <w:szCs w:val="21"/>
                <w:lang w:eastAsia="zh-CN"/>
              </w:rPr>
            </w:pPr>
            <w:r>
              <w:rPr>
                <w:rFonts w:hint="eastAsia" w:ascii="宋体" w:hAnsi="宋体" w:eastAsia="宋体" w:cs="宋体"/>
                <w:sz w:val="20"/>
                <w:szCs w:val="21"/>
                <w:lang w:val="en-US" w:eastAsia="zh-CN"/>
              </w:rPr>
              <w:t xml:space="preserve">2.</w:t>
            </w:r>
            <w:r>
              <w:rPr>
                <w:rFonts w:hint="eastAsia" w:ascii="宋体" w:hAnsi="宋体" w:eastAsia="宋体" w:cs="宋体"/>
                <w:sz w:val="20"/>
                <w:szCs w:val="21"/>
                <w:lang w:eastAsia="zh-CN"/>
              </w:rPr>
              <w:t xml:space="preserve">演示AI</w:t>
            </w:r>
            <w:r>
              <w:rPr>
                <w:rFonts w:hint="eastAsia" w:ascii="宋体" w:hAnsi="宋体" w:eastAsia="宋体" w:cs="宋体"/>
                <w:sz w:val="20"/>
                <w:szCs w:val="21"/>
                <w:lang w:val="en-US" w:eastAsia="zh-CN"/>
              </w:rPr>
              <w:t xml:space="preserve">大模型接入能力</w:t>
            </w:r>
            <w:r>
              <w:rPr>
                <w:rFonts w:hint="eastAsia" w:ascii="宋体" w:hAnsi="宋体" w:eastAsia="宋体" w:cs="宋体"/>
                <w:sz w:val="20"/>
                <w:szCs w:val="21"/>
                <w:lang w:eastAsia="zh-CN"/>
              </w:rPr>
              <w:t xml:space="preserve">，支持接入主流国产大模型（如 DeepSeek、通义千问Qwen、Kimi等）；（</w:t>
            </w:r>
            <w:r>
              <w:rPr>
                <w:rFonts w:hint="eastAsia" w:ascii="宋体" w:hAnsi="宋体" w:eastAsia="宋体" w:cs="宋体"/>
                <w:sz w:val="20"/>
                <w:szCs w:val="21"/>
                <w:lang w:val="en-US" w:eastAsia="zh-CN"/>
              </w:rPr>
              <w:t xml:space="preserve">1分</w:t>
            </w:r>
            <w:r>
              <w:rPr>
                <w:rFonts w:hint="eastAsia" w:ascii="宋体" w:hAnsi="宋体" w:eastAsia="宋体" w:cs="宋体"/>
                <w:sz w:val="20"/>
                <w:szCs w:val="21"/>
                <w:lang w:eastAsia="zh-CN"/>
              </w:rPr>
              <w:t xml:space="preserve">）</w:t>
            </w:r>
            <w:r/>
          </w:p>
          <w:p>
            <w:pPr>
              <w:numPr>
                <w:ilvl w:val="-1"/>
                <w:numId w:val="0"/>
              </w:numPr>
              <w:ind w:firstLine="0"/>
              <w:keepLines w:val="0"/>
              <w:keepNext w:val="0"/>
              <w:pageBreakBefore w:val="0"/>
              <w:spacing w:before="60" w:after="60" w:line="240" w:lineRule="auto"/>
              <w:widowControl/>
              <w:rPr>
                <w:rFonts w:hint="eastAsia" w:ascii="宋体" w:hAnsi="宋体" w:eastAsia="宋体" w:cs="宋体"/>
                <w:sz w:val="20"/>
                <w:szCs w:val="21"/>
                <w:lang w:val="en-US" w:eastAsia="zh-CN"/>
              </w:rPr>
            </w:pPr>
            <w:r>
              <w:rPr>
                <w:rFonts w:hint="eastAsia" w:ascii="宋体" w:hAnsi="宋体" w:eastAsia="宋体" w:cs="宋体"/>
                <w:sz w:val="20"/>
                <w:szCs w:val="21"/>
                <w:lang w:val="en-US" w:eastAsia="zh-CN"/>
              </w:rPr>
              <w:t xml:space="preserve">3.演示</w:t>
            </w:r>
            <w:r>
              <w:rPr>
                <w:rFonts w:hint="eastAsia" w:ascii="宋体" w:hAnsi="宋体" w:eastAsia="宋体" w:cs="宋体"/>
                <w:sz w:val="20"/>
                <w:szCs w:val="21"/>
                <w:lang w:eastAsia="zh-CN"/>
              </w:rPr>
              <w:t xml:space="preserve">AI智能应用能力，支持构建专属知识库，</w:t>
            </w:r>
            <w:r>
              <w:rPr>
                <w:rFonts w:hint="eastAsia" w:ascii="宋体" w:hAnsi="宋体" w:eastAsia="宋体" w:cs="宋体"/>
                <w:sz w:val="20"/>
                <w:szCs w:val="21"/>
                <w:lang w:val="en-US" w:eastAsia="zh-CN"/>
              </w:rPr>
              <w:t xml:space="preserve">支持</w:t>
            </w:r>
            <w:r>
              <w:rPr>
                <w:rFonts w:hint="eastAsia" w:ascii="宋体" w:hAnsi="宋体" w:eastAsia="宋体" w:cs="宋体"/>
                <w:sz w:val="20"/>
                <w:szCs w:val="21"/>
                <w:lang w:eastAsia="zh-CN"/>
              </w:rPr>
              <w:t xml:space="preserve">提供知识问答、智能工作流、智能体开发等功能。（</w:t>
            </w:r>
            <w:r>
              <w:rPr>
                <w:rFonts w:hint="eastAsia" w:ascii="宋体" w:hAnsi="宋体" w:eastAsia="宋体" w:cs="宋体"/>
                <w:sz w:val="20"/>
                <w:szCs w:val="21"/>
                <w:lang w:val="en-US" w:eastAsia="zh-CN"/>
              </w:rPr>
              <w:t xml:space="preserve">1分</w:t>
            </w:r>
            <w:r>
              <w:rPr>
                <w:rFonts w:hint="eastAsia" w:ascii="宋体" w:hAnsi="宋体" w:eastAsia="宋体" w:cs="宋体"/>
                <w:sz w:val="20"/>
                <w:szCs w:val="21"/>
                <w:lang w:eastAsia="zh-CN"/>
              </w:rPr>
              <w:t xml:space="preserve">）</w:t>
            </w:r>
            <w:r/>
          </w:p>
          <w:p>
            <w:pPr>
              <w:keepLines w:val="0"/>
              <w:keepNext w:val="0"/>
              <w:pageBreakBefore w:val="0"/>
              <w:spacing w:before="60" w:after="60" w:line="240" w:lineRule="auto"/>
              <w:widowControl/>
              <w:rPr>
                <w:rFonts w:hint="eastAsia" w:ascii="宋体" w:hAnsi="宋体" w:eastAsia="宋体" w:cs="宋体"/>
                <w:sz w:val="20"/>
                <w:szCs w:val="21"/>
                <w:lang w:val="en-US" w:eastAsia="zh-CN"/>
              </w:rPr>
            </w:pPr>
            <w:r>
              <w:rPr>
                <w:rFonts w:hint="eastAsia" w:ascii="宋体" w:hAnsi="宋体" w:eastAsia="宋体" w:cs="宋体"/>
                <w:sz w:val="20"/>
                <w:szCs w:val="21"/>
                <w:lang w:val="en-US" w:eastAsia="zh-CN"/>
              </w:rPr>
              <w:t xml:space="preserve">（三）统一运维平台演示内容：（2分）</w:t>
            </w:r>
            <w:r/>
          </w:p>
          <w:p>
            <w:pPr>
              <w:spacing w:before="60" w:after="60"/>
              <w:widowControl/>
              <w:rPr>
                <w:rFonts w:hint="eastAsia" w:ascii="宋体" w:hAnsi="宋体" w:eastAsia="宋体" w:cs="宋体"/>
                <w:sz w:val="20"/>
                <w:szCs w:val="21"/>
                <w:lang w:eastAsia="zh-CN"/>
              </w:rPr>
            </w:pPr>
            <w:r>
              <w:rPr>
                <w:rFonts w:hint="eastAsia" w:ascii="宋体" w:hAnsi="宋体" w:eastAsia="宋体" w:cs="宋体"/>
                <w:sz w:val="20"/>
                <w:szCs w:val="21"/>
                <w:lang w:val="en-US" w:eastAsia="zh-CN"/>
              </w:rPr>
              <w:t xml:space="preserve">1.演示事件中心功能，支持创建事件流程，并对其进行自定义配置；支持以日历形式查看当前登录用户每日提交和处理的任务数量；</w:t>
            </w:r>
            <w:r>
              <w:rPr>
                <w:rFonts w:hint="eastAsia" w:ascii="宋体" w:hAnsi="宋体" w:eastAsia="宋体" w:cs="宋体"/>
                <w:sz w:val="20"/>
                <w:szCs w:val="21"/>
                <w:lang w:eastAsia="zh-CN"/>
              </w:rPr>
              <w:t xml:space="preserve">（</w:t>
            </w:r>
            <w:r>
              <w:rPr>
                <w:rFonts w:hint="eastAsia" w:ascii="宋体" w:hAnsi="宋体" w:eastAsia="宋体" w:cs="宋体"/>
                <w:sz w:val="20"/>
                <w:szCs w:val="21"/>
                <w:lang w:val="en-US" w:eastAsia="zh-CN"/>
              </w:rPr>
              <w:t xml:space="preserve">1分</w:t>
            </w:r>
            <w:r>
              <w:rPr>
                <w:rFonts w:hint="eastAsia" w:ascii="宋体" w:hAnsi="宋体" w:eastAsia="宋体" w:cs="宋体"/>
                <w:sz w:val="20"/>
                <w:szCs w:val="21"/>
                <w:lang w:eastAsia="zh-CN"/>
              </w:rPr>
              <w:t xml:space="preserve">）</w:t>
            </w:r>
            <w:r/>
          </w:p>
          <w:p>
            <w:pPr>
              <w:ind w:firstLine="0"/>
              <w:spacing w:before="60" w:after="60" w:line="240" w:lineRule="auto"/>
              <w:widowControl/>
              <w:rPr>
                <w:rFonts w:hint="eastAsia" w:ascii="宋体" w:hAnsi="宋体" w:cs="宋体"/>
                <w:sz w:val="22"/>
                <w:szCs w:val="22"/>
              </w:rPr>
            </w:pPr>
            <w:r>
              <w:rPr>
                <w:rFonts w:hint="eastAsia" w:ascii="宋体" w:hAnsi="宋体" w:eastAsia="宋体" w:cs="宋体"/>
                <w:sz w:val="20"/>
                <w:szCs w:val="21"/>
                <w:lang w:val="en-US" w:eastAsia="zh-CN"/>
              </w:rPr>
              <w:t xml:space="preserve">2.演示应用使用分析功能，包括实时统计应用的启动次数、页面浏览量(PV)和用户访问量(UV)，分析不同时间段(如日、周、月)内的应用使用趋势。</w:t>
            </w:r>
            <w:r>
              <w:rPr>
                <w:rFonts w:hint="eastAsia" w:ascii="宋体" w:hAnsi="宋体" w:eastAsia="宋体" w:cs="宋体"/>
                <w:sz w:val="20"/>
                <w:szCs w:val="21"/>
                <w:lang w:eastAsia="zh-CN"/>
              </w:rPr>
              <w:t xml:space="preserve">（</w:t>
            </w:r>
            <w:r>
              <w:rPr>
                <w:rFonts w:hint="eastAsia" w:ascii="宋体" w:hAnsi="宋体" w:eastAsia="宋体" w:cs="宋体"/>
                <w:sz w:val="20"/>
                <w:szCs w:val="21"/>
                <w:lang w:val="en-US" w:eastAsia="zh-CN"/>
              </w:rPr>
              <w:t xml:space="preserve">1分</w:t>
            </w:r>
            <w:r>
              <w:rPr>
                <w:rFonts w:hint="eastAsia" w:ascii="宋体" w:hAnsi="宋体" w:eastAsia="宋体" w:cs="宋体"/>
                <w:sz w:val="20"/>
                <w:szCs w:val="21"/>
                <w:lang w:eastAsia="zh-CN"/>
              </w:rPr>
              <w:t xml:space="preserve">）</w:t>
            </w:r>
            <w:r/>
          </w:p>
        </w:tc>
        <w:tc>
          <w:tcPr>
            <w:tcW w:w="666"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10</w:t>
            </w:r>
            <w:r/>
          </w:p>
        </w:tc>
      </w:tr>
      <w:tr>
        <w:trPr>
          <w:trHeight w:val="0"/>
        </w:trPr>
        <w:tc>
          <w:tcPr>
            <w:tcW w:w="1218" w:type="dxa"/>
            <w:vAlign w:val="center"/>
            <w:vMerge w:val="continue"/>
            <w:textDirection w:val="lrTb"/>
            <w:noWrap w:val="false"/>
          </w:tcPr>
          <w:p>
            <w:pPr>
              <w:jc w:val="center"/>
              <w:spacing w:before="60" w:after="60"/>
              <w:rPr>
                <w:rFonts w:hint="eastAsia" w:ascii="宋体" w:hAnsi="宋体" w:cs="宋体"/>
                <w:sz w:val="22"/>
                <w:szCs w:val="22"/>
              </w:rPr>
            </w:pPr>
            <w:r>
              <w:rPr>
                <w:rFonts w:hint="eastAsia" w:ascii="宋体" w:hAnsi="宋体" w:cs="宋体"/>
                <w:sz w:val="22"/>
                <w:szCs w:val="22"/>
              </w:rPr>
            </w:r>
            <w:r/>
          </w:p>
        </w:tc>
        <w:tc>
          <w:tcPr>
            <w:tcW w:w="1501" w:type="dxa"/>
            <w:vAlign w:val="center"/>
            <w:textDirection w:val="lrTb"/>
            <w:noWrap w:val="false"/>
          </w:tcPr>
          <w:p>
            <w:pPr>
              <w:jc w:val="center"/>
              <w:spacing w:before="60" w:after="60"/>
              <w:rPr>
                <w:rFonts w:hint="eastAsia" w:ascii="宋体" w:hAnsi="宋体" w:cs="宋体"/>
                <w:sz w:val="22"/>
                <w:szCs w:val="22"/>
                <w:highlight w:val="yellow"/>
              </w:rPr>
            </w:pPr>
            <w:r>
              <w:rPr>
                <w:rFonts w:hint="eastAsia" w:ascii="宋体" w:hAnsi="宋体" w:cs="宋体"/>
                <w:color w:val="000000"/>
                <w:sz w:val="20"/>
              </w:rPr>
              <w:t xml:space="preserve">2.3项目理解（5分）</w:t>
            </w:r>
            <w:r/>
          </w:p>
        </w:tc>
        <w:tc>
          <w:tcPr>
            <w:tcW w:w="4733" w:type="dxa"/>
            <w:vAlign w:val="center"/>
            <w:textDirection w:val="lrTb"/>
            <w:noWrap w:val="false"/>
          </w:tcPr>
          <w:p>
            <w:pPr>
              <w:spacing w:before="60" w:after="60"/>
              <w:rPr>
                <w:rFonts w:hint="eastAsia" w:ascii="宋体" w:hAnsi="宋体" w:cs="宋体"/>
                <w:sz w:val="22"/>
                <w:szCs w:val="22"/>
                <w:highlight w:val="yellow"/>
              </w:rPr>
            </w:pPr>
            <w:r>
              <w:rPr>
                <w:rFonts w:hint="eastAsia" w:ascii="宋体" w:hAnsi="宋体" w:cs="宋体"/>
                <w:sz w:val="20"/>
              </w:rPr>
              <w:t xml:space="preserve">根据投标人对项目采购和建设需求的理解进行评分，方案内容包括但不限于：项目背景、建设目标、现状分析、需求分析、上云业务分析、方案设计依据等，并能够结合系统未来规模化扩展、业务与技术融合创新等需求，提出数智化建设相关建议。重点评审方案的合理性、可行性、针对性、前瞻性，方案优于项目需求的得5分，符合项目需求的得3分，不符合或未提供的得0分。</w:t>
            </w:r>
            <w:r/>
          </w:p>
        </w:tc>
        <w:tc>
          <w:tcPr>
            <w:tcW w:w="666" w:type="dxa"/>
            <w:vAlign w:val="center"/>
            <w:textDirection w:val="lrTb"/>
            <w:noWrap w:val="false"/>
          </w:tcPr>
          <w:p>
            <w:pPr>
              <w:jc w:val="center"/>
              <w:spacing w:before="60" w:after="60"/>
              <w:rPr>
                <w:rFonts w:hint="eastAsia" w:ascii="宋体" w:hAnsi="宋体" w:cs="宋体"/>
                <w:sz w:val="22"/>
                <w:szCs w:val="22"/>
                <w:highlight w:val="yellow"/>
              </w:rPr>
            </w:pPr>
            <w:r>
              <w:rPr>
                <w:rFonts w:hint="eastAsia" w:ascii="宋体" w:hAnsi="宋体" w:cs="宋体"/>
                <w:sz w:val="20"/>
              </w:rPr>
              <w:t xml:space="preserve">5</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textDirection w:val="lrTb"/>
            <w:noWrap w:val="false"/>
          </w:tcPr>
          <w:p>
            <w:pPr>
              <w:jc w:val="center"/>
              <w:rPr>
                <w:rFonts w:hint="eastAsia" w:ascii="宋体" w:hAnsi="宋体" w:eastAsia="宋体" w:cs="宋体"/>
                <w:sz w:val="22"/>
                <w:szCs w:val="22"/>
              </w:rPr>
            </w:pPr>
            <w:r>
              <w:rPr>
                <w:rFonts w:hint="eastAsia" w:ascii="宋体" w:hAnsi="宋体" w:cs="宋体"/>
                <w:sz w:val="20"/>
              </w:rPr>
              <w:t xml:space="preserve">2.4总体设计方案（5分）</w:t>
            </w:r>
            <w:r/>
          </w:p>
        </w:tc>
        <w:tc>
          <w:tcPr>
            <w:tcW w:w="4733" w:type="dxa"/>
            <w:vAlign w:val="center"/>
            <w:textDirection w:val="lrTb"/>
            <w:noWrap w:val="false"/>
          </w:tcPr>
          <w:p>
            <w:pPr>
              <w:spacing w:before="60" w:after="60"/>
              <w:rPr>
                <w:rFonts w:hint="eastAsia" w:ascii="宋体" w:hAnsi="宋体" w:eastAsia="宋体" w:cs="宋体"/>
                <w:sz w:val="22"/>
                <w:szCs w:val="22"/>
              </w:rPr>
            </w:pPr>
            <w:r>
              <w:rPr>
                <w:rFonts w:hint="eastAsia" w:ascii="宋体" w:hAnsi="宋体" w:cs="宋体"/>
                <w:sz w:val="20"/>
              </w:rPr>
              <w:t xml:space="preserve">根据投标人提供的总体设计方案进行评分，方案内容包括但不限于：总体架构、业务架构、网络架构、安全架构、系统对接等，且全域智能中枢采用轻量化架构设计。重点评审方案的合理性、可行性、针对性，方案</w:t>
            </w:r>
            <w:r>
              <w:rPr>
                <w:rFonts w:ascii="宋体" w:hAnsi="宋体" w:cs="宋体"/>
                <w:sz w:val="20"/>
              </w:rPr>
              <w:t xml:space="preserve">优于项目需求的得</w:t>
            </w:r>
            <w:r>
              <w:rPr>
                <w:rFonts w:hint="eastAsia" w:ascii="宋体" w:hAnsi="宋体" w:cs="宋体"/>
                <w:sz w:val="20"/>
              </w:rPr>
              <w:t xml:space="preserve">5</w:t>
            </w:r>
            <w:r>
              <w:rPr>
                <w:rFonts w:ascii="宋体" w:hAnsi="宋体" w:cs="宋体"/>
                <w:sz w:val="20"/>
              </w:rPr>
              <w:t xml:space="preserve">分，符合项目需求的得</w:t>
            </w:r>
            <w:r>
              <w:rPr>
                <w:rFonts w:hint="eastAsia" w:ascii="宋体" w:hAnsi="宋体" w:cs="宋体"/>
                <w:sz w:val="20"/>
              </w:rPr>
              <w:t xml:space="preserve">3</w:t>
            </w:r>
            <w:r>
              <w:rPr>
                <w:rFonts w:ascii="宋体" w:hAnsi="宋体" w:cs="宋体"/>
                <w:sz w:val="20"/>
              </w:rPr>
              <w:t xml:space="preserve">分，不符合或未提供的得0分。</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sz w:val="20"/>
              </w:rPr>
              <w:t xml:space="preserve">5</w:t>
            </w:r>
            <w:r/>
          </w:p>
        </w:tc>
      </w:tr>
      <w:tr>
        <w:trPr>
          <w:trHeight w:val="0"/>
        </w:trPr>
        <w:tc>
          <w:tcPr>
            <w:tcW w:w="1218" w:type="dxa"/>
            <w:vAlign w:val="center"/>
            <w:vMerge w:val="continue"/>
            <w:textDirection w:val="lrTb"/>
            <w:noWrap w:val="false"/>
          </w:tcPr>
          <w:p>
            <w:pPr>
              <w:jc w:val="center"/>
              <w:spacing w:before="60" w:after="60"/>
              <w:rPr>
                <w:rFonts w:hint="eastAsia" w:ascii="宋体" w:hAnsi="宋体" w:cs="宋体"/>
                <w:sz w:val="22"/>
                <w:szCs w:val="22"/>
              </w:rPr>
            </w:pPr>
            <w:r>
              <w:rPr>
                <w:rFonts w:hint="eastAsia" w:ascii="宋体" w:hAnsi="宋体" w:cs="宋体"/>
                <w:sz w:val="22"/>
                <w:szCs w:val="22"/>
              </w:rPr>
            </w:r>
            <w:r/>
          </w:p>
        </w:tc>
        <w:tc>
          <w:tcPr>
            <w:tcW w:w="1501" w:type="dxa"/>
            <w:vAlign w:val="center"/>
            <w:textDirection w:val="lrTb"/>
            <w:noWrap w:val="false"/>
          </w:tcPr>
          <w:p>
            <w:pPr>
              <w:jc w:val="center"/>
              <w:rPr>
                <w:rFonts w:hint="eastAsia" w:ascii="宋体" w:hAnsi="宋体" w:cs="宋体"/>
                <w:sz w:val="22"/>
                <w:szCs w:val="22"/>
              </w:rPr>
            </w:pPr>
            <w:r>
              <w:rPr>
                <w:rFonts w:hint="eastAsia" w:ascii="宋体" w:hAnsi="宋体" w:cs="宋体"/>
                <w:sz w:val="20"/>
              </w:rPr>
              <w:t xml:space="preserve">2.5分项设计方案（5分）</w:t>
            </w:r>
            <w:r/>
          </w:p>
        </w:tc>
        <w:tc>
          <w:tcPr>
            <w:tcW w:w="4733" w:type="dxa"/>
            <w:vAlign w:val="center"/>
            <w:textDirection w:val="lrTb"/>
            <w:noWrap w:val="false"/>
          </w:tcPr>
          <w:p>
            <w:pPr>
              <w:spacing w:before="60" w:after="60"/>
              <w:rPr>
                <w:rFonts w:hint="eastAsia" w:ascii="宋体" w:hAnsi="宋体" w:cs="宋体"/>
                <w:sz w:val="22"/>
                <w:szCs w:val="22"/>
              </w:rPr>
            </w:pPr>
            <w:r>
              <w:rPr>
                <w:rFonts w:hint="eastAsia" w:ascii="宋体" w:hAnsi="宋体" w:cs="宋体"/>
                <w:sz w:val="20"/>
              </w:rPr>
              <w:t xml:space="preserve">根据投标人提供的各系统方案进行评分，方案内容包括但不限于：统一交互展示入口、应急调度指挥中心、粮食管理、物资储备管理、监督执法检查、行业公共服务、智能中枢、统一运维平台、上云业务应用等内容。重点评审方案的合理性、可行性、针对性，方案优于项目要求的得5分，符合项目要求的得3分，不符合项目要求或不提供得0分。</w:t>
            </w:r>
            <w:r/>
          </w:p>
        </w:tc>
        <w:tc>
          <w:tcPr>
            <w:tcW w:w="666"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5</w:t>
            </w:r>
            <w:r/>
          </w:p>
        </w:tc>
      </w:tr>
      <w:tr>
        <w:trPr>
          <w:trHeight w:val="0"/>
        </w:trPr>
        <w:tc>
          <w:tcPr>
            <w:tcW w:w="1218" w:type="dxa"/>
            <w:vAlign w:val="center"/>
            <w:vMerge w:val="continue"/>
            <w:textDirection w:val="lrTb"/>
            <w:noWrap w:val="false"/>
          </w:tcPr>
          <w:p>
            <w:pPr>
              <w:jc w:val="center"/>
              <w:spacing w:before="60" w:after="60"/>
              <w:rPr>
                <w:rFonts w:hint="eastAsia" w:ascii="宋体" w:hAnsi="宋体" w:cs="宋体"/>
                <w:sz w:val="22"/>
                <w:szCs w:val="22"/>
              </w:rPr>
            </w:pPr>
            <w:r>
              <w:rPr>
                <w:rFonts w:hint="eastAsia" w:ascii="宋体" w:hAnsi="宋体" w:cs="宋体"/>
                <w:sz w:val="22"/>
                <w:szCs w:val="22"/>
              </w:rPr>
            </w:r>
            <w:r/>
          </w:p>
        </w:tc>
        <w:tc>
          <w:tcPr>
            <w:tcW w:w="1501"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2.6系统对接方案（5分）</w:t>
            </w:r>
            <w:r/>
          </w:p>
        </w:tc>
        <w:tc>
          <w:tcPr>
            <w:tcW w:w="4733" w:type="dxa"/>
            <w:vAlign w:val="center"/>
            <w:textDirection w:val="lrTb"/>
            <w:noWrap w:val="false"/>
          </w:tcPr>
          <w:p>
            <w:pPr>
              <w:spacing w:before="60" w:after="60"/>
              <w:rPr>
                <w:rFonts w:hint="eastAsia" w:ascii="宋体" w:hAnsi="宋体" w:cs="宋体"/>
                <w:sz w:val="22"/>
                <w:szCs w:val="22"/>
              </w:rPr>
            </w:pPr>
            <w:r>
              <w:rPr>
                <w:rFonts w:hint="eastAsia" w:ascii="宋体" w:hAnsi="宋体" w:cs="宋体"/>
                <w:sz w:val="20"/>
              </w:rPr>
              <w:t xml:space="preserve">根据投标人提供的系统对接方案进行打分，方案内容包括与国家粮食信用信息管理平台、省政务服务网统一身份认证、省电子证照系统、</w:t>
            </w:r>
            <w:r>
              <w:rPr>
                <w:rFonts w:hint="eastAsia" w:ascii="宋体" w:hAnsi="宋体"/>
                <w:sz w:val="20"/>
              </w:rPr>
              <w:t xml:space="preserve">“苏服办”</w:t>
            </w:r>
            <w:r>
              <w:rPr>
                <w:rFonts w:ascii="宋体" w:hAnsi="宋体"/>
                <w:sz w:val="20"/>
              </w:rPr>
              <w:t xml:space="preserve">APP</w:t>
            </w:r>
            <w:r>
              <w:rPr>
                <w:rFonts w:hint="eastAsia" w:ascii="宋体" w:hAnsi="宋体" w:cs="宋体"/>
                <w:sz w:val="20"/>
              </w:rPr>
              <w:t xml:space="preserve">等系统的对接。重点评审方案的合理性、可行性、针对性，方案优于项目要求的得5分，符合项目要求的得3分，不符合项目要求或不提供得0分。</w:t>
            </w:r>
            <w:r/>
          </w:p>
        </w:tc>
        <w:tc>
          <w:tcPr>
            <w:tcW w:w="666"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5</w:t>
            </w:r>
            <w:r/>
          </w:p>
        </w:tc>
      </w:tr>
      <w:tr>
        <w:trPr>
          <w:trHeight w:val="0"/>
        </w:trPr>
        <w:tc>
          <w:tcPr>
            <w:tcW w:w="1218" w:type="dxa"/>
            <w:vAlign w:val="center"/>
            <w:vMerge w:val="continue"/>
            <w:textDirection w:val="lrTb"/>
            <w:noWrap w:val="false"/>
          </w:tcPr>
          <w:p>
            <w:pPr>
              <w:jc w:val="center"/>
              <w:spacing w:before="60" w:after="60"/>
              <w:rPr>
                <w:rFonts w:hint="eastAsia" w:ascii="宋体" w:hAnsi="宋体" w:cs="宋体"/>
                <w:sz w:val="22"/>
                <w:szCs w:val="22"/>
              </w:rPr>
            </w:pPr>
            <w:r>
              <w:rPr>
                <w:rFonts w:hint="eastAsia" w:ascii="宋体" w:hAnsi="宋体" w:cs="宋体"/>
                <w:sz w:val="22"/>
                <w:szCs w:val="22"/>
              </w:rPr>
            </w:r>
            <w:r/>
          </w:p>
        </w:tc>
        <w:tc>
          <w:tcPr>
            <w:tcW w:w="1501"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2.7实施方案（5分）</w:t>
            </w:r>
            <w:r/>
          </w:p>
        </w:tc>
        <w:tc>
          <w:tcPr>
            <w:tcW w:w="4733" w:type="dxa"/>
            <w:vAlign w:val="center"/>
            <w:textDirection w:val="lrTb"/>
            <w:noWrap w:val="false"/>
          </w:tcPr>
          <w:p>
            <w:pPr>
              <w:spacing w:before="60" w:after="60"/>
              <w:rPr>
                <w:rFonts w:hint="eastAsia" w:ascii="宋体" w:hAnsi="宋体" w:cs="宋体"/>
                <w:sz w:val="22"/>
                <w:szCs w:val="22"/>
              </w:rPr>
            </w:pPr>
            <w:r>
              <w:rPr>
                <w:rFonts w:hint="eastAsia" w:ascii="宋体" w:hAnsi="宋体" w:cs="宋体"/>
                <w:sz w:val="20"/>
              </w:rPr>
              <w:t xml:space="preserve">根据投标人提供的项目实施管理方案进行评分，方案内容包括但不限于：项目目标和范围、时间计划和进度安排、项目组织结构和团队人员、项目质量管理、项目风险管理等内容。要求提供拟参与本项目全体成员简历、学历/学位证书（相关专业）。重点评审方案的合理性、可行性、针对性，方案优于项目要求的得5分，符合项目要求的得3分，不符合项目要求或不提供得0分。</w:t>
            </w:r>
            <w:r/>
          </w:p>
        </w:tc>
        <w:tc>
          <w:tcPr>
            <w:tcW w:w="666"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5</w:t>
            </w:r>
            <w:r/>
          </w:p>
        </w:tc>
      </w:tr>
      <w:tr>
        <w:trPr>
          <w:trHeight w:val="0"/>
        </w:trPr>
        <w:tc>
          <w:tcPr>
            <w:tcW w:w="1218" w:type="dxa"/>
            <w:vAlign w:val="center"/>
            <w:vMerge w:val="continue"/>
            <w:textDirection w:val="lrTb"/>
            <w:noWrap w:val="false"/>
          </w:tcPr>
          <w:p>
            <w:pPr>
              <w:jc w:val="center"/>
              <w:spacing w:before="60" w:after="60"/>
              <w:rPr>
                <w:rFonts w:hint="eastAsia" w:ascii="宋体" w:hAnsi="宋体" w:cs="宋体"/>
                <w:sz w:val="22"/>
                <w:szCs w:val="22"/>
              </w:rPr>
            </w:pPr>
            <w:r>
              <w:rPr>
                <w:rFonts w:hint="eastAsia" w:ascii="宋体" w:hAnsi="宋体" w:cs="宋体"/>
                <w:sz w:val="22"/>
                <w:szCs w:val="22"/>
              </w:rPr>
            </w:r>
            <w:r/>
          </w:p>
        </w:tc>
        <w:tc>
          <w:tcPr>
            <w:tcW w:w="1501"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2.8培训服务方案（5分）</w:t>
            </w:r>
            <w:r/>
          </w:p>
        </w:tc>
        <w:tc>
          <w:tcPr>
            <w:tcW w:w="4733" w:type="dxa"/>
            <w:vAlign w:val="center"/>
            <w:textDirection w:val="lrTb"/>
            <w:noWrap w:val="false"/>
          </w:tcPr>
          <w:p>
            <w:pPr>
              <w:spacing w:before="60" w:after="60"/>
              <w:rPr>
                <w:rFonts w:hint="eastAsia" w:ascii="宋体" w:hAnsi="宋体" w:cs="宋体"/>
                <w:sz w:val="22"/>
                <w:szCs w:val="22"/>
              </w:rPr>
            </w:pPr>
            <w:r>
              <w:rPr>
                <w:rFonts w:hint="eastAsia" w:ascii="宋体" w:hAnsi="宋体" w:cs="宋体"/>
                <w:sz w:val="20"/>
              </w:rPr>
              <w:t xml:space="preserve">根据投标人提供的培训服务方案进行打分，包括但不限于培训内容、培训课程安排、培训方式等。重点评审方案的合理性、可行性、针对性，方案优于项目要求的得5分，符合项目要求的得3分，不符合项目要求或不提供得0分。</w:t>
            </w:r>
            <w:r/>
          </w:p>
        </w:tc>
        <w:tc>
          <w:tcPr>
            <w:tcW w:w="666"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5</w:t>
            </w:r>
            <w:r/>
          </w:p>
        </w:tc>
      </w:tr>
      <w:tr>
        <w:trPr>
          <w:trHeight w:val="0"/>
        </w:trPr>
        <w:tc>
          <w:tcPr>
            <w:tcW w:w="1218" w:type="dxa"/>
            <w:vAlign w:val="center"/>
            <w:vMerge w:val="continue"/>
            <w:textDirection w:val="lrTb"/>
            <w:noWrap w:val="false"/>
          </w:tcPr>
          <w:p>
            <w:pPr>
              <w:jc w:val="center"/>
              <w:spacing w:before="60" w:after="60"/>
              <w:rPr>
                <w:rFonts w:hint="eastAsia" w:ascii="宋体" w:hAnsi="宋体" w:cs="宋体"/>
                <w:sz w:val="22"/>
                <w:szCs w:val="22"/>
              </w:rPr>
            </w:pPr>
            <w:r>
              <w:rPr>
                <w:rFonts w:hint="eastAsia" w:ascii="宋体" w:hAnsi="宋体" w:cs="宋体"/>
                <w:sz w:val="22"/>
                <w:szCs w:val="22"/>
              </w:rPr>
            </w:r>
            <w:r/>
          </w:p>
        </w:tc>
        <w:tc>
          <w:tcPr>
            <w:tcW w:w="1501"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2.9运维方案（4分）</w:t>
            </w:r>
            <w:r/>
          </w:p>
        </w:tc>
        <w:tc>
          <w:tcPr>
            <w:tcW w:w="4733" w:type="dxa"/>
            <w:vAlign w:val="center"/>
            <w:textDirection w:val="lrTb"/>
            <w:noWrap w:val="false"/>
          </w:tcPr>
          <w:p>
            <w:pPr>
              <w:spacing w:before="60" w:after="60"/>
              <w:rPr>
                <w:rFonts w:hint="eastAsia" w:ascii="宋体" w:hAnsi="宋体" w:cs="宋体"/>
                <w:sz w:val="22"/>
                <w:szCs w:val="22"/>
              </w:rPr>
            </w:pPr>
            <w:r>
              <w:rPr>
                <w:rFonts w:hint="eastAsia" w:ascii="宋体" w:hAnsi="宋体" w:cs="宋体"/>
                <w:sz w:val="20"/>
              </w:rPr>
              <w:t xml:space="preserve">根据投标人提供的售后运维服务方案进行打分，包括但不限于运行维护团队人员配置情况、运维服务方式、日常监控与巡检、故障诊断与处理、数据恢复与备份、性能优化与容量规划等措施。重点评审方案的合理性、可行性、针对性，方案优于项目要求的得4分，符合项目要求的得2分，不符合项目要求或不提供得0分。</w:t>
            </w:r>
            <w:r/>
          </w:p>
        </w:tc>
        <w:tc>
          <w:tcPr>
            <w:tcW w:w="666" w:type="dxa"/>
            <w:vAlign w:val="center"/>
            <w:textDirection w:val="lrTb"/>
            <w:noWrap w:val="false"/>
          </w:tcPr>
          <w:p>
            <w:pPr>
              <w:jc w:val="center"/>
              <w:spacing w:before="60" w:after="60"/>
              <w:rPr>
                <w:rFonts w:hint="eastAsia" w:ascii="宋体" w:hAnsi="宋体" w:cs="宋体"/>
                <w:sz w:val="22"/>
                <w:szCs w:val="22"/>
              </w:rPr>
            </w:pPr>
            <w:r>
              <w:rPr>
                <w:rFonts w:hint="eastAsia" w:ascii="宋体" w:hAnsi="宋体" w:cs="宋体"/>
                <w:sz w:val="20"/>
              </w:rPr>
              <w:t xml:space="preserve">4</w:t>
            </w:r>
            <w:r/>
          </w:p>
        </w:tc>
      </w:tr>
      <w:tr>
        <w:trPr>
          <w:trHeight w:val="0"/>
        </w:trPr>
        <w:tc>
          <w:tcPr>
            <w:tcW w:w="1218" w:type="dxa"/>
            <w:vAlign w:val="center"/>
            <w:vMerge w:val="restart"/>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商务资质部分（40分）</w:t>
            </w:r>
            <w:r/>
          </w:p>
        </w:tc>
        <w:tc>
          <w:tcPr>
            <w:tcW w:w="1501" w:type="dxa"/>
            <w:vAlign w:val="center"/>
            <w:vMerge w:val="restart"/>
            <w:textDirection w:val="lrTb"/>
            <w:noWrap w:val="false"/>
          </w:tcPr>
          <w:p>
            <w:pPr>
              <w:jc w:val="center"/>
              <w:spacing w:before="60" w:after="60"/>
              <w:rPr>
                <w:rFonts w:hint="eastAsia" w:ascii="宋体" w:hAnsi="宋体" w:cs="宋体"/>
              </w:rPr>
            </w:pPr>
            <w:r>
              <w:rPr>
                <w:rFonts w:hint="eastAsia" w:ascii="宋体" w:hAnsi="宋体" w:cs="宋体"/>
              </w:rPr>
              <w:t xml:space="preserve">3.1企业资质</w:t>
            </w:r>
            <w:r/>
          </w:p>
          <w:p>
            <w:pPr>
              <w:jc w:val="center"/>
              <w:spacing w:before="60" w:after="60"/>
              <w:rPr>
                <w:rFonts w:hint="eastAsia" w:ascii="宋体" w:hAnsi="宋体" w:eastAsia="宋体" w:cs="宋体"/>
                <w:sz w:val="22"/>
                <w:szCs w:val="22"/>
              </w:rPr>
            </w:pPr>
            <w:r>
              <w:rPr>
                <w:rFonts w:hint="eastAsia" w:ascii="宋体" w:hAnsi="宋体" w:cs="宋体"/>
              </w:rPr>
              <w:t xml:space="preserve">（8分）</w:t>
            </w:r>
            <w:r/>
          </w:p>
        </w:tc>
        <w:tc>
          <w:tcPr>
            <w:tcW w:w="4733" w:type="dxa"/>
            <w:vAlign w:val="center"/>
            <w:textDirection w:val="lrTb"/>
            <w:noWrap w:val="false"/>
          </w:tcPr>
          <w:p>
            <w:pPr>
              <w:jc w:val="left"/>
              <w:spacing w:before="60" w:after="60"/>
              <w:rPr>
                <w:rFonts w:hint="eastAsia" w:ascii="宋体" w:hAnsi="宋体" w:eastAsia="宋体" w:cs="宋体"/>
                <w:sz w:val="22"/>
                <w:szCs w:val="22"/>
              </w:rPr>
            </w:pPr>
            <w:r>
              <w:rPr>
                <w:rFonts w:hint="eastAsia" w:ascii="宋体" w:hAnsi="宋体" w:cs="宋体"/>
              </w:rPr>
              <w:t xml:space="preserve">1.投标人具有ISO9001质量管理体系认证、ISO20000信息技术服务管理体系认证、ISO27001信息安全管理体系认证、ISO27017云服务安全管理体系认证、ISO38505数据治理管理体系认证、ISO/IEC42001人工智能管理体系认证证书，每提供一个得1分，最多得5分（提供有效证书复印件并加盖投标人公章）。</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5</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4733" w:type="dxa"/>
            <w:vAlign w:val="center"/>
            <w:textDirection w:val="lrTb"/>
            <w:noWrap w:val="false"/>
          </w:tcPr>
          <w:p>
            <w:pPr>
              <w:jc w:val="left"/>
              <w:spacing w:before="60" w:after="60"/>
              <w:rPr>
                <w:rFonts w:hint="eastAsia" w:ascii="宋体" w:hAnsi="宋体" w:eastAsia="宋体" w:cs="宋体"/>
                <w:sz w:val="22"/>
                <w:szCs w:val="22"/>
              </w:rPr>
            </w:pPr>
            <w:r>
              <w:rPr>
                <w:rFonts w:hint="eastAsia" w:ascii="宋体" w:hAnsi="宋体" w:cs="宋体"/>
              </w:rPr>
              <w:t xml:space="preserve">2.投标人需具有由国家版权局颁发的相关软件著作权登记证书，证书包含“粮食或物资管理”“数据管理”“AI分析”“云计算”“大模型”“应急调度”“数据中台”等关键词，每提供一类得0.5分，最多得3分。投标人须提供有效证书复印件并加盖公章，未提供或不符合要求的不得分（如所提供的著作权内容表述与招标文件描述的关键字样不一致，而该投标文件中能证明投标人拥有的软件著作权具有相同或相似功能和效果，且评标委员会认可的，视同符合要求）。</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3</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restart"/>
            <w:textDirection w:val="lrTb"/>
            <w:noWrap w:val="false"/>
          </w:tcPr>
          <w:p>
            <w:pPr>
              <w:jc w:val="center"/>
              <w:spacing w:before="60" w:after="60"/>
              <w:rPr>
                <w:rFonts w:hint="eastAsia" w:ascii="宋体" w:hAnsi="宋体" w:cs="宋体"/>
              </w:rPr>
            </w:pPr>
            <w:r>
              <w:rPr>
                <w:rFonts w:hint="eastAsia" w:ascii="宋体" w:hAnsi="宋体" w:cs="宋体"/>
              </w:rPr>
              <w:t xml:space="preserve">3.2项目团队资质</w:t>
            </w:r>
            <w:r/>
          </w:p>
          <w:p>
            <w:pPr>
              <w:jc w:val="center"/>
              <w:spacing w:before="60" w:after="60"/>
              <w:rPr>
                <w:rFonts w:hint="eastAsia" w:ascii="宋体" w:hAnsi="宋体" w:eastAsia="宋体" w:cs="宋体"/>
                <w:sz w:val="22"/>
                <w:szCs w:val="22"/>
              </w:rPr>
            </w:pPr>
            <w:r>
              <w:rPr>
                <w:rFonts w:hint="eastAsia" w:ascii="宋体" w:hAnsi="宋体" w:cs="宋体"/>
              </w:rPr>
              <w:t xml:space="preserve">（18分）</w:t>
            </w:r>
            <w:r/>
          </w:p>
        </w:tc>
        <w:tc>
          <w:tcPr>
            <w:tcW w:w="4733" w:type="dxa"/>
            <w:vAlign w:val="center"/>
            <w:textDirection w:val="lrTb"/>
            <w:noWrap w:val="false"/>
          </w:tcPr>
          <w:p>
            <w:pPr>
              <w:jc w:val="left"/>
              <w:spacing w:before="60" w:after="60"/>
            </w:pPr>
            <w:r>
              <w:rPr>
                <w:rFonts w:hint="eastAsia" w:ascii="宋体" w:hAnsi="宋体" w:cs="宋体"/>
              </w:rPr>
              <w:t xml:space="preserve">3.2.1.项目经理：</w:t>
            </w:r>
            <w:r>
              <w:rPr>
                <w:rFonts w:hint="eastAsia" w:ascii="宋体" w:hAnsi="宋体" w:cs="宋体"/>
              </w:rPr>
              <w:t xml:space="preserve">投标人拟投入本项目的项目经理具有信息系统项目管理师、ITSS服务项目经理、注册信息安全专业人员（CISP）证书、人工智能应用工程师证书，每个证书得2分，最多得6分。</w:t>
            </w:r>
            <w:r>
              <w:rPr>
                <w:rFonts w:hint="eastAsia" w:ascii="宋体" w:hAnsi="宋体" w:cs="宋体"/>
              </w:rPr>
            </w:r>
            <w:r/>
          </w:p>
          <w:p>
            <w:pPr>
              <w:jc w:val="left"/>
              <w:spacing w:before="60" w:after="60"/>
              <w:rPr>
                <w:rFonts w:hint="eastAsia" w:ascii="宋体" w:hAnsi="宋体" w:cs="宋体"/>
              </w:rPr>
            </w:pPr>
            <w:r>
              <w:rPr>
                <w:rFonts w:hint="eastAsia" w:ascii="宋体" w:hAnsi="宋体" w:cs="宋体"/>
              </w:rPr>
              <w:t xml:space="preserve">（提供有效证书复印件和投标人为其缴纳的近半年内任意3个月的社保证明）</w:t>
            </w:r>
            <w:r>
              <w:rPr>
                <w:rFonts w:hint="eastAsia" w:ascii="宋体" w:hAnsi="宋体" w:cs="宋体"/>
              </w:rPr>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6</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4733" w:type="dxa"/>
            <w:vAlign w:val="center"/>
            <w:textDirection w:val="lrTb"/>
            <w:noWrap w:val="false"/>
          </w:tcPr>
          <w:p>
            <w:pPr>
              <w:jc w:val="left"/>
              <w:spacing w:before="60" w:after="60"/>
            </w:pPr>
            <w:r>
              <w:rPr>
                <w:rFonts w:hint="eastAsia" w:ascii="宋体" w:hAnsi="宋体" w:cs="宋体"/>
              </w:rPr>
              <w:t xml:space="preserve">3.2.2.技术负责人：</w:t>
            </w:r>
            <w:r>
              <w:rPr>
                <w:rFonts w:hint="eastAsia" w:ascii="宋体" w:hAnsi="宋体" w:cs="宋体"/>
              </w:rPr>
              <w:t xml:space="preserve">投入本项目的技术负责人具有系统架构设计师证书、系统规划与管理师证书、信息系统项目管理师证书、高级软件工程师证书，每个证书得1分，最多得3分。</w:t>
            </w:r>
            <w:r>
              <w:rPr>
                <w:rFonts w:hint="eastAsia" w:ascii="宋体" w:hAnsi="宋体" w:cs="宋体"/>
              </w:rPr>
            </w:r>
            <w:r/>
          </w:p>
          <w:p>
            <w:pPr>
              <w:jc w:val="left"/>
              <w:spacing w:before="60" w:after="60"/>
              <w:rPr>
                <w:rFonts w:hint="eastAsia" w:ascii="宋体" w:hAnsi="宋体" w:cs="宋体"/>
              </w:rPr>
            </w:pPr>
            <w:r>
              <w:rPr>
                <w:rFonts w:hint="eastAsia" w:ascii="宋体" w:hAnsi="宋体" w:cs="宋体"/>
              </w:rPr>
              <w:t xml:space="preserve">（提供有效证书复印件和投标人为其缴纳的近半年内任意3个月的社保证明）</w:t>
            </w:r>
            <w:r>
              <w:rPr>
                <w:rFonts w:hint="eastAsia" w:ascii="宋体" w:hAnsi="宋体" w:cs="宋体"/>
              </w:rPr>
            </w:r>
            <w:r/>
          </w:p>
        </w:tc>
        <w:tc>
          <w:tcPr>
            <w:tcW w:w="666" w:type="dxa"/>
            <w:vAlign w:val="center"/>
            <w:textDirection w:val="lrTb"/>
            <w:noWrap w:val="false"/>
          </w:tcPr>
          <w:p>
            <w:pPr>
              <w:jc w:val="center"/>
              <w:spacing w:before="60" w:after="60"/>
              <w:rPr>
                <w:rFonts w:hint="eastAsia" w:ascii="宋体" w:hAnsi="宋体" w:eastAsia="宋体" w:cs="宋体"/>
                <w:sz w:val="22"/>
                <w:szCs w:val="22"/>
                <w:lang w:eastAsia="zh-CN"/>
              </w:rPr>
            </w:pPr>
            <w:r>
              <w:rPr>
                <w:rFonts w:hint="eastAsia" w:ascii="宋体" w:hAnsi="宋体" w:cs="宋体"/>
              </w:rPr>
              <w:t xml:space="preserve">3</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4733" w:type="dxa"/>
            <w:vAlign w:val="center"/>
            <w:textDirection w:val="lrTb"/>
            <w:noWrap w:val="false"/>
          </w:tcPr>
          <w:p>
            <w:pPr>
              <w:jc w:val="left"/>
              <w:spacing w:before="60" w:after="60"/>
            </w:pPr>
            <w:r>
              <w:rPr>
                <w:rFonts w:hint="eastAsia" w:ascii="宋体" w:hAnsi="宋体" w:cs="宋体"/>
              </w:rPr>
              <w:t xml:space="preserve">3.2.3.安全负责人：</w:t>
            </w:r>
            <w:r>
              <w:rPr>
                <w:rFonts w:hint="eastAsia" w:ascii="宋体" w:hAnsi="宋体" w:cs="宋体"/>
              </w:rPr>
              <w:t xml:space="preserve">投入本项目的安全负责人具有信息安全保障人员（CISAW）认证证书、注册信息安全专业人员（CISP）证书、信息系统项目管理师证书、数据治理工程师证书的，每个证书得1分，最多得3分。</w:t>
            </w:r>
            <w:r>
              <w:rPr>
                <w:rFonts w:hint="eastAsia" w:ascii="宋体" w:hAnsi="宋体" w:cs="宋体"/>
              </w:rPr>
            </w:r>
            <w:r/>
          </w:p>
          <w:p>
            <w:pPr>
              <w:jc w:val="left"/>
              <w:spacing w:before="60" w:after="60"/>
              <w:rPr>
                <w:rFonts w:hint="eastAsia" w:ascii="宋体" w:hAnsi="宋体" w:cs="宋体"/>
              </w:rPr>
            </w:pPr>
            <w:r>
              <w:rPr>
                <w:rFonts w:hint="eastAsia" w:ascii="宋体" w:hAnsi="宋体" w:cs="宋体"/>
              </w:rPr>
              <w:t xml:space="preserve">（提供有效证书复印件和投标人为其缴纳的近半年内任意3个月的社保证明）</w:t>
            </w:r>
            <w:r>
              <w:rPr>
                <w:rFonts w:hint="eastAsia" w:ascii="宋体" w:hAnsi="宋体" w:cs="宋体"/>
              </w:rPr>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3</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4733" w:type="dxa"/>
            <w:vAlign w:val="center"/>
            <w:textDirection w:val="lrTb"/>
            <w:noWrap w:val="false"/>
          </w:tcPr>
          <w:p>
            <w:pPr>
              <w:jc w:val="left"/>
              <w:spacing w:before="60" w:after="60"/>
              <w:rPr>
                <w:rFonts w:hint="eastAsia" w:ascii="宋体" w:hAnsi="宋体" w:cs="宋体"/>
              </w:rPr>
            </w:pPr>
            <w:r>
              <w:rPr>
                <w:rFonts w:hint="eastAsia" w:ascii="宋体" w:hAnsi="宋体" w:cs="宋体"/>
              </w:rPr>
              <w:t xml:space="preserve">3.2.4.实施负责人：投入本项目的实施负责人具有系统分析师、系统架构设计师、注册信息安全专业人员（CISP）证书、信息系统项目管理师证书，每个证书得1分，最多得3分。</w:t>
            </w:r>
            <w:r/>
          </w:p>
          <w:p>
            <w:pPr>
              <w:jc w:val="left"/>
              <w:spacing w:before="60" w:after="60"/>
              <w:rPr>
                <w:rFonts w:hint="eastAsia" w:ascii="宋体" w:hAnsi="宋体" w:eastAsia="宋体" w:cs="宋体"/>
                <w:sz w:val="22"/>
                <w:szCs w:val="22"/>
              </w:rPr>
            </w:pPr>
            <w:r>
              <w:rPr>
                <w:rFonts w:hint="eastAsia" w:ascii="宋体" w:hAnsi="宋体" w:cs="宋体"/>
              </w:rPr>
              <w:t xml:space="preserve">（提供有效证书复印件和投标人为其缴纳的近半年内任意3个月的社保证明）</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3</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4733" w:type="dxa"/>
            <w:vAlign w:val="center"/>
            <w:textDirection w:val="lrTb"/>
            <w:noWrap w:val="false"/>
          </w:tcPr>
          <w:p>
            <w:pPr>
              <w:jc w:val="left"/>
              <w:spacing w:before="60" w:after="60"/>
              <w:rPr>
                <w:rFonts w:hint="eastAsia" w:ascii="宋体" w:hAnsi="宋体" w:cs="宋体"/>
              </w:rPr>
            </w:pPr>
            <w:r>
              <w:rPr>
                <w:rFonts w:hint="eastAsia" w:ascii="宋体" w:hAnsi="宋体" w:cs="宋体"/>
              </w:rPr>
              <w:t xml:space="preserve">3.2.5.投标人拟投入本项目的其他项目成员（项目经理、技术负责人、安全负责人、实施负责人除外）具有软件设计师证书、数据库系统工程师证书、系统集成项目管理工程师证书、ITSS IT服务工程师、软件测评师、CISAW-安全集成认证证书、网络安全能力认证CCSC证书，每类证书得0.5分，相同证书不重复计分，一人多证者只按一个证书计分。本项最多得3分。</w:t>
            </w:r>
            <w:r/>
          </w:p>
          <w:p>
            <w:pPr>
              <w:jc w:val="left"/>
              <w:spacing w:before="60" w:after="60"/>
              <w:rPr>
                <w:rFonts w:hint="eastAsia" w:ascii="宋体" w:hAnsi="宋体" w:eastAsia="宋体" w:cs="宋体"/>
                <w:sz w:val="22"/>
                <w:szCs w:val="22"/>
              </w:rPr>
            </w:pPr>
            <w:r>
              <w:rPr>
                <w:rFonts w:hint="eastAsia" w:ascii="宋体" w:hAnsi="宋体" w:cs="宋体"/>
              </w:rPr>
              <w:t xml:space="preserve">（提供有效证书复印件和投标人为其缴纳的近半年内任意3个月的社保证明）</w:t>
            </w:r>
            <w:r/>
          </w:p>
        </w:tc>
        <w:tc>
          <w:tcPr>
            <w:tcW w:w="666" w:type="dxa"/>
            <w:vAlign w:val="center"/>
            <w:textDirection w:val="lrTb"/>
            <w:noWrap w:val="false"/>
          </w:tcPr>
          <w:p>
            <w:pPr>
              <w:jc w:val="center"/>
              <w:spacing w:before="60" w:after="60"/>
              <w:rPr>
                <w:rFonts w:hint="eastAsia" w:ascii="宋体" w:hAnsi="宋体" w:eastAsia="宋体" w:cs="宋体"/>
                <w:sz w:val="22"/>
                <w:szCs w:val="22"/>
                <w:lang w:eastAsia="zh-CN"/>
              </w:rPr>
            </w:pPr>
            <w:r>
              <w:rPr>
                <w:rFonts w:hint="eastAsia" w:ascii="宋体" w:hAnsi="宋体" w:cs="宋体"/>
              </w:rPr>
              <w:t xml:space="preserve">3</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restart"/>
            <w:textDirection w:val="lrTb"/>
            <w:noWrap w:val="false"/>
          </w:tcPr>
          <w:p>
            <w:pPr>
              <w:spacing w:before="60" w:after="60"/>
              <w:rPr>
                <w:rFonts w:ascii="宋体"/>
              </w:rPr>
            </w:pPr>
            <w:r>
              <w:rPr>
                <w:rFonts w:hint="eastAsia" w:ascii="宋体" w:hAnsi="宋体" w:cs="宋体"/>
              </w:rPr>
              <w:t xml:space="preserve">3.3</w:t>
            </w:r>
            <w:r>
              <w:rPr>
                <w:rFonts w:hint="eastAsia" w:ascii="宋体"/>
              </w:rPr>
              <w:t xml:space="preserve">售后服务</w:t>
            </w:r>
            <w:r/>
          </w:p>
          <w:p>
            <w:pPr>
              <w:jc w:val="center"/>
              <w:spacing w:before="60" w:after="60"/>
              <w:rPr>
                <w:rFonts w:hint="eastAsia" w:ascii="宋体" w:hAnsi="宋体" w:eastAsia="宋体" w:cs="宋体"/>
                <w:sz w:val="22"/>
                <w:szCs w:val="22"/>
              </w:rPr>
            </w:pPr>
            <w:r>
              <w:rPr>
                <w:rFonts w:hint="eastAsia" w:ascii="宋体"/>
              </w:rPr>
              <w:t xml:space="preserve">（7分）</w:t>
            </w:r>
            <w:r/>
          </w:p>
        </w:tc>
        <w:tc>
          <w:tcPr>
            <w:tcW w:w="4733" w:type="dxa"/>
            <w:vAlign w:val="center"/>
            <w:textDirection w:val="lrTb"/>
            <w:noWrap w:val="false"/>
          </w:tcPr>
          <w:p>
            <w:pPr>
              <w:jc w:val="left"/>
              <w:spacing w:before="60" w:after="60"/>
              <w:rPr>
                <w:rFonts w:hint="eastAsia" w:ascii="宋体" w:hAnsi="宋体" w:eastAsia="宋体" w:cs="宋体"/>
                <w:sz w:val="22"/>
                <w:szCs w:val="22"/>
              </w:rPr>
            </w:pPr>
            <w:r>
              <w:rPr>
                <w:rFonts w:hint="eastAsia" w:ascii="宋体"/>
              </w:rPr>
              <w:t xml:space="preserve">3.3.1.投标人书面承诺提供不少于3年免费售后服务，项目试运行期间提供至少10人的售后服务团队，且</w:t>
            </w:r>
            <w:r>
              <w:rPr>
                <w:rFonts w:hint="eastAsia"/>
              </w:rPr>
              <w:t xml:space="preserve">拟派服务团队负责人具有IT服务经理证书的得</w:t>
            </w:r>
            <w:r>
              <w:rPr>
                <w:rFonts w:hint="eastAsia"/>
                <w:lang w:val="en-US" w:eastAsia="zh-CN"/>
              </w:rPr>
              <w:t xml:space="preserve">2</w:t>
            </w:r>
            <w:r>
              <w:rPr>
                <w:rFonts w:hint="eastAsia"/>
              </w:rPr>
              <w:t xml:space="preserve">分，</w:t>
            </w:r>
            <w:r>
              <w:rPr>
                <w:rFonts w:hint="eastAsia" w:ascii="宋体"/>
              </w:rPr>
              <w:t xml:space="preserve">提供驻场服务的2人须具有5年以上工作经验，承诺驻场服务至维保期结束不得更换驻场服务人员的得1分。（提供承诺书、相关证书</w:t>
            </w:r>
            <w:r>
              <w:rPr>
                <w:rFonts w:hint="eastAsia" w:ascii="宋体" w:hAnsi="宋体" w:cs="宋体"/>
              </w:rPr>
              <w:t xml:space="preserve">并加盖投标人公章</w:t>
            </w:r>
            <w:r>
              <w:rPr>
                <w:rFonts w:hint="eastAsia" w:ascii="宋体"/>
              </w:rPr>
              <w:t xml:space="preserve">）</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3</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4733" w:type="dxa"/>
            <w:vAlign w:val="center"/>
            <w:textDirection w:val="lrTb"/>
            <w:noWrap w:val="false"/>
          </w:tcPr>
          <w:p>
            <w:pPr>
              <w:jc w:val="left"/>
              <w:spacing w:before="60" w:after="60"/>
              <w:rPr>
                <w:rFonts w:hint="eastAsia" w:ascii="宋体" w:hAnsi="宋体" w:eastAsia="宋体" w:cs="宋体"/>
                <w:sz w:val="22"/>
                <w:szCs w:val="22"/>
              </w:rPr>
            </w:pPr>
            <w:r>
              <w:rPr>
                <w:rFonts w:hint="eastAsia" w:ascii="宋体"/>
              </w:rPr>
              <w:t xml:space="preserve">3.3.2.投标人书面承诺提供数据治理方面服务：包括但不限于支持构建统一粮储大数据资源中心，整合现有平台及多系统数据，形成全局数据资源池。提供数据采集、治理、质量管理、元数据管理等全流程工具，具备国产化适配能力。建立基础数据库与专题分析数据库，梳理数据资源目录，搭建统一数据共享交换接口，实现与国家局，省级部门等数据互联互通。提供书面承诺的得2分。</w:t>
            </w:r>
            <w:r>
              <w:rPr>
                <w:rFonts w:hint="eastAsia" w:ascii="宋体" w:hAnsi="宋体" w:cs="宋体"/>
              </w:rPr>
              <w:t xml:space="preserve">（提供书面承诺并加盖投标人公章）</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2</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4733" w:type="dxa"/>
            <w:vAlign w:val="center"/>
            <w:textDirection w:val="lrTb"/>
            <w:noWrap w:val="false"/>
          </w:tcPr>
          <w:p>
            <w:pPr>
              <w:jc w:val="left"/>
              <w:spacing w:before="60" w:after="60"/>
              <w:rPr>
                <w:rFonts w:hint="eastAsia" w:ascii="宋体" w:hAnsi="宋体" w:eastAsia="宋体" w:cs="宋体"/>
                <w:sz w:val="22"/>
                <w:szCs w:val="22"/>
              </w:rPr>
            </w:pPr>
            <w:r>
              <w:rPr>
                <w:rFonts w:hint="eastAsia" w:ascii="宋体"/>
              </w:rPr>
              <w:t xml:space="preserve">3.3.3.投标人书面承诺提供人工智能技术方面服务：包括但不限于支持集成BI数据挖掘、智能报表、多维度模型算法等AI组件。算法能够覆盖购销监管、质量监管、库存监管、储备安全监管等场景。支持多模态数据融合分析，提供可视化图表展示与数据下钻功能。依托全省粮食和物资大数据中心数据集训练通用大模型，开发面向购销监管、保价稳供、便民服务等需求的智能体。提供书面承诺的得2分。</w:t>
            </w:r>
            <w:r>
              <w:rPr>
                <w:rFonts w:hint="eastAsia" w:ascii="宋体" w:hAnsi="宋体" w:cs="宋体"/>
              </w:rPr>
              <w:t xml:space="preserve">（提供书面承诺并加盖投标人公章）</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2</w:t>
            </w:r>
            <w:r/>
          </w:p>
        </w:tc>
      </w:tr>
      <w:tr>
        <w:trPr>
          <w:trHeight w:val="0"/>
        </w:trPr>
        <w:tc>
          <w:tcPr>
            <w:tcW w:w="1218" w:type="dxa"/>
            <w:vAlign w:val="center"/>
            <w:vMerge w:val="continue"/>
            <w:textDirection w:val="lrTb"/>
            <w:noWrap w:val="false"/>
          </w:tcPr>
          <w:p>
            <w:pPr>
              <w:jc w:val="center"/>
              <w:spacing w:before="60" w:after="60"/>
              <w:rPr>
                <w:rFonts w:hint="eastAsia" w:ascii="宋体" w:hAnsi="宋体" w:eastAsia="宋体" w:cs="宋体"/>
                <w:sz w:val="22"/>
                <w:szCs w:val="22"/>
              </w:rPr>
            </w:pPr>
            <w:r>
              <w:rPr>
                <w:rFonts w:hint="eastAsia" w:ascii="宋体" w:hAnsi="宋体" w:eastAsia="宋体" w:cs="宋体"/>
                <w:sz w:val="22"/>
                <w:szCs w:val="22"/>
              </w:rPr>
            </w:r>
            <w:r/>
          </w:p>
        </w:tc>
        <w:tc>
          <w:tcPr>
            <w:tcW w:w="1501" w:type="dxa"/>
            <w:vAlign w:val="center"/>
            <w:textDirection w:val="lrTb"/>
            <w:noWrap w:val="false"/>
          </w:tcPr>
          <w:p>
            <w:pPr>
              <w:jc w:val="center"/>
              <w:spacing w:before="60" w:after="60"/>
              <w:rPr>
                <w:rFonts w:hint="eastAsia" w:ascii="宋体" w:hAnsi="宋体" w:cs="宋体"/>
              </w:rPr>
            </w:pPr>
            <w:r>
              <w:rPr>
                <w:rFonts w:hint="eastAsia" w:ascii="宋体" w:hAnsi="宋体" w:cs="宋体"/>
              </w:rPr>
              <w:t xml:space="preserve">3.4业绩案例</w:t>
            </w:r>
            <w:r/>
          </w:p>
          <w:p>
            <w:pPr>
              <w:jc w:val="center"/>
              <w:spacing w:before="60" w:after="60"/>
              <w:rPr>
                <w:rFonts w:hint="eastAsia" w:ascii="宋体" w:hAnsi="宋体" w:eastAsia="宋体" w:cs="宋体"/>
                <w:sz w:val="22"/>
                <w:szCs w:val="22"/>
              </w:rPr>
            </w:pPr>
            <w:r>
              <w:rPr>
                <w:rFonts w:hint="eastAsia" w:ascii="宋体" w:hAnsi="宋体" w:cs="宋体"/>
              </w:rPr>
              <w:t xml:space="preserve">（7分）</w:t>
            </w:r>
            <w:r/>
          </w:p>
        </w:tc>
        <w:tc>
          <w:tcPr>
            <w:tcW w:w="4733" w:type="dxa"/>
            <w:vAlign w:val="center"/>
            <w:textDirection w:val="lrTb"/>
            <w:noWrap w:val="false"/>
          </w:tcPr>
          <w:p>
            <w:pPr>
              <w:jc w:val="left"/>
              <w:spacing w:before="60" w:after="60"/>
              <w:rPr>
                <w:rFonts w:ascii="宋体" w:eastAsia="宋体"/>
                <w:sz w:val="22"/>
                <w:szCs w:val="22"/>
              </w:rPr>
            </w:pPr>
            <w:r>
              <w:rPr>
                <w:rFonts w:hint="eastAsia" w:ascii="宋体" w:hAnsi="宋体" w:cs="宋体"/>
              </w:rPr>
              <w:t xml:space="preserve">投标人具有2022年1月1日以来（以合同签订时间为准）的信息系统开发项目的合同，每提供一个得1分，最高得7分。</w:t>
            </w:r>
            <w:r>
              <w:rPr>
                <w:rFonts w:hint="eastAsia" w:ascii="宋体" w:hAnsi="宋体"/>
              </w:rPr>
              <w:t xml:space="preserve">（提供合作协议或合同关键页复印件，加盖</w:t>
            </w:r>
            <w:r>
              <w:rPr>
                <w:rFonts w:ascii="宋体" w:hAnsi="宋体"/>
              </w:rPr>
              <w:t xml:space="preserve">投标人</w:t>
            </w:r>
            <w:r>
              <w:rPr>
                <w:rFonts w:hint="eastAsia" w:ascii="宋体" w:hAnsi="宋体"/>
              </w:rPr>
              <w:t xml:space="preserve">公章）</w:t>
            </w:r>
            <w:r/>
          </w:p>
        </w:tc>
        <w:tc>
          <w:tcPr>
            <w:tcW w:w="666" w:type="dxa"/>
            <w:vAlign w:val="center"/>
            <w:textDirection w:val="lrTb"/>
            <w:noWrap w:val="false"/>
          </w:tcPr>
          <w:p>
            <w:pPr>
              <w:jc w:val="center"/>
              <w:spacing w:before="60" w:after="60"/>
              <w:rPr>
                <w:rFonts w:hint="eastAsia" w:ascii="宋体" w:hAnsi="宋体" w:eastAsia="宋体" w:cs="宋体"/>
                <w:sz w:val="22"/>
                <w:szCs w:val="22"/>
              </w:rPr>
            </w:pPr>
            <w:r>
              <w:rPr>
                <w:rFonts w:hint="eastAsia" w:ascii="宋体" w:hAnsi="宋体" w:cs="宋体"/>
              </w:rPr>
              <w:t xml:space="preserve">7</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0"/>
        <w:rPr>
          <w:rFonts w:ascii="黑体" w:eastAsia="黑体"/>
          <w:sz w:val="44"/>
          <w:szCs w:val="44"/>
        </w:rPr>
      </w:pPr>
      <w:r>
        <w:rPr>
          <w:rFonts w:ascii="黑体" w:eastAsia="黑体"/>
          <w:sz w:val="44"/>
          <w:szCs w:val="44"/>
        </w:rPr>
      </w:r>
      <w:r>
        <w:rPr>
          <w:rFonts w:ascii="黑体" w:eastAsia="黑体"/>
          <w:sz w:val="44"/>
          <w:szCs w:val="44"/>
        </w:rPr>
      </w:r>
      <w:r/>
    </w:p>
    <w:p>
      <w:pPr>
        <w:pStyle w:val="860"/>
        <w:rPr>
          <w:rFonts w:ascii="黑体" w:eastAsia="黑体"/>
          <w:sz w:val="44"/>
          <w:szCs w:val="44"/>
        </w:rPr>
      </w:pPr>
      <w:r>
        <w:rPr>
          <w:rFonts w:ascii="黑体" w:eastAsia="黑体"/>
          <w:sz w:val="44"/>
          <w:szCs w:val="44"/>
        </w:rPr>
      </w:r>
      <w:r>
        <w:rPr>
          <w:rFonts w:ascii="黑体" w:eastAsia="黑体"/>
          <w:sz w:val="44"/>
          <w:szCs w:val="44"/>
        </w:rPr>
      </w:r>
      <w:r/>
    </w:p>
    <w:p>
      <w:pPr>
        <w:pStyle w:val="860"/>
        <w:rPr>
          <w:rFonts w:ascii="黑体" w:eastAsia="黑体"/>
          <w:sz w:val="44"/>
          <w:szCs w:val="44"/>
        </w:rPr>
      </w:pPr>
      <w:r>
        <w:rPr>
          <w:rFonts w:ascii="黑体" w:eastAsia="黑体"/>
          <w:sz w:val="44"/>
          <w:szCs w:val="44"/>
        </w:rPr>
      </w:r>
      <w:r>
        <w:rPr>
          <w:rFonts w:ascii="黑体" w:eastAsia="黑体"/>
          <w:sz w:val="44"/>
          <w:szCs w:val="44"/>
        </w:rPr>
      </w:r>
      <w:r/>
    </w:p>
    <w:p>
      <w:pPr>
        <w:pStyle w:val="860"/>
        <w:rPr>
          <w:rFonts w:ascii="黑体" w:eastAsia="黑体"/>
          <w:sz w:val="44"/>
          <w:szCs w:val="44"/>
        </w:rPr>
      </w:pPr>
      <w:r>
        <w:rPr>
          <w:rFonts w:ascii="黑体" w:eastAsia="黑体"/>
          <w:bCs/>
          <w:sz w:val="44"/>
        </w:rPr>
      </w:r>
      <w:r/>
    </w:p>
    <w:p>
      <w:pPr>
        <w:pStyle w:val="860"/>
        <w:rPr>
          <w:rFonts w:ascii="黑体" w:eastAsia="黑体"/>
          <w:bCs/>
          <w:sz w:val="44"/>
        </w:rPr>
      </w:pPr>
      <w:r>
        <w:rPr>
          <w:rFonts w:ascii="黑体" w:eastAsia="黑体"/>
          <w:bCs/>
          <w:sz w:val="44"/>
        </w:rPr>
      </w:r>
      <w:r/>
    </w:p>
    <w:p>
      <w:pPr>
        <w:pStyle w:val="860"/>
        <w:rPr>
          <w:rFonts w:hint="eastAsia" w:ascii="黑体" w:eastAsia="黑体"/>
          <w:bCs/>
          <w:sz w:val="44"/>
        </w:rPr>
      </w:pPr>
      <w:r>
        <w:rPr>
          <w:rFonts w:hint="eastAsia" w:ascii="黑体" w:eastAsia="黑体"/>
          <w:bCs/>
          <w:sz w:val="44"/>
        </w:rPr>
        <w:t xml:space="preserve">第六章  投标</w:t>
      </w:r>
      <w:bookmarkEnd w:id="190"/>
      <w:r/>
      <w:bookmarkEnd w:id="191"/>
      <w:r/>
      <w:bookmarkEnd w:id="201"/>
      <w:r>
        <w:rPr>
          <w:rFonts w:hint="eastAsia" w:ascii="黑体" w:eastAsia="黑体"/>
          <w:bCs/>
          <w:sz w:val="44"/>
        </w:rPr>
        <w:t xml:space="preserve">文件格式 </w:t>
      </w:r>
      <w:r/>
    </w:p>
    <w:p>
      <w:pPr>
        <w:jc w:val="center"/>
        <w:rPr>
          <w:rFonts w:hint="eastAsia" w:ascii="宋体" w:hAnsi="宋体"/>
          <w:b/>
          <w:sz w:val="72"/>
        </w:rPr>
      </w:pPr>
      <w:r/>
      <w:bookmarkStart w:id="202" w:name="_Hlt26955039"/>
      <w:r/>
      <w:bookmarkEnd w:id="202"/>
      <w:r/>
      <w:bookmarkStart w:id="203" w:name="_Hlt26671244"/>
      <w:r/>
      <w:bookmarkEnd w:id="203"/>
      <w:r/>
      <w:bookmarkStart w:id="204" w:name="_Toc120614282"/>
      <w:r/>
      <w:bookmarkStart w:id="205" w:name="_Toc26554094"/>
      <w:r/>
      <w:bookmarkStart w:id="206"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auto"/>
          <w:sz w:val="24"/>
        </w:rPr>
      </w:pPr>
      <w:r>
        <w:rPr>
          <w:rFonts w:hint="eastAsia" w:ascii="宋体" w:hAnsi="宋体"/>
          <w:color w:val="auto"/>
          <w:sz w:val="24"/>
        </w:rPr>
        <w:t xml:space="preserve">投标人必须</w:t>
      </w:r>
      <w:r>
        <w:rPr>
          <w:rFonts w:ascii="宋体" w:hAnsi="宋体"/>
          <w:color w:val="auto"/>
          <w:sz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rPr>
          <w:rFonts w:ascii="宋体" w:hAnsi="宋体"/>
          <w:color w:val="auto"/>
          <w:sz w:val="24"/>
        </w:rPr>
        <w:t xml:space="preserve">的实质性要求</w:t>
      </w:r>
      <w:r>
        <w:rPr>
          <w:rFonts w:hint="eastAsia" w:ascii="宋体" w:hAnsi="宋体"/>
          <w:color w:val="auto"/>
          <w:sz w:val="24"/>
        </w:rPr>
        <w:t xml:space="preserve">逐条</w:t>
      </w:r>
      <w:r>
        <w:rPr>
          <w:rFonts w:ascii="宋体" w:hAnsi="宋体"/>
          <w:color w:val="auto"/>
          <w:sz w:val="24"/>
        </w:rPr>
        <w:t xml:space="preserve">做出响应，并按照招标</w:t>
      </w:r>
      <w:r>
        <w:rPr>
          <w:rFonts w:hint="eastAsia" w:ascii="宋体" w:hAnsi="宋体"/>
          <w:color w:val="auto"/>
          <w:sz w:val="24"/>
        </w:rPr>
        <w:t xml:space="preserve">文件</w:t>
      </w:r>
      <w:r>
        <w:rPr>
          <w:rFonts w:ascii="宋体" w:hAnsi="宋体"/>
          <w:color w:val="auto"/>
          <w:sz w:val="24"/>
        </w:rPr>
        <w:t xml:space="preserve">要求提供</w:t>
      </w:r>
      <w:r>
        <w:rPr>
          <w:rFonts w:hint="eastAsia" w:ascii="宋体" w:hAnsi="宋体"/>
          <w:color w:val="auto"/>
          <w:sz w:val="24"/>
        </w:rPr>
        <w:t xml:space="preserve">证明</w:t>
      </w:r>
      <w:r>
        <w:rPr>
          <w:rFonts w:ascii="宋体" w:hAnsi="宋体"/>
          <w:color w:val="auto"/>
          <w:sz w:val="24"/>
        </w:rPr>
        <w:t xml:space="preserve">材料</w:t>
      </w:r>
      <w:r>
        <w:rPr>
          <w:rFonts w:hint="eastAsia" w:ascii="宋体" w:hAnsi="宋体"/>
          <w:color w:val="auto"/>
          <w:sz w:val="24"/>
        </w:rPr>
        <w:t xml:space="preserve">，否则作无效投标处理</w:t>
      </w:r>
      <w:r>
        <w:rPr>
          <w:rFonts w:ascii="宋体" w:hAnsi="宋体"/>
          <w:color w:val="auto"/>
          <w:sz w:val="24"/>
        </w:rPr>
        <w:t xml:space="preserve">。</w:t>
      </w:r>
      <w:r>
        <w:rPr>
          <w:rFonts w:hint="eastAsia" w:ascii="宋体" w:hAnsi="宋体"/>
          <w:color w:val="auto"/>
          <w:sz w:val="24"/>
        </w:rPr>
        <w:t xml:space="preserve">（格式见</w:t>
      </w:r>
      <w:r>
        <w:rPr>
          <w:rFonts w:ascii="宋体" w:hAnsi="宋体"/>
          <w:color w:val="auto"/>
          <w:sz w:val="24"/>
        </w:rPr>
        <w:t xml:space="preserve">附件12</w:t>
      </w:r>
      <w:r>
        <w:rPr>
          <w:rFonts w:hint="eastAsia" w:ascii="宋体" w:hAnsi="宋体"/>
          <w:color w:val="auto"/>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870"/>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hint="default"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auto"/>
          <w:sz w:val="24"/>
          <w:szCs w:val="24"/>
        </w:rPr>
        <w:t xml:space="preserve">1.投标人需对招标文件技术要求中非实质性要求（</w:t>
      </w:r>
      <w:r>
        <w:rPr>
          <w:rFonts w:hint="eastAsia" w:ascii="宋体" w:hAnsi="宋体" w:eastAsia="宋体" w:cs="宋体"/>
          <w:b/>
          <w:color w:val="auto"/>
          <w:sz w:val="24"/>
          <w:szCs w:val="24"/>
        </w:rPr>
        <w:t xml:space="preserve">未加</w:t>
      </w:r>
      <w:r>
        <w:rPr>
          <w:rFonts w:hint="eastAsia" w:ascii="宋体" w:hAnsi="宋体" w:eastAsia="宋体" w:cs="宋体"/>
          <w:b/>
          <w:i/>
          <w:color w:val="auto"/>
          <w:sz w:val="24"/>
          <w:szCs w:val="24"/>
          <w:u w:val="single"/>
        </w:rPr>
        <w:t xml:space="preserve">斜体下划线</w:t>
      </w:r>
      <w:r>
        <w:rPr>
          <w:rFonts w:hint="eastAsia" w:ascii="宋体" w:hAnsi="宋体" w:eastAsia="宋体" w:cs="宋体"/>
          <w:b/>
          <w:iCs/>
          <w:color w:val="auto"/>
          <w:sz w:val="24"/>
          <w:szCs w:val="24"/>
        </w:rPr>
        <w:t xml:space="preserve">部分</w:t>
      </w:r>
      <w:r>
        <w:rPr>
          <w:rFonts w:hint="eastAsia" w:ascii="宋体" w:hAnsi="宋体" w:eastAsia="宋体" w:cs="宋体"/>
          <w:b/>
          <w:color w:val="auto"/>
          <w:sz w:val="24"/>
          <w:szCs w:val="24"/>
        </w:rPr>
        <w:t xml:space="preserve">或未加*号条款</w:t>
      </w:r>
      <w:r>
        <w:rPr>
          <w:rFonts w:hint="eastAsia" w:ascii="宋体" w:hAnsi="宋体" w:eastAsia="宋体" w:cs="宋体"/>
          <w:color w:val="auto"/>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1.投标人需对招标文件商务要求中非实质性要求（</w:t>
      </w:r>
      <w:r>
        <w:rPr>
          <w:rFonts w:hint="eastAsia" w:ascii="宋体" w:hAnsi="宋体" w:eastAsia="宋体" w:cs="宋体"/>
          <w:b/>
          <w:color w:val="auto"/>
          <w:sz w:val="24"/>
          <w:szCs w:val="24"/>
        </w:rPr>
        <w:t xml:space="preserve">未加</w:t>
      </w:r>
      <w:r>
        <w:rPr>
          <w:rFonts w:hint="eastAsia" w:ascii="宋体" w:hAnsi="宋体" w:eastAsia="宋体" w:cs="宋体"/>
          <w:b/>
          <w:i/>
          <w:color w:val="auto"/>
          <w:sz w:val="24"/>
          <w:szCs w:val="24"/>
          <w:u w:val="single"/>
        </w:rPr>
        <w:t xml:space="preserve">斜体下划线</w:t>
      </w:r>
      <w:r>
        <w:rPr>
          <w:rFonts w:hint="eastAsia" w:ascii="宋体" w:hAnsi="宋体" w:eastAsia="宋体" w:cs="宋体"/>
          <w:b/>
          <w:iCs/>
          <w:color w:val="auto"/>
          <w:sz w:val="24"/>
          <w:szCs w:val="24"/>
        </w:rPr>
        <w:t xml:space="preserve">部分</w:t>
      </w:r>
      <w:r>
        <w:rPr>
          <w:rFonts w:hint="eastAsia" w:ascii="宋体" w:hAnsi="宋体" w:eastAsia="宋体" w:cs="宋体"/>
          <w:b/>
          <w:color w:val="auto"/>
          <w:sz w:val="24"/>
          <w:szCs w:val="24"/>
        </w:rPr>
        <w:t xml:space="preserve">或未加*号条款</w:t>
      </w:r>
      <w:r>
        <w:rPr>
          <w:rFonts w:hint="eastAsia" w:ascii="宋体" w:hAnsi="宋体" w:eastAsia="宋体" w:cs="宋体"/>
          <w:color w:val="auto"/>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bookmarkStart w:id="208" w:name="_GoBack"/>
      <w:r/>
      <w:bookmarkEnd w:id="208"/>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45"/>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4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5"/>
        <w:ind w:left="420"/>
        <w:spacing w:before="0" w:after="0" w:line="420" w:lineRule="exact"/>
        <w:rPr>
          <w:rFonts w:hint="eastAsia" w:ascii="宋体" w:hAnsi="宋体"/>
          <w:szCs w:val="21"/>
        </w:rPr>
      </w:pPr>
      <w:r>
        <w:rPr>
          <w:rFonts w:hint="eastAsia" w:ascii="宋体" w:hAnsi="宋体"/>
          <w:szCs w:val="21"/>
        </w:rPr>
        <w:t xml:space="preserve">地          址：</w:t>
      </w:r>
      <w:r/>
    </w:p>
    <w:p>
      <w:pPr>
        <w:pStyle w:val="945"/>
        <w:ind w:left="420"/>
        <w:spacing w:before="0" w:after="0" w:line="420" w:lineRule="exact"/>
        <w:rPr>
          <w:rFonts w:hint="eastAsia" w:ascii="宋体" w:hAnsi="宋体"/>
          <w:szCs w:val="21"/>
        </w:rPr>
      </w:pPr>
      <w:r>
        <w:rPr>
          <w:rFonts w:hint="eastAsia" w:ascii="宋体" w:hAnsi="宋体"/>
          <w:szCs w:val="21"/>
        </w:rPr>
        <w:t xml:space="preserve">邮          编：</w:t>
      </w:r>
      <w:r/>
    </w:p>
    <w:p>
      <w:pPr>
        <w:pStyle w:val="945"/>
        <w:ind w:left="420"/>
        <w:spacing w:before="0" w:after="0" w:line="420" w:lineRule="exact"/>
        <w:rPr>
          <w:rFonts w:hint="eastAsia" w:ascii="宋体" w:hAnsi="宋体"/>
          <w:szCs w:val="21"/>
        </w:rPr>
      </w:pPr>
      <w:r>
        <w:rPr>
          <w:rFonts w:hint="eastAsia" w:ascii="宋体" w:hAnsi="宋体"/>
          <w:szCs w:val="21"/>
        </w:rPr>
        <w:t xml:space="preserve">电          话：</w:t>
      </w:r>
      <w:r/>
    </w:p>
    <w:p>
      <w:pPr>
        <w:pStyle w:val="945"/>
        <w:ind w:left="420"/>
        <w:spacing w:before="0" w:after="0" w:line="420" w:lineRule="exact"/>
        <w:rPr>
          <w:rFonts w:hint="eastAsia" w:ascii="宋体" w:hAnsi="宋体"/>
          <w:szCs w:val="21"/>
        </w:rPr>
      </w:pPr>
      <w:r>
        <w:rPr>
          <w:rFonts w:hint="eastAsia" w:ascii="宋体" w:hAnsi="宋体"/>
          <w:szCs w:val="21"/>
        </w:rPr>
        <w:t xml:space="preserve">传          真：</w:t>
      </w:r>
      <w:r/>
    </w:p>
    <w:p>
      <w:pPr>
        <w:pStyle w:val="94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5"/>
        <w:ind w:left="420"/>
        <w:spacing w:before="0" w:after="0" w:line="420" w:lineRule="exact"/>
        <w:rPr>
          <w:rFonts w:hint="eastAsia" w:ascii="宋体" w:hAnsi="宋体"/>
          <w:szCs w:val="21"/>
        </w:rPr>
      </w:pPr>
      <w:r>
        <w:rPr>
          <w:rFonts w:hint="eastAsia" w:ascii="宋体" w:hAnsi="宋体"/>
          <w:szCs w:val="21"/>
        </w:rPr>
        <w:t xml:space="preserve">账          号： </w:t>
      </w:r>
      <w:r/>
    </w:p>
    <w:p>
      <w:pPr>
        <w:pStyle w:val="945"/>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4"/>
      <w:r/>
      <w:bookmarkEnd w:id="205"/>
      <w:r/>
      <w:bookmarkEnd w:id="206"/>
      <w:r/>
      <w:r/>
    </w:p>
    <w:p>
      <w:pPr>
        <w:spacing w:line="460" w:lineRule="exact"/>
        <w:rPr>
          <w:rFonts w:hint="eastAsia" w:ascii="黑体" w:hAnsi="黑体" w:eastAsia="黑体"/>
          <w:b/>
          <w:sz w:val="32"/>
          <w:szCs w:val="32"/>
        </w:rPr>
      </w:pPr>
      <w:r/>
      <w:bookmarkStart w:id="207"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12-1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或加*号条款为实质性要求）</w:t>
      </w:r>
      <w:r>
        <w:rPr>
          <w:rFonts w:ascii="宋体" w:hAnsi="宋体"/>
          <w:color w:val="auto"/>
          <w:sz w:val="24"/>
          <w:szCs w:val="24"/>
        </w:rPr>
        <w:t xml:space="preserve">逐条做出明确响应</w:t>
      </w:r>
      <w:r>
        <w:rPr>
          <w:rFonts w:hint="eastAsia" w:ascii="宋体" w:hAnsi="宋体"/>
          <w:color w:val="auto"/>
          <w:sz w:val="24"/>
          <w:szCs w:val="24"/>
        </w:rPr>
        <w:t xml:space="preserve">，</w:t>
      </w:r>
      <w:r>
        <w:rPr>
          <w:rFonts w:hint="eastAsia" w:ascii="宋体" w:hAnsi="宋体"/>
          <w:color w:val="auto"/>
          <w:sz w:val="24"/>
        </w:rPr>
        <w:t xml:space="preserve">否则作无效投标处理</w:t>
      </w:r>
      <w:r>
        <w:rPr>
          <w:rFonts w:ascii="宋体" w:hAnsi="宋体"/>
          <w:color w:val="auto"/>
          <w:sz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8"/>
      <w:r/>
      <w:bookmarkEnd w:id="189"/>
      <w:r/>
      <w:bookmarkEnd w:id="207"/>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1"/>
        <w:rPr>
          <w:rFonts w:hint="eastAsia"/>
          <w:sz w:val="24"/>
          <w:szCs w:val="24"/>
        </w:rPr>
      </w:pPr>
      <w:r>
        <w:rPr>
          <w:rFonts w:hint="eastAsia"/>
          <w:sz w:val="24"/>
          <w:szCs w:val="24"/>
        </w:rPr>
      </w:r>
      <w:r/>
    </w:p>
    <w:p>
      <w:pPr>
        <w:pStyle w:val="871"/>
        <w:rPr>
          <w:sz w:val="24"/>
          <w:szCs w:val="24"/>
        </w:rPr>
      </w:pPr>
      <w:r>
        <w:rPr>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汉仪细等线繁">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12</w:t>
    </w:r>
    <w:r>
      <w:rPr>
        <w:rFonts w:ascii="宋体" w:hAnsi="宋体"/>
      </w:rPr>
      <w:fldChar w:fldCharType="end"/>
    </w:r>
    <w:r/>
  </w:p>
  <w:p>
    <w:pPr>
      <w:pStyle w:val="88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8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fldChar w:fldCharType="begin"/>
    </w:r>
    <w:r>
      <w:instrText xml:space="preserve">PAGE   \* MERGEFORMAT</w:instrText>
    </w:r>
    <w:r>
      <w:fldChar w:fldCharType="separate"/>
    </w:r>
    <w:r>
      <w:rPr>
        <w:lang w:val="zh-CN"/>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0"/>
    <w:uiPriority w:val="9"/>
    <w:rPr>
      <w:rFonts w:ascii="Arial" w:hAnsi="Arial" w:eastAsia="Arial" w:cs="Arial"/>
      <w:sz w:val="40"/>
      <w:szCs w:val="40"/>
    </w:rPr>
  </w:style>
  <w:style w:type="character" w:styleId="707">
    <w:name w:val="Heading 2 Char"/>
    <w:basedOn w:val="869"/>
    <w:link w:val="861"/>
    <w:uiPriority w:val="9"/>
    <w:rPr>
      <w:rFonts w:ascii="Arial" w:hAnsi="Arial" w:eastAsia="Arial" w:cs="Arial"/>
      <w:sz w:val="34"/>
    </w:rPr>
  </w:style>
  <w:style w:type="character" w:styleId="708">
    <w:name w:val="Heading 3 Char"/>
    <w:basedOn w:val="869"/>
    <w:link w:val="862"/>
    <w:uiPriority w:val="9"/>
    <w:rPr>
      <w:rFonts w:ascii="Arial" w:hAnsi="Arial" w:eastAsia="Arial" w:cs="Arial"/>
      <w:sz w:val="30"/>
      <w:szCs w:val="30"/>
    </w:rPr>
  </w:style>
  <w:style w:type="character" w:styleId="709">
    <w:name w:val="Heading 4 Char"/>
    <w:basedOn w:val="869"/>
    <w:link w:val="863"/>
    <w:uiPriority w:val="9"/>
    <w:rPr>
      <w:rFonts w:ascii="Arial" w:hAnsi="Arial" w:eastAsia="Arial" w:cs="Arial"/>
      <w:b/>
      <w:bCs/>
      <w:sz w:val="26"/>
      <w:szCs w:val="26"/>
    </w:rPr>
  </w:style>
  <w:style w:type="character" w:styleId="710">
    <w:name w:val="Heading 5 Char"/>
    <w:basedOn w:val="869"/>
    <w:link w:val="864"/>
    <w:uiPriority w:val="9"/>
    <w:rPr>
      <w:rFonts w:ascii="Arial" w:hAnsi="Arial" w:eastAsia="Arial" w:cs="Arial"/>
      <w:b/>
      <w:bCs/>
      <w:sz w:val="24"/>
      <w:szCs w:val="24"/>
    </w:rPr>
  </w:style>
  <w:style w:type="character" w:styleId="711">
    <w:name w:val="Heading 6 Char"/>
    <w:basedOn w:val="869"/>
    <w:link w:val="865"/>
    <w:uiPriority w:val="9"/>
    <w:rPr>
      <w:rFonts w:ascii="Arial" w:hAnsi="Arial" w:eastAsia="Arial" w:cs="Arial"/>
      <w:b/>
      <w:bCs/>
      <w:sz w:val="22"/>
      <w:szCs w:val="22"/>
    </w:rPr>
  </w:style>
  <w:style w:type="character" w:styleId="712">
    <w:name w:val="Heading 7 Char"/>
    <w:basedOn w:val="869"/>
    <w:link w:val="866"/>
    <w:uiPriority w:val="9"/>
    <w:rPr>
      <w:rFonts w:ascii="Arial" w:hAnsi="Arial" w:eastAsia="Arial" w:cs="Arial"/>
      <w:b/>
      <w:bCs/>
      <w:i/>
      <w:iCs/>
      <w:sz w:val="22"/>
      <w:szCs w:val="22"/>
    </w:rPr>
  </w:style>
  <w:style w:type="character" w:styleId="713">
    <w:name w:val="Heading 8 Char"/>
    <w:basedOn w:val="869"/>
    <w:link w:val="867"/>
    <w:uiPriority w:val="9"/>
    <w:rPr>
      <w:rFonts w:ascii="Arial" w:hAnsi="Arial" w:eastAsia="Arial" w:cs="Arial"/>
      <w:i/>
      <w:iCs/>
      <w:sz w:val="22"/>
      <w:szCs w:val="22"/>
    </w:rPr>
  </w:style>
  <w:style w:type="character" w:styleId="714">
    <w:name w:val="Heading 9 Char"/>
    <w:basedOn w:val="869"/>
    <w:link w:val="868"/>
    <w:uiPriority w:val="9"/>
    <w:rPr>
      <w:rFonts w:ascii="Arial" w:hAnsi="Arial" w:eastAsia="Arial" w:cs="Arial"/>
      <w:i/>
      <w:iCs/>
      <w:sz w:val="21"/>
      <w:szCs w:val="21"/>
    </w:rPr>
  </w:style>
  <w:style w:type="paragraph" w:styleId="715">
    <w:name w:val="Title"/>
    <w:basedOn w:val="859"/>
    <w:next w:val="859"/>
    <w:link w:val="716"/>
    <w:uiPriority w:val="10"/>
    <w:qFormat/>
    <w:pPr>
      <w:contextualSpacing/>
      <w:spacing w:before="300" w:after="200"/>
    </w:pPr>
    <w:rPr>
      <w:sz w:val="48"/>
      <w:szCs w:val="48"/>
    </w:rPr>
  </w:style>
  <w:style w:type="character" w:styleId="716">
    <w:name w:val="Title Char"/>
    <w:basedOn w:val="869"/>
    <w:link w:val="715"/>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9"/>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9"/>
    <w:link w:val="888"/>
    <w:uiPriority w:val="99"/>
  </w:style>
  <w:style w:type="character" w:styleId="724">
    <w:name w:val="Footer Char"/>
    <w:basedOn w:val="869"/>
    <w:link w:val="887"/>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7"/>
    <w:uiPriority w:val="99"/>
  </w:style>
  <w:style w:type="table" w:styleId="72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9"/>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1"/>
    <w:basedOn w:val="859"/>
    <w:next w:val="859"/>
    <w:link w:val="909"/>
    <w:uiPriority w:val="0"/>
    <w:qFormat/>
    <w:pPr>
      <w:jc w:val="center"/>
      <w:keepNext/>
      <w:outlineLvl w:val="0"/>
    </w:pPr>
    <w:rPr>
      <w:rFonts w:ascii="楷体_GB2312" w:eastAsia="楷体_GB2312"/>
      <w:sz w:val="28"/>
      <w:szCs w:val="28"/>
    </w:rPr>
  </w:style>
  <w:style w:type="paragraph" w:styleId="861">
    <w:name w:val="Heading 2"/>
    <w:basedOn w:val="859"/>
    <w:next w:val="871"/>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2">
    <w:name w:val="Heading 3"/>
    <w:basedOn w:val="859"/>
    <w:next w:val="871"/>
    <w:link w:val="912"/>
    <w:uiPriority w:val="0"/>
    <w:qFormat/>
    <w:pPr>
      <w:keepLines/>
      <w:keepNext/>
      <w:spacing w:before="260" w:after="260" w:line="416" w:lineRule="auto"/>
      <w:outlineLvl w:val="2"/>
    </w:pPr>
    <w:rPr>
      <w:b/>
      <w:bCs/>
      <w:sz w:val="32"/>
      <w:szCs w:val="32"/>
    </w:rPr>
  </w:style>
  <w:style w:type="paragraph" w:styleId="863">
    <w:name w:val="Heading 4"/>
    <w:basedOn w:val="859"/>
    <w:next w:val="871"/>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864">
    <w:name w:val="Heading 5"/>
    <w:basedOn w:val="859"/>
    <w:next w:val="871"/>
    <w:link w:val="914"/>
    <w:uiPriority w:val="0"/>
    <w:qFormat/>
    <w:pPr>
      <w:keepNext/>
      <w:outlineLvl w:val="4"/>
    </w:pPr>
    <w:rPr>
      <w:rFonts w:ascii="宋体"/>
      <w:color w:val="000000"/>
      <w:sz w:val="28"/>
      <w:szCs w:val="28"/>
    </w:rPr>
  </w:style>
  <w:style w:type="paragraph" w:styleId="865">
    <w:name w:val="Heading 6"/>
    <w:basedOn w:val="859"/>
    <w:next w:val="859"/>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16"/>
    <w:uiPriority w:val="0"/>
    <w:qFormat/>
    <w:pPr>
      <w:numPr>
        <w:ilvl w:val="6"/>
        <w:numId w:val="1"/>
      </w:numPr>
      <w:keepLines/>
      <w:keepNext/>
      <w:spacing w:before="240" w:after="64" w:line="320" w:lineRule="auto"/>
      <w:outlineLvl w:val="6"/>
    </w:pPr>
    <w:rPr>
      <w:b/>
      <w:bCs/>
      <w:sz w:val="24"/>
      <w:szCs w:val="24"/>
    </w:rPr>
  </w:style>
  <w:style w:type="paragraph" w:styleId="867">
    <w:name w:val="Heading 8"/>
    <w:basedOn w:val="859"/>
    <w:next w:val="859"/>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18"/>
    <w:uiPriority w:val="0"/>
    <w:qFormat/>
    <w:pPr>
      <w:numPr>
        <w:ilvl w:val="8"/>
        <w:numId w:val="1"/>
      </w:numPr>
      <w:keepLines/>
      <w:keepNext/>
      <w:spacing w:before="240" w:after="64" w:line="320" w:lineRule="auto"/>
      <w:outlineLvl w:val="8"/>
    </w:pPr>
    <w:rPr>
      <w:rFonts w:ascii="Arial" w:hAnsi="Arial" w:eastAsia="黑体"/>
    </w:rPr>
  </w:style>
  <w:style w:type="character" w:styleId="869" w:default="1">
    <w:name w:val="Default Paragraph Font"/>
    <w:uiPriority w:val="1"/>
    <w:unhideWhenUsed/>
    <w:qFormat/>
  </w:style>
  <w:style w:type="table" w:styleId="870" w:default="1">
    <w:name w:val="Normal Table"/>
    <w:uiPriority w:val="99"/>
    <w:unhideWhenUsed/>
    <w:qFormat/>
    <w:tblPr>
      <w:tblCellMar>
        <w:left w:w="108" w:type="dxa"/>
        <w:top w:w="0" w:type="dxa"/>
        <w:right w:w="108" w:type="dxa"/>
        <w:bottom w:w="0" w:type="dxa"/>
      </w:tblCellMar>
    </w:tblPr>
  </w:style>
  <w:style w:type="paragraph" w:styleId="871">
    <w:name w:val="Normal Indent"/>
    <w:basedOn w:val="859"/>
    <w:link w:val="911"/>
    <w:uiPriority w:val="0"/>
    <w:qFormat/>
    <w:pPr>
      <w:ind w:firstLine="420"/>
    </w:pPr>
  </w:style>
  <w:style w:type="paragraph" w:styleId="872">
    <w:name w:val="List 3"/>
    <w:basedOn w:val="859"/>
    <w:uiPriority w:val="0"/>
    <w:qFormat/>
    <w:pPr>
      <w:ind w:left="100" w:hanging="200"/>
    </w:pPr>
  </w:style>
  <w:style w:type="paragraph" w:styleId="873">
    <w:name w:val="toc 7"/>
    <w:basedOn w:val="859"/>
    <w:next w:val="859"/>
    <w:uiPriority w:val="0"/>
    <w:semiHidden/>
    <w:qFormat/>
    <w:pPr>
      <w:ind w:left="1260"/>
      <w:jc w:val="left"/>
    </w:pPr>
  </w:style>
  <w:style w:type="paragraph" w:styleId="874">
    <w:name w:val="Document Map"/>
    <w:basedOn w:val="859"/>
    <w:link w:val="919"/>
    <w:uiPriority w:val="0"/>
    <w:semiHidden/>
    <w:qFormat/>
    <w:pPr>
      <w:shd w:val="clear" w:color="auto" w:fill="000080"/>
    </w:pPr>
  </w:style>
  <w:style w:type="paragraph" w:styleId="875">
    <w:name w:val="annotation text"/>
    <w:basedOn w:val="859"/>
    <w:link w:val="920"/>
    <w:uiPriority w:val="0"/>
    <w:semiHidden/>
    <w:qFormat/>
    <w:pPr>
      <w:jc w:val="left"/>
    </w:pPr>
  </w:style>
  <w:style w:type="paragraph" w:styleId="876">
    <w:name w:val="Body Text 3"/>
    <w:basedOn w:val="859"/>
    <w:link w:val="921"/>
    <w:uiPriority w:val="0"/>
    <w:qFormat/>
    <w:rPr>
      <w:rFonts w:ascii="仿宋_GB2312" w:hAnsi="Arial" w:eastAsia="仿宋_GB2312"/>
      <w:sz w:val="32"/>
      <w:szCs w:val="32"/>
    </w:rPr>
  </w:style>
  <w:style w:type="paragraph" w:styleId="877">
    <w:name w:val="Body Text"/>
    <w:basedOn w:val="859"/>
    <w:link w:val="922"/>
    <w:uiPriority w:val="0"/>
    <w:qFormat/>
    <w:rPr>
      <w:rFonts w:ascii="楷体_GB2312" w:hAnsi="Arial" w:eastAsia="楷体_GB2312"/>
      <w:sz w:val="28"/>
      <w:szCs w:val="28"/>
    </w:rPr>
  </w:style>
  <w:style w:type="paragraph" w:styleId="878">
    <w:name w:val="Body Text Indent"/>
    <w:basedOn w:val="859"/>
    <w:link w:val="923"/>
    <w:uiPriority w:val="0"/>
    <w:qFormat/>
    <w:pPr>
      <w:ind w:firstLine="645"/>
    </w:pPr>
    <w:rPr>
      <w:rFonts w:ascii="楷体_GB2312" w:eastAsia="楷体_GB2312"/>
      <w:sz w:val="32"/>
      <w:szCs w:val="32"/>
    </w:rPr>
  </w:style>
  <w:style w:type="paragraph" w:styleId="879">
    <w:name w:val="List 2"/>
    <w:basedOn w:val="859"/>
    <w:uiPriority w:val="0"/>
    <w:qFormat/>
    <w:pPr>
      <w:ind w:left="100" w:hanging="200"/>
    </w:pPr>
  </w:style>
  <w:style w:type="paragraph" w:styleId="880">
    <w:name w:val="toc 5"/>
    <w:basedOn w:val="859"/>
    <w:next w:val="859"/>
    <w:uiPriority w:val="0"/>
    <w:semiHidden/>
    <w:qFormat/>
    <w:pPr>
      <w:ind w:left="840"/>
      <w:jc w:val="left"/>
    </w:pPr>
  </w:style>
  <w:style w:type="paragraph" w:styleId="881">
    <w:name w:val="toc 3"/>
    <w:basedOn w:val="859"/>
    <w:next w:val="859"/>
    <w:uiPriority w:val="0"/>
    <w:semiHidden/>
    <w:qFormat/>
    <w:pPr>
      <w:ind w:left="420"/>
      <w:jc w:val="left"/>
    </w:pPr>
    <w:rPr>
      <w:i/>
      <w:iCs/>
      <w:szCs w:val="24"/>
    </w:rPr>
  </w:style>
  <w:style w:type="paragraph" w:styleId="882">
    <w:name w:val="Plain Text"/>
    <w:basedOn w:val="859"/>
    <w:link w:val="924"/>
    <w:uiPriority w:val="0"/>
    <w:qFormat/>
    <w:rPr>
      <w:rFonts w:ascii="宋体" w:hAnsi="Courier New" w:cs="Courier New"/>
    </w:rPr>
  </w:style>
  <w:style w:type="paragraph" w:styleId="883">
    <w:name w:val="toc 8"/>
    <w:basedOn w:val="859"/>
    <w:next w:val="859"/>
    <w:uiPriority w:val="0"/>
    <w:semiHidden/>
    <w:qFormat/>
    <w:pPr>
      <w:ind w:left="1470"/>
      <w:jc w:val="left"/>
    </w:pPr>
  </w:style>
  <w:style w:type="paragraph" w:styleId="884">
    <w:name w:val="Date"/>
    <w:basedOn w:val="859"/>
    <w:next w:val="859"/>
    <w:link w:val="925"/>
    <w:uiPriority w:val="0"/>
    <w:qFormat/>
    <w:rPr>
      <w:sz w:val="24"/>
      <w:szCs w:val="24"/>
    </w:rPr>
  </w:style>
  <w:style w:type="paragraph" w:styleId="885">
    <w:name w:val="Body Text Indent 2"/>
    <w:basedOn w:val="859"/>
    <w:link w:val="926"/>
    <w:uiPriority w:val="0"/>
    <w:qFormat/>
    <w:pPr>
      <w:ind w:left="630" w:firstLine="645"/>
    </w:pPr>
    <w:rPr>
      <w:rFonts w:ascii="Arial" w:hAnsi="Arial" w:eastAsia="仿宋_GB2312" w:cs="Arial"/>
      <w:sz w:val="32"/>
      <w:szCs w:val="32"/>
    </w:rPr>
  </w:style>
  <w:style w:type="paragraph" w:styleId="886">
    <w:name w:val="Balloon Text"/>
    <w:basedOn w:val="859"/>
    <w:link w:val="927"/>
    <w:uiPriority w:val="0"/>
    <w:semiHidden/>
    <w:qFormat/>
    <w:rPr>
      <w:sz w:val="18"/>
      <w:szCs w:val="18"/>
    </w:rPr>
  </w:style>
  <w:style w:type="paragraph" w:styleId="887">
    <w:name w:val="Footer"/>
    <w:basedOn w:val="859"/>
    <w:link w:val="928"/>
    <w:uiPriority w:val="99"/>
    <w:qFormat/>
    <w:pPr>
      <w:jc w:val="left"/>
      <w:tabs>
        <w:tab w:val="center" w:pos="4153" w:leader="none"/>
        <w:tab w:val="right" w:pos="8306" w:leader="none"/>
      </w:tabs>
    </w:pPr>
    <w:rPr>
      <w:sz w:val="18"/>
      <w:szCs w:val="18"/>
    </w:rPr>
  </w:style>
  <w:style w:type="paragraph" w:styleId="888">
    <w:name w:val="Header"/>
    <w:basedOn w:val="859"/>
    <w:link w:val="929"/>
    <w:uiPriority w:val="0"/>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9"/>
    <w:next w:val="859"/>
    <w:uiPriority w:val="0"/>
    <w:semiHidden/>
    <w:qFormat/>
    <w:pPr>
      <w:jc w:val="left"/>
      <w:spacing w:before="120" w:after="120" w:line="400" w:lineRule="exact"/>
      <w:tabs>
        <w:tab w:val="right" w:pos="8720" w:leader="dot"/>
      </w:tabs>
    </w:pPr>
    <w:rPr>
      <w:rFonts w:ascii="宋体" w:hAnsi="宋体"/>
      <w:caps/>
      <w:sz w:val="24"/>
      <w:szCs w:val="24"/>
    </w:rPr>
  </w:style>
  <w:style w:type="paragraph" w:styleId="890">
    <w:name w:val="toc 4"/>
    <w:basedOn w:val="859"/>
    <w:next w:val="859"/>
    <w:uiPriority w:val="0"/>
    <w:semiHidden/>
    <w:qFormat/>
    <w:pPr>
      <w:ind w:left="630"/>
      <w:jc w:val="left"/>
    </w:pPr>
  </w:style>
  <w:style w:type="paragraph" w:styleId="891">
    <w:name w:val="List"/>
    <w:basedOn w:val="859"/>
    <w:uiPriority w:val="0"/>
    <w:qFormat/>
    <w:pPr>
      <w:ind w:left="200" w:hanging="200"/>
    </w:pPr>
  </w:style>
  <w:style w:type="paragraph" w:styleId="892">
    <w:name w:val="toc 6"/>
    <w:basedOn w:val="859"/>
    <w:next w:val="859"/>
    <w:uiPriority w:val="0"/>
    <w:semiHidden/>
    <w:qFormat/>
    <w:pPr>
      <w:ind w:left="1050"/>
      <w:jc w:val="left"/>
    </w:pPr>
  </w:style>
  <w:style w:type="paragraph" w:styleId="893">
    <w:name w:val="Body Text Indent 3"/>
    <w:basedOn w:val="859"/>
    <w:link w:val="930"/>
    <w:uiPriority w:val="0"/>
    <w:qFormat/>
    <w:pPr>
      <w:ind w:left="645" w:firstLine="645"/>
    </w:pPr>
    <w:rPr>
      <w:rFonts w:ascii="Arial" w:hAnsi="Arial" w:eastAsia="仿宋_GB2312" w:cs="Arial"/>
      <w:color w:val="ffff00"/>
      <w:sz w:val="32"/>
      <w:szCs w:val="32"/>
    </w:rPr>
  </w:style>
  <w:style w:type="paragraph" w:styleId="894">
    <w:name w:val="table of figures"/>
    <w:basedOn w:val="859"/>
    <w:next w:val="859"/>
    <w:uiPriority w:val="0"/>
    <w:semiHidden/>
    <w:qFormat/>
    <w:pPr>
      <w:ind w:left="840" w:hanging="420"/>
    </w:pPr>
  </w:style>
  <w:style w:type="paragraph" w:styleId="895">
    <w:name w:val="toc 2"/>
    <w:basedOn w:val="859"/>
    <w:next w:val="859"/>
    <w:uiPriority w:val="0"/>
    <w:semiHidden/>
    <w:qFormat/>
    <w:pPr>
      <w:ind w:left="210"/>
      <w:jc w:val="left"/>
    </w:pPr>
    <w:rPr>
      <w:smallCaps/>
      <w:szCs w:val="24"/>
    </w:rPr>
  </w:style>
  <w:style w:type="paragraph" w:styleId="896">
    <w:name w:val="toc 9"/>
    <w:basedOn w:val="859"/>
    <w:next w:val="859"/>
    <w:uiPriority w:val="0"/>
    <w:semiHidden/>
    <w:qFormat/>
    <w:pPr>
      <w:ind w:left="1680"/>
      <w:jc w:val="left"/>
    </w:pPr>
  </w:style>
  <w:style w:type="paragraph" w:styleId="897">
    <w:name w:val="Body Text 2"/>
    <w:basedOn w:val="859"/>
    <w:link w:val="931"/>
    <w:uiPriority w:val="0"/>
    <w:qFormat/>
    <w:pPr>
      <w:jc w:val="center"/>
      <w:widowControl/>
    </w:pPr>
    <w:rPr>
      <w:rFonts w:ascii="楷体_GB2312" w:eastAsia="楷体_GB2312"/>
      <w:sz w:val="28"/>
      <w:szCs w:val="28"/>
    </w:rPr>
  </w:style>
  <w:style w:type="paragraph" w:styleId="898">
    <w:name w:val="Normal (Web)"/>
    <w:basedOn w:val="859"/>
    <w:uiPriority w:val="99"/>
    <w:qFormat/>
    <w:pPr>
      <w:jc w:val="left"/>
      <w:spacing w:before="100" w:beforeAutospacing="1" w:after="100" w:afterAutospacing="1"/>
      <w:widowControl/>
    </w:pPr>
    <w:rPr>
      <w:rFonts w:ascii="宋体" w:hAnsi="宋体" w:cs="宋体"/>
      <w:sz w:val="24"/>
      <w:szCs w:val="24"/>
    </w:rPr>
  </w:style>
  <w:style w:type="paragraph" w:styleId="899">
    <w:name w:val="index 1"/>
    <w:basedOn w:val="859"/>
    <w:next w:val="859"/>
    <w:uiPriority w:val="0"/>
    <w:semiHidden/>
    <w:qFormat/>
    <w:pPr>
      <w:spacing w:line="240" w:lineRule="atLeast"/>
    </w:pPr>
    <w:rPr>
      <w:b/>
      <w:bCs/>
    </w:rPr>
  </w:style>
  <w:style w:type="paragraph" w:styleId="900">
    <w:name w:val="annotation subject"/>
    <w:basedOn w:val="875"/>
    <w:next w:val="875"/>
    <w:link w:val="932"/>
    <w:uiPriority w:val="0"/>
    <w:semiHidden/>
    <w:qFormat/>
    <w:rPr>
      <w:b/>
      <w:bCs/>
    </w:rPr>
  </w:style>
  <w:style w:type="paragraph" w:styleId="901">
    <w:name w:val="Body Text First Indent"/>
    <w:basedOn w:val="859"/>
    <w:link w:val="933"/>
    <w:uiPriority w:val="0"/>
    <w:qFormat/>
    <w:pPr>
      <w:ind w:firstLine="200"/>
      <w:spacing w:line="360" w:lineRule="auto"/>
    </w:pPr>
    <w:rPr>
      <w:rFonts w:ascii="仿宋_GB2312" w:eastAsia="仿宋_GB2312"/>
      <w:sz w:val="30"/>
      <w:szCs w:val="30"/>
    </w:rPr>
  </w:style>
  <w:style w:type="paragraph" w:styleId="902">
    <w:name w:val="Body Text First Indent 2"/>
    <w:basedOn w:val="878"/>
    <w:link w:val="934"/>
    <w:uiPriority w:val="0"/>
    <w:qFormat/>
    <w:pPr>
      <w:ind w:firstLine="420"/>
      <w:spacing w:line="360" w:lineRule="auto"/>
    </w:pPr>
    <w:rPr>
      <w:rFonts w:ascii="宋体" w:hAnsi="宋体" w:eastAsia="宋体"/>
      <w:sz w:val="21"/>
      <w:szCs w:val="20"/>
    </w:rPr>
  </w:style>
  <w:style w:type="table" w:styleId="903">
    <w:name w:val="Table Grid"/>
    <w:basedOn w:val="87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0"/>
    <w:qFormat/>
    <w:rPr>
      <w:b/>
      <w:bCs/>
    </w:rPr>
  </w:style>
  <w:style w:type="character" w:styleId="905">
    <w:name w:val="page number"/>
    <w:uiPriority w:val="0"/>
    <w:qFormat/>
  </w:style>
  <w:style w:type="character" w:styleId="906">
    <w:name w:val="FollowedHyperlink"/>
    <w:uiPriority w:val="0"/>
    <w:qFormat/>
    <w:rPr>
      <w:color w:val="800080"/>
      <w:u w:val="single"/>
    </w:rPr>
  </w:style>
  <w:style w:type="character" w:styleId="907">
    <w:name w:val="Hyperlink"/>
    <w:uiPriority w:val="0"/>
    <w:qFormat/>
    <w:rPr>
      <w:color w:val="0000ff"/>
      <w:u w:val="single"/>
    </w:rPr>
  </w:style>
  <w:style w:type="character" w:styleId="908">
    <w:name w:val="annotation reference"/>
    <w:uiPriority w:val="0"/>
    <w:semiHidden/>
    <w:qFormat/>
    <w:rPr>
      <w:sz w:val="21"/>
      <w:szCs w:val="21"/>
    </w:rPr>
  </w:style>
  <w:style w:type="character" w:styleId="909" w:customStyle="1">
    <w:name w:val="标题 1 Char"/>
    <w:link w:val="860"/>
    <w:uiPriority w:val="0"/>
    <w:qFormat/>
    <w:rPr>
      <w:rFonts w:ascii="楷体_GB2312" w:hAnsi="Times New Roman" w:eastAsia="楷体_GB2312" w:cs="Times New Roman"/>
      <w:sz w:val="28"/>
      <w:szCs w:val="28"/>
    </w:rPr>
  </w:style>
  <w:style w:type="character" w:styleId="910" w:customStyle="1">
    <w:name w:val="标题 2 Char"/>
    <w:link w:val="861"/>
    <w:uiPriority w:val="0"/>
    <w:qFormat/>
    <w:rPr>
      <w:rFonts w:ascii="Arial" w:hAnsi="Arial" w:eastAsia="幼圆" w:cs="Arial"/>
      <w:b/>
      <w:bCs/>
      <w:sz w:val="44"/>
      <w:szCs w:val="44"/>
    </w:rPr>
  </w:style>
  <w:style w:type="character" w:styleId="911" w:customStyle="1">
    <w:name w:val="正文缩进 Char"/>
    <w:link w:val="871"/>
    <w:uiPriority w:val="0"/>
    <w:qFormat/>
    <w:rPr>
      <w:rFonts w:ascii="Times New Roman" w:hAnsi="Times New Roman" w:eastAsia="宋体" w:cs="Times New Roman"/>
      <w:szCs w:val="21"/>
    </w:rPr>
  </w:style>
  <w:style w:type="character" w:styleId="912" w:customStyle="1">
    <w:name w:val="标题 3 Char"/>
    <w:link w:val="862"/>
    <w:uiPriority w:val="0"/>
    <w:qFormat/>
    <w:rPr>
      <w:rFonts w:ascii="Times New Roman" w:hAnsi="Times New Roman" w:eastAsia="宋体" w:cs="Times New Roman"/>
      <w:b/>
      <w:bCs/>
      <w:sz w:val="32"/>
      <w:szCs w:val="32"/>
    </w:rPr>
  </w:style>
  <w:style w:type="character" w:styleId="913" w:customStyle="1">
    <w:name w:val="标题 4 Char"/>
    <w:link w:val="863"/>
    <w:uiPriority w:val="0"/>
    <w:qFormat/>
    <w:rPr>
      <w:rFonts w:ascii="Arial" w:hAnsi="Arial" w:eastAsia="黑体" w:cs="Arial"/>
      <w:b/>
      <w:bCs/>
      <w:sz w:val="28"/>
      <w:szCs w:val="28"/>
    </w:rPr>
  </w:style>
  <w:style w:type="character" w:styleId="914" w:customStyle="1">
    <w:name w:val="标题 5 Char"/>
    <w:link w:val="864"/>
    <w:uiPriority w:val="0"/>
    <w:qFormat/>
    <w:rPr>
      <w:rFonts w:ascii="宋体" w:hAnsi="Times New Roman" w:eastAsia="宋体" w:cs="Times New Roman"/>
      <w:color w:val="000000"/>
      <w:sz w:val="28"/>
      <w:szCs w:val="28"/>
    </w:rPr>
  </w:style>
  <w:style w:type="character" w:styleId="915" w:customStyle="1">
    <w:name w:val="标题 6 Char"/>
    <w:link w:val="865"/>
    <w:uiPriority w:val="0"/>
    <w:qFormat/>
    <w:rPr>
      <w:rFonts w:ascii="Arial" w:hAnsi="Arial" w:eastAsia="黑体" w:cs="Times New Roman"/>
      <w:b/>
      <w:bCs/>
      <w:sz w:val="24"/>
      <w:szCs w:val="24"/>
    </w:rPr>
  </w:style>
  <w:style w:type="character" w:styleId="916" w:customStyle="1">
    <w:name w:val="标题 7 Char"/>
    <w:link w:val="866"/>
    <w:uiPriority w:val="0"/>
    <w:qFormat/>
    <w:rPr>
      <w:rFonts w:ascii="Times New Roman" w:hAnsi="Times New Roman" w:eastAsia="宋体" w:cs="Times New Roman"/>
      <w:b/>
      <w:bCs/>
      <w:sz w:val="24"/>
      <w:szCs w:val="24"/>
    </w:rPr>
  </w:style>
  <w:style w:type="character" w:styleId="917" w:customStyle="1">
    <w:name w:val="标题 8 Char"/>
    <w:link w:val="867"/>
    <w:uiPriority w:val="0"/>
    <w:qFormat/>
    <w:rPr>
      <w:rFonts w:ascii="Arial" w:hAnsi="Arial" w:eastAsia="黑体" w:cs="Times New Roman"/>
      <w:sz w:val="24"/>
      <w:szCs w:val="24"/>
    </w:rPr>
  </w:style>
  <w:style w:type="character" w:styleId="918" w:customStyle="1">
    <w:name w:val="标题 9 Char"/>
    <w:link w:val="868"/>
    <w:uiPriority w:val="0"/>
    <w:qFormat/>
    <w:rPr>
      <w:rFonts w:ascii="Arial" w:hAnsi="Arial" w:eastAsia="黑体" w:cs="Times New Roman"/>
      <w:szCs w:val="21"/>
    </w:rPr>
  </w:style>
  <w:style w:type="character" w:styleId="919" w:customStyle="1">
    <w:name w:val="文档结构图 Char"/>
    <w:link w:val="874"/>
    <w:uiPriority w:val="0"/>
    <w:semiHidden/>
    <w:qFormat/>
    <w:rPr>
      <w:rFonts w:ascii="Times New Roman" w:hAnsi="Times New Roman" w:eastAsia="宋体" w:cs="Times New Roman"/>
      <w:szCs w:val="21"/>
      <w:shd w:val="clear" w:color="auto" w:fill="000080"/>
    </w:rPr>
  </w:style>
  <w:style w:type="character" w:styleId="920" w:customStyle="1">
    <w:name w:val="批注文字 Char"/>
    <w:link w:val="875"/>
    <w:uiPriority w:val="0"/>
    <w:semiHidden/>
    <w:qFormat/>
    <w:rPr>
      <w:rFonts w:ascii="Times New Roman" w:hAnsi="Times New Roman" w:eastAsia="宋体" w:cs="Times New Roman"/>
      <w:szCs w:val="21"/>
    </w:rPr>
  </w:style>
  <w:style w:type="character" w:styleId="921" w:customStyle="1">
    <w:name w:val="正文文本 3 Char"/>
    <w:link w:val="876"/>
    <w:uiPriority w:val="0"/>
    <w:qFormat/>
    <w:rPr>
      <w:rFonts w:ascii="仿宋_GB2312" w:hAnsi="Arial" w:eastAsia="仿宋_GB2312" w:cs="Times New Roman"/>
      <w:sz w:val="32"/>
      <w:szCs w:val="32"/>
    </w:rPr>
  </w:style>
  <w:style w:type="character" w:styleId="922" w:customStyle="1">
    <w:name w:val="正文文本 Char"/>
    <w:link w:val="877"/>
    <w:uiPriority w:val="0"/>
    <w:qFormat/>
    <w:rPr>
      <w:rFonts w:ascii="楷体_GB2312" w:hAnsi="Arial" w:eastAsia="楷体_GB2312" w:cs="Times New Roman"/>
      <w:sz w:val="28"/>
      <w:szCs w:val="28"/>
    </w:rPr>
  </w:style>
  <w:style w:type="character" w:styleId="923" w:customStyle="1">
    <w:name w:val="正文文本缩进 Char"/>
    <w:link w:val="878"/>
    <w:uiPriority w:val="0"/>
    <w:qFormat/>
    <w:rPr>
      <w:rFonts w:ascii="楷体_GB2312" w:hAnsi="Times New Roman" w:eastAsia="楷体_GB2312" w:cs="Times New Roman"/>
      <w:sz w:val="32"/>
      <w:szCs w:val="32"/>
    </w:rPr>
  </w:style>
  <w:style w:type="character" w:styleId="924" w:customStyle="1">
    <w:name w:val="纯文本 Char"/>
    <w:link w:val="882"/>
    <w:uiPriority w:val="0"/>
    <w:qFormat/>
    <w:rPr>
      <w:rFonts w:ascii="宋体" w:hAnsi="Courier New" w:eastAsia="宋体" w:cs="Courier New"/>
      <w:szCs w:val="21"/>
    </w:rPr>
  </w:style>
  <w:style w:type="character" w:styleId="925" w:customStyle="1">
    <w:name w:val="日期 Char"/>
    <w:link w:val="884"/>
    <w:uiPriority w:val="0"/>
    <w:qFormat/>
    <w:rPr>
      <w:rFonts w:ascii="Times New Roman" w:hAnsi="Times New Roman" w:eastAsia="宋体" w:cs="Times New Roman"/>
      <w:sz w:val="24"/>
      <w:szCs w:val="24"/>
    </w:rPr>
  </w:style>
  <w:style w:type="character" w:styleId="926" w:customStyle="1">
    <w:name w:val="正文文本缩进 2 Char"/>
    <w:link w:val="885"/>
    <w:uiPriority w:val="0"/>
    <w:qFormat/>
    <w:rPr>
      <w:rFonts w:ascii="Arial" w:hAnsi="Arial" w:eastAsia="仿宋_GB2312" w:cs="Arial"/>
      <w:sz w:val="32"/>
      <w:szCs w:val="32"/>
    </w:rPr>
  </w:style>
  <w:style w:type="character" w:styleId="927" w:customStyle="1">
    <w:name w:val="批注框文本 Char"/>
    <w:link w:val="886"/>
    <w:uiPriority w:val="0"/>
    <w:semiHidden/>
    <w:qFormat/>
    <w:rPr>
      <w:rFonts w:ascii="Times New Roman" w:hAnsi="Times New Roman" w:eastAsia="宋体" w:cs="Times New Roman"/>
      <w:sz w:val="18"/>
      <w:szCs w:val="18"/>
    </w:rPr>
  </w:style>
  <w:style w:type="character" w:styleId="928" w:customStyle="1">
    <w:name w:val="页脚 Char"/>
    <w:link w:val="887"/>
    <w:uiPriority w:val="99"/>
    <w:qFormat/>
    <w:rPr>
      <w:rFonts w:ascii="Times New Roman" w:hAnsi="Times New Roman" w:eastAsia="宋体" w:cs="Times New Roman"/>
      <w:sz w:val="18"/>
      <w:szCs w:val="18"/>
    </w:rPr>
  </w:style>
  <w:style w:type="character" w:styleId="929" w:customStyle="1">
    <w:name w:val="页眉 Char"/>
    <w:link w:val="888"/>
    <w:uiPriority w:val="0"/>
    <w:qFormat/>
    <w:rPr>
      <w:rFonts w:ascii="Times New Roman" w:hAnsi="Times New Roman" w:eastAsia="宋体" w:cs="Times New Roman"/>
      <w:sz w:val="18"/>
      <w:szCs w:val="18"/>
    </w:rPr>
  </w:style>
  <w:style w:type="character" w:styleId="930" w:customStyle="1">
    <w:name w:val="正文文本缩进 3 Char"/>
    <w:link w:val="893"/>
    <w:uiPriority w:val="0"/>
    <w:qFormat/>
    <w:rPr>
      <w:rFonts w:ascii="Arial" w:hAnsi="Arial" w:eastAsia="仿宋_GB2312" w:cs="Arial"/>
      <w:color w:val="ffff00"/>
      <w:sz w:val="32"/>
      <w:szCs w:val="32"/>
    </w:rPr>
  </w:style>
  <w:style w:type="character" w:styleId="931" w:customStyle="1">
    <w:name w:val="正文文本 2 Char"/>
    <w:link w:val="897"/>
    <w:uiPriority w:val="0"/>
    <w:qFormat/>
    <w:rPr>
      <w:rFonts w:ascii="楷体_GB2312" w:hAnsi="Times New Roman" w:eastAsia="楷体_GB2312" w:cs="Times New Roman"/>
      <w:sz w:val="28"/>
      <w:szCs w:val="28"/>
    </w:rPr>
  </w:style>
  <w:style w:type="character" w:styleId="932" w:customStyle="1">
    <w:name w:val="批注主题 Char"/>
    <w:link w:val="900"/>
    <w:uiPriority w:val="0"/>
    <w:semiHidden/>
    <w:qFormat/>
    <w:rPr>
      <w:rFonts w:ascii="Times New Roman" w:hAnsi="Times New Roman" w:eastAsia="宋体" w:cs="Times New Roman"/>
      <w:b/>
      <w:bCs/>
      <w:szCs w:val="21"/>
    </w:rPr>
  </w:style>
  <w:style w:type="character" w:styleId="933" w:customStyle="1">
    <w:name w:val="正文首行缩进 Char"/>
    <w:link w:val="901"/>
    <w:uiPriority w:val="0"/>
    <w:qFormat/>
    <w:rPr>
      <w:rFonts w:ascii="仿宋_GB2312" w:hAnsi="Times New Roman" w:eastAsia="仿宋_GB2312" w:cs="Times New Roman"/>
      <w:sz w:val="30"/>
      <w:szCs w:val="30"/>
    </w:rPr>
  </w:style>
  <w:style w:type="character" w:styleId="934" w:customStyle="1">
    <w:name w:val="正文首行缩进 2 Char"/>
    <w:link w:val="902"/>
    <w:uiPriority w:val="0"/>
    <w:qFormat/>
    <w:rPr>
      <w:rFonts w:ascii="宋体" w:hAnsi="宋体" w:eastAsia="宋体" w:cs="Times New Roman"/>
      <w:sz w:val="32"/>
      <w:szCs w:val="20"/>
    </w:rPr>
  </w:style>
  <w:style w:type="character" w:styleId="935" w:customStyle="1">
    <w:name w:val="font5 Char"/>
    <w:uiPriority w:val="0"/>
    <w:qFormat/>
    <w:rPr>
      <w:rFonts w:ascii="宋体" w:hAnsi="宋体" w:eastAsia="宋体"/>
      <w:sz w:val="28"/>
      <w:szCs w:val="28"/>
      <w:lang w:val="en-US" w:eastAsia="zh-CN" w:bidi="ar-SA"/>
    </w:rPr>
  </w:style>
  <w:style w:type="character" w:styleId="936" w:customStyle="1">
    <w:name w:val="二级目录 Char"/>
    <w:link w:val="937"/>
    <w:uiPriority w:val="0"/>
    <w:qFormat/>
    <w:rPr>
      <w:b/>
      <w:sz w:val="30"/>
      <w:szCs w:val="28"/>
    </w:rPr>
  </w:style>
  <w:style w:type="paragraph" w:styleId="937" w:customStyle="1">
    <w:name w:val="二级目录"/>
    <w:next w:val="859"/>
    <w:link w:val="936"/>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38" w:customStyle="1">
    <w:name w:val="列出段落 Char"/>
    <w:link w:val="939"/>
    <w:uiPriority w:val="0"/>
    <w:qFormat/>
    <w:rPr>
      <w:rFonts w:ascii="Calibri" w:hAnsi="Calibri"/>
      <w:sz w:val="24"/>
      <w:szCs w:val="24"/>
      <w:lang w:eastAsia="en-US" w:bidi="en-US"/>
    </w:rPr>
  </w:style>
  <w:style w:type="paragraph" w:styleId="939" w:customStyle="1">
    <w:name w:val="列出段落1"/>
    <w:basedOn w:val="859"/>
    <w:link w:val="938"/>
    <w:uiPriority w:val="0"/>
    <w:qFormat/>
    <w:pPr>
      <w:contextualSpacing/>
      <w:ind w:left="720"/>
      <w:jc w:val="left"/>
      <w:widowControl/>
    </w:pPr>
    <w:rPr>
      <w:rFonts w:ascii="Calibri" w:hAnsi="Calibri" w:eastAsia="宋体" w:cs="Times New Roman"/>
      <w:sz w:val="24"/>
      <w:szCs w:val="24"/>
      <w:lang w:eastAsia="en-US" w:bidi="en-US"/>
    </w:rPr>
  </w:style>
  <w:style w:type="paragraph" w:styleId="940" w:customStyle="1">
    <w:name w:val="Body Text(ch)"/>
    <w:basedOn w:val="859"/>
    <w:next w:val="877"/>
    <w:uiPriority w:val="0"/>
    <w:qFormat/>
    <w:pPr>
      <w:spacing w:after="120"/>
    </w:pPr>
    <w:rPr>
      <w:rFonts w:ascii="宋体" w:hAnsi="Arial"/>
      <w:bCs/>
      <w:iCs/>
      <w:szCs w:val="24"/>
    </w:rPr>
  </w:style>
  <w:style w:type="paragraph" w:styleId="941" w:customStyle="1">
    <w:name w:val="xl27"/>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2" w:customStyle="1">
    <w:name w:val="xl26"/>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3" w:customStyle="1">
    <w:name w:val="Char"/>
    <w:basedOn w:val="859"/>
    <w:uiPriority w:val="0"/>
    <w:qFormat/>
    <w:pPr>
      <w:ind w:firstLine="200"/>
      <w:tabs>
        <w:tab w:val="left" w:pos="360" w:leader="none"/>
      </w:tabs>
    </w:pPr>
    <w:rPr>
      <w:sz w:val="28"/>
      <w:szCs w:val="30"/>
    </w:rPr>
  </w:style>
  <w:style w:type="paragraph" w:styleId="944" w:customStyle="1">
    <w:name w:val=" Char"/>
    <w:basedOn w:val="874"/>
    <w:uiPriority w:val="0"/>
    <w:qFormat/>
    <w:rPr>
      <w:rFonts w:ascii="Tahoma" w:hAnsi="Tahoma"/>
      <w:sz w:val="24"/>
      <w:szCs w:val="24"/>
    </w:rPr>
  </w:style>
  <w:style w:type="paragraph" w:styleId="945"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946" w:customStyle="1">
    <w:name w:val="table_lines"/>
    <w:basedOn w:val="859"/>
    <w:uiPriority w:val="0"/>
    <w:qFormat/>
    <w:pPr>
      <w:jc w:val="left"/>
      <w:widowControl/>
    </w:pPr>
    <w:rPr>
      <w:sz w:val="20"/>
      <w:szCs w:val="20"/>
      <w:lang w:val="de-DE" w:eastAsia="de-DE"/>
    </w:rPr>
  </w:style>
  <w:style w:type="paragraph" w:styleId="94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8" w:customStyle="1">
    <w:name w:val="font7"/>
    <w:basedOn w:val="859"/>
    <w:uiPriority w:val="0"/>
    <w:qFormat/>
    <w:pPr>
      <w:jc w:val="left"/>
      <w:spacing w:before="100" w:beforeAutospacing="1" w:after="100" w:afterAutospacing="1"/>
      <w:widowControl/>
    </w:pPr>
    <w:rPr>
      <w:rFonts w:hint="eastAsia" w:ascii="宋体" w:hAnsi="宋体"/>
      <w:sz w:val="18"/>
      <w:szCs w:val="18"/>
    </w:rPr>
  </w:style>
  <w:style w:type="paragraph" w:styleId="949" w:customStyle="1">
    <w:name w:val=" Char Char Char Char"/>
    <w:basedOn w:val="874"/>
    <w:uiPriority w:val="0"/>
    <w:qFormat/>
    <w:pPr>
      <w:spacing w:line="360" w:lineRule="auto"/>
    </w:pPr>
    <w:rPr>
      <w:rFonts w:ascii="Tahoma" w:hAnsi="Tahoma"/>
      <w:sz w:val="24"/>
      <w:szCs w:val="24"/>
    </w:rPr>
  </w:style>
  <w:style w:type="paragraph" w:styleId="950">
    <w:name w:val="List Paragraph"/>
    <w:basedOn w:val="859"/>
    <w:uiPriority w:val="0"/>
    <w:qFormat/>
    <w:pPr>
      <w:contextualSpacing/>
      <w:ind w:left="720"/>
      <w:jc w:val="left"/>
      <w:widowControl/>
    </w:pPr>
    <w:rPr>
      <w:rFonts w:ascii="Calibri" w:hAnsi="Calibri"/>
      <w:sz w:val="24"/>
      <w:szCs w:val="24"/>
      <w:lang w:eastAsia="en-US" w:bidi="en-US"/>
    </w:rPr>
  </w:style>
  <w:style w:type="paragraph" w:styleId="951" w:customStyle="1">
    <w:name w:val="4"/>
    <w:basedOn w:val="859"/>
    <w:next w:val="893"/>
    <w:uiPriority w:val="0"/>
    <w:qFormat/>
    <w:pPr>
      <w:ind w:firstLine="420"/>
      <w:spacing w:line="360" w:lineRule="auto"/>
    </w:pPr>
    <w:rPr>
      <w:color w:val="ff0000"/>
      <w:sz w:val="24"/>
      <w:szCs w:val="24"/>
    </w:rPr>
  </w:style>
  <w:style w:type="paragraph" w:styleId="952" w:customStyle="1">
    <w:name w:val="普通 (Web)"/>
    <w:basedOn w:val="859"/>
    <w:uiPriority w:val="0"/>
    <w:qFormat/>
    <w:pPr>
      <w:jc w:val="left"/>
      <w:spacing w:before="100" w:beforeAutospacing="1" w:after="100" w:afterAutospacing="1"/>
      <w:widowControl/>
    </w:pPr>
    <w:rPr>
      <w:rFonts w:ascii="宋体" w:hAnsi="宋体"/>
      <w:sz w:val="24"/>
      <w:szCs w:val="24"/>
    </w:rPr>
  </w:style>
  <w:style w:type="paragraph" w:styleId="953" w:customStyle="1">
    <w:name w:val=" Char Char Char Char Char Char Char Char Char Char"/>
    <w:basedOn w:val="859"/>
    <w:uiPriority w:val="0"/>
    <w:qFormat/>
    <w:pPr>
      <w:spacing w:line="360" w:lineRule="auto"/>
    </w:pPr>
    <w:rPr>
      <w:sz w:val="24"/>
      <w:szCs w:val="20"/>
    </w:rPr>
  </w:style>
  <w:style w:type="paragraph" w:styleId="954" w:customStyle="1">
    <w:name w:val="样式1"/>
    <w:basedOn w:val="859"/>
    <w:uiPriority w:val="0"/>
    <w:qFormat/>
    <w:pPr>
      <w:numPr>
        <w:ilvl w:val="0"/>
        <w:numId w:val="3"/>
      </w:numPr>
    </w:pPr>
    <w:rPr>
      <w:rFonts w:ascii="宋体" w:hAnsi="宋体"/>
    </w:rPr>
  </w:style>
  <w:style w:type="paragraph" w:styleId="955" w:customStyle="1">
    <w:name w:val="font6"/>
    <w:basedOn w:val="859"/>
    <w:uiPriority w:val="0"/>
    <w:qFormat/>
    <w:pPr>
      <w:jc w:val="left"/>
      <w:spacing w:before="100" w:beforeAutospacing="1" w:after="100" w:afterAutospacing="1"/>
      <w:widowControl/>
    </w:pPr>
    <w:rPr>
      <w:rFonts w:hint="eastAsia" w:ascii="宋体" w:hAnsi="宋体"/>
      <w:sz w:val="28"/>
      <w:szCs w:val="28"/>
      <w:u w:val="single"/>
    </w:rPr>
  </w:style>
  <w:style w:type="paragraph" w:styleId="956"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customStyle="1">
    <w:name w:val="图标"/>
    <w:basedOn w:val="859"/>
    <w:next w:val="8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customStyle="1">
    <w:name w:val="标题3"/>
    <w:basedOn w:val="859"/>
    <w:next w:val="859"/>
    <w:uiPriority w:val="0"/>
    <w:qFormat/>
    <w:pPr>
      <w:ind w:firstLine="624"/>
      <w:spacing w:line="590" w:lineRule="atLeast"/>
    </w:pPr>
    <w:rPr>
      <w:rFonts w:ascii="方正黑体_GBK" w:eastAsia="方正黑体_GBK"/>
      <w:sz w:val="32"/>
      <w:szCs w:val="32"/>
    </w:rPr>
  </w:style>
  <w:style w:type="paragraph" w:styleId="959" w:customStyle="1">
    <w:name w:val="xl24"/>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0" w:customStyle="1">
    <w:name w:val="xl29"/>
    <w:basedOn w:val="85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1" w:customStyle="1">
    <w:name w:val="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962" w:customStyle="1">
    <w:name w:val="xl28"/>
    <w:basedOn w:val="8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3" w:customStyle="1">
    <w:name w:val=" 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964" w:customStyle="1">
    <w:name w:val="xl30"/>
    <w:basedOn w:val="859"/>
    <w:uiPriority w:val="0"/>
    <w:qFormat/>
    <w:pPr>
      <w:jc w:val="center"/>
      <w:spacing w:before="100" w:beforeAutospacing="1" w:after="100" w:afterAutospacing="1"/>
      <w:widowControl/>
    </w:pPr>
    <w:rPr>
      <w:rFonts w:ascii="宋体" w:hAnsi="宋体"/>
      <w:b/>
      <w:bCs/>
      <w:sz w:val="36"/>
      <w:szCs w:val="36"/>
    </w:rPr>
  </w:style>
  <w:style w:type="paragraph" w:styleId="965" w:customStyle="1">
    <w:name w:val="Char Char Char Char"/>
    <w:basedOn w:val="874"/>
    <w:uiPriority w:val="0"/>
    <w:qFormat/>
    <w:pPr>
      <w:spacing w:line="360" w:lineRule="auto"/>
    </w:pPr>
    <w:rPr>
      <w:rFonts w:ascii="Tahoma" w:hAnsi="Tahoma"/>
      <w:sz w:val="24"/>
      <w:szCs w:val="24"/>
    </w:rPr>
  </w:style>
  <w:style w:type="paragraph" w:styleId="966" w:customStyle="1">
    <w:name w:val="table_1stline"/>
    <w:basedOn w:val="859"/>
    <w:uiPriority w:val="0"/>
    <w:qFormat/>
    <w:pPr>
      <w:jc w:val="left"/>
      <w:spacing w:before="120"/>
      <w:widowControl/>
    </w:pPr>
    <w:rPr>
      <w:bCs/>
      <w:sz w:val="20"/>
      <w:szCs w:val="20"/>
      <w:lang w:val="de-DE" w:eastAsia="de-DE"/>
    </w:rPr>
  </w:style>
  <w:style w:type="paragraph" w:styleId="967" w:customStyle="1">
    <w:name w:val="font5"/>
    <w:basedOn w:val="859"/>
    <w:uiPriority w:val="0"/>
    <w:qFormat/>
    <w:pPr>
      <w:jc w:val="left"/>
      <w:spacing w:before="100" w:beforeAutospacing="1" w:after="100" w:afterAutospacing="1"/>
      <w:widowControl/>
    </w:pPr>
    <w:rPr>
      <w:rFonts w:hint="eastAsia" w:ascii="宋体" w:hAnsi="宋体"/>
      <w:sz w:val="28"/>
      <w:szCs w:val="28"/>
    </w:rPr>
  </w:style>
  <w:style w:type="paragraph" w:styleId="968" w:customStyle="1">
    <w:name w:val="标题1"/>
    <w:basedOn w:val="859"/>
    <w:next w:val="8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9" w:customStyle="1">
    <w:name w:val="_Style 110"/>
    <w:uiPriority w:val="99"/>
    <w:semiHidden/>
    <w:qFormat/>
    <w:rPr>
      <w:rFonts w:ascii="Times New Roman" w:hAnsi="Times New Roman" w:eastAsia="宋体" w:cs="Times New Roman"/>
      <w:sz w:val="21"/>
      <w:szCs w:val="21"/>
      <w:lang w:val="en-US" w:eastAsia="zh-CN" w:bidi="ar-SA"/>
    </w:rPr>
  </w:style>
  <w:style w:type="paragraph" w:styleId="97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1" w:customStyle="1">
    <w:name w:val="纯文本1"/>
    <w:basedOn w:val="859"/>
    <w:uiPriority w:val="0"/>
    <w:qFormat/>
    <w:rPr>
      <w:rFonts w:ascii="宋体" w:hAnsi="Courier New" w:cs="Courier New"/>
    </w:rPr>
  </w:style>
  <w:style w:type="paragraph" w:styleId="972" w:customStyle="1">
    <w:name w:val="标题 31"/>
    <w:basedOn w:val="859"/>
    <w:next w:val="973"/>
    <w:uiPriority w:val="0"/>
    <w:qFormat/>
    <w:pPr>
      <w:keepLines/>
      <w:keepNext/>
      <w:spacing w:before="260" w:after="260" w:line="416" w:lineRule="auto"/>
      <w:outlineLvl w:val="2"/>
    </w:pPr>
    <w:rPr>
      <w:b/>
      <w:bCs/>
      <w:sz w:val="32"/>
      <w:szCs w:val="32"/>
    </w:rPr>
  </w:style>
  <w:style w:type="paragraph" w:styleId="973" w:customStyle="1">
    <w:name w:val="正文缩进1"/>
    <w:basedOn w:val="859"/>
    <w:uiPriority w:val="0"/>
    <w:qFormat/>
    <w:pPr>
      <w:ind w:firstLine="420"/>
    </w:p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时富荣</cp:lastModifiedBy>
  <cp:revision>11</cp:revision>
  <dcterms:created xsi:type="dcterms:W3CDTF">2023-03-16T02:16:00Z</dcterms:created>
  <dcterms:modified xsi:type="dcterms:W3CDTF">2026-04-10T02:40:37Z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2052-12.1.0.24657</vt:lpwstr>
  </property>
  <property fmtid="{D5CDD505-2E9C-101B-9397-08002B2CF9AE}" pid="4" name="ICV">
    <vt:lpwstr>06CA0E19B94A48CD919FFD9AF97BC334_13</vt:lpwstr>
  </property>
</Properties>
</file>